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600"/>
        <w:jc w:val="center"/>
      </w:pPr>
      <w:r>
        <w:rPr>
          <w:rFonts w:ascii="Times New Roman" w:cs="Times New Roman" w:eastAsia="Times New Roman" w:hAnsi="Times New Roman"/>
          <w:b/>
          <w:bCs/>
          <w:sz w:val="36"/>
          <w:szCs w:val="36"/>
        </w:rPr>
        <w:t xml:space="preserve">CORPORATE POLICY REVIEW REPORT</w:t>
      </w:r>
    </w:p>
    <w:p>
      <w:pPr>
        <w:spacing w:after="200"/>
        <w:jc w:val="center"/>
      </w:pPr>
      <w:r>
        <w:rPr>
          <w:rFonts w:ascii="Times New Roman" w:cs="Times New Roman" w:eastAsia="Times New Roman" w:hAnsi="Times New Roman"/>
          <w:b/>
          <w:bCs/>
          <w:sz w:val="30"/>
          <w:szCs w:val="30"/>
        </w:rPr>
        <w:t xml:space="preserve">Corporate Governance &amp; Ethics Policy</w:t>
      </w:r>
    </w:p>
    <w:p>
      <w:pPr>
        <w:spacing w:after="1600"/>
        <w:jc w:val="center"/>
      </w:pPr>
      <w:r>
        <w:rPr>
          <w:rFonts w:ascii="Times New Roman" w:cs="Times New Roman" w:eastAsia="Times New Roman" w:hAnsi="Times New Roman"/>
          <w:i/>
          <w:iCs/>
          <w:sz w:val="26"/>
          <w:szCs w:val="26"/>
        </w:rPr>
        <w:t xml:space="preserve">A Review of TCS's Corporate Governance and Whistle Blower Framework</w:t>
      </w:r>
    </w:p>
    <w:p>
      <w:pPr>
        <w:spacing w:after="1600"/>
        <w:jc w:val="center"/>
      </w:pPr>
      <w:r>
        <w:rPr>
          <w:rFonts w:ascii="Times New Roman" w:cs="Times New Roman" w:eastAsia="Times New Roman" w:hAnsi="Times New Roman"/>
          <w:sz w:val="26"/>
          <w:szCs w:val="26"/>
        </w:rPr>
        <w:t xml:space="preserve">Organization Reviewed: Tata Consultancy Services (TCS)</w:t>
      </w:r>
    </w:p>
    <w:p>
      <w:pPr>
        <w:spacing w:after="150"/>
        <w:jc w:val="center"/>
      </w:pPr>
      <w:r>
        <w:rPr>
          <w:rFonts w:ascii="Times New Roman" w:cs="Times New Roman" w:eastAsia="Times New Roman" w:hAnsi="Times New Roman"/>
          <w:sz w:val="24"/>
          <w:szCs w:val="24"/>
        </w:rPr>
        <w:t xml:space="preserve">Submitted by</w:t>
      </w:r>
    </w:p>
    <w:p>
      <w:pPr>
        <w:spacing w:after="100"/>
        <w:jc w:val="center"/>
      </w:pPr>
      <w:r>
        <w:rPr>
          <w:rFonts w:ascii="Times New Roman" w:cs="Times New Roman" w:eastAsia="Times New Roman" w:hAnsi="Times New Roman"/>
          <w:b/>
          <w:bCs/>
          <w:sz w:val="26"/>
          <w:szCs w:val="26"/>
        </w:rPr>
        <w:t xml:space="preserve">Name: Manoj Kumar K</w:t>
      </w:r>
    </w:p>
    <w:p>
      <w:pPr>
        <w:spacing w:after="100"/>
        <w:jc w:val="center"/>
      </w:pPr>
      <w:r>
        <w:rPr>
          <w:rFonts w:ascii="Times New Roman" w:cs="Times New Roman" w:eastAsia="Times New Roman" w:hAnsi="Times New Roman"/>
          <w:sz w:val="26"/>
          <w:szCs w:val="26"/>
        </w:rPr>
        <w:t xml:space="preserve">Register Number: 5272510210</w:t>
      </w:r>
    </w:p>
    <w:p>
      <w:pPr>
        <w:spacing w:after="100"/>
        <w:jc w:val="center"/>
      </w:pPr>
      <w:r>
        <w:rPr>
          <w:rFonts w:ascii="Times New Roman" w:cs="Times New Roman" w:eastAsia="Times New Roman" w:hAnsi="Times New Roman"/>
          <w:sz w:val="26"/>
          <w:szCs w:val="26"/>
        </w:rPr>
        <w:t xml:space="preserve">Course: B.Com Fintech with AI</w:t>
      </w:r>
    </w:p>
    <w:p>
      <w:pPr>
        <w:spacing w:after="100"/>
        <w:jc w:val="center"/>
      </w:pPr>
      <w:r>
        <w:rPr>
          <w:rFonts w:ascii="Times New Roman" w:cs="Times New Roman" w:eastAsia="Times New Roman" w:hAnsi="Times New Roman"/>
          <w:sz w:val="26"/>
          <w:szCs w:val="26"/>
        </w:rPr>
        <w:t xml:space="preserve">Activity Title: Corporate Policy Review Report</w:t>
      </w:r>
    </w:p>
    <w:p>
      <w:pPr>
        <w:spacing w:after="100"/>
        <w:jc w:val="center"/>
      </w:pPr>
      <w:r>
        <w:rPr>
          <w:rFonts w:ascii="Times New Roman" w:cs="Times New Roman" w:eastAsia="Times New Roman" w:hAnsi="Times New Roman"/>
          <w:sz w:val="26"/>
          <w:szCs w:val="26"/>
        </w:rPr>
        <w:t xml:space="preserve">Policy Name: Corporate Governance &amp; Ethics Policy</w:t>
      </w:r>
    </w:p>
    <w:p>
      <w:r>
        <w:br w:type="page"/>
      </w:r>
    </w:p>
    <w:p>
      <w:pPr>
        <w:spacing w:after="150" w:before="300"/>
      </w:pPr>
      <w:r>
        <w:rPr>
          <w:rFonts w:ascii="Times New Roman" w:cs="Times New Roman" w:eastAsia="Times New Roman" w:hAnsi="Times New Roman"/>
          <w:b/>
          <w:bCs/>
          <w:sz w:val="28"/>
          <w:szCs w:val="28"/>
        </w:rPr>
        <w:t xml:space="preserve">1. Introduction</w:t>
      </w:r>
    </w:p>
    <w:p>
      <w:pPr>
        <w:spacing w:after="200" w:line="360"/>
        <w:jc w:val="both"/>
      </w:pPr>
      <w:r>
        <w:rPr>
          <w:rFonts w:ascii="Times New Roman" w:cs="Times New Roman" w:eastAsia="Times New Roman" w:hAnsi="Times New Roman"/>
          <w:sz w:val="24"/>
          <w:szCs w:val="24"/>
        </w:rPr>
        <w:t xml:space="preserve">Tata Consultancy Services (TCS) is a global IT services and consulting company and one of the flagship companies of the Tata Group. As a publicly listed company with operations in over 55 countries, TCS is answerable to shareholders, regulators, employees, and clients, which makes strong corporate governance essential to its business.</w:t>
      </w:r>
    </w:p>
    <w:p>
      <w:pPr>
        <w:spacing w:after="200" w:line="360"/>
        <w:jc w:val="both"/>
      </w:pPr>
      <w:r>
        <w:rPr>
          <w:rFonts w:ascii="Times New Roman" w:cs="Times New Roman" w:eastAsia="Times New Roman" w:hAnsi="Times New Roman"/>
          <w:sz w:val="24"/>
          <w:szCs w:val="24"/>
        </w:rPr>
        <w:t xml:space="preserve">The policy chosen for this review is TCS's Corporate Governance and Ethics framework, built around the Tata Code of Conduct and supported by the TCS Global Whistle Blower Policy. Together, these define how the Board of Directors oversees the company and how employees and stakeholders can safely report unethical behaviour.</w:t>
      </w:r>
    </w:p>
    <w:p>
      <w:pPr>
        <w:spacing w:after="200" w:line="360"/>
        <w:jc w:val="both"/>
      </w:pPr>
      <w:r>
        <w:rPr>
          <w:rFonts w:ascii="Times New Roman" w:cs="Times New Roman" w:eastAsia="Times New Roman" w:hAnsi="Times New Roman"/>
          <w:sz w:val="24"/>
          <w:szCs w:val="24"/>
        </w:rPr>
        <w:t xml:space="preserve">The purpose of this review is to understand how TCS structures its governance and ethics systems, how the Board and Audit Committee oversee compliance, and how effective these mechanisms are, including how the company responded to a real ethics breach.</w:t>
      </w:r>
    </w:p>
    <w:p>
      <w:pPr>
        <w:spacing w:after="150" w:before="300"/>
      </w:pPr>
      <w:r>
        <w:rPr>
          <w:rFonts w:ascii="Times New Roman" w:cs="Times New Roman" w:eastAsia="Times New Roman" w:hAnsi="Times New Roman"/>
          <w:b/>
          <w:bCs/>
          <w:sz w:val="28"/>
          <w:szCs w:val="28"/>
        </w:rPr>
        <w:t xml:space="preserve">2. Policy Overview</w:t>
      </w:r>
    </w:p>
    <w:p>
      <w:pPr>
        <w:spacing w:after="200" w:line="360"/>
        <w:jc w:val="both"/>
      </w:pPr>
      <w:r>
        <w:rPr>
          <w:rFonts w:ascii="Times New Roman" w:cs="Times New Roman" w:eastAsia="Times New Roman" w:hAnsi="Times New Roman"/>
          <w:sz w:val="24"/>
          <w:szCs w:val="24"/>
        </w:rPr>
        <w:t xml:space="preserve">TCS's Corporate Governance and Ethics Policy is not one single document but a framework built on the Tata Code of Conduct, the Whistle Blower Policy, and Board-level governance guidelines required under the Companies Act, 2013 and SEBI Listing Regulations. Together, these define how the company is directed, controlled, and held accountable.</w:t>
      </w:r>
    </w:p>
    <w:p>
      <w:pPr>
        <w:spacing w:after="100" w:before="150"/>
      </w:pPr>
      <w:r>
        <w:rPr>
          <w:rFonts w:ascii="Times New Roman" w:cs="Times New Roman" w:eastAsia="Times New Roman" w:hAnsi="Times New Roman"/>
          <w:b/>
          <w:bCs/>
          <w:sz w:val="28"/>
          <w:szCs w:val="28"/>
        </w:rPr>
        <w:t xml:space="preserve">Scope of the Policy</w:t>
      </w:r>
    </w:p>
    <w:p>
      <w:pPr>
        <w:spacing w:after="200" w:line="360"/>
        <w:jc w:val="both"/>
      </w:pPr>
      <w:r>
        <w:rPr>
          <w:rFonts w:ascii="Times New Roman" w:cs="Times New Roman" w:eastAsia="Times New Roman" w:hAnsi="Times New Roman"/>
          <w:sz w:val="24"/>
          <w:szCs w:val="24"/>
        </w:rPr>
        <w:t xml:space="preserve">The framework applies to the Board of Directors, all employees, consultants, associates, interns, and trainees of TCS and its subsidiaries, regardless of location. It also extends, through contractual clauses, to stakeholders who have financial or commercial dealings with the company.</w:t>
      </w:r>
    </w:p>
    <w:p>
      <w:pPr>
        <w:spacing w:after="100" w:before="150"/>
      </w:pPr>
      <w:r>
        <w:rPr>
          <w:rFonts w:ascii="Times New Roman" w:cs="Times New Roman" w:eastAsia="Times New Roman" w:hAnsi="Times New Roman"/>
          <w:b/>
          <w:bCs/>
          <w:sz w:val="28"/>
          <w:szCs w:val="28"/>
        </w:rPr>
        <w:t xml:space="preserve">Stakeholders Covered</w:t>
      </w:r>
    </w:p>
    <w:p>
      <w:pPr>
        <w:pStyle w:val="ListParagraph"/>
        <w:numPr>
          <w:ilvl w:val="0"/>
          <w:numId w:val="1"/>
        </w:numPr>
        <w:spacing w:after="100" w:line="360"/>
      </w:pPr>
      <w:r>
        <w:rPr>
          <w:rFonts w:ascii="Times New Roman" w:cs="Times New Roman" w:eastAsia="Times New Roman" w:hAnsi="Times New Roman"/>
          <w:sz w:val="24"/>
          <w:szCs w:val="24"/>
        </w:rPr>
        <w:t xml:space="preserve">The Board of Directors and Audit Committee</w:t>
      </w:r>
    </w:p>
    <w:p>
      <w:pPr>
        <w:pStyle w:val="ListParagraph"/>
        <w:numPr>
          <w:ilvl w:val="0"/>
          <w:numId w:val="1"/>
        </w:numPr>
        <w:spacing w:after="100" w:line="360"/>
      </w:pPr>
      <w:r>
        <w:rPr>
          <w:rFonts w:ascii="Times New Roman" w:cs="Times New Roman" w:eastAsia="Times New Roman" w:hAnsi="Times New Roman"/>
          <w:sz w:val="24"/>
          <w:szCs w:val="24"/>
        </w:rPr>
        <w:t xml:space="preserve">All employees, including senior executives and the CEO</w:t>
      </w:r>
    </w:p>
    <w:p>
      <w:pPr>
        <w:pStyle w:val="ListParagraph"/>
        <w:numPr>
          <w:ilvl w:val="0"/>
          <w:numId w:val="1"/>
        </w:numPr>
        <w:spacing w:after="100" w:line="360"/>
      </w:pPr>
      <w:r>
        <w:rPr>
          <w:rFonts w:ascii="Times New Roman" w:cs="Times New Roman" w:eastAsia="Times New Roman" w:hAnsi="Times New Roman"/>
          <w:sz w:val="24"/>
          <w:szCs w:val="24"/>
        </w:rPr>
        <w:t xml:space="preserve">Shareholders and investors</w:t>
      </w:r>
    </w:p>
    <w:p>
      <w:pPr>
        <w:pStyle w:val="ListParagraph"/>
        <w:numPr>
          <w:ilvl w:val="0"/>
          <w:numId w:val="1"/>
        </w:numPr>
        <w:spacing w:after="100" w:line="360"/>
      </w:pPr>
      <w:r>
        <w:rPr>
          <w:rFonts w:ascii="Times New Roman" w:cs="Times New Roman" w:eastAsia="Times New Roman" w:hAnsi="Times New Roman"/>
          <w:sz w:val="24"/>
          <w:szCs w:val="24"/>
        </w:rPr>
        <w:t xml:space="preserve">Vendors, suppliers, and business partners</w:t>
      </w:r>
    </w:p>
    <w:p>
      <w:pPr>
        <w:pStyle w:val="ListParagraph"/>
        <w:numPr>
          <w:ilvl w:val="0"/>
          <w:numId w:val="1"/>
        </w:numPr>
        <w:spacing w:after="100" w:line="360"/>
      </w:pPr>
      <w:r>
        <w:rPr>
          <w:rFonts w:ascii="Times New Roman" w:cs="Times New Roman" w:eastAsia="Times New Roman" w:hAnsi="Times New Roman"/>
          <w:sz w:val="24"/>
          <w:szCs w:val="24"/>
        </w:rPr>
        <w:t xml:space="preserve">Clients and the wider community</w:t>
      </w:r>
    </w:p>
    <w:p>
      <w:pPr>
        <w:spacing w:after="100" w:before="150"/>
      </w:pPr>
      <w:r>
        <w:rPr>
          <w:rFonts w:ascii="Times New Roman" w:cs="Times New Roman" w:eastAsia="Times New Roman" w:hAnsi="Times New Roman"/>
          <w:b/>
          <w:bCs/>
          <w:sz w:val="28"/>
          <w:szCs w:val="28"/>
        </w:rPr>
        <w:t xml:space="preserve">Key Objectives of the Policy</w:t>
      </w:r>
    </w:p>
    <w:p>
      <w:pPr>
        <w:pStyle w:val="ListParagraph"/>
        <w:numPr>
          <w:ilvl w:val="0"/>
          <w:numId w:val="1"/>
        </w:numPr>
        <w:spacing w:after="100" w:line="360"/>
      </w:pPr>
      <w:r>
        <w:rPr>
          <w:rFonts w:ascii="Times New Roman" w:cs="Times New Roman" w:eastAsia="Times New Roman" w:hAnsi="Times New Roman"/>
          <w:sz w:val="24"/>
          <w:szCs w:val="24"/>
        </w:rPr>
        <w:t xml:space="preserve">To ensure the Board oversees the company with transparency and accountability</w:t>
      </w:r>
    </w:p>
    <w:p>
      <w:pPr>
        <w:pStyle w:val="ListParagraph"/>
        <w:numPr>
          <w:ilvl w:val="0"/>
          <w:numId w:val="1"/>
        </w:numPr>
        <w:spacing w:after="100" w:line="360"/>
      </w:pPr>
      <w:r>
        <w:rPr>
          <w:rFonts w:ascii="Times New Roman" w:cs="Times New Roman" w:eastAsia="Times New Roman" w:hAnsi="Times New Roman"/>
          <w:sz w:val="24"/>
          <w:szCs w:val="24"/>
        </w:rPr>
        <w:t xml:space="preserve">To promote honesty, integrity, and ethical decision-making at every level</w:t>
      </w:r>
    </w:p>
    <w:p>
      <w:pPr>
        <w:pStyle w:val="ListParagraph"/>
        <w:numPr>
          <w:ilvl w:val="0"/>
          <w:numId w:val="1"/>
        </w:numPr>
        <w:spacing w:after="100" w:line="360"/>
      </w:pPr>
      <w:r>
        <w:rPr>
          <w:rFonts w:ascii="Times New Roman" w:cs="Times New Roman" w:eastAsia="Times New Roman" w:hAnsi="Times New Roman"/>
          <w:sz w:val="24"/>
          <w:szCs w:val="24"/>
        </w:rPr>
        <w:t xml:space="preserve">To protect shareholder interests and support fair treatment of all stakeholders</w:t>
      </w:r>
    </w:p>
    <w:p>
      <w:pPr>
        <w:pStyle w:val="ListParagraph"/>
        <w:numPr>
          <w:ilvl w:val="0"/>
          <w:numId w:val="1"/>
        </w:numPr>
        <w:spacing w:after="100" w:line="360"/>
      </w:pPr>
      <w:r>
        <w:rPr>
          <w:rFonts w:ascii="Times New Roman" w:cs="Times New Roman" w:eastAsia="Times New Roman" w:hAnsi="Times New Roman"/>
          <w:sz w:val="24"/>
          <w:szCs w:val="24"/>
        </w:rPr>
        <w:t xml:space="preserve">To provide safe channels for reporting unethical or illegal conduct</w:t>
      </w:r>
    </w:p>
    <w:p>
      <w:pPr>
        <w:pStyle w:val="ListParagraph"/>
        <w:numPr>
          <w:ilvl w:val="0"/>
          <w:numId w:val="1"/>
        </w:numPr>
        <w:spacing w:after="100" w:line="360"/>
      </w:pPr>
      <w:r>
        <w:rPr>
          <w:rFonts w:ascii="Times New Roman" w:cs="Times New Roman" w:eastAsia="Times New Roman" w:hAnsi="Times New Roman"/>
          <w:sz w:val="24"/>
          <w:szCs w:val="24"/>
        </w:rPr>
        <w:t xml:space="preserve">To prevent conflicts of interest and related-party misconduct</w:t>
      </w:r>
    </w:p>
    <w:p>
      <w:pPr>
        <w:spacing w:after="150" w:before="300"/>
      </w:pPr>
      <w:r>
        <w:rPr>
          <w:rFonts w:ascii="Times New Roman" w:cs="Times New Roman" w:eastAsia="Times New Roman" w:hAnsi="Times New Roman"/>
          <w:b/>
          <w:bCs/>
          <w:sz w:val="28"/>
          <w:szCs w:val="28"/>
        </w:rPr>
        <w:t xml:space="preserve">3. Key Provisions of the Policy</w:t>
      </w:r>
    </w:p>
    <w:p>
      <w:pPr>
        <w:spacing w:after="200" w:line="360"/>
        <w:jc w:val="both"/>
      </w:pPr>
      <w:r>
        <w:rPr>
          <w:rFonts w:ascii="Times New Roman" w:cs="Times New Roman" w:eastAsia="Times New Roman" w:hAnsi="Times New Roman"/>
          <w:sz w:val="24"/>
          <w:szCs w:val="24"/>
        </w:rPr>
        <w:t xml:space="preserve">TCS's governance and ethics framework rests on a few key pillars that work together to guide the company's conduct.</w:t>
      </w:r>
    </w:p>
    <w:p>
      <w:pPr>
        <w:spacing w:after="100" w:before="150"/>
      </w:pPr>
      <w:r>
        <w:rPr>
          <w:rFonts w:ascii="Times New Roman" w:cs="Times New Roman" w:eastAsia="Times New Roman" w:hAnsi="Times New Roman"/>
          <w:b/>
          <w:bCs/>
          <w:sz w:val="28"/>
          <w:szCs w:val="28"/>
        </w:rPr>
        <w:t xml:space="preserve">Board Responsibilities</w:t>
      </w:r>
    </w:p>
    <w:p>
      <w:pPr>
        <w:spacing w:after="200" w:line="360"/>
        <w:jc w:val="both"/>
      </w:pPr>
      <w:r>
        <w:rPr>
          <w:rFonts w:ascii="Times New Roman" w:cs="Times New Roman" w:eastAsia="Times New Roman" w:hAnsi="Times New Roman"/>
          <w:sz w:val="24"/>
          <w:szCs w:val="24"/>
        </w:rPr>
        <w:t xml:space="preserve">The Board of Directors is responsible for overseeing the company's strategy, risk management, and compliance. The Audit Committee, a Board-level body required under the Companies Act, plays a central role in reviewing financial reporting and handling serious ethics complaints.</w:t>
      </w:r>
    </w:p>
    <w:p>
      <w:pPr>
        <w:spacing w:after="100" w:before="150"/>
      </w:pPr>
      <w:r>
        <w:rPr>
          <w:rFonts w:ascii="Times New Roman" w:cs="Times New Roman" w:eastAsia="Times New Roman" w:hAnsi="Times New Roman"/>
          <w:b/>
          <w:bCs/>
          <w:sz w:val="28"/>
          <w:szCs w:val="28"/>
        </w:rPr>
        <w:t xml:space="preserve">The Tata Code of Conduct</w:t>
      </w:r>
    </w:p>
    <w:p>
      <w:pPr>
        <w:spacing w:after="200" w:line="360"/>
        <w:jc w:val="both"/>
      </w:pPr>
      <w:r>
        <w:rPr>
          <w:rFonts w:ascii="Times New Roman" w:cs="Times New Roman" w:eastAsia="Times New Roman" w:hAnsi="Times New Roman"/>
          <w:sz w:val="24"/>
          <w:szCs w:val="24"/>
        </w:rPr>
        <w:t xml:space="preserve">The Code sets out the ethical standards expected of every employee and director, covering honesty, fairness, avoidance of conflicts of interest, and respect for laws in every country of operation. Customers are also made aware of these principles through clauses included in business contracts.</w:t>
      </w:r>
    </w:p>
    <w:p>
      <w:pPr>
        <w:spacing w:after="100" w:before="150"/>
      </w:pPr>
      <w:r>
        <w:rPr>
          <w:rFonts w:ascii="Times New Roman" w:cs="Times New Roman" w:eastAsia="Times New Roman" w:hAnsi="Times New Roman"/>
          <w:b/>
          <w:bCs/>
          <w:sz w:val="28"/>
          <w:szCs w:val="28"/>
        </w:rPr>
        <w:t xml:space="preserve">Whistle Blower Mechanism</w:t>
      </w:r>
    </w:p>
    <w:p>
      <w:pPr>
        <w:spacing w:after="200" w:line="360"/>
        <w:jc w:val="both"/>
      </w:pPr>
      <w:r>
        <w:rPr>
          <w:rFonts w:ascii="Times New Roman" w:cs="Times New Roman" w:eastAsia="Times New Roman" w:hAnsi="Times New Roman"/>
          <w:sz w:val="24"/>
          <w:szCs w:val="24"/>
        </w:rPr>
        <w:t xml:space="preserve">The TCS Global Whistle Blower Policy allows employees, directors, and stakeholders to report violations of the Code without fear of retaliation. Concerns can be raised through the company's internal portal, and serious matters involving senior executives can be reported directly to the Chairman of the Audit Committee.</w:t>
      </w:r>
    </w:p>
    <w:p>
      <w:pPr>
        <w:spacing w:after="100" w:before="150"/>
      </w:pPr>
      <w:r>
        <w:rPr>
          <w:rFonts w:ascii="Times New Roman" w:cs="Times New Roman" w:eastAsia="Times New Roman" w:hAnsi="Times New Roman"/>
          <w:b/>
          <w:bCs/>
          <w:sz w:val="28"/>
          <w:szCs w:val="28"/>
        </w:rPr>
        <w:t xml:space="preserve">Transparency and Accountability</w:t>
      </w:r>
    </w:p>
    <w:p>
      <w:pPr>
        <w:spacing w:after="200" w:line="360"/>
        <w:jc w:val="both"/>
      </w:pPr>
      <w:r>
        <w:rPr>
          <w:rFonts w:ascii="Times New Roman" w:cs="Times New Roman" w:eastAsia="Times New Roman" w:hAnsi="Times New Roman"/>
          <w:sz w:val="24"/>
          <w:szCs w:val="24"/>
        </w:rPr>
        <w:t xml:space="preserve">TCS is required to disclose governance-related information to stock exchanges and shareholders, including matters involving ethics violations. This keeps the company answerable not just internally, but to external regulators and the investing public as well.</w:t>
      </w:r>
    </w:p>
    <w:p>
      <w:pPr>
        <w:spacing w:after="100" w:before="150"/>
      </w:pPr>
      <w:r>
        <w:rPr>
          <w:rFonts w:ascii="Times New Roman" w:cs="Times New Roman" w:eastAsia="Times New Roman" w:hAnsi="Times New Roman"/>
          <w:b/>
          <w:bCs/>
          <w:sz w:val="28"/>
          <w:szCs w:val="28"/>
        </w:rPr>
        <w:t xml:space="preserve">Related-Party Transactions and Conflicts of Interest</w:t>
      </w:r>
    </w:p>
    <w:p>
      <w:pPr>
        <w:pStyle w:val="ListParagraph"/>
        <w:numPr>
          <w:ilvl w:val="0"/>
          <w:numId w:val="1"/>
        </w:numPr>
        <w:spacing w:after="100" w:line="360"/>
      </w:pPr>
      <w:r>
        <w:rPr>
          <w:rFonts w:ascii="Times New Roman" w:cs="Times New Roman" w:eastAsia="Times New Roman" w:hAnsi="Times New Roman"/>
          <w:sz w:val="24"/>
          <w:szCs w:val="24"/>
        </w:rPr>
        <w:t xml:space="preserve">Employees and directors must disclose situations where personal interest could conflict with company interest</w:t>
      </w:r>
    </w:p>
    <w:p>
      <w:pPr>
        <w:pStyle w:val="ListParagraph"/>
        <w:numPr>
          <w:ilvl w:val="0"/>
          <w:numId w:val="1"/>
        </w:numPr>
        <w:spacing w:after="100" w:line="360"/>
      </w:pPr>
      <w:r>
        <w:rPr>
          <w:rFonts w:ascii="Times New Roman" w:cs="Times New Roman" w:eastAsia="Times New Roman" w:hAnsi="Times New Roman"/>
          <w:sz w:val="24"/>
          <w:szCs w:val="24"/>
        </w:rPr>
        <w:t xml:space="preserve">Related-party transactions must follow approval processes set by the Audit Committee and SEBI regulations</w:t>
      </w:r>
    </w:p>
    <w:p>
      <w:pPr>
        <w:pStyle w:val="ListParagraph"/>
        <w:numPr>
          <w:ilvl w:val="0"/>
          <w:numId w:val="1"/>
        </w:numPr>
        <w:spacing w:after="100" w:line="360"/>
      </w:pPr>
      <w:r>
        <w:rPr>
          <w:rFonts w:ascii="Times New Roman" w:cs="Times New Roman" w:eastAsia="Times New Roman" w:hAnsi="Times New Roman"/>
          <w:sz w:val="24"/>
          <w:szCs w:val="24"/>
        </w:rPr>
        <w:t xml:space="preserve">Gifts, favours, or benefits that could influence business decisions are restricted</w:t>
      </w:r>
    </w:p>
    <w:p>
      <w:pPr>
        <w:spacing w:after="100" w:before="150"/>
      </w:pPr>
      <w:r>
        <w:rPr>
          <w:rFonts w:ascii="Times New Roman" w:cs="Times New Roman" w:eastAsia="Times New Roman" w:hAnsi="Times New Roman"/>
          <w:b/>
          <w:bCs/>
          <w:sz w:val="28"/>
          <w:szCs w:val="28"/>
        </w:rPr>
        <w:t xml:space="preserve">Training and Awareness</w:t>
      </w:r>
    </w:p>
    <w:p>
      <w:pPr>
        <w:spacing w:after="200" w:line="360"/>
        <w:jc w:val="both"/>
      </w:pPr>
      <w:r>
        <w:rPr>
          <w:rFonts w:ascii="Times New Roman" w:cs="Times New Roman" w:eastAsia="Times New Roman" w:hAnsi="Times New Roman"/>
          <w:sz w:val="24"/>
          <w:szCs w:val="24"/>
        </w:rPr>
        <w:t xml:space="preserve">Employees undergo mandatory annual training on anti-bribery and ethical behaviour. This ensures that governance and ethics are not just Board-level concepts, but are understood and practiced by staff at every level of the organisation.</w:t>
      </w:r>
    </w:p>
    <w:p>
      <w:pPr>
        <w:spacing w:after="150" w:before="300"/>
      </w:pPr>
      <w:r>
        <w:rPr>
          <w:rFonts w:ascii="Times New Roman" w:cs="Times New Roman" w:eastAsia="Times New Roman" w:hAnsi="Times New Roman"/>
          <w:b/>
          <w:bCs/>
          <w:sz w:val="28"/>
          <w:szCs w:val="28"/>
        </w:rPr>
        <w:t xml:space="preserve">4. Compliance and Governance Analysis</w:t>
      </w:r>
    </w:p>
    <w:p>
      <w:pPr>
        <w:spacing w:after="200" w:line="360"/>
        <w:jc w:val="both"/>
      </w:pPr>
      <w:r>
        <w:rPr>
          <w:rFonts w:ascii="Times New Roman" w:cs="Times New Roman" w:eastAsia="Times New Roman" w:hAnsi="Times New Roman"/>
          <w:sz w:val="24"/>
          <w:szCs w:val="24"/>
        </w:rPr>
        <w:t xml:space="preserve">TCS's governance framework is built to comply with the Companies Act, 2013, SEBI (Listing Obligations and Disclosure Requirements) Regulations, 2015, and international laws such as the U.S. Foreign Corrupt Practices Act and the UK Bribery Act 2010, given the company's global client base.</w:t>
      </w:r>
    </w:p>
    <w:p>
      <w:pPr>
        <w:spacing w:after="100" w:before="150"/>
      </w:pPr>
      <w:r>
        <w:rPr>
          <w:rFonts w:ascii="Times New Roman" w:cs="Times New Roman" w:eastAsia="Times New Roman" w:hAnsi="Times New Roman"/>
          <w:b/>
          <w:bCs/>
          <w:sz w:val="28"/>
          <w:szCs w:val="28"/>
        </w:rPr>
        <w:t xml:space="preserve">Governance Mechanisms</w:t>
      </w:r>
    </w:p>
    <w:p>
      <w:pPr>
        <w:pStyle w:val="ListParagraph"/>
        <w:numPr>
          <w:ilvl w:val="0"/>
          <w:numId w:val="1"/>
        </w:numPr>
        <w:spacing w:after="100" w:line="360"/>
      </w:pPr>
      <w:r>
        <w:rPr>
          <w:rFonts w:ascii="Times New Roman" w:cs="Times New Roman" w:eastAsia="Times New Roman" w:hAnsi="Times New Roman"/>
          <w:sz w:val="24"/>
          <w:szCs w:val="24"/>
        </w:rPr>
        <w:t xml:space="preserve">The Audit Committee, constituted under the Companies Act and SEBI regulations, oversees financial integrity and serious ethics complaints</w:t>
      </w:r>
    </w:p>
    <w:p>
      <w:pPr>
        <w:pStyle w:val="ListParagraph"/>
        <w:numPr>
          <w:ilvl w:val="0"/>
          <w:numId w:val="1"/>
        </w:numPr>
        <w:spacing w:after="100" w:line="360"/>
      </w:pPr>
      <w:r>
        <w:rPr>
          <w:rFonts w:ascii="Times New Roman" w:cs="Times New Roman" w:eastAsia="Times New Roman" w:hAnsi="Times New Roman"/>
          <w:sz w:val="24"/>
          <w:szCs w:val="24"/>
        </w:rPr>
        <w:t xml:space="preserve">A corporate compliance office monitors adherence to local and international laws across countries of operation</w:t>
      </w:r>
    </w:p>
    <w:p>
      <w:pPr>
        <w:pStyle w:val="ListParagraph"/>
        <w:numPr>
          <w:ilvl w:val="0"/>
          <w:numId w:val="1"/>
        </w:numPr>
        <w:spacing w:after="100" w:line="360"/>
      </w:pPr>
      <w:r>
        <w:rPr>
          <w:rFonts w:ascii="Times New Roman" w:cs="Times New Roman" w:eastAsia="Times New Roman" w:hAnsi="Times New Roman"/>
          <w:sz w:val="24"/>
          <w:szCs w:val="24"/>
        </w:rPr>
        <w:t xml:space="preserve">Local Ethics Counselors and Trusted Persons in different regions handle whistle-blower concerns confidentially</w:t>
      </w:r>
    </w:p>
    <w:p>
      <w:pPr>
        <w:pStyle w:val="ListParagraph"/>
        <w:numPr>
          <w:ilvl w:val="0"/>
          <w:numId w:val="1"/>
        </w:numPr>
        <w:spacing w:after="100" w:line="360"/>
      </w:pPr>
      <w:r>
        <w:rPr>
          <w:rFonts w:ascii="Times New Roman" w:cs="Times New Roman" w:eastAsia="Times New Roman" w:hAnsi="Times New Roman"/>
          <w:sz w:val="24"/>
          <w:szCs w:val="24"/>
        </w:rPr>
        <w:t xml:space="preserve">Formal disclosures are made to stock exchanges when major governance or ethics issues arise</w:t>
      </w:r>
    </w:p>
    <w:p>
      <w:pPr>
        <w:pStyle w:val="ListParagraph"/>
        <w:numPr>
          <w:ilvl w:val="0"/>
          <w:numId w:val="1"/>
        </w:numPr>
        <w:spacing w:after="100" w:line="360"/>
      </w:pPr>
      <w:r>
        <w:rPr>
          <w:rFonts w:ascii="Times New Roman" w:cs="Times New Roman" w:eastAsia="Times New Roman" w:hAnsi="Times New Roman"/>
          <w:sz w:val="24"/>
          <w:szCs w:val="24"/>
        </w:rPr>
        <w:t xml:space="preserve">The Board periodically reviews governance guidelines to keep them updated with regulatory changes</w:t>
      </w:r>
    </w:p>
    <w:p>
      <w:pPr>
        <w:spacing w:after="200" w:line="360"/>
        <w:jc w:val="both"/>
      </w:pPr>
      <w:r>
        <w:rPr>
          <w:rFonts w:ascii="Times New Roman" w:cs="Times New Roman" w:eastAsia="Times New Roman" w:hAnsi="Times New Roman"/>
          <w:sz w:val="24"/>
          <w:szCs w:val="24"/>
        </w:rPr>
        <w:t xml:space="preserve">This layered structure, combining Board oversight, an independent Audit Committee, regional ethics counselors, and mandatory disclosures, shows that TCS's governance system is designed to catch problems early and respond to them through a clear chain of accountability.</w:t>
      </w:r>
    </w:p>
    <w:p>
      <w:pPr>
        <w:spacing w:after="150" w:before="300"/>
      </w:pPr>
      <w:r>
        <w:rPr>
          <w:rFonts w:ascii="Times New Roman" w:cs="Times New Roman" w:eastAsia="Times New Roman" w:hAnsi="Times New Roman"/>
          <w:b/>
          <w:bCs/>
          <w:sz w:val="28"/>
          <w:szCs w:val="28"/>
        </w:rPr>
        <w:t xml:space="preserve">5. Policy Evaluation</w:t>
      </w:r>
    </w:p>
    <w:p>
      <w:pPr>
        <w:spacing w:after="100" w:before="150"/>
      </w:pPr>
      <w:r>
        <w:rPr>
          <w:rFonts w:ascii="Times New Roman" w:cs="Times New Roman" w:eastAsia="Times New Roman" w:hAnsi="Times New Roman"/>
          <w:b/>
          <w:bCs/>
          <w:sz w:val="28"/>
          <w:szCs w:val="28"/>
        </w:rPr>
        <w:t xml:space="preserve">Strengths</w:t>
      </w:r>
    </w:p>
    <w:p>
      <w:pPr>
        <w:pStyle w:val="ListParagraph"/>
        <w:numPr>
          <w:ilvl w:val="0"/>
          <w:numId w:val="1"/>
        </w:numPr>
        <w:spacing w:after="100" w:line="360"/>
      </w:pPr>
      <w:r>
        <w:rPr>
          <w:rFonts w:ascii="Times New Roman" w:cs="Times New Roman" w:eastAsia="Times New Roman" w:hAnsi="Times New Roman"/>
          <w:sz w:val="24"/>
          <w:szCs w:val="24"/>
        </w:rPr>
        <w:t xml:space="preserve">Clear reporting line from employees to the Chairman of the Audit Committee for serious concerns</w:t>
      </w:r>
    </w:p>
    <w:p>
      <w:pPr>
        <w:pStyle w:val="ListParagraph"/>
        <w:numPr>
          <w:ilvl w:val="0"/>
          <w:numId w:val="1"/>
        </w:numPr>
        <w:spacing w:after="100" w:line="360"/>
      </w:pPr>
      <w:r>
        <w:rPr>
          <w:rFonts w:ascii="Times New Roman" w:cs="Times New Roman" w:eastAsia="Times New Roman" w:hAnsi="Times New Roman"/>
          <w:sz w:val="24"/>
          <w:szCs w:val="24"/>
        </w:rPr>
        <w:t xml:space="preserve">Global consistency, since the same Code and Whistle Blower Policy apply across all countries of operation</w:t>
      </w:r>
    </w:p>
    <w:p>
      <w:pPr>
        <w:pStyle w:val="ListParagraph"/>
        <w:numPr>
          <w:ilvl w:val="0"/>
          <w:numId w:val="1"/>
        </w:numPr>
        <w:spacing w:after="100" w:line="360"/>
      </w:pPr>
      <w:r>
        <w:rPr>
          <w:rFonts w:ascii="Times New Roman" w:cs="Times New Roman" w:eastAsia="Times New Roman" w:hAnsi="Times New Roman"/>
          <w:sz w:val="24"/>
          <w:szCs w:val="24"/>
        </w:rPr>
        <w:t xml:space="preserve">Mandatory annual training keeps ethics awareness active rather than a one-time formality</w:t>
      </w:r>
    </w:p>
    <w:p>
      <w:pPr>
        <w:pStyle w:val="ListParagraph"/>
        <w:numPr>
          <w:ilvl w:val="0"/>
          <w:numId w:val="1"/>
        </w:numPr>
        <w:spacing w:after="100" w:line="360"/>
      </w:pPr>
      <w:r>
        <w:rPr>
          <w:rFonts w:ascii="Times New Roman" w:cs="Times New Roman" w:eastAsia="Times New Roman" w:hAnsi="Times New Roman"/>
          <w:sz w:val="24"/>
          <w:szCs w:val="24"/>
        </w:rPr>
        <w:t xml:space="preserve">Public disclosure of governance issues to stock exchanges supports transparency</w:t>
      </w:r>
    </w:p>
    <w:p>
      <w:pPr>
        <w:spacing w:after="100" w:before="150"/>
      </w:pPr>
      <w:r>
        <w:rPr>
          <w:rFonts w:ascii="Times New Roman" w:cs="Times New Roman" w:eastAsia="Times New Roman" w:hAnsi="Times New Roman"/>
          <w:b/>
          <w:bCs/>
          <w:sz w:val="28"/>
          <w:szCs w:val="28"/>
        </w:rPr>
        <w:t xml:space="preserve">Effectiveness and Practicality</w:t>
      </w:r>
    </w:p>
    <w:p>
      <w:pPr>
        <w:spacing w:after="200" w:line="360"/>
        <w:jc w:val="both"/>
      </w:pPr>
      <w:r>
        <w:rPr>
          <w:rFonts w:ascii="Times New Roman" w:cs="Times New Roman" w:eastAsia="Times New Roman" w:hAnsi="Times New Roman"/>
          <w:sz w:val="24"/>
          <w:szCs w:val="24"/>
        </w:rPr>
        <w:t xml:space="preserve">The framework's real test came with the 2023 bribe-for-jobs scandal, where an internal inquiry found employees involved in a cash-for-jobs scheme. TCS's response, dismissing the employees involved and disclosing the matter to stock exchanges, showed that its governance and whistle-blower mechanisms could detect and act on serious misconduct.</w:t>
      </w:r>
    </w:p>
    <w:p>
      <w:pPr>
        <w:spacing w:after="100" w:before="150"/>
      </w:pPr>
      <w:r>
        <w:rPr>
          <w:rFonts w:ascii="Times New Roman" w:cs="Times New Roman" w:eastAsia="Times New Roman" w:hAnsi="Times New Roman"/>
          <w:b/>
          <w:bCs/>
          <w:sz w:val="28"/>
          <w:szCs w:val="28"/>
        </w:rPr>
        <w:t xml:space="preserve">Gaps and Limitations</w:t>
      </w:r>
    </w:p>
    <w:p>
      <w:pPr>
        <w:pStyle w:val="ListParagraph"/>
        <w:numPr>
          <w:ilvl w:val="0"/>
          <w:numId w:val="1"/>
        </w:numPr>
        <w:spacing w:after="100" w:line="360"/>
      </w:pPr>
      <w:r>
        <w:rPr>
          <w:rFonts w:ascii="Times New Roman" w:cs="Times New Roman" w:eastAsia="Times New Roman" w:hAnsi="Times New Roman"/>
          <w:sz w:val="24"/>
          <w:szCs w:val="24"/>
        </w:rPr>
        <w:t xml:space="preserve">The scandal itself showed that internal controls did not fully prevent unethical behaviour before it caused reputational harm</w:t>
      </w:r>
    </w:p>
    <w:p>
      <w:pPr>
        <w:pStyle w:val="ListParagraph"/>
        <w:numPr>
          <w:ilvl w:val="0"/>
          <w:numId w:val="1"/>
        </w:numPr>
        <w:spacing w:after="100" w:line="360"/>
      </w:pPr>
      <w:r>
        <w:rPr>
          <w:rFonts w:ascii="Times New Roman" w:cs="Times New Roman" w:eastAsia="Times New Roman" w:hAnsi="Times New Roman"/>
          <w:sz w:val="24"/>
          <w:szCs w:val="24"/>
        </w:rPr>
        <w:t xml:space="preserve">Commentators noted the incident exposed gaps in TCS's governance and ethics framework that needed urgent attention</w:t>
      </w:r>
    </w:p>
    <w:p>
      <w:pPr>
        <w:pStyle w:val="ListParagraph"/>
        <w:numPr>
          <w:ilvl w:val="0"/>
          <w:numId w:val="1"/>
        </w:numPr>
        <w:spacing w:after="100" w:line="360"/>
      </w:pPr>
      <w:r>
        <w:rPr>
          <w:rFonts w:ascii="Times New Roman" w:cs="Times New Roman" w:eastAsia="Times New Roman" w:hAnsi="Times New Roman"/>
          <w:sz w:val="24"/>
          <w:szCs w:val="24"/>
        </w:rPr>
        <w:t xml:space="preserve">Employees may still hesitate to report senior colleagues despite confidentiality assurances</w:t>
      </w:r>
    </w:p>
    <w:p>
      <w:pPr>
        <w:spacing w:after="100" w:before="150"/>
      </w:pPr>
      <w:r>
        <w:rPr>
          <w:rFonts w:ascii="Times New Roman" w:cs="Times New Roman" w:eastAsia="Times New Roman" w:hAnsi="Times New Roman"/>
          <w:b/>
          <w:bCs/>
          <w:sz w:val="28"/>
          <w:szCs w:val="28"/>
        </w:rPr>
        <w:t xml:space="preserve">Comparison with Good Corporate Practice</w:t>
      </w:r>
    </w:p>
    <w:p>
      <w:pPr>
        <w:spacing w:after="200" w:line="360"/>
        <w:jc w:val="both"/>
      </w:pPr>
      <w:r>
        <w:rPr>
          <w:rFonts w:ascii="Times New Roman" w:cs="Times New Roman" w:eastAsia="Times New Roman" w:hAnsi="Times New Roman"/>
          <w:sz w:val="24"/>
          <w:szCs w:val="24"/>
        </w:rPr>
        <w:t xml:space="preserve">Compared to good corporate practice, TCS's willingness to investigate, take disciplinary action, and disclose the matter publicly is a positive sign of strong governance culture. Many companies avoid public disclosure of internal ethics failures, so TCS's transparency in this case compares favourably with common industry behaviour.</w:t>
      </w:r>
    </w:p>
    <w:p>
      <w:pPr>
        <w:spacing w:after="150" w:before="300"/>
      </w:pPr>
      <w:r>
        <w:rPr>
          <w:rFonts w:ascii="Times New Roman" w:cs="Times New Roman" w:eastAsia="Times New Roman" w:hAnsi="Times New Roman"/>
          <w:b/>
          <w:bCs/>
          <w:sz w:val="28"/>
          <w:szCs w:val="28"/>
        </w:rPr>
        <w:t xml:space="preserve">6. Business Relevance</w:t>
      </w:r>
    </w:p>
    <w:p>
      <w:pPr>
        <w:spacing w:after="200" w:line="360"/>
        <w:jc w:val="both"/>
      </w:pPr>
      <w:r>
        <w:rPr>
          <w:rFonts w:ascii="Times New Roman" w:cs="Times New Roman" w:eastAsia="Times New Roman" w:hAnsi="Times New Roman"/>
          <w:sz w:val="24"/>
          <w:szCs w:val="24"/>
        </w:rPr>
        <w:t xml:space="preserve">Corporate governance and ethics are central to how modern businesses operate, especially for a large, publicly listed company like TCS that depends on the trust of global clients, investors, and employees. Weak governance can lead to scandals that damage a company's reputation and share value almost overnight.</w:t>
      </w:r>
    </w:p>
    <w:p>
      <w:pPr>
        <w:spacing w:after="100" w:before="150"/>
      </w:pPr>
      <w:r>
        <w:rPr>
          <w:rFonts w:ascii="Times New Roman" w:cs="Times New Roman" w:eastAsia="Times New Roman" w:hAnsi="Times New Roman"/>
          <w:b/>
          <w:bCs/>
          <w:sz w:val="28"/>
          <w:szCs w:val="28"/>
        </w:rPr>
        <w:t xml:space="preserve">Impact on Stakeholders</w:t>
      </w:r>
    </w:p>
    <w:p>
      <w:pPr>
        <w:pStyle w:val="ListParagraph"/>
        <w:numPr>
          <w:ilvl w:val="0"/>
          <w:numId w:val="1"/>
        </w:numPr>
        <w:spacing w:after="100" w:line="360"/>
      </w:pPr>
      <w:r>
        <w:rPr>
          <w:rFonts w:ascii="Times New Roman" w:cs="Times New Roman" w:eastAsia="Times New Roman" w:hAnsi="Times New Roman"/>
          <w:sz w:val="24"/>
          <w:szCs w:val="24"/>
        </w:rPr>
        <w:t xml:space="preserve">Employees benefit from clear ethical standards and safe reporting channels</w:t>
      </w:r>
    </w:p>
    <w:p>
      <w:pPr>
        <w:pStyle w:val="ListParagraph"/>
        <w:numPr>
          <w:ilvl w:val="0"/>
          <w:numId w:val="1"/>
        </w:numPr>
        <w:spacing w:after="100" w:line="360"/>
      </w:pPr>
      <w:r>
        <w:rPr>
          <w:rFonts w:ascii="Times New Roman" w:cs="Times New Roman" w:eastAsia="Times New Roman" w:hAnsi="Times New Roman"/>
          <w:sz w:val="24"/>
          <w:szCs w:val="24"/>
        </w:rPr>
        <w:t xml:space="preserve">Clients gain confidence that TCS operates with integrity in its contracts and dealings</w:t>
      </w:r>
    </w:p>
    <w:p>
      <w:pPr>
        <w:pStyle w:val="ListParagraph"/>
        <w:numPr>
          <w:ilvl w:val="0"/>
          <w:numId w:val="1"/>
        </w:numPr>
        <w:spacing w:after="100" w:line="360"/>
      </w:pPr>
      <w:r>
        <w:rPr>
          <w:rFonts w:ascii="Times New Roman" w:cs="Times New Roman" w:eastAsia="Times New Roman" w:hAnsi="Times New Roman"/>
          <w:sz w:val="24"/>
          <w:szCs w:val="24"/>
        </w:rPr>
        <w:t xml:space="preserve">Shareholders benefit from reduced risk of fraud, penalties, and reputational loss</w:t>
      </w:r>
    </w:p>
    <w:p>
      <w:pPr>
        <w:pStyle w:val="ListParagraph"/>
        <w:numPr>
          <w:ilvl w:val="0"/>
          <w:numId w:val="1"/>
        </w:numPr>
        <w:spacing w:after="100" w:line="360"/>
      </w:pPr>
      <w:r>
        <w:rPr>
          <w:rFonts w:ascii="Times New Roman" w:cs="Times New Roman" w:eastAsia="Times New Roman" w:hAnsi="Times New Roman"/>
          <w:sz w:val="24"/>
          <w:szCs w:val="24"/>
        </w:rPr>
        <w:t xml:space="preserve">Regulators and the wider public see TCS as accountable and transparent</w:t>
      </w:r>
    </w:p>
    <w:p>
      <w:pPr>
        <w:spacing w:after="100" w:before="150"/>
      </w:pPr>
      <w:r>
        <w:rPr>
          <w:rFonts w:ascii="Times New Roman" w:cs="Times New Roman" w:eastAsia="Times New Roman" w:hAnsi="Times New Roman"/>
          <w:b/>
          <w:bCs/>
          <w:sz w:val="28"/>
          <w:szCs w:val="28"/>
        </w:rPr>
        <w:t xml:space="preserve">Contribution to Risk Management and Governance</w:t>
      </w:r>
    </w:p>
    <w:p>
      <w:pPr>
        <w:spacing w:after="200" w:line="360"/>
        <w:jc w:val="both"/>
      </w:pPr>
      <w:r>
        <w:rPr>
          <w:rFonts w:ascii="Times New Roman" w:cs="Times New Roman" w:eastAsia="Times New Roman" w:hAnsi="Times New Roman"/>
          <w:sz w:val="24"/>
          <w:szCs w:val="24"/>
        </w:rPr>
        <w:t xml:space="preserve">A strong governance and ethics framework reduces the risk of fraud, corruption, and regulatory penalties. It also builds long-term resilience, since a company that can detect and respond to misconduct, as TCS did in 2023, is better placed to maintain stakeholder trust than one that hides or ignores such issues.</w:t>
      </w:r>
    </w:p>
    <w:p>
      <w:pPr>
        <w:spacing w:after="150" w:before="300"/>
      </w:pPr>
      <w:r>
        <w:rPr>
          <w:rFonts w:ascii="Times New Roman" w:cs="Times New Roman" w:eastAsia="Times New Roman" w:hAnsi="Times New Roman"/>
          <w:b/>
          <w:bCs/>
          <w:sz w:val="28"/>
          <w:szCs w:val="28"/>
        </w:rPr>
        <w:t xml:space="preserve">7. Recommendations</w:t>
      </w:r>
    </w:p>
    <w:p>
      <w:pPr>
        <w:pStyle w:val="ListParagraph"/>
        <w:numPr>
          <w:ilvl w:val="0"/>
          <w:numId w:val="1"/>
        </w:numPr>
        <w:spacing w:after="100" w:line="360"/>
      </w:pPr>
      <w:r>
        <w:rPr>
          <w:rFonts w:ascii="Times New Roman" w:cs="Times New Roman" w:eastAsia="Times New Roman" w:hAnsi="Times New Roman"/>
          <w:sz w:val="24"/>
          <w:szCs w:val="24"/>
        </w:rPr>
        <w:t xml:space="preserve">Strengthen preventive controls in high-risk areas such as recruitment and vendor selection, where the 2023 scandal originated</w:t>
      </w:r>
    </w:p>
    <w:p>
      <w:pPr>
        <w:pStyle w:val="ListParagraph"/>
        <w:numPr>
          <w:ilvl w:val="0"/>
          <w:numId w:val="1"/>
        </w:numPr>
        <w:spacing w:after="100" w:line="360"/>
      </w:pPr>
      <w:r>
        <w:rPr>
          <w:rFonts w:ascii="Times New Roman" w:cs="Times New Roman" w:eastAsia="Times New Roman" w:hAnsi="Times New Roman"/>
          <w:sz w:val="24"/>
          <w:szCs w:val="24"/>
        </w:rPr>
        <w:t xml:space="preserve">Conduct more frequent, independent audits of business units that manage large vendor or staffing relationships</w:t>
      </w:r>
    </w:p>
    <w:p>
      <w:pPr>
        <w:pStyle w:val="ListParagraph"/>
        <w:numPr>
          <w:ilvl w:val="0"/>
          <w:numId w:val="1"/>
        </w:numPr>
        <w:spacing w:after="100" w:line="360"/>
      </w:pPr>
      <w:r>
        <w:rPr>
          <w:rFonts w:ascii="Times New Roman" w:cs="Times New Roman" w:eastAsia="Times New Roman" w:hAnsi="Times New Roman"/>
          <w:sz w:val="24"/>
          <w:szCs w:val="24"/>
        </w:rPr>
        <w:t xml:space="preserve">Offer stronger, visible protection for whistle-blowers who report against senior employees</w:t>
      </w:r>
    </w:p>
    <w:p>
      <w:pPr>
        <w:pStyle w:val="ListParagraph"/>
        <w:numPr>
          <w:ilvl w:val="0"/>
          <w:numId w:val="1"/>
        </w:numPr>
        <w:spacing w:after="100" w:line="360"/>
      </w:pPr>
      <w:r>
        <w:rPr>
          <w:rFonts w:ascii="Times New Roman" w:cs="Times New Roman" w:eastAsia="Times New Roman" w:hAnsi="Times New Roman"/>
          <w:sz w:val="24"/>
          <w:szCs w:val="24"/>
        </w:rPr>
        <w:t xml:space="preserve">Use data analytics to spot unusual patterns in hiring, vendor payments, or approvals that may signal misconduct</w:t>
      </w:r>
    </w:p>
    <w:p>
      <w:pPr>
        <w:pStyle w:val="ListParagraph"/>
        <w:numPr>
          <w:ilvl w:val="0"/>
          <w:numId w:val="1"/>
        </w:numPr>
        <w:spacing w:after="100" w:line="360"/>
      </w:pPr>
      <w:r>
        <w:rPr>
          <w:rFonts w:ascii="Times New Roman" w:cs="Times New Roman" w:eastAsia="Times New Roman" w:hAnsi="Times New Roman"/>
          <w:sz w:val="24"/>
          <w:szCs w:val="24"/>
        </w:rPr>
        <w:t xml:space="preserve">Continue transparent public disclosure of governance issues, as this builds long-term trust despite short-term reputational cost</w:t>
      </w:r>
    </w:p>
    <w:p>
      <w:pPr>
        <w:spacing w:after="150" w:before="300"/>
      </w:pPr>
      <w:r>
        <w:rPr>
          <w:rFonts w:ascii="Times New Roman" w:cs="Times New Roman" w:eastAsia="Times New Roman" w:hAnsi="Times New Roman"/>
          <w:b/>
          <w:bCs/>
          <w:sz w:val="28"/>
          <w:szCs w:val="28"/>
        </w:rPr>
        <w:t xml:space="preserve">8. Conclusion</w:t>
      </w:r>
    </w:p>
    <w:p>
      <w:pPr>
        <w:spacing w:after="200" w:line="360"/>
        <w:jc w:val="both"/>
      </w:pPr>
      <w:r>
        <w:rPr>
          <w:rFonts w:ascii="Times New Roman" w:cs="Times New Roman" w:eastAsia="Times New Roman" w:hAnsi="Times New Roman"/>
          <w:sz w:val="24"/>
          <w:szCs w:val="24"/>
        </w:rPr>
        <w:t xml:space="preserve">TCS's Corporate Governance and Ethics framework, built on the Tata Code of Conduct, Board oversight, and a global Whistle Blower Policy, provides a strong structure for accountability and ethical conduct. It is supported by clear reporting channels, mandatory training, and public disclosure requirements.</w:t>
      </w:r>
    </w:p>
    <w:p>
      <w:pPr>
        <w:spacing w:after="200" w:line="360"/>
        <w:jc w:val="both"/>
      </w:pPr>
      <w:r>
        <w:rPr>
          <w:rFonts w:ascii="Times New Roman" w:cs="Times New Roman" w:eastAsia="Times New Roman" w:hAnsi="Times New Roman"/>
          <w:sz w:val="24"/>
          <w:szCs w:val="24"/>
        </w:rPr>
        <w:t xml:space="preserve">From this review, it is clear that even a well-designed governance framework can face real test cases, as shown by the 2023 bribery scandal. What matters most is how a company responds when problems are found, and TCS's swift disciplinary action and transparent disclosure reflect a governance culture that takes ethics seriously rather than merely on paper.</w:t>
      </w:r>
    </w:p>
    <w:p>
      <w:pPr>
        <w:spacing w:after="200" w:line="360"/>
        <w:jc w:val="both"/>
      </w:pPr>
      <w:r>
        <w:rPr>
          <w:rFonts w:ascii="Times New Roman" w:cs="Times New Roman" w:eastAsia="Times New Roman" w:hAnsi="Times New Roman"/>
          <w:sz w:val="24"/>
          <w:szCs w:val="24"/>
        </w:rPr>
        <w:t xml:space="preserve">Overall, this review highlights that strong corporate governance and ethics policies are essential for protecting stakeholder interests, managing risk, and maintaining long-term trust in any large, publicly listed organisation.</w:t>
      </w:r>
    </w:p>
    <w:p>
      <w:pPr>
        <w:spacing w:after="150" w:before="300"/>
      </w:pPr>
      <w:r>
        <w:rPr>
          <w:rFonts w:ascii="Times New Roman" w:cs="Times New Roman" w:eastAsia="Times New Roman" w:hAnsi="Times New Roman"/>
          <w:b/>
          <w:bCs/>
          <w:sz w:val="28"/>
          <w:szCs w:val="28"/>
        </w:rPr>
        <w:t xml:space="preserve">9. References</w:t>
      </w:r>
    </w:p>
    <w:p>
      <w:pPr>
        <w:pStyle w:val="ListParagraph"/>
        <w:numPr>
          <w:ilvl w:val="0"/>
          <w:numId w:val="1"/>
        </w:numPr>
        <w:spacing w:after="100" w:line="360"/>
      </w:pPr>
      <w:r>
        <w:rPr>
          <w:rFonts w:ascii="Times New Roman" w:cs="Times New Roman" w:eastAsia="Times New Roman" w:hAnsi="Times New Roman"/>
          <w:sz w:val="24"/>
          <w:szCs w:val="24"/>
        </w:rPr>
        <w:t xml:space="preserve">Tata Consultancy Services. Tata Code of Conduct. Available at: https://www.tcs.com/tata-code-of-conduct</w:t>
      </w:r>
    </w:p>
    <w:p>
      <w:pPr>
        <w:pStyle w:val="ListParagraph"/>
        <w:numPr>
          <w:ilvl w:val="0"/>
          <w:numId w:val="1"/>
        </w:numPr>
        <w:spacing w:after="100" w:line="360"/>
      </w:pPr>
      <w:r>
        <w:rPr>
          <w:rFonts w:ascii="Times New Roman" w:cs="Times New Roman" w:eastAsia="Times New Roman" w:hAnsi="Times New Roman"/>
          <w:sz w:val="24"/>
          <w:szCs w:val="24"/>
        </w:rPr>
        <w:t xml:space="preserve">Tata Consultancy Services. TCS Global Whistle Blower Policy, Version 9.0.</w:t>
      </w:r>
    </w:p>
    <w:p>
      <w:pPr>
        <w:pStyle w:val="ListParagraph"/>
        <w:numPr>
          <w:ilvl w:val="0"/>
          <w:numId w:val="1"/>
        </w:numPr>
        <w:spacing w:after="100" w:line="360"/>
      </w:pPr>
      <w:r>
        <w:rPr>
          <w:rFonts w:ascii="Times New Roman" w:cs="Times New Roman" w:eastAsia="Times New Roman" w:hAnsi="Times New Roman"/>
          <w:sz w:val="24"/>
          <w:szCs w:val="24"/>
        </w:rPr>
        <w:t xml:space="preserve">Tata Consultancy Services. Growth Strategy and Compliance Disclosures. Available at: https://tcs.com/growth-strategy</w:t>
      </w:r>
    </w:p>
    <w:p>
      <w:pPr>
        <w:pStyle w:val="ListParagraph"/>
        <w:numPr>
          <w:ilvl w:val="0"/>
          <w:numId w:val="1"/>
        </w:numPr>
        <w:spacing w:after="100" w:line="360"/>
      </w:pPr>
      <w:r>
        <w:rPr>
          <w:rFonts w:ascii="Times New Roman" w:cs="Times New Roman" w:eastAsia="Times New Roman" w:hAnsi="Times New Roman"/>
          <w:sz w:val="24"/>
          <w:szCs w:val="24"/>
        </w:rPr>
        <w:t xml:space="preserve">India CSR. "How the TCS Bribe-for-Job Scandal Exposes the Need for Better Corporate Governance and Ethics," June 2023.</w:t>
      </w:r>
    </w:p>
    <w:p>
      <w:pPr>
        <w:pStyle w:val="ListParagraph"/>
        <w:numPr>
          <w:ilvl w:val="0"/>
          <w:numId w:val="1"/>
        </w:numPr>
        <w:spacing w:after="100" w:line="360"/>
      </w:pPr>
      <w:r>
        <w:rPr>
          <w:rFonts w:ascii="Times New Roman" w:cs="Times New Roman" w:eastAsia="Times New Roman" w:hAnsi="Times New Roman"/>
          <w:sz w:val="24"/>
          <w:szCs w:val="24"/>
        </w:rPr>
        <w:t xml:space="preserve">Companies Act, 2013 and SEBI (Listing Obligations and Disclosure Requirements) Regulations, 2015.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2026-09-25T09:02:19.619Z</dcterms:created>
  <dcterms:modified xsi:type="dcterms:W3CDTF">2026-09-25T09:02:19.626Z</dcterms:modified>
</cp:coreProperties>
</file>

<file path=docProps/custom.xml><?xml version="1.0" encoding="utf-8"?>
<Properties xmlns="http://schemas.openxmlformats.org/officeDocument/2006/custom-properties" xmlns:vt="http://schemas.openxmlformats.org/officeDocument/2006/docPropsVTypes"/>
</file>