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CE02A">
      <w:pPr>
        <w:pStyle w:val="2"/>
        <w:jc w:val="center"/>
      </w:pPr>
      <w:r>
        <w:t>IBM HR Analytics Dashboard</w:t>
      </w:r>
    </w:p>
    <w:p w14:paraId="4BF0BA12">
      <w:pPr>
        <w:pStyle w:val="3"/>
      </w:pPr>
      <w:r>
        <w:t>Business Problem</w:t>
      </w:r>
    </w:p>
    <w:p w14:paraId="32330F56">
      <w:r>
        <w:t>Employee attrition increases recruitment costs, reduces productivity, and affects business performance. This project analyzes IBM HR employee data using SQL, Python, and Power BI to identify the factors influencing employee attrition and provide actionable recommendations.</w:t>
      </w:r>
    </w:p>
    <w:p w14:paraId="5C2A87E3">
      <w:pPr>
        <w:pStyle w:val="3"/>
      </w:pPr>
      <w:r>
        <w:t>Project Objectives</w:t>
      </w:r>
    </w:p>
    <w:p w14:paraId="590BF35C">
      <w:pPr>
        <w:pStyle w:val="23"/>
      </w:pPr>
      <w:r>
        <w:t>Analyze employee attrition trends.</w:t>
      </w:r>
    </w:p>
    <w:p w14:paraId="29A5BC9D">
      <w:pPr>
        <w:pStyle w:val="23"/>
      </w:pPr>
      <w:r>
        <w:t>Identify departments and job roles with high attrition.</w:t>
      </w:r>
    </w:p>
    <w:p w14:paraId="30848EC0">
      <w:pPr>
        <w:pStyle w:val="23"/>
      </w:pPr>
      <w:r>
        <w:t>Build an interactive Power BI dashboard.</w:t>
      </w:r>
    </w:p>
    <w:p w14:paraId="3C3A39E0">
      <w:pPr>
        <w:pStyle w:val="23"/>
      </w:pPr>
      <w:r>
        <w:t>Provide business recommendations.</w:t>
      </w:r>
    </w:p>
    <w:p w14:paraId="5BE2A194">
      <w:pPr>
        <w:pStyle w:val="3"/>
      </w:pPr>
      <w:r>
        <w:t>Dataset Information</w:t>
      </w:r>
    </w:p>
    <w:tbl>
      <w:tblPr>
        <w:tblStyle w:val="12"/>
        <w:tblW w:w="0" w:type="auto"/>
        <w:jc w:val="center"/>
        <w:tblLayout w:type="autofit"/>
        <w:tblCellMar>
          <w:top w:w="0" w:type="dxa"/>
          <w:left w:w="108" w:type="dxa"/>
          <w:bottom w:w="0" w:type="dxa"/>
          <w:right w:w="108" w:type="dxa"/>
        </w:tblCellMar>
      </w:tblPr>
      <w:tblGrid>
        <w:gridCol w:w="4320"/>
        <w:gridCol w:w="4320"/>
      </w:tblGrid>
      <w:tr w14:paraId="517BCADE">
        <w:tblPrEx>
          <w:tblCellMar>
            <w:top w:w="0" w:type="dxa"/>
            <w:left w:w="108" w:type="dxa"/>
            <w:bottom w:w="0" w:type="dxa"/>
            <w:right w:w="108" w:type="dxa"/>
          </w:tblCellMar>
        </w:tblPrEx>
        <w:trPr>
          <w:jc w:val="center"/>
        </w:trPr>
        <w:tc>
          <w:tcPr>
            <w:tcW w:w="4320" w:type="dxa"/>
          </w:tcPr>
          <w:p w14:paraId="46259B95">
            <w:r>
              <w:t>Item</w:t>
            </w:r>
          </w:p>
        </w:tc>
        <w:tc>
          <w:tcPr>
            <w:tcW w:w="4320" w:type="dxa"/>
          </w:tcPr>
          <w:p w14:paraId="10ACE024">
            <w:r>
              <w:t>Details</w:t>
            </w:r>
          </w:p>
        </w:tc>
      </w:tr>
      <w:tr w14:paraId="2EFAF212">
        <w:tblPrEx>
          <w:tblCellMar>
            <w:top w:w="0" w:type="dxa"/>
            <w:left w:w="108" w:type="dxa"/>
            <w:bottom w:w="0" w:type="dxa"/>
            <w:right w:w="108" w:type="dxa"/>
          </w:tblCellMar>
        </w:tblPrEx>
        <w:trPr>
          <w:jc w:val="center"/>
        </w:trPr>
        <w:tc>
          <w:tcPr>
            <w:tcW w:w="4320" w:type="dxa"/>
          </w:tcPr>
          <w:p w14:paraId="09D8A5AB">
            <w:r>
              <w:t>Dataset</w:t>
            </w:r>
          </w:p>
        </w:tc>
        <w:tc>
          <w:tcPr>
            <w:tcW w:w="4320" w:type="dxa"/>
          </w:tcPr>
          <w:p w14:paraId="0E0A84FB">
            <w:r>
              <w:t>IBM HR Analytics</w:t>
            </w:r>
          </w:p>
        </w:tc>
      </w:tr>
      <w:tr w14:paraId="5212C9E4">
        <w:tblPrEx>
          <w:tblCellMar>
            <w:top w:w="0" w:type="dxa"/>
            <w:left w:w="108" w:type="dxa"/>
            <w:bottom w:w="0" w:type="dxa"/>
            <w:right w:w="108" w:type="dxa"/>
          </w:tblCellMar>
        </w:tblPrEx>
        <w:trPr>
          <w:jc w:val="center"/>
        </w:trPr>
        <w:tc>
          <w:tcPr>
            <w:tcW w:w="4320" w:type="dxa"/>
          </w:tcPr>
          <w:p w14:paraId="7252DFE4">
            <w:r>
              <w:t>Source</w:t>
            </w:r>
          </w:p>
        </w:tc>
        <w:tc>
          <w:tcPr>
            <w:tcW w:w="4320" w:type="dxa"/>
          </w:tcPr>
          <w:p w14:paraId="30ADB9FC">
            <w:r>
              <w:t>Kaggle</w:t>
            </w:r>
          </w:p>
        </w:tc>
      </w:tr>
      <w:tr w14:paraId="412BB1DC">
        <w:tblPrEx>
          <w:tblCellMar>
            <w:top w:w="0" w:type="dxa"/>
            <w:left w:w="108" w:type="dxa"/>
            <w:bottom w:w="0" w:type="dxa"/>
            <w:right w:w="108" w:type="dxa"/>
          </w:tblCellMar>
        </w:tblPrEx>
        <w:trPr>
          <w:jc w:val="center"/>
        </w:trPr>
        <w:tc>
          <w:tcPr>
            <w:tcW w:w="4320" w:type="dxa"/>
          </w:tcPr>
          <w:p w14:paraId="1DDED1F4">
            <w:r>
              <w:t>Records</w:t>
            </w:r>
          </w:p>
        </w:tc>
        <w:tc>
          <w:tcPr>
            <w:tcW w:w="4320" w:type="dxa"/>
          </w:tcPr>
          <w:p w14:paraId="61E33D76">
            <w:r>
              <w:t>1,470</w:t>
            </w:r>
          </w:p>
        </w:tc>
      </w:tr>
      <w:tr w14:paraId="1ADC208D">
        <w:tblPrEx>
          <w:tblCellMar>
            <w:top w:w="0" w:type="dxa"/>
            <w:left w:w="108" w:type="dxa"/>
            <w:bottom w:w="0" w:type="dxa"/>
            <w:right w:w="108" w:type="dxa"/>
          </w:tblCellMar>
        </w:tblPrEx>
        <w:trPr>
          <w:jc w:val="center"/>
        </w:trPr>
        <w:tc>
          <w:tcPr>
            <w:tcW w:w="4320" w:type="dxa"/>
          </w:tcPr>
          <w:p w14:paraId="14906D14">
            <w:r>
              <w:t>Columns</w:t>
            </w:r>
          </w:p>
        </w:tc>
        <w:tc>
          <w:tcPr>
            <w:tcW w:w="4320" w:type="dxa"/>
          </w:tcPr>
          <w:p w14:paraId="2C7BF51B">
            <w:r>
              <w:t>35</w:t>
            </w:r>
          </w:p>
        </w:tc>
      </w:tr>
      <w:tr w14:paraId="2109063C">
        <w:tblPrEx>
          <w:tblCellMar>
            <w:top w:w="0" w:type="dxa"/>
            <w:left w:w="108" w:type="dxa"/>
            <w:bottom w:w="0" w:type="dxa"/>
            <w:right w:w="108" w:type="dxa"/>
          </w:tblCellMar>
        </w:tblPrEx>
        <w:trPr>
          <w:jc w:val="center"/>
        </w:trPr>
        <w:tc>
          <w:tcPr>
            <w:tcW w:w="4320" w:type="dxa"/>
          </w:tcPr>
          <w:p w14:paraId="4B03C8AA">
            <w:r>
              <w:t>Target</w:t>
            </w:r>
          </w:p>
        </w:tc>
        <w:tc>
          <w:tcPr>
            <w:tcW w:w="4320" w:type="dxa"/>
          </w:tcPr>
          <w:p w14:paraId="68BB4BED">
            <w:r>
              <w:t>Attrition</w:t>
            </w:r>
          </w:p>
        </w:tc>
      </w:tr>
    </w:tbl>
    <w:p w14:paraId="59556824">
      <w:pPr>
        <w:pStyle w:val="3"/>
      </w:pPr>
      <w:r>
        <w:t>Technology Stack</w:t>
      </w:r>
    </w:p>
    <w:p w14:paraId="271D8716">
      <w:pPr>
        <w:pStyle w:val="23"/>
      </w:pPr>
      <w:r>
        <w:t>SQL</w:t>
      </w:r>
    </w:p>
    <w:p w14:paraId="46767403">
      <w:pPr>
        <w:pStyle w:val="23"/>
      </w:pPr>
      <w:r>
        <w:t>Python</w:t>
      </w:r>
    </w:p>
    <w:p w14:paraId="57F095D9">
      <w:pPr>
        <w:pStyle w:val="23"/>
      </w:pPr>
      <w:r>
        <w:t>Pandas</w:t>
      </w:r>
    </w:p>
    <w:p w14:paraId="4A218EC3">
      <w:pPr>
        <w:pStyle w:val="23"/>
      </w:pPr>
      <w:r>
        <w:t>Power BI</w:t>
      </w:r>
    </w:p>
    <w:p w14:paraId="5CCD784B">
      <w:pPr>
        <w:pStyle w:val="23"/>
      </w:pPr>
      <w:r>
        <w:t>DAX</w:t>
      </w:r>
    </w:p>
    <w:p w14:paraId="7714383A">
      <w:pPr>
        <w:pStyle w:val="23"/>
      </w:pPr>
      <w:r>
        <w:t>Git &amp; GitHub</w:t>
      </w:r>
    </w:p>
    <w:p w14:paraId="23CB844B">
      <w:r>
        <w:br w:type="page"/>
      </w:r>
    </w:p>
    <w:p w14:paraId="2EF3DF8C">
      <w:pPr>
        <w:pStyle w:val="2"/>
      </w:pPr>
      <w:r>
        <w:t>Key Business Insights</w:t>
      </w:r>
    </w:p>
    <w:p w14:paraId="1EE609FB">
      <w:pPr>
        <w:pStyle w:val="23"/>
      </w:pPr>
      <w:r>
        <w:t>Sales department has the highest employee attrition.</w:t>
      </w:r>
    </w:p>
    <w:p w14:paraId="18C42597">
      <w:pPr>
        <w:pStyle w:val="23"/>
      </w:pPr>
      <w:r>
        <w:t>Sales Representatives and Laboratory Technicians show the highest attrition.</w:t>
      </w:r>
    </w:p>
    <w:p w14:paraId="1E37AD6A">
      <w:pPr>
        <w:pStyle w:val="23"/>
      </w:pPr>
      <w:r>
        <w:t>Employees with lower monthly income are more likely to leave.</w:t>
      </w:r>
    </w:p>
    <w:p w14:paraId="40109260">
      <w:pPr>
        <w:pStyle w:val="23"/>
      </w:pPr>
      <w:r>
        <w:t>Lower job satisfaction is associated with higher attrition.</w:t>
      </w:r>
    </w:p>
    <w:p w14:paraId="3170DDDD">
      <w:pPr>
        <w:pStyle w:val="23"/>
      </w:pPr>
      <w:r>
        <w:t>Employees with fewer years at the company have higher attrition.</w:t>
      </w:r>
    </w:p>
    <w:p w14:paraId="4B1611E2">
      <w:pPr>
        <w:pStyle w:val="3"/>
      </w:pPr>
      <w:r>
        <w:t>Business Recommendations</w:t>
      </w:r>
    </w:p>
    <w:p w14:paraId="4A8E9707">
      <w:pPr>
        <w:pStyle w:val="23"/>
      </w:pPr>
      <w:r>
        <w:t>Improve onboarding for new employees.</w:t>
      </w:r>
    </w:p>
    <w:p w14:paraId="5BCBE963">
      <w:pPr>
        <w:pStyle w:val="23"/>
      </w:pPr>
      <w:r>
        <w:t>Review compensation for high-risk job roles.</w:t>
      </w:r>
    </w:p>
    <w:p w14:paraId="3E178AF6">
      <w:pPr>
        <w:pStyle w:val="23"/>
      </w:pPr>
      <w:r>
        <w:t>Conduct regular employee satisfaction surveys.</w:t>
      </w:r>
    </w:p>
    <w:p w14:paraId="2B81198F">
      <w:pPr>
        <w:pStyle w:val="23"/>
      </w:pPr>
      <w:r>
        <w:t>Provide career growth and learning opportunities.</w:t>
      </w:r>
    </w:p>
    <w:p w14:paraId="2FAA130D">
      <w:pPr>
        <w:pStyle w:val="23"/>
      </w:pPr>
      <w:r>
        <w:t>Monitor attrition regularly using HR dashboards.</w:t>
      </w:r>
    </w:p>
    <w:p w14:paraId="59549886">
      <w:pPr>
        <w:pStyle w:val="3"/>
      </w:pPr>
      <w:r>
        <w:t>Conclusion</w:t>
      </w:r>
    </w:p>
    <w:p w14:paraId="073E2EED">
      <w:r>
        <w:t>This project demonstrates how SQL, Python, and Power BI can transform HR data into actionable insights that support better workforce planning and employee retention.</w:t>
      </w:r>
    </w:p>
    <w:p w14:paraId="244B1CAD">
      <w:pPr>
        <w:pStyle w:val="3"/>
      </w:pPr>
      <w:r>
        <w:t>Dashboard Screenshot</w:t>
      </w:r>
    </w:p>
    <w:p w14:paraId="0281BD20">
      <w:pPr>
        <w:rPr>
          <w:rFonts w:hint="default"/>
          <w:lang w:val="en-US"/>
        </w:rPr>
      </w:pPr>
      <w:bookmarkStart w:id="0" w:name="_GoBack"/>
      <w:r>
        <w:rPr>
          <w:rFonts w:hint="default"/>
          <w:lang w:val="en-US"/>
        </w:rPr>
        <w:drawing>
          <wp:inline distT="0" distB="0" distL="114300" distR="114300">
            <wp:extent cx="5478780" cy="3078480"/>
            <wp:effectExtent l="0" t="0" r="7620" b="0"/>
            <wp:docPr id="1" name="Picture 1"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shboard"/>
                    <pic:cNvPicPr>
                      <a:picLocks noChangeAspect="1"/>
                    </pic:cNvPicPr>
                  </pic:nvPicPr>
                  <pic:blipFill>
                    <a:blip r:embed="rId6"/>
                    <a:stretch>
                      <a:fillRect/>
                    </a:stretch>
                  </pic:blipFill>
                  <pic:spPr>
                    <a:xfrm>
                      <a:off x="0" y="0"/>
                      <a:ext cx="5478780" cy="3078480"/>
                    </a:xfrm>
                    <a:prstGeom prst="rect">
                      <a:avLst/>
                    </a:prstGeom>
                  </pic:spPr>
                </pic:pic>
              </a:graphicData>
            </a:graphic>
          </wp:inline>
        </w:drawing>
      </w:r>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CANDY INC."/>
    <w:panose1 w:val="00000000000000000000"/>
    <w:charset w:val="00"/>
    <w:family w:val="auto"/>
    <w:pitch w:val="default"/>
    <w:sig w:usb0="00000000" w:usb1="00000000" w:usb2="00000000" w:usb3="00000000" w:csb0="00000000" w:csb1="00000000"/>
  </w:font>
  <w:font w:name="CANDY INC.">
    <w:panose1 w:val="02000400000000000000"/>
    <w:charset w:val="00"/>
    <w:family w:val="auto"/>
    <w:pitch w:val="default"/>
    <w:sig w:usb0="80000027"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B27C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205</Words>
  <Characters>1332</Characters>
  <Lines>0</Lines>
  <Paragraphs>0</Paragraphs>
  <TotalTime>1</TotalTime>
  <ScaleCrop>false</ScaleCrop>
  <LinksUpToDate>false</LinksUpToDate>
  <CharactersWithSpaces>1493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Walter White</cp:lastModifiedBy>
  <dcterms:modified xsi:type="dcterms:W3CDTF">2026-07-08T07:58:55Z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eyJoZGlkIjoiYzNmZmNhOTY2Mzc2ZjI5MWNiYTRhZjQwNWE3ZTNmYWQiLCJ1c2VySWQiOiI1Njc2NTMyNzAzNjIifQ==</vt:lpwstr>
  </property>
  <property fmtid="{D5CDD505-2E9C-101B-9397-08002B2CF9AE}" pid="3" name="KSOProductBuildVer">
    <vt:lpwstr>1033-12.1.0.26880</vt:lpwstr>
  </property>
  <property fmtid="{D5CDD505-2E9C-101B-9397-08002B2CF9AE}" pid="4" name="ICV">
    <vt:lpwstr>7758493A54534CA395F7F417FA071ADB_12</vt:lpwstr>
  </property>
</Properties>
</file>