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28"/>
          <w:szCs w:val="28"/>
        </w:rPr>
        <w:t xml:space="preserve">BUSINESS ANALYSIS</w:t>
      </w:r>
    </w:p>
    <w:p>
      <w:pPr>
        <w:spacing w:after="100"/>
        <w:jc w:val="center"/>
      </w:pPr>
      <w:r>
        <w:rPr>
          <w:rFonts w:ascii="Arial" w:cs="Arial" w:eastAsia="Arial" w:hAnsi="Arial"/>
          <w:b/>
          <w:bCs/>
          <w:color w:val="1F4E79"/>
          <w:sz w:val="48"/>
          <w:szCs w:val="48"/>
        </w:rPr>
        <w:t xml:space="preserve">Problem Statement &amp; Business Case</w:t>
      </w:r>
    </w:p>
    <w:p>
      <w:pPr>
        <w:pBdr>
          <w:bottom w:val="single" w:color="2E75B6" w:sz="6" w:space="8"/>
        </w:pBdr>
        <w:spacing w:after="400"/>
        <w:jc w:val="center"/>
      </w:pPr>
    </w:p>
    <w:p>
      <w:pPr>
        <w:spacing w:after="120"/>
        <w:jc w:val="center"/>
      </w:pPr>
      <w:r>
        <w:rPr>
          <w:rFonts w:ascii="Arial" w:cs="Arial" w:eastAsia="Arial" w:hAnsi="Arial"/>
          <w:color w:val="404040"/>
          <w:sz w:val="26"/>
          <w:szCs w:val="26"/>
        </w:rPr>
        <w:t xml:space="preserve">UK High Street Retail Footfall Decline:</w:t>
      </w:r>
    </w:p>
    <w:p>
      <w:pPr>
        <w:spacing w:after="600"/>
        <w:jc w:val="center"/>
      </w:pPr>
      <w:r>
        <w:rPr>
          <w:rFonts w:ascii="Arial" w:cs="Arial" w:eastAsia="Arial" w:hAnsi="Arial"/>
          <w:color w:val="404040"/>
          <w:sz w:val="26"/>
          <w:szCs w:val="26"/>
        </w:rPr>
        <w:t xml:space="preserve">Data-Driven Analysis for Mid-Size Retailers</w:t>
      </w:r>
    </w:p>
    <w:p>
      <w:pPr>
        <w:spacing w:before="4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b/>
                <w:bCs/>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Manoj [Surname]</w:t>
            </w:r>
          </w:p>
        </w:tc>
      </w:tr>
      <w:tr>
        <w:tc>
          <w:tcPr>
            <w:tcW w:type="dxa" w:w="20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0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b/>
                <w:bCs/>
                <w:sz w:val="20"/>
                <w:szCs w:val="20"/>
              </w:rPr>
              <w:t xml:space="preserve">Domain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UK Retail / High Street Performance</w:t>
            </w:r>
          </w:p>
        </w:tc>
      </w:tr>
    </w:tbl>
    <w:p>
      <w:pPr>
        <w:spacing w:before="2000"/>
      </w:pPr>
    </w:p>
    <w:p>
      <w:pPr>
        <w:jc w:val="center"/>
      </w:pPr>
      <w:r>
        <w:rPr>
          <w:rFonts w:ascii="Arial" w:cs="Arial" w:eastAsia="Arial" w:hAnsi="Arial"/>
          <w:i/>
          <w:iCs/>
          <w:color w:val="808080"/>
          <w:sz w:val="18"/>
          <w:szCs w:val="18"/>
        </w:rPr>
        <w:t xml:space="preserve">This document is part of a Business Analysis portfolio project.</w:t>
      </w:r>
    </w:p>
    <w:p>
      <w:pPr>
        <w:jc w:val="center"/>
      </w:pPr>
      <w:r>
        <w:rPr>
          <w:rFonts w:ascii="Arial" w:cs="Arial" w:eastAsia="Arial" w:hAnsi="Arial"/>
          <w:i/>
          <w:iCs/>
          <w:color w:val="808080"/>
          <w:sz w:val="18"/>
          <w:szCs w:val="18"/>
        </w:rPr>
        <w:t xml:space="preserve">All data used is publicly available from UK government and research sources.</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i w:val="false"/>
          <w:iCs w:val="false"/>
          <w:sz w:val="22"/>
          <w:szCs w:val="22"/>
        </w:rPr>
        <w:t xml:space="preserve">UK high street retailers are experiencing a sustained decline in physical store footfall, accelerated by the shift to online shopping and compounded by cost-of-living pressures on consumer spending. This trend directly impacts revenue, staffing decisions, and long-term store portfolio strategy for mid-size retailers operating in the non-food segment.</w:t>
      </w:r>
    </w:p>
    <w:p>
      <w:pPr>
        <w:spacing w:after="120"/>
      </w:pPr>
      <w:r>
        <w:rPr>
          <w:rFonts w:ascii="Arial" w:cs="Arial" w:eastAsia="Arial" w:hAnsi="Arial"/>
          <w:i w:val="false"/>
          <w:iCs w:val="false"/>
          <w:sz w:val="22"/>
          <w:szCs w:val="22"/>
        </w:rPr>
        <w:t xml:space="preserve">This analysis uses publicly available ONS retail sales data and high street recovery metrics to quantify the scale of the decline, identify the sectors most affected, and produce actionable recommendations that a mid-size retailer could implement to adapt its in-store strategy.</w:t>
      </w:r>
    </w:p>
    <w:p>
      <w:r>
        <w:br w:type="page"/>
      </w:r>
    </w:p>
    <w:p>
      <w:pPr>
        <w:pStyle w:val="Heading1"/>
      </w:pPr>
      <w:r>
        <w:t xml:space="preserve">2. Problem Definition</w:t>
      </w:r>
    </w:p>
    <w:p>
      <w:pPr>
        <w:pStyle w:val="Heading2"/>
      </w:pPr>
      <w:r>
        <w:t xml:space="preserve">2.1 Background</w:t>
      </w:r>
    </w:p>
    <w:p>
      <w:pPr>
        <w:spacing w:after="120"/>
      </w:pPr>
      <w:r>
        <w:rPr>
          <w:rFonts w:ascii="Arial" w:cs="Arial" w:eastAsia="Arial" w:hAnsi="Arial"/>
          <w:i w:val="false"/>
          <w:iCs w:val="false"/>
          <w:sz w:val="22"/>
          <w:szCs w:val="22"/>
        </w:rPr>
        <w:t xml:space="preserve">Between 2019 and 2025, the proportion of UK retail sales conducted online grew from approximately 19% to over 27%, according to ONS data. While the pandemic initially drove this shift, online sales have remained structurally higher even as physical stores reopened. For non-food retailers — particularly those in household goods, textiles, and general merchandise — this shift has resulted in fewer in-store customers, lower conversion rates, and increasing pressure on store-level profitability.</w:t>
      </w:r>
    </w:p>
    <w:p>
      <w:pPr>
        <w:spacing w:after="120"/>
      </w:pPr>
      <w:r>
        <w:rPr>
          <w:rFonts w:ascii="Arial" w:cs="Arial" w:eastAsia="Arial" w:hAnsi="Arial"/>
          <w:i w:val="false"/>
          <w:iCs w:val="false"/>
          <w:sz w:val="22"/>
          <w:szCs w:val="22"/>
        </w:rPr>
        <w:t xml:space="preserve">Mid-size retailers (typically 50–500 stores) face a particular challenge: they lack the scale to invest heavily in omnichannel technology, but are too large to rely on niche or local customer loyalty alone. Their strategic decisions — which stores to keep, how to allocate staff, what product mix to prioritise in-store — increasingly depend on understanding footfall trends at a granular level.</w:t>
      </w:r>
    </w:p>
    <w:p>
      <w:pPr>
        <w:pStyle w:val="Heading2"/>
      </w:pPr>
      <w:r>
        <w:t xml:space="preserve">2.2 Problem Statement</w:t>
      </w:r>
    </w:p>
    <w:p>
      <w:pPr>
        <w:spacing w:after="120"/>
      </w:pPr>
      <w:r>
        <w:rPr>
          <w:rFonts w:ascii="Arial" w:cs="Arial" w:eastAsia="Arial" w:hAnsi="Arial"/>
          <w:i w:val="false"/>
          <w:iCs w:val="false"/>
          <w:sz w:val="22"/>
          <w:szCs w:val="22"/>
        </w:rPr>
        <w:t xml:space="preserve">Mid-size UK non-food retailers lack a clear, data-driven framework for understanding how footfall decline varies by retail sub-sector and time period, and what operational adjustments would most effectively protect in-store revenue in the context of a permanent shift toward online purchasing.</w:t>
      </w:r>
    </w:p>
    <w:p>
      <w:pPr>
        <w:pStyle w:val="Heading2"/>
      </w:pPr>
      <w:r>
        <w:t xml:space="preserve">2.3 Business Impact</w:t>
      </w:r>
    </w:p>
    <w:p>
      <w:pPr>
        <w:pStyle w:val="ListParagraph"/>
        <w:numPr>
          <w:ilvl w:val="0"/>
          <w:numId w:val="2"/>
        </w:numPr>
        <w:spacing w:after="80"/>
      </w:pPr>
      <w:r>
        <w:rPr>
          <w:rFonts w:ascii="Arial" w:cs="Arial" w:eastAsia="Arial" w:hAnsi="Arial"/>
          <w:b/>
          <w:bCs/>
          <w:sz w:val="22"/>
          <w:szCs w:val="22"/>
        </w:rPr>
        <w:t xml:space="preserve">Revenue erosion: </w:t>
      </w:r>
      <w:r>
        <w:rPr>
          <w:rFonts w:ascii="Arial" w:cs="Arial" w:eastAsia="Arial" w:hAnsi="Arial"/>
          <w:sz w:val="22"/>
          <w:szCs w:val="22"/>
        </w:rPr>
        <w:t xml:space="preserve">Declining footfall directly reduces in-store sales volume, particularly for impulse and discovery-driven categories</w:t>
      </w:r>
    </w:p>
    <w:p>
      <w:pPr>
        <w:pStyle w:val="ListParagraph"/>
        <w:numPr>
          <w:ilvl w:val="0"/>
          <w:numId w:val="2"/>
        </w:numPr>
        <w:spacing w:after="80"/>
      </w:pPr>
      <w:r>
        <w:rPr>
          <w:rFonts w:ascii="Arial" w:cs="Arial" w:eastAsia="Arial" w:hAnsi="Arial"/>
          <w:b/>
          <w:bCs/>
          <w:sz w:val="22"/>
          <w:szCs w:val="22"/>
        </w:rPr>
        <w:t xml:space="preserve">Staffing inefficiency: </w:t>
      </w:r>
      <w:r>
        <w:rPr>
          <w:rFonts w:ascii="Arial" w:cs="Arial" w:eastAsia="Arial" w:hAnsi="Arial"/>
          <w:sz w:val="22"/>
          <w:szCs w:val="22"/>
        </w:rPr>
        <w:t xml:space="preserve">Without footfall-aligned scheduling, labour costs remain fixed while customer volume drops</w:t>
      </w:r>
    </w:p>
    <w:p>
      <w:pPr>
        <w:pStyle w:val="ListParagraph"/>
        <w:numPr>
          <w:ilvl w:val="0"/>
          <w:numId w:val="2"/>
        </w:numPr>
        <w:spacing w:after="80"/>
      </w:pPr>
      <w:r>
        <w:rPr>
          <w:rFonts w:ascii="Arial" w:cs="Arial" w:eastAsia="Arial" w:hAnsi="Arial"/>
          <w:b/>
          <w:bCs/>
          <w:sz w:val="22"/>
          <w:szCs w:val="22"/>
        </w:rPr>
        <w:t xml:space="preserve">Store portfolio risk: </w:t>
      </w:r>
      <w:r>
        <w:rPr>
          <w:rFonts w:ascii="Arial" w:cs="Arial" w:eastAsia="Arial" w:hAnsi="Arial"/>
          <w:sz w:val="22"/>
          <w:szCs w:val="22"/>
        </w:rPr>
        <w:t xml:space="preserve">Underperforming locations continue to consume lease and operating costs without adequate return</w:t>
      </w:r>
    </w:p>
    <w:p>
      <w:pPr>
        <w:pStyle w:val="ListParagraph"/>
        <w:numPr>
          <w:ilvl w:val="0"/>
          <w:numId w:val="2"/>
        </w:numPr>
        <w:spacing w:after="120"/>
      </w:pPr>
      <w:r>
        <w:rPr>
          <w:rFonts w:ascii="Arial" w:cs="Arial" w:eastAsia="Arial" w:hAnsi="Arial"/>
          <w:b/>
          <w:bCs/>
          <w:sz w:val="22"/>
          <w:szCs w:val="22"/>
        </w:rPr>
        <w:t xml:space="preserve">Strategic uncertainty: </w:t>
      </w:r>
      <w:r>
        <w:rPr>
          <w:rFonts w:ascii="Arial" w:cs="Arial" w:eastAsia="Arial" w:hAnsi="Arial"/>
          <w:sz w:val="22"/>
          <w:szCs w:val="22"/>
        </w:rPr>
        <w:t xml:space="preserve">Without quantified trend data, investment decisions (e.g., store refits, click-and-collect rollout) are made on intuition rather than evidence</w:t>
      </w:r>
    </w:p>
    <w:p>
      <w:r>
        <w:br w:type="page"/>
      </w:r>
    </w:p>
    <w:p>
      <w:pPr>
        <w:pStyle w:val="Heading1"/>
      </w:pPr>
      <w:r>
        <w:t xml:space="preserve">3. Scope</w:t>
      </w:r>
    </w:p>
    <w:p>
      <w:pPr>
        <w:pStyle w:val="Heading2"/>
      </w:pPr>
      <w:r>
        <w:t xml:space="preserve">3.1 In Scope</w:t>
      </w:r>
    </w:p>
    <w:p>
      <w:pPr>
        <w:pStyle w:val="ListParagraph"/>
        <w:numPr>
          <w:ilvl w:val="0"/>
          <w:numId w:val="2"/>
        </w:numPr>
        <w:spacing w:after="80"/>
      </w:pPr>
      <w:r>
        <w:rPr>
          <w:rFonts w:ascii="Arial" w:cs="Arial" w:eastAsia="Arial" w:hAnsi="Arial"/>
          <w:sz w:val="22"/>
          <w:szCs w:val="22"/>
        </w:rPr>
        <w:t xml:space="preserve">Analysis of ONS Retail Sales Index data (2019 to present) across food, non-food, textiles, and household goods sub-sectors</w:t>
      </w:r>
    </w:p>
    <w:p>
      <w:pPr>
        <w:pStyle w:val="ListParagraph"/>
        <w:numPr>
          <w:ilvl w:val="0"/>
          <w:numId w:val="2"/>
        </w:numPr>
        <w:spacing w:after="80"/>
      </w:pPr>
      <w:r>
        <w:rPr>
          <w:rFonts w:ascii="Arial" w:cs="Arial" w:eastAsia="Arial" w:hAnsi="Arial"/>
          <w:sz w:val="22"/>
          <w:szCs w:val="22"/>
        </w:rPr>
        <w:t xml:space="preserve">Quantification of the online vs. in-store sales proportion trend over time</w:t>
      </w:r>
    </w:p>
    <w:p>
      <w:pPr>
        <w:pStyle w:val="ListParagraph"/>
        <w:numPr>
          <w:ilvl w:val="0"/>
          <w:numId w:val="2"/>
        </w:numPr>
        <w:spacing w:after="80"/>
      </w:pPr>
      <w:r>
        <w:rPr>
          <w:rFonts w:ascii="Arial" w:cs="Arial" w:eastAsia="Arial" w:hAnsi="Arial"/>
          <w:sz w:val="22"/>
          <w:szCs w:val="22"/>
        </w:rPr>
        <w:t xml:space="preserve">Identification of seasonal and cyclical footfall patterns relevant to operational planning</w:t>
      </w:r>
    </w:p>
    <w:p>
      <w:pPr>
        <w:pStyle w:val="ListParagraph"/>
        <w:numPr>
          <w:ilvl w:val="0"/>
          <w:numId w:val="2"/>
        </w:numPr>
        <w:spacing w:after="80"/>
      </w:pPr>
      <w:r>
        <w:rPr>
          <w:rFonts w:ascii="Arial" w:cs="Arial" w:eastAsia="Arial" w:hAnsi="Arial"/>
          <w:sz w:val="22"/>
          <w:szCs w:val="22"/>
        </w:rPr>
        <w:t xml:space="preserve">Production of a Power BI dashboard for visual exploration of trends</w:t>
      </w:r>
    </w:p>
    <w:p>
      <w:pPr>
        <w:pStyle w:val="ListParagraph"/>
        <w:numPr>
          <w:ilvl w:val="0"/>
          <w:numId w:val="2"/>
        </w:numPr>
        <w:spacing w:after="80"/>
      </w:pPr>
      <w:r>
        <w:rPr>
          <w:rFonts w:ascii="Arial" w:cs="Arial" w:eastAsia="Arial" w:hAnsi="Arial"/>
          <w:sz w:val="22"/>
          <w:szCs w:val="22"/>
        </w:rPr>
        <w:t xml:space="preserve">Stakeholder-ready recommendations document with actionable next steps</w:t>
      </w:r>
    </w:p>
    <w:p>
      <w:pPr>
        <w:pStyle w:val="Heading2"/>
      </w:pPr>
      <w:r>
        <w:t xml:space="preserve">3.2 Out of Scope</w:t>
      </w:r>
    </w:p>
    <w:p>
      <w:pPr>
        <w:pStyle w:val="ListParagraph"/>
        <w:numPr>
          <w:ilvl w:val="0"/>
          <w:numId w:val="2"/>
        </w:numPr>
        <w:spacing w:after="80"/>
      </w:pPr>
      <w:r>
        <w:rPr>
          <w:rFonts w:ascii="Arial" w:cs="Arial" w:eastAsia="Arial" w:hAnsi="Arial"/>
          <w:sz w:val="22"/>
          <w:szCs w:val="22"/>
        </w:rPr>
        <w:t xml:space="preserve">Individual company financial analysis or competitor benchmarking</w:t>
      </w:r>
    </w:p>
    <w:p>
      <w:pPr>
        <w:pStyle w:val="ListParagraph"/>
        <w:numPr>
          <w:ilvl w:val="0"/>
          <w:numId w:val="2"/>
        </w:numPr>
        <w:spacing w:after="80"/>
      </w:pPr>
      <w:r>
        <w:rPr>
          <w:rFonts w:ascii="Arial" w:cs="Arial" w:eastAsia="Arial" w:hAnsi="Arial"/>
          <w:sz w:val="22"/>
          <w:szCs w:val="22"/>
        </w:rPr>
        <w:t xml:space="preserve">Customer segmentation or demographic profiling</w:t>
      </w:r>
    </w:p>
    <w:p>
      <w:pPr>
        <w:pStyle w:val="ListParagraph"/>
        <w:numPr>
          <w:ilvl w:val="0"/>
          <w:numId w:val="2"/>
        </w:numPr>
        <w:spacing w:after="80"/>
      </w:pPr>
      <w:r>
        <w:rPr>
          <w:rFonts w:ascii="Arial" w:cs="Arial" w:eastAsia="Arial" w:hAnsi="Arial"/>
          <w:sz w:val="22"/>
          <w:szCs w:val="22"/>
        </w:rPr>
        <w:t xml:space="preserve">Implementation of any recommended operational changes</w:t>
      </w:r>
    </w:p>
    <w:p>
      <w:pPr>
        <w:pStyle w:val="ListParagraph"/>
        <w:numPr>
          <w:ilvl w:val="0"/>
          <w:numId w:val="2"/>
        </w:numPr>
        <w:spacing w:after="80"/>
      </w:pPr>
      <w:r>
        <w:rPr>
          <w:rFonts w:ascii="Arial" w:cs="Arial" w:eastAsia="Arial" w:hAnsi="Arial"/>
          <w:sz w:val="22"/>
          <w:szCs w:val="22"/>
        </w:rPr>
        <w:t xml:space="preserve">Analysis of international retail markets</w:t>
      </w:r>
    </w:p>
    <w:p>
      <w:r>
        <w:br w:type="page"/>
      </w:r>
    </w:p>
    <w:p>
      <w:pPr>
        <w:pStyle w:val="Heading1"/>
      </w:pPr>
      <w:r>
        <w:t xml:space="preserve">4. Stakeholder Analysis</w:t>
      </w:r>
    </w:p>
    <w:p>
      <w:pPr>
        <w:spacing w:after="120"/>
      </w:pPr>
      <w:r>
        <w:rPr>
          <w:rFonts w:ascii="Arial" w:cs="Arial" w:eastAsia="Arial" w:hAnsi="Arial"/>
          <w:i w:val="false"/>
          <w:iCs w:val="false"/>
          <w:sz w:val="22"/>
          <w:szCs w:val="22"/>
        </w:rPr>
        <w:t xml:space="preserve">The following stakeholders would typically be involved in or affected by this analysis within a mid-size retail organisation: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Stakeholder</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45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Interest</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Head of Retail Operations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Decision Maker</w:t>
            </w:r>
          </w:p>
        </w:tc>
        <w:tc>
          <w:tcPr>
            <w:tcW w:type="dxa" w:w="4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Store performance, staffing optimisation, cost control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Commercial Director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Sponsor</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Revenue trends, product mix strategy, investment decisions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Store Managers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End User</w:t>
            </w:r>
          </w:p>
        </w:tc>
        <w:tc>
          <w:tcPr>
            <w:tcW w:type="dxa" w:w="4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Practical staffing and promotional guidance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Finance Team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Consulted</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Cost implications of store portfolio changes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Marketing Team</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Informed</w:t>
            </w:r>
          </w:p>
        </w:tc>
        <w:tc>
          <w:tcPr>
            <w:tcW w:type="dxa" w:w="4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Seasonal patterns for campaign timing</w:t>
            </w:r>
          </w:p>
        </w:tc>
      </w:tr>
    </w:tbl>
    <w:p>
      <w:r>
        <w:br w:type="page"/>
      </w:r>
    </w:p>
    <w:p>
      <w:pPr>
        <w:pStyle w:val="Heading1"/>
      </w:pPr>
      <w:r>
        <w:t xml:space="preserve">5. Objectives &amp; Success Criteria</w:t>
      </w:r>
    </w:p>
    <w:p>
      <w:pPr>
        <w:pStyle w:val="Heading2"/>
      </w:pPr>
      <w:r>
        <w:t xml:space="preserve">5.1 Objectives</w:t>
      </w:r>
    </w:p>
    <w:p>
      <w:pPr>
        <w:pStyle w:val="ListParagraph"/>
        <w:numPr>
          <w:ilvl w:val="0"/>
          <w:numId w:val="2"/>
        </w:numPr>
        <w:spacing w:after="80"/>
      </w:pPr>
      <w:r>
        <w:rPr>
          <w:rFonts w:ascii="Arial" w:cs="Arial" w:eastAsia="Arial" w:hAnsi="Arial"/>
          <w:sz w:val="22"/>
          <w:szCs w:val="22"/>
        </w:rPr>
        <w:t xml:space="preserve">Quantify the rate and pattern of footfall decline across key non-food retail sub-sectors since 2019</w:t>
      </w:r>
    </w:p>
    <w:p>
      <w:pPr>
        <w:pStyle w:val="ListParagraph"/>
        <w:numPr>
          <w:ilvl w:val="0"/>
          <w:numId w:val="2"/>
        </w:numPr>
        <w:spacing w:after="80"/>
      </w:pPr>
      <w:r>
        <w:rPr>
          <w:rFonts w:ascii="Arial" w:cs="Arial" w:eastAsia="Arial" w:hAnsi="Arial"/>
          <w:sz w:val="22"/>
          <w:szCs w:val="22"/>
        </w:rPr>
        <w:t xml:space="preserve">Identify which sub-sectors have experienced the steepest decline relative to their pre-pandemic baseline</w:t>
      </w:r>
    </w:p>
    <w:p>
      <w:pPr>
        <w:pStyle w:val="ListParagraph"/>
        <w:numPr>
          <w:ilvl w:val="0"/>
          <w:numId w:val="2"/>
        </w:numPr>
        <w:spacing w:after="80"/>
      </w:pPr>
      <w:r>
        <w:rPr>
          <w:rFonts w:ascii="Arial" w:cs="Arial" w:eastAsia="Arial" w:hAnsi="Arial"/>
          <w:sz w:val="22"/>
          <w:szCs w:val="22"/>
        </w:rPr>
        <w:t xml:space="preserve">Determine seasonal patterns that could inform staffing and promotional scheduling</w:t>
      </w:r>
    </w:p>
    <w:p>
      <w:pPr>
        <w:pStyle w:val="ListParagraph"/>
        <w:numPr>
          <w:ilvl w:val="0"/>
          <w:numId w:val="2"/>
        </w:numPr>
        <w:spacing w:after="80"/>
      </w:pPr>
      <w:r>
        <w:rPr>
          <w:rFonts w:ascii="Arial" w:cs="Arial" w:eastAsia="Arial" w:hAnsi="Arial"/>
          <w:sz w:val="22"/>
          <w:szCs w:val="22"/>
        </w:rPr>
        <w:t xml:space="preserve">Produce a reusable dashboard that enables ongoing monitoring of these trends</w:t>
      </w:r>
    </w:p>
    <w:p>
      <w:pPr>
        <w:pStyle w:val="ListParagraph"/>
        <w:numPr>
          <w:ilvl w:val="0"/>
          <w:numId w:val="2"/>
        </w:numPr>
        <w:spacing w:after="80"/>
      </w:pPr>
      <w:r>
        <w:rPr>
          <w:rFonts w:ascii="Arial" w:cs="Arial" w:eastAsia="Arial" w:hAnsi="Arial"/>
          <w:sz w:val="22"/>
          <w:szCs w:val="22"/>
        </w:rPr>
        <w:t xml:space="preserve">Deliver a concise recommendations report suitable for presentation to retail leadership</w:t>
      </w:r>
    </w:p>
    <w:p>
      <w:pPr>
        <w:pStyle w:val="Heading2"/>
      </w:pPr>
      <w:r>
        <w:t xml:space="preserve">5.2 Success Criteria</w:t>
      </w:r>
    </w:p>
    <w:p>
      <w:pPr>
        <w:pStyle w:val="ListParagraph"/>
        <w:numPr>
          <w:ilvl w:val="0"/>
          <w:numId w:val="2"/>
        </w:numPr>
        <w:spacing w:after="80"/>
      </w:pPr>
      <w:r>
        <w:rPr>
          <w:rFonts w:ascii="Arial" w:cs="Arial" w:eastAsia="Arial" w:hAnsi="Arial"/>
          <w:sz w:val="22"/>
          <w:szCs w:val="22"/>
        </w:rPr>
        <w:t xml:space="preserve">Dashboard covers at least 5 years of trend data with monthly granularity</w:t>
      </w:r>
    </w:p>
    <w:p>
      <w:pPr>
        <w:pStyle w:val="ListParagraph"/>
        <w:numPr>
          <w:ilvl w:val="0"/>
          <w:numId w:val="2"/>
        </w:numPr>
        <w:spacing w:after="80"/>
      </w:pPr>
      <w:r>
        <w:rPr>
          <w:rFonts w:ascii="Arial" w:cs="Arial" w:eastAsia="Arial" w:hAnsi="Arial"/>
          <w:sz w:val="22"/>
          <w:szCs w:val="22"/>
        </w:rPr>
        <w:t xml:space="preserve">Recommendations are specific, actionable, and grounded in the data (not generic industry advice)</w:t>
      </w:r>
    </w:p>
    <w:p>
      <w:pPr>
        <w:pStyle w:val="ListParagraph"/>
        <w:numPr>
          <w:ilvl w:val="0"/>
          <w:numId w:val="2"/>
        </w:numPr>
        <w:spacing w:after="80"/>
      </w:pPr>
      <w:r>
        <w:rPr>
          <w:rFonts w:ascii="Arial" w:cs="Arial" w:eastAsia="Arial" w:hAnsi="Arial"/>
          <w:sz w:val="22"/>
          <w:szCs w:val="22"/>
        </w:rPr>
        <w:t xml:space="preserve">All deliverables are completed to a standard suitable for inclusion in a professional BA portfolio</w:t>
      </w:r>
    </w:p>
    <w:p>
      <w:pPr>
        <w:pStyle w:val="ListParagraph"/>
        <w:numPr>
          <w:ilvl w:val="0"/>
          <w:numId w:val="2"/>
        </w:numPr>
        <w:spacing w:after="80"/>
      </w:pPr>
      <w:r>
        <w:rPr>
          <w:rFonts w:ascii="Arial" w:cs="Arial" w:eastAsia="Arial" w:hAnsi="Arial"/>
          <w:sz w:val="22"/>
          <w:szCs w:val="22"/>
        </w:rPr>
        <w:t xml:space="preserve">Analysis incorporates domain knowledge from direct retail operational experience</w:t>
      </w:r>
    </w:p>
    <w:p>
      <w:r>
        <w:br w:type="page"/>
      </w:r>
    </w:p>
    <w:p>
      <w:pPr>
        <w:pStyle w:val="Heading1"/>
      </w:pPr>
      <w:r>
        <w:t xml:space="preserve">6. Assumptions &amp; Constraints</w:t>
      </w:r>
    </w:p>
    <w:p>
      <w:pPr>
        <w:pStyle w:val="Heading2"/>
      </w:pPr>
      <w:r>
        <w:t xml:space="preserve">6.1 Assumptions</w:t>
      </w:r>
    </w:p>
    <w:p>
      <w:pPr>
        <w:pStyle w:val="ListParagraph"/>
        <w:numPr>
          <w:ilvl w:val="0"/>
          <w:numId w:val="2"/>
        </w:numPr>
        <w:spacing w:after="80"/>
      </w:pPr>
      <w:r>
        <w:rPr>
          <w:rFonts w:ascii="Arial" w:cs="Arial" w:eastAsia="Arial" w:hAnsi="Arial"/>
          <w:sz w:val="22"/>
          <w:szCs w:val="22"/>
        </w:rPr>
        <w:t xml:space="preserve">ONS Retail Sales Index data is accurate and representative of broader market conditions</w:t>
      </w:r>
    </w:p>
    <w:p>
      <w:pPr>
        <w:pStyle w:val="ListParagraph"/>
        <w:numPr>
          <w:ilvl w:val="0"/>
          <w:numId w:val="2"/>
        </w:numPr>
        <w:spacing w:after="80"/>
      </w:pPr>
      <w:r>
        <w:rPr>
          <w:rFonts w:ascii="Arial" w:cs="Arial" w:eastAsia="Arial" w:hAnsi="Arial"/>
          <w:sz w:val="22"/>
          <w:szCs w:val="22"/>
        </w:rPr>
        <w:t xml:space="preserve">Online sales proportion serves as a reasonable proxy for in-store footfall decline</w:t>
      </w:r>
    </w:p>
    <w:p>
      <w:pPr>
        <w:pStyle w:val="ListParagraph"/>
        <w:numPr>
          <w:ilvl w:val="0"/>
          <w:numId w:val="2"/>
        </w:numPr>
        <w:spacing w:after="80"/>
      </w:pPr>
      <w:r>
        <w:rPr>
          <w:rFonts w:ascii="Arial" w:cs="Arial" w:eastAsia="Arial" w:hAnsi="Arial"/>
          <w:sz w:val="22"/>
          <w:szCs w:val="22"/>
        </w:rPr>
        <w:t xml:space="preserve">Trends observed at the national level are broadly applicable to mid-size retailer decision-making, though regional variation exists</w:t>
      </w:r>
    </w:p>
    <w:p>
      <w:pPr>
        <w:pStyle w:val="ListParagraph"/>
        <w:numPr>
          <w:ilvl w:val="0"/>
          <w:numId w:val="2"/>
        </w:numPr>
        <w:spacing w:after="80"/>
      </w:pPr>
      <w:r>
        <w:rPr>
          <w:rFonts w:ascii="Arial" w:cs="Arial" w:eastAsia="Arial" w:hAnsi="Arial"/>
          <w:sz w:val="22"/>
          <w:szCs w:val="22"/>
        </w:rPr>
        <w:t xml:space="preserve">The structural shift to online retail is permanent and will not reverse to pre-2019 levels</w:t>
      </w:r>
    </w:p>
    <w:p>
      <w:pPr>
        <w:pStyle w:val="Heading2"/>
      </w:pPr>
      <w:r>
        <w:t xml:space="preserve">6.2 Constraints</w:t>
      </w:r>
    </w:p>
    <w:p>
      <w:pPr>
        <w:pStyle w:val="ListParagraph"/>
        <w:numPr>
          <w:ilvl w:val="0"/>
          <w:numId w:val="2"/>
        </w:numPr>
        <w:spacing w:after="80"/>
      </w:pPr>
      <w:r>
        <w:rPr>
          <w:rFonts w:ascii="Arial" w:cs="Arial" w:eastAsia="Arial" w:hAnsi="Arial"/>
          <w:sz w:val="22"/>
          <w:szCs w:val="22"/>
        </w:rPr>
        <w:t xml:space="preserve">Analysis is limited to publicly available data sources (no proprietary retailer data)</w:t>
      </w:r>
    </w:p>
    <w:p>
      <w:pPr>
        <w:pStyle w:val="ListParagraph"/>
        <w:numPr>
          <w:ilvl w:val="0"/>
          <w:numId w:val="2"/>
        </w:numPr>
        <w:spacing w:after="80"/>
      </w:pPr>
      <w:r>
        <w:rPr>
          <w:rFonts w:ascii="Arial" w:cs="Arial" w:eastAsia="Arial" w:hAnsi="Arial"/>
          <w:sz w:val="22"/>
          <w:szCs w:val="22"/>
        </w:rPr>
        <w:t xml:space="preserve">Footfall data at store or regional level is not freely available in sufficient granularity</w:t>
      </w:r>
    </w:p>
    <w:p>
      <w:pPr>
        <w:pStyle w:val="ListParagraph"/>
        <w:numPr>
          <w:ilvl w:val="0"/>
          <w:numId w:val="2"/>
        </w:numPr>
        <w:spacing w:after="80"/>
      </w:pPr>
      <w:r>
        <w:rPr>
          <w:rFonts w:ascii="Arial" w:cs="Arial" w:eastAsia="Arial" w:hAnsi="Arial"/>
          <w:sz w:val="22"/>
          <w:szCs w:val="22"/>
        </w:rPr>
        <w:t xml:space="preserve">The project is conducted independently without access to internal retail systems or stakeholder interviews</w:t>
      </w:r>
    </w:p>
    <w:p>
      <w:r>
        <w:br w:type="page"/>
      </w:r>
    </w:p>
    <w:p>
      <w:pPr>
        <w:pStyle w:val="Heading1"/>
      </w:pPr>
      <w:r>
        <w:t xml:space="preserve">7. Data Sources</w:t>
      </w:r>
    </w:p>
    <w:p>
      <w:pPr>
        <w:spacing w:after="120"/>
      </w:pPr>
      <w:r>
        <w:rPr>
          <w:rFonts w:ascii="Arial" w:cs="Arial" w:eastAsia="Arial" w:hAnsi="Arial"/>
          <w:i w:val="false"/>
          <w:iCs w:val="false"/>
          <w:sz w:val="22"/>
          <w:szCs w:val="22"/>
        </w:rPr>
        <w:t xml:space="preserve">All data sources are publicly available and free to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Dataset</w:t>
            </w:r>
          </w:p>
        </w:tc>
        <w:tc>
          <w:tcPr>
            <w:tcW w:type="dxa" w:w="38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Use in Analysis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ONS (ons.gov.uk)</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Retail Sales Index — monthly time series</w:t>
            </w:r>
          </w:p>
        </w:tc>
        <w:tc>
          <w:tcPr>
            <w:tcW w:type="dxa" w:w="3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Core dataset: sales volumes by retail sub-sector over 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ONS (ons.gov.uk)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Internet Retail Sales proportion</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Online vs. in-store sales trend analysis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Centre for Cities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High Streets Recovery Tracker</w:t>
            </w:r>
          </w:p>
        </w:tc>
        <w:tc>
          <w:tcPr>
            <w:tcW w:type="dxa" w:w="3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Supplementary footfall data by city (if available)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Companies House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Basic company financials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Optional: context on specific retailer performance</w:t>
            </w:r>
          </w:p>
        </w:tc>
      </w:tr>
    </w:tbl>
    <w:p>
      <w:r>
        <w:br w:type="page"/>
      </w:r>
    </w:p>
    <w:p>
      <w:pPr>
        <w:pStyle w:val="Heading1"/>
      </w:pPr>
      <w:r>
        <w:t xml:space="preserve">8. Planned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726"/>
        <w:gridCol w:w="400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17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Format</w:t>
            </w:r>
          </w:p>
        </w:tc>
        <w:tc>
          <w:tcPr>
            <w:tcW w:type="dxa" w:w="4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Problem Statement &amp; Business Case</w:t>
            </w:r>
          </w:p>
        </w:tc>
        <w:tc>
          <w:tcPr>
            <w:tcW w:type="dxa" w:w="17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Word (.docx)</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Define the business problem and justify the analysis (this document)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Requirements Document</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Word (.docx)</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Specify data needs, analytical questions, and MoSCoW priorities</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Process Flow Diagrams</w:t>
            </w:r>
          </w:p>
        </w:tc>
        <w:tc>
          <w:tcPr>
            <w:tcW w:type="dxa" w:w="17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draw.io / PNG</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Map current-state and future-state decision processes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Interactive Dashboard</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Power BI (.pbix)</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Visual exploration of retail sales and footfall trends</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Findings &amp; Recommendations</w:t>
            </w:r>
          </w:p>
        </w:tc>
        <w:tc>
          <w:tcPr>
            <w:tcW w:type="dxa" w:w="17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Word (.docx)</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Data-driven insights and actionable recommendations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Stakeholder Presentation</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PowerPoint (.pptx)</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Summary deck suitable for leadership audience</w:t>
            </w:r>
          </w:p>
        </w:tc>
      </w:tr>
    </w:tbl>
    <w:p>
      <w:r>
        <w:br w:type="page"/>
      </w:r>
    </w:p>
    <w:p>
      <w:pPr>
        <w:pStyle w:val="Heading1"/>
      </w:pPr>
      <w:r>
        <w:t xml:space="preserve">9. Approach &amp; Timeline</w:t>
      </w:r>
    </w:p>
    <w:p>
      <w:pPr>
        <w:spacing w:after="120"/>
      </w:pPr>
      <w:r>
        <w:rPr>
          <w:rFonts w:ascii="Arial" w:cs="Arial" w:eastAsia="Arial" w:hAnsi="Arial"/>
          <w:i w:val="false"/>
          <w:iCs w:val="false"/>
          <w:sz w:val="22"/>
          <w:szCs w:val="22"/>
        </w:rPr>
        <w:t xml:space="preserve">This project follows a structured BA lifecycle adapted for an independent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Timeline</w:t>
            </w:r>
          </w:p>
        </w:tc>
        <w:tc>
          <w:tcPr>
            <w:tcW w:type="dxa" w:w="52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Discovery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Days 1–3</w:t>
            </w:r>
          </w:p>
        </w:tc>
        <w:tc>
          <w:tcPr>
            <w:tcW w:type="dxa" w:w="5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Download and review all data sources, assess data quality, identify gaps or limitations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Requirements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Days 4–5</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Finalise the requirements document, create current-state and future-state process flow diagrams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Analysis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Days 6–10</w:t>
            </w:r>
          </w:p>
        </w:tc>
        <w:tc>
          <w:tcPr>
            <w:tcW w:type="dxa" w:w="5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Clean and transform data, build Power BI dashboard, iterate on visualisations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Findings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Days 11–12</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Write up analysis findings, develop actionable recommendations grounded in data</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Publication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Days 13–14</w:t>
            </w:r>
          </w:p>
        </w:tc>
        <w:tc>
          <w:tcPr>
            <w:tcW w:type="dxa" w:w="5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Create stakeholder presentation deck, publish all deliverables to portfolio</w:t>
            </w:r>
          </w:p>
        </w:tc>
      </w:tr>
    </w:tbl>
    <w:p>
      <w:r>
        <w:br w:type="page"/>
      </w:r>
    </w:p>
    <w:p>
      <w:pPr>
        <w:pStyle w:val="Heading1"/>
      </w:pPr>
      <w:r>
        <w:t xml:space="preserve">10. 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526"/>
      </w:tblGrid>
      <w:tr>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35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March 2026</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Manoj [Surname]</w:t>
            </w:r>
          </w:p>
        </w:tc>
        <w:tc>
          <w:tcPr>
            <w:tcW w:type="dxa" w:w="3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Initial draft</w:t>
            </w:r>
          </w:p>
        </w:tc>
      </w:tr>
    </w:tbl>
    <w:p>
      <w:pPr>
        <w:spacing w:before="600"/>
      </w:pPr>
    </w:p>
    <w:p>
      <w:pPr>
        <w:pBdr>
          <w:top w:val="single" w:color="2E75B6" w:sz="4" w:space="8"/>
        </w:pBdr>
        <w:spacing w:before="200"/>
      </w:pPr>
      <w:r>
        <w:rPr>
          <w:rFonts w:ascii="Arial" w:cs="Arial" w:eastAsia="Arial" w:hAnsi="Arial"/>
          <w:i/>
          <w:iCs/>
          <w:color w:val="808080"/>
          <w:sz w:val="18"/>
          <w:szCs w:val="18"/>
        </w:rPr>
        <w:t xml:space="preserve">This document is part of a Business Analysis portfolio project. All data used is publicly available from UK government and research sources.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808080"/>
        <w:sz w:val="18"/>
        <w:szCs w:val="18"/>
      </w:rPr>
      <w:t xml:space="preserve">BA Problem Statement &amp; Business Case</w:t>
    </w:r>
    <w:r>
      <w:rPr>
        <w:rFonts w:ascii="Arial" w:cs="Arial" w:eastAsia="Arial" w:hAnsi="Arial"/>
        <w:color w:val="808080"/>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2026-03-21T12:09:20.829Z</dcterms:created>
  <dcterms:modified xsi:type="dcterms:W3CDTF">2026-03-21T12:09:20.830Z</dcterms:modified>
</cp:coreProperties>
</file>

<file path=docProps/custom.xml><?xml version="1.0" encoding="utf-8"?>
<Properties xmlns="http://schemas.openxmlformats.org/officeDocument/2006/custom-properties" xmlns:vt="http://schemas.openxmlformats.org/officeDocument/2006/docPropsVTypes"/>
</file>