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28"/>
          <w:szCs w:val="28"/>
        </w:rPr>
        <w:t xml:space="preserve">BUSINESS ANALYSIS</w:t>
      </w:r>
    </w:p>
    <w:p>
      <w:pPr>
        <w:spacing w:after="100"/>
        <w:jc w:val="center"/>
      </w:pPr>
      <w:r>
        <w:rPr>
          <w:rFonts w:ascii="Arial" w:cs="Arial" w:eastAsia="Arial" w:hAnsi="Arial"/>
          <w:b/>
          <w:bCs/>
          <w:color w:val="1F4E79"/>
          <w:sz w:val="48"/>
          <w:szCs w:val="48"/>
        </w:rPr>
        <w:t xml:space="preserve">Requirements Document</w:t>
      </w:r>
    </w:p>
    <w:p>
      <w:pPr>
        <w:pBdr>
          <w:bottom w:val="single" w:color="2E75B6" w:sz="6" w:space="8"/>
        </w:pBdr>
        <w:spacing w:after="400"/>
        <w:jc w:val="center"/>
      </w:pPr>
    </w:p>
    <w:p>
      <w:pPr>
        <w:spacing w:after="120"/>
        <w:jc w:val="center"/>
      </w:pPr>
      <w:r>
        <w:rPr>
          <w:rFonts w:ascii="Arial" w:cs="Arial" w:eastAsia="Arial" w:hAnsi="Arial"/>
          <w:color w:val="404040"/>
          <w:sz w:val="26"/>
          <w:szCs w:val="26"/>
        </w:rPr>
        <w:t xml:space="preserve">UK High Street Retail Footfall Decline:</w:t>
      </w:r>
    </w:p>
    <w:p>
      <w:pPr>
        <w:spacing w:after="600"/>
        <w:jc w:val="center"/>
      </w:pPr>
      <w:r>
        <w:rPr>
          <w:rFonts w:ascii="Arial" w:cs="Arial" w:eastAsia="Arial" w:hAnsi="Arial"/>
          <w:color w:val="404040"/>
          <w:sz w:val="26"/>
          <w:szCs w:val="26"/>
        </w:rPr>
        <w:t xml:space="preserve">Data-Driven Analysis for Mid-Size Retailers</w:t>
      </w:r>
    </w:p>
    <w:p>
      <w:pPr>
        <w:spacing w:before="4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Manoj [Surname]</w:t>
            </w:r>
          </w:p>
        </w:tc>
      </w:tr>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Reference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D2 — Requirements Document</w:t>
            </w:r>
          </w:p>
        </w:tc>
      </w:tr>
    </w:tbl>
    <w:p>
      <w:pPr>
        <w:spacing w:before="2000"/>
      </w:pPr>
    </w:p>
    <w:p>
      <w:pPr>
        <w:jc w:val="center"/>
      </w:pPr>
      <w:r>
        <w:rPr>
          <w:rFonts w:ascii="Arial" w:cs="Arial" w:eastAsia="Arial" w:hAnsi="Arial"/>
          <w:i/>
          <w:iCs/>
          <w:color w:val="808080"/>
          <w:sz w:val="18"/>
          <w:szCs w:val="18"/>
        </w:rPr>
        <w:t xml:space="preserve">This document is part of a Business Analysis portfolio project.</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rFonts w:ascii="Arial" w:cs="Arial" w:eastAsia="Arial" w:hAnsi="Arial"/>
          <w:i w:val="false"/>
          <w:iCs w:val="false"/>
          <w:sz w:val="22"/>
          <w:szCs w:val="22"/>
        </w:rPr>
        <w:t xml:space="preserve">This document specifies the functional requirements, non-functional requirements, data requirements, and analytical questions for the UK High Street Retail Footfall Decline analysis project. It provides a traceable link between the business problem defined in the Problem Statement (D1) and the deliverables that will address it.</w:t>
      </w:r>
    </w:p>
    <w:p>
      <w:pPr>
        <w:pStyle w:val="Heading2"/>
      </w:pPr>
      <w:r>
        <w:t xml:space="preserve">1.2 Scope</w:t>
      </w:r>
    </w:p>
    <w:p>
      <w:pPr>
        <w:spacing w:after="120"/>
      </w:pPr>
      <w:r>
        <w:rPr>
          <w:rFonts w:ascii="Arial" w:cs="Arial" w:eastAsia="Arial" w:hAnsi="Arial"/>
          <w:i w:val="false"/>
          <w:iCs w:val="false"/>
          <w:sz w:val="22"/>
          <w:szCs w:val="22"/>
        </w:rPr>
        <w:t xml:space="preserve">The requirements cover the data analysis, dashboard build, and recommendations report. They do not extend to operational implementation of any recommendations, nor to the procurement of proprietary data sources.</w:t>
      </w:r>
    </w:p>
    <w:p>
      <w:pPr>
        <w:pStyle w:val="Heading2"/>
      </w:pPr>
      <w:r>
        <w:t xml:space="preserve">1.3 Intended Audience</w:t>
      </w:r>
    </w:p>
    <w:p>
      <w:pPr>
        <w:pStyle w:val="ListParagraph"/>
        <w:numPr>
          <w:ilvl w:val="0"/>
          <w:numId w:val="2"/>
        </w:numPr>
        <w:spacing w:after="80"/>
      </w:pPr>
      <w:r>
        <w:rPr>
          <w:rFonts w:ascii="Arial" w:cs="Arial" w:eastAsia="Arial" w:hAnsi="Arial"/>
          <w:sz w:val="22"/>
          <w:szCs w:val="22"/>
        </w:rPr>
        <w:t xml:space="preserve">Project sponsor (Commercial Director) — to validate that the analysis addresses the right business questions</w:t>
      </w:r>
    </w:p>
    <w:p>
      <w:pPr>
        <w:pStyle w:val="ListParagraph"/>
        <w:numPr>
          <w:ilvl w:val="0"/>
          <w:numId w:val="2"/>
        </w:numPr>
        <w:spacing w:after="80"/>
      </w:pPr>
      <w:r>
        <w:rPr>
          <w:rFonts w:ascii="Arial" w:cs="Arial" w:eastAsia="Arial" w:hAnsi="Arial"/>
          <w:sz w:val="22"/>
          <w:szCs w:val="22"/>
        </w:rPr>
        <w:t xml:space="preserve">Head of Retail Operations — to confirm operational relevance of the requirements</w:t>
      </w:r>
    </w:p>
    <w:p>
      <w:pPr>
        <w:pStyle w:val="ListParagraph"/>
        <w:numPr>
          <w:ilvl w:val="0"/>
          <w:numId w:val="2"/>
        </w:numPr>
        <w:spacing w:after="80"/>
      </w:pPr>
      <w:r>
        <w:rPr>
          <w:rFonts w:ascii="Arial" w:cs="Arial" w:eastAsia="Arial" w:hAnsi="Arial"/>
          <w:sz w:val="22"/>
          <w:szCs w:val="22"/>
        </w:rPr>
        <w:t xml:space="preserve">The analyst (author) — as a working specification for the analysis and dashboard build</w:t>
      </w:r>
    </w:p>
    <w:p>
      <w:pPr>
        <w:pStyle w:val="Heading2"/>
      </w:pPr>
      <w:r>
        <w:t xml:space="preserve">1.4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Ref</w:t>
            </w:r>
          </w:p>
        </w:tc>
        <w:tc>
          <w:tcPr>
            <w:tcW w:type="dxa" w:w="4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35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D1</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Problem Statement &amp; Business Case</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Complete — v1.0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Requirements Document (this document)</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Draft — v1.0</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D3</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Process Flow Diagrams</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Pending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Interactive Dashboard (Power BI)</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Pending</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D5</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Findings &amp; Recommendations</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Pending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Stakeholder Presentation</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Pending</w:t>
            </w:r>
          </w:p>
        </w:tc>
      </w:tr>
    </w:tbl>
    <w:p>
      <w:r>
        <w:br w:type="page"/>
      </w:r>
    </w:p>
    <w:p>
      <w:pPr>
        <w:pStyle w:val="Heading1"/>
      </w:pPr>
      <w:r>
        <w:t xml:space="preserve">2. MoSCoW Prioritisation Summary</w:t>
      </w:r>
    </w:p>
    <w:p>
      <w:pPr>
        <w:spacing w:after="120"/>
      </w:pPr>
      <w:r>
        <w:rPr>
          <w:rFonts w:ascii="Arial" w:cs="Arial" w:eastAsia="Arial" w:hAnsi="Arial"/>
          <w:i w:val="false"/>
          <w:iCs w:val="false"/>
          <w:sz w:val="22"/>
          <w:szCs w:val="22"/>
        </w:rPr>
        <w:t xml:space="preserve">Requirements are prioritised using the MoSCoW method. This ensures the analysis focuses on the highest-value outputs first, while identifying enhancements that could be added if time permits.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5926"/>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59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Must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7 (FR) + 2 (NFR) + 2 (DR)</w:t>
            </w:r>
          </w:p>
        </w:tc>
        <w:tc>
          <w:tcPr>
            <w:tcW w:type="dxa" w:w="5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Non-negotiable for the analysis to deliver value. Without these, the project fails to address the core business problem.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Should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 (FR) + 2 (NFR)</w:t>
            </w:r>
          </w:p>
        </w:tc>
        <w:tc>
          <w:tcPr>
            <w:tcW w:type="dxa" w:w="5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Important enhancements that significantly improve the quality and utility of the analysis. Expected to be delivered unless constrained by data availability or time.</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Could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(FR) + 1 (NFR) + 1 (DR)</w:t>
            </w:r>
          </w:p>
        </w:tc>
        <w:tc>
          <w:tcPr>
            <w:tcW w:type="dxa" w:w="5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Desirable additions that would add depth. Included if time permits after all Must and Should requirements are met.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Won’t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 (FR) + 1 (DR)</w:t>
            </w:r>
          </w:p>
        </w:tc>
        <w:tc>
          <w:tcPr>
            <w:tcW w:type="dxa" w:w="5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Explicitly excluded from this phase. Documented to manage stakeholder expectations and define future scope.</w:t>
            </w:r>
          </w:p>
        </w:tc>
      </w:tr>
    </w:tbl>
    <w:p>
      <w:r>
        <w:br w:type="page"/>
      </w:r>
    </w:p>
    <w:p>
      <w:pPr>
        <w:pStyle w:val="Heading1"/>
      </w:pPr>
      <w:r>
        <w:t xml:space="preserve">3. Functional Requirements</w:t>
      </w:r>
    </w:p>
    <w:p>
      <w:pPr>
        <w:spacing w:after="120"/>
      </w:pPr>
      <w:r>
        <w:rPr>
          <w:rFonts w:ascii="Arial" w:cs="Arial" w:eastAsia="Arial" w:hAnsi="Arial"/>
          <w:i w:val="false"/>
          <w:iCs w:val="false"/>
          <w:sz w:val="22"/>
          <w:szCs w:val="22"/>
        </w:rPr>
        <w:t xml:space="preserve">Each functional requirement specifies a capability that the analysis or dashboard must deliver. Requirements are traceable to the objectives in D1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3426"/>
        <w:gridCol w:w="2200"/>
      </w:tblGrid>
      <w:tr>
        <w:tc>
          <w:tcPr>
            <w:tcW w:type="dxa" w:w="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34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FR-01</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00000"/>
                <w:sz w:val="20"/>
                <w:szCs w:val="20"/>
              </w:rPr>
              <w:t xml:space="preserve">Must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Monthly retail sales trend analysis</w:t>
            </w:r>
          </w:p>
        </w:tc>
        <w:tc>
          <w:tcPr>
            <w:tcW w:type="dxa" w:w="3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The dashboard shall display ONS Retail Sales Index data as a monthly time series from January 2019 to the most recent available month, broken down by retail sub-sector (all retailing, predominantly food, predominantly non-food, non-store retailing, textiles/clothing/footwear, household goods).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 User can select any sub-sector and view its monthly sales index values plotted over time. Minimum 60 data points visible.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FR-02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0000"/>
                <w:sz w:val="20"/>
                <w:szCs w:val="20"/>
              </w:rPr>
              <w:t xml:space="preserve">Must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Online vs. in-store sales proportion</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The dashboard shall display the internet sales proportion (as % of total retail) as a monthly time series, enabling comparison of online penetration across time periods.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AC: Chart shows internet sales % from 2019–present with clear labels. User can identify the pre-pandemic baseline, pandemic peak, and current level.</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FR-03</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00000"/>
                <w:sz w:val="20"/>
                <w:szCs w:val="20"/>
              </w:rPr>
              <w:t xml:space="preserve">Must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Year-on-year comparison</w:t>
            </w:r>
          </w:p>
        </w:tc>
        <w:tc>
          <w:tcPr>
            <w:tcW w:type="dxa" w:w="3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The analysis shall calculate and display year-on-year percentage change for each sub-sector, enabling identification of recovery or continued decline relative to previous years.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 YoY % change is calculated correctly and displayed for at least 4 complete years. Sectors showing continued decline are visually distinguishable.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FR-04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0000"/>
                <w:sz w:val="20"/>
                <w:szCs w:val="20"/>
              </w:rPr>
              <w:t xml:space="preserve">Must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Pre-pandemic baseline indexing</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 sub-sector trends shall be indexable to a January 2019 = 100 baseline, enabling like-for-like comparison of how far each sector has moved from its pre-pandemic position.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AC: User can toggle between absolute values and indexed view. Index calculation is verified against manual spot-checks.</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FR-05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BF8F00"/>
                <w:sz w:val="20"/>
                <w:szCs w:val="20"/>
              </w:rPr>
              <w:t xml:space="preserve">Should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Seasonal pattern identification</w:t>
            </w:r>
          </w:p>
        </w:tc>
        <w:tc>
          <w:tcPr>
            <w:tcW w:type="dxa" w:w="3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The dashboard shall include a view that isolates seasonal patterns (e.g., monthly averages across years) to support staffing and promotional planning.</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 Seasonal view shows average sales index by month across all available years. Peak and trough months are identifiable for each sub-sector.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FR-06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BF8F00"/>
                <w:sz w:val="20"/>
                <w:szCs w:val="20"/>
              </w:rPr>
              <w:t xml:space="preserve">Should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Sub-sector comparison view</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The dashboard shall allow simultaneous comparison of multiple sub-sectors on a single chart to identify which categories are most and least affected.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AC: At least 3 sub-sectors can be overlaid on one chart. Legend clearly identifies each series.</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FR-07</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BF8F00"/>
                <w:sz w:val="20"/>
                <w:szCs w:val="20"/>
              </w:rPr>
              <w:t xml:space="preserve">Should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Decline rate quantification</w:t>
            </w:r>
          </w:p>
        </w:tc>
        <w:tc>
          <w:tcPr>
            <w:tcW w:type="dxa" w:w="3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The analysis shall calculate the compound monthly/annual decline rate for non-food sub-sectors relative to their 2019 baseline, expressed as a percentage.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 Decline rates are presented in a summary table with clear methodology notes. Rates are verifiable from the underlying data.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FR-08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5B6"/>
                <w:sz w:val="20"/>
                <w:szCs w:val="20"/>
              </w:rPr>
              <w:t xml:space="preserve">Could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Rolling average smoothing</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The dashboard could offer a 3-month or 6-month rolling average option to reduce noise and highlight underlying trends.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AC: Toggle between raw and smoothed data. Rolling average calculation is documented.</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FR-09</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Could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City-level footfall overlay</w:t>
            </w:r>
          </w:p>
        </w:tc>
        <w:tc>
          <w:tcPr>
            <w:tcW w:type="dxa" w:w="3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If Centre for Cities data is available at sufficient granularity, overlay city-level high street recovery data on the national trends.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 At least 3 city comparisons are shown. Data source and limitations are clearly noted.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FR-10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808080"/>
                <w:sz w:val="20"/>
                <w:szCs w:val="20"/>
              </w:rPr>
              <w:t xml:space="preserve">Won’t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Real-time data feed</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The dashboard will not connect to a live ONS API in this phase. Data will be manually downloaded and refreshed.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AC: N/A — explicitly excluded from this phase.</w:t>
            </w:r>
          </w:p>
        </w:tc>
      </w:tr>
    </w:tbl>
    <w:p>
      <w:r>
        <w:br w:type="page"/>
      </w:r>
    </w:p>
    <w:p>
      <w:pPr>
        <w:pStyle w:val="Heading1"/>
      </w:pPr>
      <w:r>
        <w:t xml:space="preserve">4. Non-Functional Requirements</w:t>
      </w:r>
    </w:p>
    <w:p>
      <w:pPr>
        <w:spacing w:after="120"/>
      </w:pPr>
      <w:r>
        <w:rPr>
          <w:rFonts w:ascii="Arial" w:cs="Arial" w:eastAsia="Arial" w:hAnsi="Arial"/>
          <w:i w:val="false"/>
          <w:iCs w:val="false"/>
          <w:sz w:val="22"/>
          <w:szCs w:val="22"/>
        </w:rPr>
        <w:t xml:space="preserve">Non-functional requirements define quality standards that apply across all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000"/>
        <w:gridCol w:w="5326"/>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53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NFR-01</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00000"/>
                <w:sz w:val="20"/>
                <w:szCs w:val="20"/>
              </w:rPr>
              <w:t xml:space="preserve">Must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Data accuracy</w:t>
            </w:r>
          </w:p>
        </w:tc>
        <w:tc>
          <w:tcPr>
            <w:tcW w:type="dxa" w:w="5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All figures displayed must match the source ONS dataset to within rounding tolerance (±0.1 index points). Any transformations (indexing, YoY calculation) must be documented and verifiable.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NFR-02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0000"/>
                <w:sz w:val="20"/>
                <w:szCs w:val="20"/>
              </w:rPr>
              <w:t xml:space="preserve">Must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Portfolio presentation standard</w:t>
            </w:r>
          </w:p>
        </w:tc>
        <w:tc>
          <w:tcPr>
            <w:tcW w:type="dxa" w:w="5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 deliverables must be formatted to a standard suitable for inclusion in a professional BA portfolio, including consistent branding, clear labelling, and error-free content.</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NFR-03</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BF8F00"/>
                <w:sz w:val="20"/>
                <w:szCs w:val="20"/>
              </w:rPr>
              <w:t xml:space="preserve">Should</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Dashboard usability</w:t>
            </w:r>
          </w:p>
        </w:tc>
        <w:tc>
          <w:tcPr>
            <w:tcW w:type="dxa" w:w="5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The Power BI dashboard should be navigable by a non-technical stakeholder without training. Filters, labels, and tooltips should be self-explanatory.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NFR-04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BF8F00"/>
                <w:sz w:val="20"/>
                <w:szCs w:val="20"/>
              </w:rPr>
              <w:t xml:space="preserve">Should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Reproducibility</w:t>
            </w:r>
          </w:p>
        </w:tc>
        <w:tc>
          <w:tcPr>
            <w:tcW w:type="dxa" w:w="5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The data transformation process should be documented step-by-step so that another analyst could reproduce the results from the same source data.</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NFR-05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Could</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Accessibility</w:t>
            </w:r>
          </w:p>
        </w:tc>
        <w:tc>
          <w:tcPr>
            <w:tcW w:type="dxa" w:w="5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Dashboard colour choices could follow WCAG 2.1 AA contrast guidelines to ensure readability for users with visual impairments.</w:t>
            </w:r>
          </w:p>
        </w:tc>
      </w:tr>
    </w:tbl>
    <w:p>
      <w:r>
        <w:br w:type="page"/>
      </w:r>
    </w:p>
    <w:p>
      <w:pPr>
        <w:pStyle w:val="Heading1"/>
      </w:pPr>
      <w:r>
        <w:t xml:space="preserve">5. Data Requirements</w:t>
      </w:r>
    </w:p>
    <w:p>
      <w:pPr>
        <w:spacing w:after="120"/>
      </w:pPr>
      <w:r>
        <w:rPr>
          <w:rFonts w:ascii="Arial" w:cs="Arial" w:eastAsia="Arial" w:hAnsi="Arial"/>
          <w:i w:val="false"/>
          <w:iCs w:val="false"/>
          <w:sz w:val="22"/>
          <w:szCs w:val="22"/>
        </w:rPr>
        <w:t xml:space="preserve">Data requirements specify the datasets needed, their sources, and how they will be used. All sources are publicly available.</w:t>
      </w:r>
    </w:p>
    <w:p>
      <w:pPr>
        <w:pStyle w:val="Heading2"/>
      </w:pPr>
      <w:r>
        <w:t xml:space="preserve">5.1 Data Sources &amp;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800"/>
        <w:gridCol w:w="2626"/>
        <w:gridCol w:w="1800"/>
        <w:gridCol w:w="1400"/>
      </w:tblGrid>
      <w:tr>
        <w:tc>
          <w:tcPr>
            <w:tcW w:type="dxa" w:w="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Dataset</w:t>
            </w:r>
          </w:p>
        </w:tc>
        <w:tc>
          <w:tcPr>
            <w:tcW w:type="dxa" w:w="26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 &amp; Key Fields</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Format</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DR-01</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00000"/>
                <w:sz w:val="20"/>
                <w:szCs w:val="20"/>
              </w:rPr>
              <w:t xml:space="preserve">Must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ONS Retail Sales Index</w:t>
            </w:r>
          </w:p>
        </w:tc>
        <w:tc>
          <w:tcPr>
            <w:tcW w:type="dxa" w:w="2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Monthly time series, seasonally adjusted, value and volume indices by retail sector classification (SIC 2007). Series: J5EK (All retailing), J5DZ (Predominantly food), J5EI (Predominantly non-food), J5DW (Non-store), plus textiles and household goods breakdowns.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ons.gov.uk — Retail Sales Index dataset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CSV / Excel download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DR-02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0000"/>
                <w:sz w:val="20"/>
                <w:szCs w:val="20"/>
              </w:rPr>
              <w:t xml:space="preserve">Must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Internet sales as % of total</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Monthly internet sales proportion (ratio estimate), seasonally adjusted. Series: J5EC or equivalent.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ons.gov.uk — Internet retail sales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CSV / Excel download</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DR-03</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Could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High street footfall index</w:t>
            </w:r>
          </w:p>
        </w:tc>
        <w:tc>
          <w:tcPr>
            <w:tcW w:type="dxa" w:w="2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Weekly or monthly footfall recovery data by city, indexed to pre-pandemic baseline.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Centre for Cities — High Streets Recovery Tracker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CSV / manual extraction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DR-04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808080"/>
                <w:sz w:val="20"/>
                <w:szCs w:val="20"/>
              </w:rPr>
              <w:t xml:space="preserve">Won’t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Individual retailer financials</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Revenue and profit data for specific mid-size retailers. Excluded due to scope constraints.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Companies House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N/A</w:t>
            </w:r>
          </w:p>
        </w:tc>
      </w:tr>
    </w:tbl>
    <w:p>
      <w:pPr>
        <w:pStyle w:val="Heading2"/>
      </w:pPr>
      <w:r>
        <w:t xml:space="preserve">5.2 Data Quality Criteria</w:t>
      </w:r>
    </w:p>
    <w:p>
      <w:pPr>
        <w:pStyle w:val="ListParagraph"/>
        <w:numPr>
          <w:ilvl w:val="0"/>
          <w:numId w:val="2"/>
        </w:numPr>
        <w:spacing w:after="80"/>
      </w:pPr>
      <w:r>
        <w:rPr>
          <w:rFonts w:ascii="Arial" w:cs="Arial" w:eastAsia="Arial" w:hAnsi="Arial"/>
          <w:b/>
          <w:bCs/>
          <w:sz w:val="22"/>
          <w:szCs w:val="22"/>
        </w:rPr>
        <w:t xml:space="preserve">Completeness: </w:t>
      </w:r>
      <w:r>
        <w:rPr>
          <w:rFonts w:ascii="Arial" w:cs="Arial" w:eastAsia="Arial" w:hAnsi="Arial"/>
          <w:sz w:val="22"/>
          <w:szCs w:val="22"/>
        </w:rPr>
        <w:t xml:space="preserve">No gaps of more than 1 month in any time series used for trend analysis.</w:t>
      </w:r>
    </w:p>
    <w:p>
      <w:pPr>
        <w:pStyle w:val="ListParagraph"/>
        <w:numPr>
          <w:ilvl w:val="0"/>
          <w:numId w:val="2"/>
        </w:numPr>
        <w:spacing w:after="80"/>
      </w:pPr>
      <w:r>
        <w:rPr>
          <w:rFonts w:ascii="Arial" w:cs="Arial" w:eastAsia="Arial" w:hAnsi="Arial"/>
          <w:b/>
          <w:bCs/>
          <w:sz w:val="22"/>
          <w:szCs w:val="22"/>
        </w:rPr>
        <w:t xml:space="preserve">Consistency: </w:t>
      </w:r>
      <w:r>
        <w:rPr>
          <w:rFonts w:ascii="Arial" w:cs="Arial" w:eastAsia="Arial" w:hAnsi="Arial"/>
          <w:sz w:val="22"/>
          <w:szCs w:val="22"/>
        </w:rPr>
        <w:t xml:space="preserve">All index values must use the same base year and seasonal adjustment method across sub-sectors.</w:t>
      </w:r>
    </w:p>
    <w:p>
      <w:pPr>
        <w:pStyle w:val="ListParagraph"/>
        <w:numPr>
          <w:ilvl w:val="0"/>
          <w:numId w:val="2"/>
        </w:numPr>
        <w:spacing w:after="80"/>
      </w:pPr>
      <w:r>
        <w:rPr>
          <w:rFonts w:ascii="Arial" w:cs="Arial" w:eastAsia="Arial" w:hAnsi="Arial"/>
          <w:b/>
          <w:bCs/>
          <w:sz w:val="22"/>
          <w:szCs w:val="22"/>
        </w:rPr>
        <w:t xml:space="preserve">Timeliness: </w:t>
      </w:r>
      <w:r>
        <w:rPr>
          <w:rFonts w:ascii="Arial" w:cs="Arial" w:eastAsia="Arial" w:hAnsi="Arial"/>
          <w:sz w:val="22"/>
          <w:szCs w:val="22"/>
        </w:rPr>
        <w:t xml:space="preserve">Data should extend to within 3 months of the analysis date where available.</w:t>
      </w:r>
    </w:p>
    <w:p>
      <w:pPr>
        <w:pStyle w:val="ListParagraph"/>
        <w:numPr>
          <w:ilvl w:val="0"/>
          <w:numId w:val="2"/>
        </w:numPr>
        <w:spacing w:after="80"/>
      </w:pPr>
      <w:r>
        <w:rPr>
          <w:rFonts w:ascii="Arial" w:cs="Arial" w:eastAsia="Arial" w:hAnsi="Arial"/>
          <w:b/>
          <w:bCs/>
          <w:sz w:val="22"/>
          <w:szCs w:val="22"/>
        </w:rPr>
        <w:t xml:space="preserve">Provenance: </w:t>
      </w:r>
      <w:r>
        <w:rPr>
          <w:rFonts w:ascii="Arial" w:cs="Arial" w:eastAsia="Arial" w:hAnsi="Arial"/>
          <w:sz w:val="22"/>
          <w:szCs w:val="22"/>
        </w:rPr>
        <w:t xml:space="preserve">Every figure used in the dashboard or recommendations must be traceable to a specific ONS series code and date.</w:t>
      </w:r>
    </w:p>
    <w:p>
      <w:r>
        <w:br w:type="page"/>
      </w:r>
    </w:p>
    <w:p>
      <w:pPr>
        <w:pStyle w:val="Heading1"/>
      </w:pPr>
      <w:r>
        <w:t xml:space="preserve">6. Analytical Questions</w:t>
      </w:r>
    </w:p>
    <w:p>
      <w:pPr>
        <w:spacing w:after="120"/>
      </w:pPr>
      <w:r>
        <w:rPr>
          <w:rFonts w:ascii="Arial" w:cs="Arial" w:eastAsia="Arial" w:hAnsi="Arial"/>
          <w:i w:val="false"/>
          <w:iCs w:val="false"/>
          <w:sz w:val="22"/>
          <w:szCs w:val="22"/>
        </w:rPr>
        <w:t xml:space="preserve">These are the specific questions the analysis must answer. Each is traceable to one or more functional requirements and directly supports the business objectives in D1.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500"/>
        <w:gridCol w:w="6026"/>
      </w:tblGrid>
      <w:tr>
        <w:tc>
          <w:tcPr>
            <w:tcW w:type="dxa" w:w="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Traces To</w:t>
            </w:r>
          </w:p>
        </w:tc>
        <w:tc>
          <w:tcPr>
            <w:tcW w:type="dxa" w:w="60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Question</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AQ-01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FR-01, FR-04</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By how much has the non-food retail sales index declined since January 2019, and how does this compare to the food sector over the same period?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AQ-02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FR-02</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What is the current internet sales proportion, and how does it compare to the pre-pandemic (2019 average) and pandemic peak (April 2020) levels?</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AQ-03</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FR-03, FR-07</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Which non-food sub-sector (textiles, household goods, other non-food) has experienced the steepest sustained decline, and at what annualised rate?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AQ-04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FR-05</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What seasonal patterns exist in non-food retail sales, and are these patterns consistent before and after the pandemic?</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AQ-05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FR-06</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Is there evidence that certain sub-sectors are recovering toward their pre-pandemic baseline while others continue to decline?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AQ-06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FR-05, FR-07</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During which months does footfall-proxy data suggest the greatest gap between staffing costs and customer volume?</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AQ-07</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Could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FR-08, FR-09</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Do city-level footfall recovery patterns differ materially from the national retail sales trend?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AQ-08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5B6"/>
                <w:sz w:val="20"/>
                <w:szCs w:val="20"/>
              </w:rPr>
              <w:t xml:space="preserve">Could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FR-04, FR-06</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Is the rate of online sales growth decelerating, stabilising, or continuing to accelerate post-pandemic?</w:t>
            </w:r>
          </w:p>
        </w:tc>
      </w:tr>
    </w:tbl>
    <w:p>
      <w:r>
        <w:br w:type="page"/>
      </w:r>
    </w:p>
    <w:p>
      <w:pPr>
        <w:pStyle w:val="Heading1"/>
      </w:pPr>
      <w:r>
        <w:t xml:space="preserve">7. Requirements Traceability Matrix</w:t>
      </w:r>
    </w:p>
    <w:p>
      <w:pPr>
        <w:spacing w:after="120"/>
      </w:pPr>
      <w:r>
        <w:rPr>
          <w:rFonts w:ascii="Arial" w:cs="Arial" w:eastAsia="Arial" w:hAnsi="Arial"/>
          <w:i w:val="false"/>
          <w:iCs w:val="false"/>
          <w:sz w:val="22"/>
          <w:szCs w:val="22"/>
        </w:rPr>
        <w:t xml:space="preserve">This matrix maps each requirement back to the business objectives in D1 (Section 5.1) and forward to the deliverable that will satisfy it. This ensures full traceability from business need to delivered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2026"/>
        <w:gridCol w:w="200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 ID</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D1 Objective</w:t>
            </w:r>
          </w:p>
        </w:tc>
        <w:tc>
          <w:tcPr>
            <w:tcW w:type="dxa" w:w="20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Delivered By</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Verified By</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FR-01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Monthly sales trend analysis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Obj 1: Quantify decline rate</w:t>
            </w:r>
          </w:p>
        </w:tc>
        <w:tc>
          <w:tcPr>
            <w:tcW w:type="dxa" w:w="2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D4: Dashboard</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Visual + data check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FR-02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Online vs. in-store proportion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Obj 1: Quantify decline</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D4: Dashboard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Source data comparison</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FR-03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Year-on-year comparison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Obj 2: Identify steepest decline</w:t>
            </w:r>
          </w:p>
        </w:tc>
        <w:tc>
          <w:tcPr>
            <w:tcW w:type="dxa" w:w="2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D4: Dashboard</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Manual calculation check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FR-04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Pre-pandemic baseline indexing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Obj 2: Steepest decline</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D4: Dashboard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Index formula verification</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FR-05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Seasonal pattern identification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Obj 3: Seasonal patterns</w:t>
            </w:r>
          </w:p>
        </w:tc>
        <w:tc>
          <w:tcPr>
            <w:tcW w:type="dxa" w:w="2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D4: Dashboard</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Statistical review</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FR-06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Sub-sector comparison 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Obj 2: Steepest decline</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D4: Dashboard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Visual inspection</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FR-07</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Decline rate quantification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Obj 1: Quantify decline</w:t>
            </w:r>
          </w:p>
        </w:tc>
        <w:tc>
          <w:tcPr>
            <w:tcW w:type="dxa" w:w="2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D5: Findings report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Calculation audit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NFR-01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Data accuracy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 objectives</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 deliverables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Spot-check against source</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NFR-02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Portfolio standard</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Obj 5: Professional delivery</w:t>
            </w:r>
          </w:p>
        </w:tc>
        <w:tc>
          <w:tcPr>
            <w:tcW w:type="dxa" w:w="2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All deliverables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Peer review</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DR-01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ONS Retail Sales Index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Obj 1, 2, 3</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D4: Dashboard input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Series code verification</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DR-02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Internet sales proportion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Obj 1</w:t>
            </w:r>
          </w:p>
        </w:tc>
        <w:tc>
          <w:tcPr>
            <w:tcW w:type="dxa" w:w="2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D4: Dashboard input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Series code verification</w:t>
            </w:r>
          </w:p>
        </w:tc>
      </w:tr>
    </w:tbl>
    <w:p>
      <w:r>
        <w:br w:type="page"/>
      </w:r>
    </w:p>
    <w:p>
      <w:pPr>
        <w:pStyle w:val="Heading1"/>
      </w:pPr>
      <w:r>
        <w:t xml:space="preserve">8. Assumptions, Dependencies &amp; Risks</w:t>
      </w:r>
    </w:p>
    <w:p>
      <w:pPr>
        <w:pStyle w:val="Heading2"/>
      </w:pPr>
      <w:r>
        <w:t xml:space="preserve">8.1 Assumptions</w:t>
      </w:r>
    </w:p>
    <w:p>
      <w:pPr>
        <w:pStyle w:val="ListParagraph"/>
        <w:numPr>
          <w:ilvl w:val="0"/>
          <w:numId w:val="2"/>
        </w:numPr>
        <w:spacing w:after="80"/>
      </w:pPr>
      <w:r>
        <w:rPr>
          <w:rFonts w:ascii="Arial" w:cs="Arial" w:eastAsia="Arial" w:hAnsi="Arial"/>
          <w:sz w:val="22"/>
          <w:szCs w:val="22"/>
        </w:rPr>
        <w:t xml:space="preserve">ONS Retail Sales Index data is published monthly without interruption and remains freely accessible.</w:t>
      </w:r>
    </w:p>
    <w:p>
      <w:pPr>
        <w:pStyle w:val="ListParagraph"/>
        <w:numPr>
          <w:ilvl w:val="0"/>
          <w:numId w:val="2"/>
        </w:numPr>
        <w:spacing w:after="80"/>
      </w:pPr>
      <w:r>
        <w:rPr>
          <w:rFonts w:ascii="Arial" w:cs="Arial" w:eastAsia="Arial" w:hAnsi="Arial"/>
          <w:sz w:val="22"/>
          <w:szCs w:val="22"/>
        </w:rPr>
        <w:t xml:space="preserve">Seasonally adjusted figures are suitable for trend analysis without further statistical adjustment.</w:t>
      </w:r>
    </w:p>
    <w:p>
      <w:pPr>
        <w:pStyle w:val="ListParagraph"/>
        <w:numPr>
          <w:ilvl w:val="0"/>
          <w:numId w:val="2"/>
        </w:numPr>
        <w:spacing w:after="80"/>
      </w:pPr>
      <w:r>
        <w:rPr>
          <w:rFonts w:ascii="Arial" w:cs="Arial" w:eastAsia="Arial" w:hAnsi="Arial"/>
          <w:sz w:val="22"/>
          <w:szCs w:val="22"/>
        </w:rPr>
        <w:t xml:space="preserve">The internet sales proportion is a reasonable proxy for in-store footfall changes at the national level.</w:t>
      </w:r>
    </w:p>
    <w:p>
      <w:pPr>
        <w:pStyle w:val="ListParagraph"/>
        <w:numPr>
          <w:ilvl w:val="0"/>
          <w:numId w:val="2"/>
        </w:numPr>
        <w:spacing w:after="80"/>
      </w:pPr>
      <w:r>
        <w:rPr>
          <w:rFonts w:ascii="Arial" w:cs="Arial" w:eastAsia="Arial" w:hAnsi="Arial"/>
          <w:sz w:val="22"/>
          <w:szCs w:val="22"/>
        </w:rPr>
        <w:t xml:space="preserve">Mid-size retailers experience trends broadly consistent with the national aggregates, though individual variation exists.</w:t>
      </w:r>
    </w:p>
    <w:p>
      <w:pPr>
        <w:pStyle w:val="Heading2"/>
      </w:pPr>
      <w:r>
        <w:t xml:space="preserve">8.2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426"/>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Dependency</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 if Unavailable</w:t>
            </w:r>
          </w:p>
        </w:tc>
        <w:tc>
          <w:tcPr>
            <w:tcW w:type="dxa" w:w="24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DEP-01</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ONS Retail Sales Index data availability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Core analysis cannot proceed</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Data already downloaded; archive copy retained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DEP-02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Centre for Cities footfall data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Could requirements (FR-09) cannot be met</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Treat as optional; note limitation in findings</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DEP-03</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Power BI Desktop availability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Dashboard deliverable (D4) requires alternative tool</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Fallback to Excel charts or Python visualisation</w:t>
            </w:r>
          </w:p>
        </w:tc>
      </w:tr>
    </w:tbl>
    <w:p>
      <w:pPr>
        <w:pStyle w:val="Heading2"/>
      </w:pPr>
      <w:r>
        <w:t xml:space="preserve">8.3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200"/>
        <w:gridCol w:w="1200"/>
        <w:gridCol w:w="3226"/>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2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RSK-01</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ONS revises historical data after analysis is complete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Low</w:t>
            </w:r>
          </w:p>
        </w:tc>
        <w:tc>
          <w:tcPr>
            <w:tcW w:type="dxa" w:w="3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Note revision policy in methodology; use snapshot date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RSK-02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Sub-sector classifications change between years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Medium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Verify SIC codes are consistent across the full time range</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RSK-03</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Centre for Cities data is insufficient for meaningful comparison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Low</w:t>
            </w:r>
          </w:p>
        </w:tc>
        <w:tc>
          <w:tcPr>
            <w:tcW w:type="dxa" w:w="3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This is a Could requirement; omit cleanly and document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RSK-04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Analysis findings are too generic to demonstrate BA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High</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Ground every recommendation in specific data points; avoid generic advice</w:t>
            </w:r>
          </w:p>
        </w:tc>
      </w:tr>
    </w:tbl>
    <w:p>
      <w:r>
        <w:br w:type="page"/>
      </w:r>
    </w:p>
    <w:p>
      <w:pPr>
        <w:pStyle w:val="Heading1"/>
      </w:pPr>
      <w:r>
        <w:t xml:space="preserve">9. Approval &amp; Sign-Off</w:t>
      </w:r>
    </w:p>
    <w:p>
      <w:pPr>
        <w:spacing w:after="120"/>
      </w:pPr>
      <w:r>
        <w:rPr>
          <w:rFonts w:ascii="Arial" w:cs="Arial" w:eastAsia="Arial" w:hAnsi="Arial"/>
          <w:i w:val="false"/>
          <w:iCs w:val="false"/>
          <w:sz w:val="22"/>
          <w:szCs w:val="22"/>
        </w:rPr>
        <w:t xml:space="preserve">In a live project, this section would be signed by the project sponsor and key stakeholders to confirm that the requirements are agreed and baseline. For this portfolio project, it demonstrates the sign-off process that would be followed.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Stakeholder</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1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Signature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Commercial Director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Sponsor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21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Head of Retail Operations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Decision Maker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2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Manoj [Surname]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Business Analyst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March 2026</w:t>
            </w:r>
          </w:p>
        </w:tc>
        <w:tc>
          <w:tcPr>
            <w:tcW w:type="dxa" w:w="21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[Author]</w:t>
            </w:r>
          </w:p>
        </w:tc>
      </w:tr>
    </w:tbl>
    <w:p>
      <w:pPr>
        <w:spacing w:before="400"/>
      </w:pPr>
    </w:p>
    <w:p>
      <w:pPr>
        <w:pStyle w:val="Heading1"/>
      </w:pPr>
      <w:r>
        <w:t xml:space="preserve">10.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526"/>
      </w:tblGrid>
      <w:t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Author</w:t>
            </w:r>
          </w:p>
        </w:tc>
        <w:tc>
          <w:tcPr>
            <w:tcW w:type="dxa" w:w="35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March 2026</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Manoj [Surname]</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Initial draft — all requirements baselined</w:t>
            </w:r>
          </w:p>
        </w:tc>
      </w:tr>
    </w:tbl>
    <w:p>
      <w:pPr>
        <w:spacing w:before="600"/>
      </w:pPr>
    </w:p>
    <w:p>
      <w:pPr>
        <w:pBdr>
          <w:top w:val="single" w:color="2E75B6" w:sz="4" w:space="8"/>
        </w:pBdr>
      </w:pPr>
      <w:r>
        <w:rPr>
          <w:rFonts w:ascii="Arial" w:cs="Arial" w:eastAsia="Arial" w:hAnsi="Arial"/>
          <w:i/>
          <w:iCs/>
          <w:color w:val="808080"/>
          <w:sz w:val="18"/>
          <w:szCs w:val="18"/>
        </w:rPr>
        <w:t xml:space="preserve">This document is part of a Business Analysis portfolio project. All data used is publicly available from UK government and research sources.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808080"/>
        <w:sz w:val="18"/>
        <w:szCs w:val="18"/>
      </w:rPr>
      <w:t xml:space="preserve">BA Requirements Document</w:t>
    </w:r>
    <w:r>
      <w:rPr>
        <w:rFonts w:ascii="Arial" w:cs="Arial" w:eastAsia="Arial" w:hAnsi="Arial"/>
        <w:color w:val="808080"/>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2026-03-21T13:29:26.751Z</dcterms:created>
  <dcterms:modified xsi:type="dcterms:W3CDTF">2026-03-21T13:29:26.752Z</dcterms:modified>
</cp:coreProperties>
</file>

<file path=docProps/custom.xml><?xml version="1.0" encoding="utf-8"?>
<Properties xmlns="http://schemas.openxmlformats.org/officeDocument/2006/custom-properties" xmlns:vt="http://schemas.openxmlformats.org/officeDocument/2006/docPropsVTypes"/>
</file>