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28"/>
          <w:szCs w:val="28"/>
        </w:rPr>
        <w:t xml:space="preserve">BUSINESS ANALYSIS</w:t>
      </w:r>
    </w:p>
    <w:p>
      <w:pPr>
        <w:spacing w:after="100"/>
        <w:jc w:val="center"/>
      </w:pPr>
      <w:r>
        <w:rPr>
          <w:rFonts w:ascii="Arial" w:cs="Arial" w:eastAsia="Arial" w:hAnsi="Arial"/>
          <w:b/>
          <w:bCs/>
          <w:color w:val="1F4E79"/>
          <w:sz w:val="48"/>
          <w:szCs w:val="48"/>
        </w:rPr>
        <w:t xml:space="preserve">Findings &amp; Recommendations</w:t>
      </w:r>
    </w:p>
    <w:p>
      <w:pPr>
        <w:pBdr>
          <w:bottom w:val="single" w:color="2E75B6" w:sz="6" w:space="8"/>
        </w:pBdr>
        <w:spacing w:after="400"/>
        <w:jc w:val="center"/>
      </w:pPr>
    </w:p>
    <w:p>
      <w:pPr>
        <w:spacing w:after="120"/>
        <w:jc w:val="center"/>
      </w:pPr>
      <w:r>
        <w:rPr>
          <w:rFonts w:ascii="Arial" w:cs="Arial" w:eastAsia="Arial" w:hAnsi="Arial"/>
          <w:color w:val="404040"/>
          <w:sz w:val="26"/>
          <w:szCs w:val="26"/>
        </w:rPr>
        <w:t xml:space="preserve">UK High Street Retail Footfall Decline:</w:t>
      </w:r>
    </w:p>
    <w:p>
      <w:pPr>
        <w:spacing w:after="600"/>
        <w:jc w:val="center"/>
      </w:pPr>
      <w:r>
        <w:rPr>
          <w:rFonts w:ascii="Arial" w:cs="Arial" w:eastAsia="Arial" w:hAnsi="Arial"/>
          <w:color w:val="404040"/>
          <w:sz w:val="26"/>
          <w:szCs w:val="26"/>
        </w:rPr>
        <w:t xml:space="preserve">Data-Driven Analysis for Mid-Size Retailers</w:t>
      </w:r>
    </w:p>
    <w:p>
      <w:pPr>
        <w:spacing w:before="4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b/>
                <w:bCs/>
                <w:sz w:val="20"/>
                <w:szCs w:val="20"/>
              </w:rPr>
              <w:t xml:space="preserve">Author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Manoj [Surname]</w:t>
            </w:r>
          </w:p>
        </w:tc>
      </w:tr>
      <w:tr>
        <w:tc>
          <w:tcPr>
            <w:tcW w:type="dxa" w:w="20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March 2026</w:t>
            </w:r>
          </w:p>
        </w:tc>
      </w:tr>
      <w:tr>
        <w:tc>
          <w:tcPr>
            <w:tcW w:type="dxa" w:w="20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b/>
                <w:bCs/>
                <w:sz w:val="20"/>
                <w:szCs w:val="20"/>
              </w:rPr>
              <w:t xml:space="preserve">Version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20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Draft</w:t>
            </w:r>
          </w:p>
        </w:tc>
      </w:tr>
      <w:tr>
        <w:tc>
          <w:tcPr>
            <w:tcW w:type="dxa" w:w="20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b/>
                <w:bCs/>
                <w:sz w:val="20"/>
                <w:szCs w:val="20"/>
              </w:rPr>
              <w:t xml:space="preserve">Reference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D5 — Findings &amp; Recommendations</w:t>
            </w:r>
          </w:p>
        </w:tc>
      </w:tr>
    </w:tbl>
    <w:p>
      <w:pPr>
        <w:spacing w:before="2000"/>
      </w:pPr>
    </w:p>
    <w:p>
      <w:pPr>
        <w:jc w:val="center"/>
      </w:pPr>
      <w:r>
        <w:rPr>
          <w:rFonts w:ascii="Arial" w:cs="Arial" w:eastAsia="Arial" w:hAnsi="Arial"/>
          <w:i/>
          <w:iCs/>
          <w:color w:val="808080"/>
          <w:sz w:val="18"/>
          <w:szCs w:val="18"/>
        </w:rPr>
        <w:t xml:space="preserve">Based on ONS Retail Sales Index data (Jan 2017 – Jan 2026)</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b w:val="false"/>
          <w:bCs w:val="false"/>
          <w:i w:val="false"/>
          <w:iCs w:val="false"/>
          <w:sz w:val="22"/>
          <w:szCs w:val="22"/>
        </w:rPr>
        <w:t xml:space="preserve">This report presents the findings of a data-driven analysis of UK retail sales trends from January 2017 to January 2026, using the ONS Retail Sales Index (chained volume, seasonally adjusted, 2019=100). The analysis addresses the business problem defined in D1: how mid-size non-food retailers can understand and respond to structural changes in footfall and purchasing behaviour.</w:t>
      </w:r>
    </w:p>
    <w:p>
      <w:pPr>
        <w:spacing w:after="120"/>
      </w:pPr>
      <w:r>
        <w:rPr>
          <w:rFonts w:ascii="Arial" w:cs="Arial" w:eastAsia="Arial" w:hAnsi="Arial"/>
          <w:b w:val="false"/>
          <w:bCs w:val="false"/>
          <w:i w:val="false"/>
          <w:iCs w:val="false"/>
          <w:sz w:val="22"/>
          <w:szCs w:val="22"/>
        </w:rPr>
        <w:t xml:space="preserve">The data reveals a nuanced picture that challenges simplistic narratives about retail decline. While overall retail volumes have remained broadly stable (+2.9% vs January 2019), this headline masks significant divergence between sectors. Household goods stores have experienced the steepest sustained decline (–10% on their 2019 average), while non-store retail has grown by +18% over the same period. Textiles and clothing sit in the middle, down around 4–5% from pre-pandemic levels but showing recent signs of stabilisation.</w:t>
      </w:r>
    </w:p>
    <w:p>
      <w:pPr>
        <w:spacing w:after="120"/>
      </w:pPr>
      <w:r>
        <w:rPr>
          <w:rFonts w:ascii="Arial" w:cs="Arial" w:eastAsia="Arial" w:hAnsi="Arial"/>
          <w:b w:val="false"/>
          <w:bCs w:val="false"/>
          <w:i w:val="false"/>
          <w:iCs w:val="false"/>
          <w:sz w:val="22"/>
          <w:szCs w:val="22"/>
        </w:rPr>
        <w:t xml:space="preserve">The recommendations focus on four areas: seasonal staffing alignment, store portfolio prioritisation, product mix adaptation, and data-led performance monitoring. Each recommendation is grounded in specific data points and linked to the requirements in D2.</w:t>
      </w:r>
    </w:p>
    <w:p>
      <w:r>
        <w:br w:type="page"/>
      </w:r>
    </w:p>
    <w:p>
      <w:pPr>
        <w:pStyle w:val="Heading1"/>
      </w:pPr>
      <w:r>
        <w:t xml:space="preserve">2. Data Overview</w:t>
      </w:r>
    </w:p>
    <w:p>
      <w:pPr>
        <w:pStyle w:val="Heading2"/>
      </w:pPr>
      <w:r>
        <w:t xml:space="preserve">2.1 Dataset</w:t>
      </w:r>
    </w:p>
    <w:p>
      <w:pPr>
        <w:spacing w:after="120"/>
      </w:pPr>
      <w:r>
        <w:rPr>
          <w:rFonts w:ascii="Arial" w:cs="Arial" w:eastAsia="Arial" w:hAnsi="Arial"/>
          <w:b w:val="false"/>
          <w:bCs w:val="false"/>
          <w:i w:val="false"/>
          <w:iCs w:val="false"/>
          <w:sz w:val="22"/>
          <w:szCs w:val="22"/>
        </w:rPr>
        <w:t xml:space="preserve">The analysis uses the ONS Retail Sales Index (Dataset ID: DRSI), which provides monthly estimates of retail sales volumes in Great Britain. The data is chained-volume (adjusted for price changes), seasonally adjusted, and indexed to 2019=100. This dataset is the UK government’s primary measure of retail activity and is classified as an Accredited Official Statistic.</w:t>
      </w:r>
    </w:p>
    <w:p>
      <w:pPr>
        <w:pStyle w:val="Heading2"/>
      </w:pPr>
      <w:r>
        <w:t xml:space="preserve">2.2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65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000000"/>
                <w:sz w:val="20"/>
                <w:szCs w:val="20"/>
              </w:rPr>
              <w:t xml:space="preserve">Time range</w:t>
            </w:r>
          </w:p>
        </w:tc>
        <w:tc>
          <w:tcPr>
            <w:tcW w:type="dxa" w:w="65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January 2017 to January 2026 (109 monthly observations)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Geographic scope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Great Britain (England, Scotland, Wales)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000000"/>
                <w:sz w:val="20"/>
                <w:szCs w:val="20"/>
              </w:rPr>
              <w:t xml:space="preserve">Measure</w:t>
            </w:r>
          </w:p>
        </w:tc>
        <w:tc>
          <w:tcPr>
            <w:tcW w:type="dxa" w:w="65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Chained volume of retail sales, seasonally adjusted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Index base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2019 = 100 (annual average)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000000"/>
                <w:sz w:val="20"/>
                <w:szCs w:val="20"/>
              </w:rPr>
              <w:t xml:space="preserve">Sub-sectors analysed</w:t>
            </w:r>
          </w:p>
        </w:tc>
        <w:tc>
          <w:tcPr>
            <w:tcW w:type="dxa" w:w="65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All retailing (exc. fuel), food stores, non-food stores, textiles/clothing/footwear, household goods, non-store retail, other non-food, department stores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Source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ONS (ons.gov.uk) — downloaded March 2026</w:t>
            </w:r>
          </w:p>
        </w:tc>
      </w:tr>
    </w:tbl>
    <w:p>
      <w:pPr>
        <w:pStyle w:val="Heading2"/>
      </w:pPr>
      <w:r>
        <w:t xml:space="preserve">2.3 Data Quality Notes</w:t>
      </w:r>
    </w:p>
    <w:p>
      <w:pPr>
        <w:pStyle w:val="ListParagraph"/>
        <w:numPr>
          <w:ilvl w:val="0"/>
          <w:numId w:val="2"/>
        </w:numPr>
        <w:spacing w:after="80"/>
      </w:pPr>
      <w:r>
        <w:rPr>
          <w:rFonts w:ascii="Arial" w:cs="Arial" w:eastAsia="Arial" w:hAnsi="Arial"/>
          <w:sz w:val="22"/>
          <w:szCs w:val="22"/>
        </w:rPr>
        <w:t xml:space="preserve">No gaps were found in any monthly time series for the analysis period.</w:t>
      </w:r>
    </w:p>
    <w:p>
      <w:pPr>
        <w:pStyle w:val="ListParagraph"/>
        <w:numPr>
          <w:ilvl w:val="0"/>
          <w:numId w:val="2"/>
        </w:numPr>
        <w:spacing w:after="80"/>
      </w:pPr>
      <w:r>
        <w:rPr>
          <w:rFonts w:ascii="Arial" w:cs="Arial" w:eastAsia="Arial" w:hAnsi="Arial"/>
          <w:sz w:val="22"/>
          <w:szCs w:val="22"/>
        </w:rPr>
        <w:t xml:space="preserve">All series use consistent SIC 2007 classifications throughout.</w:t>
      </w:r>
    </w:p>
    <w:p>
      <w:pPr>
        <w:pStyle w:val="ListParagraph"/>
        <w:numPr>
          <w:ilvl w:val="0"/>
          <w:numId w:val="2"/>
        </w:numPr>
        <w:spacing w:after="80"/>
      </w:pPr>
      <w:r>
        <w:rPr>
          <w:rFonts w:ascii="Arial" w:cs="Arial" w:eastAsia="Arial" w:hAnsi="Arial"/>
          <w:sz w:val="22"/>
          <w:szCs w:val="22"/>
        </w:rPr>
        <w:t xml:space="preserve">Seasonal adjustment is applied at the industry level by ONS before aggregation.</w:t>
      </w:r>
    </w:p>
    <w:p>
      <w:pPr>
        <w:pStyle w:val="ListParagraph"/>
        <w:numPr>
          <w:ilvl w:val="0"/>
          <w:numId w:val="2"/>
        </w:numPr>
        <w:spacing w:after="80"/>
      </w:pPr>
      <w:r>
        <w:rPr>
          <w:rFonts w:ascii="Arial" w:cs="Arial" w:eastAsia="Arial" w:hAnsi="Arial"/>
          <w:sz w:val="22"/>
          <w:szCs w:val="22"/>
        </w:rPr>
        <w:t xml:space="preserve">January 2020 uses a 5-week reporting period (standard ONS methodology); this does not affect the seasonally adjusted figures.</w:t>
      </w:r>
    </w:p>
    <w:p>
      <w:r>
        <w:br w:type="page"/>
      </w:r>
    </w:p>
    <w:p>
      <w:pPr>
        <w:pStyle w:val="Heading1"/>
      </w:pPr>
      <w:r>
        <w:t xml:space="preserve">3. Key Findings</w:t>
      </w:r>
    </w:p>
    <w:p>
      <w:pPr>
        <w:pStyle w:val="Heading2"/>
      </w:pPr>
      <w:r>
        <w:t xml:space="preserve">3.1 Overall Retail Has Recovered, But the Mix Has Shifted</w:t>
      </w:r>
    </w:p>
    <w:p>
      <w:pPr>
        <w:spacing w:after="120"/>
      </w:pPr>
      <w:r>
        <w:rPr>
          <w:rFonts w:ascii="Arial" w:cs="Arial" w:eastAsia="Arial" w:hAnsi="Arial"/>
          <w:b w:val="false"/>
          <w:bCs w:val="false"/>
          <w:i w:val="false"/>
          <w:iCs w:val="false"/>
          <w:sz w:val="22"/>
          <w:szCs w:val="22"/>
        </w:rPr>
        <w:t xml:space="preserve">Total retail sales volume (excluding fuel) in January 2026 stood at 104.4, representing a +2.9% increase on January 2019. However, this recovery is almost entirely driven by non-store (online) retail, which has grown +40% over the same period. In-store sectors tell a different 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13"/>
        <w:gridCol w:w="1513"/>
      </w:tblGrid>
      <w:tr>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Sector</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Jan 2019</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Jan 2026</w:t>
            </w:r>
          </w:p>
        </w:tc>
        <w:tc>
          <w:tcPr>
            <w:tcW w:type="dxa" w:w="1513"/>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Change</w:t>
            </w:r>
          </w:p>
        </w:tc>
        <w:tc>
          <w:tcPr>
            <w:tcW w:type="dxa" w:w="1513"/>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2025 Avg vs 2019 Avg</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000000"/>
                <w:sz w:val="20"/>
                <w:szCs w:val="20"/>
              </w:rPr>
              <w:t xml:space="preserve">All Retail (exc. fuel)</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101.5</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104.4</w:t>
            </w:r>
          </w:p>
        </w:tc>
        <w:tc>
          <w:tcPr>
            <w:tcW w:type="dxa" w:w="151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2E7D32"/>
                <w:sz w:val="20"/>
                <w:szCs w:val="20"/>
              </w:rPr>
              <w:t xml:space="preserve">+2.9%</w:t>
            </w:r>
          </w:p>
        </w:tc>
        <w:tc>
          <w:tcPr>
            <w:tcW w:type="dxa" w:w="151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C62828"/>
                <w:sz w:val="20"/>
                <w:szCs w:val="20"/>
              </w:rPr>
              <w:t xml:space="preserve">−1.1%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Food Stores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105.0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100.2</w:t>
            </w:r>
          </w:p>
        </w:tc>
        <w:tc>
          <w:tcPr>
            <w:tcW w:type="dxa" w:w="1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62828"/>
                <w:sz w:val="20"/>
                <w:szCs w:val="20"/>
              </w:rPr>
              <w:t xml:space="preserve">−4.6%</w:t>
            </w:r>
          </w:p>
        </w:tc>
        <w:tc>
          <w:tcPr>
            <w:tcW w:type="dxa" w:w="1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62828"/>
                <w:sz w:val="20"/>
                <w:szCs w:val="20"/>
              </w:rPr>
              <w:t xml:space="preserve">−5.3%</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000000"/>
                <w:sz w:val="20"/>
                <w:szCs w:val="20"/>
              </w:rPr>
              <w:t xml:space="preserve">Non-Food Stores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104.9</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105.6</w:t>
            </w:r>
          </w:p>
        </w:tc>
        <w:tc>
          <w:tcPr>
            <w:tcW w:type="dxa" w:w="151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2E7D32"/>
                <w:sz w:val="20"/>
                <w:szCs w:val="20"/>
              </w:rPr>
              <w:t xml:space="preserve">+0.7%</w:t>
            </w:r>
          </w:p>
        </w:tc>
        <w:tc>
          <w:tcPr>
            <w:tcW w:type="dxa" w:w="151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C62828"/>
                <w:sz w:val="20"/>
                <w:szCs w:val="20"/>
              </w:rPr>
              <w:t xml:space="preserve">−2.2%</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Textiles &amp; Clothing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103.0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100.0</w:t>
            </w:r>
          </w:p>
        </w:tc>
        <w:tc>
          <w:tcPr>
            <w:tcW w:type="dxa" w:w="1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62828"/>
                <w:sz w:val="20"/>
                <w:szCs w:val="20"/>
              </w:rPr>
              <w:t xml:space="preserve">−2.9%</w:t>
            </w:r>
          </w:p>
        </w:tc>
        <w:tc>
          <w:tcPr>
            <w:tcW w:type="dxa" w:w="1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62828"/>
                <w:sz w:val="20"/>
                <w:szCs w:val="20"/>
              </w:rPr>
              <w:t xml:space="preserve">−4.4%</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000000"/>
                <w:sz w:val="20"/>
                <w:szCs w:val="20"/>
              </w:rPr>
              <w:t xml:space="preserve">Household Goods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111.0</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104.0</w:t>
            </w:r>
          </w:p>
        </w:tc>
        <w:tc>
          <w:tcPr>
            <w:tcW w:type="dxa" w:w="151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C62828"/>
                <w:sz w:val="20"/>
                <w:szCs w:val="20"/>
              </w:rPr>
              <w:t xml:space="preserve">−6.3%</w:t>
            </w:r>
          </w:p>
        </w:tc>
        <w:tc>
          <w:tcPr>
            <w:tcW w:type="dxa" w:w="151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C62828"/>
                <w:sz w:val="20"/>
                <w:szCs w:val="20"/>
              </w:rPr>
              <w:t xml:space="preserve">−9.7%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Non-Store (Online)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81.0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113.7</w:t>
            </w:r>
          </w:p>
        </w:tc>
        <w:tc>
          <w:tcPr>
            <w:tcW w:type="dxa" w:w="1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20"/>
                <w:szCs w:val="20"/>
              </w:rPr>
              <w:t xml:space="preserve">+40.4%</w:t>
            </w:r>
          </w:p>
        </w:tc>
        <w:tc>
          <w:tcPr>
            <w:tcW w:type="dxa" w:w="1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20"/>
                <w:szCs w:val="20"/>
              </w:rPr>
              <w:t xml:space="preserve">+18.1%</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000000"/>
                <w:sz w:val="20"/>
                <w:szCs w:val="20"/>
              </w:rPr>
              <w:t xml:space="preserve">Other Non-Food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98.8</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114.4</w:t>
            </w:r>
          </w:p>
        </w:tc>
        <w:tc>
          <w:tcPr>
            <w:tcW w:type="dxa" w:w="151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2E7D32"/>
                <w:sz w:val="20"/>
                <w:szCs w:val="20"/>
              </w:rPr>
              <w:t xml:space="preserve">+15.8%</w:t>
            </w:r>
          </w:p>
        </w:tc>
        <w:tc>
          <w:tcPr>
            <w:tcW w:type="dxa" w:w="151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2E7D32"/>
                <w:sz w:val="20"/>
                <w:szCs w:val="20"/>
              </w:rPr>
              <w:t xml:space="preserve">+6.8%</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Department Stores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111.5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100.5</w:t>
            </w:r>
          </w:p>
        </w:tc>
        <w:tc>
          <w:tcPr>
            <w:tcW w:type="dxa" w:w="1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62828"/>
                <w:sz w:val="20"/>
                <w:szCs w:val="20"/>
              </w:rPr>
              <w:t xml:space="preserve">−9.9%</w:t>
            </w:r>
          </w:p>
        </w:tc>
        <w:tc>
          <w:tcPr>
            <w:tcW w:type="dxa" w:w="1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62828"/>
                <w:sz w:val="20"/>
                <w:szCs w:val="20"/>
              </w:rPr>
              <w:t xml:space="preserve">−5.5%</w:t>
            </w:r>
          </w:p>
        </w:tc>
      </w:tr>
    </w:tbl>
    <w:p>
      <w:pPr>
        <w:pBdr>
          <w:top w:val="single" w:color="2E75B6" w:sz="6" w:space="4"/>
        </w:pBdr>
        <w:spacing w:after="60" w:before="200"/>
      </w:pPr>
      <w:r>
        <w:rPr>
          <w:rFonts w:ascii="Arial" w:cs="Arial" w:eastAsia="Arial" w:hAnsi="Arial"/>
          <w:b/>
          <w:bCs/>
          <w:color w:val="1F4E79"/>
          <w:sz w:val="22"/>
          <w:szCs w:val="22"/>
        </w:rPr>
        <w:t xml:space="preserve">Key Insight</w:t>
      </w:r>
    </w:p>
    <w:p>
      <w:pPr>
        <w:spacing w:after="200"/>
        <w:ind w:left="200"/>
      </w:pPr>
      <w:r>
        <w:rPr>
          <w:rFonts w:ascii="Arial" w:cs="Arial" w:eastAsia="Arial" w:hAnsi="Arial"/>
          <w:sz w:val="22"/>
          <w:szCs w:val="22"/>
        </w:rPr>
        <w:t xml:space="preserve">The headline recovery of total retail masks a fundamental structural shift: sales volume has migrated from physical stores to online channels. For mid-size non-food retailers, the relevant benchmark is not total retail but their specific sub-sector, where volumes remain below 2019 levels.</w:t>
      </w:r>
    </w:p>
    <w:p>
      <w:pPr>
        <w:pStyle w:val="Heading2"/>
      </w:pPr>
      <w:r>
        <w:t xml:space="preserve">3.2 Household Goods Has Experienced the Steepest Sustained Decline</w:t>
      </w:r>
    </w:p>
    <w:p>
      <w:pPr>
        <w:spacing w:after="120"/>
      </w:pPr>
      <w:r>
        <w:rPr>
          <w:rFonts w:ascii="Arial" w:cs="Arial" w:eastAsia="Arial" w:hAnsi="Arial"/>
          <w:b w:val="false"/>
          <w:bCs w:val="false"/>
          <w:i w:val="false"/>
          <w:iCs w:val="false"/>
          <w:sz w:val="22"/>
          <w:szCs w:val="22"/>
        </w:rPr>
        <w:t xml:space="preserve">Household goods stores have declined from an average index of 111.0 in 2019 to 100.2 in 2025 — a drop of 9.7%. This is the largest sustained decline of any sub-sector in the dataset. The pattern is distinctive: household goods surged during the pandemic (peaking at 135.6 in May 2021 as consumers invested in their homes during lockdowns), then experienced a sharp correction that has not reversed.</w:t>
      </w:r>
    </w:p>
    <w:p>
      <w:pPr>
        <w:spacing w:after="120"/>
      </w:pPr>
      <w:r>
        <w:rPr>
          <w:rFonts w:ascii="Arial" w:cs="Arial" w:eastAsia="Arial" w:hAnsi="Arial"/>
          <w:b w:val="false"/>
          <w:bCs w:val="false"/>
          <w:i w:val="false"/>
          <w:iCs w:val="false"/>
          <w:sz w:val="22"/>
          <w:szCs w:val="22"/>
        </w:rPr>
        <w:t xml:space="preserve">By contrast, textiles and clothing experienced a deeper pandemic trough (−68.6% in April 2020) but has recovered more strongly, sitting only 4.4% below its 2019 average in 2025. This suggests the household goods correction reflects a genuine demand pull-forward rather than a temporary disruption.</w:t>
      </w:r>
    </w:p>
    <w:p>
      <w:pPr>
        <w:pBdr>
          <w:top w:val="single" w:color="2E75B6" w:sz="6" w:space="4"/>
        </w:pBdr>
        <w:spacing w:after="60" w:before="200"/>
      </w:pPr>
      <w:r>
        <w:rPr>
          <w:rFonts w:ascii="Arial" w:cs="Arial" w:eastAsia="Arial" w:hAnsi="Arial"/>
          <w:b/>
          <w:bCs/>
          <w:color w:val="1F4E79"/>
          <w:sz w:val="22"/>
          <w:szCs w:val="22"/>
        </w:rPr>
        <w:t xml:space="preserve">Key Insight</w:t>
      </w:r>
    </w:p>
    <w:p>
      <w:pPr>
        <w:spacing w:after="200"/>
        <w:ind w:left="200"/>
      </w:pPr>
      <w:r>
        <w:rPr>
          <w:rFonts w:ascii="Arial" w:cs="Arial" w:eastAsia="Arial" w:hAnsi="Arial"/>
          <w:sz w:val="22"/>
          <w:szCs w:val="22"/>
        </w:rPr>
        <w:t xml:space="preserve">Mid-size retailers with significant household goods exposure should treat the 2020–2021 surge as anomalous. Staffing and inventory plans should benchmark against 2019 levels, not the inflated pandemic period.</w:t>
      </w:r>
    </w:p>
    <w:p>
      <w:pPr>
        <w:pStyle w:val="Heading2"/>
      </w:pPr>
      <w:r>
        <w:t xml:space="preserve">3.3 Department Stores Face Structural Pressure</w:t>
      </w:r>
    </w:p>
    <w:p>
      <w:pPr>
        <w:spacing w:after="120"/>
      </w:pPr>
      <w:r>
        <w:rPr>
          <w:rFonts w:ascii="Arial" w:cs="Arial" w:eastAsia="Arial" w:hAnsi="Arial"/>
          <w:b w:val="false"/>
          <w:bCs w:val="false"/>
          <w:i w:val="false"/>
          <w:iCs w:val="false"/>
          <w:sz w:val="22"/>
          <w:szCs w:val="22"/>
        </w:rPr>
        <w:t xml:space="preserve">Non-specialised stores (department stores) have declined 9.9% from their January 2019 index of 111.5 to 100.5 in January 2026, with 2025 averaging 5.5% below 2019 levels. This decline has been steady rather than dramatic, with no single sharp drop outside the pandemic. The trajectory suggests a structural shift in consumer preference away from the department store format rather than a cyclical downturn.</w:t>
      </w:r>
    </w:p>
    <w:p>
      <w:pPr>
        <w:spacing w:after="120"/>
      </w:pPr>
      <w:r>
        <w:rPr>
          <w:rFonts w:ascii="Arial" w:cs="Arial" w:eastAsia="Arial" w:hAnsi="Arial"/>
          <w:b w:val="false"/>
          <w:bCs w:val="false"/>
          <w:i w:val="false"/>
          <w:iCs w:val="false"/>
          <w:sz w:val="22"/>
          <w:szCs w:val="22"/>
        </w:rPr>
        <w:t xml:space="preserve">However, there are modest signs of stabilisation in the second half of 2025, with the index averaging 103.5 across July–December 2025 compared to 101.6 in the first half of 2022, representing a +1.9% improvement. Whether this represents genuine recovery or seasonal variation will require further monitoring.</w:t>
      </w:r>
    </w:p>
    <w:p>
      <w:r>
        <w:br w:type="page"/>
      </w:r>
    </w:p>
    <w:p>
      <w:pPr>
        <w:pStyle w:val="Heading2"/>
      </w:pPr>
      <w:r>
        <w:t xml:space="preserve">3.4 Non-Store Retail Has Plateaued After Explosive Growth</w:t>
      </w:r>
    </w:p>
    <w:p>
      <w:pPr>
        <w:spacing w:after="120"/>
      </w:pPr>
      <w:r>
        <w:rPr>
          <w:rFonts w:ascii="Arial" w:cs="Arial" w:eastAsia="Arial" w:hAnsi="Arial"/>
          <w:b w:val="false"/>
          <w:bCs w:val="false"/>
          <w:i w:val="false"/>
          <w:iCs w:val="false"/>
          <w:sz w:val="22"/>
          <w:szCs w:val="22"/>
        </w:rPr>
        <w:t xml:space="preserve">Non-store retail (predominantly online) experienced explosive growth during the pandemic, with the annual average index jumping from 89.5 in 2019 to 119.8 in 2020 and 121.6 in 2021. However, the growth trajectory has shifted markedly since 2022:</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Year</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Avg Non-Store Index</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YoY Change</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2019</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89.5</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2020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119.8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+33.9%</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2021</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121.6</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+1.5%</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2022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103.3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−15.0%</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2023</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100.1</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2024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102.2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+2.1%</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2025</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105.7</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+3.4%</w:t>
            </w:r>
          </w:p>
        </w:tc>
      </w:tr>
    </w:tbl>
    <w:p>
      <w:pPr>
        <w:spacing w:after="120"/>
      </w:pPr>
      <w:r>
        <w:rPr>
          <w:rFonts w:ascii="Arial" w:cs="Arial" w:eastAsia="Arial" w:hAnsi="Arial"/>
          <w:b w:val="false"/>
          <w:bCs w:val="false"/>
          <w:i w:val="false"/>
          <w:iCs w:val="false"/>
          <w:sz w:val="22"/>
          <w:szCs w:val="22"/>
        </w:rPr>
        <w:t xml:space="preserve">The 2022 correction (when lockdown-driven online shopping normalised) was sharper than many expected, with non-store volumes falling 15% from 2021. Since then, online retail has resumed modest growth of 2–3% annually, suggesting it has settled into a new equilibrium roughly 18% above pre-pandemic levels rather than continuing exponential growth.</w:t>
      </w:r>
    </w:p>
    <w:p>
      <w:pPr>
        <w:pBdr>
          <w:top w:val="single" w:color="2E75B6" w:sz="6" w:space="4"/>
        </w:pBdr>
        <w:spacing w:after="60" w:before="200"/>
      </w:pPr>
      <w:r>
        <w:rPr>
          <w:rFonts w:ascii="Arial" w:cs="Arial" w:eastAsia="Arial" w:hAnsi="Arial"/>
          <w:b/>
          <w:bCs/>
          <w:color w:val="1F4E79"/>
          <w:sz w:val="22"/>
          <w:szCs w:val="22"/>
        </w:rPr>
        <w:t xml:space="preserve">Key Insight</w:t>
      </w:r>
    </w:p>
    <w:p>
      <w:pPr>
        <w:spacing w:after="200"/>
        <w:ind w:left="200"/>
      </w:pPr>
      <w:r>
        <w:rPr>
          <w:rFonts w:ascii="Arial" w:cs="Arial" w:eastAsia="Arial" w:hAnsi="Arial"/>
          <w:sz w:val="22"/>
          <w:szCs w:val="22"/>
        </w:rPr>
        <w:t xml:space="preserve">The assumption in D1 that online penetration will continue to grow indefinitely is partially supported. Growth has resumed but at a much slower rate than 2019–2020. Mid-size retailers should plan for gradual rather than rapid online migration.</w:t>
      </w:r>
    </w:p>
    <w:p>
      <w:pPr>
        <w:pStyle w:val="Heading2"/>
      </w:pPr>
      <w:r>
        <w:t xml:space="preserve">3.5 Seasonal Patterns Have Shifted Post-Pandemic</w:t>
      </w:r>
    </w:p>
    <w:p>
      <w:pPr>
        <w:spacing w:after="120"/>
      </w:pPr>
      <w:r>
        <w:rPr>
          <w:rFonts w:ascii="Arial" w:cs="Arial" w:eastAsia="Arial" w:hAnsi="Arial"/>
          <w:b w:val="false"/>
          <w:bCs w:val="false"/>
          <w:i w:val="false"/>
          <w:iCs w:val="false"/>
          <w:sz w:val="22"/>
          <w:szCs w:val="22"/>
        </w:rPr>
        <w:t xml:space="preserve">Comparing monthly averages for 2022–2025 against 2017–2019 reveals changes in seasonal purchasing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713"/>
        <w:gridCol w:w="1715"/>
      </w:tblGrid>
      <w:t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Sector</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Post-Pandemic Peak</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Post-Pandemic Trough</w:t>
            </w:r>
          </w:p>
        </w:tc>
        <w:tc>
          <w:tcPr>
            <w:tcW w:type="dxa" w:w="1713"/>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Spread</w:t>
            </w:r>
          </w:p>
        </w:tc>
        <w:tc>
          <w:tcPr>
            <w:tcW w:type="dxa" w:w="1715"/>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Implication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000000"/>
                <w:sz w:val="20"/>
                <w:szCs w:val="20"/>
              </w:rPr>
              <w:t xml:space="preserve">Non-Food Stores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March (103.3)</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August (100.8)</w:t>
            </w:r>
          </w:p>
        </w:tc>
        <w:tc>
          <w:tcPr>
            <w:tcW w:type="dxa" w:w="171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2.5 pts</w:t>
            </w:r>
          </w:p>
        </w:tc>
        <w:tc>
          <w:tcPr>
            <w:tcW w:type="dxa" w:w="1715"/>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Spring staffing priority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Textiles &amp; Clothing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March (99.2)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January (96.8)</w:t>
            </w:r>
          </w:p>
        </w:tc>
        <w:tc>
          <w:tcPr>
            <w:tcW w:type="dxa" w:w="17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2.4 pts</w:t>
            </w:r>
          </w:p>
        </w:tc>
        <w:tc>
          <w:tcPr>
            <w:tcW w:type="dxa" w:w="17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Q1 is weakest quarter</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000000"/>
                <w:sz w:val="20"/>
                <w:szCs w:val="20"/>
              </w:rPr>
              <w:t xml:space="preserve">Household Goods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March (102.5)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December (99.3)</w:t>
            </w:r>
          </w:p>
        </w:tc>
        <w:tc>
          <w:tcPr>
            <w:tcW w:type="dxa" w:w="171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3.1 pts</w:t>
            </w:r>
          </w:p>
        </w:tc>
        <w:tc>
          <w:tcPr>
            <w:tcW w:type="dxa" w:w="1715"/>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Spring/summer stock-up</w:t>
            </w:r>
          </w:p>
        </w:tc>
      </w:tr>
    </w:tbl>
    <w:p>
      <w:pPr>
        <w:spacing w:after="120"/>
      </w:pPr>
      <w:r>
        <w:rPr>
          <w:rFonts w:ascii="Arial" w:cs="Arial" w:eastAsia="Arial" w:hAnsi="Arial"/>
          <w:b w:val="false"/>
          <w:bCs w:val="false"/>
          <w:i w:val="false"/>
          <w:iCs w:val="false"/>
          <w:sz w:val="22"/>
          <w:szCs w:val="22"/>
        </w:rPr>
        <w:t xml:space="preserve">The seasonal spread (difference between peak and trough months) is relatively narrow at 2–3 index points, but this translates to meaningful differences in daily footfall that should inform staffing rotas. March consistently emerges as the peak month across non-food sub-sectors, while January and August are the weakest.</w:t>
      </w:r>
    </w:p>
    <w:p>
      <w:r>
        <w:br w:type="page"/>
      </w:r>
    </w:p>
    <w:p>
      <w:pPr>
        <w:pStyle w:val="Heading1"/>
      </w:pPr>
      <w:r>
        <w:t xml:space="preserve">4. Recommendations</w:t>
      </w:r>
    </w:p>
    <w:p>
      <w:pPr>
        <w:spacing w:after="120"/>
      </w:pPr>
      <w:r>
        <w:rPr>
          <w:rFonts w:ascii="Arial" w:cs="Arial" w:eastAsia="Arial" w:hAnsi="Arial"/>
          <w:b w:val="false"/>
          <w:bCs w:val="false"/>
          <w:i w:val="false"/>
          <w:iCs w:val="false"/>
          <w:sz w:val="22"/>
          <w:szCs w:val="22"/>
        </w:rPr>
        <w:t xml:space="preserve">The following recommendations are grounded in the data findings above. Each is linked to a specific finding and to the requirements in D2.</w:t>
      </w:r>
    </w:p>
    <w:p>
      <w:pPr>
        <w:pStyle w:val="Heading2"/>
      </w:pPr>
      <w:r>
        <w:t xml:space="preserve">4.1 Align Staffing Rotas to Seasonal Data</w:t>
      </w:r>
    </w:p>
    <w:p>
      <w:pPr>
        <w:spacing w:after="120"/>
      </w:pPr>
      <w:r>
        <w:rPr>
          <w:rFonts w:ascii="Arial" w:cs="Arial" w:eastAsia="Arial" w:hAnsi="Arial"/>
          <w:b w:val="false"/>
          <w:bCs w:val="false"/>
          <w:i/>
          <w:iCs/>
          <w:sz w:val="22"/>
          <w:szCs w:val="22"/>
        </w:rPr>
        <w:t xml:space="preserve">Supports: Finding 3.5 | Traces to: FR-05, AQ-04, AQ-06</w:t>
      </w:r>
    </w:p>
    <w:p>
      <w:pPr>
        <w:spacing w:after="120"/>
      </w:pPr>
      <w:r>
        <w:rPr>
          <w:rFonts w:ascii="Arial" w:cs="Arial" w:eastAsia="Arial" w:hAnsi="Arial"/>
          <w:b w:val="false"/>
          <w:bCs w:val="false"/>
          <w:i w:val="false"/>
          <w:iCs w:val="false"/>
          <w:sz w:val="22"/>
          <w:szCs w:val="22"/>
        </w:rPr>
        <w:t xml:space="preserve">The seasonal analysis shows that non-food retail consistently peaks in March and troughs in January and August. For a mid-size retailer with 50–500 stores, even a 2–3% volume swing translates to significant aggregate footfall differences.</w:t>
      </w:r>
    </w:p>
    <w:p>
      <w:pPr>
        <w:pStyle w:val="ListParagraph"/>
        <w:numPr>
          <w:ilvl w:val="0"/>
          <w:numId w:val="2"/>
        </w:numPr>
        <w:spacing w:after="80"/>
      </w:pPr>
      <w:r>
        <w:rPr>
          <w:rFonts w:ascii="Arial" w:cs="Arial" w:eastAsia="Arial" w:hAnsi="Arial"/>
          <w:b/>
          <w:bCs/>
          <w:sz w:val="22"/>
          <w:szCs w:val="22"/>
        </w:rPr>
        <w:t xml:space="preserve">Action:</w:t>
      </w:r>
      <w:r>
        <w:rPr>
          <w:rFonts w:ascii="Arial" w:cs="Arial" w:eastAsia="Arial" w:hAnsi="Arial"/>
          <w:sz w:val="22"/>
          <w:szCs w:val="22"/>
        </w:rPr>
        <w:t xml:space="preserve"> Increase store staffing by 5–10% during March and reduce by a corresponding amount during January and August, benchmarked against the seasonal index for the relevant sub-sector.</w:t>
      </w:r>
    </w:p>
    <w:p>
      <w:pPr>
        <w:pStyle w:val="ListParagraph"/>
        <w:numPr>
          <w:ilvl w:val="0"/>
          <w:numId w:val="2"/>
        </w:numPr>
        <w:spacing w:after="80"/>
      </w:pPr>
      <w:r>
        <w:rPr>
          <w:rFonts w:ascii="Arial" w:cs="Arial" w:eastAsia="Arial" w:hAnsi="Arial"/>
          <w:b/>
          <w:bCs/>
          <w:sz w:val="22"/>
          <w:szCs w:val="22"/>
        </w:rPr>
        <w:t xml:space="preserve">Metric:</w:t>
      </w:r>
      <w:r>
        <w:rPr>
          <w:rFonts w:ascii="Arial" w:cs="Arial" w:eastAsia="Arial" w:hAnsi="Arial"/>
          <w:sz w:val="22"/>
          <w:szCs w:val="22"/>
        </w:rPr>
        <w:t xml:space="preserve"> Track in-store conversion rate by month to verify whether staffing changes improve revenue per visitor.</w:t>
      </w:r>
    </w:p>
    <w:p>
      <w:pPr>
        <w:pStyle w:val="ListParagraph"/>
        <w:numPr>
          <w:ilvl w:val="0"/>
          <w:numId w:val="2"/>
        </w:numPr>
        <w:spacing w:after="80"/>
      </w:pPr>
      <w:r>
        <w:rPr>
          <w:rFonts w:ascii="Arial" w:cs="Arial" w:eastAsia="Arial" w:hAnsi="Arial"/>
          <w:b/>
          <w:bCs/>
          <w:sz w:val="22"/>
          <w:szCs w:val="22"/>
        </w:rPr>
        <w:t xml:space="preserve">Effort:</w:t>
      </w:r>
      <w:r>
        <w:rPr>
          <w:rFonts w:ascii="Arial" w:cs="Arial" w:eastAsia="Arial" w:hAnsi="Arial"/>
          <w:sz w:val="22"/>
          <w:szCs w:val="22"/>
        </w:rPr>
        <w:t xml:space="preserve"> Low — uses existing rota management systems with updated scheduling parameters.</w:t>
      </w:r>
    </w:p>
    <w:p>
      <w:pPr>
        <w:pStyle w:val="Heading2"/>
      </w:pPr>
      <w:r>
        <w:t xml:space="preserve">4.2 Benchmark Household Goods Performance Against 2019, Not 2021</w:t>
      </w:r>
    </w:p>
    <w:p>
      <w:pPr>
        <w:spacing w:after="120"/>
      </w:pPr>
      <w:r>
        <w:rPr>
          <w:rFonts w:ascii="Arial" w:cs="Arial" w:eastAsia="Arial" w:hAnsi="Arial"/>
          <w:b w:val="false"/>
          <w:bCs w:val="false"/>
          <w:i/>
          <w:iCs/>
          <w:sz w:val="22"/>
          <w:szCs w:val="22"/>
        </w:rPr>
        <w:t xml:space="preserve">Supports: Finding 3.2 | Traces to: FR-04, FR-07, AQ-03</w:t>
      </w:r>
    </w:p>
    <w:p>
      <w:pPr>
        <w:spacing w:after="120"/>
      </w:pPr>
      <w:r>
        <w:rPr>
          <w:rFonts w:ascii="Arial" w:cs="Arial" w:eastAsia="Arial" w:hAnsi="Arial"/>
          <w:b w:val="false"/>
          <w:bCs w:val="false"/>
          <w:i w:val="false"/>
          <w:iCs w:val="false"/>
          <w:sz w:val="22"/>
          <w:szCs w:val="22"/>
        </w:rPr>
        <w:t xml:space="preserve">Any retailer with household goods exposure that is benchmarking current performance against 2020–2021 will see a distorted picture. The pandemic-era surge (index peaking at 135.6 in May 2021 vs 111.0 in 2019) was anomalous and has fully corrected. Current volumes are approximately 10% below 2019, not 25% below the pandemic peak.</w:t>
      </w:r>
    </w:p>
    <w:p>
      <w:pPr>
        <w:pStyle w:val="ListParagraph"/>
        <w:numPr>
          <w:ilvl w:val="0"/>
          <w:numId w:val="2"/>
        </w:numPr>
        <w:spacing w:after="80"/>
      </w:pPr>
      <w:r>
        <w:rPr>
          <w:rFonts w:ascii="Arial" w:cs="Arial" w:eastAsia="Arial" w:hAnsi="Arial"/>
          <w:b/>
          <w:bCs/>
          <w:sz w:val="22"/>
          <w:szCs w:val="22"/>
        </w:rPr>
        <w:t xml:space="preserve">Action:</w:t>
      </w:r>
      <w:r>
        <w:rPr>
          <w:rFonts w:ascii="Arial" w:cs="Arial" w:eastAsia="Arial" w:hAnsi="Arial"/>
          <w:sz w:val="22"/>
          <w:szCs w:val="22"/>
        </w:rPr>
        <w:t xml:space="preserve"> Recalibrate all store performance targets, inventory levels, and space allocation for household goods to 2019 baselines. Discontinue use of 2020–2021 comparatives in management reporting.</w:t>
      </w:r>
    </w:p>
    <w:p>
      <w:pPr>
        <w:pStyle w:val="ListParagraph"/>
        <w:numPr>
          <w:ilvl w:val="0"/>
          <w:numId w:val="2"/>
        </w:numPr>
        <w:spacing w:after="80"/>
      </w:pPr>
      <w:r>
        <w:rPr>
          <w:rFonts w:ascii="Arial" w:cs="Arial" w:eastAsia="Arial" w:hAnsi="Arial"/>
          <w:b/>
          <w:bCs/>
          <w:sz w:val="22"/>
          <w:szCs w:val="22"/>
        </w:rPr>
        <w:t xml:space="preserve">Metric:</w:t>
      </w:r>
      <w:r>
        <w:rPr>
          <w:rFonts w:ascii="Arial" w:cs="Arial" w:eastAsia="Arial" w:hAnsi="Arial"/>
          <w:sz w:val="22"/>
          <w:szCs w:val="22"/>
        </w:rPr>
        <w:t xml:space="preserve"> Monthly comparison of actual vs 2019-indexed performance by store, flagging any location consistently below 90% of its 2019 index.</w:t>
      </w:r>
    </w:p>
    <w:p>
      <w:pPr>
        <w:pStyle w:val="ListParagraph"/>
        <w:numPr>
          <w:ilvl w:val="0"/>
          <w:numId w:val="2"/>
        </w:numPr>
        <w:spacing w:after="80"/>
      </w:pPr>
      <w:r>
        <w:rPr>
          <w:rFonts w:ascii="Arial" w:cs="Arial" w:eastAsia="Arial" w:hAnsi="Arial"/>
          <w:b/>
          <w:bCs/>
          <w:sz w:val="22"/>
          <w:szCs w:val="22"/>
        </w:rPr>
        <w:t xml:space="preserve">Effort:</w:t>
      </w:r>
      <w:r>
        <w:rPr>
          <w:rFonts w:ascii="Arial" w:cs="Arial" w:eastAsia="Arial" w:hAnsi="Arial"/>
          <w:sz w:val="22"/>
          <w:szCs w:val="22"/>
        </w:rPr>
        <w:t xml:space="preserve"> Medium — requires updates to reporting templates and performance review criteria.</w:t>
      </w:r>
    </w:p>
    <w:p>
      <w:pPr>
        <w:pStyle w:val="Heading2"/>
      </w:pPr>
      <w:r>
        <w:t xml:space="preserve">4.3 Prioritise Store Portfolio Review for Department Store Formats</w:t>
      </w:r>
    </w:p>
    <w:p>
      <w:pPr>
        <w:spacing w:after="120"/>
      </w:pPr>
      <w:r>
        <w:rPr>
          <w:rFonts w:ascii="Arial" w:cs="Arial" w:eastAsia="Arial" w:hAnsi="Arial"/>
          <w:b w:val="false"/>
          <w:bCs w:val="false"/>
          <w:i/>
          <w:iCs/>
          <w:sz w:val="22"/>
          <w:szCs w:val="22"/>
        </w:rPr>
        <w:t xml:space="preserve">Supports: Finding 3.3 | Traces to: FR-07, AQ-03, AQ-05</w:t>
      </w:r>
    </w:p>
    <w:p>
      <w:pPr>
        <w:spacing w:after="120"/>
      </w:pPr>
      <w:r>
        <w:rPr>
          <w:rFonts w:ascii="Arial" w:cs="Arial" w:eastAsia="Arial" w:hAnsi="Arial"/>
          <w:b w:val="false"/>
          <w:bCs w:val="false"/>
          <w:i w:val="false"/>
          <w:iCs w:val="false"/>
          <w:sz w:val="22"/>
          <w:szCs w:val="22"/>
        </w:rPr>
        <w:t xml:space="preserve">Non-specialised stores (department store format) show a steady structural decline of 5.5% vs 2019 averages, with no clear recovery trend. This format faces competitive pressure from both specialist retailers and online channels simultaneously.</w:t>
      </w:r>
    </w:p>
    <w:p>
      <w:pPr>
        <w:pStyle w:val="ListParagraph"/>
        <w:numPr>
          <w:ilvl w:val="0"/>
          <w:numId w:val="2"/>
        </w:numPr>
        <w:spacing w:after="80"/>
      </w:pPr>
      <w:r>
        <w:rPr>
          <w:rFonts w:ascii="Arial" w:cs="Arial" w:eastAsia="Arial" w:hAnsi="Arial"/>
          <w:b/>
          <w:bCs/>
          <w:sz w:val="22"/>
          <w:szCs w:val="22"/>
        </w:rPr>
        <w:t xml:space="preserve">Action:</w:t>
      </w:r>
      <w:r>
        <w:rPr>
          <w:rFonts w:ascii="Arial" w:cs="Arial" w:eastAsia="Arial" w:hAnsi="Arial"/>
          <w:sz w:val="22"/>
          <w:szCs w:val="22"/>
        </w:rPr>
        <w:t xml:space="preserve"> Conduct a store-by-store profitability review for any department store format locations, prioritising those where the local index sits below 95% of the 2019 baseline. Consider format conversion (e.g., to specialist non-food) for the weakest performers.</w:t>
      </w:r>
    </w:p>
    <w:p>
      <w:pPr>
        <w:pStyle w:val="ListParagraph"/>
        <w:numPr>
          <w:ilvl w:val="0"/>
          <w:numId w:val="2"/>
        </w:numPr>
        <w:spacing w:after="80"/>
      </w:pPr>
      <w:r>
        <w:rPr>
          <w:rFonts w:ascii="Arial" w:cs="Arial" w:eastAsia="Arial" w:hAnsi="Arial"/>
          <w:b/>
          <w:bCs/>
          <w:sz w:val="22"/>
          <w:szCs w:val="22"/>
        </w:rPr>
        <w:t xml:space="preserve">Metric:</w:t>
      </w:r>
      <w:r>
        <w:rPr>
          <w:rFonts w:ascii="Arial" w:cs="Arial" w:eastAsia="Arial" w:hAnsi="Arial"/>
          <w:sz w:val="22"/>
          <w:szCs w:val="22"/>
        </w:rPr>
        <w:t xml:space="preserve"> Quarterly review of store-level contribution margin, benchmarked against the national department store index trend.</w:t>
      </w:r>
    </w:p>
    <w:p>
      <w:pPr>
        <w:pStyle w:val="ListParagraph"/>
        <w:numPr>
          <w:ilvl w:val="0"/>
          <w:numId w:val="2"/>
        </w:numPr>
        <w:spacing w:after="80"/>
      </w:pPr>
      <w:r>
        <w:rPr>
          <w:rFonts w:ascii="Arial" w:cs="Arial" w:eastAsia="Arial" w:hAnsi="Arial"/>
          <w:b/>
          <w:bCs/>
          <w:sz w:val="22"/>
          <w:szCs w:val="22"/>
        </w:rPr>
        <w:t xml:space="preserve">Effort:</w:t>
      </w:r>
      <w:r>
        <w:rPr>
          <w:rFonts w:ascii="Arial" w:cs="Arial" w:eastAsia="Arial" w:hAnsi="Arial"/>
          <w:sz w:val="22"/>
          <w:szCs w:val="22"/>
        </w:rPr>
        <w:t xml:space="preserve"> High — requires lease analysis, local market assessment, and capital planning.</w:t>
      </w:r>
    </w:p>
    <w:p>
      <w:pPr>
        <w:pStyle w:val="Heading2"/>
      </w:pPr>
      <w:r>
        <w:t xml:space="preserve">4.4 Shift Promotional Investment from January to March</w:t>
      </w:r>
    </w:p>
    <w:p>
      <w:pPr>
        <w:spacing w:after="120"/>
      </w:pPr>
      <w:r>
        <w:rPr>
          <w:rFonts w:ascii="Arial" w:cs="Arial" w:eastAsia="Arial" w:hAnsi="Arial"/>
          <w:b w:val="false"/>
          <w:bCs w:val="false"/>
          <w:i/>
          <w:iCs/>
          <w:sz w:val="22"/>
          <w:szCs w:val="22"/>
        </w:rPr>
        <w:t xml:space="preserve">Supports: Finding 3.5 | Traces to: FR-05, AQ-04</w:t>
      </w:r>
    </w:p>
    <w:p>
      <w:pPr>
        <w:spacing w:after="120"/>
      </w:pPr>
      <w:r>
        <w:rPr>
          <w:rFonts w:ascii="Arial" w:cs="Arial" w:eastAsia="Arial" w:hAnsi="Arial"/>
          <w:b w:val="false"/>
          <w:bCs w:val="false"/>
          <w:i w:val="false"/>
          <w:iCs w:val="false"/>
          <w:sz w:val="22"/>
          <w:szCs w:val="22"/>
        </w:rPr>
        <w:t xml:space="preserve">Traditional retail promotional calendars front-load Q1 spend into January sales. However, the data shows January is consistently the weakest month for non-food retail (index 96.8 for textiles), while March is the strongest (99.2 for textiles, 103.3 for non-food overall). Investing promotional budget in an already-weak month yields diminishing returns.</w:t>
      </w:r>
    </w:p>
    <w:p>
      <w:pPr>
        <w:pStyle w:val="ListParagraph"/>
        <w:numPr>
          <w:ilvl w:val="0"/>
          <w:numId w:val="2"/>
        </w:numPr>
        <w:spacing w:after="80"/>
      </w:pPr>
      <w:r>
        <w:rPr>
          <w:rFonts w:ascii="Arial" w:cs="Arial" w:eastAsia="Arial" w:hAnsi="Arial"/>
          <w:b/>
          <w:bCs/>
          <w:sz w:val="22"/>
          <w:szCs w:val="22"/>
        </w:rPr>
        <w:t xml:space="preserve">Action:</w:t>
      </w:r>
      <w:r>
        <w:rPr>
          <w:rFonts w:ascii="Arial" w:cs="Arial" w:eastAsia="Arial" w:hAnsi="Arial"/>
          <w:sz w:val="22"/>
          <w:szCs w:val="22"/>
        </w:rPr>
        <w:t xml:space="preserve"> Reallocate 20–30% of January promotional budget to March, targeting the period when customers are already inclined to purchase. January promotions should focus on clearance efficiency rather than footfall driving.</w:t>
      </w:r>
    </w:p>
    <w:p>
      <w:pPr>
        <w:pStyle w:val="ListParagraph"/>
        <w:numPr>
          <w:ilvl w:val="0"/>
          <w:numId w:val="2"/>
        </w:numPr>
        <w:spacing w:after="80"/>
      </w:pPr>
      <w:r>
        <w:rPr>
          <w:rFonts w:ascii="Arial" w:cs="Arial" w:eastAsia="Arial" w:hAnsi="Arial"/>
          <w:b/>
          <w:bCs/>
          <w:sz w:val="22"/>
          <w:szCs w:val="22"/>
        </w:rPr>
        <w:t xml:space="preserve">Metric:</w:t>
      </w:r>
      <w:r>
        <w:rPr>
          <w:rFonts w:ascii="Arial" w:cs="Arial" w:eastAsia="Arial" w:hAnsi="Arial"/>
          <w:sz w:val="22"/>
          <w:szCs w:val="22"/>
        </w:rPr>
        <w:t xml:space="preserve"> Compare March footfall and conversion rates year-on-year after reallocation vs January clearance margin.</w:t>
      </w:r>
    </w:p>
    <w:p>
      <w:pPr>
        <w:pStyle w:val="ListParagraph"/>
        <w:numPr>
          <w:ilvl w:val="0"/>
          <w:numId w:val="2"/>
        </w:numPr>
        <w:spacing w:after="80"/>
      </w:pPr>
      <w:r>
        <w:rPr>
          <w:rFonts w:ascii="Arial" w:cs="Arial" w:eastAsia="Arial" w:hAnsi="Arial"/>
          <w:b/>
          <w:bCs/>
          <w:sz w:val="22"/>
          <w:szCs w:val="22"/>
        </w:rPr>
        <w:t xml:space="preserve">Effort:</w:t>
      </w:r>
      <w:r>
        <w:rPr>
          <w:rFonts w:ascii="Arial" w:cs="Arial" w:eastAsia="Arial" w:hAnsi="Arial"/>
          <w:sz w:val="22"/>
          <w:szCs w:val="22"/>
        </w:rPr>
        <w:t xml:space="preserve"> Medium — requires coordination with marketing and merchandising calendars 3–6 months ahead.</w:t>
      </w:r>
    </w:p>
    <w:p>
      <w:pPr>
        <w:pStyle w:val="Heading2"/>
      </w:pPr>
      <w:r>
        <w:t xml:space="preserve">4.5 Implement Monthly Dashboard Monitoring</w:t>
      </w:r>
    </w:p>
    <w:p>
      <w:pPr>
        <w:spacing w:after="120"/>
      </w:pPr>
      <w:r>
        <w:rPr>
          <w:rFonts w:ascii="Arial" w:cs="Arial" w:eastAsia="Arial" w:hAnsi="Arial"/>
          <w:b w:val="false"/>
          <w:bCs w:val="false"/>
          <w:i/>
          <w:iCs/>
          <w:sz w:val="22"/>
          <w:szCs w:val="22"/>
        </w:rPr>
        <w:t xml:space="preserve">Supports: All findings | Traces to: FR-01–FR-08, NFR-03</w:t>
      </w:r>
    </w:p>
    <w:p>
      <w:pPr>
        <w:spacing w:after="120"/>
      </w:pPr>
      <w:r>
        <w:rPr>
          <w:rFonts w:ascii="Arial" w:cs="Arial" w:eastAsia="Arial" w:hAnsi="Arial"/>
          <w:b w:val="false"/>
          <w:bCs w:val="false"/>
          <w:i w:val="false"/>
          <w:iCs w:val="false"/>
          <w:sz w:val="22"/>
          <w:szCs w:val="22"/>
        </w:rPr>
        <w:t xml:space="preserve">The ONS Retail Sales Index is published monthly with approximately a 3-week lag. This is frequent enough to support operational decision-making but currently is not incorporated into most mid-size retailers’ reporting cycles.</w:t>
      </w:r>
    </w:p>
    <w:p>
      <w:pPr>
        <w:pStyle w:val="ListParagraph"/>
        <w:numPr>
          <w:ilvl w:val="0"/>
          <w:numId w:val="2"/>
        </w:numPr>
        <w:spacing w:after="80"/>
      </w:pPr>
      <w:r>
        <w:rPr>
          <w:rFonts w:ascii="Arial" w:cs="Arial" w:eastAsia="Arial" w:hAnsi="Arial"/>
          <w:b/>
          <w:bCs/>
          <w:sz w:val="22"/>
          <w:szCs w:val="22"/>
        </w:rPr>
        <w:t xml:space="preserve">Action:</w:t>
      </w:r>
      <w:r>
        <w:rPr>
          <w:rFonts w:ascii="Arial" w:cs="Arial" w:eastAsia="Arial" w:hAnsi="Arial"/>
          <w:sz w:val="22"/>
          <w:szCs w:val="22"/>
        </w:rPr>
        <w:t xml:space="preserve"> Integrate the D4 dashboard (or equivalent) into the monthly management reporting pack. Assign responsibility for updating the data and flagging any sub-sector where the 3-month rolling average drops below 95% of the 2019 baseline.</w:t>
      </w:r>
    </w:p>
    <w:p>
      <w:pPr>
        <w:pStyle w:val="ListParagraph"/>
        <w:numPr>
          <w:ilvl w:val="0"/>
          <w:numId w:val="2"/>
        </w:numPr>
        <w:spacing w:after="80"/>
      </w:pPr>
      <w:r>
        <w:rPr>
          <w:rFonts w:ascii="Arial" w:cs="Arial" w:eastAsia="Arial" w:hAnsi="Arial"/>
          <w:b/>
          <w:bCs/>
          <w:sz w:val="22"/>
          <w:szCs w:val="22"/>
        </w:rPr>
        <w:t xml:space="preserve">Metric:</w:t>
      </w:r>
      <w:r>
        <w:rPr>
          <w:rFonts w:ascii="Arial" w:cs="Arial" w:eastAsia="Arial" w:hAnsi="Arial"/>
          <w:sz w:val="22"/>
          <w:szCs w:val="22"/>
        </w:rPr>
        <w:t xml:space="preserve"> Number of months where the dashboard-generated alert triggers a documented management response.</w:t>
      </w:r>
    </w:p>
    <w:p>
      <w:pPr>
        <w:pStyle w:val="ListParagraph"/>
        <w:numPr>
          <w:ilvl w:val="0"/>
          <w:numId w:val="2"/>
        </w:numPr>
        <w:spacing w:after="80"/>
      </w:pPr>
      <w:r>
        <w:rPr>
          <w:rFonts w:ascii="Arial" w:cs="Arial" w:eastAsia="Arial" w:hAnsi="Arial"/>
          <w:b/>
          <w:bCs/>
          <w:sz w:val="22"/>
          <w:szCs w:val="22"/>
        </w:rPr>
        <w:t xml:space="preserve">Effort:</w:t>
      </w:r>
      <w:r>
        <w:rPr>
          <w:rFonts w:ascii="Arial" w:cs="Arial" w:eastAsia="Arial" w:hAnsi="Arial"/>
          <w:sz w:val="22"/>
          <w:szCs w:val="22"/>
        </w:rPr>
        <w:t xml:space="preserve"> Low — the dashboard has already been built as part of this project (D4). Requires only process integration.</w:t>
      </w:r>
    </w:p>
    <w:p>
      <w:r>
        <w:br w:type="page"/>
      </w:r>
    </w:p>
    <w:p>
      <w:pPr>
        <w:pStyle w:val="Heading1"/>
      </w:pPr>
      <w:r>
        <w:t xml:space="preserve">5. Recommendations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000"/>
        <w:gridCol w:w="1500"/>
        <w:gridCol w:w="1613"/>
        <w:gridCol w:w="1613"/>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Recommendation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Effort</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Timeline</w:t>
            </w:r>
          </w:p>
        </w:tc>
        <w:tc>
          <w:tcPr>
            <w:tcW w:type="dxa" w:w="1613"/>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Primary Benefit</w:t>
            </w:r>
          </w:p>
        </w:tc>
        <w:tc>
          <w:tcPr>
            <w:tcW w:type="dxa" w:w="1613"/>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Traces To</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Align staffing rotas to seasonal data</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Low</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1–2 months</w:t>
            </w:r>
          </w:p>
        </w:tc>
        <w:tc>
          <w:tcPr>
            <w:tcW w:type="dxa" w:w="161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Labour cost reduction</w:t>
            </w:r>
          </w:p>
        </w:tc>
        <w:tc>
          <w:tcPr>
            <w:tcW w:type="dxa" w:w="161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FR-05, AQ-04</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Benchmark household goods to 2019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 month</w:t>
            </w:r>
          </w:p>
        </w:tc>
        <w:tc>
          <w:tcPr>
            <w:tcW w:type="dxa" w:w="1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Accurate target-setting</w:t>
            </w:r>
          </w:p>
        </w:tc>
        <w:tc>
          <w:tcPr>
            <w:tcW w:type="dxa" w:w="1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FR-04, AQ-03</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Review department store portfolio</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High</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3–6 months</w:t>
            </w:r>
          </w:p>
        </w:tc>
        <w:tc>
          <w:tcPr>
            <w:tcW w:type="dxa" w:w="161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Cost avoidance / exit</w:t>
            </w:r>
          </w:p>
        </w:tc>
        <w:tc>
          <w:tcPr>
            <w:tcW w:type="dxa" w:w="161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FR-07, AQ-03</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Shift promo spend from Jan to Mar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Next planning cycle</w:t>
            </w:r>
          </w:p>
        </w:tc>
        <w:tc>
          <w:tcPr>
            <w:tcW w:type="dxa" w:w="1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Revenue uplift</w:t>
            </w:r>
          </w:p>
        </w:tc>
        <w:tc>
          <w:tcPr>
            <w:tcW w:type="dxa" w:w="1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FR-05, AQ-04</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Implement monthly dashboard monitoring</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Low</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Immediate</w:t>
            </w:r>
          </w:p>
        </w:tc>
        <w:tc>
          <w:tcPr>
            <w:tcW w:type="dxa" w:w="161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Evidence-based decisions</w:t>
            </w:r>
          </w:p>
        </w:tc>
        <w:tc>
          <w:tcPr>
            <w:tcW w:type="dxa" w:w="161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FR-01–FR-08</w:t>
            </w:r>
          </w:p>
        </w:tc>
      </w:tr>
    </w:tbl>
    <w:p>
      <w:r>
        <w:br w:type="page"/>
      </w:r>
    </w:p>
    <w:p>
      <w:pPr>
        <w:pStyle w:val="Heading1"/>
      </w:pPr>
      <w:r>
        <w:t xml:space="preserve">6. Limitations &amp; Caveats</w:t>
      </w:r>
    </w:p>
    <w:p>
      <w:pPr>
        <w:pStyle w:val="ListParagraph"/>
        <w:numPr>
          <w:ilvl w:val="0"/>
          <w:numId w:val="2"/>
        </w:numPr>
        <w:spacing w:after="80"/>
      </w:pPr>
      <w:r>
        <w:rPr>
          <w:rFonts w:ascii="Arial" w:cs="Arial" w:eastAsia="Arial" w:hAnsi="Arial"/>
          <w:sz w:val="22"/>
          <w:szCs w:val="22"/>
        </w:rPr>
        <w:t xml:space="preserve">National data only: The ONS Retail Sales Index provides Great Britain-level aggregates. Regional and local variations may be significant and are not captured in this analysis. A retailer’s actual experience will depend on its geographic footprint.</w:t>
      </w:r>
    </w:p>
    <w:p>
      <w:pPr>
        <w:pStyle w:val="ListParagraph"/>
        <w:numPr>
          <w:ilvl w:val="0"/>
          <w:numId w:val="2"/>
        </w:numPr>
        <w:spacing w:after="80"/>
      </w:pPr>
      <w:r>
        <w:rPr>
          <w:rFonts w:ascii="Arial" w:cs="Arial" w:eastAsia="Arial" w:hAnsi="Arial"/>
          <w:sz w:val="22"/>
          <w:szCs w:val="22"/>
        </w:rPr>
        <w:t xml:space="preserve">Volume proxy for footfall: The analysis uses retail sales volume indices as a proxy for in-store footfall. While correlated, they are not identical — higher average transaction values could mask a larger footfall decline.</w:t>
      </w:r>
    </w:p>
    <w:p>
      <w:pPr>
        <w:pStyle w:val="ListParagraph"/>
        <w:numPr>
          <w:ilvl w:val="0"/>
          <w:numId w:val="2"/>
        </w:numPr>
        <w:spacing w:after="80"/>
      </w:pPr>
      <w:r>
        <w:rPr>
          <w:rFonts w:ascii="Arial" w:cs="Arial" w:eastAsia="Arial" w:hAnsi="Arial"/>
          <w:sz w:val="22"/>
          <w:szCs w:val="22"/>
        </w:rPr>
        <w:t xml:space="preserve">No proprietary data: This analysis uses only publicly available data. A retailer implementing these recommendations should supplement with their own EPOS and footfall counter data where available.</w:t>
      </w:r>
    </w:p>
    <w:p>
      <w:pPr>
        <w:pStyle w:val="ListParagraph"/>
        <w:numPr>
          <w:ilvl w:val="0"/>
          <w:numId w:val="2"/>
        </w:numPr>
        <w:spacing w:after="80"/>
      </w:pPr>
      <w:r>
        <w:rPr>
          <w:rFonts w:ascii="Arial" w:cs="Arial" w:eastAsia="Arial" w:hAnsi="Arial"/>
          <w:sz w:val="22"/>
          <w:szCs w:val="22"/>
        </w:rPr>
        <w:t xml:space="preserve">Seasonal adjustment limitations: ONS applies seasonal adjustment at the industry level. Individual retailers may experience different seasonal patterns depending on their specific product mix and customer base.</w:t>
      </w:r>
    </w:p>
    <w:p>
      <w:pPr>
        <w:pStyle w:val="ListParagraph"/>
        <w:numPr>
          <w:ilvl w:val="0"/>
          <w:numId w:val="2"/>
        </w:numPr>
        <w:spacing w:after="80"/>
      </w:pPr>
      <w:r>
        <w:rPr>
          <w:rFonts w:ascii="Arial" w:cs="Arial" w:eastAsia="Arial" w:hAnsi="Arial"/>
          <w:sz w:val="22"/>
          <w:szCs w:val="22"/>
        </w:rPr>
        <w:t xml:space="preserve">Non-store retail includes non-internet: The ONS non-store category includes market stalls and other non-internet channels alongside online retail. However, online accounts for the vast majority of this category.</w:t>
      </w:r>
    </w:p>
    <w:p>
      <w:r>
        <w:br w:type="page"/>
      </w:r>
    </w:p>
    <w:p>
      <w:pPr>
        <w:pStyle w:val="Heading1"/>
      </w:pPr>
      <w:r>
        <w:t xml:space="preserve">7. Next Steps</w:t>
      </w:r>
    </w:p>
    <w:p>
      <w:pPr>
        <w:pStyle w:val="ListParagraph"/>
        <w:numPr>
          <w:ilvl w:val="0"/>
          <w:numId w:val="3"/>
        </w:numPr>
        <w:spacing w:after="80"/>
      </w:pPr>
      <w:r>
        <w:rPr>
          <w:rFonts w:ascii="Arial" w:cs="Arial" w:eastAsia="Arial" w:hAnsi="Arial"/>
          <w:sz w:val="22"/>
          <w:szCs w:val="22"/>
        </w:rPr>
        <w:t xml:space="preserve">Present findings and recommendations to retail leadership via D6 (Stakeholder Presentation) for endorsement.</w:t>
      </w:r>
    </w:p>
    <w:p>
      <w:pPr>
        <w:pStyle w:val="ListParagraph"/>
        <w:numPr>
          <w:ilvl w:val="0"/>
          <w:numId w:val="3"/>
        </w:numPr>
        <w:spacing w:after="80"/>
      </w:pPr>
      <w:r>
        <w:rPr>
          <w:rFonts w:ascii="Arial" w:cs="Arial" w:eastAsia="Arial" w:hAnsi="Arial"/>
          <w:sz w:val="22"/>
          <w:szCs w:val="22"/>
        </w:rPr>
        <w:t xml:space="preserve">Prioritise Recommendations 1 and 5 for immediate implementation (low effort, high evidence of impact).</w:t>
      </w:r>
    </w:p>
    <w:p>
      <w:pPr>
        <w:pStyle w:val="ListParagraph"/>
        <w:numPr>
          <w:ilvl w:val="0"/>
          <w:numId w:val="3"/>
        </w:numPr>
        <w:spacing w:after="80"/>
      </w:pPr>
      <w:r>
        <w:rPr>
          <w:rFonts w:ascii="Arial" w:cs="Arial" w:eastAsia="Arial" w:hAnsi="Arial"/>
          <w:sz w:val="22"/>
          <w:szCs w:val="22"/>
        </w:rPr>
        <w:t xml:space="preserve">Commission store-level profitability analysis to support Recommendation 3 (requires internal financial data not available in this analysis).</w:t>
      </w:r>
    </w:p>
    <w:p>
      <w:pPr>
        <w:pStyle w:val="ListParagraph"/>
        <w:numPr>
          <w:ilvl w:val="0"/>
          <w:numId w:val="3"/>
        </w:numPr>
        <w:spacing w:after="80"/>
      </w:pPr>
      <w:r>
        <w:rPr>
          <w:rFonts w:ascii="Arial" w:cs="Arial" w:eastAsia="Arial" w:hAnsi="Arial"/>
          <w:sz w:val="22"/>
          <w:szCs w:val="22"/>
        </w:rPr>
        <w:t xml:space="preserve">Schedule quarterly refresh of the D4 dashboard and this findings document as new ONS data is published.</w:t>
      </w:r>
    </w:p>
    <w:p>
      <w:pPr>
        <w:pStyle w:val="ListParagraph"/>
        <w:numPr>
          <w:ilvl w:val="0"/>
          <w:numId w:val="3"/>
        </w:numPr>
        <w:spacing w:after="80"/>
      </w:pPr>
      <w:r>
        <w:rPr>
          <w:rFonts w:ascii="Arial" w:cs="Arial" w:eastAsia="Arial" w:hAnsi="Arial"/>
          <w:sz w:val="22"/>
          <w:szCs w:val="22"/>
        </w:rPr>
        <w:t xml:space="preserve">Consider supplementing with Centre for Cities footfall data if it becomes available at sufficient granularity (see DR-03 in D2).</w:t>
      </w:r>
    </w:p>
    <w:p>
      <w:r>
        <w:br w:type="page"/>
      </w:r>
    </w:p>
    <w:p>
      <w:pPr>
        <w:pStyle w:val="Heading1"/>
      </w:pPr>
      <w:r>
        <w:t xml:space="preserve">8. 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526"/>
      </w:tblGrid>
      <w:tr>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Author</w:t>
            </w:r>
          </w:p>
        </w:tc>
        <w:tc>
          <w:tcPr>
            <w:tcW w:type="dxa" w:w="35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March 2026</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Manoj [Surname]</w:t>
            </w:r>
          </w:p>
        </w:tc>
        <w:tc>
          <w:tcPr>
            <w:tcW w:type="dxa" w:w="35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Initial draft — all findings and recommendations</w:t>
            </w:r>
          </w:p>
        </w:tc>
      </w:tr>
    </w:tbl>
    <w:p>
      <w:pPr>
        <w:spacing w:before="600"/>
      </w:pPr>
    </w:p>
    <w:p>
      <w:pPr>
        <w:pBdr>
          <w:top w:val="single" w:color="2E75B6" w:sz="4" w:space="8"/>
        </w:pBdr>
      </w:pPr>
      <w:r>
        <w:rPr>
          <w:rFonts w:ascii="Arial" w:cs="Arial" w:eastAsia="Arial" w:hAnsi="Arial"/>
          <w:i/>
          <w:iCs/>
          <w:color w:val="808080"/>
          <w:sz w:val="18"/>
          <w:szCs w:val="18"/>
        </w:rPr>
        <w:t xml:space="preserve">This document is part of a Business Analysis portfolio project. All data used is publicly available from the Office for National Statistics (ons.gov.uk).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808080"/>
        <w:sz w:val="18"/>
        <w:szCs w:val="18"/>
      </w:rPr>
      <w:t xml:space="preserve">BA Findings &amp; Recommendations</w:t>
    </w:r>
    <w:r>
      <w:rPr>
        <w:rFonts w:ascii="Arial" w:cs="Arial" w:eastAsia="Arial" w:hAnsi="Arial"/>
        <w:color w:val="808080"/>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2026-03-21T14:06:01.647Z</dcterms:created>
  <dcterms:modified xsi:type="dcterms:W3CDTF">2026-03-21T14:06:01.648Z</dcterms:modified>
</cp:coreProperties>
</file>

<file path=docProps/custom.xml><?xml version="1.0" encoding="utf-8"?>
<Properties xmlns="http://schemas.openxmlformats.org/officeDocument/2006/custom-properties" xmlns:vt="http://schemas.openxmlformats.org/officeDocument/2006/docPropsVTypes"/>
</file>