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Claude Code — Modules 2–6</w:t>
        <w:br/>
        <w:t>Participant Jira Exercise Scenarios</w:t>
      </w:r>
    </w:p>
    <w:p>
      <w:pPr>
        <w:jc w:val="center"/>
      </w:pPr>
      <w:r>
        <w:rPr>
          <w:b/>
          <w:color w:val="595959"/>
          <w:sz w:val="24"/>
        </w:rPr>
        <w:t>10 Business-Driven Development Exercises</w:t>
      </w:r>
    </w:p>
    <w:p>
      <w:pPr>
        <w:pStyle w:val="Heading1"/>
      </w:pPr>
      <w:r>
        <w:t>Exercise 1: Choose the Right AI Assistance Mode for an Unfamiliar Service</w:t>
      </w:r>
    </w:p>
    <w:tbl>
      <w:tblPr>
        <w:tblStyle w:val="TableGrid"/>
        <w:tblW w:type="auto" w:w="0"/>
        <w:tblLayout w:type="autofit"/>
        <w:tblLook w:firstColumn="1" w:firstRow="1" w:lastColumn="0" w:lastRow="0" w:noHBand="0" w:noVBand="1" w:val="04A0"/>
      </w:tblPr>
      <w:tblGrid>
        <w:gridCol w:w="2520"/>
        <w:gridCol w:w="2520"/>
        <w:gridCol w:w="2520"/>
        <w:gridCol w:w="2520"/>
      </w:tblGrid>
      <w:tr>
        <w:tc>
          <w:tcPr>
            <w:tcW w:type="dxa" w:w="2520"/>
            <w:shd w:fill="D9EAF7"/>
            <w:vAlign w:val="center"/>
            <w:tcMar>
              <w:top w:w="80" w:type="dxa"/>
              <w:start w:w="100" w:type="dxa"/>
              <w:bottom w:w="80" w:type="dxa"/>
              <w:end w:w="100" w:type="dxa"/>
            </w:tcMar>
          </w:tcPr>
          <w:p>
            <w:r>
              <w:rPr>
                <w:b/>
              </w:rPr>
              <w:t>Jira Ticket</w:t>
            </w:r>
          </w:p>
        </w:tc>
        <w:tc>
          <w:tcPr>
            <w:tcW w:type="dxa" w:w="2520"/>
            <w:vAlign w:val="center"/>
            <w:tcMar>
              <w:top w:w="80" w:type="dxa"/>
              <w:start w:w="100" w:type="dxa"/>
              <w:bottom w:w="80" w:type="dxa"/>
              <w:end w:w="100" w:type="dxa"/>
            </w:tcMar>
          </w:tcPr>
          <w:p>
            <w:r>
              <w:t>CC-M2-001</w:t>
            </w:r>
          </w:p>
        </w:tc>
        <w:tc>
          <w:tcPr>
            <w:tcW w:type="dxa" w:w="2520"/>
            <w:shd w:fill="D9EAF7"/>
            <w:vAlign w:val="center"/>
            <w:tcMar>
              <w:top w:w="80" w:type="dxa"/>
              <w:start w:w="100" w:type="dxa"/>
              <w:bottom w:w="80" w:type="dxa"/>
              <w:end w:w="100" w:type="dxa"/>
            </w:tcMar>
          </w:tcPr>
          <w:p>
            <w:r>
              <w:rPr>
                <w:b/>
              </w:rPr>
              <w:t>Module</w:t>
            </w:r>
          </w:p>
        </w:tc>
        <w:tc>
          <w:tcPr>
            <w:tcW w:type="dxa" w:w="2520"/>
            <w:vAlign w:val="center"/>
            <w:tcMar>
              <w:top w:w="80" w:type="dxa"/>
              <w:start w:w="100" w:type="dxa"/>
              <w:bottom w:w="80" w:type="dxa"/>
              <w:end w:w="100" w:type="dxa"/>
            </w:tcMar>
          </w:tcPr>
          <w:p>
            <w:r>
              <w:t>Module 2 — Claude &amp; Claude Code in Context</w:t>
            </w:r>
          </w:p>
        </w:tc>
      </w:tr>
      <w:tr>
        <w:tc>
          <w:tcPr>
            <w:tcW w:type="dxa" w:w="2520"/>
            <w:shd w:fill="D9EAF7"/>
            <w:vAlign w:val="center"/>
            <w:tcMar>
              <w:top w:w="80" w:type="dxa"/>
              <w:start w:w="100" w:type="dxa"/>
              <w:bottom w:w="80" w:type="dxa"/>
              <w:end w:w="100" w:type="dxa"/>
            </w:tcMar>
          </w:tcPr>
          <w:p>
            <w:r>
              <w:rPr>
                <w:b/>
              </w:rPr>
              <w:t>Issue Type</w:t>
            </w:r>
          </w:p>
        </w:tc>
        <w:tc>
          <w:tcPr>
            <w:tcW w:type="dxa" w:w="2520"/>
            <w:vAlign w:val="center"/>
            <w:tcMar>
              <w:top w:w="80" w:type="dxa"/>
              <w:start w:w="100" w:type="dxa"/>
              <w:bottom w:w="80" w:type="dxa"/>
              <w:end w:w="100" w:type="dxa"/>
            </w:tcMar>
          </w:tcPr>
          <w:p>
            <w:r>
              <w:t>Engineering Analysis</w:t>
            </w:r>
          </w:p>
        </w:tc>
        <w:tc>
          <w:tcPr>
            <w:tcW w:type="dxa" w:w="2520"/>
            <w:shd w:fill="D9EAF7"/>
            <w:vAlign w:val="center"/>
            <w:tcMar>
              <w:top w:w="80" w:type="dxa"/>
              <w:start w:w="100" w:type="dxa"/>
              <w:bottom w:w="80" w:type="dxa"/>
              <w:end w:w="100" w:type="dxa"/>
            </w:tcMar>
          </w:tcPr>
          <w:p>
            <w:r>
              <w:rPr>
                <w:b/>
              </w:rPr>
              <w:t>Priority</w:t>
            </w:r>
          </w:p>
        </w:tc>
        <w:tc>
          <w:tcPr>
            <w:tcW w:type="dxa" w:w="2520"/>
            <w:vAlign w:val="center"/>
            <w:tcMar>
              <w:top w:w="80" w:type="dxa"/>
              <w:start w:w="100" w:type="dxa"/>
              <w:bottom w:w="80" w:type="dxa"/>
              <w:end w:w="100" w:type="dxa"/>
            </w:tcMar>
          </w:tcPr>
          <w:p>
            <w:r>
              <w:t>Medium</w:t>
            </w:r>
          </w:p>
        </w:tc>
      </w:tr>
    </w:tbl>
    <w:p>
      <w:pPr>
        <w:spacing w:after="0"/>
      </w:pPr>
    </w:p>
    <w:p>
      <w:pPr>
        <w:pStyle w:val="Heading2"/>
      </w:pPr>
      <w:r>
        <w:t>Business Requirement</w:t>
      </w:r>
    </w:p>
    <w:p>
      <w:pPr>
        <w:spacing w:after="120"/>
      </w:pPr>
      <w:r>
        <w:t>A product engineer has joined the account-alerts team and needs to understand what the service does and where delivery/retry behavior is implemented. The team already uses inline code completion, but wants a repeatable way to distinguish when repository-level reasoning in Claude Code is appropriate versus when a lightweight completion/chat interaction is sufficient.</w:t>
      </w:r>
    </w:p>
    <w:p>
      <w:pPr>
        <w:pStyle w:val="Heading2"/>
      </w:pPr>
      <w:r>
        <w:t>Tasks to Perform</w:t>
      </w:r>
    </w:p>
    <w:p>
      <w:pPr>
        <w:spacing w:after="40"/>
      </w:pPr>
      <w:r>
        <w:t>1.  Open the account-alerts repository in VS Code and Claude Code without changing source files.</w:t>
      </w:r>
    </w:p>
    <w:p>
      <w:pPr>
        <w:spacing w:after="40"/>
      </w:pPr>
      <w:r>
        <w:t>2.  Ask Claude Code to explain the service purpose, main request flow, and the files/components involved in alert delivery and retry.</w:t>
      </w:r>
    </w:p>
    <w:p>
      <w:pPr>
        <w:spacing w:after="40"/>
      </w:pPr>
      <w:r>
        <w:t>3.  Ask for the evidence behind the explanation: relevant files, functions/modules, and relationships found in the repository.</w:t>
      </w:r>
    </w:p>
    <w:p>
      <w:pPr>
        <w:spacing w:after="40"/>
      </w:pPr>
      <w:r>
        <w:t>4.  Record two engineering activities where repository-level Claude Code exploration adds value and two activities where inline completion would be sufficient.</w:t>
      </w:r>
    </w:p>
    <w:p>
      <w:pPr>
        <w:spacing w:after="40"/>
      </w:pPr>
      <w:r>
        <w:t>5.  Identify at least two points where a human must verify Claude Code's explanation before acting on it.</w:t>
      </w:r>
    </w:p>
    <w:p>
      <w:pPr>
        <w:pStyle w:val="Heading2"/>
      </w:pPr>
      <w:r>
        <w:t>Acceptance Criteria</w:t>
      </w:r>
    </w:p>
    <w:p>
      <w:pPr>
        <w:pStyle w:val="ListBullet"/>
        <w:spacing w:after="40"/>
      </w:pPr>
      <w:r>
        <w:t>No source file is modified during the exercise.</w:t>
      </w:r>
    </w:p>
    <w:p>
      <w:pPr>
        <w:pStyle w:val="ListBullet"/>
        <w:spacing w:after="40"/>
      </w:pPr>
      <w:r>
        <w:t>The response identifies the REST/request layer and the delivery/retry area using repository evidence.</w:t>
      </w:r>
    </w:p>
    <w:p>
      <w:pPr>
        <w:pStyle w:val="ListBullet"/>
        <w:spacing w:after="40"/>
      </w:pPr>
      <w:r>
        <w:t>The participant distinguishes agentic/repository-level assistance from inline autocomplete without presenting either tool as a universal replacement.</w:t>
      </w:r>
    </w:p>
    <w:p>
      <w:pPr>
        <w:pStyle w:val="ListBullet"/>
        <w:spacing w:after="40"/>
      </w:pPr>
      <w:r>
        <w:t>At least two human verification checkpoints are documented.</w:t>
      </w:r>
    </w:p>
    <w:p>
      <w:pPr>
        <w:pStyle w:val="ListBullet"/>
        <w:spacing w:after="40"/>
      </w:pPr>
      <w:r>
        <w:t>The final note is concise enough for another engineer to use as an onboarding aid.</w:t>
      </w:r>
    </w:p>
    <w:p>
      <w:r>
        <w:br w:type="page"/>
      </w:r>
    </w:p>
    <w:p>
      <w:pPr>
        <w:pStyle w:val="Heading1"/>
      </w:pPr>
      <w:r>
        <w:t>Exercise 2: Plan Visibility and Approval Checkpoints</w:t>
      </w:r>
    </w:p>
    <w:tbl>
      <w:tblPr>
        <w:tblStyle w:val="TableGrid"/>
        <w:tblW w:type="auto" w:w="0"/>
        <w:tblLayout w:type="autofit"/>
        <w:tblLook w:firstColumn="1" w:firstRow="1" w:lastColumn="0" w:lastRow="0" w:noHBand="0" w:noVBand="1" w:val="04A0"/>
      </w:tblPr>
      <w:tblGrid>
        <w:gridCol w:w="2520"/>
        <w:gridCol w:w="2520"/>
        <w:gridCol w:w="2520"/>
        <w:gridCol w:w="2520"/>
      </w:tblGrid>
      <w:tr>
        <w:tc>
          <w:tcPr>
            <w:tcW w:type="dxa" w:w="2520"/>
            <w:shd w:fill="D9EAF7"/>
            <w:vAlign w:val="center"/>
            <w:tcMar>
              <w:top w:w="80" w:type="dxa"/>
              <w:start w:w="100" w:type="dxa"/>
              <w:bottom w:w="80" w:type="dxa"/>
              <w:end w:w="100" w:type="dxa"/>
            </w:tcMar>
          </w:tcPr>
          <w:p>
            <w:r>
              <w:rPr>
                <w:b/>
              </w:rPr>
              <w:t>Jira Ticket</w:t>
            </w:r>
          </w:p>
        </w:tc>
        <w:tc>
          <w:tcPr>
            <w:tcW w:type="dxa" w:w="2520"/>
            <w:vAlign w:val="center"/>
            <w:tcMar>
              <w:top w:w="80" w:type="dxa"/>
              <w:start w:w="100" w:type="dxa"/>
              <w:bottom w:w="80" w:type="dxa"/>
              <w:end w:w="100" w:type="dxa"/>
            </w:tcMar>
          </w:tcPr>
          <w:p>
            <w:r>
              <w:t>CC-M2-002</w:t>
            </w:r>
          </w:p>
        </w:tc>
        <w:tc>
          <w:tcPr>
            <w:tcW w:type="dxa" w:w="2520"/>
            <w:shd w:fill="D9EAF7"/>
            <w:vAlign w:val="center"/>
            <w:tcMar>
              <w:top w:w="80" w:type="dxa"/>
              <w:start w:w="100" w:type="dxa"/>
              <w:bottom w:w="80" w:type="dxa"/>
              <w:end w:w="100" w:type="dxa"/>
            </w:tcMar>
          </w:tcPr>
          <w:p>
            <w:r>
              <w:rPr>
                <w:b/>
              </w:rPr>
              <w:t>Module</w:t>
            </w:r>
          </w:p>
        </w:tc>
        <w:tc>
          <w:tcPr>
            <w:tcW w:type="dxa" w:w="2520"/>
            <w:vAlign w:val="center"/>
            <w:tcMar>
              <w:top w:w="80" w:type="dxa"/>
              <w:start w:w="100" w:type="dxa"/>
              <w:bottom w:w="80" w:type="dxa"/>
              <w:end w:w="100" w:type="dxa"/>
            </w:tcMar>
          </w:tcPr>
          <w:p>
            <w:r>
              <w:t>Module 2 — Claude &amp; Claude Code in Context</w:t>
            </w:r>
          </w:p>
        </w:tc>
      </w:tr>
      <w:tr>
        <w:tc>
          <w:tcPr>
            <w:tcW w:type="dxa" w:w="2520"/>
            <w:shd w:fill="D9EAF7"/>
            <w:vAlign w:val="center"/>
            <w:tcMar>
              <w:top w:w="80" w:type="dxa"/>
              <w:start w:w="100" w:type="dxa"/>
              <w:bottom w:w="80" w:type="dxa"/>
              <w:end w:w="100" w:type="dxa"/>
            </w:tcMar>
          </w:tcPr>
          <w:p>
            <w:r>
              <w:rPr>
                <w:b/>
              </w:rPr>
              <w:t>Issue Type</w:t>
            </w:r>
          </w:p>
        </w:tc>
        <w:tc>
          <w:tcPr>
            <w:tcW w:type="dxa" w:w="2520"/>
            <w:vAlign w:val="center"/>
            <w:tcMar>
              <w:top w:w="80" w:type="dxa"/>
              <w:start w:w="100" w:type="dxa"/>
              <w:bottom w:w="80" w:type="dxa"/>
              <w:end w:w="100" w:type="dxa"/>
            </w:tcMar>
          </w:tcPr>
          <w:p>
            <w:r>
              <w:t>Decision Exercise</w:t>
            </w:r>
          </w:p>
        </w:tc>
        <w:tc>
          <w:tcPr>
            <w:tcW w:type="dxa" w:w="2520"/>
            <w:shd w:fill="D9EAF7"/>
            <w:vAlign w:val="center"/>
            <w:tcMar>
              <w:top w:w="80" w:type="dxa"/>
              <w:start w:w="100" w:type="dxa"/>
              <w:bottom w:w="80" w:type="dxa"/>
              <w:end w:w="100" w:type="dxa"/>
            </w:tcMar>
          </w:tcPr>
          <w:p>
            <w:r>
              <w:rPr>
                <w:b/>
              </w:rPr>
              <w:t>Priority</w:t>
            </w:r>
          </w:p>
        </w:tc>
        <w:tc>
          <w:tcPr>
            <w:tcW w:type="dxa" w:w="2520"/>
            <w:vAlign w:val="center"/>
            <w:tcMar>
              <w:top w:w="80" w:type="dxa"/>
              <w:start w:w="100" w:type="dxa"/>
              <w:bottom w:w="80" w:type="dxa"/>
              <w:end w:w="100" w:type="dxa"/>
            </w:tcMar>
          </w:tcPr>
          <w:p>
            <w:r>
              <w:t>Medium</w:t>
            </w:r>
          </w:p>
        </w:tc>
      </w:tr>
    </w:tbl>
    <w:p>
      <w:pPr>
        <w:spacing w:after="0"/>
      </w:pPr>
    </w:p>
    <w:p>
      <w:pPr>
        <w:pStyle w:val="Heading2"/>
      </w:pPr>
      <w:r>
        <w:t>Business Requirement</w:t>
      </w:r>
    </w:p>
    <w:p>
      <w:pPr>
        <w:spacing w:after="120"/>
      </w:pPr>
      <w:r>
        <w:t>The team wants engineers to use Claude Code as a collaborator rather than an unattended autopilot. Before allowing any code-changing task, the engineering lead requires a visible plan and explicit human checkpoints so the engineer understands what Claude intends to inspect or modify.</w:t>
      </w:r>
    </w:p>
    <w:p>
      <w:pPr>
        <w:pStyle w:val="Heading2"/>
      </w:pPr>
      <w:r>
        <w:t>Tasks to Perform</w:t>
      </w:r>
    </w:p>
    <w:p>
      <w:pPr>
        <w:spacing w:after="40"/>
      </w:pPr>
      <w:r>
        <w:t>1.  Select a small maintenance request in the account-alerts repository but do not implement it.</w:t>
      </w:r>
    </w:p>
    <w:p>
      <w:pPr>
        <w:spacing w:after="40"/>
      </w:pPr>
      <w:r>
        <w:t>2.  Prompt Claude Code to inspect the repository and propose a plan only.</w:t>
      </w:r>
    </w:p>
    <w:p>
      <w:pPr>
        <w:spacing w:after="40"/>
      </w:pPr>
      <w:r>
        <w:t>3.  Review the proposed plan and identify steps that are read-only, code-changing, test-related, or potentially risky.</w:t>
      </w:r>
    </w:p>
    <w:p>
      <w:pPr>
        <w:spacing w:after="40"/>
      </w:pPr>
      <w:r>
        <w:t>4.  Mark where explicit human approval should occur before the next action.</w:t>
      </w:r>
    </w:p>
    <w:p>
      <w:pPr>
        <w:spacing w:after="40"/>
      </w:pPr>
      <w:r>
        <w:t>5.  Refine the request until the plan has a clear objective, boundaries, verification step, and stop/escalation condition.</w:t>
      </w:r>
    </w:p>
    <w:p>
      <w:pPr>
        <w:pStyle w:val="Heading2"/>
      </w:pPr>
      <w:r>
        <w:t>Acceptance Criteria</w:t>
      </w:r>
    </w:p>
    <w:p>
      <w:pPr>
        <w:pStyle w:val="ListBullet"/>
        <w:spacing w:after="40"/>
      </w:pPr>
      <w:r>
        <w:t>Claude Code is asked for a plan before implementation.</w:t>
      </w:r>
    </w:p>
    <w:p>
      <w:pPr>
        <w:pStyle w:val="ListBullet"/>
        <w:spacing w:after="40"/>
      </w:pPr>
      <w:r>
        <w:t>The plan separates exploration, proposed modification, verification, and review activities.</w:t>
      </w:r>
    </w:p>
    <w:p>
      <w:pPr>
        <w:pStyle w:val="ListBullet"/>
        <w:spacing w:after="40"/>
      </w:pPr>
      <w:r>
        <w:t>At least two explicit human approval/checkpoint locations are identified.</w:t>
      </w:r>
    </w:p>
    <w:p>
      <w:pPr>
        <w:pStyle w:val="ListBullet"/>
        <w:spacing w:after="40"/>
      </w:pPr>
      <w:r>
        <w:t>No unapproved source-code change is made.</w:t>
      </w:r>
    </w:p>
    <w:p>
      <w:pPr>
        <w:pStyle w:val="ListBullet"/>
        <w:spacing w:after="40"/>
      </w:pPr>
      <w:r>
        <w:t>The participant can explain why the final plan is safer and more actionable than an open-ended 'fix this' request.</w:t>
      </w:r>
    </w:p>
    <w:p>
      <w:r>
        <w:br w:type="page"/>
      </w:r>
    </w:p>
    <w:p>
      <w:pPr>
        <w:pStyle w:val="Heading1"/>
      </w:pPr>
      <w:r>
        <w:t>Exercise 3: Cold-Start Repository Onboarding</w:t>
      </w:r>
    </w:p>
    <w:tbl>
      <w:tblPr>
        <w:tblStyle w:val="TableGrid"/>
        <w:tblW w:type="auto" w:w="0"/>
        <w:tblLayout w:type="autofit"/>
        <w:tblLook w:firstColumn="1" w:firstRow="1" w:lastColumn="0" w:lastRow="0" w:noHBand="0" w:noVBand="1" w:val="04A0"/>
      </w:tblPr>
      <w:tblGrid>
        <w:gridCol w:w="2520"/>
        <w:gridCol w:w="2520"/>
        <w:gridCol w:w="2520"/>
        <w:gridCol w:w="2520"/>
      </w:tblGrid>
      <w:tr>
        <w:tc>
          <w:tcPr>
            <w:tcW w:type="dxa" w:w="2520"/>
            <w:shd w:fill="D9EAF7"/>
            <w:vAlign w:val="center"/>
            <w:tcMar>
              <w:top w:w="80" w:type="dxa"/>
              <w:start w:w="100" w:type="dxa"/>
              <w:bottom w:w="80" w:type="dxa"/>
              <w:end w:w="100" w:type="dxa"/>
            </w:tcMar>
          </w:tcPr>
          <w:p>
            <w:r>
              <w:rPr>
                <w:b/>
              </w:rPr>
              <w:t>Jira Ticket</w:t>
            </w:r>
          </w:p>
        </w:tc>
        <w:tc>
          <w:tcPr>
            <w:tcW w:type="dxa" w:w="2520"/>
            <w:vAlign w:val="center"/>
            <w:tcMar>
              <w:top w:w="80" w:type="dxa"/>
              <w:start w:w="100" w:type="dxa"/>
              <w:bottom w:w="80" w:type="dxa"/>
              <w:end w:w="100" w:type="dxa"/>
            </w:tcMar>
          </w:tcPr>
          <w:p>
            <w:r>
              <w:t>CC-M3-001</w:t>
            </w:r>
          </w:p>
        </w:tc>
        <w:tc>
          <w:tcPr>
            <w:tcW w:type="dxa" w:w="2520"/>
            <w:shd w:fill="D9EAF7"/>
            <w:vAlign w:val="center"/>
            <w:tcMar>
              <w:top w:w="80" w:type="dxa"/>
              <w:start w:w="100" w:type="dxa"/>
              <w:bottom w:w="80" w:type="dxa"/>
              <w:end w:w="100" w:type="dxa"/>
            </w:tcMar>
          </w:tcPr>
          <w:p>
            <w:r>
              <w:rPr>
                <w:b/>
              </w:rPr>
              <w:t>Module</w:t>
            </w:r>
          </w:p>
        </w:tc>
        <w:tc>
          <w:tcPr>
            <w:tcW w:type="dxa" w:w="2520"/>
            <w:vAlign w:val="center"/>
            <w:tcMar>
              <w:top w:w="80" w:type="dxa"/>
              <w:start w:w="100" w:type="dxa"/>
              <w:bottom w:w="80" w:type="dxa"/>
              <w:end w:w="100" w:type="dxa"/>
            </w:tcMar>
          </w:tcPr>
          <w:p>
            <w:r>
              <w:t>Module 3 — Setup &amp; Onboarding a Repo</w:t>
            </w:r>
          </w:p>
        </w:tc>
      </w:tr>
      <w:tr>
        <w:tc>
          <w:tcPr>
            <w:tcW w:type="dxa" w:w="2520"/>
            <w:shd w:fill="D9EAF7"/>
            <w:vAlign w:val="center"/>
            <w:tcMar>
              <w:top w:w="80" w:type="dxa"/>
              <w:start w:w="100" w:type="dxa"/>
              <w:bottom w:w="80" w:type="dxa"/>
              <w:end w:w="100" w:type="dxa"/>
            </w:tcMar>
          </w:tcPr>
          <w:p>
            <w:r>
              <w:rPr>
                <w:b/>
              </w:rPr>
              <w:t>Issue Type</w:t>
            </w:r>
          </w:p>
        </w:tc>
        <w:tc>
          <w:tcPr>
            <w:tcW w:type="dxa" w:w="2520"/>
            <w:vAlign w:val="center"/>
            <w:tcMar>
              <w:top w:w="80" w:type="dxa"/>
              <w:start w:w="100" w:type="dxa"/>
              <w:bottom w:w="80" w:type="dxa"/>
              <w:end w:w="100" w:type="dxa"/>
            </w:tcMar>
          </w:tcPr>
          <w:p>
            <w:r>
              <w:t>Onboarding Task</w:t>
            </w:r>
          </w:p>
        </w:tc>
        <w:tc>
          <w:tcPr>
            <w:tcW w:type="dxa" w:w="2520"/>
            <w:shd w:fill="D9EAF7"/>
            <w:vAlign w:val="center"/>
            <w:tcMar>
              <w:top w:w="80" w:type="dxa"/>
              <w:start w:w="100" w:type="dxa"/>
              <w:bottom w:w="80" w:type="dxa"/>
              <w:end w:w="100" w:type="dxa"/>
            </w:tcMar>
          </w:tcPr>
          <w:p>
            <w:r>
              <w:rPr>
                <w:b/>
              </w:rPr>
              <w:t>Priority</w:t>
            </w:r>
          </w:p>
        </w:tc>
        <w:tc>
          <w:tcPr>
            <w:tcW w:type="dxa" w:w="2520"/>
            <w:vAlign w:val="center"/>
            <w:tcMar>
              <w:top w:w="80" w:type="dxa"/>
              <w:start w:w="100" w:type="dxa"/>
              <w:bottom w:w="80" w:type="dxa"/>
              <w:end w:w="100" w:type="dxa"/>
            </w:tcMar>
          </w:tcPr>
          <w:p>
            <w:r>
              <w:t>High</w:t>
            </w:r>
          </w:p>
        </w:tc>
      </w:tr>
    </w:tbl>
    <w:p>
      <w:pPr>
        <w:spacing w:after="0"/>
      </w:pPr>
    </w:p>
    <w:p>
      <w:pPr>
        <w:pStyle w:val="Heading2"/>
      </w:pPr>
      <w:r>
        <w:t>Business Requirement</w:t>
      </w:r>
    </w:p>
    <w:p>
      <w:pPr>
        <w:spacing w:after="120"/>
      </w:pPr>
      <w:r>
        <w:t>A new engineer receives the account-alerts repository with no walkthrough or tribal knowledge. The engineer must establish a working Claude Code environment and produce an initial technical map of the service without deploying anything or changing production-facing behavior.</w:t>
      </w:r>
    </w:p>
    <w:p>
      <w:pPr>
        <w:pStyle w:val="Heading2"/>
      </w:pPr>
      <w:r>
        <w:t>Tasks to Perform</w:t>
      </w:r>
    </w:p>
    <w:p>
      <w:pPr>
        <w:spacing w:after="40"/>
      </w:pPr>
      <w:r>
        <w:t>1.  Open the repository locally in VS Code and confirm Claude Code CLI/VS Code access is authenticated for the sandbox environment.</w:t>
      </w:r>
    </w:p>
    <w:p>
      <w:pPr>
        <w:spacing w:after="40"/>
      </w:pPr>
      <w:r>
        <w:t>2.  Review repository-level instructions, configuration, README content, and available scripts before asking Claude Code to act.</w:t>
      </w:r>
    </w:p>
    <w:p>
      <w:pPr>
        <w:spacing w:after="40"/>
      </w:pPr>
      <w:r>
        <w:t>3.  Use read-only exploration to map the REST layer, service layer, scheduler, delivery/provider simulation, tests, and configuration.</w:t>
      </w:r>
    </w:p>
    <w:p>
      <w:pPr>
        <w:spacing w:after="40"/>
      </w:pPr>
      <w:r>
        <w:t>4.  Ask Claude Code to identify how an alert request moves from entry point to delivery.</w:t>
      </w:r>
    </w:p>
    <w:p>
      <w:pPr>
        <w:spacing w:after="40"/>
      </w:pPr>
      <w:r>
        <w:t>5.  Create a short onboarding summary containing key files, execution path, test command(s), and areas requiring further investigation.</w:t>
      </w:r>
    </w:p>
    <w:p>
      <w:pPr>
        <w:pStyle w:val="Heading2"/>
      </w:pPr>
      <w:r>
        <w:t>Acceptance Criteria</w:t>
      </w:r>
    </w:p>
    <w:p>
      <w:pPr>
        <w:pStyle w:val="ListBullet"/>
        <w:spacing w:after="40"/>
      </w:pPr>
      <w:r>
        <w:t>Claude Code is connected to the local sandbox repository successfully.</w:t>
      </w:r>
    </w:p>
    <w:p>
      <w:pPr>
        <w:pStyle w:val="ListBullet"/>
        <w:spacing w:after="40"/>
      </w:pPr>
      <w:r>
        <w:t>Exploration is read-only; no external deployment is performed.</w:t>
      </w:r>
    </w:p>
    <w:p>
      <w:pPr>
        <w:pStyle w:val="ListBullet"/>
        <w:spacing w:after="40"/>
      </w:pPr>
      <w:r>
        <w:t>The onboarding map identifies the major repository components and their relationships.</w:t>
      </w:r>
    </w:p>
    <w:p>
      <w:pPr>
        <w:pStyle w:val="ListBullet"/>
        <w:spacing w:after="40"/>
      </w:pPr>
      <w:r>
        <w:t>The request-to-delivery flow is described with concrete repository references.</w:t>
      </w:r>
    </w:p>
    <w:p>
      <w:pPr>
        <w:pStyle w:val="ListBullet"/>
        <w:spacing w:after="40"/>
      </w:pPr>
      <w:r>
        <w:t>The onboarding summary includes test/run guidance and at least one uncertainty that should be verified by a human.</w:t>
      </w:r>
    </w:p>
    <w:p>
      <w:r>
        <w:br w:type="page"/>
      </w:r>
    </w:p>
    <w:p>
      <w:pPr>
        <w:pStyle w:val="Heading1"/>
      </w:pPr>
      <w:r>
        <w:t>Exercise 4: Repository Safety and Secrets Onboarding Check</w:t>
      </w:r>
    </w:p>
    <w:tbl>
      <w:tblPr>
        <w:tblStyle w:val="TableGrid"/>
        <w:tblW w:type="auto" w:w="0"/>
        <w:tblLayout w:type="autofit"/>
        <w:tblLook w:firstColumn="1" w:firstRow="1" w:lastColumn="0" w:lastRow="0" w:noHBand="0" w:noVBand="1" w:val="04A0"/>
      </w:tblPr>
      <w:tblGrid>
        <w:gridCol w:w="2520"/>
        <w:gridCol w:w="2520"/>
        <w:gridCol w:w="2520"/>
        <w:gridCol w:w="2520"/>
      </w:tblGrid>
      <w:tr>
        <w:tc>
          <w:tcPr>
            <w:tcW w:type="dxa" w:w="2520"/>
            <w:shd w:fill="D9EAF7"/>
            <w:vAlign w:val="center"/>
            <w:tcMar>
              <w:top w:w="80" w:type="dxa"/>
              <w:start w:w="100" w:type="dxa"/>
              <w:bottom w:w="80" w:type="dxa"/>
              <w:end w:w="100" w:type="dxa"/>
            </w:tcMar>
          </w:tcPr>
          <w:p>
            <w:r>
              <w:rPr>
                <w:b/>
              </w:rPr>
              <w:t>Jira Ticket</w:t>
            </w:r>
          </w:p>
        </w:tc>
        <w:tc>
          <w:tcPr>
            <w:tcW w:type="dxa" w:w="2520"/>
            <w:vAlign w:val="center"/>
            <w:tcMar>
              <w:top w:w="80" w:type="dxa"/>
              <w:start w:w="100" w:type="dxa"/>
              <w:bottom w:w="80" w:type="dxa"/>
              <w:end w:w="100" w:type="dxa"/>
            </w:tcMar>
          </w:tcPr>
          <w:p>
            <w:r>
              <w:t>CC-M3-002</w:t>
            </w:r>
          </w:p>
        </w:tc>
        <w:tc>
          <w:tcPr>
            <w:tcW w:type="dxa" w:w="2520"/>
            <w:shd w:fill="D9EAF7"/>
            <w:vAlign w:val="center"/>
            <w:tcMar>
              <w:top w:w="80" w:type="dxa"/>
              <w:start w:w="100" w:type="dxa"/>
              <w:bottom w:w="80" w:type="dxa"/>
              <w:end w:w="100" w:type="dxa"/>
            </w:tcMar>
          </w:tcPr>
          <w:p>
            <w:r>
              <w:rPr>
                <w:b/>
              </w:rPr>
              <w:t>Module</w:t>
            </w:r>
          </w:p>
        </w:tc>
        <w:tc>
          <w:tcPr>
            <w:tcW w:type="dxa" w:w="2520"/>
            <w:vAlign w:val="center"/>
            <w:tcMar>
              <w:top w:w="80" w:type="dxa"/>
              <w:start w:w="100" w:type="dxa"/>
              <w:bottom w:w="80" w:type="dxa"/>
              <w:end w:w="100" w:type="dxa"/>
            </w:tcMar>
          </w:tcPr>
          <w:p>
            <w:r>
              <w:t>Module 3 — Setup &amp; Onboarding a Repo</w:t>
            </w:r>
          </w:p>
        </w:tc>
      </w:tr>
      <w:tr>
        <w:tc>
          <w:tcPr>
            <w:tcW w:type="dxa" w:w="2520"/>
            <w:shd w:fill="D9EAF7"/>
            <w:vAlign w:val="center"/>
            <w:tcMar>
              <w:top w:w="80" w:type="dxa"/>
              <w:start w:w="100" w:type="dxa"/>
              <w:bottom w:w="80" w:type="dxa"/>
              <w:end w:w="100" w:type="dxa"/>
            </w:tcMar>
          </w:tcPr>
          <w:p>
            <w:r>
              <w:rPr>
                <w:b/>
              </w:rPr>
              <w:t>Issue Type</w:t>
            </w:r>
          </w:p>
        </w:tc>
        <w:tc>
          <w:tcPr>
            <w:tcW w:type="dxa" w:w="2520"/>
            <w:vAlign w:val="center"/>
            <w:tcMar>
              <w:top w:w="80" w:type="dxa"/>
              <w:start w:w="100" w:type="dxa"/>
              <w:bottom w:w="80" w:type="dxa"/>
              <w:end w:w="100" w:type="dxa"/>
            </w:tcMar>
          </w:tcPr>
          <w:p>
            <w:r>
              <w:t>Security/Setup Task</w:t>
            </w:r>
          </w:p>
        </w:tc>
        <w:tc>
          <w:tcPr>
            <w:tcW w:type="dxa" w:w="2520"/>
            <w:shd w:fill="D9EAF7"/>
            <w:vAlign w:val="center"/>
            <w:tcMar>
              <w:top w:w="80" w:type="dxa"/>
              <w:start w:w="100" w:type="dxa"/>
              <w:bottom w:w="80" w:type="dxa"/>
              <w:end w:w="100" w:type="dxa"/>
            </w:tcMar>
          </w:tcPr>
          <w:p>
            <w:r>
              <w:rPr>
                <w:b/>
              </w:rPr>
              <w:t>Priority</w:t>
            </w:r>
          </w:p>
        </w:tc>
        <w:tc>
          <w:tcPr>
            <w:tcW w:type="dxa" w:w="2520"/>
            <w:vAlign w:val="center"/>
            <w:tcMar>
              <w:top w:w="80" w:type="dxa"/>
              <w:start w:w="100" w:type="dxa"/>
              <w:bottom w:w="80" w:type="dxa"/>
              <w:end w:w="100" w:type="dxa"/>
            </w:tcMar>
          </w:tcPr>
          <w:p>
            <w:r>
              <w:t>High</w:t>
            </w:r>
          </w:p>
        </w:tc>
      </w:tr>
    </w:tbl>
    <w:p>
      <w:pPr>
        <w:spacing w:after="0"/>
      </w:pPr>
    </w:p>
    <w:p>
      <w:pPr>
        <w:pStyle w:val="Heading2"/>
      </w:pPr>
      <w:r>
        <w:t>Business Requirement</w:t>
      </w:r>
    </w:p>
    <w:p>
      <w:pPr>
        <w:spacing w:after="120"/>
      </w:pPr>
      <w:r>
        <w:t>Before AI-assisted development begins, the team requires a repository onboarding check that prevents accidental exposure of credentials and ensures engineers understand approval boundaries. The account-alerts project must remain local and sandboxed.</w:t>
      </w:r>
    </w:p>
    <w:p>
      <w:pPr>
        <w:pStyle w:val="Heading2"/>
      </w:pPr>
      <w:r>
        <w:t>Tasks to Perform</w:t>
      </w:r>
    </w:p>
    <w:p>
      <w:pPr>
        <w:spacing w:after="40"/>
      </w:pPr>
      <w:r>
        <w:t>1.  Inspect configuration and repository files for locations where credentials, tokens, environment variables, or sensitive values could appear.</w:t>
      </w:r>
    </w:p>
    <w:p>
      <w:pPr>
        <w:spacing w:after="40"/>
      </w:pPr>
      <w:r>
        <w:t>2.  Ask Claude Code to explain which files should be treated cautiously and why, without asking it to reveal secret values.</w:t>
      </w:r>
    </w:p>
    <w:p>
      <w:pPr>
        <w:spacing w:after="40"/>
      </w:pPr>
      <w:r>
        <w:t>3.  Review ignore/configuration patterns and identify any unsafe handling pattern visible in the repository.</w:t>
      </w:r>
    </w:p>
    <w:p>
      <w:pPr>
        <w:spacing w:after="40"/>
      </w:pPr>
      <w:r>
        <w:t>4.  Define a short approval checklist for read operations, code modifications, test execution, and any action that could access external systems.</w:t>
      </w:r>
    </w:p>
    <w:p>
      <w:pPr>
        <w:spacing w:after="40"/>
      </w:pPr>
      <w:r>
        <w:t>5.  Confirm that the exercise can be completed locally with no external deployment.</w:t>
      </w:r>
    </w:p>
    <w:p>
      <w:pPr>
        <w:pStyle w:val="Heading2"/>
      </w:pPr>
      <w:r>
        <w:t>Acceptance Criteria</w:t>
      </w:r>
    </w:p>
    <w:p>
      <w:pPr>
        <w:pStyle w:val="ListBullet"/>
        <w:spacing w:after="40"/>
      </w:pPr>
      <w:r>
        <w:t>No credential, token, or secret value is copied into a prompt or participant deliverable.</w:t>
      </w:r>
    </w:p>
    <w:p>
      <w:pPr>
        <w:pStyle w:val="ListBullet"/>
        <w:spacing w:after="40"/>
      </w:pPr>
      <w:r>
        <w:t>Potential secret-bearing files/locations are identified by path or category without exposing values.</w:t>
      </w:r>
    </w:p>
    <w:p>
      <w:pPr>
        <w:pStyle w:val="ListBullet"/>
        <w:spacing w:after="40"/>
      </w:pPr>
      <w:r>
        <w:t>An approval checklist covers read, write, test, and external-access boundaries.</w:t>
      </w:r>
    </w:p>
    <w:p>
      <w:pPr>
        <w:pStyle w:val="ListBullet"/>
        <w:spacing w:after="40"/>
      </w:pPr>
      <w:r>
        <w:t>The participant explicitly confirms local-only execution for the exercise.</w:t>
      </w:r>
    </w:p>
    <w:p>
      <w:pPr>
        <w:pStyle w:val="ListBullet"/>
        <w:spacing w:after="40"/>
      </w:pPr>
      <w:r>
        <w:t>Any suspected unsafe pattern is reported for review rather than automatically changed.</w:t>
      </w:r>
    </w:p>
    <w:p>
      <w:r>
        <w:br w:type="page"/>
      </w:r>
    </w:p>
    <w:p>
      <w:pPr>
        <w:pStyle w:val="Heading1"/>
      </w:pPr>
      <w:r>
        <w:t>Exercise 5: Implement Configurable Quiet Hours for Account Alerts</w:t>
      </w:r>
    </w:p>
    <w:tbl>
      <w:tblPr>
        <w:tblStyle w:val="TableGrid"/>
        <w:tblW w:type="auto" w:w="0"/>
        <w:tblLayout w:type="autofit"/>
        <w:tblLook w:firstColumn="1" w:firstRow="1" w:lastColumn="0" w:lastRow="0" w:noHBand="0" w:noVBand="1" w:val="04A0"/>
      </w:tblPr>
      <w:tblGrid>
        <w:gridCol w:w="2520"/>
        <w:gridCol w:w="2520"/>
        <w:gridCol w:w="2520"/>
        <w:gridCol w:w="2520"/>
      </w:tblGrid>
      <w:tr>
        <w:tc>
          <w:tcPr>
            <w:tcW w:type="dxa" w:w="2520"/>
            <w:shd w:fill="D9EAF7"/>
            <w:vAlign w:val="center"/>
            <w:tcMar>
              <w:top w:w="80" w:type="dxa"/>
              <w:start w:w="100" w:type="dxa"/>
              <w:bottom w:w="80" w:type="dxa"/>
              <w:end w:w="100" w:type="dxa"/>
            </w:tcMar>
          </w:tcPr>
          <w:p>
            <w:r>
              <w:rPr>
                <w:b/>
              </w:rPr>
              <w:t>Jira Ticket</w:t>
            </w:r>
          </w:p>
        </w:tc>
        <w:tc>
          <w:tcPr>
            <w:tcW w:type="dxa" w:w="2520"/>
            <w:vAlign w:val="center"/>
            <w:tcMar>
              <w:top w:w="80" w:type="dxa"/>
              <w:start w:w="100" w:type="dxa"/>
              <w:bottom w:w="80" w:type="dxa"/>
              <w:end w:w="100" w:type="dxa"/>
            </w:tcMar>
          </w:tcPr>
          <w:p>
            <w:r>
              <w:t>CC-M4-001</w:t>
            </w:r>
          </w:p>
        </w:tc>
        <w:tc>
          <w:tcPr>
            <w:tcW w:type="dxa" w:w="2520"/>
            <w:shd w:fill="D9EAF7"/>
            <w:vAlign w:val="center"/>
            <w:tcMar>
              <w:top w:w="80" w:type="dxa"/>
              <w:start w:w="100" w:type="dxa"/>
              <w:bottom w:w="80" w:type="dxa"/>
              <w:end w:w="100" w:type="dxa"/>
            </w:tcMar>
          </w:tcPr>
          <w:p>
            <w:r>
              <w:rPr>
                <w:b/>
              </w:rPr>
              <w:t>Module</w:t>
            </w:r>
          </w:p>
        </w:tc>
        <w:tc>
          <w:tcPr>
            <w:tcW w:type="dxa" w:w="2520"/>
            <w:vAlign w:val="center"/>
            <w:tcMar>
              <w:top w:w="80" w:type="dxa"/>
              <w:start w:w="100" w:type="dxa"/>
              <w:bottom w:w="80" w:type="dxa"/>
              <w:end w:w="100" w:type="dxa"/>
            </w:tcMar>
          </w:tcPr>
          <w:p>
            <w:r>
              <w:t>Module 4 — The Core Workflow: Explore → Plan → Code → Commit</w:t>
            </w:r>
          </w:p>
        </w:tc>
      </w:tr>
      <w:tr>
        <w:tc>
          <w:tcPr>
            <w:tcW w:type="dxa" w:w="2520"/>
            <w:shd w:fill="D9EAF7"/>
            <w:vAlign w:val="center"/>
            <w:tcMar>
              <w:top w:w="80" w:type="dxa"/>
              <w:start w:w="100" w:type="dxa"/>
              <w:bottom w:w="80" w:type="dxa"/>
              <w:end w:w="100" w:type="dxa"/>
            </w:tcMar>
          </w:tcPr>
          <w:p>
            <w:r>
              <w:rPr>
                <w:b/>
              </w:rPr>
              <w:t>Issue Type</w:t>
            </w:r>
          </w:p>
        </w:tc>
        <w:tc>
          <w:tcPr>
            <w:tcW w:type="dxa" w:w="2520"/>
            <w:vAlign w:val="center"/>
            <w:tcMar>
              <w:top w:w="80" w:type="dxa"/>
              <w:start w:w="100" w:type="dxa"/>
              <w:bottom w:w="80" w:type="dxa"/>
              <w:end w:w="100" w:type="dxa"/>
            </w:tcMar>
          </w:tcPr>
          <w:p>
            <w:r>
              <w:t>Feature Story</w:t>
            </w:r>
          </w:p>
        </w:tc>
        <w:tc>
          <w:tcPr>
            <w:tcW w:type="dxa" w:w="2520"/>
            <w:shd w:fill="D9EAF7"/>
            <w:vAlign w:val="center"/>
            <w:tcMar>
              <w:top w:w="80" w:type="dxa"/>
              <w:start w:w="100" w:type="dxa"/>
              <w:bottom w:w="80" w:type="dxa"/>
              <w:end w:w="100" w:type="dxa"/>
            </w:tcMar>
          </w:tcPr>
          <w:p>
            <w:r>
              <w:rPr>
                <w:b/>
              </w:rPr>
              <w:t>Priority</w:t>
            </w:r>
          </w:p>
        </w:tc>
        <w:tc>
          <w:tcPr>
            <w:tcW w:type="dxa" w:w="2520"/>
            <w:vAlign w:val="center"/>
            <w:tcMar>
              <w:top w:w="80" w:type="dxa"/>
              <w:start w:w="100" w:type="dxa"/>
              <w:bottom w:w="80" w:type="dxa"/>
              <w:end w:w="100" w:type="dxa"/>
            </w:tcMar>
          </w:tcPr>
          <w:p>
            <w:r>
              <w:t>High</w:t>
            </w:r>
          </w:p>
        </w:tc>
      </w:tr>
    </w:tbl>
    <w:p>
      <w:pPr>
        <w:spacing w:after="0"/>
      </w:pPr>
    </w:p>
    <w:p>
      <w:pPr>
        <w:pStyle w:val="Heading2"/>
      </w:pPr>
      <w:r>
        <w:t>Business Requirement</w:t>
      </w:r>
    </w:p>
    <w:p>
      <w:pPr>
        <w:spacing w:after="120"/>
      </w:pPr>
      <w:r>
        <w:t>Support reports that customers receive non-urgent account alerts during overnight hours. The service needs a quiet-hours rule so eligible alerts are not delivered during the configured window. The change must be implemented through the full Explore → Plan → Code → Commit workflow and must not bypass existing retry behavior.</w:t>
      </w:r>
    </w:p>
    <w:p>
      <w:pPr>
        <w:pStyle w:val="Heading2"/>
      </w:pPr>
      <w:r>
        <w:t>Tasks to Perform</w:t>
      </w:r>
    </w:p>
    <w:p>
      <w:pPr>
        <w:spacing w:after="40"/>
      </w:pPr>
      <w:r>
        <w:t>1.  Explore the scheduler, configuration, delivery flow, and relevant tests before editing code.</w:t>
      </w:r>
    </w:p>
    <w:p>
      <w:pPr>
        <w:spacing w:after="40"/>
      </w:pPr>
      <w:r>
        <w:t>2.  Produce a plan that states assumptions, files likely to change, edge cases, test strategy, and explicit acceptance criteria.</w:t>
      </w:r>
    </w:p>
    <w:p>
      <w:pPr>
        <w:spacing w:after="40"/>
      </w:pPr>
      <w:r>
        <w:t>3.  Implement the smallest incremental change needed to respect a configurable quiet-hours window.</w:t>
      </w:r>
    </w:p>
    <w:p>
      <w:pPr>
        <w:spacing w:after="40"/>
      </w:pPr>
      <w:r>
        <w:t>4.  Add or update tests for alerts inside and outside the quiet-hours window and verify existing tests still pass.</w:t>
      </w:r>
    </w:p>
    <w:p>
      <w:pPr>
        <w:spacing w:after="40"/>
      </w:pPr>
      <w:r>
        <w:t>5.  Review the diff, summarize the change, and prepare a clean commit/PR description including what was verified.</w:t>
      </w:r>
    </w:p>
    <w:p>
      <w:pPr>
        <w:pStyle w:val="Heading2"/>
      </w:pPr>
      <w:r>
        <w:t>Acceptance Criteria</w:t>
      </w:r>
    </w:p>
    <w:p>
      <w:pPr>
        <w:pStyle w:val="ListBullet"/>
        <w:spacing w:after="40"/>
      </w:pPr>
      <w:r>
        <w:t>Alerts outside the configured quiet-hours window continue through the normal delivery path.</w:t>
      </w:r>
    </w:p>
    <w:p>
      <w:pPr>
        <w:pStyle w:val="ListBullet"/>
        <w:spacing w:after="40"/>
      </w:pPr>
      <w:r>
        <w:t>Eligible alerts inside the quiet-hours window are not delivered immediately.</w:t>
      </w:r>
    </w:p>
    <w:p>
      <w:pPr>
        <w:pStyle w:val="ListBullet"/>
        <w:spacing w:after="40"/>
      </w:pPr>
      <w:r>
        <w:t>The implementation uses the repository's existing configuration/design patterns rather than introducing an unrelated architecture.</w:t>
      </w:r>
    </w:p>
    <w:p>
      <w:pPr>
        <w:pStyle w:val="ListBullet"/>
        <w:spacing w:after="40"/>
      </w:pPr>
      <w:r>
        <w:t>Tests cover both quiet-hours and non-quiet-hours behavior and the existing test suite remains green.</w:t>
      </w:r>
    </w:p>
    <w:p>
      <w:pPr>
        <w:pStyle w:val="ListBullet"/>
        <w:spacing w:after="40"/>
      </w:pPr>
      <w:r>
        <w:t>The participant can show evidence of all four workflow stages: Explore, Plan, Code, and Commit.</w:t>
      </w:r>
    </w:p>
    <w:p>
      <w:r>
        <w:br w:type="page"/>
      </w:r>
    </w:p>
    <w:p>
      <w:pPr>
        <w:pStyle w:val="Heading1"/>
      </w:pPr>
      <w:r>
        <w:t>Exercise 6: Add a Delivery Attempt Audit Field</w:t>
      </w:r>
    </w:p>
    <w:tbl>
      <w:tblPr>
        <w:tblStyle w:val="TableGrid"/>
        <w:tblW w:type="auto" w:w="0"/>
        <w:tblLayout w:type="autofit"/>
        <w:tblLook w:firstColumn="1" w:firstRow="1" w:lastColumn="0" w:lastRow="0" w:noHBand="0" w:noVBand="1" w:val="04A0"/>
      </w:tblPr>
      <w:tblGrid>
        <w:gridCol w:w="2520"/>
        <w:gridCol w:w="2520"/>
        <w:gridCol w:w="2520"/>
        <w:gridCol w:w="2520"/>
      </w:tblGrid>
      <w:tr>
        <w:tc>
          <w:tcPr>
            <w:tcW w:type="dxa" w:w="2520"/>
            <w:shd w:fill="D9EAF7"/>
            <w:vAlign w:val="center"/>
            <w:tcMar>
              <w:top w:w="80" w:type="dxa"/>
              <w:start w:w="100" w:type="dxa"/>
              <w:bottom w:w="80" w:type="dxa"/>
              <w:end w:w="100" w:type="dxa"/>
            </w:tcMar>
          </w:tcPr>
          <w:p>
            <w:r>
              <w:rPr>
                <w:b/>
              </w:rPr>
              <w:t>Jira Ticket</w:t>
            </w:r>
          </w:p>
        </w:tc>
        <w:tc>
          <w:tcPr>
            <w:tcW w:type="dxa" w:w="2520"/>
            <w:vAlign w:val="center"/>
            <w:tcMar>
              <w:top w:w="80" w:type="dxa"/>
              <w:start w:w="100" w:type="dxa"/>
              <w:bottom w:w="80" w:type="dxa"/>
              <w:end w:w="100" w:type="dxa"/>
            </w:tcMar>
          </w:tcPr>
          <w:p>
            <w:r>
              <w:t>CC-M4-002</w:t>
            </w:r>
          </w:p>
        </w:tc>
        <w:tc>
          <w:tcPr>
            <w:tcW w:type="dxa" w:w="2520"/>
            <w:shd w:fill="D9EAF7"/>
            <w:vAlign w:val="center"/>
            <w:tcMar>
              <w:top w:w="80" w:type="dxa"/>
              <w:start w:w="100" w:type="dxa"/>
              <w:bottom w:w="80" w:type="dxa"/>
              <w:end w:w="100" w:type="dxa"/>
            </w:tcMar>
          </w:tcPr>
          <w:p>
            <w:r>
              <w:rPr>
                <w:b/>
              </w:rPr>
              <w:t>Module</w:t>
            </w:r>
          </w:p>
        </w:tc>
        <w:tc>
          <w:tcPr>
            <w:tcW w:type="dxa" w:w="2520"/>
            <w:vAlign w:val="center"/>
            <w:tcMar>
              <w:top w:w="80" w:type="dxa"/>
              <w:start w:w="100" w:type="dxa"/>
              <w:bottom w:w="80" w:type="dxa"/>
              <w:end w:w="100" w:type="dxa"/>
            </w:tcMar>
          </w:tcPr>
          <w:p>
            <w:r>
              <w:t>Module 4 — The Core Workflow: Explore → Plan → Code → Commit</w:t>
            </w:r>
          </w:p>
        </w:tc>
      </w:tr>
      <w:tr>
        <w:tc>
          <w:tcPr>
            <w:tcW w:type="dxa" w:w="2520"/>
            <w:shd w:fill="D9EAF7"/>
            <w:vAlign w:val="center"/>
            <w:tcMar>
              <w:top w:w="80" w:type="dxa"/>
              <w:start w:w="100" w:type="dxa"/>
              <w:bottom w:w="80" w:type="dxa"/>
              <w:end w:w="100" w:type="dxa"/>
            </w:tcMar>
          </w:tcPr>
          <w:p>
            <w:r>
              <w:rPr>
                <w:b/>
              </w:rPr>
              <w:t>Issue Type</w:t>
            </w:r>
          </w:p>
        </w:tc>
        <w:tc>
          <w:tcPr>
            <w:tcW w:type="dxa" w:w="2520"/>
            <w:vAlign w:val="center"/>
            <w:tcMar>
              <w:top w:w="80" w:type="dxa"/>
              <w:start w:w="100" w:type="dxa"/>
              <w:bottom w:w="80" w:type="dxa"/>
              <w:end w:w="100" w:type="dxa"/>
            </w:tcMar>
          </w:tcPr>
          <w:p>
            <w:r>
              <w:t>Engineering Change</w:t>
            </w:r>
          </w:p>
        </w:tc>
        <w:tc>
          <w:tcPr>
            <w:tcW w:type="dxa" w:w="2520"/>
            <w:shd w:fill="D9EAF7"/>
            <w:vAlign w:val="center"/>
            <w:tcMar>
              <w:top w:w="80" w:type="dxa"/>
              <w:start w:w="100" w:type="dxa"/>
              <w:bottom w:w="80" w:type="dxa"/>
              <w:end w:w="100" w:type="dxa"/>
            </w:tcMar>
          </w:tcPr>
          <w:p>
            <w:r>
              <w:rPr>
                <w:b/>
              </w:rPr>
              <w:t>Priority</w:t>
            </w:r>
          </w:p>
        </w:tc>
        <w:tc>
          <w:tcPr>
            <w:tcW w:type="dxa" w:w="2520"/>
            <w:vAlign w:val="center"/>
            <w:tcMar>
              <w:top w:w="80" w:type="dxa"/>
              <w:start w:w="100" w:type="dxa"/>
              <w:bottom w:w="80" w:type="dxa"/>
              <w:end w:w="100" w:type="dxa"/>
            </w:tcMar>
          </w:tcPr>
          <w:p>
            <w:r>
              <w:t>Medium</w:t>
            </w:r>
          </w:p>
        </w:tc>
      </w:tr>
    </w:tbl>
    <w:p>
      <w:pPr>
        <w:spacing w:after="0"/>
      </w:pPr>
    </w:p>
    <w:p>
      <w:pPr>
        <w:pStyle w:val="Heading2"/>
      </w:pPr>
      <w:r>
        <w:t>Business Requirement</w:t>
      </w:r>
    </w:p>
    <w:p>
      <w:pPr>
        <w:spacing w:after="120"/>
      </w:pPr>
      <w:r>
        <w:t>Operations needs better traceability when investigating alert delivery behavior. For each delivery attempt, engineers should be able to determine the attempt number from application-level data/logging without redesigning the service or adding an external platform.</w:t>
      </w:r>
    </w:p>
    <w:p>
      <w:pPr>
        <w:pStyle w:val="Heading2"/>
      </w:pPr>
      <w:r>
        <w:t>Tasks to Perform</w:t>
      </w:r>
    </w:p>
    <w:p>
      <w:pPr>
        <w:spacing w:after="40"/>
      </w:pPr>
      <w:r>
        <w:t>1.  Explore where delivery attempts and retry counts are currently represented.</w:t>
      </w:r>
    </w:p>
    <w:p>
      <w:pPr>
        <w:spacing w:after="40"/>
      </w:pPr>
      <w:r>
        <w:t>2.  Plan the smallest change that makes the attempt number observable while preserving existing behavior.</w:t>
      </w:r>
    </w:p>
    <w:p>
      <w:pPr>
        <w:spacing w:after="40"/>
      </w:pPr>
      <w:r>
        <w:t>3.  Implement the change incrementally and stop after each meaningful checkpoint to inspect the diff.</w:t>
      </w:r>
    </w:p>
    <w:p>
      <w:pPr>
        <w:spacing w:after="40"/>
      </w:pPr>
      <w:r>
        <w:t>4.  Add or update tests to verify the first attempt and at least one retry attempt.</w:t>
      </w:r>
    </w:p>
    <w:p>
      <w:pPr>
        <w:spacing w:after="40"/>
      </w:pPr>
      <w:r>
        <w:t>5.  Prepare a review-ready summary describing the implementation, verification, and any compatibility considerations.</w:t>
      </w:r>
    </w:p>
    <w:p>
      <w:pPr>
        <w:pStyle w:val="Heading2"/>
      </w:pPr>
      <w:r>
        <w:t>Acceptance Criteria</w:t>
      </w:r>
    </w:p>
    <w:p>
      <w:pPr>
        <w:pStyle w:val="ListBullet"/>
        <w:spacing w:after="40"/>
      </w:pPr>
      <w:r>
        <w:t>The attempt number is observable at the selected application boundary.</w:t>
      </w:r>
    </w:p>
    <w:p>
      <w:pPr>
        <w:pStyle w:val="ListBullet"/>
        <w:spacing w:after="40"/>
      </w:pPr>
      <w:r>
        <w:t>Existing delivery and retry behavior is not intentionally changed.</w:t>
      </w:r>
    </w:p>
    <w:p>
      <w:pPr>
        <w:pStyle w:val="ListBullet"/>
        <w:spacing w:after="40"/>
      </w:pPr>
      <w:r>
        <w:t>The implementation reuses existing data/control flow where feasible.</w:t>
      </w:r>
    </w:p>
    <w:p>
      <w:pPr>
        <w:pStyle w:val="ListBullet"/>
        <w:spacing w:after="40"/>
      </w:pPr>
      <w:r>
        <w:t>Automated verification covers an initial attempt and a retry.</w:t>
      </w:r>
    </w:p>
    <w:p>
      <w:pPr>
        <w:pStyle w:val="ListBullet"/>
        <w:spacing w:after="40"/>
      </w:pPr>
      <w:r>
        <w:t>The final diff contains only changes needed for the ticket plus necessary tests/documentation.</w:t>
      </w:r>
    </w:p>
    <w:p>
      <w:r>
        <w:br w:type="page"/>
      </w:r>
    </w:p>
    <w:p>
      <w:pPr>
        <w:pStyle w:val="Heading1"/>
      </w:pPr>
      <w:r>
        <w:t>Exercise 7: Turn a Vague Scheduler Request into an Actionable Engineering Prompt</w:t>
      </w:r>
    </w:p>
    <w:tbl>
      <w:tblPr>
        <w:tblStyle w:val="TableGrid"/>
        <w:tblW w:type="auto" w:w="0"/>
        <w:tblLayout w:type="autofit"/>
        <w:tblLook w:firstColumn="1" w:firstRow="1" w:lastColumn="0" w:lastRow="0" w:noHBand="0" w:noVBand="1" w:val="04A0"/>
      </w:tblPr>
      <w:tblGrid>
        <w:gridCol w:w="2520"/>
        <w:gridCol w:w="2520"/>
        <w:gridCol w:w="2520"/>
        <w:gridCol w:w="2520"/>
      </w:tblGrid>
      <w:tr>
        <w:tc>
          <w:tcPr>
            <w:tcW w:type="dxa" w:w="2520"/>
            <w:shd w:fill="D9EAF7"/>
            <w:vAlign w:val="center"/>
            <w:tcMar>
              <w:top w:w="80" w:type="dxa"/>
              <w:start w:w="100" w:type="dxa"/>
              <w:bottom w:w="80" w:type="dxa"/>
              <w:end w:w="100" w:type="dxa"/>
            </w:tcMar>
          </w:tcPr>
          <w:p>
            <w:r>
              <w:rPr>
                <w:b/>
              </w:rPr>
              <w:t>Jira Ticket</w:t>
            </w:r>
          </w:p>
        </w:tc>
        <w:tc>
          <w:tcPr>
            <w:tcW w:type="dxa" w:w="2520"/>
            <w:vAlign w:val="center"/>
            <w:tcMar>
              <w:top w:w="80" w:type="dxa"/>
              <w:start w:w="100" w:type="dxa"/>
              <w:bottom w:w="80" w:type="dxa"/>
              <w:end w:w="100" w:type="dxa"/>
            </w:tcMar>
          </w:tcPr>
          <w:p>
            <w:r>
              <w:t>CC-M5-001</w:t>
            </w:r>
          </w:p>
        </w:tc>
        <w:tc>
          <w:tcPr>
            <w:tcW w:type="dxa" w:w="2520"/>
            <w:shd w:fill="D9EAF7"/>
            <w:vAlign w:val="center"/>
            <w:tcMar>
              <w:top w:w="80" w:type="dxa"/>
              <w:start w:w="100" w:type="dxa"/>
              <w:bottom w:w="80" w:type="dxa"/>
              <w:end w:w="100" w:type="dxa"/>
            </w:tcMar>
          </w:tcPr>
          <w:p>
            <w:r>
              <w:rPr>
                <w:b/>
              </w:rPr>
              <w:t>Module</w:t>
            </w:r>
          </w:p>
        </w:tc>
        <w:tc>
          <w:tcPr>
            <w:tcW w:type="dxa" w:w="2520"/>
            <w:vAlign w:val="center"/>
            <w:tcMar>
              <w:top w:w="80" w:type="dxa"/>
              <w:start w:w="100" w:type="dxa"/>
              <w:bottom w:w="80" w:type="dxa"/>
              <w:end w:w="100" w:type="dxa"/>
            </w:tcMar>
          </w:tcPr>
          <w:p>
            <w:r>
              <w:t>Module 5 — Prompting for Effective Collaboration</w:t>
            </w:r>
          </w:p>
        </w:tc>
      </w:tr>
      <w:tr>
        <w:tc>
          <w:tcPr>
            <w:tcW w:type="dxa" w:w="2520"/>
            <w:shd w:fill="D9EAF7"/>
            <w:vAlign w:val="center"/>
            <w:tcMar>
              <w:top w:w="80" w:type="dxa"/>
              <w:start w:w="100" w:type="dxa"/>
              <w:bottom w:w="80" w:type="dxa"/>
              <w:end w:w="100" w:type="dxa"/>
            </w:tcMar>
          </w:tcPr>
          <w:p>
            <w:r>
              <w:rPr>
                <w:b/>
              </w:rPr>
              <w:t>Issue Type</w:t>
            </w:r>
          </w:p>
        </w:tc>
        <w:tc>
          <w:tcPr>
            <w:tcW w:type="dxa" w:w="2520"/>
            <w:vAlign w:val="center"/>
            <w:tcMar>
              <w:top w:w="80" w:type="dxa"/>
              <w:start w:w="100" w:type="dxa"/>
              <w:bottom w:w="80" w:type="dxa"/>
              <w:end w:w="100" w:type="dxa"/>
            </w:tcMar>
          </w:tcPr>
          <w:p>
            <w:r>
              <w:t>Prompt Engineering Exercise</w:t>
            </w:r>
          </w:p>
        </w:tc>
        <w:tc>
          <w:tcPr>
            <w:tcW w:type="dxa" w:w="2520"/>
            <w:shd w:fill="D9EAF7"/>
            <w:vAlign w:val="center"/>
            <w:tcMar>
              <w:top w:w="80" w:type="dxa"/>
              <w:start w:w="100" w:type="dxa"/>
              <w:bottom w:w="80" w:type="dxa"/>
              <w:end w:w="100" w:type="dxa"/>
            </w:tcMar>
          </w:tcPr>
          <w:p>
            <w:r>
              <w:rPr>
                <w:b/>
              </w:rPr>
              <w:t>Priority</w:t>
            </w:r>
          </w:p>
        </w:tc>
        <w:tc>
          <w:tcPr>
            <w:tcW w:type="dxa" w:w="2520"/>
            <w:vAlign w:val="center"/>
            <w:tcMar>
              <w:top w:w="80" w:type="dxa"/>
              <w:start w:w="100" w:type="dxa"/>
              <w:bottom w:w="80" w:type="dxa"/>
              <w:end w:w="100" w:type="dxa"/>
            </w:tcMar>
          </w:tcPr>
          <w:p>
            <w:r>
              <w:t>Medium</w:t>
            </w:r>
          </w:p>
        </w:tc>
      </w:tr>
    </w:tbl>
    <w:p>
      <w:pPr>
        <w:spacing w:after="0"/>
      </w:pPr>
    </w:p>
    <w:p>
      <w:pPr>
        <w:pStyle w:val="Heading2"/>
      </w:pPr>
      <w:r>
        <w:t>Business Requirement</w:t>
      </w:r>
    </w:p>
    <w:p>
      <w:pPr>
        <w:spacing w:after="120"/>
      </w:pPr>
      <w:r>
        <w:t>The delivery-and-retry scheduler is under-documented and engineers avoid changing it. A backlog item says only: 'Make the scheduler more reliable.' The team needs a disciplined prompt that produces useful analysis without inviting uncontrolled changes.</w:t>
      </w:r>
    </w:p>
    <w:p>
      <w:pPr>
        <w:pStyle w:val="Heading2"/>
      </w:pPr>
      <w:r>
        <w:t>Tasks to Perform</w:t>
      </w:r>
    </w:p>
    <w:p>
      <w:pPr>
        <w:spacing w:after="40"/>
      </w:pPr>
      <w:r>
        <w:t>1.  Start with the vague request exactly as written and observe the limitations of the resulting response.</w:t>
      </w:r>
    </w:p>
    <w:p>
      <w:pPr>
        <w:spacing w:after="40"/>
      </w:pPr>
      <w:r>
        <w:t>2.  Rewrite the prompt with a specific objective, repository context, constraints, and definition of done.</w:t>
      </w:r>
    </w:p>
    <w:p>
      <w:pPr>
        <w:spacing w:after="40"/>
      </w:pPr>
      <w:r>
        <w:t>3.  Require Claude Code to inspect before proposing changes and to cite the files/functions that support its conclusions.</w:t>
      </w:r>
    </w:p>
    <w:p>
      <w:pPr>
        <w:spacing w:after="40"/>
      </w:pPr>
      <w:r>
        <w:t>4.  Ask for at least two possible approaches and their tradeoffs, but instruct Claude Code not to implement either approach.</w:t>
      </w:r>
    </w:p>
    <w:p>
      <w:pPr>
        <w:spacing w:after="40"/>
      </w:pPr>
      <w:r>
        <w:t>5.  Refine the prompt once more based on gaps or unsupported assumptions in the first structured response.</w:t>
      </w:r>
    </w:p>
    <w:p>
      <w:pPr>
        <w:pStyle w:val="Heading2"/>
      </w:pPr>
      <w:r>
        <w:t>Acceptance Criteria</w:t>
      </w:r>
    </w:p>
    <w:p>
      <w:pPr>
        <w:pStyle w:val="ListBullet"/>
        <w:spacing w:after="40"/>
      </w:pPr>
      <w:r>
        <w:t>The final prompt contains objective, context, constraints, expected output, and definition of done.</w:t>
      </w:r>
    </w:p>
    <w:p>
      <w:pPr>
        <w:pStyle w:val="ListBullet"/>
        <w:spacing w:after="40"/>
      </w:pPr>
      <w:r>
        <w:t>The final prompt explicitly requests evidence from the repository.</w:t>
      </w:r>
    </w:p>
    <w:p>
      <w:pPr>
        <w:pStyle w:val="ListBullet"/>
        <w:spacing w:after="40"/>
      </w:pPr>
      <w:r>
        <w:t>At least two alternatives and meaningful tradeoffs are requested.</w:t>
      </w:r>
    </w:p>
    <w:p>
      <w:pPr>
        <w:pStyle w:val="ListBullet"/>
        <w:spacing w:after="40"/>
      </w:pPr>
      <w:r>
        <w:t>The prompt prevents implementation until the participant reviews the analysis.</w:t>
      </w:r>
    </w:p>
    <w:p>
      <w:pPr>
        <w:pStyle w:val="ListBullet"/>
        <w:spacing w:after="40"/>
      </w:pPr>
      <w:r>
        <w:t>The participant documents at least three concrete improvements between the vague and final prompt.</w:t>
      </w:r>
    </w:p>
    <w:p>
      <w:r>
        <w:br w:type="page"/>
      </w:r>
    </w:p>
    <w:p>
      <w:pPr>
        <w:pStyle w:val="Heading1"/>
      </w:pPr>
      <w:r>
        <w:t>Exercise 8: Build a Reusable Code-Change Review Prompt</w:t>
      </w:r>
    </w:p>
    <w:tbl>
      <w:tblPr>
        <w:tblStyle w:val="TableGrid"/>
        <w:tblW w:type="auto" w:w="0"/>
        <w:tblLayout w:type="autofit"/>
        <w:tblLook w:firstColumn="1" w:firstRow="1" w:lastColumn="0" w:lastRow="0" w:noHBand="0" w:noVBand="1" w:val="04A0"/>
      </w:tblPr>
      <w:tblGrid>
        <w:gridCol w:w="2520"/>
        <w:gridCol w:w="2520"/>
        <w:gridCol w:w="2520"/>
        <w:gridCol w:w="2520"/>
      </w:tblGrid>
      <w:tr>
        <w:tc>
          <w:tcPr>
            <w:tcW w:type="dxa" w:w="2520"/>
            <w:shd w:fill="D9EAF7"/>
            <w:vAlign w:val="center"/>
            <w:tcMar>
              <w:top w:w="80" w:type="dxa"/>
              <w:start w:w="100" w:type="dxa"/>
              <w:bottom w:w="80" w:type="dxa"/>
              <w:end w:w="100" w:type="dxa"/>
            </w:tcMar>
          </w:tcPr>
          <w:p>
            <w:r>
              <w:rPr>
                <w:b/>
              </w:rPr>
              <w:t>Jira Ticket</w:t>
            </w:r>
          </w:p>
        </w:tc>
        <w:tc>
          <w:tcPr>
            <w:tcW w:type="dxa" w:w="2520"/>
            <w:vAlign w:val="center"/>
            <w:tcMar>
              <w:top w:w="80" w:type="dxa"/>
              <w:start w:w="100" w:type="dxa"/>
              <w:bottom w:w="80" w:type="dxa"/>
              <w:end w:w="100" w:type="dxa"/>
            </w:tcMar>
          </w:tcPr>
          <w:p>
            <w:r>
              <w:t>CC-M5-002</w:t>
            </w:r>
          </w:p>
        </w:tc>
        <w:tc>
          <w:tcPr>
            <w:tcW w:type="dxa" w:w="2520"/>
            <w:shd w:fill="D9EAF7"/>
            <w:vAlign w:val="center"/>
            <w:tcMar>
              <w:top w:w="80" w:type="dxa"/>
              <w:start w:w="100" w:type="dxa"/>
              <w:bottom w:w="80" w:type="dxa"/>
              <w:end w:w="100" w:type="dxa"/>
            </w:tcMar>
          </w:tcPr>
          <w:p>
            <w:r>
              <w:rPr>
                <w:b/>
              </w:rPr>
              <w:t>Module</w:t>
            </w:r>
          </w:p>
        </w:tc>
        <w:tc>
          <w:tcPr>
            <w:tcW w:type="dxa" w:w="2520"/>
            <w:vAlign w:val="center"/>
            <w:tcMar>
              <w:top w:w="80" w:type="dxa"/>
              <w:start w:w="100" w:type="dxa"/>
              <w:bottom w:w="80" w:type="dxa"/>
              <w:end w:w="100" w:type="dxa"/>
            </w:tcMar>
          </w:tcPr>
          <w:p>
            <w:r>
              <w:t>Module 5 — Prompting for Effective Collaboration</w:t>
            </w:r>
          </w:p>
        </w:tc>
      </w:tr>
      <w:tr>
        <w:tc>
          <w:tcPr>
            <w:tcW w:type="dxa" w:w="2520"/>
            <w:shd w:fill="D9EAF7"/>
            <w:vAlign w:val="center"/>
            <w:tcMar>
              <w:top w:w="80" w:type="dxa"/>
              <w:start w:w="100" w:type="dxa"/>
              <w:bottom w:w="80" w:type="dxa"/>
              <w:end w:w="100" w:type="dxa"/>
            </w:tcMar>
          </w:tcPr>
          <w:p>
            <w:r>
              <w:rPr>
                <w:b/>
              </w:rPr>
              <w:t>Issue Type</w:t>
            </w:r>
          </w:p>
        </w:tc>
        <w:tc>
          <w:tcPr>
            <w:tcW w:type="dxa" w:w="2520"/>
            <w:vAlign w:val="center"/>
            <w:tcMar>
              <w:top w:w="80" w:type="dxa"/>
              <w:start w:w="100" w:type="dxa"/>
              <w:bottom w:w="80" w:type="dxa"/>
              <w:end w:w="100" w:type="dxa"/>
            </w:tcMar>
          </w:tcPr>
          <w:p>
            <w:r>
              <w:t>Reusable Prompt Asset</w:t>
            </w:r>
          </w:p>
        </w:tc>
        <w:tc>
          <w:tcPr>
            <w:tcW w:type="dxa" w:w="2520"/>
            <w:shd w:fill="D9EAF7"/>
            <w:vAlign w:val="center"/>
            <w:tcMar>
              <w:top w:w="80" w:type="dxa"/>
              <w:start w:w="100" w:type="dxa"/>
              <w:bottom w:w="80" w:type="dxa"/>
              <w:end w:w="100" w:type="dxa"/>
            </w:tcMar>
          </w:tcPr>
          <w:p>
            <w:r>
              <w:rPr>
                <w:b/>
              </w:rPr>
              <w:t>Priority</w:t>
            </w:r>
          </w:p>
        </w:tc>
        <w:tc>
          <w:tcPr>
            <w:tcW w:type="dxa" w:w="2520"/>
            <w:vAlign w:val="center"/>
            <w:tcMar>
              <w:top w:w="80" w:type="dxa"/>
              <w:start w:w="100" w:type="dxa"/>
              <w:bottom w:w="80" w:type="dxa"/>
              <w:end w:w="100" w:type="dxa"/>
            </w:tcMar>
          </w:tcPr>
          <w:p>
            <w:r>
              <w:t>Medium</w:t>
            </w:r>
          </w:p>
        </w:tc>
      </w:tr>
    </w:tbl>
    <w:p>
      <w:pPr>
        <w:spacing w:after="0"/>
      </w:pPr>
    </w:p>
    <w:p>
      <w:pPr>
        <w:pStyle w:val="Heading2"/>
      </w:pPr>
      <w:r>
        <w:t>Business Requirement</w:t>
      </w:r>
    </w:p>
    <w:p>
      <w:pPr>
        <w:spacing w:after="120"/>
      </w:pPr>
      <w:r>
        <w:t>The team repeatedly asks AI assistants to review small changes, but the requests vary by engineer and often return large, unverified summaries. The team wants a reusable prompt snippet that focuses review on correctness, tests, security, scope, and evidence.</w:t>
      </w:r>
    </w:p>
    <w:p>
      <w:pPr>
        <w:pStyle w:val="Heading2"/>
      </w:pPr>
      <w:r>
        <w:t>Tasks to Perform</w:t>
      </w:r>
    </w:p>
    <w:p>
      <w:pPr>
        <w:spacing w:after="40"/>
      </w:pPr>
      <w:r>
        <w:t>1.  Create a reusable prompt template with placeholders for ticket objective, changed files, constraints, and acceptance criteria.</w:t>
      </w:r>
    </w:p>
    <w:p>
      <w:pPr>
        <w:spacing w:after="40"/>
      </w:pPr>
      <w:r>
        <w:t>2.  Require the prompt to distinguish confirmed findings from assumptions or questions.</w:t>
      </w:r>
    </w:p>
    <w:p>
      <w:pPr>
        <w:spacing w:after="40"/>
      </w:pPr>
      <w:r>
        <w:t>3.  Require the reviewer to identify missing tests, scope creep, security concerns, and potential regressions.</w:t>
      </w:r>
    </w:p>
    <w:p>
      <w:pPr>
        <w:spacing w:after="40"/>
      </w:pPr>
      <w:r>
        <w:t>4.  Require findings to reference relevant files or diff locations and avoid rewriting code unless explicitly requested.</w:t>
      </w:r>
    </w:p>
    <w:p>
      <w:pPr>
        <w:spacing w:after="40"/>
      </w:pPr>
      <w:r>
        <w:t>5.  Test the prompt against the quiet-hours change or another small account-alerts diff and refine it based on output quality.</w:t>
      </w:r>
    </w:p>
    <w:p>
      <w:pPr>
        <w:pStyle w:val="Heading2"/>
      </w:pPr>
      <w:r>
        <w:t>Acceptance Criteria</w:t>
      </w:r>
    </w:p>
    <w:p>
      <w:pPr>
        <w:pStyle w:val="ListBullet"/>
        <w:spacing w:after="40"/>
      </w:pPr>
      <w:r>
        <w:t>The prompt is reusable and contains clear placeholders rather than hard-coded ticket details.</w:t>
      </w:r>
    </w:p>
    <w:p>
      <w:pPr>
        <w:pStyle w:val="ListBullet"/>
        <w:spacing w:after="40"/>
      </w:pPr>
      <w:r>
        <w:t>The output format separates confirmed findings, risks, assumptions/questions, and recommended verification.</w:t>
      </w:r>
    </w:p>
    <w:p>
      <w:pPr>
        <w:pStyle w:val="ListBullet"/>
        <w:spacing w:after="40"/>
      </w:pPr>
      <w:r>
        <w:t>The prompt explicitly checks acceptance criteria and test coverage.</w:t>
      </w:r>
    </w:p>
    <w:p>
      <w:pPr>
        <w:pStyle w:val="ListBullet"/>
        <w:spacing w:after="40"/>
      </w:pPr>
      <w:r>
        <w:t>The prompt discourages unverified bulk AI output and unnecessary code generation.</w:t>
      </w:r>
    </w:p>
    <w:p>
      <w:pPr>
        <w:pStyle w:val="ListBullet"/>
        <w:spacing w:after="40"/>
      </w:pPr>
      <w:r>
        <w:t>A sample execution demonstrates that the prompt produces actionable, evidence-based review feedback.</w:t>
      </w:r>
    </w:p>
    <w:p>
      <w:r>
        <w:br w:type="page"/>
      </w:r>
    </w:p>
    <w:p>
      <w:pPr>
        <w:pStyle w:val="Heading1"/>
      </w:pPr>
      <w:r>
        <w:t>Exercise 9: Verify the Quiet-Hours Change Against a Pre-Existing Retry Defect</w:t>
      </w:r>
    </w:p>
    <w:tbl>
      <w:tblPr>
        <w:tblStyle w:val="TableGrid"/>
        <w:tblW w:type="auto" w:w="0"/>
        <w:tblLayout w:type="autofit"/>
        <w:tblLook w:firstColumn="1" w:firstRow="1" w:lastColumn="0" w:lastRow="0" w:noHBand="0" w:noVBand="1" w:val="04A0"/>
      </w:tblPr>
      <w:tblGrid>
        <w:gridCol w:w="2520"/>
        <w:gridCol w:w="2520"/>
        <w:gridCol w:w="2520"/>
        <w:gridCol w:w="2520"/>
      </w:tblGrid>
      <w:tr>
        <w:tc>
          <w:tcPr>
            <w:tcW w:type="dxa" w:w="2520"/>
            <w:shd w:fill="D9EAF7"/>
            <w:vAlign w:val="center"/>
            <w:tcMar>
              <w:top w:w="80" w:type="dxa"/>
              <w:start w:w="100" w:type="dxa"/>
              <w:bottom w:w="80" w:type="dxa"/>
              <w:end w:w="100" w:type="dxa"/>
            </w:tcMar>
          </w:tcPr>
          <w:p>
            <w:r>
              <w:rPr>
                <w:b/>
              </w:rPr>
              <w:t>Jira Ticket</w:t>
            </w:r>
          </w:p>
        </w:tc>
        <w:tc>
          <w:tcPr>
            <w:tcW w:type="dxa" w:w="2520"/>
            <w:vAlign w:val="center"/>
            <w:tcMar>
              <w:top w:w="80" w:type="dxa"/>
              <w:start w:w="100" w:type="dxa"/>
              <w:bottom w:w="80" w:type="dxa"/>
              <w:end w:w="100" w:type="dxa"/>
            </w:tcMar>
          </w:tcPr>
          <w:p>
            <w:r>
              <w:t>CC-M6-001</w:t>
            </w:r>
          </w:p>
        </w:tc>
        <w:tc>
          <w:tcPr>
            <w:tcW w:type="dxa" w:w="2520"/>
            <w:shd w:fill="D9EAF7"/>
            <w:vAlign w:val="center"/>
            <w:tcMar>
              <w:top w:w="80" w:type="dxa"/>
              <w:start w:w="100" w:type="dxa"/>
              <w:bottom w:w="80" w:type="dxa"/>
              <w:end w:w="100" w:type="dxa"/>
            </w:tcMar>
          </w:tcPr>
          <w:p>
            <w:r>
              <w:rPr>
                <w:b/>
              </w:rPr>
              <w:t>Module</w:t>
            </w:r>
          </w:p>
        </w:tc>
        <w:tc>
          <w:tcPr>
            <w:tcW w:type="dxa" w:w="2520"/>
            <w:vAlign w:val="center"/>
            <w:tcMar>
              <w:top w:w="80" w:type="dxa"/>
              <w:start w:w="100" w:type="dxa"/>
              <w:bottom w:w="80" w:type="dxa"/>
              <w:end w:w="100" w:type="dxa"/>
            </w:tcMar>
          </w:tcPr>
          <w:p>
            <w:r>
              <w:t>Module 6 — Quality, Security &amp; Reviewable PRs</w:t>
            </w:r>
          </w:p>
        </w:tc>
      </w:tr>
      <w:tr>
        <w:tc>
          <w:tcPr>
            <w:tcW w:type="dxa" w:w="2520"/>
            <w:shd w:fill="D9EAF7"/>
            <w:vAlign w:val="center"/>
            <w:tcMar>
              <w:top w:w="80" w:type="dxa"/>
              <w:start w:w="100" w:type="dxa"/>
              <w:bottom w:w="80" w:type="dxa"/>
              <w:end w:w="100" w:type="dxa"/>
            </w:tcMar>
          </w:tcPr>
          <w:p>
            <w:r>
              <w:rPr>
                <w:b/>
              </w:rPr>
              <w:t>Issue Type</w:t>
            </w:r>
          </w:p>
        </w:tc>
        <w:tc>
          <w:tcPr>
            <w:tcW w:type="dxa" w:w="2520"/>
            <w:vAlign w:val="center"/>
            <w:tcMar>
              <w:top w:w="80" w:type="dxa"/>
              <w:start w:w="100" w:type="dxa"/>
              <w:bottom w:w="80" w:type="dxa"/>
              <w:end w:w="100" w:type="dxa"/>
            </w:tcMar>
          </w:tcPr>
          <w:p>
            <w:r>
              <w:t>Quality &amp; Security Review</w:t>
            </w:r>
          </w:p>
        </w:tc>
        <w:tc>
          <w:tcPr>
            <w:tcW w:type="dxa" w:w="2520"/>
            <w:shd w:fill="D9EAF7"/>
            <w:vAlign w:val="center"/>
            <w:tcMar>
              <w:top w:w="80" w:type="dxa"/>
              <w:start w:w="100" w:type="dxa"/>
              <w:bottom w:w="80" w:type="dxa"/>
              <w:end w:w="100" w:type="dxa"/>
            </w:tcMar>
          </w:tcPr>
          <w:p>
            <w:r>
              <w:rPr>
                <w:b/>
              </w:rPr>
              <w:t>Priority</w:t>
            </w:r>
          </w:p>
        </w:tc>
        <w:tc>
          <w:tcPr>
            <w:tcW w:type="dxa" w:w="2520"/>
            <w:vAlign w:val="center"/>
            <w:tcMar>
              <w:top w:w="80" w:type="dxa"/>
              <w:start w:w="100" w:type="dxa"/>
              <w:bottom w:w="80" w:type="dxa"/>
              <w:end w:w="100" w:type="dxa"/>
            </w:tcMar>
          </w:tcPr>
          <w:p>
            <w:r>
              <w:t>High</w:t>
            </w:r>
          </w:p>
        </w:tc>
      </w:tr>
    </w:tbl>
    <w:p>
      <w:pPr>
        <w:spacing w:after="0"/>
      </w:pPr>
    </w:p>
    <w:p>
      <w:pPr>
        <w:pStyle w:val="Heading2"/>
      </w:pPr>
      <w:r>
        <w:t>Business Requirement</w:t>
      </w:r>
    </w:p>
    <w:p>
      <w:pPr>
        <w:spacing w:after="120"/>
      </w:pPr>
      <w:r>
        <w:t>During review of the quiet-hours feature, a reviewer notices that duplicate alerts can occur on retry in the same area of the code. The team must determine whether the defect was introduced by the feature or already existed, without quietly expanding the feature ticket into an unreviewed bug fix.</w:t>
      </w:r>
    </w:p>
    <w:p>
      <w:pPr>
        <w:pStyle w:val="Heading2"/>
      </w:pPr>
      <w:r>
        <w:t>Tasks to Perform</w:t>
      </w:r>
    </w:p>
    <w:p>
      <w:pPr>
        <w:spacing w:after="40"/>
      </w:pPr>
      <w:r>
        <w:t>1.  Review the quiet-hours diff and identify the code paths that overlap with delivery/retry behavior.</w:t>
      </w:r>
    </w:p>
    <w:p>
      <w:pPr>
        <w:spacing w:after="40"/>
      </w:pPr>
      <w:r>
        <w:t>2.  Use tests and repository history/current baseline behavior available locally to determine whether the duplicate-retry behavior is attributable to the new change or pre-existing behavior.</w:t>
      </w:r>
    </w:p>
    <w:p>
      <w:pPr>
        <w:spacing w:after="40"/>
      </w:pPr>
      <w:r>
        <w:t>3.  Add a focused regression test only if needed to demonstrate the boundary of the quiet-hours change.</w:t>
      </w:r>
    </w:p>
    <w:p>
      <w:pPr>
        <w:spacing w:after="40"/>
      </w:pPr>
      <w:r>
        <w:t>4.  Run relevant tests/static checks and capture reproducible evidence.</w:t>
      </w:r>
    </w:p>
    <w:p>
      <w:pPr>
        <w:spacing w:after="40"/>
      </w:pPr>
      <w:r>
        <w:t>5.  Document whether the retry defect should block the current PR, be fixed in scope, or be escalated as a separate ticket, with the reasoning and evidence.</w:t>
      </w:r>
    </w:p>
    <w:p>
      <w:pPr>
        <w:pStyle w:val="Heading2"/>
      </w:pPr>
      <w:r>
        <w:t>Acceptance Criteria</w:t>
      </w:r>
    </w:p>
    <w:p>
      <w:pPr>
        <w:pStyle w:val="ListBullet"/>
        <w:spacing w:after="40"/>
      </w:pPr>
      <w:r>
        <w:t>The participant does not assume that a defect near the diff was caused by the current change.</w:t>
      </w:r>
    </w:p>
    <w:p>
      <w:pPr>
        <w:pStyle w:val="ListBullet"/>
        <w:spacing w:after="40"/>
      </w:pPr>
      <w:r>
        <w:t>The conclusion is supported by reproducible test or code evidence.</w:t>
      </w:r>
    </w:p>
    <w:p>
      <w:pPr>
        <w:pStyle w:val="ListBullet"/>
        <w:spacing w:after="40"/>
      </w:pPr>
      <w:r>
        <w:t>The quiet-hours acceptance criteria remain independently verified.</w:t>
      </w:r>
    </w:p>
    <w:p>
      <w:pPr>
        <w:pStyle w:val="ListBullet"/>
        <w:spacing w:after="40"/>
      </w:pPr>
      <w:r>
        <w:t>Any out-of-scope defect is clearly documented and not silently modified.</w:t>
      </w:r>
    </w:p>
    <w:p>
      <w:pPr>
        <w:pStyle w:val="ListBullet"/>
        <w:spacing w:after="40"/>
      </w:pPr>
      <w:r>
        <w:t>The review includes an explicit human decision/escalation point before shipping.</w:t>
      </w:r>
    </w:p>
    <w:p>
      <w:r>
        <w:br w:type="page"/>
      </w:r>
    </w:p>
    <w:p>
      <w:pPr>
        <w:pStyle w:val="Heading1"/>
      </w:pPr>
      <w:r>
        <w:t>Exercise 10: Prepare an Enterprise-Reviewable AI-Assisted Pull Request</w:t>
      </w:r>
    </w:p>
    <w:tbl>
      <w:tblPr>
        <w:tblStyle w:val="TableGrid"/>
        <w:tblW w:type="auto" w:w="0"/>
        <w:tblLayout w:type="autofit"/>
        <w:tblLook w:firstColumn="1" w:firstRow="1" w:lastColumn="0" w:lastRow="0" w:noHBand="0" w:noVBand="1" w:val="04A0"/>
      </w:tblPr>
      <w:tblGrid>
        <w:gridCol w:w="2520"/>
        <w:gridCol w:w="2520"/>
        <w:gridCol w:w="2520"/>
        <w:gridCol w:w="2520"/>
      </w:tblGrid>
      <w:tr>
        <w:tc>
          <w:tcPr>
            <w:tcW w:type="dxa" w:w="2520"/>
            <w:shd w:fill="D9EAF7"/>
            <w:vAlign w:val="center"/>
            <w:tcMar>
              <w:top w:w="80" w:type="dxa"/>
              <w:start w:w="100" w:type="dxa"/>
              <w:bottom w:w="80" w:type="dxa"/>
              <w:end w:w="100" w:type="dxa"/>
            </w:tcMar>
          </w:tcPr>
          <w:p>
            <w:r>
              <w:rPr>
                <w:b/>
              </w:rPr>
              <w:t>Jira Ticket</w:t>
            </w:r>
          </w:p>
        </w:tc>
        <w:tc>
          <w:tcPr>
            <w:tcW w:type="dxa" w:w="2520"/>
            <w:vAlign w:val="center"/>
            <w:tcMar>
              <w:top w:w="80" w:type="dxa"/>
              <w:start w:w="100" w:type="dxa"/>
              <w:bottom w:w="80" w:type="dxa"/>
              <w:end w:w="100" w:type="dxa"/>
            </w:tcMar>
          </w:tcPr>
          <w:p>
            <w:r>
              <w:t>CC-M6-002</w:t>
            </w:r>
          </w:p>
        </w:tc>
        <w:tc>
          <w:tcPr>
            <w:tcW w:type="dxa" w:w="2520"/>
            <w:shd w:fill="D9EAF7"/>
            <w:vAlign w:val="center"/>
            <w:tcMar>
              <w:top w:w="80" w:type="dxa"/>
              <w:start w:w="100" w:type="dxa"/>
              <w:bottom w:w="80" w:type="dxa"/>
              <w:end w:w="100" w:type="dxa"/>
            </w:tcMar>
          </w:tcPr>
          <w:p>
            <w:r>
              <w:rPr>
                <w:b/>
              </w:rPr>
              <w:t>Module</w:t>
            </w:r>
          </w:p>
        </w:tc>
        <w:tc>
          <w:tcPr>
            <w:tcW w:type="dxa" w:w="2520"/>
            <w:vAlign w:val="center"/>
            <w:tcMar>
              <w:top w:w="80" w:type="dxa"/>
              <w:start w:w="100" w:type="dxa"/>
              <w:bottom w:w="80" w:type="dxa"/>
              <w:end w:w="100" w:type="dxa"/>
            </w:tcMar>
          </w:tcPr>
          <w:p>
            <w:r>
              <w:t>Module 6 — Quality, Security &amp; Reviewable PRs</w:t>
            </w:r>
          </w:p>
        </w:tc>
      </w:tr>
      <w:tr>
        <w:tc>
          <w:tcPr>
            <w:tcW w:type="dxa" w:w="2520"/>
            <w:shd w:fill="D9EAF7"/>
            <w:vAlign w:val="center"/>
            <w:tcMar>
              <w:top w:w="80" w:type="dxa"/>
              <w:start w:w="100" w:type="dxa"/>
              <w:bottom w:w="80" w:type="dxa"/>
              <w:end w:w="100" w:type="dxa"/>
            </w:tcMar>
          </w:tcPr>
          <w:p>
            <w:r>
              <w:rPr>
                <w:b/>
              </w:rPr>
              <w:t>Issue Type</w:t>
            </w:r>
          </w:p>
        </w:tc>
        <w:tc>
          <w:tcPr>
            <w:tcW w:type="dxa" w:w="2520"/>
            <w:vAlign w:val="center"/>
            <w:tcMar>
              <w:top w:w="80" w:type="dxa"/>
              <w:start w:w="100" w:type="dxa"/>
              <w:bottom w:w="80" w:type="dxa"/>
              <w:end w:w="100" w:type="dxa"/>
            </w:tcMar>
          </w:tcPr>
          <w:p>
            <w:r>
              <w:t>Pull Request Exercise</w:t>
            </w:r>
          </w:p>
        </w:tc>
        <w:tc>
          <w:tcPr>
            <w:tcW w:type="dxa" w:w="2520"/>
            <w:shd w:fill="D9EAF7"/>
            <w:vAlign w:val="center"/>
            <w:tcMar>
              <w:top w:w="80" w:type="dxa"/>
              <w:start w:w="100" w:type="dxa"/>
              <w:bottom w:w="80" w:type="dxa"/>
              <w:end w:w="100" w:type="dxa"/>
            </w:tcMar>
          </w:tcPr>
          <w:p>
            <w:r>
              <w:rPr>
                <w:b/>
              </w:rPr>
              <w:t>Priority</w:t>
            </w:r>
          </w:p>
        </w:tc>
        <w:tc>
          <w:tcPr>
            <w:tcW w:type="dxa" w:w="2520"/>
            <w:vAlign w:val="center"/>
            <w:tcMar>
              <w:top w:w="80" w:type="dxa"/>
              <w:start w:w="100" w:type="dxa"/>
              <w:bottom w:w="80" w:type="dxa"/>
              <w:end w:w="100" w:type="dxa"/>
            </w:tcMar>
          </w:tcPr>
          <w:p>
            <w:r>
              <w:t>High</w:t>
            </w:r>
          </w:p>
        </w:tc>
      </w:tr>
    </w:tbl>
    <w:p>
      <w:pPr>
        <w:spacing w:after="0"/>
      </w:pPr>
    </w:p>
    <w:p>
      <w:pPr>
        <w:pStyle w:val="Heading2"/>
      </w:pPr>
      <w:r>
        <w:t>Business Requirement</w:t>
      </w:r>
    </w:p>
    <w:p>
      <w:pPr>
        <w:spacing w:after="120"/>
      </w:pPr>
      <w:r>
        <w:t>Engineering governance requires AI-assisted changes to be reviewable, reproducible, and attributable. The pull request must clearly distinguish what Claude Code helped produce from what the engineer personally validated, while also checking secrets, dependency risk, tests, and unintended scope.</w:t>
      </w:r>
    </w:p>
    <w:p>
      <w:pPr>
        <w:pStyle w:val="Heading2"/>
      </w:pPr>
      <w:r>
        <w:t>Tasks to Perform</w:t>
      </w:r>
    </w:p>
    <w:p>
      <w:pPr>
        <w:spacing w:after="40"/>
      </w:pPr>
      <w:r>
        <w:t>1.  Review the final diff for the selected account-alerts change and remove unrelated or accidental modifications.</w:t>
      </w:r>
    </w:p>
    <w:p>
      <w:pPr>
        <w:spacing w:after="40"/>
      </w:pPr>
      <w:r>
        <w:t>2.  Run the repository's relevant tests and static analysis/checks available in the project.</w:t>
      </w:r>
    </w:p>
    <w:p>
      <w:pPr>
        <w:spacing w:after="40"/>
      </w:pPr>
      <w:r>
        <w:t>3.  Inspect the diff for secret exposure, unsafe configuration changes, unnecessary dependency additions, and suspicious instructions/content that should not be trusted automatically.</w:t>
      </w:r>
    </w:p>
    <w:p>
      <w:pPr>
        <w:spacing w:after="40"/>
      </w:pPr>
      <w:r>
        <w:t>4.  Write a PR description covering business purpose, implementation summary, acceptance-criteria evidence, risks, and rollback/recovery considerations where relevant.</w:t>
      </w:r>
    </w:p>
    <w:p>
      <w:pPr>
        <w:spacing w:after="40"/>
      </w:pPr>
      <w:r>
        <w:t>5.  Add a dedicated 'AI assistance and human validation' section identifying what Claude Code contributed and what the participant personally verified.</w:t>
      </w:r>
    </w:p>
    <w:p>
      <w:pPr>
        <w:pStyle w:val="Heading2"/>
      </w:pPr>
      <w:r>
        <w:t>Acceptance Criteria</w:t>
      </w:r>
    </w:p>
    <w:p>
      <w:pPr>
        <w:pStyle w:val="ListBullet"/>
        <w:spacing w:after="40"/>
      </w:pPr>
      <w:r>
        <w:t>The PR diff is scoped to the ticket and contains no known secret or credential exposure.</w:t>
      </w:r>
    </w:p>
    <w:p>
      <w:pPr>
        <w:pStyle w:val="ListBullet"/>
        <w:spacing w:after="40"/>
      </w:pPr>
      <w:r>
        <w:t>Relevant automated verification is reproducible and its result is documented.</w:t>
      </w:r>
    </w:p>
    <w:p>
      <w:pPr>
        <w:pStyle w:val="ListBullet"/>
        <w:spacing w:after="40"/>
      </w:pPr>
      <w:r>
        <w:t>Any dependency change is explicitly justified and reviewed; if none is required, no unnecessary dependency is introduced.</w:t>
      </w:r>
    </w:p>
    <w:p>
      <w:pPr>
        <w:pStyle w:val="ListBullet"/>
        <w:spacing w:after="40"/>
      </w:pPr>
      <w:r>
        <w:t>The PR maps evidence back to the ticket acceptance criteria.</w:t>
      </w:r>
    </w:p>
    <w:p>
      <w:pPr>
        <w:pStyle w:val="ListBullet"/>
        <w:spacing w:after="40"/>
      </w:pPr>
      <w:r>
        <w:t>The PR explicitly documents 'what AI did' and 'what a human validated' and includes any required escalation/open questions.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Claude Code for Product Engineers | Participant Exercise Scenarios | Modules 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cketMeta">
    <w:name w:val="Ticket Meta"/>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