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A192F"/>
          <w:sz w:val="44"/>
        </w:rPr>
        <w:t>ZEL: Autonomous WFM &amp; AI Copilot Platform</w:t>
        <w:br/>
        <w:t>System Architecture &amp; Technical Specification</w:t>
      </w:r>
    </w:p>
    <w:p>
      <w:pPr>
        <w:spacing w:after="480"/>
        <w:jc w:val="center"/>
      </w:pPr>
      <w:r>
        <w:rPr>
          <w:b/>
          <w:i/>
          <w:color w:val="2563EB"/>
          <w:sz w:val="26"/>
        </w:rPr>
        <w:t>“Zero wait to leave, zero wait to return”</w:t>
        <w:br/>
      </w:r>
      <w:r>
        <w:rPr>
          <w:i/>
          <w:color w:val="64748B"/>
          <w:sz w:val="21"/>
        </w:rPr>
        <w:t>Enterprise Auxiliary Mode Management, Real-time Intraday Telemetry, Dual Copilots &amp; Surge Defense</w:t>
        <w:br/>
        <w:t>Version 2.5 | Enterprise Architecture Document</w:t>
      </w:r>
    </w:p>
    <w:p>
      <w:pPr>
        <w:pStyle w:val="Heading1"/>
      </w:pPr>
      <w:r>
        <w:t>1. Executive Summary &amp; Brand Identity</w:t>
      </w:r>
    </w:p>
    <w:p>
      <w:r>
        <w:t>ZEL is an autonomous AI-powered Workforce Management (WFM) companion designed for NICE CXone contact centers. Built under the foundational philosophy of “Zero wait to leave, zero wait to return”, ZEL removes the administrative friction and anxiety associated with agent break schedules and emergency desk recalls.</w:t>
        <w:br/>
        <w:br/>
        <w:t>• Zero Wait to Leave: Agents never wait 15–20 minutes in supervisor chat queues for break permission. With one click from their floating desktop widget, ZEL executes a microsecond Erlang-C capacity check. If floor queue depth allows (staffing capacity ≥80%), the break is granted instantly.</w:t>
        <w:br/>
        <w:t>• Zero Wait to Return: During rest intervals, ZEL provides an on-screen visual countdown timer. When shifts normalize or sudden volume surges occur, ZEL prompts agents or rings their softphone via automated text-to-speech desk recalls, ensuring prompt return without manual chasing.</w:t>
      </w:r>
    </w:p>
    <w:p>
      <w:pPr>
        <w:pStyle w:val="Heading1"/>
      </w:pPr>
      <w:r>
        <w:t>2. High-Level System Architecture</w:t>
      </w:r>
    </w:p>
    <w:p>
      <w:r>
        <w:t>The ZEL platform operates across four distributed, event-driven tiers delivering sub-millisecond desktop responsiveness and enterprise telephony synchronization:</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3A8A"/>
          </w:tcPr>
          <w:p>
            <w:r>
              <w:rPr>
                <w:b/>
                <w:color w:val="FFFFFF"/>
              </w:rPr>
              <w:t>Tier</w:t>
            </w:r>
          </w:p>
        </w:tc>
        <w:tc>
          <w:tcPr>
            <w:tcW w:type="dxa" w:w="3120"/>
            <w:shd w:val="clear" w:color="auto" w:fill="1E3A8A"/>
          </w:tcPr>
          <w:p>
            <w:r>
              <w:rPr>
                <w:b/>
                <w:color w:val="FFFFFF"/>
              </w:rPr>
              <w:t>Core Technologies</w:t>
            </w:r>
          </w:p>
        </w:tc>
        <w:tc>
          <w:tcPr>
            <w:tcW w:type="dxa" w:w="3120"/>
            <w:shd w:val="clear" w:color="auto" w:fill="1E3A8A"/>
          </w:tcPr>
          <w:p>
            <w:r>
              <w:rPr>
                <w:b/>
                <w:color w:val="FFFFFF"/>
              </w:rPr>
              <w:t>Primary Responsibilities</w:t>
            </w:r>
          </w:p>
        </w:tc>
      </w:tr>
      <w:tr>
        <w:tc>
          <w:tcPr>
            <w:tcW w:type="dxa" w:w="3120"/>
            <w:shd w:val="clear" w:color="auto" w:fill="F8FAFC"/>
          </w:tcPr>
          <w:p>
            <w:r>
              <w:rPr>
                <w:sz w:val="19"/>
              </w:rPr>
              <w:t>Tier 1: Presentation &amp; Client Layer</w:t>
            </w:r>
          </w:p>
        </w:tc>
        <w:tc>
          <w:tcPr>
            <w:tcW w:type="dxa" w:w="3120"/>
            <w:shd w:val="clear" w:color="auto" w:fill="F8FAFC"/>
          </w:tcPr>
          <w:p>
            <w:r>
              <w:rPr>
                <w:sz w:val="19"/>
              </w:rPr>
              <w:t>Electron 30, HTML5, CSS3, SVG, Windows Taskbar API</w:t>
            </w:r>
          </w:p>
        </w:tc>
        <w:tc>
          <w:tcPr>
            <w:tcW w:type="dxa" w:w="3120"/>
            <w:shd w:val="clear" w:color="auto" w:fill="F8FAFC"/>
          </w:tcPr>
          <w:p>
            <w:r>
              <w:rPr>
                <w:sz w:val="19"/>
              </w:rPr>
              <w:t>ZEL Floating CTI Desktop Widget, Agent Workstation, Break Portal, and Supervisor Command Console.</w:t>
            </w:r>
          </w:p>
        </w:tc>
      </w:tr>
      <w:tr>
        <w:tc>
          <w:tcPr>
            <w:tcW w:type="dxa" w:w="3120"/>
            <w:shd w:val="clear" w:color="auto" w:fill="FFFFFF"/>
          </w:tcPr>
          <w:p>
            <w:r>
              <w:rPr>
                <w:sz w:val="19"/>
              </w:rPr>
              <w:t>Tier 2: Real-time Telemetry &amp; Event Bus</w:t>
            </w:r>
          </w:p>
        </w:tc>
        <w:tc>
          <w:tcPr>
            <w:tcW w:type="dxa" w:w="3120"/>
            <w:shd w:val="clear" w:color="auto" w:fill="FFFFFF"/>
          </w:tcPr>
          <w:p>
            <w:r>
              <w:rPr>
                <w:sz w:val="19"/>
              </w:rPr>
              <w:t>Node.js (Port 4000), BroadcastChannel, REST APIs</w:t>
            </w:r>
          </w:p>
        </w:tc>
        <w:tc>
          <w:tcPr>
            <w:tcW w:type="dxa" w:w="3120"/>
            <w:shd w:val="clear" w:color="auto" w:fill="FFFFFF"/>
          </w:tcPr>
          <w:p>
            <w:r>
              <w:rPr>
                <w:sz w:val="19"/>
              </w:rPr>
              <w:t>P2P microsecond client synchronization ('wfm_aux_channel'), policy updates, and scoped supervisor routing.</w:t>
            </w:r>
          </w:p>
        </w:tc>
      </w:tr>
      <w:tr>
        <w:tc>
          <w:tcPr>
            <w:tcW w:type="dxa" w:w="3120"/>
            <w:shd w:val="clear" w:color="auto" w:fill="F8FAFC"/>
          </w:tcPr>
          <w:p>
            <w:r>
              <w:rPr>
                <w:sz w:val="19"/>
              </w:rPr>
              <w:t>Tier 3: Analytical Core &amp; Intelligence</w:t>
            </w:r>
          </w:p>
        </w:tc>
        <w:tc>
          <w:tcPr>
            <w:tcW w:type="dxa" w:w="3120"/>
            <w:shd w:val="clear" w:color="auto" w:fill="F8FAFC"/>
          </w:tcPr>
          <w:p>
            <w:r>
              <w:rPr>
                <w:sz w:val="19"/>
              </w:rPr>
              <w:t>Erlang-C Engine, AI Speech Sentiment, ZEL Copilot NLP</w:t>
            </w:r>
          </w:p>
        </w:tc>
        <w:tc>
          <w:tcPr>
            <w:tcW w:type="dxa" w:w="3120"/>
            <w:shd w:val="clear" w:color="auto" w:fill="F8FAFC"/>
          </w:tcPr>
          <w:p>
            <w:r>
              <w:rPr>
                <w:sz w:val="19"/>
              </w:rPr>
              <w:t>Mathematical break capacity gating, speech emotion detection, agent 360° dossiers, and surge balancing.</w:t>
            </w:r>
          </w:p>
        </w:tc>
      </w:tr>
      <w:tr>
        <w:tc>
          <w:tcPr>
            <w:tcW w:type="dxa" w:w="3120"/>
            <w:shd w:val="clear" w:color="auto" w:fill="FFFFFF"/>
          </w:tcPr>
          <w:p>
            <w:r>
              <w:rPr>
                <w:sz w:val="19"/>
              </w:rPr>
              <w:t>Tier 4: Telephony &amp; CTI Infrastructure</w:t>
            </w:r>
          </w:p>
        </w:tc>
        <w:tc>
          <w:tcPr>
            <w:tcW w:type="dxa" w:w="3120"/>
            <w:shd w:val="clear" w:color="auto" w:fill="FFFFFF"/>
          </w:tcPr>
          <w:p>
            <w:r>
              <w:rPr>
                <w:sz w:val="19"/>
              </w:rPr>
              <w:t>NICE CXone MAX Softphone, WebRTC, Web Speech API</w:t>
            </w:r>
          </w:p>
        </w:tc>
        <w:tc>
          <w:tcPr>
            <w:tcW w:type="dxa" w:w="3120"/>
            <w:shd w:val="clear" w:color="auto" w:fill="FFFFFF"/>
          </w:tcPr>
          <w:p>
            <w:r>
              <w:rPr>
                <w:sz w:val="19"/>
              </w:rPr>
              <w:t>Telephony state engine (Available, Working, AUX, ACW), automated voice bot desk recalls, and storm IVR.</w:t>
            </w:r>
          </w:p>
        </w:tc>
      </w:tr>
    </w:tbl>
    <w:p>
      <w:pPr>
        <w:spacing w:after="240"/>
      </w:pPr>
    </w:p>
    <w:p>
      <w:pPr>
        <w:pStyle w:val="Heading1"/>
      </w:pPr>
      <w:r>
        <w:t>3. The Frictionless 4-Step ZEL Workflow</w:t>
      </w:r>
    </w:p>
    <w:p>
      <w:r>
        <w:t>1. Step 1 (1-Click Request): Agent clicks Tea, Bio, Lunch, or System Issue directly inside the floating ZEL widget.</w:t>
        <w:br/>
        <w:t>2. Step 2 (Instant Erlang-C Gating): In &lt;100ms, the mathematical engine checks active queue arrival rates and required staffing. If capacity permits, the break is approved immediately with zero supervisor latency.</w:t>
        <w:br/>
        <w:t>3. Step 3 (Rest Interval Tracking): The desktop companion displays an adherence countdown timer, protecting rest and tracking compliance.</w:t>
        <w:br/>
        <w:t>4. Step 4 (Prompt Return): As the interval ends or in the event of an intraday surge, ZEL alerts the agent via audio prompt or voice bot recall, facilitating an immediate 1-click return to the Available call state.</w:t>
      </w:r>
    </w:p>
    <w:p>
      <w:pPr>
        <w:pStyle w:val="Heading1"/>
      </w:pPr>
      <w:r>
        <w:t>4. Scoped Supervisor-to-Agent Governance Matrix</w:t>
      </w:r>
    </w:p>
    <w:p>
      <w:r>
        <w:t>ZEL dynamically scopes floor telemetry, break approvals, reports, and QA scorecards to each supervisor's assigned team:</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r>
              <w:rPr>
                <w:b/>
                <w:color w:val="FFFFFF"/>
              </w:rPr>
              <w:t>Supervisor</w:t>
            </w:r>
          </w:p>
        </w:tc>
        <w:tc>
          <w:tcPr>
            <w:tcW w:type="dxa" w:w="3120"/>
            <w:shd w:val="clear" w:color="auto" w:fill="0F172A"/>
          </w:tcPr>
          <w:p>
            <w:r>
              <w:rPr>
                <w:b/>
                <w:color w:val="FFFFFF"/>
              </w:rPr>
              <w:t>Role / Focus Area</w:t>
            </w:r>
          </w:p>
        </w:tc>
        <w:tc>
          <w:tcPr>
            <w:tcW w:type="dxa" w:w="3120"/>
            <w:shd w:val="clear" w:color="auto" w:fill="0F172A"/>
          </w:tcPr>
          <w:p>
            <w:r>
              <w:rPr>
                <w:b/>
                <w:color w:val="FFFFFF"/>
              </w:rPr>
              <w:t>Assigned Direct Report Agents</w:t>
            </w:r>
          </w:p>
        </w:tc>
      </w:tr>
      <w:tr>
        <w:tc>
          <w:tcPr>
            <w:tcW w:type="dxa" w:w="3120"/>
            <w:shd w:val="clear" w:color="auto" w:fill="F1F5F9"/>
          </w:tcPr>
          <w:p>
            <w:r>
              <w:rPr>
                <w:sz w:val="19"/>
              </w:rPr>
              <w:t>Sarah Jenkins (SUP-014)</w:t>
            </w:r>
          </w:p>
        </w:tc>
        <w:tc>
          <w:tcPr>
            <w:tcW w:type="dxa" w:w="3120"/>
            <w:shd w:val="clear" w:color="auto" w:fill="F1F5F9"/>
          </w:tcPr>
          <w:p>
            <w:r>
              <w:rPr>
                <w:sz w:val="19"/>
              </w:rPr>
              <w:t>Floor Lead &amp; Customer Service</w:t>
            </w:r>
          </w:p>
        </w:tc>
        <w:tc>
          <w:tcPr>
            <w:tcW w:type="dxa" w:w="3120"/>
            <w:shd w:val="clear" w:color="auto" w:fill="F1F5F9"/>
          </w:tcPr>
          <w:p>
            <w:r>
              <w:rPr>
                <w:sz w:val="19"/>
              </w:rPr>
              <w:t>Samantha Vance (AGT-9102), Rachel Green (AGT-6512), Marcus Brody (AGT-8819), Chloe Bennett (AGT-3310)</w:t>
            </w:r>
          </w:p>
        </w:tc>
      </w:tr>
      <w:tr>
        <w:tc>
          <w:tcPr>
            <w:tcW w:type="dxa" w:w="3120"/>
            <w:shd w:val="clear" w:color="auto" w:fill="FFFFFF"/>
          </w:tcPr>
          <w:p>
            <w:r>
              <w:rPr>
                <w:sz w:val="19"/>
              </w:rPr>
              <w:t>Michael Chang (SUP-021)</w:t>
            </w:r>
          </w:p>
        </w:tc>
        <w:tc>
          <w:tcPr>
            <w:tcW w:type="dxa" w:w="3120"/>
            <w:shd w:val="clear" w:color="auto" w:fill="FFFFFF"/>
          </w:tcPr>
          <w:p>
            <w:r>
              <w:rPr>
                <w:sz w:val="19"/>
              </w:rPr>
              <w:t>Customer Billing &amp; Retention Manager</w:t>
            </w:r>
          </w:p>
        </w:tc>
        <w:tc>
          <w:tcPr>
            <w:tcW w:type="dxa" w:w="3120"/>
            <w:shd w:val="clear" w:color="auto" w:fill="FFFFFF"/>
          </w:tcPr>
          <w:p>
            <w:r>
              <w:rPr>
                <w:sz w:val="19"/>
              </w:rPr>
              <w:t>Jordan Miller (AGT-4092), Lucas Wright (AGT-5521), Maya Patel (AGT-7703)</w:t>
            </w:r>
          </w:p>
        </w:tc>
      </w:tr>
      <w:tr>
        <w:tc>
          <w:tcPr>
            <w:tcW w:type="dxa" w:w="3120"/>
            <w:shd w:val="clear" w:color="auto" w:fill="F1F5F9"/>
          </w:tcPr>
          <w:p>
            <w:r>
              <w:rPr>
                <w:sz w:val="19"/>
              </w:rPr>
              <w:t>Elena Rostova (SUP-035)</w:t>
            </w:r>
          </w:p>
        </w:tc>
        <w:tc>
          <w:tcPr>
            <w:tcW w:type="dxa" w:w="3120"/>
            <w:shd w:val="clear" w:color="auto" w:fill="F1F5F9"/>
          </w:tcPr>
          <w:p>
            <w:r>
              <w:rPr>
                <w:sz w:val="19"/>
              </w:rPr>
              <w:t>QA &amp; Tier-2 Tech Support Director</w:t>
            </w:r>
          </w:p>
        </w:tc>
        <w:tc>
          <w:tcPr>
            <w:tcW w:type="dxa" w:w="3120"/>
            <w:shd w:val="clear" w:color="auto" w:fill="F1F5F9"/>
          </w:tcPr>
          <w:p>
            <w:r>
              <w:rPr>
                <w:sz w:val="19"/>
              </w:rPr>
              <w:t>Alex Morgan (AGT-8842), Carlos Mendez (AGT-4491)</w:t>
            </w:r>
          </w:p>
        </w:tc>
      </w:tr>
      <w:tr>
        <w:tc>
          <w:tcPr>
            <w:tcW w:type="dxa" w:w="3120"/>
            <w:shd w:val="clear" w:color="auto" w:fill="FFFFFF"/>
          </w:tcPr>
          <w:p>
            <w:r>
              <w:rPr>
                <w:sz w:val="19"/>
              </w:rPr>
              <w:t>David Sterling (SUP-042)</w:t>
            </w:r>
          </w:p>
        </w:tc>
        <w:tc>
          <w:tcPr>
            <w:tcW w:type="dxa" w:w="3120"/>
            <w:shd w:val="clear" w:color="auto" w:fill="FFFFFF"/>
          </w:tcPr>
          <w:p>
            <w:r>
              <w:rPr>
                <w:sz w:val="19"/>
              </w:rPr>
              <w:t>Emergency Inbound &amp; Dispatch Lead</w:t>
            </w:r>
          </w:p>
        </w:tc>
        <w:tc>
          <w:tcPr>
            <w:tcW w:type="dxa" w:w="3120"/>
            <w:shd w:val="clear" w:color="auto" w:fill="FFFFFF"/>
          </w:tcPr>
          <w:p>
            <w:r>
              <w:rPr>
                <w:sz w:val="19"/>
              </w:rPr>
              <w:t>David Chen (AGT-7740), Olivia Taylor (AGT-6628)</w:t>
            </w:r>
          </w:p>
        </w:tc>
      </w:tr>
      <w:tr>
        <w:tc>
          <w:tcPr>
            <w:tcW w:type="dxa" w:w="3120"/>
            <w:shd w:val="clear" w:color="auto" w:fill="F1F5F9"/>
          </w:tcPr>
          <w:p>
            <w:r>
              <w:rPr>
                <w:sz w:val="19"/>
              </w:rPr>
              <w:t>Priya Sharma (SUP-059)</w:t>
            </w:r>
          </w:p>
        </w:tc>
        <w:tc>
          <w:tcPr>
            <w:tcW w:type="dxa" w:w="3120"/>
            <w:shd w:val="clear" w:color="auto" w:fill="F1F5F9"/>
          </w:tcPr>
          <w:p>
            <w:r>
              <w:rPr>
                <w:sz w:val="19"/>
              </w:rPr>
              <w:t>WFM Scheduling &amp; Trainee Lead</w:t>
            </w:r>
          </w:p>
        </w:tc>
        <w:tc>
          <w:tcPr>
            <w:tcW w:type="dxa" w:w="3120"/>
            <w:shd w:val="clear" w:color="auto" w:fill="F1F5F9"/>
          </w:tcPr>
          <w:p>
            <w:r>
              <w:rPr>
                <w:sz w:val="19"/>
              </w:rPr>
              <w:t>Liam O'Connor (AGT-2219)</w:t>
            </w:r>
          </w:p>
        </w:tc>
      </w:tr>
    </w:tbl>
    <w:p>
      <w:pPr>
        <w:spacing w:after="240"/>
      </w:pPr>
    </w:p>
    <w:p>
      <w:pPr>
        <w:pStyle w:val="Heading1"/>
      </w:pPr>
      <w:r>
        <w:t>5. Quantifiable Business Value &amp; ROI</w:t>
      </w:r>
    </w:p>
    <w:p>
      <w:r>
        <w:t>• 0 Seconds Approval Latency: Replaces 15–20 minutes of chat delay with instant Erlang-C automated grants.</w:t>
        <w:br/>
        <w:t>• -45 Seconds ACW Handle Time: Automated AI call summarization cuts CRM wrap-up time in half.</w:t>
        <w:br/>
        <w:t>• +18.4% Schedule Adherence Gain: Eliminates uncoordinated break drift and policy violations.</w:t>
        <w:br/>
        <w:t>• Instant Surge Recovery (34% ➔ 89% SLA): Reallocates certified cross-skilled agents in under 3 minutes.</w:t>
        <w:br/>
        <w:t>• 1,000 Calls/Min Disaster Protection: Auto-deflects storm traffic with automated voice announcements.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