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A192F"/>
          <w:sz w:val="44"/>
        </w:rPr>
        <w:t>NICE CXone Autonomous WFM &amp; AI Copilot Platform</w:t>
        <w:br/>
        <w:t>System Architecture &amp; Technical Specification</w:t>
      </w:r>
    </w:p>
    <w:p>
      <w:pPr>
        <w:spacing w:after="480"/>
        <w:jc w:val="center"/>
      </w:pPr>
      <w:r>
        <w:rPr>
          <w:i/>
          <w:color w:val="64748B"/>
          <w:sz w:val="22"/>
        </w:rPr>
        <w:t>Enterprise Auxiliary Mode Management, Intraday Telemetry, Dual Copilots &amp; Disaster Resilience</w:t>
        <w:br/>
        <w:t>Version 2.4 | Enterprise Architecture Specification</w:t>
      </w:r>
    </w:p>
    <w:p>
      <w:pPr>
        <w:pStyle w:val="Heading1"/>
      </w:pPr>
      <w:r>
        <w:t>1. Executive Summary</w:t>
      </w:r>
    </w:p>
    <w:p>
      <w:r>
        <w:t>The NICE CXone Autonomous Workforce Management (WFM) &amp; AI Copilot Platform transforms traditional contact center operations by bridging front-line agent auxiliary (AUX) state management with autonomous intraday floor governance. Historically, agent auxiliary states (lunch, tea, bio, technical downtime) were managed through rigid static rosters or manual approvals, creating hidden queue starvation, sudden service level agreement (SLA) degradations, and elevated agent burnout.</w:t>
        <w:br/>
        <w:br/>
        <w:t>This platform introduces an event-driven, dual-persona architecture comprising an always-on floating desktop companion for agents (AUXY) and a real-time command console for supervisors (REMI). Equipped with live Erlang-C capacity gating, automated ACW summarization, intraday cross-skilling rebalance algorithms, and front-end IVR disaster auto-deflection, the system delivers true autonomous queue protection.</w:t>
      </w:r>
    </w:p>
    <w:p>
      <w:pPr>
        <w:pStyle w:val="Heading1"/>
      </w:pPr>
      <w:r>
        <w:t>2. High-Level Architectural Overview</w:t>
      </w:r>
    </w:p>
    <w:p>
      <w:r>
        <w:t>The system operates across four primary distributed tiers, ensuring sub-millisecond local desktop responsiveness, reliable real-time telemetry streaming, and seamless synchronization with existing NICE CXone MAX CTI infrastructure.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Tier</w:t>
            </w:r>
          </w:p>
        </w:tc>
        <w:tc>
          <w:tcPr>
            <w:tcW w:type="dxa" w:w="3120"/>
            <w:shd w:val="clear" w:color="auto" w:fill="1E3A8A"/>
          </w:tcPr>
          <w:p>
            <w:r>
              <w:rPr>
                <w:b/>
                <w:color w:val="FFFFFF"/>
              </w:rPr>
              <w:t>Core Technologies</w:t>
            </w:r>
          </w:p>
        </w:tc>
        <w:tc>
          <w:tcPr>
            <w:tcW w:type="dxa" w:w="3120"/>
            <w:shd w:val="clear" w:color="auto" w:fill="1E3A8A"/>
          </w:tcPr>
          <w:p>
            <w:r>
              <w:rPr>
                <w:b/>
                <w:color w:val="FFFFFF"/>
              </w:rPr>
              <w:t>Primary Responsibilities</w:t>
            </w:r>
          </w:p>
        </w:tc>
      </w:tr>
      <w:tr>
        <w:tc>
          <w:tcPr>
            <w:tcW w:type="dxa" w:w="3120"/>
            <w:shd w:val="clear" w:color="auto" w:fill="F8FAFC"/>
          </w:tcPr>
          <w:p>
            <w:r>
              <w:rPr>
                <w:sz w:val="19"/>
              </w:rPr>
              <w:t>Tier 1: Presentation &amp; Client Layer</w:t>
            </w:r>
          </w:p>
        </w:tc>
        <w:tc>
          <w:tcPr>
            <w:tcW w:type="dxa" w:w="3120"/>
            <w:shd w:val="clear" w:color="auto" w:fill="F8FAFC"/>
          </w:tcPr>
          <w:p>
            <w:r>
              <w:rPr>
                <w:sz w:val="19"/>
              </w:rPr>
              <w:t>Electron 30, HTML5, CSS3, SVG, Windows Shell API</w:t>
            </w:r>
          </w:p>
        </w:tc>
        <w:tc>
          <w:tcPr>
            <w:tcW w:type="dxa" w:w="3120"/>
            <w:shd w:val="clear" w:color="auto" w:fill="F8FAFC"/>
          </w:tcPr>
          <w:p>
            <w:r>
              <w:rPr>
                <w:sz w:val="19"/>
              </w:rPr>
              <w:t>Floating CTI desktop widget, Agent Workstation, Break Portal, and Supervisor Command Center.</w:t>
            </w:r>
          </w:p>
        </w:tc>
      </w:tr>
      <w:tr>
        <w:tc>
          <w:tcPr>
            <w:tcW w:type="dxa" w:w="3120"/>
            <w:shd w:val="clear" w:color="auto" w:fill="FFFFFF"/>
          </w:tcPr>
          <w:p>
            <w:r>
              <w:rPr>
                <w:sz w:val="19"/>
              </w:rPr>
              <w:t>Tier 2: Real-time Telemetry &amp; Event Bus</w:t>
            </w:r>
          </w:p>
        </w:tc>
        <w:tc>
          <w:tcPr>
            <w:tcW w:type="dxa" w:w="3120"/>
            <w:shd w:val="clear" w:color="auto" w:fill="FFFFFF"/>
          </w:tcPr>
          <w:p>
            <w:r>
              <w:rPr>
                <w:sz w:val="19"/>
              </w:rPr>
              <w:t>Node.js (Port 4000), BroadcastChannel, REST APIs</w:t>
            </w:r>
          </w:p>
        </w:tc>
        <w:tc>
          <w:tcPr>
            <w:tcW w:type="dxa" w:w="3120"/>
            <w:shd w:val="clear" w:color="auto" w:fill="FFFFFF"/>
          </w:tcPr>
          <w:p>
            <w:r>
              <w:rPr>
                <w:sz w:val="19"/>
              </w:rPr>
              <w:t>Sub-millisecond P2P client state broadcast ('wfm_aux_channel'), event logging, and RESTful routing.</w:t>
            </w:r>
          </w:p>
        </w:tc>
      </w:tr>
      <w:tr>
        <w:tc>
          <w:tcPr>
            <w:tcW w:type="dxa" w:w="3120"/>
            <w:shd w:val="clear" w:color="auto" w:fill="F8FAFC"/>
          </w:tcPr>
          <w:p>
            <w:r>
              <w:rPr>
                <w:sz w:val="19"/>
              </w:rPr>
              <w:t>Tier 3: Analytical &amp; Intelligence Core</w:t>
            </w:r>
          </w:p>
        </w:tc>
        <w:tc>
          <w:tcPr>
            <w:tcW w:type="dxa" w:w="3120"/>
            <w:shd w:val="clear" w:color="auto" w:fill="F8FAFC"/>
          </w:tcPr>
          <w:p>
            <w:r>
              <w:rPr>
                <w:sz w:val="19"/>
              </w:rPr>
              <w:t>Erlang-C Engine, AI Speech Tone Model, Copilot NLP</w:t>
            </w:r>
          </w:p>
        </w:tc>
        <w:tc>
          <w:tcPr>
            <w:tcW w:type="dxa" w:w="3120"/>
            <w:shd w:val="clear" w:color="auto" w:fill="F8FAFC"/>
          </w:tcPr>
          <w:p>
            <w:r>
              <w:rPr>
                <w:sz w:val="19"/>
              </w:rPr>
              <w:t>Mathematical break capacity gating, speech emotion auditing, 360° agent dossiers, and surge balancing.</w:t>
            </w:r>
          </w:p>
        </w:tc>
      </w:tr>
      <w:tr>
        <w:tc>
          <w:tcPr>
            <w:tcW w:type="dxa" w:w="3120"/>
            <w:shd w:val="clear" w:color="auto" w:fill="FFFFFF"/>
          </w:tcPr>
          <w:p>
            <w:r>
              <w:rPr>
                <w:sz w:val="19"/>
              </w:rPr>
              <w:t>Tier 4: Telephony &amp; CTI Integration</w:t>
            </w:r>
          </w:p>
        </w:tc>
        <w:tc>
          <w:tcPr>
            <w:tcW w:type="dxa" w:w="3120"/>
            <w:shd w:val="clear" w:color="auto" w:fill="FFFFFF"/>
          </w:tcPr>
          <w:p>
            <w:r>
              <w:rPr>
                <w:sz w:val="19"/>
              </w:rPr>
              <w:t>NICE CXone MAX Softphone, WebRTC, Web Speech API</w:t>
            </w:r>
          </w:p>
        </w:tc>
        <w:tc>
          <w:tcPr>
            <w:tcW w:type="dxa" w:w="3120"/>
            <w:shd w:val="clear" w:color="auto" w:fill="FFFFFF"/>
          </w:tcPr>
          <w:p>
            <w:r>
              <w:rPr>
                <w:sz w:val="19"/>
              </w:rPr>
              <w:t>Telephony state tracking (Available, Working, AUX, ACW), automated voice bot desk recalls, and disaster IVR.</w:t>
            </w:r>
          </w:p>
        </w:tc>
      </w:tr>
    </w:tbl>
    <w:p>
      <w:pPr>
        <w:spacing w:after="240"/>
      </w:pPr>
    </w:p>
    <w:p>
      <w:pPr>
        <w:pStyle w:val="Heading1"/>
      </w:pPr>
      <w:r>
        <w:t>3. Core Subsystems &amp; Functional Capabilities</w:t>
      </w:r>
    </w:p>
    <w:p>
      <w:pPr>
        <w:pStyle w:val="Heading2"/>
      </w:pPr>
      <w:r>
        <w:t>3.1. Agent Desktop AI Copilot (AUXY)</w:t>
      </w:r>
    </w:p>
    <w:p>
      <w:r>
        <w:t>The agent client floats seamlessly alongside enterprise CRM and softphone interfaces:</w:t>
        <w:br/>
        <w:t>• Instant ACW Summarizer: Automatically formats customer intent, troubleshooting steps, and agreed resolution into concise CRM notes.</w:t>
        <w:br/>
        <w:t>• Live Speech Tone Suggestions: Detects rising customer frustration and injects polite, de-escalation objection responses.</w:t>
        <w:br/>
        <w:t>• Autonomous Discretionary Break Portal: Agents apply for tea or bio breaks with instant Erlang-C traffic verification.</w:t>
        <w:br/>
        <w:t>• IT System Issue Gateway (AUX-5): Direct incident logging for Citrix latency, VPN disconnects, and audio packet loss.</w:t>
      </w:r>
    </w:p>
    <w:p>
      <w:pPr>
        <w:pStyle w:val="Heading2"/>
      </w:pPr>
      <w:r>
        <w:t>3.2. Supervisor Command Center &amp; Scoped Team Governance</w:t>
      </w:r>
    </w:p>
    <w:p>
      <w:r>
        <w:t>Supervisors access an executive telemetry console configured with role-based access and scoped agent rosters:</w:t>
        <w:br/>
        <w:t>• Scoped Team Filtering: Floor wallboards and telemetry display agents tagged to the specific active supervisor.</w:t>
        <w:br/>
        <w:t>• Automated Voice Bot Desk Recall: Supervisors dispatch automated text-to-speech calls directly to the agent's desktop widget.</w:t>
        <w:br/>
        <w:t>• QA Sentiment &amp; Coaching Scorecard: Audits customer sentiment (Empathetic, Neutral, Rude, Bad) and dispatches LMS coaching modules.</w:t>
      </w:r>
    </w:p>
    <w:p>
      <w:pPr>
        <w:pStyle w:val="Heading2"/>
      </w:pPr>
      <w:r>
        <w:t>3.3. Supervisor-to-Agent Tagging Matrix</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Supervisor</w:t>
            </w:r>
          </w:p>
        </w:tc>
        <w:tc>
          <w:tcPr>
            <w:tcW w:type="dxa" w:w="3120"/>
            <w:shd w:val="clear" w:color="auto" w:fill="0F172A"/>
          </w:tcPr>
          <w:p>
            <w:r>
              <w:rPr>
                <w:b/>
                <w:color w:val="FFFFFF"/>
              </w:rPr>
              <w:t>Role / Queue Specialization</w:t>
            </w:r>
          </w:p>
        </w:tc>
        <w:tc>
          <w:tcPr>
            <w:tcW w:type="dxa" w:w="3120"/>
            <w:shd w:val="clear" w:color="auto" w:fill="0F172A"/>
          </w:tcPr>
          <w:p>
            <w:r>
              <w:rPr>
                <w:b/>
                <w:color w:val="FFFFFF"/>
              </w:rPr>
              <w:t>Assigned Direct Report Agents</w:t>
            </w:r>
          </w:p>
        </w:tc>
      </w:tr>
      <w:tr>
        <w:tc>
          <w:tcPr>
            <w:tcW w:type="dxa" w:w="3120"/>
            <w:shd w:val="clear" w:color="auto" w:fill="F1F5F9"/>
          </w:tcPr>
          <w:p>
            <w:r>
              <w:rPr>
                <w:sz w:val="19"/>
              </w:rPr>
              <w:t>Sarah Jenkins (SUP-014)</w:t>
            </w:r>
          </w:p>
        </w:tc>
        <w:tc>
          <w:tcPr>
            <w:tcW w:type="dxa" w:w="3120"/>
            <w:shd w:val="clear" w:color="auto" w:fill="F1F5F9"/>
          </w:tcPr>
          <w:p>
            <w:r>
              <w:rPr>
                <w:sz w:val="19"/>
              </w:rPr>
              <w:t>Floor Operations &amp; Customer Service Lead</w:t>
            </w:r>
          </w:p>
        </w:tc>
        <w:tc>
          <w:tcPr>
            <w:tcW w:type="dxa" w:w="3120"/>
            <w:shd w:val="clear" w:color="auto" w:fill="F1F5F9"/>
          </w:tcPr>
          <w:p>
            <w:r>
              <w:rPr>
                <w:sz w:val="19"/>
              </w:rPr>
              <w:t>Samantha Vance (AGT-9102), Rachel Green (AGT-6512), Marcus Brody (AGT-8819), Chloe Bennett (AGT-3310)</w:t>
            </w:r>
          </w:p>
        </w:tc>
      </w:tr>
      <w:tr>
        <w:tc>
          <w:tcPr>
            <w:tcW w:type="dxa" w:w="3120"/>
            <w:shd w:val="clear" w:color="auto" w:fill="FFFFFF"/>
          </w:tcPr>
          <w:p>
            <w:r>
              <w:rPr>
                <w:sz w:val="19"/>
              </w:rPr>
              <w:t>Michael Chang (SUP-021)</w:t>
            </w:r>
          </w:p>
        </w:tc>
        <w:tc>
          <w:tcPr>
            <w:tcW w:type="dxa" w:w="3120"/>
            <w:shd w:val="clear" w:color="auto" w:fill="FFFFFF"/>
          </w:tcPr>
          <w:p>
            <w:r>
              <w:rPr>
                <w:sz w:val="19"/>
              </w:rPr>
              <w:t>Customer Billing &amp; Retention Manager</w:t>
            </w:r>
          </w:p>
        </w:tc>
        <w:tc>
          <w:tcPr>
            <w:tcW w:type="dxa" w:w="3120"/>
            <w:shd w:val="clear" w:color="auto" w:fill="FFFFFF"/>
          </w:tcPr>
          <w:p>
            <w:r>
              <w:rPr>
                <w:sz w:val="19"/>
              </w:rPr>
              <w:t>Jordan Miller (AGT-4092), Lucas Wright (AGT-5521), Maya Patel (AGT-7703)</w:t>
            </w:r>
          </w:p>
        </w:tc>
      </w:tr>
      <w:tr>
        <w:tc>
          <w:tcPr>
            <w:tcW w:type="dxa" w:w="3120"/>
            <w:shd w:val="clear" w:color="auto" w:fill="F1F5F9"/>
          </w:tcPr>
          <w:p>
            <w:r>
              <w:rPr>
                <w:sz w:val="19"/>
              </w:rPr>
              <w:t>Elena Rostova (SUP-035)</w:t>
            </w:r>
          </w:p>
        </w:tc>
        <w:tc>
          <w:tcPr>
            <w:tcW w:type="dxa" w:w="3120"/>
            <w:shd w:val="clear" w:color="auto" w:fill="F1F5F9"/>
          </w:tcPr>
          <w:p>
            <w:r>
              <w:rPr>
                <w:sz w:val="19"/>
              </w:rPr>
              <w:t>QA &amp; Tier-2 Tech Support Director</w:t>
            </w:r>
          </w:p>
        </w:tc>
        <w:tc>
          <w:tcPr>
            <w:tcW w:type="dxa" w:w="3120"/>
            <w:shd w:val="clear" w:color="auto" w:fill="F1F5F9"/>
          </w:tcPr>
          <w:p>
            <w:r>
              <w:rPr>
                <w:sz w:val="19"/>
              </w:rPr>
              <w:t>Alex Morgan (AGT-8842), Carlos Mendez (AGT-4491)</w:t>
            </w:r>
          </w:p>
        </w:tc>
      </w:tr>
      <w:tr>
        <w:tc>
          <w:tcPr>
            <w:tcW w:type="dxa" w:w="3120"/>
            <w:shd w:val="clear" w:color="auto" w:fill="FFFFFF"/>
          </w:tcPr>
          <w:p>
            <w:r>
              <w:rPr>
                <w:sz w:val="19"/>
              </w:rPr>
              <w:t>David Sterling (SUP-042)</w:t>
            </w:r>
          </w:p>
        </w:tc>
        <w:tc>
          <w:tcPr>
            <w:tcW w:type="dxa" w:w="3120"/>
            <w:shd w:val="clear" w:color="auto" w:fill="FFFFFF"/>
          </w:tcPr>
          <w:p>
            <w:r>
              <w:rPr>
                <w:sz w:val="19"/>
              </w:rPr>
              <w:t>Emergency Inbound &amp; Dispatch Lead</w:t>
            </w:r>
          </w:p>
        </w:tc>
        <w:tc>
          <w:tcPr>
            <w:tcW w:type="dxa" w:w="3120"/>
            <w:shd w:val="clear" w:color="auto" w:fill="FFFFFF"/>
          </w:tcPr>
          <w:p>
            <w:r>
              <w:rPr>
                <w:sz w:val="19"/>
              </w:rPr>
              <w:t>David Chen (AGT-7740), Olivia Taylor (AGT-6628)</w:t>
            </w:r>
          </w:p>
        </w:tc>
      </w:tr>
      <w:tr>
        <w:tc>
          <w:tcPr>
            <w:tcW w:type="dxa" w:w="3120"/>
            <w:shd w:val="clear" w:color="auto" w:fill="F1F5F9"/>
          </w:tcPr>
          <w:p>
            <w:r>
              <w:rPr>
                <w:sz w:val="19"/>
              </w:rPr>
              <w:t>Priya Sharma (SUP-059)</w:t>
            </w:r>
          </w:p>
        </w:tc>
        <w:tc>
          <w:tcPr>
            <w:tcW w:type="dxa" w:w="3120"/>
            <w:shd w:val="clear" w:color="auto" w:fill="F1F5F9"/>
          </w:tcPr>
          <w:p>
            <w:r>
              <w:rPr>
                <w:sz w:val="19"/>
              </w:rPr>
              <w:t>WFM Scheduling &amp; Trainee Lead</w:t>
            </w:r>
          </w:p>
        </w:tc>
        <w:tc>
          <w:tcPr>
            <w:tcW w:type="dxa" w:w="3120"/>
            <w:shd w:val="clear" w:color="auto" w:fill="F1F5F9"/>
          </w:tcPr>
          <w:p>
            <w:r>
              <w:rPr>
                <w:sz w:val="19"/>
              </w:rPr>
              <w:t>Liam O'Connor (AGT-2219)</w:t>
            </w:r>
          </w:p>
        </w:tc>
      </w:tr>
    </w:tbl>
    <w:p>
      <w:pPr>
        <w:spacing w:after="240"/>
      </w:pPr>
    </w:p>
    <w:p>
      <w:pPr>
        <w:pStyle w:val="Heading2"/>
      </w:pPr>
      <w:r>
        <w:t>3.4. Dynamic Skill Flex &amp; Surge Defense Algorithm</w:t>
      </w:r>
    </w:p>
    <w:p>
      <w:r>
        <w:t>When sudden billing surges occur (+318 calls waiting, ASA spikes to 9 minutes, SLA drops to 34.5%), the WFM engine calculates an Erlang-C staffing deficit (+4 required). In one click (or autonomous auto-flex), the engine reallocates three certified cross-skilled Customer Service agents (Samantha Vance, Rachel Green, Marcus Brody) to the Billing queue. Calls waiting immediately collapse to 48, restoring SLA to 88.5% without overtime expense.</w:t>
      </w:r>
    </w:p>
    <w:p>
      <w:pPr>
        <w:pStyle w:val="Heading2"/>
      </w:pPr>
      <w:r>
        <w:t>3.5. Storm Disaster IVR Auto-Deflection Engine</w:t>
      </w:r>
    </w:p>
    <w:p>
      <w:r>
        <w:t>During severe weather disasters or power grid disruptions, incoming call arrivals can flood past 1,000 calls/min. The auto-deflection engine evaluates incoming rates in real time. Starting from call 1001 onwards, callers receive an automated text-to-speech announcement explaining field crew dispatches and advising courtesy credits. When traffic normalizes below 1,000 calls/min, standard ACD routing resumes automatically.</w:t>
      </w:r>
    </w:p>
    <w:p>
      <w:pPr>
        <w:pStyle w:val="Heading1"/>
      </w:pPr>
      <w:r>
        <w:t>4. Business Value &amp; Measurable ROI</w:t>
      </w:r>
    </w:p>
    <w:p>
      <w:r>
        <w:t>Deployments of the NICE CXone Autonomous WFM &amp; Copilot platform yield measurable operational returns:</w:t>
        <w:br/>
        <w:t>• +18.4% Fleet Adherence Gain: Elimination of uncoordinated break clusters and adherence policy drift.</w:t>
        <w:br/>
        <w:t>• 50% ACW Time Reduction: Automated note generation drops average after-call work from 68s to 34s.</w:t>
        <w:br/>
        <w:t>• Rapid SLA Recovery: Queue load balancing restores critically degraded queues within 3 minutes.</w:t>
        <w:br/>
        <w:t>• Agent Retention &amp; Fatigue Protection: Proactive burnout scoring flags excessive consecutive call handling.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