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F4E" w:val="clear"/>
            <w:tcMar>
              <w:top w:type="dxa" w:w="400"/>
              <w:left w:type="dxa" w:w="400"/>
              <w:bottom w:type="dxa" w:w="400"/>
              <w:right w:type="dxa" w:w="400"/>
            </w:tcMar>
          </w:tcPr>
          <w:p>
            <w:pPr>
              <w:spacing w:after="60" w:before="120"/>
              <w:jc w:val="center"/>
            </w:pPr>
            <w:r>
              <w:rPr>
                <w:rFonts w:ascii="Arial" w:cs="Arial" w:eastAsia="Arial" w:hAnsi="Arial"/>
                <w:b/>
                <w:bCs/>
                <w:color w:val="5EEAD4"/>
                <w:sz w:val="96"/>
                <w:szCs w:val="96"/>
              </w:rPr>
              <w:t xml:space="preserve">LokaFlow™</w:t>
            </w:r>
          </w:p>
          <w:p>
            <w:pPr>
              <w:spacing w:after="100" w:before="0"/>
              <w:jc w:val="center"/>
            </w:pPr>
            <w:r>
              <w:rPr>
                <w:rFonts w:ascii="Arial" w:cs="Arial" w:eastAsia="Arial" w:hAnsi="Arial"/>
                <w:b/>
                <w:bCs/>
                <w:color w:val="FFFFFF"/>
                <w:sz w:val="36"/>
                <w:szCs w:val="36"/>
              </w:rPr>
              <w:t xml:space="preserve">Full Registration &amp; IP Protection Plan</w:t>
            </w:r>
          </w:p>
          <w:p>
            <w:pPr>
              <w:spacing w:after="60" w:before="0"/>
              <w:jc w:val="center"/>
            </w:pPr>
            <w:r>
              <w:rPr>
                <w:rFonts w:ascii="Arial" w:cs="Arial" w:eastAsia="Arial" w:hAnsi="Arial"/>
                <w:color w:val="94A3B8"/>
                <w:sz w:val="24"/>
                <w:szCs w:val="24"/>
              </w:rPr>
              <w:t xml:space="preserve">by LearnHubPlay BV  •  Netherlands</w:t>
            </w:r>
          </w:p>
          <w:p>
            <w:pPr>
              <w:spacing w:after="200" w:before="60"/>
              <w:jc w:val="center"/>
            </w:pPr>
            <w:r>
              <w:rPr>
                <w:rFonts w:ascii="Arial" w:cs="Arial" w:eastAsia="Arial" w:hAnsi="Arial"/>
                <w:i/>
                <w:iCs/>
                <w:color w:val="64748B"/>
                <w:sz w:val="20"/>
                <w:szCs w:val="20"/>
              </w:rPr>
              <w:t xml:space="preserve">February 2026  |  Confidential</w:t>
            </w:r>
          </w:p>
          <w:p>
            <w:pPr>
              <w:spacing w:after="120" w:before="0"/>
              <w:jc w:val="center"/>
            </w:pPr>
            <w:r>
              <w:rPr>
                <w:rFonts w:ascii="Arial" w:cs="Arial" w:eastAsia="Arial" w:hAnsi="Arial"/>
                <w:color w:val="94A3B8"/>
                <w:sz w:val="20"/>
                <w:szCs w:val="20"/>
              </w:rPr>
              <w:t xml:space="preserve">Domain  •  Trademark (EUIPO)  •  Copyright  •  License  •  IP Assignment  •  Timeline</w:t>
            </w:r>
          </w:p>
        </w:tc>
      </w:tr>
    </w:tbl>
    <w:p>
      <w:pPr>
        <w:spacing w:after="2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FBF1" w:val="clear"/>
            <w:tcMar>
              <w:top w:type="dxa" w:w="160"/>
              <w:left w:type="dxa" w:w="220"/>
              <w:bottom w:type="dxa" w:w="160"/>
              <w:right w:type="dxa" w:w="220"/>
            </w:tcMar>
          </w:tcPr>
          <w:p>
            <w:pPr>
              <w:spacing w:after="80" w:before="60"/>
            </w:pPr>
            <w:r>
              <w:rPr>
                <w:rFonts w:ascii="Arial" w:cs="Arial" w:eastAsia="Arial" w:hAnsi="Arial"/>
                <w:b/>
                <w:bCs/>
                <w:color w:val="1B2F4E"/>
                <w:sz w:val="26"/>
                <w:szCs w:val="26"/>
              </w:rPr>
              <w:t xml:space="preserve">What This Document Covers</w:t>
            </w:r>
          </w:p>
          <w:p>
            <w:pPr>
              <w:spacing w:after="80" w:before="80"/>
            </w:pPr>
            <w:r>
              <w:rPr>
                <w:rFonts w:ascii="Arial" w:cs="Arial" w:eastAsia="Arial" w:hAnsi="Arial"/>
                <w:sz w:val="22"/>
                <w:szCs w:val="22"/>
              </w:rPr>
              <w:t xml:space="preserve">This is the complete, step-by-step registration playbook for the LokaFlow™ brand and platform, operated under LearnHubPlay BV (KvK registered, Netherlands). It covers every legal and practical action needed — from registering domains today at near-zero cost, to filing the EUIPO trademark when first revenue arrives, to protecting your source code and IP permanently.</w:t>
            </w:r>
          </w:p>
          <w:p>
            <w:pPr>
              <w:spacing w:after="140" w:before="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2240"/>
              <w:gridCol w:w="2240"/>
            </w:tblGrid>
            <w:tr>
              <w:tc>
                <w:tcPr>
                  <w:tcW w:type="dxa" w:w="2240"/>
                  <w:tcBorders>
                    <w:top w:val="none" w:color="FFFFFF" w:sz="0"/>
                    <w:left w:val="none" w:color="FFFFFF" w:sz="0"/>
                    <w:bottom w:val="none" w:color="FFFFFF" w:sz="0"/>
                    <w:right w:val="none" w:color="FFFFFF" w:sz="0"/>
                  </w:tcBorders>
                  <w:shd w:fill="CCFBF1" w:val="clear"/>
                  <w:tcMar>
                    <w:top w:type="dxa" w:w="120"/>
                    <w:left w:type="dxa" w:w="120"/>
                    <w:bottom w:type="dxa" w:w="120"/>
                    <w:right w:type="dxa" w:w="120"/>
                  </w:tcMar>
                </w:tcPr>
                <w:p>
                  <w:pPr>
                    <w:jc w:val="center"/>
                  </w:pPr>
                  <w:r>
                    <w:rPr>
                      <w:rFonts w:ascii="Arial" w:cs="Arial" w:eastAsia="Arial" w:hAnsi="Arial"/>
                      <w:b/>
                      <w:bCs/>
                      <w:color w:val="0F766E"/>
                      <w:sz w:val="28"/>
                      <w:szCs w:val="28"/>
                    </w:rPr>
                    <w:t xml:space="preserve">€875–1,035</w:t>
                  </w:r>
                </w:p>
                <w:p>
                  <w:pPr>
                    <w:jc w:val="center"/>
                  </w:pPr>
                  <w:r>
                    <w:rPr>
                      <w:rFonts w:ascii="Arial" w:cs="Arial" w:eastAsia="Arial" w:hAnsi="Arial"/>
                      <w:color w:val="475569"/>
                      <w:sz w:val="18"/>
                      <w:szCs w:val="18"/>
                    </w:rPr>
                    <w:t xml:space="preserve">Total Cost</w:t>
                  </w:r>
                </w:p>
              </w:tc>
              <w:tc>
                <w:tcPr>
                  <w:tcW w:type="dxa" w:w="2240"/>
                  <w:tcBorders>
                    <w:top w:val="none" w:color="FFFFFF" w:sz="0"/>
                    <w:left w:val="none" w:color="FFFFFF" w:sz="0"/>
                    <w:bottom w:val="none" w:color="FFFFFF" w:sz="0"/>
                    <w:right w:val="none" w:color="FFFFFF" w:sz="0"/>
                  </w:tcBorders>
                  <w:shd w:fill="CCFBF1" w:val="clear"/>
                  <w:tcMar>
                    <w:top w:type="dxa" w:w="120"/>
                    <w:left w:type="dxa" w:w="120"/>
                    <w:bottom w:type="dxa" w:w="120"/>
                    <w:right w:type="dxa" w:w="120"/>
                  </w:tcMar>
                </w:tcPr>
                <w:p>
                  <w:pPr>
                    <w:jc w:val="center"/>
                  </w:pPr>
                  <w:r>
                    <w:rPr>
                      <w:rFonts w:ascii="Arial" w:cs="Arial" w:eastAsia="Arial" w:hAnsi="Arial"/>
                      <w:b/>
                      <w:bCs/>
                      <w:color w:val="0F766E"/>
                      <w:sz w:val="28"/>
                      <w:szCs w:val="28"/>
                    </w:rPr>
                    <w:t xml:space="preserve">Day 1 → Month 6</w:t>
                  </w:r>
                </w:p>
                <w:p>
                  <w:pPr>
                    <w:jc w:val="center"/>
                  </w:pPr>
                  <w:r>
                    <w:rPr>
                      <w:rFonts w:ascii="Arial" w:cs="Arial" w:eastAsia="Arial" w:hAnsi="Arial"/>
                      <w:color w:val="475569"/>
                      <w:sz w:val="18"/>
                      <w:szCs w:val="18"/>
                    </w:rPr>
                    <w:t xml:space="preserve">Timeline</w:t>
                  </w:r>
                </w:p>
              </w:tc>
              <w:tc>
                <w:tcPr>
                  <w:tcW w:type="dxa" w:w="2240"/>
                  <w:tcBorders>
                    <w:top w:val="none" w:color="FFFFFF" w:sz="0"/>
                    <w:left w:val="none" w:color="FFFFFF" w:sz="0"/>
                    <w:bottom w:val="none" w:color="FFFFFF" w:sz="0"/>
                    <w:right w:val="none" w:color="FFFFFF" w:sz="0"/>
                  </w:tcBorders>
                  <w:shd w:fill="CCFBF1" w:val="clear"/>
                  <w:tcMar>
                    <w:top w:type="dxa" w:w="120"/>
                    <w:left w:type="dxa" w:w="120"/>
                    <w:bottom w:type="dxa" w:w="120"/>
                    <w:right w:type="dxa" w:w="120"/>
                  </w:tcMar>
                </w:tcPr>
                <w:p>
                  <w:pPr>
                    <w:jc w:val="center"/>
                  </w:pPr>
                  <w:r>
                    <w:rPr>
                      <w:rFonts w:ascii="Arial" w:cs="Arial" w:eastAsia="Arial" w:hAnsi="Arial"/>
                      <w:b/>
                      <w:bCs/>
                      <w:color w:val="0F766E"/>
                      <w:sz w:val="28"/>
                      <w:szCs w:val="28"/>
                    </w:rPr>
                    <w:t xml:space="preserve">27 via EUIPO</w:t>
                  </w:r>
                </w:p>
                <w:p>
                  <w:pPr>
                    <w:jc w:val="center"/>
                  </w:pPr>
                  <w:r>
                    <w:rPr>
                      <w:rFonts w:ascii="Arial" w:cs="Arial" w:eastAsia="Arial" w:hAnsi="Arial"/>
                      <w:color w:val="475569"/>
                      <w:sz w:val="18"/>
                      <w:szCs w:val="18"/>
                    </w:rPr>
                    <w:t xml:space="preserve">EU Countries Protected</w:t>
                  </w:r>
                </w:p>
              </w:tc>
              <w:tc>
                <w:tcPr>
                  <w:tcW w:type="dxa" w:w="2240"/>
                  <w:tcBorders>
                    <w:top w:val="none" w:color="FFFFFF" w:sz="0"/>
                    <w:left w:val="none" w:color="FFFFFF" w:sz="0"/>
                    <w:bottom w:val="none" w:color="FFFFFF" w:sz="0"/>
                    <w:right w:val="none" w:color="FFFFFF" w:sz="0"/>
                  </w:tcBorders>
                  <w:shd w:fill="CCFBF1" w:val="clear"/>
                  <w:tcMar>
                    <w:top w:type="dxa" w:w="120"/>
                    <w:left w:type="dxa" w:w="120"/>
                    <w:bottom w:type="dxa" w:w="120"/>
                    <w:right w:type="dxa" w:w="120"/>
                  </w:tcMar>
                </w:tcPr>
                <w:p>
                  <w:pPr>
                    <w:jc w:val="center"/>
                  </w:pPr>
                  <w:r>
                    <w:rPr>
                      <w:rFonts w:ascii="Arial" w:cs="Arial" w:eastAsia="Arial" w:hAnsi="Arial"/>
                      <w:b/>
                      <w:bCs/>
                      <w:color w:val="0F766E"/>
                      <w:sz w:val="28"/>
                      <w:szCs w:val="28"/>
                    </w:rPr>
                    <w:t xml:space="preserve">.com .ai .nl .eu .dev</w:t>
                  </w:r>
                </w:p>
                <w:p>
                  <w:pPr>
                    <w:jc w:val="center"/>
                  </w:pPr>
                  <w:r>
                    <w:rPr>
                      <w:rFonts w:ascii="Arial" w:cs="Arial" w:eastAsia="Arial" w:hAnsi="Arial"/>
                      <w:color w:val="475569"/>
                      <w:sz w:val="18"/>
                      <w:szCs w:val="18"/>
                    </w:rPr>
                    <w:t xml:space="preserve">TLDs Available</w:t>
                  </w:r>
                </w:p>
              </w:tc>
            </w:tr>
          </w:tbl>
          <w:p/>
        </w:tc>
      </w:tr>
    </w:tbl>
    <w:p>
      <w:pPr>
        <w:spacing w:after="140" w:before="0"/>
      </w:pPr>
    </w:p>
    <w:p>
      <w:pPr>
        <w:pStyle w:val="Heading1"/>
        <w:spacing w:after="200" w:before="480"/>
      </w:pPr>
      <w:r>
        <w:rPr>
          <w:rFonts w:ascii="Arial" w:cs="Arial" w:eastAsia="Arial" w:hAnsi="Arial"/>
          <w:b/>
          <w:bCs/>
          <w:color w:val="1B2F4E"/>
          <w:sz w:val="40"/>
          <w:szCs w:val="40"/>
        </w:rPr>
        <w:t xml:space="preserve">1. Why LokaFlow — Name Rationale &amp; Availability</w:t>
      </w:r>
    </w:p>
    <w:p>
      <w:pPr>
        <w:pBdr>
          <w:bottom w:val="single" w:color="0F766E" w:sz="6" w:space="1"/>
        </w:pBdr>
        <w:spacing w:after="160" w:before="160"/>
      </w:pPr>
    </w:p>
    <w:p>
      <w:pPr>
        <w:spacing w:after="80" w:before="80"/>
      </w:pPr>
      <w:r>
        <w:rPr>
          <w:rFonts w:ascii="Arial" w:cs="Arial" w:eastAsia="Arial" w:hAnsi="Arial"/>
          <w:sz w:val="22"/>
          <w:szCs w:val="22"/>
        </w:rPr>
        <w:t xml:space="preserve">Before spending anything on registration, it's important to confirm the name is clean, available, and protectable. LokaFlow passes all three tests.</w:t>
      </w:r>
    </w:p>
    <w:p>
      <w:pPr>
        <w:spacing w:after="140" w:before="0"/>
      </w:pPr>
    </w:p>
    <w:p>
      <w:pPr>
        <w:pStyle w:val="Heading2"/>
        <w:spacing w:after="160" w:before="320"/>
      </w:pPr>
      <w:r>
        <w:rPr>
          <w:rFonts w:ascii="Arial" w:cs="Arial" w:eastAsia="Arial" w:hAnsi="Arial"/>
          <w:b/>
          <w:bCs/>
          <w:color w:val="0F766E"/>
          <w:sz w:val="28"/>
          <w:szCs w:val="28"/>
        </w:rPr>
        <w:t xml:space="preserve">1.1 Name Meaning &amp; Brand Story</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FBF1" w:val="clear"/>
            <w:tcMar>
              <w:top w:type="dxa" w:w="160"/>
              <w:left w:type="dxa" w:w="220"/>
              <w:bottom w:type="dxa" w:w="160"/>
              <w:right w:type="dxa" w:w="220"/>
            </w:tcMar>
          </w:tcPr>
          <w:p>
            <w:pPr>
              <w:spacing w:after="60" w:before="80"/>
            </w:pPr>
            <w:r>
              <w:rPr>
                <w:rFonts w:ascii="Arial" w:cs="Arial" w:eastAsia="Arial" w:hAnsi="Arial"/>
                <w:b/>
                <w:bCs/>
                <w:color w:val="0F766E"/>
                <w:sz w:val="26"/>
                <w:szCs w:val="26"/>
              </w:rPr>
              <w:t xml:space="preserve">Loka</w:t>
            </w:r>
            <w:r>
              <w:rPr>
                <w:rFonts w:ascii="Arial" w:cs="Arial" w:eastAsia="Arial" w:hAnsi="Arial"/>
                <w:color w:val="475569"/>
                <w:sz w:val="26"/>
                <w:szCs w:val="26"/>
              </w:rPr>
              <w:t xml:space="preserve"> + </w:t>
            </w:r>
            <w:r>
              <w:rPr>
                <w:rFonts w:ascii="Arial" w:cs="Arial" w:eastAsia="Arial" w:hAnsi="Arial"/>
                <w:b/>
                <w:bCs/>
                <w:color w:val="1B2F4E"/>
                <w:sz w:val="26"/>
                <w:szCs w:val="26"/>
              </w:rPr>
              <w:t xml:space="preserve">Flow</w:t>
            </w:r>
          </w:p>
          <w:p>
            <w:pPr>
              <w:spacing w:after="80" w:before="80"/>
            </w:pPr>
            <w:r>
              <w:rPr>
                <w:rFonts w:ascii="Arial" w:cs="Arial" w:eastAsia="Arial" w:hAnsi="Arial"/>
                <w:sz w:val="22"/>
                <w:szCs w:val="22"/>
              </w:rPr>
              <w:t xml:space="preserve">"Loka" (लोक) means local in Sanskrit, and sounds identical to "lokaal" — the Dutch word for local. Since LearnHubPlay BV is registered in the Netherlands, this is a genuine, authentic connection. It immediately communicates the core product value: local-first AI.</w:t>
            </w:r>
          </w:p>
          <w:p>
            <w:pPr>
              <w:spacing w:after="140" w:before="0"/>
            </w:pPr>
          </w:p>
          <w:p>
            <w:pPr>
              <w:spacing w:after="80" w:before="80"/>
            </w:pPr>
            <w:r>
              <w:rPr>
                <w:rFonts w:ascii="Arial" w:cs="Arial" w:eastAsia="Arial" w:hAnsi="Arial"/>
                <w:sz w:val="22"/>
                <w:szCs w:val="22"/>
              </w:rPr>
              <w:t xml:space="preserve">"Flow" describes the intelligent orchestration — the routing and distribution of tasks that flow between local and cloud LLMs based on complexity and cost. Together: LokaFlow = local-first AI task flow.</w:t>
            </w:r>
          </w:p>
          <w:p>
            <w:pPr>
              <w:spacing w:after="140" w:before="0"/>
            </w:pPr>
          </w:p>
          <w:p>
            <w:pPr>
              <w:spacing w:after="80" w:before="80"/>
            </w:pPr>
            <w:r>
              <w:rPr>
                <w:rFonts w:ascii="Arial" w:cs="Arial" w:eastAsia="Arial" w:hAnsi="Arial"/>
                <w:sz w:val="22"/>
                <w:szCs w:val="22"/>
              </w:rPr>
              <w:t xml:space="preserve">The name is short (8 characters), pronounceable in English, Dutch, and most European languages, memorable, and not descriptive enough to be refused as generic by EUIPO.</w:t>
            </w:r>
          </w:p>
        </w:tc>
      </w:tr>
    </w:tbl>
    <w:p>
      <w:pPr>
        <w:spacing w:after="140" w:before="0"/>
      </w:pPr>
    </w:p>
    <w:p>
      <w:pPr>
        <w:pStyle w:val="Heading2"/>
        <w:spacing w:after="160" w:before="320"/>
      </w:pPr>
      <w:r>
        <w:rPr>
          <w:rFonts w:ascii="Arial" w:cs="Arial" w:eastAsia="Arial" w:hAnsi="Arial"/>
          <w:b/>
          <w:bCs/>
          <w:color w:val="0F766E"/>
          <w:sz w:val="28"/>
          <w:szCs w:val="28"/>
        </w:rPr>
        <w:t xml:space="preserve">1.2 Domain Availability — Verified February 2026</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1560"/>
        <w:gridCol w:w="2000"/>
      </w:tblGrid>
      <w:tr>
        <w:tc>
          <w:tcPr>
            <w:tcW w:type="dxa" w:w="280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Domain</w:t>
            </w:r>
          </w:p>
        </w:tc>
        <w:tc>
          <w:tcPr>
            <w:tcW w:type="dxa" w:w="140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Status</w:t>
            </w:r>
          </w:p>
        </w:tc>
        <w:tc>
          <w:tcPr>
            <w:tcW w:type="dxa" w:w="160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Recommended?</w:t>
            </w:r>
          </w:p>
        </w:tc>
        <w:tc>
          <w:tcPr>
            <w:tcW w:type="dxa" w:w="156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Annual Cost</w:t>
            </w:r>
          </w:p>
        </w:tc>
        <w:tc>
          <w:tcPr>
            <w:tcW w:type="dxa" w:w="200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Priority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lokaflow.com</w:t>
            </w:r>
          </w:p>
        </w:tc>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 Available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 Yes — Primary</w:t>
            </w:r>
          </w:p>
        </w:tc>
        <w:tc>
          <w:tcPr>
            <w:tcW w:type="dxa" w:w="1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€10–12/yr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Register TODAY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lokaflow.nl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 Available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 Yes — Netherlands home market</w:t>
            </w:r>
          </w:p>
        </w:tc>
        <w:tc>
          <w:tcPr>
            <w:tcW w:type="dxa" w:w="1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€5–8/yr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Register TODAY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lokaflow.ai</w:t>
            </w:r>
          </w:p>
        </w:tc>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 Available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 Yes — AI credibility signal</w:t>
            </w:r>
          </w:p>
        </w:tc>
        <w:tc>
          <w:tcPr>
            <w:tcW w:type="dxa" w:w="1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€55–70/yr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Register this month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lokaflow.eu</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 Available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B45309"/>
                <w:sz w:val="20"/>
                <w:szCs w:val="20"/>
              </w:rPr>
              <w:t xml:space="preserve">⚠️ Optional — EU market</w:t>
            </w:r>
          </w:p>
        </w:tc>
        <w:tc>
          <w:tcPr>
            <w:tcW w:type="dxa" w:w="1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€8–12/yr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Register later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lokaflow.dev</w:t>
            </w:r>
          </w:p>
        </w:tc>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 Available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B45309"/>
                <w:sz w:val="20"/>
                <w:szCs w:val="20"/>
              </w:rPr>
              <w:t xml:space="preserve">⚠️ Optional — developer audience</w:t>
            </w:r>
          </w:p>
        </w:tc>
        <w:tc>
          <w:tcPr>
            <w:tcW w:type="dxa" w:w="1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€10–15/yr</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Register later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lokaflow.io</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Not checked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B91C1C"/>
                <w:sz w:val="20"/>
                <w:szCs w:val="20"/>
              </w:rPr>
              <w:t xml:space="preserve">❌ Avoid — .io geopolitical uncertainty 2026</w:t>
            </w:r>
          </w:p>
        </w:tc>
        <w:tc>
          <w:tcPr>
            <w:tcW w:type="dxa" w:w="1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€60–80/yr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Skip</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45309" w:sz="12"/>
              <w:bottom w:val="none" w:color="FFFFFF" w:sz="0"/>
              <w:right w:val="none" w:color="FFFFFF" w:sz="0"/>
            </w:tcBorders>
            <w:shd w:fill="FEF3C7" w:val="clear"/>
            <w:tcMar>
              <w:top w:type="dxa" w:w="160"/>
              <w:left w:type="dxa" w:w="220"/>
              <w:bottom w:type="dxa" w:w="160"/>
              <w:right w:type="dxa" w:w="220"/>
            </w:tcMar>
          </w:tcPr>
          <w:p>
            <w:pPr>
              <w:spacing w:after="80" w:before="80"/>
            </w:pPr>
            <w:r>
              <w:rPr>
                <w:rFonts w:ascii="Arial" w:cs="Arial" w:eastAsia="Arial" w:hAnsi="Arial"/>
                <w:color w:val="B45309"/>
                <w:sz w:val="22"/>
                <w:szCs w:val="22"/>
              </w:rPr>
              <w:t xml:space="preserve">Domain registration is NOT a trademark. Registering lokaflow.com does not give you brand protection — it only gives you the web address. Trademark (EUIPO) is what stops others from using your name commercially. Do both.</w:t>
            </w:r>
          </w:p>
        </w:tc>
      </w:tr>
    </w:tbl>
    <w:p>
      <w:pPr>
        <w:spacing w:after="140" w:before="0"/>
      </w:pPr>
    </w:p>
    <w:p>
      <w:pPr>
        <w:pStyle w:val="Heading2"/>
        <w:spacing w:after="160" w:before="320"/>
      </w:pPr>
      <w:r>
        <w:rPr>
          <w:rFonts w:ascii="Arial" w:cs="Arial" w:eastAsia="Arial" w:hAnsi="Arial"/>
          <w:b/>
          <w:bCs/>
          <w:color w:val="0F766E"/>
          <w:sz w:val="28"/>
          <w:szCs w:val="28"/>
        </w:rPr>
        <w:t xml:space="preserve">1.3 Trademark Conflict Search — Verified February 2026</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Search Scope</w:t>
            </w:r>
          </w:p>
        </w:tc>
        <w:tc>
          <w:tcPr>
            <w:tcW w:type="dxa" w:w="416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Result</w:t>
            </w:r>
          </w:p>
        </w:tc>
        <w:tc>
          <w:tcPr>
            <w:tcW w:type="dxa" w:w="200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Risk Level</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EUIPO database search for 'LokaFlow'</w:t>
            </w:r>
          </w:p>
        </w:tc>
        <w:tc>
          <w:tcPr>
            <w:tcW w:type="dxa" w:w="4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 No results found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None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EUIPO search for 'Loka' in Class 42 (software)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 No conflicting results in software category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Very Low</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Google / web search for 'LokaFlow' brand</w:t>
            </w:r>
          </w:p>
        </w:tc>
        <w:tc>
          <w:tcPr>
            <w:tcW w:type="dxa" w:w="4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 No existing company or product found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None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'lokaai.com' — similar name check</w:t>
            </w:r>
          </w:p>
        </w:tc>
        <w:tc>
          <w:tcPr>
            <w:tcW w:type="dxa" w:w="4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B45309"/>
                <w:sz w:val="20"/>
                <w:szCs w:val="20"/>
              </w:rPr>
              <w:t xml:space="preserve">⚠️ Punjabi newspaper — different field, no conflict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None for software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'lokaflow' on GitHub / npm / PyPI</w:t>
            </w:r>
          </w:p>
        </w:tc>
        <w:tc>
          <w:tcPr>
            <w:tcW w:type="dxa" w:w="4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 Not registered on any package registry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None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USPTO (US trademark) search for 'LokaFlow'</w:t>
            </w:r>
          </w:p>
        </w:tc>
        <w:tc>
          <w:tcPr>
            <w:tcW w:type="dxa" w:w="4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 No results — clean for future US filing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None</w:t>
            </w:r>
          </w:p>
        </w:tc>
      </w:tr>
    </w:tbl>
    <w:p>
      <w:pPr>
        <w:spacing w:after="140" w:before="0"/>
      </w:pPr>
    </w:p>
    <w:p>
      <w:pPr>
        <w:pStyle w:val="Heading1"/>
        <w:spacing w:after="200" w:before="480"/>
      </w:pPr>
      <w:r>
        <w:rPr>
          <w:rFonts w:ascii="Arial" w:cs="Arial" w:eastAsia="Arial" w:hAnsi="Arial"/>
          <w:b/>
          <w:bCs/>
          <w:color w:val="1B2F4E"/>
          <w:sz w:val="40"/>
          <w:szCs w:val="40"/>
        </w:rPr>
        <w:t xml:space="preserve">2. Master Registration Checklist</w:t>
      </w:r>
    </w:p>
    <w:p>
      <w:pPr>
        <w:pBdr>
          <w:bottom w:val="single" w:color="0F766E" w:sz="6" w:space="1"/>
        </w:pBdr>
        <w:spacing w:after="160" w:before="160"/>
      </w:pPr>
    </w:p>
    <w:p>
      <w:pPr>
        <w:spacing w:after="80" w:before="80"/>
      </w:pPr>
      <w:r>
        <w:rPr>
          <w:rFonts w:ascii="Arial" w:cs="Arial" w:eastAsia="Arial" w:hAnsi="Arial"/>
          <w:sz w:val="22"/>
          <w:szCs w:val="22"/>
        </w:rPr>
        <w:t xml:space="preserve">Complete every item on this checklist in order. Items marked Day 1 cost nothing and take under 30 minutes total.</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c>
          <w:tcPr>
            <w:tcBorders>
              <w:top w:val="none" w:color="FFFFFF" w:sz="0"/>
              <w:left w:val="none" w:color="FFFFFF" w:sz="0"/>
              <w:bottom w:val="none" w:color="FFFFFF" w:sz="0"/>
              <w:right w:val="none" w:color="FFFFFF" w:sz="0"/>
            </w:tcBorders>
            <w:shd w:fill="1B2F4E" w:val="clear"/>
            <w:tcMar>
              <w:top w:type="dxa" w:w="80"/>
              <w:left w:type="dxa" w:w="120"/>
              <w:bottom w:type="dxa" w:w="80"/>
              <w:right w:type="dxa" w:w="60"/>
            </w:tcMar>
          </w:tcPr>
          <w:p>
            <w:pPr>
              <w:jc w:val="center"/>
            </w:pPr>
            <w:r>
              <w:rPr>
                <w:rFonts w:ascii="Arial" w:cs="Arial" w:eastAsia="Arial" w:hAnsi="Arial"/>
                <w:b/>
                <w:bCs/>
                <w:color w:val="FFFFFF"/>
                <w:sz w:val="22"/>
                <w:szCs w:val="22"/>
              </w:rPr>
              <w:t xml:space="preserve">✓</w:t>
            </w:r>
          </w:p>
        </w:tc>
        <w:tc>
          <w:tcPr>
            <w:tcBorders>
              <w:top w:val="none" w:color="FFFFFF" w:sz="0"/>
              <w:left w:val="none" w:color="FFFFFF" w:sz="0"/>
              <w:bottom w:val="none" w:color="FFFFFF" w:sz="0"/>
              <w:right w:val="none" w:color="FFFFFF" w:sz="0"/>
            </w:tcBorders>
            <w:shd w:fill="1B2F4E" w:val="clear"/>
            <w:tcMar>
              <w:top w:type="dxa" w:w="80"/>
              <w:left w:type="dxa" w:w="60"/>
              <w:bottom w:type="dxa" w:w="80"/>
              <w:right w:type="dxa" w:w="60"/>
            </w:tcMar>
          </w:tcPr>
          <w:p>
            <w:r>
              <w:rPr>
                <w:rFonts w:ascii="Arial" w:cs="Arial" w:eastAsia="Arial" w:hAnsi="Arial"/>
                <w:b/>
                <w:bCs/>
                <w:color w:val="FFFFFF"/>
                <w:sz w:val="20"/>
                <w:szCs w:val="20"/>
              </w:rPr>
              <w:t xml:space="preserve">Action</w:t>
            </w:r>
          </w:p>
        </w:tc>
        <w:tc>
          <w:tcPr>
            <w:tcBorders>
              <w:top w:val="none" w:color="FFFFFF" w:sz="0"/>
              <w:left w:val="none" w:color="FFFFFF" w:sz="0"/>
              <w:bottom w:val="none" w:color="FFFFFF" w:sz="0"/>
              <w:right w:val="none" w:color="FFFFFF" w:sz="0"/>
            </w:tcBorders>
            <w:shd w:fill="1B2F4E" w:val="clear"/>
            <w:tcMar>
              <w:top w:type="dxa" w:w="80"/>
              <w:left w:type="dxa" w:w="60"/>
              <w:bottom w:type="dxa" w:w="80"/>
              <w:right w:type="dxa" w:w="120"/>
            </w:tcMar>
          </w:tcPr>
          <w:p>
            <w:r>
              <w:rPr>
                <w:rFonts w:ascii="Arial" w:cs="Arial" w:eastAsia="Arial" w:hAnsi="Arial"/>
                <w:b/>
                <w:bCs/>
                <w:color w:val="FFFFFF"/>
                <w:sz w:val="20"/>
                <w:szCs w:val="20"/>
              </w:rPr>
              <w:t xml:space="preserve">Detail &amp; Cost</w:t>
            </w:r>
          </w:p>
        </w:tc>
      </w:tr>
      <w:tr>
        <w:tc>
          <w:tcPr>
            <w:tcW w:type="dxa" w:w="400"/>
            <w:tcBorders>
              <w:top w:val="none" w:color="FFFFFF" w:sz="0"/>
              <w:left w:val="none" w:color="FFFFFF" w:sz="0"/>
              <w:bottom w:val="none" w:color="FFFFFF" w:sz="0"/>
              <w:right w:val="none" w:color="FFFFFF" w:sz="0"/>
            </w:tcBorders>
            <w:shd w:fill="F8FAFC" w:val="clear"/>
            <w:tcMar>
              <w:top w:type="dxa" w:w="80"/>
              <w:left w:type="dxa" w:w="120"/>
              <w:bottom w:type="dxa" w:w="80"/>
              <w:right w:type="dxa" w:w="60"/>
            </w:tcMar>
          </w:tcPr>
          <w:p>
            <w:pPr>
              <w:jc w:val="center"/>
            </w:pPr>
            <w:r>
              <w:rPr>
                <w:rFonts w:ascii="Arial" w:cs="Arial" w:eastAsia="Arial" w:hAnsi="Arial"/>
                <w:sz w:val="24"/>
                <w:szCs w:val="24"/>
              </w:rPr>
              <w:t xml:space="preserve">☐</w:t>
            </w:r>
          </w:p>
        </w:tc>
        <w:tc>
          <w:tcPr>
            <w:tcW w:type="dxa" w:w="2400"/>
            <w:tcBorders>
              <w:top w:val="none" w:color="FFFFFF" w:sz="0"/>
              <w:left w:val="none" w:color="FFFFFF" w:sz="0"/>
              <w:bottom w:val="none" w:color="FFFFFF" w:sz="0"/>
              <w:right w:val="none" w:color="FFFFFF" w:sz="0"/>
            </w:tcBorders>
            <w:shd w:fill="F8FAFC" w:val="clear"/>
            <w:tcMar>
              <w:top w:type="dxa" w:w="80"/>
              <w:left w:type="dxa" w:w="60"/>
              <w:bottom w:type="dxa" w:w="80"/>
              <w:right w:type="dxa" w:w="60"/>
            </w:tcMar>
          </w:tcPr>
          <w:p>
            <w:r>
              <w:rPr>
                <w:rFonts w:ascii="Arial" w:cs="Arial" w:eastAsia="Arial" w:hAnsi="Arial"/>
                <w:b/>
                <w:bCs/>
                <w:color w:val="1B2F4E"/>
                <w:sz w:val="21"/>
                <w:szCs w:val="21"/>
              </w:rPr>
              <w:t xml:space="preserve">Register lokaflow.com</w:t>
            </w:r>
          </w:p>
        </w:tc>
        <w:tc>
          <w:tcPr>
            <w:tcW w:type="dxa" w:w="6560"/>
            <w:tcBorders>
              <w:top w:val="none" w:color="FFFFFF" w:sz="0"/>
              <w:left w:val="none" w:color="FFFFFF" w:sz="0"/>
              <w:bottom w:val="none" w:color="FFFFFF" w:sz="0"/>
              <w:right w:val="none" w:color="FFFFFF" w:sz="0"/>
            </w:tcBorders>
            <w:shd w:fill="F8FAFC" w:val="clear"/>
            <w:tcMar>
              <w:top w:type="dxa" w:w="80"/>
              <w:left w:type="dxa" w:w="60"/>
              <w:bottom w:type="dxa" w:w="80"/>
              <w:right w:type="dxa" w:w="120"/>
            </w:tcMar>
          </w:tcPr>
          <w:p>
            <w:r>
              <w:rPr>
                <w:rFonts w:ascii="Arial" w:cs="Arial" w:eastAsia="Arial" w:hAnsi="Arial"/>
                <w:color w:val="475569"/>
                <w:sz w:val="20"/>
                <w:szCs w:val="20"/>
              </w:rPr>
              <w:t xml:space="preserve">Namecheap or Cloudflare — €10–12/yr — DO TODAY</w:t>
            </w:r>
          </w:p>
        </w:tc>
      </w:tr>
      <w:tr>
        <w:tc>
          <w:tcPr>
            <w:tcW w:type="dxa" w:w="400"/>
            <w:tcBorders>
              <w:top w:val="none" w:color="FFFFFF" w:sz="0"/>
              <w:left w:val="none" w:color="FFFFFF" w:sz="0"/>
              <w:bottom w:val="none" w:color="FFFFFF" w:sz="0"/>
              <w:right w:val="none" w:color="FFFFFF" w:sz="0"/>
            </w:tcBorders>
            <w:shd w:fill="FFFFFF" w:val="clear"/>
            <w:tcMar>
              <w:top w:type="dxa" w:w="80"/>
              <w:left w:type="dxa" w:w="120"/>
              <w:bottom w:type="dxa" w:w="80"/>
              <w:right w:type="dxa" w:w="60"/>
            </w:tcMar>
          </w:tcPr>
          <w:p>
            <w:pPr>
              <w:jc w:val="center"/>
            </w:pPr>
            <w:r>
              <w:rPr>
                <w:rFonts w:ascii="Arial" w:cs="Arial" w:eastAsia="Arial" w:hAnsi="Arial"/>
                <w:sz w:val="24"/>
                <w:szCs w:val="24"/>
              </w:rPr>
              <w:t xml:space="preserve">☐</w:t>
            </w:r>
          </w:p>
        </w:tc>
        <w:tc>
          <w:tcPr>
            <w:tcW w:type="dxa" w:w="2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tcPr>
          <w:p>
            <w:r>
              <w:rPr>
                <w:rFonts w:ascii="Arial" w:cs="Arial" w:eastAsia="Arial" w:hAnsi="Arial"/>
                <w:b/>
                <w:bCs/>
                <w:color w:val="1B2F4E"/>
                <w:sz w:val="21"/>
                <w:szCs w:val="21"/>
              </w:rPr>
              <w:t xml:space="preserve">Register lokaflow.nl</w:t>
            </w:r>
          </w:p>
        </w:tc>
        <w:tc>
          <w:tcPr>
            <w:tcW w:type="dxa" w:w="6560"/>
            <w:tcBorders>
              <w:top w:val="none" w:color="FFFFFF" w:sz="0"/>
              <w:left w:val="none" w:color="FFFFFF" w:sz="0"/>
              <w:bottom w:val="none" w:color="FFFFFF" w:sz="0"/>
              <w:right w:val="none" w:color="FFFFFF" w:sz="0"/>
            </w:tcBorders>
            <w:shd w:fill="FFFFFF" w:val="clear"/>
            <w:tcMar>
              <w:top w:type="dxa" w:w="80"/>
              <w:left w:type="dxa" w:w="60"/>
              <w:bottom w:type="dxa" w:w="80"/>
              <w:right w:type="dxa" w:w="120"/>
            </w:tcMar>
          </w:tcPr>
          <w:p>
            <w:r>
              <w:rPr>
                <w:rFonts w:ascii="Arial" w:cs="Arial" w:eastAsia="Arial" w:hAnsi="Arial"/>
                <w:color w:val="475569"/>
                <w:sz w:val="20"/>
                <w:szCs w:val="20"/>
              </w:rPr>
              <w:t xml:space="preserve">Namecheap or Cloudflare — €5–8/yr — DO TODAY</w:t>
            </w:r>
          </w:p>
        </w:tc>
      </w:tr>
      <w:tr>
        <w:tc>
          <w:tcPr>
            <w:tcW w:type="dxa" w:w="400"/>
            <w:tcBorders>
              <w:top w:val="none" w:color="FFFFFF" w:sz="0"/>
              <w:left w:val="none" w:color="FFFFFF" w:sz="0"/>
              <w:bottom w:val="none" w:color="FFFFFF" w:sz="0"/>
              <w:right w:val="none" w:color="FFFFFF" w:sz="0"/>
            </w:tcBorders>
            <w:shd w:fill="F8FAFC" w:val="clear"/>
            <w:tcMar>
              <w:top w:type="dxa" w:w="80"/>
              <w:left w:type="dxa" w:w="120"/>
              <w:bottom w:type="dxa" w:w="80"/>
              <w:right w:type="dxa" w:w="60"/>
            </w:tcMar>
          </w:tcPr>
          <w:p>
            <w:pPr>
              <w:jc w:val="center"/>
            </w:pPr>
            <w:r>
              <w:rPr>
                <w:rFonts w:ascii="Arial" w:cs="Arial" w:eastAsia="Arial" w:hAnsi="Arial"/>
                <w:sz w:val="24"/>
                <w:szCs w:val="24"/>
              </w:rPr>
              <w:t xml:space="preserve">☐</w:t>
            </w:r>
          </w:p>
        </w:tc>
        <w:tc>
          <w:tcPr>
            <w:tcW w:type="dxa" w:w="2400"/>
            <w:tcBorders>
              <w:top w:val="none" w:color="FFFFFF" w:sz="0"/>
              <w:left w:val="none" w:color="FFFFFF" w:sz="0"/>
              <w:bottom w:val="none" w:color="FFFFFF" w:sz="0"/>
              <w:right w:val="none" w:color="FFFFFF" w:sz="0"/>
            </w:tcBorders>
            <w:shd w:fill="F8FAFC" w:val="clear"/>
            <w:tcMar>
              <w:top w:type="dxa" w:w="80"/>
              <w:left w:type="dxa" w:w="60"/>
              <w:bottom w:type="dxa" w:w="80"/>
              <w:right w:type="dxa" w:w="60"/>
            </w:tcMar>
          </w:tcPr>
          <w:p>
            <w:r>
              <w:rPr>
                <w:rFonts w:ascii="Arial" w:cs="Arial" w:eastAsia="Arial" w:hAnsi="Arial"/>
                <w:b/>
                <w:bCs/>
                <w:color w:val="1B2F4E"/>
                <w:sz w:val="21"/>
                <w:szCs w:val="21"/>
              </w:rPr>
              <w:t xml:space="preserve">Add COPYRIGHT.md to project</w:t>
            </w:r>
          </w:p>
        </w:tc>
        <w:tc>
          <w:tcPr>
            <w:tcW w:type="dxa" w:w="6560"/>
            <w:tcBorders>
              <w:top w:val="none" w:color="FFFFFF" w:sz="0"/>
              <w:left w:val="none" w:color="FFFFFF" w:sz="0"/>
              <w:bottom w:val="none" w:color="FFFFFF" w:sz="0"/>
              <w:right w:val="none" w:color="FFFFFF" w:sz="0"/>
            </w:tcBorders>
            <w:shd w:fill="F8FAFC" w:val="clear"/>
            <w:tcMar>
              <w:top w:type="dxa" w:w="80"/>
              <w:left w:type="dxa" w:w="60"/>
              <w:bottom w:type="dxa" w:w="80"/>
              <w:right w:type="dxa" w:w="120"/>
            </w:tcMar>
          </w:tcPr>
          <w:p>
            <w:r>
              <w:rPr>
                <w:rFonts w:ascii="Arial" w:cs="Arial" w:eastAsia="Arial" w:hAnsi="Arial"/>
                <w:color w:val="475569"/>
                <w:sz w:val="20"/>
                <w:szCs w:val="20"/>
              </w:rPr>
              <w:t xml:space="preserve">Free — one file, 5 minutes — DO TODAY</w:t>
            </w:r>
          </w:p>
        </w:tc>
      </w:tr>
      <w:tr>
        <w:tc>
          <w:tcPr>
            <w:tcW w:type="dxa" w:w="400"/>
            <w:tcBorders>
              <w:top w:val="none" w:color="FFFFFF" w:sz="0"/>
              <w:left w:val="none" w:color="FFFFFF" w:sz="0"/>
              <w:bottom w:val="none" w:color="FFFFFF" w:sz="0"/>
              <w:right w:val="none" w:color="FFFFFF" w:sz="0"/>
            </w:tcBorders>
            <w:shd w:fill="FFFFFF" w:val="clear"/>
            <w:tcMar>
              <w:top w:type="dxa" w:w="80"/>
              <w:left w:type="dxa" w:w="120"/>
              <w:bottom w:type="dxa" w:w="80"/>
              <w:right w:type="dxa" w:w="60"/>
            </w:tcMar>
          </w:tcPr>
          <w:p>
            <w:pPr>
              <w:jc w:val="center"/>
            </w:pPr>
            <w:r>
              <w:rPr>
                <w:rFonts w:ascii="Arial" w:cs="Arial" w:eastAsia="Arial" w:hAnsi="Arial"/>
                <w:sz w:val="24"/>
                <w:szCs w:val="24"/>
              </w:rPr>
              <w:t xml:space="preserve">☐</w:t>
            </w:r>
          </w:p>
        </w:tc>
        <w:tc>
          <w:tcPr>
            <w:tcW w:type="dxa" w:w="2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tcPr>
          <w:p>
            <w:r>
              <w:rPr>
                <w:rFonts w:ascii="Arial" w:cs="Arial" w:eastAsia="Arial" w:hAnsi="Arial"/>
                <w:b/>
                <w:bCs/>
                <w:color w:val="1B2F4E"/>
                <w:sz w:val="21"/>
                <w:szCs w:val="21"/>
              </w:rPr>
              <w:t xml:space="preserve">Add BUSL 1.1 LICENSE file</w:t>
            </w:r>
          </w:p>
        </w:tc>
        <w:tc>
          <w:tcPr>
            <w:tcW w:type="dxa" w:w="6560"/>
            <w:tcBorders>
              <w:top w:val="none" w:color="FFFFFF" w:sz="0"/>
              <w:left w:val="none" w:color="FFFFFF" w:sz="0"/>
              <w:bottom w:val="none" w:color="FFFFFF" w:sz="0"/>
              <w:right w:val="none" w:color="FFFFFF" w:sz="0"/>
            </w:tcBorders>
            <w:shd w:fill="FFFFFF" w:val="clear"/>
            <w:tcMar>
              <w:top w:type="dxa" w:w="80"/>
              <w:left w:type="dxa" w:w="60"/>
              <w:bottom w:type="dxa" w:w="80"/>
              <w:right w:type="dxa" w:w="120"/>
            </w:tcMar>
          </w:tcPr>
          <w:p>
            <w:r>
              <w:rPr>
                <w:rFonts w:ascii="Arial" w:cs="Arial" w:eastAsia="Arial" w:hAnsi="Arial"/>
                <w:color w:val="475569"/>
                <w:sz w:val="20"/>
                <w:szCs w:val="20"/>
              </w:rPr>
              <w:t xml:space="preserve">Free — template from mariadb.com/bsl11 — DO TODAY</w:t>
            </w:r>
          </w:p>
        </w:tc>
      </w:tr>
      <w:tr>
        <w:tc>
          <w:tcPr>
            <w:tcW w:type="dxa" w:w="400"/>
            <w:tcBorders>
              <w:top w:val="none" w:color="FFFFFF" w:sz="0"/>
              <w:left w:val="none" w:color="FFFFFF" w:sz="0"/>
              <w:bottom w:val="none" w:color="FFFFFF" w:sz="0"/>
              <w:right w:val="none" w:color="FFFFFF" w:sz="0"/>
            </w:tcBorders>
            <w:shd w:fill="F8FAFC" w:val="clear"/>
            <w:tcMar>
              <w:top w:type="dxa" w:w="80"/>
              <w:left w:type="dxa" w:w="120"/>
              <w:bottom w:type="dxa" w:w="80"/>
              <w:right w:type="dxa" w:w="60"/>
            </w:tcMar>
          </w:tcPr>
          <w:p>
            <w:pPr>
              <w:jc w:val="center"/>
            </w:pPr>
            <w:r>
              <w:rPr>
                <w:rFonts w:ascii="Arial" w:cs="Arial" w:eastAsia="Arial" w:hAnsi="Arial"/>
                <w:sz w:val="24"/>
                <w:szCs w:val="24"/>
              </w:rPr>
              <w:t xml:space="preserve">☐</w:t>
            </w:r>
          </w:p>
        </w:tc>
        <w:tc>
          <w:tcPr>
            <w:tcW w:type="dxa" w:w="2400"/>
            <w:tcBorders>
              <w:top w:val="none" w:color="FFFFFF" w:sz="0"/>
              <w:left w:val="none" w:color="FFFFFF" w:sz="0"/>
              <w:bottom w:val="none" w:color="FFFFFF" w:sz="0"/>
              <w:right w:val="none" w:color="FFFFFF" w:sz="0"/>
            </w:tcBorders>
            <w:shd w:fill="F8FAFC" w:val="clear"/>
            <w:tcMar>
              <w:top w:type="dxa" w:w="80"/>
              <w:left w:type="dxa" w:w="60"/>
              <w:bottom w:type="dxa" w:w="80"/>
              <w:right w:type="dxa" w:w="60"/>
            </w:tcMar>
          </w:tcPr>
          <w:p>
            <w:r>
              <w:rPr>
                <w:rFonts w:ascii="Arial" w:cs="Arial" w:eastAsia="Arial" w:hAnsi="Arial"/>
                <w:b/>
                <w:bCs/>
                <w:color w:val="1B2F4E"/>
                <w:sz w:val="21"/>
                <w:szCs w:val="21"/>
              </w:rPr>
              <w:t xml:space="preserve">First GitHub commit with license</w:t>
            </w:r>
          </w:p>
        </w:tc>
        <w:tc>
          <w:tcPr>
            <w:tcW w:type="dxa" w:w="6560"/>
            <w:tcBorders>
              <w:top w:val="none" w:color="FFFFFF" w:sz="0"/>
              <w:left w:val="none" w:color="FFFFFF" w:sz="0"/>
              <w:bottom w:val="none" w:color="FFFFFF" w:sz="0"/>
              <w:right w:val="none" w:color="FFFFFF" w:sz="0"/>
            </w:tcBorders>
            <w:shd w:fill="F8FAFC" w:val="clear"/>
            <w:tcMar>
              <w:top w:type="dxa" w:w="80"/>
              <w:left w:type="dxa" w:w="60"/>
              <w:bottom w:type="dxa" w:w="80"/>
              <w:right w:type="dxa" w:w="120"/>
            </w:tcMar>
          </w:tcPr>
          <w:p>
            <w:r>
              <w:rPr>
                <w:rFonts w:ascii="Arial" w:cs="Arial" w:eastAsia="Arial" w:hAnsi="Arial"/>
                <w:color w:val="475569"/>
                <w:sz w:val="20"/>
                <w:szCs w:val="20"/>
              </w:rPr>
              <w:t xml:space="preserve">Free — creates timestamped legal evidence — DO TODAY</w:t>
            </w:r>
          </w:p>
        </w:tc>
      </w:tr>
      <w:tr>
        <w:tc>
          <w:tcPr>
            <w:tcW w:type="dxa" w:w="400"/>
            <w:tcBorders>
              <w:top w:val="none" w:color="FFFFFF" w:sz="0"/>
              <w:left w:val="none" w:color="FFFFFF" w:sz="0"/>
              <w:bottom w:val="none" w:color="FFFFFF" w:sz="0"/>
              <w:right w:val="none" w:color="FFFFFF" w:sz="0"/>
            </w:tcBorders>
            <w:shd w:fill="FFFFFF" w:val="clear"/>
            <w:tcMar>
              <w:top w:type="dxa" w:w="80"/>
              <w:left w:type="dxa" w:w="120"/>
              <w:bottom w:type="dxa" w:w="80"/>
              <w:right w:type="dxa" w:w="60"/>
            </w:tcMar>
          </w:tcPr>
          <w:p>
            <w:pPr>
              <w:jc w:val="center"/>
            </w:pPr>
            <w:r>
              <w:rPr>
                <w:rFonts w:ascii="Arial" w:cs="Arial" w:eastAsia="Arial" w:hAnsi="Arial"/>
                <w:sz w:val="24"/>
                <w:szCs w:val="24"/>
              </w:rPr>
              <w:t xml:space="preserve">☐</w:t>
            </w:r>
          </w:p>
        </w:tc>
        <w:tc>
          <w:tcPr>
            <w:tcW w:type="dxa" w:w="2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tcPr>
          <w:p>
            <w:r>
              <w:rPr>
                <w:rFonts w:ascii="Arial" w:cs="Arial" w:eastAsia="Arial" w:hAnsi="Arial"/>
                <w:b/>
                <w:bCs/>
                <w:color w:val="1B2F4E"/>
                <w:sz w:val="21"/>
                <w:szCs w:val="21"/>
              </w:rPr>
              <w:t xml:space="preserve">Email COPYRIGHT.md to yourself</w:t>
            </w:r>
          </w:p>
        </w:tc>
        <w:tc>
          <w:tcPr>
            <w:tcW w:type="dxa" w:w="6560"/>
            <w:tcBorders>
              <w:top w:val="none" w:color="FFFFFF" w:sz="0"/>
              <w:left w:val="none" w:color="FFFFFF" w:sz="0"/>
              <w:bottom w:val="none" w:color="FFFFFF" w:sz="0"/>
              <w:right w:val="none" w:color="FFFFFF" w:sz="0"/>
            </w:tcBorders>
            <w:shd w:fill="FFFFFF" w:val="clear"/>
            <w:tcMar>
              <w:top w:type="dxa" w:w="80"/>
              <w:left w:type="dxa" w:w="60"/>
              <w:bottom w:type="dxa" w:w="80"/>
              <w:right w:type="dxa" w:w="120"/>
            </w:tcMar>
          </w:tcPr>
          <w:p>
            <w:r>
              <w:rPr>
                <w:rFonts w:ascii="Arial" w:cs="Arial" w:eastAsia="Arial" w:hAnsi="Arial"/>
                <w:color w:val="475569"/>
                <w:sz w:val="20"/>
                <w:szCs w:val="20"/>
              </w:rPr>
              <w:t xml:space="preserve">Free — email timestamp = proof of creation date — DO TODAY</w:t>
            </w:r>
          </w:p>
        </w:tc>
      </w:tr>
      <w:tr>
        <w:tc>
          <w:tcPr>
            <w:tcW w:type="dxa" w:w="400"/>
            <w:tcBorders>
              <w:top w:val="none" w:color="FFFFFF" w:sz="0"/>
              <w:left w:val="none" w:color="FFFFFF" w:sz="0"/>
              <w:bottom w:val="none" w:color="FFFFFF" w:sz="0"/>
              <w:right w:val="none" w:color="FFFFFF" w:sz="0"/>
            </w:tcBorders>
            <w:shd w:fill="F8FAFC" w:val="clear"/>
            <w:tcMar>
              <w:top w:type="dxa" w:w="80"/>
              <w:left w:type="dxa" w:w="120"/>
              <w:bottom w:type="dxa" w:w="80"/>
              <w:right w:type="dxa" w:w="60"/>
            </w:tcMar>
          </w:tcPr>
          <w:p>
            <w:pPr>
              <w:jc w:val="center"/>
            </w:pPr>
            <w:r>
              <w:rPr>
                <w:rFonts w:ascii="Arial" w:cs="Arial" w:eastAsia="Arial" w:hAnsi="Arial"/>
                <w:sz w:val="24"/>
                <w:szCs w:val="24"/>
              </w:rPr>
              <w:t xml:space="preserve">☐</w:t>
            </w:r>
          </w:p>
        </w:tc>
        <w:tc>
          <w:tcPr>
            <w:tcW w:type="dxa" w:w="2400"/>
            <w:tcBorders>
              <w:top w:val="none" w:color="FFFFFF" w:sz="0"/>
              <w:left w:val="none" w:color="FFFFFF" w:sz="0"/>
              <w:bottom w:val="none" w:color="FFFFFF" w:sz="0"/>
              <w:right w:val="none" w:color="FFFFFF" w:sz="0"/>
            </w:tcBorders>
            <w:shd w:fill="F8FAFC" w:val="clear"/>
            <w:tcMar>
              <w:top w:type="dxa" w:w="80"/>
              <w:left w:type="dxa" w:w="60"/>
              <w:bottom w:type="dxa" w:w="80"/>
              <w:right w:type="dxa" w:w="60"/>
            </w:tcMar>
          </w:tcPr>
          <w:p>
            <w:r>
              <w:rPr>
                <w:rFonts w:ascii="Arial" w:cs="Arial" w:eastAsia="Arial" w:hAnsi="Arial"/>
                <w:b/>
                <w:bCs/>
                <w:color w:val="1B2F4E"/>
                <w:sz w:val="21"/>
                <w:szCs w:val="21"/>
              </w:rPr>
              <w:t xml:space="preserve">Use LokaFlow™ on all materials</w:t>
            </w:r>
          </w:p>
        </w:tc>
        <w:tc>
          <w:tcPr>
            <w:tcW w:type="dxa" w:w="6560"/>
            <w:tcBorders>
              <w:top w:val="none" w:color="FFFFFF" w:sz="0"/>
              <w:left w:val="none" w:color="FFFFFF" w:sz="0"/>
              <w:bottom w:val="none" w:color="FFFFFF" w:sz="0"/>
              <w:right w:val="none" w:color="FFFFFF" w:sz="0"/>
            </w:tcBorders>
            <w:shd w:fill="F8FAFC" w:val="clear"/>
            <w:tcMar>
              <w:top w:type="dxa" w:w="80"/>
              <w:left w:type="dxa" w:w="60"/>
              <w:bottom w:type="dxa" w:w="80"/>
              <w:right w:type="dxa" w:w="120"/>
            </w:tcMar>
          </w:tcPr>
          <w:p>
            <w:r>
              <w:rPr>
                <w:rFonts w:ascii="Arial" w:cs="Arial" w:eastAsia="Arial" w:hAnsi="Arial"/>
                <w:color w:val="475569"/>
                <w:sz w:val="20"/>
                <w:szCs w:val="20"/>
              </w:rPr>
              <w:t xml:space="preserve">Free — ™ requires no registration, use it immediately</w:t>
            </w:r>
          </w:p>
        </w:tc>
      </w:tr>
      <w:tr>
        <w:tc>
          <w:tcPr>
            <w:tcW w:type="dxa" w:w="400"/>
            <w:tcBorders>
              <w:top w:val="none" w:color="FFFFFF" w:sz="0"/>
              <w:left w:val="none" w:color="FFFFFF" w:sz="0"/>
              <w:bottom w:val="none" w:color="FFFFFF" w:sz="0"/>
              <w:right w:val="none" w:color="FFFFFF" w:sz="0"/>
            </w:tcBorders>
            <w:shd w:fill="FFFFFF" w:val="clear"/>
            <w:tcMar>
              <w:top w:type="dxa" w:w="80"/>
              <w:left w:type="dxa" w:w="120"/>
              <w:bottom w:type="dxa" w:w="80"/>
              <w:right w:type="dxa" w:w="60"/>
            </w:tcMar>
          </w:tcPr>
          <w:p>
            <w:pPr>
              <w:jc w:val="center"/>
            </w:pPr>
            <w:r>
              <w:rPr>
                <w:rFonts w:ascii="Arial" w:cs="Arial" w:eastAsia="Arial" w:hAnsi="Arial"/>
                <w:sz w:val="24"/>
                <w:szCs w:val="24"/>
              </w:rPr>
              <w:t xml:space="preserve">☐</w:t>
            </w:r>
          </w:p>
        </w:tc>
        <w:tc>
          <w:tcPr>
            <w:tcW w:type="dxa" w:w="2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tcPr>
          <w:p>
            <w:r>
              <w:rPr>
                <w:rFonts w:ascii="Arial" w:cs="Arial" w:eastAsia="Arial" w:hAnsi="Arial"/>
                <w:b/>
                <w:bCs/>
                <w:color w:val="1B2F4E"/>
                <w:sz w:val="21"/>
                <w:szCs w:val="21"/>
              </w:rPr>
              <w:t xml:space="preserve">Sign IP Assignment Agreement</w:t>
            </w:r>
          </w:p>
        </w:tc>
        <w:tc>
          <w:tcPr>
            <w:tcW w:type="dxa" w:w="6560"/>
            <w:tcBorders>
              <w:top w:val="none" w:color="FFFFFF" w:sz="0"/>
              <w:left w:val="none" w:color="FFFFFF" w:sz="0"/>
              <w:bottom w:val="none" w:color="FFFFFF" w:sz="0"/>
              <w:right w:val="none" w:color="FFFFFF" w:sz="0"/>
            </w:tcBorders>
            <w:shd w:fill="FFFFFF" w:val="clear"/>
            <w:tcMar>
              <w:top w:type="dxa" w:w="80"/>
              <w:left w:type="dxa" w:w="60"/>
              <w:bottom w:type="dxa" w:w="80"/>
              <w:right w:type="dxa" w:w="120"/>
            </w:tcMar>
          </w:tcPr>
          <w:p>
            <w:r>
              <w:rPr>
                <w:rFonts w:ascii="Arial" w:cs="Arial" w:eastAsia="Arial" w:hAnsi="Arial"/>
                <w:color w:val="475569"/>
                <w:sz w:val="20"/>
                <w:szCs w:val="20"/>
              </w:rPr>
              <w:t xml:space="preserve">Free — assign all LokaFlow IP from you to LearnHubPlay BV — this week</w:t>
            </w:r>
          </w:p>
        </w:tc>
      </w:tr>
      <w:tr>
        <w:tc>
          <w:tcPr>
            <w:tcW w:type="dxa" w:w="400"/>
            <w:tcBorders>
              <w:top w:val="none" w:color="FFFFFF" w:sz="0"/>
              <w:left w:val="none" w:color="FFFFFF" w:sz="0"/>
              <w:bottom w:val="none" w:color="FFFFFF" w:sz="0"/>
              <w:right w:val="none" w:color="FFFFFF" w:sz="0"/>
            </w:tcBorders>
            <w:shd w:fill="F8FAFC" w:val="clear"/>
            <w:tcMar>
              <w:top w:type="dxa" w:w="80"/>
              <w:left w:type="dxa" w:w="120"/>
              <w:bottom w:type="dxa" w:w="80"/>
              <w:right w:type="dxa" w:w="60"/>
            </w:tcMar>
          </w:tcPr>
          <w:p>
            <w:pPr>
              <w:jc w:val="center"/>
            </w:pPr>
            <w:r>
              <w:rPr>
                <w:rFonts w:ascii="Arial" w:cs="Arial" w:eastAsia="Arial" w:hAnsi="Arial"/>
                <w:sz w:val="24"/>
                <w:szCs w:val="24"/>
              </w:rPr>
              <w:t xml:space="preserve">☐</w:t>
            </w:r>
          </w:p>
        </w:tc>
        <w:tc>
          <w:tcPr>
            <w:tcW w:type="dxa" w:w="2400"/>
            <w:tcBorders>
              <w:top w:val="none" w:color="FFFFFF" w:sz="0"/>
              <w:left w:val="none" w:color="FFFFFF" w:sz="0"/>
              <w:bottom w:val="none" w:color="FFFFFF" w:sz="0"/>
              <w:right w:val="none" w:color="FFFFFF" w:sz="0"/>
            </w:tcBorders>
            <w:shd w:fill="F8FAFC" w:val="clear"/>
            <w:tcMar>
              <w:top w:type="dxa" w:w="80"/>
              <w:left w:type="dxa" w:w="60"/>
              <w:bottom w:type="dxa" w:w="80"/>
              <w:right w:type="dxa" w:w="60"/>
            </w:tcMar>
          </w:tcPr>
          <w:p>
            <w:r>
              <w:rPr>
                <w:rFonts w:ascii="Arial" w:cs="Arial" w:eastAsia="Arial" w:hAnsi="Arial"/>
                <w:b/>
                <w:bCs/>
                <w:color w:val="1B2F4E"/>
                <w:sz w:val="21"/>
                <w:szCs w:val="21"/>
              </w:rPr>
              <w:t xml:space="preserve">Register lokaflow.ai</w:t>
            </w:r>
          </w:p>
        </w:tc>
        <w:tc>
          <w:tcPr>
            <w:tcW w:type="dxa" w:w="6560"/>
            <w:tcBorders>
              <w:top w:val="none" w:color="FFFFFF" w:sz="0"/>
              <w:left w:val="none" w:color="FFFFFF" w:sz="0"/>
              <w:bottom w:val="none" w:color="FFFFFF" w:sz="0"/>
              <w:right w:val="none" w:color="FFFFFF" w:sz="0"/>
            </w:tcBorders>
            <w:shd w:fill="F8FAFC" w:val="clear"/>
            <w:tcMar>
              <w:top w:type="dxa" w:w="80"/>
              <w:left w:type="dxa" w:w="60"/>
              <w:bottom w:type="dxa" w:w="80"/>
              <w:right w:type="dxa" w:w="120"/>
            </w:tcMar>
          </w:tcPr>
          <w:p>
            <w:r>
              <w:rPr>
                <w:rFonts w:ascii="Arial" w:cs="Arial" w:eastAsia="Arial" w:hAnsi="Arial"/>
                <w:color w:val="475569"/>
                <w:sz w:val="20"/>
                <w:szCs w:val="20"/>
              </w:rPr>
              <w:t xml:space="preserve">€55–70/yr — AI credibility — register this month</w:t>
            </w:r>
          </w:p>
        </w:tc>
      </w:tr>
      <w:tr>
        <w:tc>
          <w:tcPr>
            <w:tcW w:type="dxa" w:w="400"/>
            <w:tcBorders>
              <w:top w:val="none" w:color="FFFFFF" w:sz="0"/>
              <w:left w:val="none" w:color="FFFFFF" w:sz="0"/>
              <w:bottom w:val="none" w:color="FFFFFF" w:sz="0"/>
              <w:right w:val="none" w:color="FFFFFF" w:sz="0"/>
            </w:tcBorders>
            <w:shd w:fill="FFFFFF" w:val="clear"/>
            <w:tcMar>
              <w:top w:type="dxa" w:w="80"/>
              <w:left w:type="dxa" w:w="120"/>
              <w:bottom w:type="dxa" w:w="80"/>
              <w:right w:type="dxa" w:w="60"/>
            </w:tcMar>
          </w:tcPr>
          <w:p>
            <w:pPr>
              <w:jc w:val="center"/>
            </w:pPr>
            <w:r>
              <w:rPr>
                <w:rFonts w:ascii="Arial" w:cs="Arial" w:eastAsia="Arial" w:hAnsi="Arial"/>
                <w:sz w:val="24"/>
                <w:szCs w:val="24"/>
              </w:rPr>
              <w:t xml:space="preserve">☐</w:t>
            </w:r>
          </w:p>
        </w:tc>
        <w:tc>
          <w:tcPr>
            <w:tcW w:type="dxa" w:w="2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tcPr>
          <w:p>
            <w:r>
              <w:rPr>
                <w:rFonts w:ascii="Arial" w:cs="Arial" w:eastAsia="Arial" w:hAnsi="Arial"/>
                <w:b/>
                <w:bCs/>
                <w:color w:val="1B2F4E"/>
                <w:sz w:val="21"/>
                <w:szCs w:val="21"/>
              </w:rPr>
              <w:t xml:space="preserve">Publish Arxiv technical paper</w:t>
            </w:r>
          </w:p>
        </w:tc>
        <w:tc>
          <w:tcPr>
            <w:tcW w:type="dxa" w:w="6560"/>
            <w:tcBorders>
              <w:top w:val="none" w:color="FFFFFF" w:sz="0"/>
              <w:left w:val="none" w:color="FFFFFF" w:sz="0"/>
              <w:bottom w:val="none" w:color="FFFFFF" w:sz="0"/>
              <w:right w:val="none" w:color="FFFFFF" w:sz="0"/>
            </w:tcBorders>
            <w:shd w:fill="FFFFFF" w:val="clear"/>
            <w:tcMar>
              <w:top w:type="dxa" w:w="80"/>
              <w:left w:type="dxa" w:w="60"/>
              <w:bottom w:type="dxa" w:w="80"/>
              <w:right w:type="dxa" w:w="120"/>
            </w:tcMar>
          </w:tcPr>
          <w:p>
            <w:r>
              <w:rPr>
                <w:rFonts w:ascii="Arial" w:cs="Arial" w:eastAsia="Arial" w:hAnsi="Arial"/>
                <w:color w:val="475569"/>
                <w:sz w:val="20"/>
                <w:szCs w:val="20"/>
              </w:rPr>
              <w:t xml:space="preserve">Free — defensive publication, prior art — before or at launch</w:t>
            </w:r>
          </w:p>
        </w:tc>
      </w:tr>
      <w:tr>
        <w:tc>
          <w:tcPr>
            <w:tcW w:type="dxa" w:w="400"/>
            <w:tcBorders>
              <w:top w:val="none" w:color="FFFFFF" w:sz="0"/>
              <w:left w:val="none" w:color="FFFFFF" w:sz="0"/>
              <w:bottom w:val="none" w:color="FFFFFF" w:sz="0"/>
              <w:right w:val="none" w:color="FFFFFF" w:sz="0"/>
            </w:tcBorders>
            <w:shd w:fill="F8FAFC" w:val="clear"/>
            <w:tcMar>
              <w:top w:type="dxa" w:w="80"/>
              <w:left w:type="dxa" w:w="120"/>
              <w:bottom w:type="dxa" w:w="80"/>
              <w:right w:type="dxa" w:w="60"/>
            </w:tcMar>
          </w:tcPr>
          <w:p>
            <w:pPr>
              <w:jc w:val="center"/>
            </w:pPr>
            <w:r>
              <w:rPr>
                <w:rFonts w:ascii="Arial" w:cs="Arial" w:eastAsia="Arial" w:hAnsi="Arial"/>
                <w:sz w:val="24"/>
                <w:szCs w:val="24"/>
              </w:rPr>
              <w:t xml:space="preserve">☐</w:t>
            </w:r>
          </w:p>
        </w:tc>
        <w:tc>
          <w:tcPr>
            <w:tcW w:type="dxa" w:w="2400"/>
            <w:tcBorders>
              <w:top w:val="none" w:color="FFFFFF" w:sz="0"/>
              <w:left w:val="none" w:color="FFFFFF" w:sz="0"/>
              <w:bottom w:val="none" w:color="FFFFFF" w:sz="0"/>
              <w:right w:val="none" w:color="FFFFFF" w:sz="0"/>
            </w:tcBorders>
            <w:shd w:fill="F8FAFC" w:val="clear"/>
            <w:tcMar>
              <w:top w:type="dxa" w:w="80"/>
              <w:left w:type="dxa" w:w="60"/>
              <w:bottom w:type="dxa" w:w="80"/>
              <w:right w:type="dxa" w:w="60"/>
            </w:tcMar>
          </w:tcPr>
          <w:p>
            <w:r>
              <w:rPr>
                <w:rFonts w:ascii="Arial" w:cs="Arial" w:eastAsia="Arial" w:hAnsi="Arial"/>
                <w:b/>
                <w:bCs/>
                <w:color w:val="1B2F4E"/>
                <w:sz w:val="21"/>
                <w:szCs w:val="21"/>
              </w:rPr>
              <w:t xml:space="preserve">File EUIPO trademark</w:t>
            </w:r>
          </w:p>
        </w:tc>
        <w:tc>
          <w:tcPr>
            <w:tcW w:type="dxa" w:w="6560"/>
            <w:tcBorders>
              <w:top w:val="none" w:color="FFFFFF" w:sz="0"/>
              <w:left w:val="none" w:color="FFFFFF" w:sz="0"/>
              <w:bottom w:val="none" w:color="FFFFFF" w:sz="0"/>
              <w:right w:val="none" w:color="FFFFFF" w:sz="0"/>
            </w:tcBorders>
            <w:shd w:fill="F8FAFC" w:val="clear"/>
            <w:tcMar>
              <w:top w:type="dxa" w:w="80"/>
              <w:left w:type="dxa" w:w="60"/>
              <w:bottom w:type="dxa" w:w="80"/>
              <w:right w:type="dxa" w:w="120"/>
            </w:tcMar>
          </w:tcPr>
          <w:p>
            <w:r>
              <w:rPr>
                <w:rFonts w:ascii="Arial" w:cs="Arial" w:eastAsia="Arial" w:hAnsi="Arial"/>
                <w:color w:val="475569"/>
                <w:sz w:val="20"/>
                <w:szCs w:val="20"/>
              </w:rPr>
              <w:t xml:space="preserve">€850 one-time — 27 EU countries — at first revenue</w:t>
            </w:r>
          </w:p>
        </w:tc>
      </w:tr>
      <w:tr>
        <w:tc>
          <w:tcPr>
            <w:tcW w:type="dxa" w:w="400"/>
            <w:tcBorders>
              <w:top w:val="none" w:color="FFFFFF" w:sz="0"/>
              <w:left w:val="none" w:color="FFFFFF" w:sz="0"/>
              <w:bottom w:val="none" w:color="FFFFFF" w:sz="0"/>
              <w:right w:val="none" w:color="FFFFFF" w:sz="0"/>
            </w:tcBorders>
            <w:shd w:fill="FFFFFF" w:val="clear"/>
            <w:tcMar>
              <w:top w:type="dxa" w:w="80"/>
              <w:left w:type="dxa" w:w="120"/>
              <w:bottom w:type="dxa" w:w="80"/>
              <w:right w:type="dxa" w:w="60"/>
            </w:tcMar>
          </w:tcPr>
          <w:p>
            <w:pPr>
              <w:jc w:val="center"/>
            </w:pPr>
            <w:r>
              <w:rPr>
                <w:rFonts w:ascii="Arial" w:cs="Arial" w:eastAsia="Arial" w:hAnsi="Arial"/>
                <w:sz w:val="24"/>
                <w:szCs w:val="24"/>
              </w:rPr>
              <w:t xml:space="preserve">☐</w:t>
            </w:r>
          </w:p>
        </w:tc>
        <w:tc>
          <w:tcPr>
            <w:tcW w:type="dxa" w:w="2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tcPr>
          <w:p>
            <w:r>
              <w:rPr>
                <w:rFonts w:ascii="Arial" w:cs="Arial" w:eastAsia="Arial" w:hAnsi="Arial"/>
                <w:b/>
                <w:bCs/>
                <w:color w:val="1B2F4E"/>
                <w:sz w:val="21"/>
                <w:szCs w:val="21"/>
              </w:rPr>
              <w:t xml:space="preserve">Add CONTRIBUTORS/CLA note</w:t>
            </w:r>
          </w:p>
        </w:tc>
        <w:tc>
          <w:tcPr>
            <w:tcW w:type="dxa" w:w="6560"/>
            <w:tcBorders>
              <w:top w:val="none" w:color="FFFFFF" w:sz="0"/>
              <w:left w:val="none" w:color="FFFFFF" w:sz="0"/>
              <w:bottom w:val="none" w:color="FFFFFF" w:sz="0"/>
              <w:right w:val="none" w:color="FFFFFF" w:sz="0"/>
            </w:tcBorders>
            <w:shd w:fill="FFFFFF" w:val="clear"/>
            <w:tcMar>
              <w:top w:type="dxa" w:w="80"/>
              <w:left w:type="dxa" w:w="60"/>
              <w:bottom w:type="dxa" w:w="80"/>
              <w:right w:type="dxa" w:w="120"/>
            </w:tcMar>
          </w:tcPr>
          <w:p>
            <w:r>
              <w:rPr>
                <w:rFonts w:ascii="Arial" w:cs="Arial" w:eastAsia="Arial" w:hAnsi="Arial"/>
                <w:color w:val="475569"/>
                <w:sz w:val="20"/>
                <w:szCs w:val="20"/>
              </w:rPr>
              <w:t xml:space="preserve">Free — before first external contributor</w:t>
            </w:r>
          </w:p>
        </w:tc>
      </w:tr>
      <w:tr>
        <w:tc>
          <w:tcPr>
            <w:tcW w:type="dxa" w:w="400"/>
            <w:tcBorders>
              <w:top w:val="none" w:color="FFFFFF" w:sz="0"/>
              <w:left w:val="none" w:color="FFFFFF" w:sz="0"/>
              <w:bottom w:val="none" w:color="FFFFFF" w:sz="0"/>
              <w:right w:val="none" w:color="FFFFFF" w:sz="0"/>
            </w:tcBorders>
            <w:shd w:fill="F8FAFC" w:val="clear"/>
            <w:tcMar>
              <w:top w:type="dxa" w:w="80"/>
              <w:left w:type="dxa" w:w="120"/>
              <w:bottom w:type="dxa" w:w="80"/>
              <w:right w:type="dxa" w:w="60"/>
            </w:tcMar>
          </w:tcPr>
          <w:p>
            <w:pPr>
              <w:jc w:val="center"/>
            </w:pPr>
            <w:r>
              <w:rPr>
                <w:rFonts w:ascii="Arial" w:cs="Arial" w:eastAsia="Arial" w:hAnsi="Arial"/>
                <w:sz w:val="24"/>
                <w:szCs w:val="24"/>
              </w:rPr>
              <w:t xml:space="preserve">☐</w:t>
            </w:r>
          </w:p>
        </w:tc>
        <w:tc>
          <w:tcPr>
            <w:tcW w:type="dxa" w:w="2400"/>
            <w:tcBorders>
              <w:top w:val="none" w:color="FFFFFF" w:sz="0"/>
              <w:left w:val="none" w:color="FFFFFF" w:sz="0"/>
              <w:bottom w:val="none" w:color="FFFFFF" w:sz="0"/>
              <w:right w:val="none" w:color="FFFFFF" w:sz="0"/>
            </w:tcBorders>
            <w:shd w:fill="F8FAFC" w:val="clear"/>
            <w:tcMar>
              <w:top w:type="dxa" w:w="80"/>
              <w:left w:type="dxa" w:w="60"/>
              <w:bottom w:type="dxa" w:w="80"/>
              <w:right w:type="dxa" w:w="60"/>
            </w:tcMar>
          </w:tcPr>
          <w:p>
            <w:r>
              <w:rPr>
                <w:rFonts w:ascii="Arial" w:cs="Arial" w:eastAsia="Arial" w:hAnsi="Arial"/>
                <w:b/>
                <w:bCs/>
                <w:color w:val="1B2F4E"/>
                <w:sz w:val="21"/>
                <w:szCs w:val="21"/>
              </w:rPr>
              <w:t xml:space="preserve">Create commercial license page</w:t>
            </w:r>
          </w:p>
        </w:tc>
        <w:tc>
          <w:tcPr>
            <w:tcW w:type="dxa" w:w="6560"/>
            <w:tcBorders>
              <w:top w:val="none" w:color="FFFFFF" w:sz="0"/>
              <w:left w:val="none" w:color="FFFFFF" w:sz="0"/>
              <w:bottom w:val="none" w:color="FFFFFF" w:sz="0"/>
              <w:right w:val="none" w:color="FFFFFF" w:sz="0"/>
            </w:tcBorders>
            <w:shd w:fill="F8FAFC" w:val="clear"/>
            <w:tcMar>
              <w:top w:type="dxa" w:w="80"/>
              <w:left w:type="dxa" w:w="60"/>
              <w:bottom w:type="dxa" w:w="80"/>
              <w:right w:type="dxa" w:w="120"/>
            </w:tcMar>
          </w:tcPr>
          <w:p>
            <w:r>
              <w:rPr>
                <w:rFonts w:ascii="Arial" w:cs="Arial" w:eastAsia="Arial" w:hAnsi="Arial"/>
                <w:color w:val="475569"/>
                <w:sz w:val="20"/>
                <w:szCs w:val="20"/>
              </w:rPr>
              <w:t xml:space="preserve">Free — on website — before first company user</w:t>
            </w:r>
          </w:p>
        </w:tc>
      </w:tr>
      <w:tr>
        <w:tc>
          <w:tcPr>
            <w:tcW w:type="dxa" w:w="400"/>
            <w:tcBorders>
              <w:top w:val="none" w:color="FFFFFF" w:sz="0"/>
              <w:left w:val="none" w:color="FFFFFF" w:sz="0"/>
              <w:bottom w:val="none" w:color="FFFFFF" w:sz="0"/>
              <w:right w:val="none" w:color="FFFFFF" w:sz="0"/>
            </w:tcBorders>
            <w:shd w:fill="FFFFFF" w:val="clear"/>
            <w:tcMar>
              <w:top w:type="dxa" w:w="80"/>
              <w:left w:type="dxa" w:w="120"/>
              <w:bottom w:type="dxa" w:w="80"/>
              <w:right w:type="dxa" w:w="60"/>
            </w:tcMar>
          </w:tcPr>
          <w:p>
            <w:pPr>
              <w:jc w:val="center"/>
            </w:pPr>
            <w:r>
              <w:rPr>
                <w:rFonts w:ascii="Arial" w:cs="Arial" w:eastAsia="Arial" w:hAnsi="Arial"/>
                <w:sz w:val="24"/>
                <w:szCs w:val="24"/>
              </w:rPr>
              <w:t xml:space="preserve">☐</w:t>
            </w:r>
          </w:p>
        </w:tc>
        <w:tc>
          <w:tcPr>
            <w:tcW w:type="dxa" w:w="24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tcPr>
          <w:p>
            <w:r>
              <w:rPr>
                <w:rFonts w:ascii="Arial" w:cs="Arial" w:eastAsia="Arial" w:hAnsi="Arial"/>
                <w:b/>
                <w:bCs/>
                <w:color w:val="1B2F4E"/>
                <w:sz w:val="21"/>
                <w:szCs w:val="21"/>
              </w:rPr>
              <w:t xml:space="preserve">Register lokaflow.eu (optional)</w:t>
            </w:r>
          </w:p>
        </w:tc>
        <w:tc>
          <w:tcPr>
            <w:tcW w:type="dxa" w:w="6560"/>
            <w:tcBorders>
              <w:top w:val="none" w:color="FFFFFF" w:sz="0"/>
              <w:left w:val="none" w:color="FFFFFF" w:sz="0"/>
              <w:bottom w:val="none" w:color="FFFFFF" w:sz="0"/>
              <w:right w:val="none" w:color="FFFFFF" w:sz="0"/>
            </w:tcBorders>
            <w:shd w:fill="FFFFFF" w:val="clear"/>
            <w:tcMar>
              <w:top w:type="dxa" w:w="80"/>
              <w:left w:type="dxa" w:w="60"/>
              <w:bottom w:type="dxa" w:w="80"/>
              <w:right w:type="dxa" w:w="120"/>
            </w:tcMar>
          </w:tcPr>
          <w:p>
            <w:r>
              <w:rPr>
                <w:rFonts w:ascii="Arial" w:cs="Arial" w:eastAsia="Arial" w:hAnsi="Arial"/>
                <w:color w:val="475569"/>
                <w:sz w:val="20"/>
                <w:szCs w:val="20"/>
              </w:rPr>
              <w:t xml:space="preserve">€8–12/yr — EU market signal — when you have revenue</w:t>
            </w:r>
          </w:p>
        </w:tc>
      </w:tr>
      <w:tr>
        <w:tc>
          <w:tcPr>
            <w:tcW w:type="dxa" w:w="400"/>
            <w:tcBorders>
              <w:top w:val="none" w:color="FFFFFF" w:sz="0"/>
              <w:left w:val="none" w:color="FFFFFF" w:sz="0"/>
              <w:bottom w:val="none" w:color="FFFFFF" w:sz="0"/>
              <w:right w:val="none" w:color="FFFFFF" w:sz="0"/>
            </w:tcBorders>
            <w:shd w:fill="F8FAFC" w:val="clear"/>
            <w:tcMar>
              <w:top w:type="dxa" w:w="80"/>
              <w:left w:type="dxa" w:w="120"/>
              <w:bottom w:type="dxa" w:w="80"/>
              <w:right w:type="dxa" w:w="60"/>
            </w:tcMar>
          </w:tcPr>
          <w:p>
            <w:pPr>
              <w:jc w:val="center"/>
            </w:pPr>
            <w:r>
              <w:rPr>
                <w:rFonts w:ascii="Arial" w:cs="Arial" w:eastAsia="Arial" w:hAnsi="Arial"/>
                <w:sz w:val="24"/>
                <w:szCs w:val="24"/>
              </w:rPr>
              <w:t xml:space="preserve">☐</w:t>
            </w:r>
          </w:p>
        </w:tc>
        <w:tc>
          <w:tcPr>
            <w:tcW w:type="dxa" w:w="2400"/>
            <w:tcBorders>
              <w:top w:val="none" w:color="FFFFFF" w:sz="0"/>
              <w:left w:val="none" w:color="FFFFFF" w:sz="0"/>
              <w:bottom w:val="none" w:color="FFFFFF" w:sz="0"/>
              <w:right w:val="none" w:color="FFFFFF" w:sz="0"/>
            </w:tcBorders>
            <w:shd w:fill="F8FAFC" w:val="clear"/>
            <w:tcMar>
              <w:top w:type="dxa" w:w="80"/>
              <w:left w:type="dxa" w:w="60"/>
              <w:bottom w:type="dxa" w:w="80"/>
              <w:right w:type="dxa" w:w="60"/>
            </w:tcMar>
          </w:tcPr>
          <w:p>
            <w:r>
              <w:rPr>
                <w:rFonts w:ascii="Arial" w:cs="Arial" w:eastAsia="Arial" w:hAnsi="Arial"/>
                <w:b/>
                <w:bCs/>
                <w:color w:val="1B2F4E"/>
                <w:sz w:val="21"/>
                <w:szCs w:val="21"/>
              </w:rPr>
              <w:t xml:space="preserve">UK trademark filing (optional)</w:t>
            </w:r>
          </w:p>
        </w:tc>
        <w:tc>
          <w:tcPr>
            <w:tcW w:type="dxa" w:w="6560"/>
            <w:tcBorders>
              <w:top w:val="none" w:color="FFFFFF" w:sz="0"/>
              <w:left w:val="none" w:color="FFFFFF" w:sz="0"/>
              <w:bottom w:val="none" w:color="FFFFFF" w:sz="0"/>
              <w:right w:val="none" w:color="FFFFFF" w:sz="0"/>
            </w:tcBorders>
            <w:shd w:fill="F8FAFC" w:val="clear"/>
            <w:tcMar>
              <w:top w:type="dxa" w:w="80"/>
              <w:left w:type="dxa" w:w="60"/>
              <w:bottom w:type="dxa" w:w="80"/>
              <w:right w:type="dxa" w:w="120"/>
            </w:tcMar>
          </w:tcPr>
          <w:p>
            <w:r>
              <w:rPr>
                <w:rFonts w:ascii="Arial" w:cs="Arial" w:eastAsia="Arial" w:hAnsi="Arial"/>
                <w:color w:val="475569"/>
                <w:sz w:val="20"/>
                <w:szCs w:val="20"/>
              </w:rPr>
              <w:t xml:space="preserve">£170 — if UK market is a priority — after EUIPO filed</w:t>
            </w:r>
          </w:p>
        </w:tc>
      </w:tr>
    </w:tbl>
    <w:p>
      <w:pPr>
        <w:spacing w:after="280" w:before="0"/>
      </w:pPr>
    </w:p>
    <w:p>
      <w:pPr>
        <w:pStyle w:val="Heading1"/>
        <w:spacing w:after="200" w:before="480"/>
      </w:pPr>
      <w:r>
        <w:rPr>
          <w:rFonts w:ascii="Arial" w:cs="Arial" w:eastAsia="Arial" w:hAnsi="Arial"/>
          <w:b/>
          <w:bCs/>
          <w:color w:val="1B2F4E"/>
          <w:sz w:val="40"/>
          <w:szCs w:val="40"/>
        </w:rPr>
        <w:t xml:space="preserve">3. Step-by-Step Registration Guide</w:t>
      </w:r>
    </w:p>
    <w:p>
      <w:pPr>
        <w:pBdr>
          <w:bottom w:val="single" w:color="0F766E" w:sz="6" w:space="1"/>
        </w:pBdr>
        <w:spacing w:after="160" w:before="160"/>
      </w:pP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766E" w:val="clear"/>
            <w:tcMar>
              <w:top w:type="dxa" w:w="120"/>
              <w:left w:type="dxa" w:w="180"/>
              <w:bottom w:type="dxa" w:w="120"/>
              <w:right w:type="dxa" w:w="180"/>
            </w:tcMar>
          </w:tcPr>
          <w:p>
            <w:r>
              <w:rPr>
                <w:rFonts w:ascii="Arial" w:cs="Arial" w:eastAsia="Arial" w:hAnsi="Arial"/>
                <w:b/>
                <w:bCs/>
                <w:color w:val="FFFFFF"/>
                <w:sz w:val="18"/>
                <w:szCs w:val="18"/>
              </w:rPr>
              <w:t xml:space="preserve">STEP 1</w:t>
            </w:r>
          </w:p>
          <w:p>
            <w:r>
              <w:rPr>
                <w:rFonts w:ascii="Arial" w:cs="Arial" w:eastAsia="Arial" w:hAnsi="Arial"/>
                <w:b/>
                <w:bCs/>
                <w:color w:val="FFFFFF"/>
                <w:sz w:val="26"/>
                <w:szCs w:val="26"/>
              </w:rPr>
              <w:t xml:space="preserve">Register Domains (Today — €15–20)</w:t>
            </w:r>
          </w:p>
        </w:tc>
      </w:tr>
      <w:tr>
        <w:tc>
          <w:tcPr>
            <w:tcBorders>
              <w:top w:val="none" w:color="FFFFFF" w:sz="0"/>
              <w:left w:val="single" w:color="0F766E" w:sz="8"/>
              <w:bottom w:val="single" w:color="CBD5E1" w:sz="1"/>
              <w:right w:val="none" w:color="FFFFFF" w:sz="0"/>
            </w:tcBorders>
            <w:shd w:fill="FFFFFF" w:val="clear"/>
            <w:tcMar>
              <w:top w:type="dxa" w:w="160"/>
              <w:left w:type="dxa" w:w="200"/>
              <w:bottom w:type="dxa" w:w="160"/>
              <w:right w:type="dxa" w:w="200"/>
            </w:tcMar>
          </w:tcPr>
          <w:p>
            <w:pPr>
              <w:spacing w:after="100" w:before="200"/>
            </w:pPr>
            <w:r>
              <w:rPr>
                <w:rFonts w:ascii="Arial" w:cs="Arial" w:eastAsia="Arial" w:hAnsi="Arial"/>
                <w:b/>
                <w:bCs/>
                <w:color w:val="1B2F4E"/>
                <w:sz w:val="24"/>
                <w:szCs w:val="24"/>
              </w:rPr>
              <w:t xml:space="preserve">Where to Register</w:t>
            </w:r>
          </w:p>
          <w:p>
            <w:pPr>
              <w:spacing w:after="80" w:before="80"/>
            </w:pPr>
            <w:r>
              <w:rPr>
                <w:rFonts w:ascii="Arial" w:cs="Arial" w:eastAsia="Arial" w:hAnsi="Arial"/>
                <w:sz w:val="22"/>
                <w:szCs w:val="22"/>
              </w:rPr>
              <w:t xml:space="preserve">Use Cloudflare Registrar (cloudflare.com/products/registrar) — they sell domains at cost price with no markup. Alternative: Namecheap.com. Avoid GoDaddy (high renewal prices) and any registrar that doesn't include free WHOIS privacy.</w:t>
            </w:r>
          </w:p>
          <w:p>
            <w:pPr>
              <w:spacing w:after="140" w:before="0"/>
            </w:pPr>
          </w:p>
          <w:p>
            <w:pPr>
              <w:spacing w:after="100" w:before="200"/>
            </w:pPr>
            <w:r>
              <w:rPr>
                <w:rFonts w:ascii="Arial" w:cs="Arial" w:eastAsia="Arial" w:hAnsi="Arial"/>
                <w:b/>
                <w:bCs/>
                <w:color w:val="1B2F4E"/>
                <w:sz w:val="24"/>
                <w:szCs w:val="24"/>
              </w:rPr>
              <w:t xml:space="preserve">What to Register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400"/>
              <w:gridCol w:w="3560"/>
            </w:tblGrid>
            <w:tr>
              <w:tc>
                <w:tcPr>
                  <w:tcW w:type="dxa" w:w="240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Domain</w:t>
                  </w:r>
                </w:p>
              </w:tc>
              <w:tc>
                <w:tcPr>
                  <w:tcW w:type="dxa" w:w="200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Registrar</w:t>
                  </w:r>
                </w:p>
              </w:tc>
              <w:tc>
                <w:tcPr>
                  <w:tcW w:type="dxa" w:w="140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Price/yr</w:t>
                  </w:r>
                </w:p>
              </w:tc>
              <w:tc>
                <w:tcPr>
                  <w:tcW w:type="dxa" w:w="356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Why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lokaflow.com</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Cloudflare / Namecheap</w:t>
                  </w:r>
                </w:p>
              </w:tc>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€10–12</w:t>
                  </w:r>
                </w:p>
              </w:tc>
              <w:tc>
                <w:tcPr>
                  <w:tcW w:type="dxa" w:w="3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Primary domain — most credible for global users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lokaflow.nl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Cloudflare / Sidn.nl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€5–8</w:t>
                  </w:r>
                </w:p>
              </w:tc>
              <w:tc>
                <w:tcPr>
                  <w:tcW w:type="dxa" w:w="3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Netherlands home market — shows local roots</w:t>
                  </w:r>
                </w:p>
              </w:tc>
            </w:tr>
          </w:tbl>
          <w:p>
            <w:pPr>
              <w:spacing w:after="140" w:before="0"/>
            </w:pPr>
          </w:p>
          <w:p>
            <w:pPr>
              <w:spacing w:after="100" w:before="200"/>
            </w:pPr>
            <w:r>
              <w:rPr>
                <w:rFonts w:ascii="Arial" w:cs="Arial" w:eastAsia="Arial" w:hAnsi="Arial"/>
                <w:b/>
                <w:bCs/>
                <w:color w:val="1B2F4E"/>
                <w:sz w:val="24"/>
                <w:szCs w:val="24"/>
              </w:rPr>
              <w:t xml:space="preserve">Registration Settings — Set These for Every Domain</w:t>
            </w:r>
          </w:p>
          <w:p>
            <w:pPr>
              <w:pStyle w:val="ListParagraph"/>
              <w:numPr>
                <w:ilvl w:val="0"/>
                <w:numId w:val="2"/>
              </w:numPr>
              <w:spacing w:after="60" w:before="60"/>
            </w:pPr>
            <w:r>
              <w:rPr>
                <w:rFonts w:ascii="Arial" w:cs="Arial" w:eastAsia="Arial" w:hAnsi="Arial"/>
                <w:b w:val="false"/>
                <w:bCs w:val="false"/>
                <w:sz w:val="22"/>
                <w:szCs w:val="22"/>
              </w:rPr>
              <w:t xml:space="preserve">WHOIS Privacy: ON — hides your personal address from public database</w:t>
            </w:r>
          </w:p>
          <w:p>
            <w:pPr>
              <w:pStyle w:val="ListParagraph"/>
              <w:numPr>
                <w:ilvl w:val="0"/>
                <w:numId w:val="2"/>
              </w:numPr>
              <w:spacing w:after="60" w:before="60"/>
            </w:pPr>
            <w:r>
              <w:rPr>
                <w:rFonts w:ascii="Arial" w:cs="Arial" w:eastAsia="Arial" w:hAnsi="Arial"/>
                <w:b w:val="false"/>
                <w:bCs w:val="false"/>
                <w:sz w:val="22"/>
                <w:szCs w:val="22"/>
              </w:rPr>
              <w:t xml:space="preserve">Auto-renew: ON — never accidentally lose the domain</w:t>
            </w:r>
          </w:p>
          <w:p>
            <w:pPr>
              <w:pStyle w:val="ListParagraph"/>
              <w:numPr>
                <w:ilvl w:val="0"/>
                <w:numId w:val="2"/>
              </w:numPr>
              <w:spacing w:after="60" w:before="60"/>
            </w:pPr>
            <w:r>
              <w:rPr>
                <w:rFonts w:ascii="Arial" w:cs="Arial" w:eastAsia="Arial" w:hAnsi="Arial"/>
                <w:b w:val="false"/>
                <w:bCs w:val="false"/>
                <w:sz w:val="22"/>
                <w:szCs w:val="22"/>
              </w:rPr>
              <w:t xml:space="preserve">Domain Lock: ON — prevents unauthorized transfers</w:t>
            </w:r>
          </w:p>
          <w:p>
            <w:pPr>
              <w:pStyle w:val="ListParagraph"/>
              <w:numPr>
                <w:ilvl w:val="0"/>
                <w:numId w:val="2"/>
              </w:numPr>
              <w:spacing w:after="60" w:before="60"/>
            </w:pPr>
            <w:r>
              <w:rPr>
                <w:rFonts w:ascii="Arial" w:cs="Arial" w:eastAsia="Arial" w:hAnsi="Arial"/>
                <w:b w:val="false"/>
                <w:bCs w:val="false"/>
                <w:sz w:val="22"/>
                <w:szCs w:val="22"/>
              </w:rPr>
              <w:t xml:space="preserve">Nameservers: Set to Cloudflare if using Cloudflare Registrar — fastest DNS globally</w:t>
            </w:r>
          </w:p>
          <w:p>
            <w:pPr>
              <w:spacing w:after="140" w:before="0"/>
            </w:pPr>
          </w:p>
          <w:p>
            <w:pPr>
              <w:spacing w:after="100" w:before="200"/>
            </w:pPr>
            <w:r>
              <w:rPr>
                <w:rFonts w:ascii="Arial" w:cs="Arial" w:eastAsia="Arial" w:hAnsi="Arial"/>
                <w:b/>
                <w:bCs/>
                <w:color w:val="1B2F4E"/>
                <w:sz w:val="24"/>
                <w:szCs w:val="24"/>
              </w:rPr>
              <w:t xml:space="preserve">After Registration</w:t>
            </w:r>
          </w:p>
          <w:p>
            <w:pPr>
              <w:spacing w:after="80" w:before="80"/>
            </w:pPr>
            <w:r>
              <w:rPr>
                <w:rFonts w:ascii="Arial" w:cs="Arial" w:eastAsia="Arial" w:hAnsi="Arial"/>
                <w:sz w:val="22"/>
                <w:szCs w:val="22"/>
              </w:rPr>
              <w:t xml:space="preserve">Point both domains to a simple one-page 'Coming Soon' page immediately. Even a blank page with 'LokaFlow™ — by LearnHubPlay BV — Coming Soon' is enough. This establishes first use on the web with a timestamp.</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5803D" w:sz="12"/>
                    <w:bottom w:val="none" w:color="FFFFFF" w:sz="0"/>
                    <w:right w:val="none" w:color="FFFFFF" w:sz="0"/>
                  </w:tcBorders>
                  <w:shd w:fill="DCFCE7" w:val="clear"/>
                  <w:tcMar>
                    <w:top w:type="dxa" w:w="160"/>
                    <w:left w:type="dxa" w:w="220"/>
                    <w:bottom w:type="dxa" w:w="160"/>
                    <w:right w:type="dxa" w:w="220"/>
                  </w:tcMar>
                </w:tcPr>
                <w:p>
                  <w:pPr>
                    <w:spacing w:after="80" w:before="80"/>
                  </w:pPr>
                  <w:r>
                    <w:rPr>
                      <w:rFonts w:ascii="Arial" w:cs="Arial" w:eastAsia="Arial" w:hAnsi="Arial"/>
                      <w:color w:val="15803D"/>
                      <w:sz w:val="22"/>
                      <w:szCs w:val="22"/>
                    </w:rPr>
                    <w:t xml:space="preserve">Total cost: €15–20 for the first year. This is the single most important action — do it before anything else.</w:t>
                  </w:r>
                </w:p>
              </w:tc>
            </w:tr>
          </w:tbl>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F4E" w:val="clear"/>
            <w:tcMar>
              <w:top w:type="dxa" w:w="120"/>
              <w:left w:type="dxa" w:w="180"/>
              <w:bottom w:type="dxa" w:w="120"/>
              <w:right w:type="dxa" w:w="180"/>
            </w:tcMar>
          </w:tcPr>
          <w:p>
            <w:r>
              <w:rPr>
                <w:rFonts w:ascii="Arial" w:cs="Arial" w:eastAsia="Arial" w:hAnsi="Arial"/>
                <w:b/>
                <w:bCs/>
                <w:color w:val="FFFFFF"/>
                <w:sz w:val="18"/>
                <w:szCs w:val="18"/>
              </w:rPr>
              <w:t xml:space="preserve">STEP 2</w:t>
            </w:r>
          </w:p>
          <w:p>
            <w:r>
              <w:rPr>
                <w:rFonts w:ascii="Arial" w:cs="Arial" w:eastAsia="Arial" w:hAnsi="Arial"/>
                <w:b/>
                <w:bCs/>
                <w:color w:val="FFFFFF"/>
                <w:sz w:val="26"/>
                <w:szCs w:val="26"/>
              </w:rPr>
              <w:t xml:space="preserve">Add Copyright &amp; License to GitHub (Today — Free)</w:t>
            </w:r>
          </w:p>
        </w:tc>
      </w:tr>
      <w:tr>
        <w:tc>
          <w:tcPr>
            <w:tcBorders>
              <w:top w:val="none" w:color="FFFFFF" w:sz="0"/>
              <w:left w:val="single" w:color="1B2F4E" w:sz="8"/>
              <w:bottom w:val="single" w:color="CBD5E1" w:sz="1"/>
              <w:right w:val="none" w:color="FFFFFF" w:sz="0"/>
            </w:tcBorders>
            <w:shd w:fill="FFFFFF" w:val="clear"/>
            <w:tcMar>
              <w:top w:type="dxa" w:w="160"/>
              <w:left w:type="dxa" w:w="200"/>
              <w:bottom w:type="dxa" w:w="160"/>
              <w:right w:type="dxa" w:w="200"/>
            </w:tcMar>
          </w:tcPr>
          <w:p>
            <w:pPr>
              <w:spacing w:after="100" w:before="200"/>
            </w:pPr>
            <w:r>
              <w:rPr>
                <w:rFonts w:ascii="Arial" w:cs="Arial" w:eastAsia="Arial" w:hAnsi="Arial"/>
                <w:b/>
                <w:bCs/>
                <w:color w:val="1B2F4E"/>
                <w:sz w:val="24"/>
                <w:szCs w:val="24"/>
              </w:rPr>
              <w:t xml:space="preserve">Create COPYRIGHT.md</w:t>
            </w:r>
          </w:p>
          <w:p>
            <w:pPr>
              <w:spacing w:after="80" w:before="80"/>
            </w:pPr>
            <w:r>
              <w:rPr>
                <w:rFonts w:ascii="Arial" w:cs="Arial" w:eastAsia="Arial" w:hAnsi="Arial"/>
                <w:sz w:val="22"/>
                <w:szCs w:val="22"/>
              </w:rPr>
              <w:t xml:space="preserve">Create this file in the root of your GitHub repository:</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8FAFC" w:val="clear"/>
                  <w:tcMar>
                    <w:top w:type="dxa" w:w="160"/>
                    <w:left w:type="dxa" w:w="220"/>
                    <w:bottom w:type="dxa" w:w="160"/>
                    <w:right w:type="dxa" w:w="220"/>
                  </w:tcMar>
                </w:tcPr>
                <w:p>
                  <w:pPr>
                    <w:spacing w:after="60" w:before="60"/>
                  </w:pPr>
                  <w:r>
                    <w:rPr>
                      <w:rFonts w:ascii="Courier New" w:cs="Courier New" w:eastAsia="Courier New" w:hAnsi="Courier New"/>
                      <w:color w:val="1E293B"/>
                      <w:sz w:val="20"/>
                      <w:szCs w:val="20"/>
                    </w:rPr>
                    <w:t xml:space="preserve"># LokaFlow™ — Copyright Notice</w:t>
                  </w:r>
                </w:p>
                <w:p>
                  <w:pPr>
                    <w:spacing w:after="60" w:before="60"/>
                  </w:pPr>
                  <w:r>
                    <w:rPr>
                      <w:rFonts w:ascii="Courier New" w:cs="Courier New" w:eastAsia="Courier New" w:hAnsi="Courier New"/>
                      <w:color w:val="1E293B"/>
                      <w:sz w:val="20"/>
                      <w:szCs w:val="20"/>
                    </w:rPr>
                    <w:t xml:space="preserve"/>
                  </w:r>
                </w:p>
                <w:p>
                  <w:pPr>
                    <w:spacing w:after="60" w:before="60"/>
                  </w:pPr>
                  <w:r>
                    <w:rPr>
                      <w:rFonts w:ascii="Courier New" w:cs="Courier New" w:eastAsia="Courier New" w:hAnsi="Courier New"/>
                      <w:color w:val="1E293B"/>
                      <w:sz w:val="20"/>
                      <w:szCs w:val="20"/>
                    </w:rPr>
                    <w:t xml:space="preserve">Copyright (c) 2026 LearnHubPlay BV</w:t>
                  </w:r>
                </w:p>
                <w:p>
                  <w:pPr>
                    <w:spacing w:after="60" w:before="60"/>
                  </w:pPr>
                  <w:r>
                    <w:rPr>
                      <w:rFonts w:ascii="Courier New" w:cs="Courier New" w:eastAsia="Courier New" w:hAnsi="Courier New"/>
                      <w:color w:val="1E293B"/>
                      <w:sz w:val="20"/>
                      <w:szCs w:val="20"/>
                    </w:rPr>
                    <w:t xml:space="preserve">All rights reserved.</w:t>
                  </w:r>
                </w:p>
                <w:p>
                  <w:pPr>
                    <w:spacing w:after="60" w:before="60"/>
                  </w:pPr>
                  <w:r>
                    <w:rPr>
                      <w:rFonts w:ascii="Courier New" w:cs="Courier New" w:eastAsia="Courier New" w:hAnsi="Courier New"/>
                      <w:color w:val="1E293B"/>
                      <w:sz w:val="20"/>
                      <w:szCs w:val="20"/>
                    </w:rPr>
                    <w:t xml:space="preserve"/>
                  </w:r>
                </w:p>
                <w:p>
                  <w:pPr>
                    <w:spacing w:after="60" w:before="60"/>
                  </w:pPr>
                  <w:r>
                    <w:rPr>
                      <w:rFonts w:ascii="Courier New" w:cs="Courier New" w:eastAsia="Courier New" w:hAnsi="Courier New"/>
                      <w:color w:val="1E293B"/>
                      <w:sz w:val="20"/>
                      <w:szCs w:val="20"/>
                    </w:rPr>
                    <w:t xml:space="preserve">Company:        LearnHubPlay BV</w:t>
                  </w:r>
                </w:p>
                <w:p>
                  <w:pPr>
                    <w:spacing w:after="60" w:before="60"/>
                  </w:pPr>
                  <w:r>
                    <w:rPr>
                      <w:rFonts w:ascii="Courier New" w:cs="Courier New" w:eastAsia="Courier New" w:hAnsi="Courier New"/>
                      <w:color w:val="1E293B"/>
                      <w:sz w:val="20"/>
                      <w:szCs w:val="20"/>
                    </w:rPr>
                    <w:t xml:space="preserve">KvK Number:     [Your KvK registration number]</w:t>
                  </w:r>
                </w:p>
                <w:p>
                  <w:pPr>
                    <w:spacing w:after="60" w:before="60"/>
                  </w:pPr>
                  <w:r>
                    <w:rPr>
                      <w:rFonts w:ascii="Courier New" w:cs="Courier New" w:eastAsia="Courier New" w:hAnsi="Courier New"/>
                      <w:color w:val="1E293B"/>
                      <w:sz w:val="20"/>
                      <w:szCs w:val="20"/>
                    </w:rPr>
                    <w:t xml:space="preserve">Registered:     Netherlands</w:t>
                  </w:r>
                </w:p>
                <w:p>
                  <w:pPr>
                    <w:spacing w:after="60" w:before="60"/>
                  </w:pPr>
                  <w:r>
                    <w:rPr>
                      <w:rFonts w:ascii="Courier New" w:cs="Courier New" w:eastAsia="Courier New" w:hAnsi="Courier New"/>
                      <w:color w:val="1E293B"/>
                      <w:sz w:val="20"/>
                      <w:szCs w:val="20"/>
                    </w:rPr>
                    <w:t xml:space="preserve">Product:        LokaFlow™ Platform</w:t>
                  </w:r>
                </w:p>
                <w:p>
                  <w:pPr>
                    <w:spacing w:after="60" w:before="60"/>
                  </w:pPr>
                  <w:r>
                    <w:rPr>
                      <w:rFonts w:ascii="Courier New" w:cs="Courier New" w:eastAsia="Courier New" w:hAnsi="Courier New"/>
                      <w:color w:val="1E293B"/>
                      <w:sz w:val="20"/>
                      <w:szCs w:val="20"/>
                    </w:rPr>
                    <w:t xml:space="preserve">First Created:  February 2026</w:t>
                  </w:r>
                </w:p>
                <w:p>
                  <w:pPr>
                    <w:spacing w:after="60" w:before="60"/>
                  </w:pPr>
                  <w:r>
                    <w:rPr>
                      <w:rFonts w:ascii="Courier New" w:cs="Courier New" w:eastAsia="Courier New" w:hAnsi="Courier New"/>
                      <w:color w:val="1E293B"/>
                      <w:sz w:val="20"/>
                      <w:szCs w:val="20"/>
                    </w:rPr>
                    <w:t xml:space="preserve">Contact:        legal@learnhubplay.com</w:t>
                  </w:r>
                </w:p>
                <w:p>
                  <w:pPr>
                    <w:spacing w:after="60" w:before="60"/>
                  </w:pPr>
                  <w:r>
                    <w:rPr>
                      <w:rFonts w:ascii="Courier New" w:cs="Courier New" w:eastAsia="Courier New" w:hAnsi="Courier New"/>
                      <w:color w:val="1E293B"/>
                      <w:sz w:val="20"/>
                      <w:szCs w:val="20"/>
                    </w:rPr>
                    <w:t xml:space="preserve"/>
                  </w:r>
                </w:p>
                <w:p>
                  <w:pPr>
                    <w:spacing w:after="60" w:before="60"/>
                  </w:pPr>
                  <w:r>
                    <w:rPr>
                      <w:rFonts w:ascii="Courier New" w:cs="Courier New" w:eastAsia="Courier New" w:hAnsi="Courier New"/>
                      <w:color w:val="1E293B"/>
                      <w:sz w:val="20"/>
                      <w:szCs w:val="20"/>
                    </w:rPr>
                    <w:t xml:space="preserve">This work is protected by copyright law (Dutch Auteurswet</w:t>
                  </w:r>
                </w:p>
                <w:p>
                  <w:pPr>
                    <w:spacing w:after="60" w:before="60"/>
                  </w:pPr>
                  <w:r>
                    <w:rPr>
                      <w:rFonts w:ascii="Courier New" w:cs="Courier New" w:eastAsia="Courier New" w:hAnsi="Courier New"/>
                      <w:color w:val="1E293B"/>
                      <w:sz w:val="20"/>
                      <w:szCs w:val="20"/>
                    </w:rPr>
                    <w:t xml:space="preserve">and EU Copyright Directive 2019/790) and by the Business</w:t>
                  </w:r>
                </w:p>
                <w:p>
                  <w:pPr>
                    <w:spacing w:after="60" w:before="60"/>
                  </w:pPr>
                  <w:r>
                    <w:rPr>
                      <w:rFonts w:ascii="Courier New" w:cs="Courier New" w:eastAsia="Courier New" w:hAnsi="Courier New"/>
                      <w:color w:val="1E293B"/>
                      <w:sz w:val="20"/>
                      <w:szCs w:val="20"/>
                    </w:rPr>
                    <w:t xml:space="preserve">Source License 1.1. Unauthorized commercial use prohibited.</w:t>
                  </w:r>
                </w:p>
              </w:tc>
            </w:tr>
          </w:tbl>
          <w:p>
            <w:pPr>
              <w:spacing w:after="140" w:before="0"/>
            </w:pPr>
          </w:p>
          <w:p>
            <w:pPr>
              <w:spacing w:after="100" w:before="200"/>
            </w:pPr>
            <w:r>
              <w:rPr>
                <w:rFonts w:ascii="Arial" w:cs="Arial" w:eastAsia="Arial" w:hAnsi="Arial"/>
                <w:b/>
                <w:bCs/>
                <w:color w:val="1B2F4E"/>
                <w:sz w:val="24"/>
                <w:szCs w:val="24"/>
              </w:rPr>
              <w:t xml:space="preserve">Create LICENSE File</w:t>
            </w:r>
          </w:p>
          <w:p>
            <w:pPr>
              <w:spacing w:after="80" w:before="80"/>
            </w:pPr>
            <w:r>
              <w:rPr>
                <w:rFonts w:ascii="Arial" w:cs="Arial" w:eastAsia="Arial" w:hAnsi="Arial"/>
                <w:sz w:val="22"/>
                <w:szCs w:val="22"/>
              </w:rPr>
              <w:t xml:space="preserve">Copy the BUSL 1.1 template from mariadb.com/bsl11 and fill in these fields:</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8FAFC" w:val="clear"/>
                  <w:tcMar>
                    <w:top w:type="dxa" w:w="160"/>
                    <w:left w:type="dxa" w:w="220"/>
                    <w:bottom w:type="dxa" w:w="160"/>
                    <w:right w:type="dxa" w:w="220"/>
                  </w:tcMar>
                </w:tcPr>
                <w:p>
                  <w:pPr>
                    <w:spacing w:after="60" w:before="60"/>
                  </w:pPr>
                  <w:r>
                    <w:rPr>
                      <w:rFonts w:ascii="Courier New" w:cs="Courier New" w:eastAsia="Courier New" w:hAnsi="Courier New"/>
                      <w:color w:val="1E293B"/>
                      <w:sz w:val="20"/>
                      <w:szCs w:val="20"/>
                    </w:rPr>
                    <w:t xml:space="preserve">Business Source License 1.1</w:t>
                  </w:r>
                </w:p>
                <w:p>
                  <w:pPr>
                    <w:spacing w:after="60" w:before="60"/>
                  </w:pPr>
                  <w:r>
                    <w:rPr>
                      <w:rFonts w:ascii="Courier New" w:cs="Courier New" w:eastAsia="Courier New" w:hAnsi="Courier New"/>
                      <w:color w:val="1E293B"/>
                      <w:sz w:val="20"/>
                      <w:szCs w:val="20"/>
                    </w:rPr>
                    <w:t xml:space="preserve"/>
                  </w:r>
                </w:p>
                <w:p>
                  <w:pPr>
                    <w:spacing w:after="60" w:before="60"/>
                  </w:pPr>
                  <w:r>
                    <w:rPr>
                      <w:rFonts w:ascii="Courier New" w:cs="Courier New" w:eastAsia="Courier New" w:hAnsi="Courier New"/>
                      <w:color w:val="1E293B"/>
                      <w:sz w:val="20"/>
                      <w:szCs w:val="20"/>
                    </w:rPr>
                    <w:t xml:space="preserve">Licensor:          LearnHubPlay BV (KvK: [your number])</w:t>
                  </w:r>
                </w:p>
                <w:p>
                  <w:pPr>
                    <w:spacing w:after="60" w:before="60"/>
                  </w:pPr>
                  <w:r>
                    <w:rPr>
                      <w:rFonts w:ascii="Courier New" w:cs="Courier New" w:eastAsia="Courier New" w:hAnsi="Courier New"/>
                      <w:color w:val="1E293B"/>
                      <w:sz w:val="20"/>
                      <w:szCs w:val="20"/>
                    </w:rPr>
                    <w:t xml:space="preserve">                   Netherlands</w:t>
                  </w:r>
                </w:p>
                <w:p>
                  <w:pPr>
                    <w:spacing w:after="60" w:before="60"/>
                  </w:pPr>
                  <w:r>
                    <w:rPr>
                      <w:rFonts w:ascii="Courier New" w:cs="Courier New" w:eastAsia="Courier New" w:hAnsi="Courier New"/>
                      <w:color w:val="1E293B"/>
                      <w:sz w:val="20"/>
                      <w:szCs w:val="20"/>
                    </w:rPr>
                    <w:t xml:space="preserve">Licensed Work:     LokaFlow™ Platform</w:t>
                  </w:r>
                </w:p>
                <w:p>
                  <w:pPr>
                    <w:spacing w:after="60" w:before="60"/>
                  </w:pPr>
                  <w:r>
                    <w:rPr>
                      <w:rFonts w:ascii="Courier New" w:cs="Courier New" w:eastAsia="Courier New" w:hAnsi="Courier New"/>
                      <w:color w:val="1E293B"/>
                      <w:sz w:val="20"/>
                      <w:szCs w:val="20"/>
                    </w:rPr>
                    <w:t xml:space="preserve">                   © 2026 LearnHubPlay BV</w:t>
                  </w:r>
                </w:p>
                <w:p>
                  <w:pPr>
                    <w:spacing w:after="60" w:before="60"/>
                  </w:pPr>
                  <w:r>
                    <w:rPr>
                      <w:rFonts w:ascii="Courier New" w:cs="Courier New" w:eastAsia="Courier New" w:hAnsi="Courier New"/>
                      <w:color w:val="1E293B"/>
                      <w:sz w:val="20"/>
                      <w:szCs w:val="20"/>
                    </w:rPr>
                    <w:t xml:space="preserve">Additional Use     You may use the Licensed Work for:</w:t>
                  </w:r>
                </w:p>
                <w:p>
                  <w:pPr>
                    <w:spacing w:after="60" w:before="60"/>
                  </w:pPr>
                  <w:r>
                    <w:rPr>
                      <w:rFonts w:ascii="Courier New" w:cs="Courier New" w:eastAsia="Courier New" w:hAnsi="Courier New"/>
                      <w:color w:val="1E293B"/>
                      <w:sz w:val="20"/>
                      <w:szCs w:val="20"/>
                    </w:rPr>
                    <w:t xml:space="preserve">Grant:             - Personal, non-commercial use</w:t>
                  </w:r>
                </w:p>
                <w:p>
                  <w:pPr>
                    <w:spacing w:after="60" w:before="60"/>
                  </w:pPr>
                  <w:r>
                    <w:rPr>
                      <w:rFonts w:ascii="Courier New" w:cs="Courier New" w:eastAsia="Courier New" w:hAnsi="Courier New"/>
                      <w:color w:val="1E293B"/>
                      <w:sz w:val="20"/>
                      <w:szCs w:val="20"/>
                    </w:rPr>
                    <w:t xml:space="preserve">                   - Evaluation for up to 30 days</w:t>
                  </w:r>
                </w:p>
                <w:p>
                  <w:pPr>
                    <w:spacing w:after="60" w:before="60"/>
                  </w:pPr>
                  <w:r>
                    <w:rPr>
                      <w:rFonts w:ascii="Courier New" w:cs="Courier New" w:eastAsia="Courier New" w:hAnsi="Courier New"/>
                      <w:color w:val="1E293B"/>
                      <w:sz w:val="20"/>
                      <w:szCs w:val="20"/>
                    </w:rPr>
                    <w:t xml:space="preserve">                   - Open-source projects (with attribution)</w:t>
                  </w:r>
                </w:p>
                <w:p>
                  <w:pPr>
                    <w:spacing w:after="60" w:before="60"/>
                  </w:pPr>
                  <w:r>
                    <w:rPr>
                      <w:rFonts w:ascii="Courier New" w:cs="Courier New" w:eastAsia="Courier New" w:hAnsi="Courier New"/>
                      <w:color w:val="1E293B"/>
                      <w:sz w:val="20"/>
                      <w:szCs w:val="20"/>
                    </w:rPr>
                    <w:t xml:space="preserve">                   Commercial use by any organization with</w:t>
                  </w:r>
                </w:p>
                <w:p>
                  <w:pPr>
                    <w:spacing w:after="60" w:before="60"/>
                  </w:pPr>
                  <w:r>
                    <w:rPr>
                      <w:rFonts w:ascii="Courier New" w:cs="Courier New" w:eastAsia="Courier New" w:hAnsi="Courier New"/>
                      <w:color w:val="1E293B"/>
                      <w:sz w:val="20"/>
                      <w:szCs w:val="20"/>
                    </w:rPr>
                    <w:t xml:space="preserve">                   revenue or 3+ employees requires a</w:t>
                  </w:r>
                </w:p>
                <w:p>
                  <w:pPr>
                    <w:spacing w:after="60" w:before="60"/>
                  </w:pPr>
                  <w:r>
                    <w:rPr>
                      <w:rFonts w:ascii="Courier New" w:cs="Courier New" w:eastAsia="Courier New" w:hAnsi="Courier New"/>
                      <w:color w:val="1E293B"/>
                      <w:sz w:val="20"/>
                      <w:szCs w:val="20"/>
                    </w:rPr>
                    <w:t xml:space="preserve">                   commercial license.</w:t>
                  </w:r>
                </w:p>
                <w:p>
                  <w:pPr>
                    <w:spacing w:after="60" w:before="60"/>
                  </w:pPr>
                  <w:r>
                    <w:rPr>
                      <w:rFonts w:ascii="Courier New" w:cs="Courier New" w:eastAsia="Courier New" w:hAnsi="Courier New"/>
                      <w:color w:val="1E293B"/>
                      <w:sz w:val="20"/>
                      <w:szCs w:val="20"/>
                    </w:rPr>
                    <w:t xml:space="preserve">                   Contact: legal@learnhubplay.com</w:t>
                  </w:r>
                </w:p>
                <w:p>
                  <w:pPr>
                    <w:spacing w:after="60" w:before="60"/>
                  </w:pPr>
                  <w:r>
                    <w:rPr>
                      <w:rFonts w:ascii="Courier New" w:cs="Courier New" w:eastAsia="Courier New" w:hAnsi="Courier New"/>
                      <w:color w:val="1E293B"/>
                      <w:sz w:val="20"/>
                      <w:szCs w:val="20"/>
                    </w:rPr>
                    <w:t xml:space="preserve">Change Date:       January 1, 2030</w:t>
                  </w:r>
                </w:p>
                <w:p>
                  <w:pPr>
                    <w:spacing w:after="60" w:before="60"/>
                  </w:pPr>
                  <w:r>
                    <w:rPr>
                      <w:rFonts w:ascii="Courier New" w:cs="Courier New" w:eastAsia="Courier New" w:hAnsi="Courier New"/>
                      <w:color w:val="1E293B"/>
                      <w:sz w:val="20"/>
                      <w:szCs w:val="20"/>
                    </w:rPr>
                    <w:t xml:space="preserve">Change License:    Apache License, Version 2.0</w:t>
                  </w:r>
                </w:p>
              </w:tc>
            </w:tr>
          </w:tbl>
          <w:p>
            <w:pPr>
              <w:spacing w:after="140" w:before="0"/>
            </w:pPr>
          </w:p>
          <w:p>
            <w:pPr>
              <w:spacing w:after="100" w:before="200"/>
            </w:pPr>
            <w:r>
              <w:rPr>
                <w:rFonts w:ascii="Arial" w:cs="Arial" w:eastAsia="Arial" w:hAnsi="Arial"/>
                <w:b/>
                <w:bCs/>
                <w:color w:val="1B2F4E"/>
                <w:sz w:val="24"/>
                <w:szCs w:val="24"/>
              </w:rPr>
              <w:t xml:space="preserve">Email These Files to Yourself</w:t>
            </w:r>
          </w:p>
          <w:p>
            <w:pPr>
              <w:spacing w:after="80" w:before="80"/>
            </w:pPr>
            <w:r>
              <w:rPr>
                <w:rFonts w:ascii="Arial" w:cs="Arial" w:eastAsia="Arial" w:hAnsi="Arial"/>
                <w:sz w:val="22"/>
                <w:szCs w:val="22"/>
              </w:rPr>
              <w:t xml:space="preserve">Send an email to yourself with COPYRIGHT.md and LICENSE attached. The email server timestamp is legally admissible evidence of the creation date. Subject line: 'LokaFlow IP Creation Timestamp — February 2026'.</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5803D" w:sz="12"/>
                    <w:bottom w:val="none" w:color="FFFFFF" w:sz="0"/>
                    <w:right w:val="none" w:color="FFFFFF" w:sz="0"/>
                  </w:tcBorders>
                  <w:shd w:fill="DCFCE7" w:val="clear"/>
                  <w:tcMar>
                    <w:top w:type="dxa" w:w="160"/>
                    <w:left w:type="dxa" w:w="220"/>
                    <w:bottom w:type="dxa" w:w="160"/>
                    <w:right w:type="dxa" w:w="220"/>
                  </w:tcMar>
                </w:tcPr>
                <w:p>
                  <w:pPr>
                    <w:spacing w:after="80" w:before="80"/>
                  </w:pPr>
                  <w:r>
                    <w:rPr>
                      <w:rFonts w:ascii="Arial" w:cs="Arial" w:eastAsia="Arial" w:hAnsi="Arial"/>
                      <w:color w:val="15803D"/>
                      <w:sz w:val="22"/>
                      <w:szCs w:val="22"/>
                    </w:rPr>
                    <w:t xml:space="preserve">Cost: €0. Time: 15 minutes. Legal value: establishes your copyright across all 27 EU member states immediately, no registration required.</w:t>
                  </w:r>
                </w:p>
              </w:tc>
            </w:tr>
          </w:tbl>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D28D9" w:val="clear"/>
            <w:tcMar>
              <w:top w:type="dxa" w:w="120"/>
              <w:left w:type="dxa" w:w="180"/>
              <w:bottom w:type="dxa" w:w="120"/>
              <w:right w:type="dxa" w:w="180"/>
            </w:tcMar>
          </w:tcPr>
          <w:p>
            <w:r>
              <w:rPr>
                <w:rFonts w:ascii="Arial" w:cs="Arial" w:eastAsia="Arial" w:hAnsi="Arial"/>
                <w:b/>
                <w:bCs/>
                <w:color w:val="FFFFFF"/>
                <w:sz w:val="18"/>
                <w:szCs w:val="18"/>
              </w:rPr>
              <w:t xml:space="preserve">STEP 3</w:t>
            </w:r>
          </w:p>
          <w:p>
            <w:r>
              <w:rPr>
                <w:rFonts w:ascii="Arial" w:cs="Arial" w:eastAsia="Arial" w:hAnsi="Arial"/>
                <w:b/>
                <w:bCs/>
                <w:color w:val="FFFFFF"/>
                <w:sz w:val="26"/>
                <w:szCs w:val="26"/>
              </w:rPr>
              <w:t xml:space="preserve">Sign IP Assignment Agreement (This Week — Free)</w:t>
            </w:r>
          </w:p>
        </w:tc>
      </w:tr>
      <w:tr>
        <w:tc>
          <w:tcPr>
            <w:tcBorders>
              <w:top w:val="none" w:color="FFFFFF" w:sz="0"/>
              <w:left w:val="single" w:color="6D28D9" w:sz="8"/>
              <w:bottom w:val="single" w:color="CBD5E1" w:sz="1"/>
              <w:right w:val="none" w:color="FFFFFF" w:sz="0"/>
            </w:tcBorders>
            <w:shd w:fill="FFFFFF" w:val="clear"/>
            <w:tcMar>
              <w:top w:type="dxa" w:w="160"/>
              <w:left w:type="dxa" w:w="200"/>
              <w:bottom w:type="dxa" w:w="160"/>
              <w:right w:type="dxa" w:w="200"/>
            </w:tcMar>
          </w:tcPr>
          <w:p>
            <w:pPr>
              <w:spacing w:after="100" w:before="200"/>
            </w:pPr>
            <w:r>
              <w:rPr>
                <w:rFonts w:ascii="Arial" w:cs="Arial" w:eastAsia="Arial" w:hAnsi="Arial"/>
                <w:b/>
                <w:bCs/>
                <w:color w:val="1B2F4E"/>
                <w:sz w:val="24"/>
                <w:szCs w:val="24"/>
              </w:rPr>
              <w:t xml:space="preserve">What It Is</w:t>
            </w:r>
          </w:p>
          <w:p>
            <w:pPr>
              <w:spacing w:after="80" w:before="80"/>
            </w:pPr>
            <w:r>
              <w:rPr>
                <w:rFonts w:ascii="Arial" w:cs="Arial" w:eastAsia="Arial" w:hAnsi="Arial"/>
                <w:sz w:val="22"/>
                <w:szCs w:val="22"/>
              </w:rPr>
              <w:t xml:space="preserve">An IP Assignment Agreement is a one-page legal document where you (as an individual) formally transfer all intellectual property rights in LokaFlow™ to LearnHubPlay BV. Without this, there is ambiguity about whether the IP belongs to you personally or to your company — and this causes problems when seeking investment, selling the company, or enforcing your license.</w:t>
            </w:r>
          </w:p>
          <w:p>
            <w:pPr>
              <w:spacing w:after="140" w:before="0"/>
            </w:pPr>
          </w:p>
          <w:p>
            <w:pPr>
              <w:spacing w:after="100" w:before="200"/>
            </w:pPr>
            <w:r>
              <w:rPr>
                <w:rFonts w:ascii="Arial" w:cs="Arial" w:eastAsia="Arial" w:hAnsi="Arial"/>
                <w:b/>
                <w:bCs/>
                <w:color w:val="1B2F4E"/>
                <w:sz w:val="24"/>
                <w:szCs w:val="24"/>
              </w:rPr>
              <w:t xml:space="preserve">Template — Sign &amp; Date This Document</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8FAFC" w:val="clear"/>
                  <w:tcMar>
                    <w:top w:type="dxa" w:w="160"/>
                    <w:left w:type="dxa" w:w="220"/>
                    <w:bottom w:type="dxa" w:w="160"/>
                    <w:right w:type="dxa" w:w="220"/>
                  </w:tcMar>
                </w:tcPr>
                <w:p>
                  <w:pPr>
                    <w:spacing w:after="60" w:before="60"/>
                  </w:pPr>
                  <w:r>
                    <w:rPr>
                      <w:rFonts w:ascii="Courier New" w:cs="Courier New" w:eastAsia="Courier New" w:hAnsi="Courier New"/>
                      <w:color w:val="1E293B"/>
                      <w:sz w:val="20"/>
                      <w:szCs w:val="20"/>
                    </w:rPr>
                    <w:t xml:space="preserve">IP ASSIGNMENT AGREEMENT</w:t>
                  </w:r>
                </w:p>
                <w:p>
                  <w:pPr>
                    <w:spacing w:after="60" w:before="60"/>
                  </w:pPr>
                  <w:r>
                    <w:rPr>
                      <w:rFonts w:ascii="Courier New" w:cs="Courier New" w:eastAsia="Courier New" w:hAnsi="Courier New"/>
                      <w:color w:val="1E293B"/>
                      <w:sz w:val="20"/>
                      <w:szCs w:val="20"/>
                    </w:rPr>
                    <w:t xml:space="preserve"/>
                  </w:r>
                </w:p>
                <w:p>
                  <w:pPr>
                    <w:spacing w:after="60" w:before="60"/>
                  </w:pPr>
                  <w:r>
                    <w:rPr>
                      <w:rFonts w:ascii="Courier New" w:cs="Courier New" w:eastAsia="Courier New" w:hAnsi="Courier New"/>
                      <w:color w:val="1E293B"/>
                      <w:sz w:val="20"/>
                      <w:szCs w:val="20"/>
                    </w:rPr>
                    <w:t xml:space="preserve">This agreement is made on [Date] February 2026</w:t>
                  </w:r>
                </w:p>
                <w:p>
                  <w:pPr>
                    <w:spacing w:after="60" w:before="60"/>
                  </w:pPr>
                  <w:r>
                    <w:rPr>
                      <w:rFonts w:ascii="Courier New" w:cs="Courier New" w:eastAsia="Courier New" w:hAnsi="Courier New"/>
                      <w:color w:val="1E293B"/>
                      <w:sz w:val="20"/>
                      <w:szCs w:val="20"/>
                    </w:rPr>
                    <w:t xml:space="preserve"/>
                  </w:r>
                </w:p>
                <w:p>
                  <w:pPr>
                    <w:spacing w:after="60" w:before="60"/>
                  </w:pPr>
                  <w:r>
                    <w:rPr>
                      <w:rFonts w:ascii="Courier New" w:cs="Courier New" w:eastAsia="Courier New" w:hAnsi="Courier New"/>
                      <w:color w:val="1E293B"/>
                      <w:sz w:val="20"/>
                      <w:szCs w:val="20"/>
                    </w:rPr>
                    <w:t xml:space="preserve">ASSIGNOR: [Your Full Legal Name]</w:t>
                  </w:r>
                </w:p>
                <w:p>
                  <w:pPr>
                    <w:spacing w:after="60" w:before="60"/>
                  </w:pPr>
                  <w:r>
                    <w:rPr>
                      <w:rFonts w:ascii="Courier New" w:cs="Courier New" w:eastAsia="Courier New" w:hAnsi="Courier New"/>
                      <w:color w:val="1E293B"/>
                      <w:sz w:val="20"/>
                      <w:szCs w:val="20"/>
                    </w:rPr>
                    <w:t xml:space="preserve">           [Your address, Netherlands]</w:t>
                  </w:r>
                </w:p>
                <w:p>
                  <w:pPr>
                    <w:spacing w:after="60" w:before="60"/>
                  </w:pPr>
                  <w:r>
                    <w:rPr>
                      <w:rFonts w:ascii="Courier New" w:cs="Courier New" w:eastAsia="Courier New" w:hAnsi="Courier New"/>
                      <w:color w:val="1E293B"/>
                      <w:sz w:val="20"/>
                      <w:szCs w:val="20"/>
                    </w:rPr>
                    <w:t xml:space="preserve"/>
                  </w:r>
                </w:p>
                <w:p>
                  <w:pPr>
                    <w:spacing w:after="60" w:before="60"/>
                  </w:pPr>
                  <w:r>
                    <w:rPr>
                      <w:rFonts w:ascii="Courier New" w:cs="Courier New" w:eastAsia="Courier New" w:hAnsi="Courier New"/>
                      <w:color w:val="1E293B"/>
                      <w:sz w:val="20"/>
                      <w:szCs w:val="20"/>
                    </w:rPr>
                    <w:t xml:space="preserve">ASSIGNEE: LearnHubPlay BV</w:t>
                  </w:r>
                </w:p>
                <w:p>
                  <w:pPr>
                    <w:spacing w:after="60" w:before="60"/>
                  </w:pPr>
                  <w:r>
                    <w:rPr>
                      <w:rFonts w:ascii="Courier New" w:cs="Courier New" w:eastAsia="Courier New" w:hAnsi="Courier New"/>
                      <w:color w:val="1E293B"/>
                      <w:sz w:val="20"/>
                      <w:szCs w:val="20"/>
                    </w:rPr>
                    <w:t xml:space="preserve">           KvK Number: [Your KvK]</w:t>
                  </w:r>
                </w:p>
                <w:p>
                  <w:pPr>
                    <w:spacing w:after="60" w:before="60"/>
                  </w:pPr>
                  <w:r>
                    <w:rPr>
                      <w:rFonts w:ascii="Courier New" w:cs="Courier New" w:eastAsia="Courier New" w:hAnsi="Courier New"/>
                      <w:color w:val="1E293B"/>
                      <w:sz w:val="20"/>
                      <w:szCs w:val="20"/>
                    </w:rPr>
                    <w:t xml:space="preserve">           [Company address, Netherlands]</w:t>
                  </w:r>
                </w:p>
                <w:p>
                  <w:pPr>
                    <w:spacing w:after="60" w:before="60"/>
                  </w:pPr>
                  <w:r>
                    <w:rPr>
                      <w:rFonts w:ascii="Courier New" w:cs="Courier New" w:eastAsia="Courier New" w:hAnsi="Courier New"/>
                      <w:color w:val="1E293B"/>
                      <w:sz w:val="20"/>
                      <w:szCs w:val="20"/>
                    </w:rPr>
                    <w:t xml:space="preserve"/>
                  </w:r>
                </w:p>
                <w:p>
                  <w:pPr>
                    <w:spacing w:after="60" w:before="60"/>
                  </w:pPr>
                  <w:r>
                    <w:rPr>
                      <w:rFonts w:ascii="Courier New" w:cs="Courier New" w:eastAsia="Courier New" w:hAnsi="Courier New"/>
                      <w:color w:val="1E293B"/>
                      <w:sz w:val="20"/>
                      <w:szCs w:val="20"/>
                    </w:rPr>
                    <w:t xml:space="preserve">ASSIGNMENT:</w:t>
                  </w:r>
                </w:p>
                <w:p>
                  <w:pPr>
                    <w:spacing w:after="60" w:before="60"/>
                  </w:pPr>
                  <w:r>
                    <w:rPr>
                      <w:rFonts w:ascii="Courier New" w:cs="Courier New" w:eastAsia="Courier New" w:hAnsi="Courier New"/>
                      <w:color w:val="1E293B"/>
                      <w:sz w:val="20"/>
                      <w:szCs w:val="20"/>
                    </w:rPr>
                    <w:t xml:space="preserve">The Assignor hereby irrevocably assigns to the Assignee</w:t>
                  </w:r>
                </w:p>
                <w:p>
                  <w:pPr>
                    <w:spacing w:after="60" w:before="60"/>
                  </w:pPr>
                  <w:r>
                    <w:rPr>
                      <w:rFonts w:ascii="Courier New" w:cs="Courier New" w:eastAsia="Courier New" w:hAnsi="Courier New"/>
                      <w:color w:val="1E293B"/>
                      <w:sz w:val="20"/>
                      <w:szCs w:val="20"/>
                    </w:rPr>
                    <w:t xml:space="preserve">all intellectual property rights (including but not limited</w:t>
                  </w:r>
                </w:p>
                <w:p>
                  <w:pPr>
                    <w:spacing w:after="60" w:before="60"/>
                  </w:pPr>
                  <w:r>
                    <w:rPr>
                      <w:rFonts w:ascii="Courier New" w:cs="Courier New" w:eastAsia="Courier New" w:hAnsi="Courier New"/>
                      <w:color w:val="1E293B"/>
                      <w:sz w:val="20"/>
                      <w:szCs w:val="20"/>
                    </w:rPr>
                    <w:t xml:space="preserve">to copyright, trade secrets, and know-how) in the following:</w:t>
                  </w:r>
                </w:p>
                <w:p>
                  <w:pPr>
                    <w:spacing w:after="60" w:before="60"/>
                  </w:pPr>
                  <w:r>
                    <w:rPr>
                      <w:rFonts w:ascii="Courier New" w:cs="Courier New" w:eastAsia="Courier New" w:hAnsi="Courier New"/>
                      <w:color w:val="1E293B"/>
                      <w:sz w:val="20"/>
                      <w:szCs w:val="20"/>
                    </w:rPr>
                    <w:t xml:space="preserve"/>
                  </w:r>
                </w:p>
                <w:p>
                  <w:pPr>
                    <w:spacing w:after="60" w:before="60"/>
                  </w:pPr>
                  <w:r>
                    <w:rPr>
                      <w:rFonts w:ascii="Courier New" w:cs="Courier New" w:eastAsia="Courier New" w:hAnsi="Courier New"/>
                      <w:color w:val="1E293B"/>
                      <w:sz w:val="20"/>
                      <w:szCs w:val="20"/>
                    </w:rPr>
                    <w:t xml:space="preserve">  - The LokaFlow™ platform and all related source code</w:t>
                  </w:r>
                </w:p>
                <w:p>
                  <w:pPr>
                    <w:spacing w:after="60" w:before="60"/>
                  </w:pPr>
                  <w:r>
                    <w:rPr>
                      <w:rFonts w:ascii="Courier New" w:cs="Courier New" w:eastAsia="Courier New" w:hAnsi="Courier New"/>
                      <w:color w:val="1E293B"/>
                      <w:sz w:val="20"/>
                      <w:szCs w:val="20"/>
                    </w:rPr>
                    <w:t xml:space="preserve">  - All architecture documentation and technical designs</w:t>
                  </w:r>
                </w:p>
                <w:p>
                  <w:pPr>
                    <w:spacing w:after="60" w:before="60"/>
                  </w:pPr>
                  <w:r>
                    <w:rPr>
                      <w:rFonts w:ascii="Courier New" w:cs="Courier New" w:eastAsia="Courier New" w:hAnsi="Courier New"/>
                      <w:color w:val="1E293B"/>
                      <w:sz w:val="20"/>
                      <w:szCs w:val="20"/>
                    </w:rPr>
                    <w:t xml:space="preserve">  - All brand assets, names, and logos related to LokaFlow™</w:t>
                  </w:r>
                </w:p>
                <w:p>
                  <w:pPr>
                    <w:spacing w:after="60" w:before="60"/>
                  </w:pPr>
                  <w:r>
                    <w:rPr>
                      <w:rFonts w:ascii="Courier New" w:cs="Courier New" w:eastAsia="Courier New" w:hAnsi="Courier New"/>
                      <w:color w:val="1E293B"/>
                      <w:sz w:val="20"/>
                      <w:szCs w:val="20"/>
                    </w:rPr>
                    <w:t xml:space="preserve">  - All rights to apply for trademark registration worldwide</w:t>
                  </w:r>
                </w:p>
                <w:p>
                  <w:pPr>
                    <w:spacing w:after="60" w:before="60"/>
                  </w:pPr>
                  <w:r>
                    <w:rPr>
                      <w:rFonts w:ascii="Courier New" w:cs="Courier New" w:eastAsia="Courier New" w:hAnsi="Courier New"/>
                      <w:color w:val="1E293B"/>
                      <w:sz w:val="20"/>
                      <w:szCs w:val="20"/>
                    </w:rPr>
                    <w:t xml:space="preserve"/>
                  </w:r>
                </w:p>
                <w:p>
                  <w:pPr>
                    <w:spacing w:after="60" w:before="60"/>
                  </w:pPr>
                  <w:r>
                    <w:rPr>
                      <w:rFonts w:ascii="Courier New" w:cs="Courier New" w:eastAsia="Courier New" w:hAnsi="Courier New"/>
                      <w:color w:val="1E293B"/>
                      <w:sz w:val="20"/>
                      <w:szCs w:val="20"/>
                    </w:rPr>
                    <w:t xml:space="preserve">CONSIDERATION: €1 (one euro) and other good consideration.</w:t>
                  </w:r>
                </w:p>
                <w:p>
                  <w:pPr>
                    <w:spacing w:after="60" w:before="60"/>
                  </w:pPr>
                  <w:r>
                    <w:rPr>
                      <w:rFonts w:ascii="Courier New" w:cs="Courier New" w:eastAsia="Courier New" w:hAnsi="Courier New"/>
                      <w:color w:val="1E293B"/>
                      <w:sz w:val="20"/>
                      <w:szCs w:val="20"/>
                    </w:rPr>
                    <w:t xml:space="preserve"/>
                  </w:r>
                </w:p>
                <w:p>
                  <w:pPr>
                    <w:spacing w:after="60" w:before="60"/>
                  </w:pPr>
                  <w:r>
                    <w:rPr>
                      <w:rFonts w:ascii="Courier New" w:cs="Courier New" w:eastAsia="Courier New" w:hAnsi="Courier New"/>
                      <w:color w:val="1E293B"/>
                      <w:sz w:val="20"/>
                      <w:szCs w:val="20"/>
                    </w:rPr>
                    <w:t xml:space="preserve">GOVERNING LAW: Dutch law. Jurisdiction: Netherlands.</w:t>
                  </w:r>
                </w:p>
                <w:p>
                  <w:pPr>
                    <w:spacing w:after="60" w:before="60"/>
                  </w:pPr>
                  <w:r>
                    <w:rPr>
                      <w:rFonts w:ascii="Courier New" w:cs="Courier New" w:eastAsia="Courier New" w:hAnsi="Courier New"/>
                      <w:color w:val="1E293B"/>
                      <w:sz w:val="20"/>
                      <w:szCs w:val="20"/>
                    </w:rPr>
                    <w:t xml:space="preserve"/>
                  </w:r>
                </w:p>
                <w:p>
                  <w:pPr>
                    <w:spacing w:after="60" w:before="60"/>
                  </w:pPr>
                  <w:r>
                    <w:rPr>
                      <w:rFonts w:ascii="Courier New" w:cs="Courier New" w:eastAsia="Courier New" w:hAnsi="Courier New"/>
                      <w:color w:val="1E293B"/>
                      <w:sz w:val="20"/>
                      <w:szCs w:val="20"/>
                    </w:rPr>
                    <w:t xml:space="preserve">Signed: _________________________ Date: ______________</w:t>
                  </w:r>
                </w:p>
                <w:p>
                  <w:pPr>
                    <w:spacing w:after="60" w:before="60"/>
                  </w:pPr>
                  <w:r>
                    <w:rPr>
                      <w:rFonts w:ascii="Courier New" w:cs="Courier New" w:eastAsia="Courier New" w:hAnsi="Courier New"/>
                      <w:color w:val="1E293B"/>
                      <w:sz w:val="20"/>
                      <w:szCs w:val="20"/>
                    </w:rPr>
                    <w:t xml:space="preserve">        [Your Name] (Assignor)</w:t>
                  </w:r>
                </w:p>
                <w:p>
                  <w:pPr>
                    <w:spacing w:after="60" w:before="60"/>
                  </w:pPr>
                  <w:r>
                    <w:rPr>
                      <w:rFonts w:ascii="Courier New" w:cs="Courier New" w:eastAsia="Courier New" w:hAnsi="Courier New"/>
                      <w:color w:val="1E293B"/>
                      <w:sz w:val="20"/>
                      <w:szCs w:val="20"/>
                    </w:rPr>
                    <w:t xml:space="preserve"/>
                  </w:r>
                </w:p>
                <w:p>
                  <w:pPr>
                    <w:spacing w:after="60" w:before="60"/>
                  </w:pPr>
                  <w:r>
                    <w:rPr>
                      <w:rFonts w:ascii="Courier New" w:cs="Courier New" w:eastAsia="Courier New" w:hAnsi="Courier New"/>
                      <w:color w:val="1E293B"/>
                      <w:sz w:val="20"/>
                      <w:szCs w:val="20"/>
                    </w:rPr>
                    <w:t xml:space="preserve">Signed: _________________________ Date: ______________</w:t>
                  </w:r>
                </w:p>
                <w:p>
                  <w:pPr>
                    <w:spacing w:after="60" w:before="60"/>
                  </w:pPr>
                  <w:r>
                    <w:rPr>
                      <w:rFonts w:ascii="Courier New" w:cs="Courier New" w:eastAsia="Courier New" w:hAnsi="Courier New"/>
                      <w:color w:val="1E293B"/>
                      <w:sz w:val="20"/>
                      <w:szCs w:val="20"/>
                    </w:rPr>
                    <w:t xml:space="preserve">        [Your Name] (on behalf of LearnHubPlay BV)</w:t>
                  </w:r>
                </w:p>
              </w:tc>
            </w:tr>
          </w:tbl>
          <w:p>
            <w:pPr>
              <w:spacing w:after="140" w:before="0"/>
            </w:pPr>
          </w:p>
          <w:p>
            <w:pPr>
              <w:spacing w:after="80" w:before="80"/>
            </w:pPr>
            <w:r>
              <w:rPr>
                <w:rFonts w:ascii="Arial" w:cs="Arial" w:eastAsia="Arial" w:hAnsi="Arial"/>
                <w:sz w:val="22"/>
                <w:szCs w:val="22"/>
              </w:rPr>
              <w:t xml:space="preserve">Print this, sign it twice (once as yourself, once as director of LearnHubPlay BV), date it, and keep it with your company administration (bedrijfsadministratie). No notary required.</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5803D" w:sz="12"/>
                    <w:bottom w:val="none" w:color="FFFFFF" w:sz="0"/>
                    <w:right w:val="none" w:color="FFFFFF" w:sz="0"/>
                  </w:tcBorders>
                  <w:shd w:fill="DCFCE7" w:val="clear"/>
                  <w:tcMar>
                    <w:top w:type="dxa" w:w="160"/>
                    <w:left w:type="dxa" w:w="220"/>
                    <w:bottom w:type="dxa" w:w="160"/>
                    <w:right w:type="dxa" w:w="220"/>
                  </w:tcMar>
                </w:tcPr>
                <w:p>
                  <w:pPr>
                    <w:spacing w:after="80" w:before="80"/>
                  </w:pPr>
                  <w:r>
                    <w:rPr>
                      <w:rFonts w:ascii="Arial" w:cs="Arial" w:eastAsia="Arial" w:hAnsi="Arial"/>
                      <w:color w:val="15803D"/>
                      <w:sz w:val="22"/>
                      <w:szCs w:val="22"/>
                    </w:rPr>
                    <w:t xml:space="preserve">Cost: €0. Critical for: investor conversations, enforcement, company sale, any future legal dispute about who owns the IP.</w:t>
                  </w:r>
                </w:p>
              </w:tc>
            </w:tr>
          </w:tbl>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45309" w:val="clear"/>
            <w:tcMar>
              <w:top w:type="dxa" w:w="120"/>
              <w:left w:type="dxa" w:w="180"/>
              <w:bottom w:type="dxa" w:w="120"/>
              <w:right w:type="dxa" w:w="180"/>
            </w:tcMar>
          </w:tcPr>
          <w:p>
            <w:r>
              <w:rPr>
                <w:rFonts w:ascii="Arial" w:cs="Arial" w:eastAsia="Arial" w:hAnsi="Arial"/>
                <w:b/>
                <w:bCs/>
                <w:color w:val="FFFFFF"/>
                <w:sz w:val="18"/>
                <w:szCs w:val="18"/>
              </w:rPr>
              <w:t xml:space="preserve">STEP 4</w:t>
            </w:r>
          </w:p>
          <w:p>
            <w:r>
              <w:rPr>
                <w:rFonts w:ascii="Arial" w:cs="Arial" w:eastAsia="Arial" w:hAnsi="Arial"/>
                <w:b/>
                <w:bCs/>
                <w:color w:val="FFFFFF"/>
                <w:sz w:val="26"/>
                <w:szCs w:val="26"/>
              </w:rPr>
              <w:t xml:space="preserve">Start Using LokaFlow™ Publicly (This Week — Free)</w:t>
            </w:r>
          </w:p>
        </w:tc>
      </w:tr>
      <w:tr>
        <w:tc>
          <w:tcPr>
            <w:tcBorders>
              <w:top w:val="none" w:color="FFFFFF" w:sz="0"/>
              <w:left w:val="single" w:color="B45309" w:sz="8"/>
              <w:bottom w:val="single" w:color="CBD5E1" w:sz="1"/>
              <w:right w:val="none" w:color="FFFFFF" w:sz="0"/>
            </w:tcBorders>
            <w:shd w:fill="FFFFFF" w:val="clear"/>
            <w:tcMar>
              <w:top w:type="dxa" w:w="160"/>
              <w:left w:type="dxa" w:w="200"/>
              <w:bottom w:type="dxa" w:w="160"/>
              <w:right w:type="dxa" w:w="200"/>
            </w:tcMar>
          </w:tcPr>
          <w:p>
            <w:pPr>
              <w:spacing w:after="100" w:before="200"/>
            </w:pPr>
            <w:r>
              <w:rPr>
                <w:rFonts w:ascii="Arial" w:cs="Arial" w:eastAsia="Arial" w:hAnsi="Arial"/>
                <w:b/>
                <w:bCs/>
                <w:color w:val="1B2F4E"/>
                <w:sz w:val="24"/>
                <w:szCs w:val="24"/>
              </w:rPr>
              <w:t xml:space="preserve">The ™ Symbol — Use It Everywhere Immediately</w:t>
            </w:r>
          </w:p>
          <w:p>
            <w:pPr>
              <w:spacing w:after="80" w:before="80"/>
            </w:pPr>
            <w:r>
              <w:rPr>
                <w:rFonts w:ascii="Arial" w:cs="Arial" w:eastAsia="Arial" w:hAnsi="Arial"/>
                <w:sz w:val="22"/>
                <w:szCs w:val="22"/>
              </w:rPr>
              <w:t xml:space="preserve">In the EU, you do not need a registered trademark to use ™. Using ™ is simply your claim that you consider this a trademark. Start using it today on:</w:t>
            </w:r>
          </w:p>
          <w:p>
            <w:pPr>
              <w:pStyle w:val="ListParagraph"/>
              <w:numPr>
                <w:ilvl w:val="0"/>
                <w:numId w:val="2"/>
              </w:numPr>
              <w:spacing w:after="60" w:before="60"/>
            </w:pPr>
            <w:r>
              <w:rPr>
                <w:rFonts w:ascii="Arial" w:cs="Arial" w:eastAsia="Arial" w:hAnsi="Arial"/>
                <w:b w:val="false"/>
                <w:bCs w:val="false"/>
                <w:sz w:val="22"/>
                <w:szCs w:val="22"/>
              </w:rPr>
              <w:t xml:space="preserve">GitHub README — 'LokaFlow™ by LearnHubPlay BV'</w:t>
            </w:r>
          </w:p>
          <w:p>
            <w:pPr>
              <w:pStyle w:val="ListParagraph"/>
              <w:numPr>
                <w:ilvl w:val="0"/>
                <w:numId w:val="2"/>
              </w:numPr>
              <w:spacing w:after="60" w:before="60"/>
            </w:pPr>
            <w:r>
              <w:rPr>
                <w:rFonts w:ascii="Arial" w:cs="Arial" w:eastAsia="Arial" w:hAnsi="Arial"/>
                <w:b w:val="false"/>
                <w:bCs w:val="false"/>
                <w:sz w:val="22"/>
                <w:szCs w:val="22"/>
              </w:rPr>
              <w:t xml:space="preserve">LinkedIn company page and personal profile</w:t>
            </w:r>
          </w:p>
          <w:p>
            <w:pPr>
              <w:pStyle w:val="ListParagraph"/>
              <w:numPr>
                <w:ilvl w:val="0"/>
                <w:numId w:val="2"/>
              </w:numPr>
              <w:spacing w:after="60" w:before="60"/>
            </w:pPr>
            <w:r>
              <w:rPr>
                <w:rFonts w:ascii="Arial" w:cs="Arial" w:eastAsia="Arial" w:hAnsi="Arial"/>
                <w:b w:val="false"/>
                <w:bCs w:val="false"/>
                <w:sz w:val="22"/>
                <w:szCs w:val="22"/>
              </w:rPr>
              <w:t xml:space="preserve">Your coming-soon website</w:t>
            </w:r>
          </w:p>
          <w:p>
            <w:pPr>
              <w:pStyle w:val="ListParagraph"/>
              <w:numPr>
                <w:ilvl w:val="0"/>
                <w:numId w:val="2"/>
              </w:numPr>
              <w:spacing w:after="60" w:before="60"/>
            </w:pPr>
            <w:r>
              <w:rPr>
                <w:rFonts w:ascii="Arial" w:cs="Arial" w:eastAsia="Arial" w:hAnsi="Arial"/>
                <w:b w:val="false"/>
                <w:bCs w:val="false"/>
                <w:sz w:val="22"/>
                <w:szCs w:val="22"/>
              </w:rPr>
              <w:t xml:space="preserve">Any social media accounts you create (@lokaflow on X, LinkedIn, GitHub)</w:t>
            </w:r>
          </w:p>
          <w:p>
            <w:pPr>
              <w:pStyle w:val="ListParagraph"/>
              <w:numPr>
                <w:ilvl w:val="0"/>
                <w:numId w:val="2"/>
              </w:numPr>
              <w:spacing w:after="60" w:before="60"/>
            </w:pPr>
            <w:r>
              <w:rPr>
                <w:rFonts w:ascii="Arial" w:cs="Arial" w:eastAsia="Arial" w:hAnsi="Arial"/>
                <w:b w:val="false"/>
                <w:bCs w:val="false"/>
                <w:sz w:val="22"/>
                <w:szCs w:val="22"/>
              </w:rPr>
              <w:t xml:space="preserve">All technical documentation and blog posts</w:t>
            </w:r>
          </w:p>
          <w:p>
            <w:pPr>
              <w:pStyle w:val="ListParagraph"/>
              <w:numPr>
                <w:ilvl w:val="0"/>
                <w:numId w:val="2"/>
              </w:numPr>
              <w:spacing w:after="60" w:before="60"/>
            </w:pPr>
            <w:r>
              <w:rPr>
                <w:rFonts w:ascii="Arial" w:cs="Arial" w:eastAsia="Arial" w:hAnsi="Arial"/>
                <w:b w:val="false"/>
                <w:bCs w:val="false"/>
                <w:sz w:val="22"/>
                <w:szCs w:val="22"/>
              </w:rPr>
              <w:t xml:space="preserve">Email signature</w:t>
            </w:r>
          </w:p>
          <w:p>
            <w:pPr>
              <w:spacing w:after="140" w:before="0"/>
            </w:pPr>
          </w:p>
          <w:p>
            <w:pPr>
              <w:spacing w:after="100" w:before="200"/>
            </w:pPr>
            <w:r>
              <w:rPr>
                <w:rFonts w:ascii="Arial" w:cs="Arial" w:eastAsia="Arial" w:hAnsi="Arial"/>
                <w:b/>
                <w:bCs/>
                <w:color w:val="1B2F4E"/>
                <w:sz w:val="24"/>
                <w:szCs w:val="24"/>
              </w:rPr>
              <w:t xml:space="preserve">Claim Your Social Handles NOW</w:t>
            </w:r>
          </w:p>
          <w:p>
            <w:pPr>
              <w:spacing w:after="80" w:before="80"/>
            </w:pPr>
            <w:r>
              <w:rPr>
                <w:rFonts w:ascii="Arial" w:cs="Arial" w:eastAsia="Arial" w:hAnsi="Arial"/>
                <w:sz w:val="22"/>
                <w:szCs w:val="22"/>
              </w:rPr>
              <w:t xml:space="preserve">Register these handles immediately — even if you don't use them yet. Someone else claiming your handle before you is a serious brand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Platform</w:t>
                  </w:r>
                </w:p>
              </w:tc>
              <w:tc>
                <w:tcPr>
                  <w:tcW w:type="dxa" w:w="356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Handle to Claim</w:t>
                  </w:r>
                </w:p>
              </w:tc>
              <w:tc>
                <w:tcPr>
                  <w:tcW w:type="dxa" w:w="340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Priority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GitHub</w:t>
                  </w:r>
                </w:p>
              </w:tc>
              <w:tc>
                <w:tcPr>
                  <w:tcW w:type="dxa" w:w="3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github.com/lokaflow</w:t>
                  </w:r>
                </w:p>
              </w:tc>
              <w:tc>
                <w:tcPr>
                  <w:tcW w:type="dxa" w:w="3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 Critical — do today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LinkedIn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linkedin.com/company/lokaflow</w:t>
                  </w:r>
                </w:p>
              </w:tc>
              <w:tc>
                <w:tcPr>
                  <w:tcW w:type="dxa" w:w="3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 Critical — do today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X (Twitter)</w:t>
                  </w:r>
                </w:p>
              </w:tc>
              <w:tc>
                <w:tcPr>
                  <w:tcW w:type="dxa" w:w="3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x.com/lokaflow</w:t>
                  </w:r>
                </w:p>
              </w:tc>
              <w:tc>
                <w:tcPr>
                  <w:tcW w:type="dxa" w:w="3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 Critical — do today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YouTube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@lokaflow</w:t>
                  </w:r>
                </w:p>
              </w:tc>
              <w:tc>
                <w:tcPr>
                  <w:tcW w:type="dxa" w:w="3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 Important — this week</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Discord</w:t>
                  </w:r>
                </w:p>
              </w:tc>
              <w:tc>
                <w:tcPr>
                  <w:tcW w:type="dxa" w:w="3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discord.gg/lokaflow (server)</w:t>
                  </w:r>
                </w:p>
              </w:tc>
              <w:tc>
                <w:tcPr>
                  <w:tcW w:type="dxa" w:w="3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 Important — before launch</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npm</w:t>
                  </w:r>
                </w:p>
              </w:tc>
              <w:tc>
                <w:tcPr>
                  <w:tcW w:type="dxa" w:w="3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npmjs.com/org/lokaflow</w:t>
                  </w:r>
                </w:p>
              </w:tc>
              <w:tc>
                <w:tcPr>
                  <w:tcW w:type="dxa" w:w="3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 Important — before publishing</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PyPI</w:t>
                  </w:r>
                </w:p>
              </w:tc>
              <w:tc>
                <w:tcPr>
                  <w:tcW w:type="dxa" w:w="3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pypi.org — reserve 'lokaflow'</w:t>
                  </w:r>
                </w:p>
              </w:tc>
              <w:tc>
                <w:tcPr>
                  <w:tcW w:type="dxa" w:w="3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 Important — before publishing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Docker Hub</w:t>
                  </w:r>
                </w:p>
              </w:tc>
              <w:tc>
                <w:tcPr>
                  <w:tcW w:type="dxa" w:w="3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hub.docker.com/u/lokaflow</w:t>
                  </w:r>
                </w:p>
              </w:tc>
              <w:tc>
                <w:tcPr>
                  <w:tcW w:type="dxa" w:w="3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 Before first Docker release</w:t>
                  </w:r>
                </w:p>
              </w:tc>
            </w:tr>
          </w:tbl>
          <w:p>
            <w:pPr>
              <w:spacing w:after="140" w:before="0"/>
            </w:pPr>
          </w:p>
          <w:p>
            <w:pPr>
              <w:spacing w:after="100" w:before="200"/>
            </w:pPr>
            <w:r>
              <w:rPr>
                <w:rFonts w:ascii="Arial" w:cs="Arial" w:eastAsia="Arial" w:hAnsi="Arial"/>
                <w:b/>
                <w:bCs/>
                <w:color w:val="1B2F4E"/>
                <w:sz w:val="24"/>
                <w:szCs w:val="24"/>
              </w:rPr>
              <w:t xml:space="preserve">First Use Evidence — Build Your Paper Trail</w:t>
            </w:r>
          </w:p>
          <w:p>
            <w:pPr>
              <w:spacing w:after="80" w:before="80"/>
            </w:pPr>
            <w:r>
              <w:rPr>
                <w:rFonts w:ascii="Arial" w:cs="Arial" w:eastAsia="Arial" w:hAnsi="Arial"/>
                <w:sz w:val="22"/>
                <w:szCs w:val="22"/>
              </w:rPr>
              <w:t xml:space="preserve">Every public mention of LokaFlow™ with a timestamp is evidence of first use. Screenshot the following and save them to a Google Drive folder called 'LokaFlow First Use Evidence':</w:t>
            </w:r>
          </w:p>
          <w:p>
            <w:pPr>
              <w:pStyle w:val="ListParagraph"/>
              <w:numPr>
                <w:ilvl w:val="0"/>
                <w:numId w:val="2"/>
              </w:numPr>
              <w:spacing w:after="60" w:before="60"/>
            </w:pPr>
            <w:r>
              <w:rPr>
                <w:rFonts w:ascii="Arial" w:cs="Arial" w:eastAsia="Arial" w:hAnsi="Arial"/>
                <w:b w:val="false"/>
                <w:bCs w:val="false"/>
                <w:sz w:val="22"/>
                <w:szCs w:val="22"/>
              </w:rPr>
              <w:t xml:space="preserve">Screenshot your GitHub README with the name and date</w:t>
            </w:r>
          </w:p>
          <w:p>
            <w:pPr>
              <w:pStyle w:val="ListParagraph"/>
              <w:numPr>
                <w:ilvl w:val="0"/>
                <w:numId w:val="2"/>
              </w:numPr>
              <w:spacing w:after="60" w:before="60"/>
            </w:pPr>
            <w:r>
              <w:rPr>
                <w:rFonts w:ascii="Arial" w:cs="Arial" w:eastAsia="Arial" w:hAnsi="Arial"/>
                <w:b w:val="false"/>
                <w:bCs w:val="false"/>
                <w:sz w:val="22"/>
                <w:szCs w:val="22"/>
              </w:rPr>
              <w:t xml:space="preserve">Screenshot your coming-soon website with URL bar showing the date</w:t>
            </w:r>
          </w:p>
          <w:p>
            <w:pPr>
              <w:pStyle w:val="ListParagraph"/>
              <w:numPr>
                <w:ilvl w:val="0"/>
                <w:numId w:val="2"/>
              </w:numPr>
              <w:spacing w:after="60" w:before="60"/>
            </w:pPr>
            <w:r>
              <w:rPr>
                <w:rFonts w:ascii="Arial" w:cs="Arial" w:eastAsia="Arial" w:hAnsi="Arial"/>
                <w:b w:val="false"/>
                <w:bCs w:val="false"/>
                <w:sz w:val="22"/>
                <w:szCs w:val="22"/>
              </w:rPr>
              <w:t xml:space="preserve">Screenshot your LinkedIn company page creation confirmation</w:t>
            </w:r>
          </w:p>
          <w:p>
            <w:pPr>
              <w:pStyle w:val="ListParagraph"/>
              <w:numPr>
                <w:ilvl w:val="0"/>
                <w:numId w:val="2"/>
              </w:numPr>
              <w:spacing w:after="60" w:before="60"/>
            </w:pPr>
            <w:r>
              <w:rPr>
                <w:rFonts w:ascii="Arial" w:cs="Arial" w:eastAsia="Arial" w:hAnsi="Arial"/>
                <w:b w:val="false"/>
                <w:bCs w:val="false"/>
                <w:sz w:val="22"/>
                <w:szCs w:val="22"/>
              </w:rPr>
              <w:t xml:space="preserve">Screenshot your social handle registrations</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66E" w:sz="12"/>
                    <w:bottom w:val="none" w:color="FFFFFF" w:sz="0"/>
                    <w:right w:val="none" w:color="FFFFFF" w:sz="0"/>
                  </w:tcBorders>
                  <w:shd w:fill="CCFBF1" w:val="clear"/>
                  <w:tcMar>
                    <w:top w:type="dxa" w:w="160"/>
                    <w:left w:type="dxa" w:w="220"/>
                    <w:bottom w:type="dxa" w:w="160"/>
                    <w:right w:type="dxa" w:w="220"/>
                  </w:tcMar>
                </w:tcPr>
                <w:p>
                  <w:pPr>
                    <w:spacing w:after="80" w:before="80"/>
                  </w:pPr>
                  <w:r>
                    <w:rPr>
                      <w:rFonts w:ascii="Arial" w:cs="Arial" w:eastAsia="Arial" w:hAnsi="Arial"/>
                      <w:color w:val="0F766E"/>
                      <w:sz w:val="22"/>
                      <w:szCs w:val="22"/>
                    </w:rPr>
                    <w:t xml:space="preserve">Cost: €0. This paper trail of first use strengthens your trademark application and is evidence in any future dispute about who used the name first.</w:t>
                  </w:r>
                </w:p>
              </w:tc>
            </w:tr>
          </w:tbl>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5803D" w:val="clear"/>
            <w:tcMar>
              <w:top w:type="dxa" w:w="120"/>
              <w:left w:type="dxa" w:w="180"/>
              <w:bottom w:type="dxa" w:w="120"/>
              <w:right w:type="dxa" w:w="180"/>
            </w:tcMar>
          </w:tcPr>
          <w:p>
            <w:r>
              <w:rPr>
                <w:rFonts w:ascii="Arial" w:cs="Arial" w:eastAsia="Arial" w:hAnsi="Arial"/>
                <w:b/>
                <w:bCs/>
                <w:color w:val="FFFFFF"/>
                <w:sz w:val="18"/>
                <w:szCs w:val="18"/>
              </w:rPr>
              <w:t xml:space="preserve">STEP 5</w:t>
            </w:r>
          </w:p>
          <w:p>
            <w:r>
              <w:rPr>
                <w:rFonts w:ascii="Arial" w:cs="Arial" w:eastAsia="Arial" w:hAnsi="Arial"/>
                <w:b/>
                <w:bCs/>
                <w:color w:val="FFFFFF"/>
                <w:sz w:val="26"/>
                <w:szCs w:val="26"/>
              </w:rPr>
              <w:t xml:space="preserve">Publish Defensive Technical Disclosure on Arxiv (Before/At Launch — Free)</w:t>
            </w:r>
          </w:p>
        </w:tc>
      </w:tr>
      <w:tr>
        <w:tc>
          <w:tcPr>
            <w:tcBorders>
              <w:top w:val="none" w:color="FFFFFF" w:sz="0"/>
              <w:left w:val="single" w:color="15803D" w:sz="8"/>
              <w:bottom w:val="single" w:color="CBD5E1" w:sz="1"/>
              <w:right w:val="none" w:color="FFFFFF" w:sz="0"/>
            </w:tcBorders>
            <w:shd w:fill="FFFFFF" w:val="clear"/>
            <w:tcMar>
              <w:top w:type="dxa" w:w="160"/>
              <w:left w:type="dxa" w:w="200"/>
              <w:bottom w:type="dxa" w:w="160"/>
              <w:right w:type="dxa" w:w="200"/>
            </w:tcMar>
          </w:tcPr>
          <w:p>
            <w:pPr>
              <w:spacing w:after="100" w:before="200"/>
            </w:pPr>
            <w:r>
              <w:rPr>
                <w:rFonts w:ascii="Arial" w:cs="Arial" w:eastAsia="Arial" w:hAnsi="Arial"/>
                <w:b/>
                <w:bCs/>
                <w:color w:val="1B2F4E"/>
                <w:sz w:val="24"/>
                <w:szCs w:val="24"/>
              </w:rPr>
              <w:t xml:space="preserve">What Defensive Publication Does</w:t>
            </w:r>
          </w:p>
          <w:p>
            <w:pPr>
              <w:spacing w:after="80" w:before="80"/>
            </w:pPr>
            <w:r>
              <w:rPr>
                <w:rFonts w:ascii="Arial" w:cs="Arial" w:eastAsia="Arial" w:hAnsi="Arial"/>
                <w:sz w:val="22"/>
                <w:szCs w:val="22"/>
              </w:rPr>
              <w:t xml:space="preserve">By publishing a detailed technical description of your routing algorithm on Arxiv.org before anyone else, you create 'prior art'. This means that even if Google, Microsoft, or anyone else tries to patent the same method later, the patent examiner will find your publication and reject their application. You don't get a patent — but neither does anyone else. This is the standard strategy for resource-constrained startups.</w:t>
            </w:r>
          </w:p>
          <w:p>
            <w:pPr>
              <w:spacing w:after="140" w:before="0"/>
            </w:pPr>
          </w:p>
          <w:p>
            <w:pPr>
              <w:spacing w:after="100" w:before="200"/>
            </w:pPr>
            <w:r>
              <w:rPr>
                <w:rFonts w:ascii="Arial" w:cs="Arial" w:eastAsia="Arial" w:hAnsi="Arial"/>
                <w:b/>
                <w:bCs/>
                <w:color w:val="1B2F4E"/>
                <w:sz w:val="24"/>
                <w:szCs w:val="24"/>
              </w:rPr>
              <w:t xml:space="preserve">What to Write — Minimum Viable Disclosure</w:t>
            </w:r>
          </w:p>
          <w:p>
            <w:pPr>
              <w:spacing w:after="80" w:before="80"/>
            </w:pPr>
            <w:r>
              <w:rPr>
                <w:rFonts w:ascii="Arial" w:cs="Arial" w:eastAsia="Arial" w:hAnsi="Arial"/>
                <w:sz w:val="22"/>
                <w:szCs w:val="22"/>
              </w:rPr>
              <w:t xml:space="preserve">Your paper does not need to be academic. A clear technical description is sufficient. Minimum length: 3–5 pages. Include:</w:t>
            </w:r>
          </w:p>
          <w:p>
            <w:pPr>
              <w:pStyle w:val="ListParagraph"/>
              <w:numPr>
                <w:ilvl w:val="0"/>
                <w:numId w:val="3"/>
              </w:numPr>
              <w:spacing w:after="60" w:before="60"/>
            </w:pPr>
            <w:r>
              <w:rPr>
                <w:rFonts w:ascii="Arial" w:cs="Arial" w:eastAsia="Arial" w:hAnsi="Arial"/>
                <w:sz w:val="22"/>
                <w:szCs w:val="22"/>
              </w:rPr>
              <w:t xml:space="preserve">Abstract — one paragraph describing the hybrid LLM routing system</w:t>
            </w:r>
          </w:p>
          <w:p>
            <w:pPr>
              <w:pStyle w:val="ListParagraph"/>
              <w:numPr>
                <w:ilvl w:val="0"/>
                <w:numId w:val="3"/>
              </w:numPr>
              <w:spacing w:after="60" w:before="60"/>
            </w:pPr>
            <w:r>
              <w:rPr>
                <w:rFonts w:ascii="Arial" w:cs="Arial" w:eastAsia="Arial" w:hAnsi="Arial"/>
                <w:sz w:val="22"/>
                <w:szCs w:val="22"/>
              </w:rPr>
              <w:t xml:space="preserve">The problem — cloud token cost and data privacy in AI workloads</w:t>
            </w:r>
          </w:p>
          <w:p>
            <w:pPr>
              <w:pStyle w:val="ListParagraph"/>
              <w:numPr>
                <w:ilvl w:val="0"/>
                <w:numId w:val="3"/>
              </w:numPr>
              <w:spacing w:after="60" w:before="60"/>
            </w:pPr>
            <w:r>
              <w:rPr>
                <w:rFonts w:ascii="Arial" w:cs="Arial" w:eastAsia="Arial" w:hAnsi="Arial"/>
                <w:sz w:val="22"/>
                <w:szCs w:val="22"/>
              </w:rPr>
              <w:t xml:space="preserve">Your solution — the three-tier routing architecture (local, specialist, cloud)</w:t>
            </w:r>
          </w:p>
          <w:p>
            <w:pPr>
              <w:pStyle w:val="ListParagraph"/>
              <w:numPr>
                <w:ilvl w:val="0"/>
                <w:numId w:val="3"/>
              </w:numPr>
              <w:spacing w:after="60" w:before="60"/>
            </w:pPr>
            <w:r>
              <w:rPr>
                <w:rFonts w:ascii="Arial" w:cs="Arial" w:eastAsia="Arial" w:hAnsi="Arial"/>
                <w:sz w:val="22"/>
                <w:szCs w:val="22"/>
              </w:rPr>
              <w:t xml:space="preserve">The routing algorithm — how tasks are classified (token count, complexity, PII scan)</w:t>
            </w:r>
          </w:p>
          <w:p>
            <w:pPr>
              <w:pStyle w:val="ListParagraph"/>
              <w:numPr>
                <w:ilvl w:val="0"/>
                <w:numId w:val="3"/>
              </w:numPr>
              <w:spacing w:after="60" w:before="60"/>
            </w:pPr>
            <w:r>
              <w:rPr>
                <w:rFonts w:ascii="Arial" w:cs="Arial" w:eastAsia="Arial" w:hAnsi="Arial"/>
                <w:sz w:val="22"/>
                <w:szCs w:val="22"/>
              </w:rPr>
              <w:t xml:space="preserve">The task graph format — your JSON schema with 'route' labels</w:t>
            </w:r>
          </w:p>
          <w:p>
            <w:pPr>
              <w:pStyle w:val="ListParagraph"/>
              <w:numPr>
                <w:ilvl w:val="0"/>
                <w:numId w:val="3"/>
              </w:numPr>
              <w:spacing w:after="60" w:before="60"/>
            </w:pPr>
            <w:r>
              <w:rPr>
                <w:rFonts w:ascii="Arial" w:cs="Arial" w:eastAsia="Arial" w:hAnsi="Arial"/>
                <w:sz w:val="22"/>
                <w:szCs w:val="22"/>
              </w:rPr>
              <w:t xml:space="preserve">The plan-then-execute orchestration pattern</w:t>
            </w:r>
          </w:p>
          <w:p>
            <w:pPr>
              <w:pStyle w:val="ListParagraph"/>
              <w:numPr>
                <w:ilvl w:val="0"/>
                <w:numId w:val="3"/>
              </w:numPr>
              <w:spacing w:after="60" w:before="60"/>
            </w:pPr>
            <w:r>
              <w:rPr>
                <w:rFonts w:ascii="Arial" w:cs="Arial" w:eastAsia="Arial" w:hAnsi="Arial"/>
                <w:sz w:val="22"/>
                <w:szCs w:val="22"/>
              </w:rPr>
              <w:t xml:space="preserve">Example results — even estimated/simulated token savings are valid</w:t>
            </w:r>
          </w:p>
          <w:p>
            <w:pPr>
              <w:spacing w:after="140" w:before="0"/>
            </w:pPr>
          </w:p>
          <w:p>
            <w:pPr>
              <w:spacing w:after="100" w:before="200"/>
            </w:pPr>
            <w:r>
              <w:rPr>
                <w:rFonts w:ascii="Arial" w:cs="Arial" w:eastAsia="Arial" w:hAnsi="Arial"/>
                <w:b/>
                <w:bCs/>
                <w:color w:val="1B2F4E"/>
                <w:sz w:val="24"/>
                <w:szCs w:val="24"/>
              </w:rPr>
              <w:t xml:space="preserve">How to Submit to Arxiv</w:t>
            </w:r>
          </w:p>
          <w:p>
            <w:pPr>
              <w:pStyle w:val="ListParagraph"/>
              <w:numPr>
                <w:ilvl w:val="0"/>
                <w:numId w:val="2"/>
              </w:numPr>
              <w:spacing w:after="60" w:before="60"/>
            </w:pPr>
            <w:r>
              <w:rPr>
                <w:rFonts w:ascii="Arial" w:cs="Arial" w:eastAsia="Arial" w:hAnsi="Arial"/>
                <w:b w:val="false"/>
                <w:bCs w:val="false"/>
                <w:sz w:val="22"/>
                <w:szCs w:val="22"/>
              </w:rPr>
              <w:t xml:space="preserve">Create an account at arxiv.org</w:t>
            </w:r>
          </w:p>
          <w:p>
            <w:pPr>
              <w:pStyle w:val="ListParagraph"/>
              <w:numPr>
                <w:ilvl w:val="0"/>
                <w:numId w:val="2"/>
              </w:numPr>
              <w:spacing w:after="60" w:before="60"/>
            </w:pPr>
            <w:r>
              <w:rPr>
                <w:rFonts w:ascii="Arial" w:cs="Arial" w:eastAsia="Arial" w:hAnsi="Arial"/>
                <w:b w:val="false"/>
                <w:bCs w:val="false"/>
                <w:sz w:val="22"/>
                <w:szCs w:val="22"/>
              </w:rPr>
              <w:t xml:space="preserve">Submit under category: cs.AI (Artificial Intelligence) or cs.DC (Distributed Computing)</w:t>
            </w:r>
          </w:p>
          <w:p>
            <w:pPr>
              <w:pStyle w:val="ListParagraph"/>
              <w:numPr>
                <w:ilvl w:val="0"/>
                <w:numId w:val="2"/>
              </w:numPr>
              <w:spacing w:after="60" w:before="60"/>
            </w:pPr>
            <w:r>
              <w:rPr>
                <w:rFonts w:ascii="Arial" w:cs="Arial" w:eastAsia="Arial" w:hAnsi="Arial"/>
                <w:b w:val="false"/>
                <w:bCs w:val="false"/>
                <w:sz w:val="22"/>
                <w:szCs w:val="22"/>
              </w:rPr>
              <w:t xml:space="preserve">Affiliation: LearnHubPlay BV, Netherlands</w:t>
            </w:r>
          </w:p>
          <w:p>
            <w:pPr>
              <w:pStyle w:val="ListParagraph"/>
              <w:numPr>
                <w:ilvl w:val="0"/>
                <w:numId w:val="2"/>
              </w:numPr>
              <w:spacing w:after="60" w:before="60"/>
            </w:pPr>
            <w:r>
              <w:rPr>
                <w:rFonts w:ascii="Arial" w:cs="Arial" w:eastAsia="Arial" w:hAnsi="Arial"/>
                <w:b w:val="false"/>
                <w:bCs w:val="false"/>
                <w:sz w:val="22"/>
                <w:szCs w:val="22"/>
              </w:rPr>
              <w:t xml:space="preserve">Title suggestion: 'LokaFlow: A Cost-Optimized Hybrid LLM Orchestration Framework'</w:t>
            </w:r>
          </w:p>
          <w:p>
            <w:pPr>
              <w:pStyle w:val="ListParagraph"/>
              <w:numPr>
                <w:ilvl w:val="0"/>
                <w:numId w:val="2"/>
              </w:numPr>
              <w:spacing w:after="60" w:before="60"/>
            </w:pPr>
            <w:r>
              <w:rPr>
                <w:rFonts w:ascii="Arial" w:cs="Arial" w:eastAsia="Arial" w:hAnsi="Arial"/>
                <w:b w:val="false"/>
                <w:bCs w:val="false"/>
                <w:sz w:val="22"/>
                <w:szCs w:val="22"/>
              </w:rPr>
              <w:t xml:space="preserve">Submission is free. Processing takes 1–2 business days. You get a permanent DOI.</w:t>
            </w:r>
          </w:p>
          <w:p>
            <w:pPr>
              <w:pStyle w:val="ListParagraph"/>
              <w:numPr>
                <w:ilvl w:val="0"/>
                <w:numId w:val="2"/>
              </w:numPr>
              <w:spacing w:after="60" w:before="60"/>
            </w:pPr>
            <w:r>
              <w:rPr>
                <w:rFonts w:ascii="Arial" w:cs="Arial" w:eastAsia="Arial" w:hAnsi="Arial"/>
                <w:b w:val="false"/>
                <w:bCs w:val="false"/>
                <w:sz w:val="22"/>
                <w:szCs w:val="22"/>
              </w:rPr>
              <w:t xml:space="preserve">Once live, download and save the PDF with Arxiv timestamp — this is your prior art document</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5803D" w:sz="12"/>
                    <w:bottom w:val="none" w:color="FFFFFF" w:sz="0"/>
                    <w:right w:val="none" w:color="FFFFFF" w:sz="0"/>
                  </w:tcBorders>
                  <w:shd w:fill="DCFCE7" w:val="clear"/>
                  <w:tcMar>
                    <w:top w:type="dxa" w:w="160"/>
                    <w:left w:type="dxa" w:w="220"/>
                    <w:bottom w:type="dxa" w:w="160"/>
                    <w:right w:type="dxa" w:w="220"/>
                  </w:tcMar>
                </w:tcPr>
                <w:p>
                  <w:pPr>
                    <w:spacing w:after="80" w:before="80"/>
                  </w:pPr>
                  <w:r>
                    <w:rPr>
                      <w:rFonts w:ascii="Arial" w:cs="Arial" w:eastAsia="Arial" w:hAnsi="Arial"/>
                      <w:color w:val="15803D"/>
                      <w:sz w:val="22"/>
                      <w:szCs w:val="22"/>
                    </w:rPr>
                    <w:t xml:space="preserve">Cost: €0. Timing: publish before or at public launch. This single action effectively blocks any big tech company from patenting your core method.</w:t>
                  </w:r>
                </w:p>
              </w:tc>
            </w:tr>
          </w:tbl>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D4ED8" w:val="clear"/>
            <w:tcMar>
              <w:top w:type="dxa" w:w="120"/>
              <w:left w:type="dxa" w:w="180"/>
              <w:bottom w:type="dxa" w:w="120"/>
              <w:right w:type="dxa" w:w="180"/>
            </w:tcMar>
          </w:tcPr>
          <w:p>
            <w:r>
              <w:rPr>
                <w:rFonts w:ascii="Arial" w:cs="Arial" w:eastAsia="Arial" w:hAnsi="Arial"/>
                <w:b/>
                <w:bCs/>
                <w:color w:val="FFFFFF"/>
                <w:sz w:val="18"/>
                <w:szCs w:val="18"/>
              </w:rPr>
              <w:t xml:space="preserve">STEP 6</w:t>
            </w:r>
          </w:p>
          <w:p>
            <w:r>
              <w:rPr>
                <w:rFonts w:ascii="Arial" w:cs="Arial" w:eastAsia="Arial" w:hAnsi="Arial"/>
                <w:b/>
                <w:bCs/>
                <w:color w:val="FFFFFF"/>
                <w:sz w:val="26"/>
                <w:szCs w:val="26"/>
              </w:rPr>
              <w:t xml:space="preserve">File EUIPO Trademark — At First Revenue (€850)</w:t>
            </w:r>
          </w:p>
        </w:tc>
      </w:tr>
      <w:tr>
        <w:tc>
          <w:tcPr>
            <w:tcBorders>
              <w:top w:val="none" w:color="FFFFFF" w:sz="0"/>
              <w:left w:val="single" w:color="1D4ED8" w:sz="8"/>
              <w:bottom w:val="single" w:color="CBD5E1" w:sz="1"/>
              <w:right w:val="none" w:color="FFFFFF" w:sz="0"/>
            </w:tcBorders>
            <w:shd w:fill="FFFFFF" w:val="clear"/>
            <w:tcMar>
              <w:top w:type="dxa" w:w="160"/>
              <w:left w:type="dxa" w:w="200"/>
              <w:bottom w:type="dxa" w:w="160"/>
              <w:right w:type="dxa" w:w="200"/>
            </w:tcMar>
          </w:tcPr>
          <w:p>
            <w:pPr>
              <w:spacing w:after="100" w:before="200"/>
            </w:pPr>
            <w:r>
              <w:rPr>
                <w:rFonts w:ascii="Arial" w:cs="Arial" w:eastAsia="Arial" w:hAnsi="Arial"/>
                <w:b/>
                <w:bCs/>
                <w:color w:val="1B2F4E"/>
                <w:sz w:val="24"/>
                <w:szCs w:val="24"/>
              </w:rPr>
              <w:t xml:space="preserve">Why EUIPO — Not Dutch Trademark Office</w:t>
            </w:r>
          </w:p>
          <w:p>
            <w:pPr>
              <w:spacing w:after="80" w:before="80"/>
            </w:pPr>
            <w:r>
              <w:rPr>
                <w:rFonts w:ascii="Arial" w:cs="Arial" w:eastAsia="Arial" w:hAnsi="Arial"/>
                <w:sz w:val="22"/>
                <w:szCs w:val="22"/>
              </w:rPr>
              <w:t xml:space="preserve">Filing with EUIPO (euipo.europa.eu) gives you trademark protection across all 27 EU member states in a single application for €850. Filing with just the Dutch Benelux Office (BOIP) would only cover Netherlands, Belgium, and Luxembourg for €244 — far less value. EUIPO is the right choice for a software product with any international ambition.</w:t>
            </w:r>
          </w:p>
          <w:p>
            <w:pPr>
              <w:spacing w:after="140" w:before="0"/>
            </w:pPr>
          </w:p>
          <w:p>
            <w:pPr>
              <w:spacing w:after="100" w:before="200"/>
            </w:pPr>
            <w:r>
              <w:rPr>
                <w:rFonts w:ascii="Arial" w:cs="Arial" w:eastAsia="Arial" w:hAnsi="Arial"/>
                <w:b/>
                <w:bCs/>
                <w:color w:val="1B2F4E"/>
                <w:sz w:val="24"/>
                <w:szCs w:val="24"/>
              </w:rPr>
              <w:t xml:space="preserve">Pre-Filing Checklist — Do These Before You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Task</w:t>
                  </w:r>
                </w:p>
              </w:tc>
              <w:tc>
                <w:tcPr>
                  <w:tcW w:type="dxa" w:w="300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Why</w:t>
                  </w:r>
                </w:p>
              </w:tc>
              <w:tc>
                <w:tcPr>
                  <w:tcW w:type="dxa" w:w="336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How</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Search EUIPO eSearch database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Confirm no conflicts emerged since your initial check</w:t>
                  </w:r>
                </w:p>
              </w:tc>
              <w:tc>
                <w:tcPr>
                  <w:tcW w:type="dxa" w:w="3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euipo.europa.eu/eSearch — search 'LokaFlow' and 'Loka' in Class 42</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Search TMview database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Checks national EU trademark offices not in EUIPO</w:t>
                  </w:r>
                </w:p>
              </w:tc>
              <w:tc>
                <w:tcPr>
                  <w:tcW w:type="dxa" w:w="3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tmview.eu — same search terms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Confirm company KvK is active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Your KvK number must be valid and matching company name</w:t>
                  </w:r>
                </w:p>
              </w:tc>
              <w:tc>
                <w:tcPr>
                  <w:tcW w:type="dxa" w:w="3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kvk.nl — verify LearnHubPlay BV registration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Prepare a clean logo or wordmark</w:t>
                  </w:r>
                </w:p>
              </w:tc>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You can file a wordmark (text only) — simplest and broadest protection</w:t>
                  </w:r>
                </w:p>
              </w:tc>
              <w:tc>
                <w:tcPr>
                  <w:tcW w:type="dxa" w:w="3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Simple 'LokaFlow' text in Arial or a custom font is sufficient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Draft your goods &amp; services description</w:t>
                  </w:r>
                </w:p>
              </w:tc>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Class 42 description must be specific — see below</w:t>
                  </w:r>
                </w:p>
              </w:tc>
              <w:tc>
                <w:tcPr>
                  <w:tcW w:type="dxa" w:w="3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Use the EUIPO classification assistant</w:t>
                  </w:r>
                </w:p>
              </w:tc>
            </w:tr>
          </w:tbl>
          <w:p>
            <w:pPr>
              <w:spacing w:after="140" w:before="0"/>
            </w:pPr>
          </w:p>
          <w:p>
            <w:pPr>
              <w:spacing w:after="100" w:before="200"/>
            </w:pPr>
            <w:r>
              <w:rPr>
                <w:rFonts w:ascii="Arial" w:cs="Arial" w:eastAsia="Arial" w:hAnsi="Arial"/>
                <w:b/>
                <w:bCs/>
                <w:color w:val="1B2F4E"/>
                <w:sz w:val="24"/>
                <w:szCs w:val="24"/>
              </w:rPr>
              <w:t xml:space="preserve">Class 42 — Goods &amp; Services Description</w:t>
            </w:r>
          </w:p>
          <w:p>
            <w:pPr>
              <w:spacing w:after="80" w:before="80"/>
            </w:pPr>
            <w:r>
              <w:rPr>
                <w:rFonts w:ascii="Arial" w:cs="Arial" w:eastAsia="Arial" w:hAnsi="Arial"/>
                <w:sz w:val="22"/>
                <w:szCs w:val="22"/>
              </w:rPr>
              <w:t xml:space="preserve">Copy this description exactly when filing — it's specific enough to be accepted but broad enough to cover your product:</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8FAFC" w:val="clear"/>
                  <w:tcMar>
                    <w:top w:type="dxa" w:w="160"/>
                    <w:left w:type="dxa" w:w="220"/>
                    <w:bottom w:type="dxa" w:w="160"/>
                    <w:right w:type="dxa" w:w="220"/>
                  </w:tcMar>
                </w:tcPr>
                <w:p>
                  <w:pPr>
                    <w:spacing w:after="60" w:before="60"/>
                  </w:pPr>
                  <w:r>
                    <w:rPr>
                      <w:rFonts w:ascii="Courier New" w:cs="Courier New" w:eastAsia="Courier New" w:hAnsi="Courier New"/>
                      <w:color w:val="1E293B"/>
                      <w:sz w:val="20"/>
                      <w:szCs w:val="20"/>
                    </w:rPr>
                    <w:t xml:space="preserve">Class 42: Software as a service (SaaS); platform as a service</w:t>
                  </w:r>
                </w:p>
                <w:p>
                  <w:pPr>
                    <w:spacing w:after="60" w:before="60"/>
                  </w:pPr>
                  <w:r>
                    <w:rPr>
                      <w:rFonts w:ascii="Courier New" w:cs="Courier New" w:eastAsia="Courier New" w:hAnsi="Courier New"/>
                      <w:color w:val="1E293B"/>
                      <w:sz w:val="20"/>
                      <w:szCs w:val="20"/>
                    </w:rPr>
                    <w:t xml:space="preserve">(PaaS); AI-powered software for routing and orchestrating</w:t>
                  </w:r>
                </w:p>
                <w:p>
                  <w:pPr>
                    <w:spacing w:after="60" w:before="60"/>
                  </w:pPr>
                  <w:r>
                    <w:rPr>
                      <w:rFonts w:ascii="Courier New" w:cs="Courier New" w:eastAsia="Courier New" w:hAnsi="Courier New"/>
                      <w:color w:val="1E293B"/>
                      <w:sz w:val="20"/>
                      <w:szCs w:val="20"/>
                    </w:rPr>
                    <w:t xml:space="preserve">artificial intelligence language model tasks; software for</w:t>
                  </w:r>
                </w:p>
                <w:p>
                  <w:pPr>
                    <w:spacing w:after="60" w:before="60"/>
                  </w:pPr>
                  <w:r>
                    <w:rPr>
                      <w:rFonts w:ascii="Courier New" w:cs="Courier New" w:eastAsia="Courier New" w:hAnsi="Courier New"/>
                      <w:color w:val="1E293B"/>
                      <w:sz w:val="20"/>
                      <w:szCs w:val="20"/>
                    </w:rPr>
                    <w:t xml:space="preserve">distributing computational workloads between local and cloud-</w:t>
                  </w:r>
                </w:p>
                <w:p>
                  <w:pPr>
                    <w:spacing w:after="60" w:before="60"/>
                  </w:pPr>
                  <w:r>
                    <w:rPr>
                      <w:rFonts w:ascii="Courier New" w:cs="Courier New" w:eastAsia="Courier New" w:hAnsi="Courier New"/>
                      <w:color w:val="1E293B"/>
                      <w:sz w:val="20"/>
                      <w:szCs w:val="20"/>
                    </w:rPr>
                    <w:t xml:space="preserve">based artificial intelligence systems; software for automating</w:t>
                  </w:r>
                </w:p>
                <w:p>
                  <w:pPr>
                    <w:spacing w:after="60" w:before="60"/>
                  </w:pPr>
                  <w:r>
                    <w:rPr>
                      <w:rFonts w:ascii="Courier New" w:cs="Courier New" w:eastAsia="Courier New" w:hAnsi="Courier New"/>
                      <w:color w:val="1E293B"/>
                      <w:sz w:val="20"/>
                      <w:szCs w:val="20"/>
                    </w:rPr>
                    <w:t xml:space="preserve">workflows using artificial intelligence; computer programming;</w:t>
                  </w:r>
                </w:p>
                <w:p>
                  <w:pPr>
                    <w:spacing w:after="60" w:before="60"/>
                  </w:pPr>
                  <w:r>
                    <w:rPr>
                      <w:rFonts w:ascii="Courier New" w:cs="Courier New" w:eastAsia="Courier New" w:hAnsi="Courier New"/>
                      <w:color w:val="1E293B"/>
                      <w:sz w:val="20"/>
                      <w:szCs w:val="20"/>
                    </w:rPr>
                    <w:t xml:space="preserve">technical research and development in the field of artificial</w:t>
                  </w:r>
                </w:p>
                <w:p>
                  <w:pPr>
                    <w:spacing w:after="60" w:before="60"/>
                  </w:pPr>
                  <w:r>
                    <w:rPr>
                      <w:rFonts w:ascii="Courier New" w:cs="Courier New" w:eastAsia="Courier New" w:hAnsi="Courier New"/>
                      <w:color w:val="1E293B"/>
                      <w:sz w:val="20"/>
                      <w:szCs w:val="20"/>
                    </w:rPr>
                    <w:t xml:space="preserve">intelligence software.</w:t>
                  </w:r>
                </w:p>
              </w:tc>
            </w:tr>
          </w:tbl>
          <w:p>
            <w:pPr>
              <w:spacing w:after="140" w:before="0"/>
            </w:pPr>
          </w:p>
          <w:p>
            <w:pPr>
              <w:spacing w:after="100" w:before="200"/>
            </w:pPr>
            <w:r>
              <w:rPr>
                <w:rFonts w:ascii="Arial" w:cs="Arial" w:eastAsia="Arial" w:hAnsi="Arial"/>
                <w:b/>
                <w:bCs/>
                <w:color w:val="1B2F4E"/>
                <w:sz w:val="24"/>
                <w:szCs w:val="24"/>
              </w:rPr>
              <w:t xml:space="preserve">How to File — Step by Step on EUIPO.europa.eu</w:t>
            </w:r>
          </w:p>
          <w:p>
            <w:pPr>
              <w:pStyle w:val="ListParagraph"/>
              <w:numPr>
                <w:ilvl w:val="0"/>
                <w:numId w:val="3"/>
              </w:numPr>
              <w:spacing w:after="60" w:before="60"/>
            </w:pPr>
            <w:r>
              <w:rPr>
                <w:rFonts w:ascii="Arial" w:cs="Arial" w:eastAsia="Arial" w:hAnsi="Arial"/>
                <w:sz w:val="22"/>
                <w:szCs w:val="22"/>
              </w:rPr>
              <w:t xml:space="preserve">Go to euipo.europa.eu → Click 'Apply for a trade mark' → Create an account using your LearnHubPlay BV company details</w:t>
            </w:r>
          </w:p>
          <w:p>
            <w:pPr>
              <w:pStyle w:val="ListParagraph"/>
              <w:numPr>
                <w:ilvl w:val="0"/>
                <w:numId w:val="3"/>
              </w:numPr>
              <w:spacing w:after="60" w:before="60"/>
            </w:pPr>
            <w:r>
              <w:rPr>
                <w:rFonts w:ascii="Arial" w:cs="Arial" w:eastAsia="Arial" w:hAnsi="Arial"/>
                <w:sz w:val="22"/>
                <w:szCs w:val="22"/>
              </w:rPr>
              <w:t xml:space="preserve">Choose application type: EUTM (European Union Trade Mark) — standard application</w:t>
            </w:r>
          </w:p>
          <w:p>
            <w:pPr>
              <w:pStyle w:val="ListParagraph"/>
              <w:numPr>
                <w:ilvl w:val="0"/>
                <w:numId w:val="3"/>
              </w:numPr>
              <w:spacing w:after="60" w:before="60"/>
            </w:pPr>
            <w:r>
              <w:rPr>
                <w:rFonts w:ascii="Arial" w:cs="Arial" w:eastAsia="Arial" w:hAnsi="Arial"/>
                <w:sz w:val="22"/>
                <w:szCs w:val="22"/>
              </w:rPr>
              <w:t xml:space="preserve">Mark type: Word Mark (just the text 'LokaFlow') — this gives broadest protection, covers all fonts and colors</w:t>
            </w:r>
          </w:p>
          <w:p>
            <w:pPr>
              <w:pStyle w:val="ListParagraph"/>
              <w:numPr>
                <w:ilvl w:val="0"/>
                <w:numId w:val="3"/>
              </w:numPr>
              <w:spacing w:after="60" w:before="60"/>
            </w:pPr>
            <w:r>
              <w:rPr>
                <w:rFonts w:ascii="Arial" w:cs="Arial" w:eastAsia="Arial" w:hAnsi="Arial"/>
                <w:sz w:val="22"/>
                <w:szCs w:val="22"/>
              </w:rPr>
              <w:t xml:space="preserve">Enter the mark: LokaFlow — exactly as written, no ™ symbol in the application</w:t>
            </w:r>
          </w:p>
          <w:p>
            <w:pPr>
              <w:pStyle w:val="ListParagraph"/>
              <w:numPr>
                <w:ilvl w:val="0"/>
                <w:numId w:val="3"/>
              </w:numPr>
              <w:spacing w:after="60" w:before="60"/>
            </w:pPr>
            <w:r>
              <w:rPr>
                <w:rFonts w:ascii="Arial" w:cs="Arial" w:eastAsia="Arial" w:hAnsi="Arial"/>
                <w:sz w:val="22"/>
                <w:szCs w:val="22"/>
              </w:rPr>
              <w:t xml:space="preserve">Select class: Class 42 — paste your description from above</w:t>
            </w:r>
          </w:p>
          <w:p>
            <w:pPr>
              <w:pStyle w:val="ListParagraph"/>
              <w:numPr>
                <w:ilvl w:val="0"/>
                <w:numId w:val="3"/>
              </w:numPr>
              <w:spacing w:after="60" w:before="60"/>
            </w:pPr>
            <w:r>
              <w:rPr>
                <w:rFonts w:ascii="Arial" w:cs="Arial" w:eastAsia="Arial" w:hAnsi="Arial"/>
                <w:sz w:val="22"/>
                <w:szCs w:val="22"/>
              </w:rPr>
              <w:t xml:space="preserve">Owner details: LearnHubPlay BV, KvK number, registered Netherlands address</w:t>
            </w:r>
          </w:p>
          <w:p>
            <w:pPr>
              <w:pStyle w:val="ListParagraph"/>
              <w:numPr>
                <w:ilvl w:val="0"/>
                <w:numId w:val="3"/>
              </w:numPr>
              <w:spacing w:after="60" w:before="60"/>
            </w:pPr>
            <w:r>
              <w:rPr>
                <w:rFonts w:ascii="Arial" w:cs="Arial" w:eastAsia="Arial" w:hAnsi="Arial"/>
                <w:sz w:val="22"/>
                <w:szCs w:val="22"/>
              </w:rPr>
              <w:t xml:space="preserve">Payment: €850 by credit card or bank transfer — EUIPO accepts both</w:t>
            </w:r>
          </w:p>
          <w:p>
            <w:pPr>
              <w:pStyle w:val="ListParagraph"/>
              <w:numPr>
                <w:ilvl w:val="0"/>
                <w:numId w:val="3"/>
              </w:numPr>
              <w:spacing w:after="60" w:before="60"/>
            </w:pPr>
            <w:r>
              <w:rPr>
                <w:rFonts w:ascii="Arial" w:cs="Arial" w:eastAsia="Arial" w:hAnsi="Arial"/>
                <w:sz w:val="22"/>
                <w:szCs w:val="22"/>
              </w:rPr>
              <w:t xml:space="preserve">Submit — you receive a filing receipt with your application number and official filing date</w:t>
            </w:r>
          </w:p>
          <w:p>
            <w:pPr>
              <w:pStyle w:val="ListParagraph"/>
              <w:numPr>
                <w:ilvl w:val="0"/>
                <w:numId w:val="3"/>
              </w:numPr>
              <w:spacing w:after="60" w:before="60"/>
            </w:pPr>
            <w:r>
              <w:rPr>
                <w:rFonts w:ascii="Arial" w:cs="Arial" w:eastAsia="Arial" w:hAnsi="Arial"/>
                <w:sz w:val="22"/>
                <w:szCs w:val="22"/>
              </w:rPr>
              <w:t xml:space="preserve">After submission: EUIPO examines within 1–2 months, then publishes for opposition (3-month period), then registers</w:t>
            </w:r>
          </w:p>
          <w:p>
            <w:pPr>
              <w:spacing w:after="140" w:before="0"/>
            </w:pPr>
          </w:p>
          <w:p>
            <w:pPr>
              <w:spacing w:after="100" w:before="200"/>
            </w:pPr>
            <w:r>
              <w:rPr>
                <w:rFonts w:ascii="Arial" w:cs="Arial" w:eastAsia="Arial" w:hAnsi="Arial"/>
                <w:b/>
                <w:bCs/>
                <w:color w:val="1B2F4E"/>
                <w:sz w:val="24"/>
                <w:szCs w:val="24"/>
              </w:rPr>
              <w:t xml:space="preserve">After Filing — What Happens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80"/>
              <w:gridCol w:w="3480"/>
            </w:tblGrid>
            <w:tr>
              <w:tc>
                <w:tcPr>
                  <w:tcW w:type="dxa" w:w="120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Month</w:t>
                  </w:r>
                </w:p>
              </w:tc>
              <w:tc>
                <w:tcPr>
                  <w:tcW w:type="dxa" w:w="468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What Happens</w:t>
                  </w:r>
                </w:p>
              </w:tc>
              <w:tc>
                <w:tcPr>
                  <w:tcW w:type="dxa" w:w="348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Action Required</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Month 1–2</w:t>
                  </w:r>
                </w:p>
              </w:tc>
              <w:tc>
                <w:tcPr>
                  <w:tcW w:type="dxa" w:w="46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EUIPO examines your application for absolute grounds (no generic terms, no descriptive marks)</w:t>
                  </w:r>
                </w:p>
              </w:tc>
              <w:tc>
                <w:tcPr>
                  <w:tcW w:type="dxa" w:w="34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None — wait for examination report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Month 2–3</w:t>
                  </w:r>
                </w:p>
              </w:tc>
              <w:tc>
                <w:tcPr>
                  <w:tcW w:type="dxa" w:w="4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Application published in EUIPO Official Journal — 3-month opposition window opens</w:t>
                  </w:r>
                </w:p>
              </w:tc>
              <w:tc>
                <w:tcPr>
                  <w:tcW w:type="dxa" w:w="34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Monitor for oppositions. Unlikely with LokaFlow.</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Month 6</w:t>
                  </w:r>
                </w:p>
              </w:tc>
              <w:tc>
                <w:tcPr>
                  <w:tcW w:type="dxa" w:w="46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If no oppositions: trademark registered. Certificate issued.</w:t>
                  </w:r>
                </w:p>
              </w:tc>
              <w:tc>
                <w:tcPr>
                  <w:tcW w:type="dxa" w:w="34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Download and save your registration certificate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Every 10 yrs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Renewal required — €850 per renewal</w:t>
                  </w:r>
                </w:p>
              </w:tc>
              <w:tc>
                <w:tcPr>
                  <w:tcW w:type="dxa" w:w="34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Set a calendar reminder for 10 years from filing date</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66E" w:sz="12"/>
                    <w:bottom w:val="none" w:color="FFFFFF" w:sz="0"/>
                    <w:right w:val="none" w:color="FFFFFF" w:sz="0"/>
                  </w:tcBorders>
                  <w:shd w:fill="CCFBF1" w:val="clear"/>
                  <w:tcMar>
                    <w:top w:type="dxa" w:w="160"/>
                    <w:left w:type="dxa" w:w="220"/>
                    <w:bottom w:type="dxa" w:w="160"/>
                    <w:right w:type="dxa" w:w="220"/>
                  </w:tcMar>
                </w:tcPr>
                <w:p>
                  <w:pPr>
                    <w:spacing w:after="80" w:before="80"/>
                  </w:pPr>
                  <w:r>
                    <w:rPr>
                      <w:rFonts w:ascii="Arial" w:cs="Arial" w:eastAsia="Arial" w:hAnsi="Arial"/>
                      <w:color w:val="0F766E"/>
                      <w:sz w:val="22"/>
                      <w:szCs w:val="22"/>
                    </w:rPr>
                    <w:t xml:space="preserve">From filing date — not registration date — you have full trademark rights. If someone uses LokaFlow commercially after your filing date, you can take action even while the application is still being processed.</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45309" w:sz="12"/>
                    <w:bottom w:val="none" w:color="FFFFFF" w:sz="0"/>
                    <w:right w:val="none" w:color="FFFFFF" w:sz="0"/>
                  </w:tcBorders>
                  <w:shd w:fill="FEF3C7" w:val="clear"/>
                  <w:tcMar>
                    <w:top w:type="dxa" w:w="160"/>
                    <w:left w:type="dxa" w:w="220"/>
                    <w:bottom w:type="dxa" w:w="160"/>
                    <w:right w:type="dxa" w:w="220"/>
                  </w:tcMar>
                </w:tcPr>
                <w:p>
                  <w:pPr>
                    <w:spacing w:after="80" w:before="80"/>
                  </w:pPr>
                  <w:r>
                    <w:rPr>
                      <w:rFonts w:ascii="Arial" w:cs="Arial" w:eastAsia="Arial" w:hAnsi="Arial"/>
                      <w:color w:val="B45309"/>
                      <w:sz w:val="22"/>
                      <w:szCs w:val="22"/>
                    </w:rPr>
                    <w:t xml:space="preserve">Important: Do NOT use the ® symbol until the trademark is officially registered (approximately 6 months after filing). Using ® before registration is a legal offence in the EU. Continue using ™ until you receive the registration certificate.</w:t>
                  </w:r>
                </w:p>
              </w:tc>
            </w:tr>
          </w:tbl>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766E" w:val="clear"/>
            <w:tcMar>
              <w:top w:type="dxa" w:w="120"/>
              <w:left w:type="dxa" w:w="180"/>
              <w:bottom w:type="dxa" w:w="120"/>
              <w:right w:type="dxa" w:w="180"/>
            </w:tcMar>
          </w:tcPr>
          <w:p>
            <w:r>
              <w:rPr>
                <w:rFonts w:ascii="Arial" w:cs="Arial" w:eastAsia="Arial" w:hAnsi="Arial"/>
                <w:b/>
                <w:bCs/>
                <w:color w:val="FFFFFF"/>
                <w:sz w:val="18"/>
                <w:szCs w:val="18"/>
              </w:rPr>
              <w:t xml:space="preserve">STEP 7</w:t>
            </w:r>
          </w:p>
          <w:p>
            <w:r>
              <w:rPr>
                <w:rFonts w:ascii="Arial" w:cs="Arial" w:eastAsia="Arial" w:hAnsi="Arial"/>
                <w:b/>
                <w:bCs/>
                <w:color w:val="FFFFFF"/>
                <w:sz w:val="26"/>
                <w:szCs w:val="26"/>
              </w:rPr>
              <w:t xml:space="preserve">Set Up Commercial Licensing Page (Before First Company User — Free)</w:t>
            </w:r>
          </w:p>
        </w:tc>
      </w:tr>
      <w:tr>
        <w:tc>
          <w:tcPr>
            <w:tcBorders>
              <w:top w:val="none" w:color="FFFFFF" w:sz="0"/>
              <w:left w:val="single" w:color="0F766E" w:sz="8"/>
              <w:bottom w:val="single" w:color="CBD5E1" w:sz="1"/>
              <w:right w:val="none" w:color="FFFFFF" w:sz="0"/>
            </w:tcBorders>
            <w:shd w:fill="FFFFFF" w:val="clear"/>
            <w:tcMar>
              <w:top w:type="dxa" w:w="160"/>
              <w:left w:type="dxa" w:w="200"/>
              <w:bottom w:type="dxa" w:w="160"/>
              <w:right w:type="dxa" w:w="200"/>
            </w:tcMar>
          </w:tcPr>
          <w:p>
            <w:pPr>
              <w:spacing w:after="100" w:before="200"/>
            </w:pPr>
            <w:r>
              <w:rPr>
                <w:rFonts w:ascii="Arial" w:cs="Arial" w:eastAsia="Arial" w:hAnsi="Arial"/>
                <w:b/>
                <w:bCs/>
                <w:color w:val="1B2F4E"/>
                <w:sz w:val="24"/>
                <w:szCs w:val="24"/>
              </w:rPr>
              <w:t xml:space="preserve">Why You Need This</w:t>
            </w:r>
          </w:p>
          <w:p>
            <w:pPr>
              <w:spacing w:after="80" w:before="80"/>
            </w:pPr>
            <w:r>
              <w:rPr>
                <w:rFonts w:ascii="Arial" w:cs="Arial" w:eastAsia="Arial" w:hAnsi="Arial"/>
                <w:sz w:val="22"/>
                <w:szCs w:val="22"/>
              </w:rPr>
              <w:t xml:space="preserve">The BUSL license in your GitHub repo is the legal protection. But companies need a clear, human-readable page explaining how to get a commercial license. Without this, companies either ignore your license or use the software without paying — not out of bad faith, but because there's no obvious path to compliance.</w:t>
            </w:r>
          </w:p>
          <w:p>
            <w:pPr>
              <w:spacing w:after="140" w:before="0"/>
            </w:pPr>
          </w:p>
          <w:p>
            <w:pPr>
              <w:spacing w:after="100" w:before="200"/>
            </w:pPr>
            <w:r>
              <w:rPr>
                <w:rFonts w:ascii="Arial" w:cs="Arial" w:eastAsia="Arial" w:hAnsi="Arial"/>
                <w:b/>
                <w:bCs/>
                <w:color w:val="1B2F4E"/>
                <w:sz w:val="24"/>
                <w:szCs w:val="24"/>
              </w:rPr>
              <w:t xml:space="preserve">What the Page Must Include</w:t>
            </w:r>
          </w:p>
          <w:p>
            <w:pPr>
              <w:pStyle w:val="ListParagraph"/>
              <w:numPr>
                <w:ilvl w:val="0"/>
                <w:numId w:val="2"/>
              </w:numPr>
              <w:spacing w:after="60" w:before="60"/>
            </w:pPr>
            <w:r>
              <w:rPr>
                <w:rFonts w:ascii="Arial" w:cs="Arial" w:eastAsia="Arial" w:hAnsi="Arial"/>
                <w:b w:val="false"/>
                <w:bCs w:val="false"/>
                <w:sz w:val="22"/>
                <w:szCs w:val="22"/>
              </w:rPr>
              <w:t xml:space="preserve">Clear statement: 'LokaFlow™ is free for individuals and non-commercial use'</w:t>
            </w:r>
          </w:p>
          <w:p>
            <w:pPr>
              <w:pStyle w:val="ListParagraph"/>
              <w:numPr>
                <w:ilvl w:val="0"/>
                <w:numId w:val="2"/>
              </w:numPr>
              <w:spacing w:after="60" w:before="60"/>
            </w:pPr>
            <w:r>
              <w:rPr>
                <w:rFonts w:ascii="Arial" w:cs="Arial" w:eastAsia="Arial" w:hAnsi="Arial"/>
                <w:b w:val="false"/>
                <w:bCs w:val="false"/>
                <w:sz w:val="22"/>
                <w:szCs w:val="22"/>
              </w:rPr>
              <w:t xml:space="preserve">Clear statement: 'Commercial use requires a license from LearnHubPlay BV'</w:t>
            </w:r>
          </w:p>
          <w:p>
            <w:pPr>
              <w:pStyle w:val="ListParagraph"/>
              <w:numPr>
                <w:ilvl w:val="0"/>
                <w:numId w:val="2"/>
              </w:numPr>
              <w:spacing w:after="60" w:before="60"/>
            </w:pPr>
            <w:r>
              <w:rPr>
                <w:rFonts w:ascii="Arial" w:cs="Arial" w:eastAsia="Arial" w:hAnsi="Arial"/>
                <w:b w:val="false"/>
                <w:bCs w:val="false"/>
                <w:sz w:val="22"/>
                <w:szCs w:val="22"/>
              </w:rPr>
              <w:t xml:space="preserve">Definition of commercial use: any organization generating revenue or with 3+ employees</w:t>
            </w:r>
          </w:p>
          <w:p>
            <w:pPr>
              <w:pStyle w:val="ListParagraph"/>
              <w:numPr>
                <w:ilvl w:val="0"/>
                <w:numId w:val="2"/>
              </w:numPr>
              <w:spacing w:after="60" w:before="60"/>
            </w:pPr>
            <w:r>
              <w:rPr>
                <w:rFonts w:ascii="Arial" w:cs="Arial" w:eastAsia="Arial" w:hAnsi="Arial"/>
                <w:b w:val="false"/>
                <w:bCs w:val="false"/>
                <w:sz w:val="22"/>
                <w:szCs w:val="22"/>
              </w:rPr>
              <w:t xml:space="preserve">Your pricing tiers (see below)</w:t>
            </w:r>
          </w:p>
          <w:p>
            <w:pPr>
              <w:pStyle w:val="ListParagraph"/>
              <w:numPr>
                <w:ilvl w:val="0"/>
                <w:numId w:val="2"/>
              </w:numPr>
              <w:spacing w:after="60" w:before="60"/>
            </w:pPr>
            <w:r>
              <w:rPr>
                <w:rFonts w:ascii="Arial" w:cs="Arial" w:eastAsia="Arial" w:hAnsi="Arial"/>
                <w:b w:val="false"/>
                <w:bCs w:val="false"/>
                <w:sz w:val="22"/>
                <w:szCs w:val="22"/>
              </w:rPr>
              <w:t xml:space="preserve">Contact method: email address for license inquiries</w:t>
            </w:r>
          </w:p>
          <w:p>
            <w:pPr>
              <w:pStyle w:val="ListParagraph"/>
              <w:numPr>
                <w:ilvl w:val="0"/>
                <w:numId w:val="2"/>
              </w:numPr>
              <w:spacing w:after="60" w:before="60"/>
            </w:pPr>
            <w:r>
              <w:rPr>
                <w:rFonts w:ascii="Arial" w:cs="Arial" w:eastAsia="Arial" w:hAnsi="Arial"/>
                <w:b w:val="false"/>
                <w:bCs w:val="false"/>
                <w:sz w:val="22"/>
                <w:szCs w:val="22"/>
              </w:rPr>
              <w:t xml:space="preserve">Link to the full BUSL license text</w:t>
            </w:r>
          </w:p>
          <w:p>
            <w:pPr>
              <w:spacing w:after="140" w:before="0"/>
            </w:pPr>
          </w:p>
          <w:p>
            <w:pPr>
              <w:spacing w:after="100" w:before="200"/>
            </w:pPr>
            <w:r>
              <w:rPr>
                <w:rFonts w:ascii="Arial" w:cs="Arial" w:eastAsia="Arial" w:hAnsi="Arial"/>
                <w:b/>
                <w:bCs/>
                <w:color w:val="1B2F4E"/>
                <w:sz w:val="24"/>
                <w:szCs w:val="24"/>
              </w:rPr>
              <w:t xml:space="preserve">Suggested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400"/>
              <w:gridCol w:w="3960"/>
            </w:tblGrid>
            <w:tr>
              <w:tc>
                <w:tcPr>
                  <w:tcW w:type="dxa" w:w="120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Tier</w:t>
                  </w:r>
                </w:p>
              </w:tc>
              <w:tc>
                <w:tcPr>
                  <w:tcW w:type="dxa" w:w="280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Who</w:t>
                  </w:r>
                </w:p>
              </w:tc>
              <w:tc>
                <w:tcPr>
                  <w:tcW w:type="dxa" w:w="140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Price</w:t>
                  </w:r>
                </w:p>
              </w:tc>
              <w:tc>
                <w:tcPr>
                  <w:tcW w:type="dxa" w:w="396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Includes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Community</w:t>
                  </w:r>
                </w:p>
              </w:tc>
              <w:tc>
                <w:tcPr>
                  <w:tcW w:type="dxa" w:w="2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Individuals, students, hobbyists, OSS projects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Free</w:t>
                  </w:r>
                </w:p>
              </w:tc>
              <w:tc>
                <w:tcPr>
                  <w:tcW w:type="dxa" w:w="39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Full platform, community support, must display attribution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Startup</w:t>
                  </w:r>
                </w:p>
              </w:tc>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Companies &lt; €500K ARR or &lt; 10 employees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€99/month</w:t>
                  </w:r>
                </w:p>
              </w:tc>
              <w:tc>
                <w:tcPr>
                  <w:tcW w:type="dxa" w:w="3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Commercial use, email support, no attribution required</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Business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Companies €500K–€5M ARR</w:t>
                  </w:r>
                </w:p>
              </w:tc>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€499/month</w:t>
                  </w:r>
                </w:p>
              </w:tc>
              <w:tc>
                <w:tcPr>
                  <w:tcW w:type="dxa" w:w="39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Priority support, SLA, audit logs, compliance documentation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Enterprise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Companies &gt; €5M ARR or 100+ employees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Custom</w:t>
                  </w:r>
                </w:p>
              </w:tc>
              <w:tc>
                <w:tcPr>
                  <w:tcW w:type="dxa" w:w="3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Custom deployment, dedicated support, custom SLA, SSO</w:t>
                  </w:r>
                </w:p>
              </w:tc>
            </w:tr>
          </w:tbl>
          <w:p>
            <w:pPr>
              <w:spacing w:after="140" w:before="0"/>
            </w:pPr>
          </w:p>
          <w:p>
            <w:pPr>
              <w:spacing w:after="100" w:before="200"/>
            </w:pPr>
            <w:r>
              <w:rPr>
                <w:rFonts w:ascii="Arial" w:cs="Arial" w:eastAsia="Arial" w:hAnsi="Arial"/>
                <w:b/>
                <w:bCs/>
                <w:color w:val="1B2F4E"/>
                <w:sz w:val="24"/>
                <w:szCs w:val="24"/>
              </w:rPr>
              <w:t xml:space="preserve">CLA (Contributor License Agreement) — Add Before First PR</w:t>
            </w:r>
          </w:p>
          <w:p>
            <w:pPr>
              <w:spacing w:after="80" w:before="80"/>
            </w:pPr>
            <w:r>
              <w:rPr>
                <w:rFonts w:ascii="Arial" w:cs="Arial" w:eastAsia="Arial" w:hAnsi="Arial"/>
                <w:sz w:val="22"/>
                <w:szCs w:val="22"/>
              </w:rPr>
              <w:t xml:space="preserve">Add this to your CONTRIBUTING.md file in GitHub before you accept any pull requests from external contributors:</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8FAFC" w:val="clear"/>
                  <w:tcMar>
                    <w:top w:type="dxa" w:w="160"/>
                    <w:left w:type="dxa" w:w="220"/>
                    <w:bottom w:type="dxa" w:w="160"/>
                    <w:right w:type="dxa" w:w="220"/>
                  </w:tcMar>
                </w:tcPr>
                <w:p>
                  <w:pPr>
                    <w:spacing w:after="60" w:before="60"/>
                  </w:pPr>
                  <w:r>
                    <w:rPr>
                      <w:rFonts w:ascii="Courier New" w:cs="Courier New" w:eastAsia="Courier New" w:hAnsi="Courier New"/>
                      <w:color w:val="1E293B"/>
                      <w:sz w:val="20"/>
                      <w:szCs w:val="20"/>
                    </w:rPr>
                    <w:t xml:space="preserve">## Contributor License Agreement</w:t>
                  </w:r>
                </w:p>
                <w:p>
                  <w:pPr>
                    <w:spacing w:after="60" w:before="60"/>
                  </w:pPr>
                  <w:r>
                    <w:rPr>
                      <w:rFonts w:ascii="Courier New" w:cs="Courier New" w:eastAsia="Courier New" w:hAnsi="Courier New"/>
                      <w:color w:val="1E293B"/>
                      <w:sz w:val="20"/>
                      <w:szCs w:val="20"/>
                    </w:rPr>
                    <w:t xml:space="preserve"/>
                  </w:r>
                </w:p>
                <w:p>
                  <w:pPr>
                    <w:spacing w:after="60" w:before="60"/>
                  </w:pPr>
                  <w:r>
                    <w:rPr>
                      <w:rFonts w:ascii="Courier New" w:cs="Courier New" w:eastAsia="Courier New" w:hAnsi="Courier New"/>
                      <w:color w:val="1E293B"/>
                      <w:sz w:val="20"/>
                      <w:szCs w:val="20"/>
                    </w:rPr>
                    <w:t xml:space="preserve">By submitting a pull request to this repository, you agree</w:t>
                  </w:r>
                </w:p>
                <w:p>
                  <w:pPr>
                    <w:spacing w:after="60" w:before="60"/>
                  </w:pPr>
                  <w:r>
                    <w:rPr>
                      <w:rFonts w:ascii="Courier New" w:cs="Courier New" w:eastAsia="Courier New" w:hAnsi="Courier New"/>
                      <w:color w:val="1E293B"/>
                      <w:sz w:val="20"/>
                      <w:szCs w:val="20"/>
                    </w:rPr>
                    <w:t xml:space="preserve">that LearnHubPlay BV may use your contribution under any</w:t>
                  </w:r>
                </w:p>
                <w:p>
                  <w:pPr>
                    <w:spacing w:after="60" w:before="60"/>
                  </w:pPr>
                  <w:r>
                    <w:rPr>
                      <w:rFonts w:ascii="Courier New" w:cs="Courier New" w:eastAsia="Courier New" w:hAnsi="Courier New"/>
                      <w:color w:val="1E293B"/>
                      <w:sz w:val="20"/>
                      <w:szCs w:val="20"/>
                    </w:rPr>
                    <w:t xml:space="preserve">license, including commercial licenses, and that you have</w:t>
                  </w:r>
                </w:p>
                <w:p>
                  <w:pPr>
                    <w:spacing w:after="60" w:before="60"/>
                  </w:pPr>
                  <w:r>
                    <w:rPr>
                      <w:rFonts w:ascii="Courier New" w:cs="Courier New" w:eastAsia="Courier New" w:hAnsi="Courier New"/>
                      <w:color w:val="1E293B"/>
                      <w:sz w:val="20"/>
                      <w:szCs w:val="20"/>
                    </w:rPr>
                    <w:t xml:space="preserve">the right to grant this license. You retain copyright of</w:t>
                  </w:r>
                </w:p>
                <w:p>
                  <w:pPr>
                    <w:spacing w:after="60" w:before="60"/>
                  </w:pPr>
                  <w:r>
                    <w:rPr>
                      <w:rFonts w:ascii="Courier New" w:cs="Courier New" w:eastAsia="Courier New" w:hAnsi="Courier New"/>
                      <w:color w:val="1E293B"/>
                      <w:sz w:val="20"/>
                      <w:szCs w:val="20"/>
                    </w:rPr>
                    <w:t xml:space="preserve">your contribution but grant LearnHubPlay BV a perpetual,</w:t>
                  </w:r>
                </w:p>
                <w:p>
                  <w:pPr>
                    <w:spacing w:after="60" w:before="60"/>
                  </w:pPr>
                  <w:r>
                    <w:rPr>
                      <w:rFonts w:ascii="Courier New" w:cs="Courier New" w:eastAsia="Courier New" w:hAnsi="Courier New"/>
                      <w:color w:val="1E293B"/>
                      <w:sz w:val="20"/>
                      <w:szCs w:val="20"/>
                    </w:rPr>
                    <w:t xml:space="preserve">worldwide, non-exclusive, royalty-free license to use,</w:t>
                  </w:r>
                </w:p>
                <w:p>
                  <w:pPr>
                    <w:spacing w:after="60" w:before="60"/>
                  </w:pPr>
                  <w:r>
                    <w:rPr>
                      <w:rFonts w:ascii="Courier New" w:cs="Courier New" w:eastAsia="Courier New" w:hAnsi="Courier New"/>
                      <w:color w:val="1E293B"/>
                      <w:sz w:val="20"/>
                      <w:szCs w:val="20"/>
                    </w:rPr>
                    <w:t xml:space="preserve">reproduce, modify, and distribute your contribution.</w:t>
                  </w:r>
                </w:p>
                <w:p>
                  <w:pPr>
                    <w:spacing w:after="60" w:before="60"/>
                  </w:pPr>
                  <w:r>
                    <w:rPr>
                      <w:rFonts w:ascii="Courier New" w:cs="Courier New" w:eastAsia="Courier New" w:hAnsi="Courier New"/>
                      <w:color w:val="1E293B"/>
                      <w:sz w:val="20"/>
                      <w:szCs w:val="20"/>
                    </w:rPr>
                    <w:t xml:space="preserve"/>
                  </w:r>
                </w:p>
                <w:p>
                  <w:pPr>
                    <w:spacing w:after="60" w:before="60"/>
                  </w:pPr>
                  <w:r>
                    <w:rPr>
                      <w:rFonts w:ascii="Courier New" w:cs="Courier New" w:eastAsia="Courier New" w:hAnsi="Courier New"/>
                      <w:color w:val="1E293B"/>
                      <w:sz w:val="20"/>
                      <w:szCs w:val="20"/>
                    </w:rPr>
                    <w:t xml:space="preserve">Full CLA: [link to CLA page on your website]</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5803D" w:sz="12"/>
                    <w:bottom w:val="none" w:color="FFFFFF" w:sz="0"/>
                    <w:right w:val="none" w:color="FFFFFF" w:sz="0"/>
                  </w:tcBorders>
                  <w:shd w:fill="DCFCE7" w:val="clear"/>
                  <w:tcMar>
                    <w:top w:type="dxa" w:w="160"/>
                    <w:left w:type="dxa" w:w="220"/>
                    <w:bottom w:type="dxa" w:w="160"/>
                    <w:right w:type="dxa" w:w="220"/>
                  </w:tcMar>
                </w:tcPr>
                <w:p>
                  <w:pPr>
                    <w:spacing w:after="80" w:before="80"/>
                  </w:pPr>
                  <w:r>
                    <w:rPr>
                      <w:rFonts w:ascii="Arial" w:cs="Arial" w:eastAsia="Arial" w:hAnsi="Arial"/>
                      <w:color w:val="15803D"/>
                      <w:sz w:val="22"/>
                      <w:szCs w:val="22"/>
                    </w:rPr>
                    <w:t xml:space="preserve">Cost: €0. This prevents contributors from claiming ownership of the product you built and blocking your commercial license later.</w:t>
                  </w:r>
                </w:p>
              </w:tc>
            </w:tr>
          </w:tbl>
          <w:p/>
        </w:tc>
      </w:tr>
    </w:tbl>
    <w:p>
      <w:pPr>
        <w:spacing w:after="140" w:before="0"/>
      </w:pPr>
    </w:p>
    <w:p>
      <w:pPr>
        <w:pStyle w:val="Heading1"/>
        <w:spacing w:after="200" w:before="480"/>
      </w:pPr>
      <w:r>
        <w:rPr>
          <w:rFonts w:ascii="Arial" w:cs="Arial" w:eastAsia="Arial" w:hAnsi="Arial"/>
          <w:b/>
          <w:bCs/>
          <w:color w:val="1B2F4E"/>
          <w:sz w:val="40"/>
          <w:szCs w:val="40"/>
        </w:rPr>
        <w:t xml:space="preserve">4. Complete Cost Summary</w:t>
      </w:r>
    </w:p>
    <w:p>
      <w:pPr>
        <w:pBdr>
          <w:bottom w:val="single" w:color="0F766E" w:sz="6" w:space="1"/>
        </w:pBdr>
        <w:spacing w:after="160" w:before="160"/>
      </w:pP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2160"/>
        <w:gridCol w:w="2600"/>
      </w:tblGrid>
      <w:tr>
        <w:tc>
          <w:tcPr>
            <w:tcW w:type="dxa" w:w="340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Action</w:t>
            </w:r>
          </w:p>
        </w:tc>
        <w:tc>
          <w:tcPr>
            <w:tcW w:type="dxa" w:w="120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Cost</w:t>
            </w:r>
          </w:p>
        </w:tc>
        <w:tc>
          <w:tcPr>
            <w:tcW w:type="dxa" w:w="216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When</w:t>
            </w:r>
          </w:p>
        </w:tc>
        <w:tc>
          <w:tcPr>
            <w:tcW w:type="dxa" w:w="260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Can Be Delayed?</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Register lokaflow.com</w:t>
            </w:r>
          </w:p>
        </w:tc>
        <w:tc>
          <w:tcPr>
            <w:tcW w:type="dxa" w:w="1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€10–12/yr</w:t>
            </w:r>
          </w:p>
        </w:tc>
        <w:tc>
          <w:tcPr>
            <w:tcW w:type="dxa" w:w="2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TODAY</w:t>
            </w:r>
          </w:p>
        </w:tc>
        <w:tc>
          <w:tcPr>
            <w:tcW w:type="dxa" w:w="2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B91C1C"/>
                <w:sz w:val="20"/>
                <w:szCs w:val="20"/>
              </w:rPr>
              <w:t xml:space="preserve">❌ No — risk of losing the name</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Register lokaflow.nl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€5–8/yr</w:t>
            </w:r>
          </w:p>
        </w:tc>
        <w:tc>
          <w:tcPr>
            <w:tcW w:type="dxa" w:w="2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TODAY</w:t>
            </w:r>
          </w:p>
        </w:tc>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B91C1C"/>
                <w:sz w:val="20"/>
                <w:szCs w:val="20"/>
              </w:rPr>
              <w:t xml:space="preserve">❌ No — your home market</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COPYRIGHT.md + LICENSE file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€0</w:t>
            </w:r>
          </w:p>
        </w:tc>
        <w:tc>
          <w:tcPr>
            <w:tcW w:type="dxa" w:w="2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TODAY</w:t>
            </w:r>
          </w:p>
        </w:tc>
        <w:tc>
          <w:tcPr>
            <w:tcW w:type="dxa" w:w="2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B91C1C"/>
                <w:sz w:val="20"/>
                <w:szCs w:val="20"/>
              </w:rPr>
              <w:t xml:space="preserve">❌ No — free, takes 10 min</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GitHub first commit + email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€0</w:t>
            </w:r>
          </w:p>
        </w:tc>
        <w:tc>
          <w:tcPr>
            <w:tcW w:type="dxa" w:w="2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TODAY</w:t>
            </w:r>
          </w:p>
        </w:tc>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B91C1C"/>
                <w:sz w:val="20"/>
                <w:szCs w:val="20"/>
              </w:rPr>
              <w:t xml:space="preserve">❌ No — your timestamp evidence</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IP Assignment Agreement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€0</w:t>
            </w:r>
          </w:p>
        </w:tc>
        <w:tc>
          <w:tcPr>
            <w:tcW w:type="dxa" w:w="2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This week</w:t>
            </w:r>
          </w:p>
        </w:tc>
        <w:tc>
          <w:tcPr>
            <w:tcW w:type="dxa" w:w="2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B45309"/>
                <w:sz w:val="20"/>
                <w:szCs w:val="20"/>
              </w:rPr>
              <w:t xml:space="preserve">⚠️ Delay max 1 week</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 on all materials + social handles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€0</w:t>
            </w:r>
          </w:p>
        </w:tc>
        <w:tc>
          <w:tcPr>
            <w:tcW w:type="dxa" w:w="2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This week</w:t>
            </w:r>
          </w:p>
        </w:tc>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B45309"/>
                <w:sz w:val="20"/>
                <w:szCs w:val="20"/>
              </w:rPr>
              <w:t xml:space="preserve">⚠️ Delay max 1 week</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Register lokaflow.ai</w:t>
            </w:r>
          </w:p>
        </w:tc>
        <w:tc>
          <w:tcPr>
            <w:tcW w:type="dxa" w:w="1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€55–70/yr</w:t>
            </w:r>
          </w:p>
        </w:tc>
        <w:tc>
          <w:tcPr>
            <w:tcW w:type="dxa" w:w="2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This month</w:t>
            </w:r>
          </w:p>
        </w:tc>
        <w:tc>
          <w:tcPr>
            <w:tcW w:type="dxa" w:w="2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B45309"/>
                <w:sz w:val="20"/>
                <w:szCs w:val="20"/>
              </w:rPr>
              <w:t xml:space="preserve">⚠️ OK to delay 2–4 weeks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Arxiv defensive publication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€0</w:t>
            </w:r>
          </w:p>
        </w:tc>
        <w:tc>
          <w:tcPr>
            <w:tcW w:type="dxa" w:w="2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Before/at launch</w:t>
            </w:r>
          </w:p>
        </w:tc>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B45309"/>
                <w:sz w:val="20"/>
                <w:szCs w:val="20"/>
              </w:rPr>
              <w:t xml:space="preserve">⚠️ OK to delay until launch</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Commercial licensing page + CLA</w:t>
            </w:r>
          </w:p>
        </w:tc>
        <w:tc>
          <w:tcPr>
            <w:tcW w:type="dxa" w:w="1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€0</w:t>
            </w:r>
          </w:p>
        </w:tc>
        <w:tc>
          <w:tcPr>
            <w:tcW w:type="dxa" w:w="2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Before 1st company</w:t>
            </w:r>
          </w:p>
        </w:tc>
        <w:tc>
          <w:tcPr>
            <w:tcW w:type="dxa" w:w="2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B45309"/>
                <w:sz w:val="20"/>
                <w:szCs w:val="20"/>
              </w:rPr>
              <w:t xml:space="preserve">⚠️ Before any company uses it</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EUIPO trademark filing</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€850</w:t>
            </w:r>
          </w:p>
        </w:tc>
        <w:tc>
          <w:tcPr>
            <w:tcW w:type="dxa" w:w="2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At first revenue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 OK to delay — file when paid</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UK trademark (optional)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£170</w:t>
            </w:r>
          </w:p>
        </w:tc>
        <w:tc>
          <w:tcPr>
            <w:tcW w:type="dxa" w:w="2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After EUIPO filed</w:t>
            </w:r>
          </w:p>
        </w:tc>
        <w:tc>
          <w:tcPr>
            <w:tcW w:type="dxa" w:w="2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 Optional</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lokaflow.eu (optional)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€8–12/yr</w:t>
            </w:r>
          </w:p>
        </w:tc>
        <w:tc>
          <w:tcPr>
            <w:tcW w:type="dxa" w:w="2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After launch</w:t>
            </w:r>
          </w:p>
        </w:tc>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 Optional</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TOTAL — Day 1 actions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€15–20</w:t>
            </w:r>
          </w:p>
        </w:tc>
        <w:tc>
          <w:tcPr>
            <w:tcW w:type="dxa" w:w="2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TODAY</w:t>
            </w:r>
          </w:p>
        </w:tc>
        <w:tc>
          <w:tcPr>
            <w:tcW w:type="dxa" w:w="2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TOTAL — Full protection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€875–1,035</w:t>
            </w:r>
          </w:p>
        </w:tc>
        <w:tc>
          <w:tcPr>
            <w:tcW w:type="dxa" w:w="2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Over 6 months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w:t>
            </w:r>
          </w:p>
        </w:tc>
      </w:tr>
    </w:tbl>
    <w:p>
      <w:pPr>
        <w:spacing w:after="140" w:before="0"/>
      </w:pPr>
    </w:p>
    <w:p>
      <w:pPr>
        <w:pStyle w:val="Heading1"/>
        <w:spacing w:after="200" w:before="480"/>
      </w:pPr>
      <w:r>
        <w:rPr>
          <w:rFonts w:ascii="Arial" w:cs="Arial" w:eastAsia="Arial" w:hAnsi="Arial"/>
          <w:b/>
          <w:bCs/>
          <w:color w:val="1B2F4E"/>
          <w:sz w:val="40"/>
          <w:szCs w:val="40"/>
        </w:rPr>
        <w:t xml:space="preserve">5. 26-Week Registration Timeline</w:t>
      </w:r>
    </w:p>
    <w:p>
      <w:pPr>
        <w:pBdr>
          <w:bottom w:val="single" w:color="0F766E" w:sz="6" w:space="1"/>
        </w:pBdr>
        <w:spacing w:after="160" w:before="160"/>
      </w:pP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60"/>
        <w:gridCol w:w="1100"/>
        <w:gridCol w:w="2200"/>
      </w:tblGrid>
      <w:tr>
        <w:tc>
          <w:tcPr>
            <w:tcW w:type="dxa" w:w="90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Week</w:t>
            </w:r>
          </w:p>
        </w:tc>
        <w:tc>
          <w:tcPr>
            <w:tcW w:type="dxa" w:w="516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Actions</w:t>
            </w:r>
          </w:p>
        </w:tc>
        <w:tc>
          <w:tcPr>
            <w:tcW w:type="dxa" w:w="110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Cost</w:t>
            </w:r>
          </w:p>
        </w:tc>
        <w:tc>
          <w:tcPr>
            <w:tcW w:type="dxa" w:w="220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Protection Status After</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Week 1
(Today)</w:t>
            </w:r>
          </w:p>
        </w:tc>
        <w:tc>
          <w:tcPr>
            <w:tcW w:type="dxa" w:w="5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Register lokaflow.com + lokaflow.nl
Add COPYRIGHT.md + LICENSE to GitHub
First git commit
Email files to yourself
Claim @lokaflow on GitHub, LinkedIn, X</w:t>
            </w:r>
          </w:p>
        </w:tc>
        <w:tc>
          <w:tcPr>
            <w:tcW w:type="dxa" w:w="11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€15–20</w:t>
            </w:r>
          </w:p>
        </w:tc>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Copyright protected across EU
Domain secured
First use timestamp established</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Week 1–2</w:t>
            </w:r>
          </w:p>
        </w:tc>
        <w:tc>
          <w:tcPr>
            <w:tcW w:type="dxa" w:w="5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Sign IP Assignment Agreement
Start using LokaFlow™ everywhere
Create coming-soon page on lokaflow.com
Screenshot all first use evidence</w:t>
            </w:r>
          </w:p>
        </w:tc>
        <w:tc>
          <w:tcPr>
            <w:tcW w:type="dxa" w:w="1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IP formally owned by LearnHubPlay BV
Paper trail of ™ use beginning</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Week 3–4</w:t>
            </w:r>
          </w:p>
        </w:tc>
        <w:tc>
          <w:tcPr>
            <w:tcW w:type="dxa" w:w="5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Register lokaflow.ai
Create LinkedIn company page for LokaFlow
Set up GitHub organization: github.com/lokaflow
Begin writing Arxiv technical paper</w:t>
            </w:r>
          </w:p>
        </w:tc>
        <w:tc>
          <w:tcPr>
            <w:tcW w:type="dxa" w:w="11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€55–70</w:t>
            </w:r>
          </w:p>
        </w:tc>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AI domain secured
Public brand presence established</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Week 5–8
(Launch)</w:t>
            </w:r>
          </w:p>
        </w:tc>
        <w:tc>
          <w:tcPr>
            <w:tcW w:type="dxa" w:w="5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Publish Arxiv technical paper
Launch lokaflow.com website with BUSL license link
Add CONTRIBUTING.md with CLA
Begin getting early users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Prior art published — patent block in place
Commercial license terms public</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At First Revenue</w:t>
            </w:r>
          </w:p>
        </w:tc>
        <w:tc>
          <w:tcPr>
            <w:tcW w:type="dxa" w:w="5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File EUIPO trademark application (Class 42)
Switch from LokaFlow™ to LokaFlow® after registration
Consult Dutch accountant re: Innovatiebox (9% IP tax)</w:t>
            </w:r>
          </w:p>
        </w:tc>
        <w:tc>
          <w:tcPr>
            <w:tcW w:type="dxa" w:w="11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5803D"/>
                <w:sz w:val="20"/>
                <w:szCs w:val="20"/>
              </w:rPr>
              <w:t xml:space="preserve">€850</w:t>
            </w:r>
          </w:p>
        </w:tc>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Trademark rights across 27 EU countries
Full commercial protection active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Month 6+</w:t>
            </w:r>
          </w:p>
        </w:tc>
        <w:tc>
          <w:tcPr>
            <w:tcW w:type="dxa" w:w="5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Optional: File UK trademark (£170)
Optional: Register lokaflow.eu
Consider WIPO international trademark (for US/global)
RVO.nl — apply for WBSO R&amp;D tax credit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5803D"/>
                <w:sz w:val="20"/>
                <w:szCs w:val="20"/>
              </w:rPr>
              <w:t xml:space="preserve">£170 optional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UK protection (optional)
Global expansion path open</w:t>
            </w:r>
          </w:p>
        </w:tc>
      </w:tr>
    </w:tbl>
    <w:p>
      <w:pPr>
        <w:spacing w:after="140" w:before="0"/>
      </w:pPr>
    </w:p>
    <w:p>
      <w:pPr>
        <w:pStyle w:val="Heading1"/>
        <w:spacing w:after="200" w:before="480"/>
      </w:pPr>
      <w:r>
        <w:rPr>
          <w:rFonts w:ascii="Arial" w:cs="Arial" w:eastAsia="Arial" w:hAnsi="Arial"/>
          <w:b/>
          <w:bCs/>
          <w:color w:val="1B2F4E"/>
          <w:sz w:val="40"/>
          <w:szCs w:val="40"/>
        </w:rPr>
        <w:t xml:space="preserve">6. Netherlands-Specific Benefits to Use</w:t>
      </w:r>
    </w:p>
    <w:p>
      <w:pPr>
        <w:pBdr>
          <w:bottom w:val="single" w:color="0F766E" w:sz="6" w:space="1"/>
        </w:pBdr>
        <w:spacing w:after="160" w:before="160"/>
      </w:pPr>
    </w:p>
    <w:p>
      <w:pPr>
        <w:spacing w:after="80" w:before="80"/>
      </w:pPr>
      <w:r>
        <w:rPr>
          <w:rFonts w:ascii="Arial" w:cs="Arial" w:eastAsia="Arial" w:hAnsi="Arial"/>
          <w:sz w:val="22"/>
          <w:szCs w:val="22"/>
        </w:rPr>
        <w:t xml:space="preserve">Being registered in the Netherlands gives you specific advantages that most founders don't take advantage of. Here are the three most valuable ones for LokaFlow:</w:t>
      </w:r>
    </w:p>
    <w:p>
      <w:pPr>
        <w:spacing w:after="140" w:before="0"/>
      </w:pPr>
    </w:p>
    <w:p>
      <w:pPr>
        <w:pStyle w:val="Heading2"/>
        <w:spacing w:after="160" w:before="320"/>
      </w:pPr>
      <w:r>
        <w:rPr>
          <w:rFonts w:ascii="Arial" w:cs="Arial" w:eastAsia="Arial" w:hAnsi="Arial"/>
          <w:b/>
          <w:bCs/>
          <w:color w:val="0F766E"/>
          <w:sz w:val="28"/>
          <w:szCs w:val="28"/>
        </w:rPr>
        <w:t xml:space="preserve">6.1 Innovatiebox — 9% Tax on IP Income</w:t>
      </w:r>
    </w:p>
    <w:p>
      <w:pPr>
        <w:spacing w:after="80" w:before="80"/>
      </w:pPr>
      <w:r>
        <w:rPr>
          <w:rFonts w:ascii="Arial" w:cs="Arial" w:eastAsia="Arial" w:hAnsi="Arial"/>
          <w:sz w:val="22"/>
          <w:szCs w:val="22"/>
        </w:rPr>
        <w:t xml:space="preserve">Once LokaFlow™ is generating revenue from its licensed IP, the Innovatiebox (Article 12b of the Dutch Corporate Income Tax Act) allows you to pay only 9% corporate tax on that income instead of the standard 25.8%. This is one of the most favorable IP tax regimes in the world and a major reason why companies like ASML and Booking.com are Dutch.</w:t>
      </w:r>
    </w:p>
    <w:p>
      <w:pPr>
        <w:spacing w:after="80" w:before="80"/>
      </w:pPr>
      <w:r>
        <w:rPr>
          <w:rFonts w:ascii="Arial" w:cs="Arial" w:eastAsia="Arial" w:hAnsi="Arial"/>
          <w:sz w:val="22"/>
          <w:szCs w:val="22"/>
        </w:rPr>
        <w:t xml:space="preserve">To qualify: the IP must be self-developed, registered (patent or software development certificate), and the income must be directly from the IP. The IP Assignment Agreement you signed in Step 3 is a prerequisite for this. Talk to a Dutch belastingadviseur (tax advisor) when you reach €50,000+ annual revenue.</w:t>
      </w:r>
    </w:p>
    <w:p>
      <w:pPr>
        <w:spacing w:after="140" w:before="0"/>
      </w:pPr>
    </w:p>
    <w:p>
      <w:pPr>
        <w:pStyle w:val="Heading2"/>
        <w:spacing w:after="160" w:before="320"/>
      </w:pPr>
      <w:r>
        <w:rPr>
          <w:rFonts w:ascii="Arial" w:cs="Arial" w:eastAsia="Arial" w:hAnsi="Arial"/>
          <w:b/>
          <w:bCs/>
          <w:color w:val="0F766E"/>
          <w:sz w:val="28"/>
          <w:szCs w:val="28"/>
        </w:rPr>
        <w:t xml:space="preserve">6.2 WBSO — R&amp;D Tax Credit (Free Application)</w:t>
      </w:r>
    </w:p>
    <w:p>
      <w:pPr>
        <w:spacing w:after="80" w:before="80"/>
      </w:pPr>
      <w:r>
        <w:rPr>
          <w:rFonts w:ascii="Arial" w:cs="Arial" w:eastAsia="Arial" w:hAnsi="Arial"/>
          <w:sz w:val="22"/>
          <w:szCs w:val="22"/>
        </w:rPr>
        <w:t xml:space="preserve">The WBSO (Wet Bevordering Speur- en Ontwikkelingswerk) gives you a wage tax reduction of 32% on costs related to software R&amp;D work. Even as a sole director/DGA of LearnHubPlay BV, you can qualify if you are actively developing LokaFlow. Applications are submitted quarterly via RVO.nl and are free to apply.</w:t>
      </w:r>
    </w:p>
    <w:p>
      <w:pPr>
        <w:spacing w:after="80" w:before="80"/>
      </w:pPr>
      <w:r>
        <w:rPr>
          <w:rFonts w:ascii="Arial" w:cs="Arial" w:eastAsia="Arial" w:hAnsi="Arial"/>
          <w:sz w:val="22"/>
          <w:szCs w:val="22"/>
        </w:rPr>
        <w:t xml:space="preserve">This effectively reduces your development cost by 32%. Apply at rvo.nl/subsidies-financiering/wbso</w:t>
      </w:r>
    </w:p>
    <w:p>
      <w:pPr>
        <w:spacing w:after="140" w:before="0"/>
      </w:pPr>
    </w:p>
    <w:p>
      <w:pPr>
        <w:pStyle w:val="Heading2"/>
        <w:spacing w:after="160" w:before="320"/>
      </w:pPr>
      <w:r>
        <w:rPr>
          <w:rFonts w:ascii="Arial" w:cs="Arial" w:eastAsia="Arial" w:hAnsi="Arial"/>
          <w:b/>
          <w:bCs/>
          <w:color w:val="0F766E"/>
          <w:sz w:val="28"/>
          <w:szCs w:val="28"/>
        </w:rPr>
        <w:t xml:space="preserve">6.3 EUIPO SME Fund — Trademark Subsidy</w:t>
      </w:r>
    </w:p>
    <w:p>
      <w:pPr>
        <w:spacing w:after="80" w:before="80"/>
      </w:pPr>
      <w:r>
        <w:rPr>
          <w:rFonts w:ascii="Arial" w:cs="Arial" w:eastAsia="Arial" w:hAnsi="Arial"/>
          <w:sz w:val="22"/>
          <w:szCs w:val="22"/>
        </w:rPr>
        <w:t xml:space="preserve">The EUIPO runs an annual SME Fund that reimburses 75% of trademark application costs for small businesses registered in EU member states. This could reduce your €850 EUIPO filing to approximately €212. Applications open at the start of each year — check euipo.europa.eu/en/sme-fund for the next application window. LearnHubPlay BV qualifies as an SME.</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5803D" w:sz="12"/>
              <w:bottom w:val="none" w:color="FFFFFF" w:sz="0"/>
              <w:right w:val="none" w:color="FFFFFF" w:sz="0"/>
            </w:tcBorders>
            <w:shd w:fill="DCFCE7" w:val="clear"/>
            <w:tcMar>
              <w:top w:type="dxa" w:w="160"/>
              <w:left w:type="dxa" w:w="220"/>
              <w:bottom w:type="dxa" w:w="160"/>
              <w:right w:type="dxa" w:w="220"/>
            </w:tcMar>
          </w:tcPr>
          <w:p>
            <w:pPr>
              <w:spacing w:after="60" w:before="80"/>
            </w:pPr>
            <w:r>
              <w:rPr>
                <w:rFonts w:ascii="Arial" w:cs="Arial" w:eastAsia="Arial" w:hAnsi="Arial"/>
                <w:b/>
                <w:bCs/>
                <w:color w:val="1B2F4E"/>
                <w:sz w:val="22"/>
                <w:szCs w:val="22"/>
              </w:rPr>
              <w:t xml:space="preserve">If you get the EUIPO SME Fund reimbursement:</w:t>
            </w:r>
          </w:p>
          <w:p>
            <w:pPr>
              <w:spacing w:after="80" w:before="80"/>
            </w:pPr>
            <w:r>
              <w:rPr>
                <w:rFonts w:ascii="Arial" w:cs="Arial" w:eastAsia="Arial" w:hAnsi="Arial"/>
                <w:color w:val="15803D"/>
                <w:sz w:val="22"/>
                <w:szCs w:val="22"/>
              </w:rPr>
              <w:t xml:space="preserve">Total out-of-pocket cost for full protection (domains + trademark): €15–20 (domains) + €212 (trademark after 75% refund) = ~€230 total for complete EU-wide brand protection.</w:t>
            </w:r>
          </w:p>
        </w:tc>
      </w:tr>
    </w:tbl>
    <w:p>
      <w:pPr>
        <w:spacing w:after="140" w:before="0"/>
      </w:pPr>
    </w:p>
    <w:p>
      <w:pPr>
        <w:pStyle w:val="Heading1"/>
        <w:spacing w:after="200" w:before="480"/>
      </w:pPr>
      <w:r>
        <w:rPr>
          <w:rFonts w:ascii="Arial" w:cs="Arial" w:eastAsia="Arial" w:hAnsi="Arial"/>
          <w:b/>
          <w:bCs/>
          <w:color w:val="1B2F4E"/>
          <w:sz w:val="40"/>
          <w:szCs w:val="40"/>
        </w:rPr>
        <w:t xml:space="preserve">7. Enforcement — What To Do If Someone Copies LokaFlow</w:t>
      </w:r>
    </w:p>
    <w:p>
      <w:pPr>
        <w:pBdr>
          <w:bottom w:val="single" w:color="0F766E" w:sz="6" w:space="1"/>
        </w:pBdr>
        <w:spacing w:after="160" w:before="160"/>
      </w:pPr>
    </w:p>
    <w:p>
      <w:pPr>
        <w:spacing w:after="80" w:before="80"/>
      </w:pPr>
      <w:r>
        <w:rPr>
          <w:rFonts w:ascii="Arial" w:cs="Arial" w:eastAsia="Arial" w:hAnsi="Arial"/>
          <w:sz w:val="22"/>
          <w:szCs w:val="22"/>
        </w:rPr>
        <w:t xml:space="preserve">Having protection is only valuable if you know how to use it. Here's exactly what to do in each scenario:</w:t>
      </w:r>
    </w:p>
    <w:p>
      <w:pPr>
        <w:spacing w:after="140" w:before="0"/>
      </w:pPr>
    </w:p>
    <w:p>
      <w:pPr>
        <w:pStyle w:val="Heading2"/>
        <w:spacing w:after="160" w:before="320"/>
      </w:pPr>
      <w:r>
        <w:rPr>
          <w:rFonts w:ascii="Arial" w:cs="Arial" w:eastAsia="Arial" w:hAnsi="Arial"/>
          <w:b/>
          <w:bCs/>
          <w:color w:val="0F766E"/>
          <w:sz w:val="28"/>
          <w:szCs w:val="28"/>
        </w:rPr>
        <w:t xml:space="preserve">7.1 Scenario: A Company Uses Your Code Commercially Without a License</w:t>
      </w:r>
    </w:p>
    <w:p>
      <w:pPr>
        <w:pStyle w:val="ListParagraph"/>
        <w:numPr>
          <w:ilvl w:val="0"/>
          <w:numId w:val="3"/>
        </w:numPr>
        <w:spacing w:after="60" w:before="60"/>
      </w:pPr>
      <w:r>
        <w:rPr>
          <w:rFonts w:ascii="Arial" w:cs="Arial" w:eastAsia="Arial" w:hAnsi="Arial"/>
          <w:sz w:val="22"/>
          <w:szCs w:val="22"/>
        </w:rPr>
        <w:t xml:space="preserve">Gather evidence: screenshot their product, their website, any GitHub forks</w:t>
      </w:r>
    </w:p>
    <w:p>
      <w:pPr>
        <w:pStyle w:val="ListParagraph"/>
        <w:numPr>
          <w:ilvl w:val="0"/>
          <w:numId w:val="3"/>
        </w:numPr>
        <w:spacing w:after="60" w:before="60"/>
      </w:pPr>
      <w:r>
        <w:rPr>
          <w:rFonts w:ascii="Arial" w:cs="Arial" w:eastAsia="Arial" w:hAnsi="Arial"/>
          <w:sz w:val="22"/>
          <w:szCs w:val="22"/>
        </w:rPr>
        <w:t xml:space="preserve">Send a cease-and-desist email from legal@learnhubplay.com citing your BUSL license, LearnHubPlay BV ownership, and KvK number</w:t>
      </w:r>
    </w:p>
    <w:p>
      <w:pPr>
        <w:pStyle w:val="ListParagraph"/>
        <w:numPr>
          <w:ilvl w:val="0"/>
          <w:numId w:val="3"/>
        </w:numPr>
        <w:spacing w:after="60" w:before="60"/>
      </w:pPr>
      <w:r>
        <w:rPr>
          <w:rFonts w:ascii="Arial" w:cs="Arial" w:eastAsia="Arial" w:hAnsi="Arial"/>
          <w:sz w:val="22"/>
          <w:szCs w:val="22"/>
        </w:rPr>
        <w:t xml:space="preserve">Give them 14 days to respond — most companies will either pay for a license or stop</w:t>
      </w:r>
    </w:p>
    <w:p>
      <w:pPr>
        <w:pStyle w:val="ListParagraph"/>
        <w:numPr>
          <w:ilvl w:val="0"/>
          <w:numId w:val="3"/>
        </w:numPr>
        <w:spacing w:after="60" w:before="60"/>
      </w:pPr>
      <w:r>
        <w:rPr>
          <w:rFonts w:ascii="Arial" w:cs="Arial" w:eastAsia="Arial" w:hAnsi="Arial"/>
          <w:sz w:val="22"/>
          <w:szCs w:val="22"/>
        </w:rPr>
        <w:t xml:space="preserve">If no response: escalate to a Dutch IP lawyer — first letter typically costs €300–500</w:t>
      </w:r>
    </w:p>
    <w:p>
      <w:pPr>
        <w:pStyle w:val="ListParagraph"/>
        <w:numPr>
          <w:ilvl w:val="0"/>
          <w:numId w:val="3"/>
        </w:numPr>
        <w:spacing w:after="60" w:before="60"/>
      </w:pPr>
      <w:r>
        <w:rPr>
          <w:rFonts w:ascii="Arial" w:cs="Arial" w:eastAsia="Arial" w:hAnsi="Arial"/>
          <w:sz w:val="22"/>
          <w:szCs w:val="22"/>
        </w:rPr>
        <w:t xml:space="preserve">Dutch courts are fast for IP cases and enforce EU IP law strictly</w:t>
      </w:r>
    </w:p>
    <w:p>
      <w:pPr>
        <w:spacing w:after="140" w:before="0"/>
      </w:pPr>
    </w:p>
    <w:p>
      <w:pPr>
        <w:pStyle w:val="Heading2"/>
        <w:spacing w:after="160" w:before="320"/>
      </w:pPr>
      <w:r>
        <w:rPr>
          <w:rFonts w:ascii="Arial" w:cs="Arial" w:eastAsia="Arial" w:hAnsi="Arial"/>
          <w:b/>
          <w:bCs/>
          <w:color w:val="0F766E"/>
          <w:sz w:val="28"/>
          <w:szCs w:val="28"/>
        </w:rPr>
        <w:t xml:space="preserve">7.2 Scenario: Someone Registers a Confusingly Similar Trademark</w:t>
      </w:r>
    </w:p>
    <w:p>
      <w:pPr>
        <w:pStyle w:val="ListParagraph"/>
        <w:numPr>
          <w:ilvl w:val="0"/>
          <w:numId w:val="3"/>
        </w:numPr>
        <w:spacing w:after="60" w:before="60"/>
      </w:pPr>
      <w:r>
        <w:rPr>
          <w:rFonts w:ascii="Arial" w:cs="Arial" w:eastAsia="Arial" w:hAnsi="Arial"/>
          <w:sz w:val="22"/>
          <w:szCs w:val="22"/>
        </w:rPr>
        <w:t xml:space="preserve">File an opposition with EUIPO within 3 months of their application publication — filing an opposition costs €320</w:t>
      </w:r>
    </w:p>
    <w:p>
      <w:pPr>
        <w:pStyle w:val="ListParagraph"/>
        <w:numPr>
          <w:ilvl w:val="0"/>
          <w:numId w:val="3"/>
        </w:numPr>
        <w:spacing w:after="60" w:before="60"/>
      </w:pPr>
      <w:r>
        <w:rPr>
          <w:rFonts w:ascii="Arial" w:cs="Arial" w:eastAsia="Arial" w:hAnsi="Arial"/>
          <w:sz w:val="22"/>
          <w:szCs w:val="22"/>
        </w:rPr>
        <w:t xml:space="preserve">Your earlier filing date gives you priority if you filed first</w:t>
      </w:r>
    </w:p>
    <w:p>
      <w:pPr>
        <w:pStyle w:val="ListParagraph"/>
        <w:numPr>
          <w:ilvl w:val="0"/>
          <w:numId w:val="3"/>
        </w:numPr>
        <w:spacing w:after="60" w:before="60"/>
      </w:pPr>
      <w:r>
        <w:rPr>
          <w:rFonts w:ascii="Arial" w:cs="Arial" w:eastAsia="Arial" w:hAnsi="Arial"/>
          <w:sz w:val="22"/>
          <w:szCs w:val="22"/>
        </w:rPr>
        <w:t xml:space="preserve">EUIPO oppositions can be filed without a lawyer — the online system guides you through</w:t>
      </w:r>
    </w:p>
    <w:p>
      <w:pPr>
        <w:spacing w:after="140" w:before="0"/>
      </w:pPr>
    </w:p>
    <w:p>
      <w:pPr>
        <w:pStyle w:val="Heading2"/>
        <w:spacing w:after="160" w:before="320"/>
      </w:pPr>
      <w:r>
        <w:rPr>
          <w:rFonts w:ascii="Arial" w:cs="Arial" w:eastAsia="Arial" w:hAnsi="Arial"/>
          <w:b/>
          <w:bCs/>
          <w:color w:val="0F766E"/>
          <w:sz w:val="28"/>
          <w:szCs w:val="28"/>
        </w:rPr>
        <w:t xml:space="preserve">7.3 Scenario: A Big Company Copies Your Concept (Not Your Code)</w:t>
      </w:r>
    </w:p>
    <w:p>
      <w:pPr>
        <w:spacing w:after="80" w:before="80"/>
      </w:pPr>
      <w:r>
        <w:rPr>
          <w:rFonts w:ascii="Arial" w:cs="Arial" w:eastAsia="Arial" w:hAnsi="Arial"/>
          <w:sz w:val="22"/>
          <w:szCs w:val="22"/>
        </w:rPr>
        <w:t xml:space="preserve">This is the hardest scenario legally. If they wrote their own code and used a different name, your copyright and trademark don't help. Your defence here is:</w:t>
      </w:r>
    </w:p>
    <w:p>
      <w:pPr>
        <w:pStyle w:val="ListParagraph"/>
        <w:numPr>
          <w:ilvl w:val="0"/>
          <w:numId w:val="2"/>
        </w:numPr>
        <w:spacing w:after="60" w:before="60"/>
      </w:pPr>
      <w:r>
        <w:rPr>
          <w:rFonts w:ascii="Arial" w:cs="Arial" w:eastAsia="Arial" w:hAnsi="Arial"/>
          <w:b w:val="false"/>
          <w:bCs w:val="false"/>
          <w:sz w:val="22"/>
          <w:szCs w:val="22"/>
        </w:rPr>
        <w:t xml:space="preserve">Your Arxiv publication proves prior art — they cannot patent the method</w:t>
      </w:r>
    </w:p>
    <w:p>
      <w:pPr>
        <w:pStyle w:val="ListParagraph"/>
        <w:numPr>
          <w:ilvl w:val="0"/>
          <w:numId w:val="2"/>
        </w:numPr>
        <w:spacing w:after="60" w:before="60"/>
      </w:pPr>
      <w:r>
        <w:rPr>
          <w:rFonts w:ascii="Arial" w:cs="Arial" w:eastAsia="Arial" w:hAnsi="Arial"/>
          <w:b w:val="false"/>
          <w:bCs w:val="false"/>
          <w:sz w:val="22"/>
          <w:szCs w:val="22"/>
        </w:rPr>
        <w:t xml:space="preserve">Community recognition — if you're known as the original, developer trust matters</w:t>
      </w:r>
    </w:p>
    <w:p>
      <w:pPr>
        <w:pStyle w:val="ListParagraph"/>
        <w:numPr>
          <w:ilvl w:val="0"/>
          <w:numId w:val="2"/>
        </w:numPr>
        <w:spacing w:after="60" w:before="60"/>
      </w:pPr>
      <w:r>
        <w:rPr>
          <w:rFonts w:ascii="Arial" w:cs="Arial" w:eastAsia="Arial" w:hAnsi="Arial"/>
          <w:b w:val="false"/>
          <w:bCs w:val="false"/>
          <w:sz w:val="22"/>
          <w:szCs w:val="22"/>
        </w:rPr>
        <w:t xml:space="preserve">Speed — stay 6–12 months ahead in features so copying is always catching up</w:t>
      </w:r>
    </w:p>
    <w:p>
      <w:pPr>
        <w:pStyle w:val="ListParagraph"/>
        <w:numPr>
          <w:ilvl w:val="0"/>
          <w:numId w:val="2"/>
        </w:numPr>
        <w:spacing w:after="60" w:before="60"/>
      </w:pPr>
      <w:r>
        <w:rPr>
          <w:rFonts w:ascii="Arial" w:cs="Arial" w:eastAsia="Arial" w:hAnsi="Arial"/>
          <w:b w:val="false"/>
          <w:bCs w:val="false"/>
          <w:sz w:val="22"/>
          <w:szCs w:val="22"/>
        </w:rPr>
        <w:t xml:space="preserve">BUSL → Apache conversion: consider converting to open source at year 4 to build an even larger community moat</w:t>
      </w:r>
    </w:p>
    <w:p>
      <w:pPr>
        <w:spacing w:after="140" w:before="0"/>
      </w:pPr>
    </w:p>
    <w:p>
      <w:pPr>
        <w:pStyle w:val="Heading1"/>
        <w:spacing w:after="200" w:before="480"/>
      </w:pPr>
      <w:r>
        <w:rPr>
          <w:rFonts w:ascii="Arial" w:cs="Arial" w:eastAsia="Arial" w:hAnsi="Arial"/>
          <w:b/>
          <w:bCs/>
          <w:color w:val="1B2F4E"/>
          <w:sz w:val="40"/>
          <w:szCs w:val="40"/>
        </w:rPr>
        <w:t xml:space="preserve">8. Ready-to-Use File Templates</w:t>
      </w:r>
    </w:p>
    <w:p>
      <w:pPr>
        <w:pBdr>
          <w:bottom w:val="single" w:color="0F766E" w:sz="6" w:space="1"/>
        </w:pBdr>
        <w:spacing w:after="160" w:before="160"/>
      </w:pPr>
    </w:p>
    <w:p>
      <w:pPr>
        <w:spacing w:after="140" w:before="0"/>
      </w:pPr>
    </w:p>
    <w:p>
      <w:pPr>
        <w:pStyle w:val="Heading2"/>
        <w:spacing w:after="160" w:before="320"/>
      </w:pPr>
      <w:r>
        <w:rPr>
          <w:rFonts w:ascii="Arial" w:cs="Arial" w:eastAsia="Arial" w:hAnsi="Arial"/>
          <w:b/>
          <w:bCs/>
          <w:color w:val="0F766E"/>
          <w:sz w:val="28"/>
          <w:szCs w:val="28"/>
        </w:rPr>
        <w:t xml:space="preserve">8.1 README.md Header (Copy to GitHub)</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8FAFC" w:val="clear"/>
            <w:tcMar>
              <w:top w:type="dxa" w:w="160"/>
              <w:left w:type="dxa" w:w="220"/>
              <w:bottom w:type="dxa" w:w="160"/>
              <w:right w:type="dxa" w:w="220"/>
            </w:tcMar>
          </w:tcPr>
          <w:p>
            <w:pPr>
              <w:spacing w:after="60" w:before="60"/>
            </w:pPr>
            <w:r>
              <w:rPr>
                <w:rFonts w:ascii="Courier New" w:cs="Courier New" w:eastAsia="Courier New" w:hAnsi="Courier New"/>
                <w:color w:val="1E293B"/>
                <w:sz w:val="20"/>
                <w:szCs w:val="20"/>
              </w:rPr>
              <w:t xml:space="preserve"># LokaFlow™</w:t>
            </w:r>
          </w:p>
          <w:p>
            <w:pPr>
              <w:spacing w:after="60" w:before="60"/>
            </w:pPr>
            <w:r>
              <w:rPr>
                <w:rFonts w:ascii="Courier New" w:cs="Courier New" w:eastAsia="Courier New" w:hAnsi="Courier New"/>
                <w:color w:val="1E293B"/>
                <w:sz w:val="20"/>
                <w:szCs w:val="20"/>
              </w:rPr>
              <w:t xml:space="preserve"/>
            </w:r>
          </w:p>
          <w:p>
            <w:pPr>
              <w:spacing w:after="60" w:before="60"/>
            </w:pPr>
            <w:r>
              <w:rPr>
                <w:rFonts w:ascii="Courier New" w:cs="Courier New" w:eastAsia="Courier New" w:hAnsi="Courier New"/>
                <w:color w:val="1E293B"/>
                <w:sz w:val="20"/>
                <w:szCs w:val="20"/>
              </w:rPr>
              <w:t xml:space="preserve">**Intelligent Hybrid LLM Orchestration — Local-First AI Routing**</w:t>
            </w:r>
          </w:p>
          <w:p>
            <w:pPr>
              <w:spacing w:after="60" w:before="60"/>
            </w:pPr>
            <w:r>
              <w:rPr>
                <w:rFonts w:ascii="Courier New" w:cs="Courier New" w:eastAsia="Courier New" w:hAnsi="Courier New"/>
                <w:color w:val="1E293B"/>
                <w:sz w:val="20"/>
                <w:szCs w:val="20"/>
              </w:rPr>
              <w:t xml:space="preserve"/>
            </w:r>
          </w:p>
          <w:p>
            <w:pPr>
              <w:spacing w:after="60" w:before="60"/>
            </w:pPr>
            <w:r>
              <w:rPr>
                <w:rFonts w:ascii="Courier New" w:cs="Courier New" w:eastAsia="Courier New" w:hAnsi="Courier New"/>
                <w:color w:val="1E293B"/>
                <w:sz w:val="20"/>
                <w:szCs w:val="20"/>
              </w:rPr>
              <w:t xml:space="preserve">LokaFlow™ is a free, open-source platform that intelligently routes</w:t>
            </w:r>
          </w:p>
          <w:p>
            <w:pPr>
              <w:spacing w:after="60" w:before="60"/>
            </w:pPr>
            <w:r>
              <w:rPr>
                <w:rFonts w:ascii="Courier New" w:cs="Courier New" w:eastAsia="Courier New" w:hAnsi="Courier New"/>
                <w:color w:val="1E293B"/>
                <w:sz w:val="20"/>
                <w:szCs w:val="20"/>
              </w:rPr>
              <w:t xml:space="preserve">AI tasks between local LLMs (Ollama) and cloud LLMs (Claude, GPT-4)</w:t>
            </w:r>
          </w:p>
          <w:p>
            <w:pPr>
              <w:spacing w:after="60" w:before="60"/>
            </w:pPr>
            <w:r>
              <w:rPr>
                <w:rFonts w:ascii="Courier New" w:cs="Courier New" w:eastAsia="Courier New" w:hAnsi="Courier New"/>
                <w:color w:val="1E293B"/>
                <w:sz w:val="20"/>
                <w:szCs w:val="20"/>
              </w:rPr>
              <w:t xml:space="preserve">based on task complexity, token cost, and data sensitivity.</w:t>
            </w:r>
          </w:p>
          <w:p>
            <w:pPr>
              <w:spacing w:after="60" w:before="60"/>
            </w:pPr>
            <w:r>
              <w:rPr>
                <w:rFonts w:ascii="Courier New" w:cs="Courier New" w:eastAsia="Courier New" w:hAnsi="Courier New"/>
                <w:color w:val="1E293B"/>
                <w:sz w:val="20"/>
                <w:szCs w:val="20"/>
              </w:rPr>
              <w:t xml:space="preserve"/>
            </w:r>
          </w:p>
          <w:p>
            <w:pPr>
              <w:spacing w:after="60" w:before="60"/>
            </w:pPr>
            <w:r>
              <w:rPr>
                <w:rFonts w:ascii="Courier New" w:cs="Courier New" w:eastAsia="Courier New" w:hAnsi="Courier New"/>
                <w:color w:val="1E293B"/>
                <w:sz w:val="20"/>
                <w:szCs w:val="20"/>
              </w:rPr>
              <w:t xml:space="preserve">Save 60–87% on cloud LLM costs. Keep sensitive data local.</w:t>
            </w:r>
          </w:p>
          <w:p>
            <w:pPr>
              <w:spacing w:after="60" w:before="60"/>
            </w:pPr>
            <w:r>
              <w:rPr>
                <w:rFonts w:ascii="Courier New" w:cs="Courier New" w:eastAsia="Courier New" w:hAnsi="Courier New"/>
                <w:color w:val="1E293B"/>
                <w:sz w:val="20"/>
                <w:szCs w:val="20"/>
              </w:rPr>
              <w:t xml:space="preserve">Plan with powerful models. Execute in bulk with local models.</w:t>
            </w:r>
          </w:p>
          <w:p>
            <w:pPr>
              <w:spacing w:after="60" w:before="60"/>
            </w:pPr>
            <w:r>
              <w:rPr>
                <w:rFonts w:ascii="Courier New" w:cs="Courier New" w:eastAsia="Courier New" w:hAnsi="Courier New"/>
                <w:color w:val="1E293B"/>
                <w:sz w:val="20"/>
                <w:szCs w:val="20"/>
              </w:rPr>
              <w:t xml:space="preserve"/>
            </w:r>
          </w:p>
          <w:p>
            <w:pPr>
              <w:spacing w:after="60" w:before="60"/>
            </w:pPr>
            <w:r>
              <w:rPr>
                <w:rFonts w:ascii="Courier New" w:cs="Courier New" w:eastAsia="Courier New" w:hAnsi="Courier New"/>
                <w:color w:val="1E293B"/>
                <w:sz w:val="20"/>
                <w:szCs w:val="20"/>
              </w:rPr>
              <w:t xml:space="preserve">---</w:t>
            </w:r>
          </w:p>
          <w:p>
            <w:pPr>
              <w:spacing w:after="60" w:before="60"/>
            </w:pPr>
            <w:r>
              <w:rPr>
                <w:rFonts w:ascii="Courier New" w:cs="Courier New" w:eastAsia="Courier New" w:hAnsi="Courier New"/>
                <w:color w:val="1E293B"/>
                <w:sz w:val="20"/>
                <w:szCs w:val="20"/>
              </w:rPr>
              <w:t xml:space="preserve"/>
            </w:r>
          </w:p>
          <w:p>
            <w:pPr>
              <w:spacing w:after="60" w:before="60"/>
            </w:pPr>
            <w:r>
              <w:rPr>
                <w:rFonts w:ascii="Courier New" w:cs="Courier New" w:eastAsia="Courier New" w:hAnsi="Courier New"/>
                <w:color w:val="1E293B"/>
                <w:sz w:val="20"/>
                <w:szCs w:val="20"/>
              </w:rPr>
              <w:t xml:space="preserve">© 2026 LearnHubPlay BV (KvK: [number]) · Netherlands</w:t>
            </w:r>
          </w:p>
          <w:p>
            <w:pPr>
              <w:spacing w:after="60" w:before="60"/>
            </w:pPr>
            <w:r>
              <w:rPr>
                <w:rFonts w:ascii="Courier New" w:cs="Courier New" w:eastAsia="Courier New" w:hAnsi="Courier New"/>
                <w:color w:val="1E293B"/>
                <w:sz w:val="20"/>
                <w:szCs w:val="20"/>
              </w:rPr>
              <w:t xml:space="preserve">Licensed under Business Source License 1.1 · Free for individuals</w:t>
            </w:r>
          </w:p>
          <w:p>
            <w:pPr>
              <w:spacing w:after="60" w:before="60"/>
            </w:pPr>
            <w:r>
              <w:rPr>
                <w:rFonts w:ascii="Courier New" w:cs="Courier New" w:eastAsia="Courier New" w:hAnsi="Courier New"/>
                <w:color w:val="1E293B"/>
                <w:sz w:val="20"/>
                <w:szCs w:val="20"/>
              </w:rPr>
              <w:t xml:space="preserve">Commercial use: legal@learnhubplay.com</w:t>
            </w:r>
          </w:p>
          <w:p>
            <w:pPr>
              <w:spacing w:after="60" w:before="60"/>
            </w:pPr>
            <w:r>
              <w:rPr>
                <w:rFonts w:ascii="Courier New" w:cs="Courier New" w:eastAsia="Courier New" w:hAnsi="Courier New"/>
                <w:color w:val="1E293B"/>
                <w:sz w:val="20"/>
                <w:szCs w:val="20"/>
              </w:rPr>
              <w:t xml:space="preserve"/>
            </w:r>
          </w:p>
          <w:p>
            <w:pPr>
              <w:spacing w:after="60" w:before="60"/>
            </w:pPr>
            <w:r>
              <w:rPr>
                <w:rFonts w:ascii="Courier New" w:cs="Courier New" w:eastAsia="Courier New" w:hAnsi="Courier New"/>
                <w:color w:val="1E293B"/>
                <w:sz w:val="20"/>
                <w:szCs w:val="20"/>
              </w:rPr>
              <w:t xml:space="preserve">[Docs] [Discord] [Commercial License] [Blog]</w:t>
            </w:r>
          </w:p>
        </w:tc>
      </w:tr>
    </w:tbl>
    <w:p>
      <w:pPr>
        <w:spacing w:after="140" w:before="0"/>
      </w:pPr>
    </w:p>
    <w:p>
      <w:pPr>
        <w:pStyle w:val="Heading2"/>
        <w:spacing w:after="160" w:before="320"/>
      </w:pPr>
      <w:r>
        <w:rPr>
          <w:rFonts w:ascii="Arial" w:cs="Arial" w:eastAsia="Arial" w:hAnsi="Arial"/>
          <w:b/>
          <w:bCs/>
          <w:color w:val="0F766E"/>
          <w:sz w:val="28"/>
          <w:szCs w:val="28"/>
        </w:rPr>
        <w:t xml:space="preserve">8.2 Coming-Soon Website Copy</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8FAFC" w:val="clear"/>
            <w:tcMar>
              <w:top w:type="dxa" w:w="160"/>
              <w:left w:type="dxa" w:w="220"/>
              <w:bottom w:type="dxa" w:w="160"/>
              <w:right w:type="dxa" w:w="220"/>
            </w:tcMar>
          </w:tcPr>
          <w:p>
            <w:pPr>
              <w:spacing w:after="60" w:before="60"/>
            </w:pPr>
            <w:r>
              <w:rPr>
                <w:rFonts w:ascii="Courier New" w:cs="Courier New" w:eastAsia="Courier New" w:hAnsi="Courier New"/>
                <w:color w:val="1E293B"/>
                <w:sz w:val="20"/>
                <w:szCs w:val="20"/>
              </w:rPr>
              <w:t xml:space="preserve">LokaFlow™</w:t>
            </w:r>
          </w:p>
          <w:p>
            <w:pPr>
              <w:spacing w:after="60" w:before="60"/>
            </w:pPr>
            <w:r>
              <w:rPr>
                <w:rFonts w:ascii="Courier New" w:cs="Courier New" w:eastAsia="Courier New" w:hAnsi="Courier New"/>
                <w:color w:val="1E293B"/>
                <w:sz w:val="20"/>
                <w:szCs w:val="20"/>
              </w:rPr>
              <w:t xml:space="preserve"/>
            </w:r>
          </w:p>
          <w:p>
            <w:pPr>
              <w:spacing w:after="60" w:before="60"/>
            </w:pPr>
            <w:r>
              <w:rPr>
                <w:rFonts w:ascii="Courier New" w:cs="Courier New" w:eastAsia="Courier New" w:hAnsi="Courier New"/>
                <w:color w:val="1E293B"/>
                <w:sz w:val="20"/>
                <w:szCs w:val="20"/>
              </w:rPr>
              <w:t xml:space="preserve">Local-first AI orchestration. Cut cloud LLM costs by 60–87%.</w:t>
            </w:r>
          </w:p>
          <w:p>
            <w:pPr>
              <w:spacing w:after="60" w:before="60"/>
            </w:pPr>
            <w:r>
              <w:rPr>
                <w:rFonts w:ascii="Courier New" w:cs="Courier New" w:eastAsia="Courier New" w:hAnsi="Courier New"/>
                <w:color w:val="1E293B"/>
                <w:sz w:val="20"/>
                <w:szCs w:val="20"/>
              </w:rPr>
              <w:t xml:space="preserve"/>
            </w:r>
          </w:p>
          <w:p>
            <w:pPr>
              <w:spacing w:after="60" w:before="60"/>
            </w:pPr>
            <w:r>
              <w:rPr>
                <w:rFonts w:ascii="Courier New" w:cs="Courier New" w:eastAsia="Courier New" w:hAnsi="Courier New"/>
                <w:color w:val="1E293B"/>
                <w:sz w:val="20"/>
                <w:szCs w:val="20"/>
              </w:rPr>
              <w:t xml:space="preserve">Plan with Claude. Execute with Llama. Save a fortune.</w:t>
            </w:r>
          </w:p>
          <w:p>
            <w:pPr>
              <w:spacing w:after="60" w:before="60"/>
            </w:pPr>
            <w:r>
              <w:rPr>
                <w:rFonts w:ascii="Courier New" w:cs="Courier New" w:eastAsia="Courier New" w:hAnsi="Courier New"/>
                <w:color w:val="1E293B"/>
                <w:sz w:val="20"/>
                <w:szCs w:val="20"/>
              </w:rPr>
              <w:t xml:space="preserve"/>
            </w:r>
          </w:p>
          <w:p>
            <w:pPr>
              <w:spacing w:after="60" w:before="60"/>
            </w:pPr>
            <w:r>
              <w:rPr>
                <w:rFonts w:ascii="Courier New" w:cs="Courier New" w:eastAsia="Courier New" w:hAnsi="Courier New"/>
                <w:color w:val="1E293B"/>
                <w:sz w:val="20"/>
                <w:szCs w:val="20"/>
              </w:rPr>
              <w:t xml:space="preserve">Built by LearnHubPlay BV · Netherlands</w:t>
            </w:r>
          </w:p>
          <w:p>
            <w:pPr>
              <w:spacing w:after="60" w:before="60"/>
            </w:pPr>
            <w:r>
              <w:rPr>
                <w:rFonts w:ascii="Courier New" w:cs="Courier New" w:eastAsia="Courier New" w:hAnsi="Courier New"/>
                <w:color w:val="1E293B"/>
                <w:sz w:val="20"/>
                <w:szCs w:val="20"/>
              </w:rPr>
              <w:t xml:space="preserve"/>
            </w:r>
          </w:p>
          <w:p>
            <w:pPr>
              <w:spacing w:after="60" w:before="60"/>
            </w:pPr>
            <w:r>
              <w:rPr>
                <w:rFonts w:ascii="Courier New" w:cs="Courier New" w:eastAsia="Courier New" w:hAnsi="Courier New"/>
                <w:color w:val="1E293B"/>
                <w:sz w:val="20"/>
                <w:szCs w:val="20"/>
              </w:rPr>
              <w:t xml:space="preserve">[Join the waitlist] → [email input]</w:t>
            </w:r>
          </w:p>
          <w:p>
            <w:pPr>
              <w:spacing w:after="60" w:before="60"/>
            </w:pPr>
            <w:r>
              <w:rPr>
                <w:rFonts w:ascii="Courier New" w:cs="Courier New" w:eastAsia="Courier New" w:hAnsi="Courier New"/>
                <w:color w:val="1E293B"/>
                <w:sz w:val="20"/>
                <w:szCs w:val="20"/>
              </w:rPr>
              <w:t xml:space="preserve"/>
            </w:r>
          </w:p>
          <w:p>
            <w:pPr>
              <w:spacing w:after="60" w:before="60"/>
            </w:pPr>
            <w:r>
              <w:rPr>
                <w:rFonts w:ascii="Courier New" w:cs="Courier New" w:eastAsia="Courier New" w:hAnsi="Courier New"/>
                <w:color w:val="1E293B"/>
                <w:sz w:val="20"/>
                <w:szCs w:val="20"/>
              </w:rPr>
              <w:t xml:space="preserve">© 2026 LearnHubPlay BV · All rights reserved</w:t>
            </w:r>
          </w:p>
          <w:p>
            <w:pPr>
              <w:spacing w:after="60" w:before="60"/>
            </w:pPr>
            <w:r>
              <w:rPr>
                <w:rFonts w:ascii="Courier New" w:cs="Courier New" w:eastAsia="Courier New" w:hAnsi="Courier New"/>
                <w:color w:val="1E293B"/>
                <w:sz w:val="20"/>
                <w:szCs w:val="20"/>
              </w:rPr>
              <w:t xml:space="preserve">LokaFlow™ is a trademark of LearnHubPlay BV</w:t>
            </w:r>
          </w:p>
          <w:p>
            <w:pPr>
              <w:spacing w:after="60" w:before="60"/>
            </w:pPr>
            <w:r>
              <w:rPr>
                <w:rFonts w:ascii="Courier New" w:cs="Courier New" w:eastAsia="Courier New" w:hAnsi="Courier New"/>
                <w:color w:val="1E293B"/>
                <w:sz w:val="20"/>
                <w:szCs w:val="20"/>
              </w:rPr>
              <w:t xml:space="preserve">Licensed under BUSL 1.1 · Free for individuals</w:t>
            </w:r>
          </w:p>
          <w:p>
            <w:pPr>
              <w:spacing w:after="60" w:before="60"/>
            </w:pPr>
            <w:r>
              <w:rPr>
                <w:rFonts w:ascii="Courier New" w:cs="Courier New" w:eastAsia="Courier New" w:hAnsi="Courier New"/>
                <w:color w:val="1E293B"/>
                <w:sz w:val="20"/>
                <w:szCs w:val="20"/>
              </w:rPr>
              <w:t xml:space="preserve">Commercial licensing: legal@learnhubplay.com</w:t>
            </w:r>
          </w:p>
        </w:tc>
      </w:tr>
    </w:tbl>
    <w:p>
      <w:pPr>
        <w:spacing w:after="140" w:before="0"/>
      </w:pPr>
    </w:p>
    <w:p>
      <w:pPr>
        <w:pStyle w:val="Heading1"/>
        <w:spacing w:after="200" w:before="480"/>
      </w:pPr>
      <w:r>
        <w:rPr>
          <w:rFonts w:ascii="Arial" w:cs="Arial" w:eastAsia="Arial" w:hAnsi="Arial"/>
          <w:b/>
          <w:bCs/>
          <w:color w:val="1B2F4E"/>
          <w:sz w:val="40"/>
          <w:szCs w:val="40"/>
        </w:rPr>
        <w:t xml:space="preserve">9. Summary — Your Protection Stack</w:t>
      </w:r>
    </w:p>
    <w:p>
      <w:pPr>
        <w:pBdr>
          <w:bottom w:val="single" w:color="0F766E" w:sz="6" w:space="1"/>
        </w:pBdr>
        <w:spacing w:after="160" w:before="160"/>
      </w:pP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360"/>
        <w:gridCol w:w="3000"/>
      </w:tblGrid>
      <w:tr>
        <w:tc>
          <w:tcPr>
            <w:tcW w:type="dxa" w:w="180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Layer</w:t>
            </w:r>
          </w:p>
        </w:tc>
        <w:tc>
          <w:tcPr>
            <w:tcW w:type="dxa" w:w="220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Protection Type</w:t>
            </w:r>
          </w:p>
        </w:tc>
        <w:tc>
          <w:tcPr>
            <w:tcW w:type="dxa" w:w="236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Status After This Plan</w:t>
            </w:r>
          </w:p>
        </w:tc>
        <w:tc>
          <w:tcPr>
            <w:tcW w:type="dxa" w:w="3000"/>
            <w:tcBorders>
              <w:top w:val="single" w:color="CBD5E1" w:sz="1"/>
              <w:left w:val="single" w:color="CBD5E1" w:sz="1"/>
              <w:bottom w:val="single" w:color="CBD5E1" w:sz="1"/>
              <w:right w:val="single" w:color="CBD5E1" w:sz="1"/>
            </w:tcBorders>
            <w:shd w:fill="1B2F4E" w:val="clear"/>
            <w:tcMar>
              <w:top w:type="dxa" w:w="100"/>
              <w:left w:type="dxa" w:w="130"/>
              <w:bottom w:type="dxa" w:w="100"/>
              <w:right w:type="dxa" w:w="130"/>
            </w:tcMar>
          </w:tcPr>
          <w:p>
            <w:r>
              <w:rPr>
                <w:rFonts w:ascii="Arial" w:cs="Arial" w:eastAsia="Arial" w:hAnsi="Arial"/>
                <w:b/>
                <w:bCs/>
                <w:color w:val="FFFFFF"/>
                <w:sz w:val="20"/>
                <w:szCs w:val="20"/>
              </w:rPr>
              <w:t xml:space="preserve">Covers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Copyright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Automatic (EU Auteurswet)</w:t>
            </w:r>
          </w:p>
        </w:tc>
        <w:tc>
          <w:tcPr>
            <w:tcW w:type="dxa" w:w="2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Active from day 1 — no registration</w:t>
            </w:r>
          </w:p>
        </w:tc>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All source code, documentation, architecture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License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BUSL 1.1 — LearnHubPlay BV</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Active from first GitHub commit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Commercial use restrictions, free for individuals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Domain</w:t>
            </w:r>
          </w:p>
        </w:tc>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lokaflow.com + lokaflow.nl</w:t>
            </w:r>
          </w:p>
        </w:tc>
        <w:tc>
          <w:tcPr>
            <w:tcW w:type="dxa" w:w="2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Active from Day 1 registration</w:t>
            </w:r>
          </w:p>
        </w:tc>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Web presence, brand anchor, evidence of first use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Trademark ™</w:t>
            </w:r>
          </w:p>
        </w:tc>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Common law use (unregistered)</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Active from first public use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Brand name claim — weaker but costs nothing</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Trademark ®</w:t>
            </w:r>
          </w:p>
        </w:tc>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EUIPO registration (27 EU states)</w:t>
            </w:r>
          </w:p>
        </w:tc>
        <w:tc>
          <w:tcPr>
            <w:tcW w:type="dxa" w:w="2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Active ~6 months after filing</w:t>
            </w:r>
          </w:p>
        </w:tc>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Full EU brand protection, enforcement rights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Prior Art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Arxiv defensive publication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Active from paper publication date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Blocks patents on your routing method globally</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IP Ownership</w:t>
            </w:r>
          </w:p>
        </w:tc>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IP Assignment Agreement</w:t>
            </w:r>
          </w:p>
        </w:tc>
        <w:tc>
          <w:tcPr>
            <w:tcW w:type="dxa" w:w="2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Active from date of signing</w:t>
            </w:r>
          </w:p>
        </w:tc>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tcPr>
          <w:p>
            <w:r>
              <w:rPr>
                <w:rFonts w:ascii="Arial" w:cs="Arial" w:eastAsia="Arial" w:hAnsi="Arial"/>
                <w:color w:val="1E293B"/>
                <w:sz w:val="20"/>
                <w:szCs w:val="20"/>
              </w:rPr>
              <w:t xml:space="preserve">Formally assigns all IP to LearnHubPlay BV</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Tax</w:t>
            </w:r>
          </w:p>
        </w:tc>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Innovatiebox + WBSO</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Active when revenue starts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9% IP income tax, 32% R&amp;D cost reduction</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66E" w:sz="12"/>
              <w:bottom w:val="none" w:color="FFFFFF" w:sz="0"/>
              <w:right w:val="none" w:color="FFFFFF" w:sz="0"/>
            </w:tcBorders>
            <w:shd w:fill="CCFBF1" w:val="clear"/>
            <w:tcMar>
              <w:top w:type="dxa" w:w="160"/>
              <w:left w:type="dxa" w:w="220"/>
              <w:bottom w:type="dxa" w:w="160"/>
              <w:right w:type="dxa" w:w="220"/>
            </w:tcMar>
          </w:tcPr>
          <w:p>
            <w:pPr>
              <w:spacing w:after="60" w:before="80"/>
            </w:pPr>
            <w:r>
              <w:rPr>
                <w:rFonts w:ascii="Arial" w:cs="Arial" w:eastAsia="Arial" w:hAnsi="Arial"/>
                <w:b/>
                <w:bCs/>
                <w:color w:val="1B2F4E"/>
                <w:sz w:val="28"/>
                <w:szCs w:val="28"/>
              </w:rPr>
              <w:t xml:space="preserve">Bottom Line</w:t>
            </w:r>
          </w:p>
          <w:p>
            <w:pPr>
              <w:spacing w:after="80" w:before="80"/>
            </w:pPr>
            <w:r>
              <w:rPr>
                <w:rFonts w:ascii="Arial" w:cs="Arial" w:eastAsia="Arial" w:hAnsi="Arial"/>
                <w:sz w:val="22"/>
                <w:szCs w:val="22"/>
              </w:rPr>
              <w:t xml:space="preserve">Spend €15–20 today on domains. Spend €0 on everything else today. File the EUIPO trademark (€850, potentially €212 after SME Fund refund) when your first paying customer signs up. By following this plan, LokaFlow™ will be protected by copyright, trademark, prior art, and contractual license across the entire EU — for a total out-of-pocket cost of under €300 if you qualify for the EUIPO SME Fund subsidy.</w:t>
            </w:r>
          </w:p>
        </w:tc>
      </w:tr>
    </w:tbl>
    <w:p>
      <w:pPr>
        <w:spacing w:after="280" w:before="0"/>
      </w:pPr>
    </w:p>
    <w:p>
      <w:pPr>
        <w:jc w:val="center"/>
      </w:pPr>
      <w:r>
        <w:rPr>
          <w:rFonts w:ascii="Arial" w:cs="Arial" w:eastAsia="Arial" w:hAnsi="Arial"/>
          <w:i/>
          <w:iCs/>
          <w:color w:val="94A3B8"/>
          <w:sz w:val="20"/>
          <w:szCs w:val="20"/>
        </w:rPr>
        <w:t xml:space="preserve">— LokaFlow™ Registration Plan · LearnHubPlay BV · February 2026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LokaFlow™ by LearnHubPlay BV  |  Full Registration &amp; Protection Plan  |  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2F4E"/>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0F766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2026-02-26T14:04:38.673Z</dcterms:created>
  <dcterms:modified xsi:type="dcterms:W3CDTF">2026-02-26T14:04:38.674Z</dcterms:modified>
</cp:coreProperties>
</file>

<file path=docProps/custom.xml><?xml version="1.0" encoding="utf-8"?>
<Properties xmlns="http://schemas.openxmlformats.org/officeDocument/2006/custom-properties" xmlns:vt="http://schemas.openxmlformats.org/officeDocument/2006/docPropsVTypes"/>
</file>