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80"/>
                <w:szCs w:val="80"/>
              </w:rPr>
              <w:t xml:space="preserve">NexusAI Token Savings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2"/>
                <w:szCs w:val="52"/>
              </w:rPr>
              <w:t xml:space="preserve">&amp; Hybrid LLM Migration Playbook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4"/>
                <w:szCs w:val="24"/>
              </w:rPr>
              <w:t xml:space="preserve">How much you can save  •  How to plan the split  •  How to migrate production apps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February 2026  |  NexusAI Platform</w:t>
            </w:r>
          </w:p>
          <w:p>
            <w:pPr>
              <w:spacing w:after="140" w:before="0"/>
            </w:pPr>
          </w:p>
        </w:tc>
      </w:tr>
    </w:tbl>
    <w:p>
      <w:pPr>
        <w:spacing w:after="28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How Tokens Are Spent in a Typical AI Workload</w:t>
      </w:r>
    </w:p>
    <w:p>
      <w:pPr>
        <w:pBdr>
          <w:bottom w:val="single" w:color="2E75B6" w:sz="4" w:space="1"/>
        </w:pBdr>
        <w:spacing w:after="180" w:before="1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estimating savings, we need to understand where tokens actually go. Analysis of real-world AI pipelines shows that token usage divides into two distinct categories: high-volume bulk tasks that any capable model can handle, and genuinely complex tasks that require frontier model intelligence.</w:t>
      </w:r>
    </w:p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Token Distribution in Common Workload Types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130"/>
        <w:gridCol w:w="213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Daily Tokens (example)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Bulk / Repetitive %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 / Reasoning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Coding Agent (codebase-wide)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12M tokens/day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72% (file reading, test gen)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28% (planning, architecture, review)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Processing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20M tokens/day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 (extraction, classification)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 (summarise, compliance check)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Support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8M tokens/day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65% (retrieval, formatting replies)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35% (escalation reasoning, edge cases)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Financial Data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15M tokens/day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75% (data parsing, table extraction)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25% (risk reasoning, anomaly analysis)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Incident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5M tokens/day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60% (log parsing, metric reading)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40% (root cause analysis, action plan)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General Chat Assistant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10M tokens/day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 (context retrieval, formatting)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 (reasoning, knowledge retrieval)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 average across workload types, 65–75% of all tokens consumed are in bulk/repetitive tasks. These tasks do NOT require GPT-4 or Claude Opus quality — a capable local model (Llama 3.3 70B, Mistral, Qwen) handles them with 85–95% output parity.</w:t>
            </w:r>
          </w:p>
        </w:tc>
      </w:tr>
    </w:tbl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Makes a Task 'Bulk' vs 'Complex'?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80"/>
        <w:gridCol w:w="2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Decision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 Loading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✅ 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Purely retrieval — no reasoning needed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files, load docs, parse logs, fetch DB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Extraction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✅ 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Pattern matching, structured output from known formats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 JSON from text, parse tables, classify 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✅ 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Repetitive, pattern-based, templated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tests, boilerplate code, CRUD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Bulk Summarisation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✅ 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Compress large content to key points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Summarise 50 customer tickets, chunk document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✅ 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Autocomplete-style, short context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 bodies, docstrings, variable 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Architecture Planning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☁️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Requires broad knowledge + reasoning chains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design, tech stack decisions, trade-off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☁️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deep pattern knowledge + edge case awareness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Vulnerability review, compliance check, penetration scenarios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Complex Debugging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☁️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Multi-hop reasoning across large context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 cause analysis, dependency conflict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Strategic Summarisation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☁️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judgment + prioritisation, not just compression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Executive summary, risk prioritisation, decision memos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Multi-step Reasoning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☁️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Chain-of-thought across multiple domains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Financial modelling, legal analysis, scientific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 Context + Reasoning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⚠️ Hybrid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 load → local; final reasoning step →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Codebase-wide refactor planning, document-wide compliance scan</w:t>
            </w:r>
          </w:p>
        </w:tc>
      </w:tr>
    </w:tbl>
    <w:p>
      <w:pPr>
        <w:spacing w:after="14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Token Savings Analysis — Real Numbers</w:t>
      </w:r>
    </w:p>
    <w:p>
      <w:pPr>
        <w:pBdr>
          <w:bottom w:val="single" w:color="2E75B6" w:sz="4" w:space="1"/>
        </w:pBdr>
        <w:spacing w:after="180" w:before="1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Savings are calculated by replacing bulk-task tokens (routed to local model at near-zero cost) while keeping complex-task tokens on paid cloud APIs. The following analysis uses real 2025-2026 API pricing.</w:t>
      </w:r>
    </w:p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LLM Pricing Reference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920"/>
        <w:gridCol w:w="1920"/>
        <w:gridCol w:w="1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(per 1M tokens)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(per 1M tokens)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$15.00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$75.00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💰💰💰💰💰 Highest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$5.00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$15.00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💰💰💰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$3.00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$15.00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💰💰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$3.50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$10.50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💰💰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 3.3 70B (local)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~$0.02*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~$0.02*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Near 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Mistral 7B (local)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~$0.003*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~$0.003*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Near 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Qwen 2.5 32B (local)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~$0.01*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~$0.01*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Near Zero</w:t>
            </w:r>
          </w:p>
        </w:tc>
      </w:tr>
    </w:tbl>
    <w:p>
      <w:pPr>
        <w:spacing w:after="140" w:before="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 Local model cost = electricity only. Estimated at $0.10–0.15/kWh, consumer GPU (RTX 4090 or Apple M2 Ultra). Scales to near-zero at higher usage.</w:t>
      </w:r>
    </w:p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Savings Scenarios — By Workload</w:t>
      </w:r>
    </w:p>
    <w:p>
      <w:pPr>
        <w:spacing w:after="14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Scenario: 10 million tokens per day total usage. Baseline = 100% cloud (Claude Sonnet @ $3/$15 per 1M).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1560"/>
        <w:gridCol w:w="1200"/>
        <w:gridCol w:w="1200"/>
        <w:gridCol w:w="13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Tokens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to Local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Cost (Baseline)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Hybrid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Saving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Saving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Coding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$144/day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$40/day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$104/day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$3,120/mo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$240/day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$48/day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$192/day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$5,760/mo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$96/day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$34/day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$62/day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$1,860/mo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Financial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$180/day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$45/day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$135/day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$4,050/mo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$60/day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$24/day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$36/day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$1,080/mo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General Assistant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$120/day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$60/day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$60/day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(all combined)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70%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$840/day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$251/day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$589/day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$17,670/mo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40"/>
                <w:sz w:val="24"/>
                <w:szCs w:val="24"/>
              </w:rPr>
              <w:t xml:space="preserve">Average Token Cost Reduction: </w:t>
            </w:r>
            <w:r>
              <w:rPr>
                <w:rFonts w:ascii="Arial" w:cs="Arial" w:eastAsia="Arial" w:hAnsi="Arial"/>
                <w:b/>
                <w:bCs/>
                <w:color w:val="1A7340"/>
                <w:sz w:val="28"/>
                <w:szCs w:val="28"/>
              </w:rPr>
              <w:t xml:space="preserve">65–80%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depending on workload type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70M tokens/day across all workloads: saves ~$17,670/month ($212,000/year) vs pure Claude Sonnet baseline.</w:t>
            </w:r>
          </w:p>
        </w:tc>
      </w:tr>
    </w:tbl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Savings Rate Visual (% Cloud Cost Eliminated by Workload)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5040"/>
        <w:gridCol w:w="1960"/>
      </w:tblGrid>
      <w:t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Coding Agent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40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72%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5600"/>
        <w:gridCol w:w="1400"/>
      </w:tblGrid>
      <w:t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 Processing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40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5250"/>
        <w:gridCol w:w="1750"/>
      </w:tblGrid>
      <w:t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 Analysis</w:t>
            </w:r>
          </w:p>
        </w:tc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40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75%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4550"/>
        <w:gridCol w:w="2450"/>
      </w:tblGrid>
      <w:t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65%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4200"/>
        <w:gridCol w:w="2800"/>
      </w:tblGrid>
      <w:t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DevOps Automation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60%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 Assistant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50%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40" w:before="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Green = 65%+ savings achievable. Blue = 55–65%. Orange = 45–55%.</w:t>
      </w:r>
    </w:p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Savings at Scale — Enterprise View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380"/>
        <w:gridCol w:w="2000"/>
        <w:gridCol w:w="11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Token Volume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Cloud Spend (Baseline)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Hybrid Spend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Saving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 team (5 devs)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5M tokens/day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$4,500/mo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$1,350/mo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$37,800/yr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Startup (20 devs)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25M tokens/day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$22,500/mo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$6,750/mo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$189,000/yr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Mid-market (100 devs)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100M tokens/day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$90,000/mo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$27,000/mo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$756,000/yr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Enterprise (500 devs)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500M tokens/day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$450,000/mo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$135,000/mo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$3,780,000/yr</w:t>
            </w:r>
          </w:p>
        </w:tc>
      </w:tr>
    </w:tbl>
    <w:p>
      <w:pPr>
        <w:spacing w:after="14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The Plan-Then-Execute Model (How NexusAI Orchestrates)</w:t>
      </w:r>
    </w:p>
    <w:p>
      <w:pPr>
        <w:pBdr>
          <w:bottom w:val="single" w:color="2E75B6" w:sz="4" w:space="1"/>
        </w:pBdr>
        <w:spacing w:after="180" w:before="1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workflow pattern is: one powerful cloud LLM creates the master plan, then distributes sub-tasks to either local LLMs (for bulk execution) or back to the cloud LLM (for complex reasoning steps). This is the key orchestration pattern.</w:t>
      </w:r>
    </w:p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4-Phase Orchestration Pattern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PHASE 1 — PLAN  (Cloud LLM: Claude Opus / GPT-4o)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Cloud LLM receives the full task description. It produces a structured execution plan: a JSON task graph with each sub-task labelled as 'bulk' or 'complex', estimated token cost, dependencies, and expected output format. This phase uses ~5–10% of total tokens.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         ↓ Plan distributed to router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PHASE 2 — DISTRIBUTE  (NexusAI Router)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Router reads the task graph. 'Bulk' tasks → queued to local LLM worker pool. 'Complex' tasks → queued to cloud LLM with priority. Tasks with data dependencies are sequenced correctly. Parallel execution where possible.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         ↓ ↙ parallel execution paths ↘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PHASE 3 — EXECUTE  (Local LLM + Cloud LLM in parallel)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 LLM handles: file reading, extraction, test generation, formatting, classification, boilerplate code — consuming 65–75% of total tokens at near-zero cost. Cloud LLM handles: security review, architecture decisions, complex reasoning — consuming 25–35% of tokens.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         ↓ Results collected by orchestrator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PHASE 4 — SYNTHESISE  (Cloud LLM: final pass)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Cloud LLM receives all phase-3 outputs and produces the final coherent response. This phase uses ~5–15% of total tokens. Total cloud token usage: ~30–40% of what a pure-cloud approach would consume.</w:t>
            </w:r>
          </w:p>
        </w:tc>
      </w:tr>
    </w:tbl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Task Labelling Schema (Planner Output Format)</w:t>
      </w:r>
    </w:p>
    <w:p>
      <w:pPr>
        <w:spacing w:after="14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cloud planner outputs a structured task graph. Each task node carries a routing label that tells NexusAI exactly where to send it: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{ "task_graph":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{ "id": "T1", "name": "Read all source files", "route": "local",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"est_tokens": 8000, "depends_on": [], "output": "file_contents"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{ "id": "T2", "name": "Extract function signatures", "route": "local",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"est_tokens": 3000, "depends_on": ["T1"], "output": "signatures_json"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{ "id": "T3", "name": "Architectural review", "route": "cloud",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"est_tokens": 2000, "depends_on": ["T2"], "model": "claude-opus-4-6"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{ "id": "T4", "name": "Generate unit tests", "route": "local",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"est_tokens": 6000, "depends_on": ["T2"], "output": "test_files" 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]}</w:t>
            </w:r>
          </w:p>
        </w:tc>
      </w:tr>
    </w:tbl>
    <w:p>
      <w:pPr>
        <w:spacing w:after="14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Production App Migration Plan</w:t>
      </w:r>
    </w:p>
    <w:p>
      <w:pPr>
        <w:pBdr>
          <w:bottom w:val="single" w:color="2E75B6" w:sz="4" w:space="1"/>
        </w:pBdr>
        <w:spacing w:after="180" w:before="1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covers how to migrate an existing production application that currently makes direct calls to a paid LLM (Claude/GPT-4) into the NexusAI hybrid routing architecture — with zero downtime and incremental token savings.</w:t>
      </w:r>
    </w:p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Migration Strategy — The 5-Stage Approach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60"/>
        <w:gridCol w:w="120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Savings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Observe &amp; Profile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token tracking middleware. Log every LLM call: task type, token count, latency, cost. No routing changes yet. Run for 2 weeks.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 (baseline)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— read-only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Classify &amp; Label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Analyse profiling data. Manually or auto-label each call type: bulk vs complex. Validate labels with spot checks.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 (prep)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— analysis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Shadow Routing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NexusAI router runs in parallel — routes calls to local LLM but doesn't return results to users. Compare local vs cloud outputs. Measure quality gap.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 (validation)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— shadow mode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 Routing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routing for lowest-risk bulk tasks first (e.g. data extraction, formatting). Monitor quality metrics. Expand gradually.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30–50%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— partial production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Hybrid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task types routed correctly. Cloud LLM reserved for planning and complex reasoning. Full cost savings realised.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60–75%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— stable operation</w:t>
            </w:r>
          </w:p>
        </w:tc>
      </w:tr>
    </w:tbl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Stage 1 — Profiling: What to Instrument</w:t>
      </w:r>
    </w:p>
    <w:p>
      <w:pPr>
        <w:spacing w:after="14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you can route intelligently, you need to know what you're routing. Add this lightweight middleware wrapper around every LLM call in your production app: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 Python middleware — drop in around existing LLM calls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def tracked_llm_call(prompt, context_label='unknown'):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tokens_in = estimate_tokens(prompt)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start = time.time()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result = existing_llm_call(prompt)  # unchanged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log_to_nexusai({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'label': context_label,   # e.g. 'extraction', 'planning'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'tokens_in': tokens_in,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'tokens_out': len(result) //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'latency_ms': (time.time()-start)*1000,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'cost_usd': tokens_in * 0.000003 })</w:t>
            </w:r>
          </w:p>
        </w:tc>
      </w:tr>
    </w:tbl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Stage 3 — Shadow Routing: Quality Validation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switching production traffic, run shadow mode for 1–2 weeks. For each bulk-labelled call, simultaneously send to both cloud and local LLM. Compare outputs using: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Semantic similarity score (cosine similarity on embeddings) — target &gt; 0.85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Task-specific quality metric (e.g. for code gen: does it pass unit tests? For extraction: does it match expected JSON schema?)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Length ratio check: local output shouldn't be drastically shorter or longer than cloud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Human spot-check: 50 random samples rated by a team member on a 1–5 scale</w:t>
      </w:r>
    </w:p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Stage 4–5 — Migration Priority Order</w:t>
      </w:r>
    </w:p>
    <w:p>
      <w:pPr>
        <w:spacing w:after="14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Migrate in this exact order — lowest risk tasks first, highest value complexity tasks last: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15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Savings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Data/text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(8–10x cheaper)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match rate ≥ 98%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Classification &amp; labelling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(8–10x cheaper)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Accuracy vs cloud baseline ≥ 95%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Boilerplate code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(5–8x cheaper)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test pass rate unchanged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summarisation (bulk)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(5–8x cheaper)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ROUGE score vs cloud ≥ 0.80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Structured data formatting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(8–10x cheaper)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 validity ≥ 99%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 retrieval + chunking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High (near zero)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Retrieval precision unchanged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generation (unit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(4–6x cheaper)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pass rate ≥ baseline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Routine Q&amp;A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(3–5x cheaper)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satisfaction score ≥ 4.0/5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Planning, architecture,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Keep 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Minimal savings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Keep on best available cloud model</w:t>
            </w:r>
          </w:p>
        </w:tc>
      </w:tr>
    </w:tbl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Rollback Plan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Every routed call has a fallback flag. If quality metric drops below threshold: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Automatic re-route to cloud for that task type (takes effect in &lt; 60 seconds)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 sent to ops team with quality metric, task type, and sample outputs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cloud-only mode toggle available in dashboard (one-click emergency rollback)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Root cause analysis: compare local model version, prompt template version, and input distribution</w:t>
            </w:r>
          </w:p>
        </w:tc>
      </w:tr>
    </w:tbl>
    <w:p>
      <w:pPr>
        <w:spacing w:after="14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Three-Way Split: Specialist LLM + Cloud LLM + Local LLM</w:t>
      </w:r>
    </w:p>
    <w:p>
      <w:pPr>
        <w:pBdr>
          <w:bottom w:val="single" w:color="2E75B6" w:sz="4" w:space="1"/>
        </w:pBdr>
        <w:spacing w:after="180" w:before="1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production applications, the split is not just binary (cloud vs local). A three-way architecture gives you maximum cost efficiency and quality: use specialist fine-tuned models for domain-specific high-volume tasks, cloud frontier models only for true general reasoning, and local models for everything else.</w:t>
      </w:r>
    </w:p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Three-Tier Model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2200"/>
        <w:gridCol w:w="1280"/>
        <w:gridCol w:w="2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vs Cloud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Frontier Cloud 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Opus 4.6, GPT-4o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Planning, architecture, complex reasoning, security audit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1x (baseline)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Specialist Cloud 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Haiku, Mistral Medium, Gemini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tasks: legal, medical, code-specific at medium complexity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0.1–0.2x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in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General 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 3.3 70B, Mistral 7B, Qwen 2.5 32B (Ollama)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Bulk: extraction, classification, formatting, test gen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0.003–0.02x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Good (85–95% parity)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Specialist 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CodeLlama, DeepSeek-Coder, MedLlama (fine-tuned)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High-volume domain-specific bulk tasks: code gen, medical NER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0.003–0.02x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High in domain</w:t>
            </w:r>
          </w:p>
        </w:tc>
      </w:tr>
    </w:tbl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Routing Decision Matrix: Three-Way Split</w:t>
      </w:r>
    </w:p>
    <w:p>
      <w:pPr>
        <w:spacing w:after="14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60"/>
        <w:gridCol w:w="14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Specific?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Codebase architecture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(code)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1 (Claude Opus)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broad + deep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vulnerability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(sec)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1 (Cloud)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stakes, needs best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Legal clause 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(legal)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2 (Specialist)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Domain-specific but repetitive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Medical entity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3b (MedLlama)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Fine-tuned local handles this well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completion (functions)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(code)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3b (CodeLlama)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Specialist local = high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data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 (Local 7B)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model handles this fine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 (Local 7B)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Pattern matching, no complex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support reply draft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 (Local 70B)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fluent language, not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Incident root cause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(DevOps)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1 (Cloud)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Multi-hop reasoning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 summarisation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(DevOps)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 (Local 7B)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Bulk, repetitive, structured output</w:t>
            </w:r>
          </w:p>
        </w:tc>
      </w:tr>
    </w:tbl>
    <w:p>
      <w:pPr>
        <w:spacing w:after="14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Three-Way Split Savings vs Two-Way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000"/>
        <w:gridCol w:w="236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Tier 1 %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Tier 2 %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(10M tokens/day)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Cloud Tier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$90,000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Two-way: Cloud + Local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$27,000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Three-way: T1 + T2 + Local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$17,000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−81%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Three-way + Local Specialist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−87%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case savings with three-way split + local specialist models: </w:t>
            </w:r>
            <w:r>
              <w:rPr>
                <w:rFonts w:ascii="Arial" w:cs="Arial" w:eastAsia="Arial" w:hAnsi="Arial"/>
                <w:b/>
                <w:bCs/>
                <w:color w:val="1A7340"/>
                <w:sz w:val="26"/>
                <w:szCs w:val="26"/>
              </w:rPr>
              <w:t xml:space="preserve">87% cost reduction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vs 100% frontier cloud — without meaningful quality loss for bulk tasks.</w:t>
            </w:r>
          </w:p>
        </w:tc>
      </w:tr>
    </w:tbl>
    <w:p>
      <w:pPr>
        <w:spacing w:after="14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Implementation Timeline &amp; Migration Milestones</w:t>
      </w:r>
    </w:p>
    <w:p>
      <w:pPr>
        <w:pBdr>
          <w:bottom w:val="single" w:color="2E75B6" w:sz="4" w:space="1"/>
        </w:pBdr>
        <w:spacing w:after="18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80"/>
        <w:gridCol w:w="36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Savings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 profiling middleware. Log all LLM calls in production. Zero routing changes.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 usage heatmap: which tasks consume most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Analyse logs. Classify all call types. Identify top 3 bulk task types (likely &gt; 50% of all tokens).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Routing classification map + savings estimate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NexusAI router in shadow mode. Route bulk tasks to local model but use cloud output still.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Quality comparison report: local vs cloud on real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routing for top bulk task type only (e.g. data extraction). Monitor quality metrics daily.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25–35%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real savings + quality monitoring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Expand to 2nd bulk task type. Tune prompts if needed to improve local model quality.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40–50%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Savings report showing ROI vs migration cost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Expand to 3rd bulk task type. Add specialist local model for domain tasks (e.g. CodeLlama).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55–65%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Three-tier routing operational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13–16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hybrid routing. Cloud only for planning and complex tasks. Optimise with quality thresholds.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65–75%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hybrid production — target savings realised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17–24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visual workflow builder. Enable multi-agent orchestration. Begin v2 features.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70–80%+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Platform-level capability — not just cost saving</w:t>
            </w:r>
          </w:p>
        </w:tc>
      </w:tr>
    </w:tbl>
    <w:p>
      <w:pPr>
        <w:spacing w:after="14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Summary: What You Can Expect to Save</w:t>
      </w:r>
    </w:p>
    <w:p>
      <w:pPr>
        <w:pBdr>
          <w:bottom w:val="single" w:color="2E75B6" w:sz="4" w:space="1"/>
        </w:pBdr>
        <w:spacing w:after="180" w:before="180"/>
      </w:pP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20"/>
        <w:gridCol w:w="21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Stage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Token Savings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Impact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Profiling only (Stage 1–2)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— no changes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1–4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Shadow + first bulk task routed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25–35%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Low — easiest tasks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5–8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bulk task types routed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50–65%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— well-validated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9–12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hybrid (cloud for complex only)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65–75%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Negligible — 2–5% gap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13–16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Three-way split + specialist models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80–87%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Minimal — fine-tuned domains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17–24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Final Verdict on Token Savings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Conservative estimate (two-way split): </w:t>
            </w: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60–70% cost reduction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Aggressive estimate (three-way + specialist): </w:t>
            </w: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80–87% cost reduction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Quality impact: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2–8% gap on bulk tasks (acceptable). Zero gap on complex tasks (still using best cloud model).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Typical break-even: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2–4 weeks after first routing goes live. Migration cost is minimal — existing app code barely changes.</w:t>
            </w:r>
          </w:p>
        </w:tc>
      </w:tr>
    </w:tbl>
    <w:p>
      <w:pPr>
        <w:spacing w:after="28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NexusAI Token Savings &amp; Migration Playbook  |  February 2026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NexusAI — Token Savings &amp; Hybrid LLM Migration Plan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2026-02-26T08:00:28.667Z</dcterms:created>
  <dcterms:modified xsi:type="dcterms:W3CDTF">2026-02-26T08:00:28.667Z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