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Appendix B. Evidence Engine and Recipe Ranking (Layers 3 and 4)</w:t>
      </w:r>
    </w:p>
    <w:p>
      <w:r>
        <w:rPr>
          <w:b w:val="0"/>
          <w:i w:val="0"/>
        </w:rPr>
        <w:t>This appendix documents how the HepatoTwin pipeline turns the Layer 2 patient state into evidence-linked nutritional priorities (Layer 3) and ranks candidate recipes from RecipeDB against them (Layer 4, NutriTwin). It records the evidence base, the rules, the recipe criteria and the screening of the recipe corpus, and reports the evaluation set out in Section 12.2 of the proposal. All figures come from scripts and result files in the project repository.</w:t>
      </w:r>
    </w:p>
    <w:p>
      <w:pPr>
        <w:pStyle w:val="Heading2"/>
      </w:pPr>
      <w:r>
        <w:t>B.1 Pipeline Overview</w:t>
      </w:r>
    </w:p>
    <w:p>
      <w:pPr>
        <w:ind w:left="510" w:hanging="340"/>
      </w:pPr>
      <w:r>
        <w:rPr>
          <w:b w:val="0"/>
          <w:i w:val="0"/>
        </w:rPr>
        <w:t xml:space="preserve">1. </w:t>
      </w:r>
      <w:r>
        <w:rPr>
          <w:b/>
          <w:i w:val="0"/>
        </w:rPr>
        <w:t>Layer 2, patient state.</w:t>
      </w:r>
      <w:r>
        <w:rPr>
          <w:b w:val="0"/>
          <w:i w:val="0"/>
        </w:rPr>
        <w:t xml:space="preserve"> The combined model (Appendix A) gives a predicted CAP and calibrated probabilities P(CAP ≥ 248) and P(CAP ≥ 280), each with an F1-selected decision threshold.</w:t>
      </w:r>
    </w:p>
    <w:p>
      <w:pPr>
        <w:ind w:left="510" w:hanging="340"/>
      </w:pPr>
      <w:r>
        <w:rPr>
          <w:b w:val="0"/>
          <w:i w:val="0"/>
        </w:rPr>
        <w:t xml:space="preserve">2. </w:t>
      </w:r>
      <w:r>
        <w:rPr>
          <w:b/>
          <w:i w:val="0"/>
        </w:rPr>
        <w:t>Layer 3, patient-state flags.</w:t>
      </w:r>
      <w:r>
        <w:rPr>
          <w:b w:val="0"/>
          <w:i w:val="0"/>
        </w:rPr>
        <w:t xml:space="preserve"> The probabilities and routine measurements are converted into explicit 0/1 flags using published clinical thresholds (Table B.3). Flags describe which evidence rules apply; they are not diagnoses.</w:t>
      </w:r>
    </w:p>
    <w:p>
      <w:pPr>
        <w:ind w:left="510" w:hanging="340"/>
      </w:pPr>
      <w:r>
        <w:rPr>
          <w:b w:val="0"/>
          <w:i w:val="0"/>
        </w:rPr>
        <w:t xml:space="preserve">3. </w:t>
      </w:r>
      <w:r>
        <w:rPr>
          <w:b/>
          <w:i w:val="0"/>
        </w:rPr>
        <w:t>Layer 3, priorities.</w:t>
      </w:r>
      <w:r>
        <w:rPr>
          <w:b w:val="0"/>
          <w:i w:val="0"/>
        </w:rPr>
        <w:t xml:space="preserve"> Each evidence rule fires on a flag, sets a base priority (low, medium or high), may raise it when further flags hold, and cites rows of the evidence table (Table B.2). No priority carries a patient-level numeric target.</w:t>
      </w:r>
    </w:p>
    <w:p>
      <w:pPr>
        <w:ind w:left="510" w:hanging="340"/>
      </w:pPr>
      <w:r>
        <w:rPr>
          <w:b w:val="0"/>
          <w:i w:val="0"/>
        </w:rPr>
        <w:t xml:space="preserve">4. </w:t>
      </w:r>
      <w:r>
        <w:rPr>
          <w:b/>
          <w:i w:val="0"/>
        </w:rPr>
        <w:t>Layer 4, recipe criteria.</w:t>
      </w:r>
      <w:r>
        <w:rPr>
          <w:b w:val="0"/>
          <w:i w:val="0"/>
        </w:rPr>
        <w:t xml:space="preserve"> Each priority is linked to one recipe-composition measure with a reference value from public dietary guidance (Table B.4). The priority level sets the weight.</w:t>
      </w:r>
    </w:p>
    <w:p>
      <w:pPr>
        <w:ind w:left="510" w:hanging="340"/>
      </w:pPr>
      <w:r>
        <w:rPr>
          <w:b w:val="0"/>
          <w:i w:val="0"/>
        </w:rPr>
        <w:t xml:space="preserve">5. </w:t>
      </w:r>
      <w:r>
        <w:rPr>
          <w:b/>
          <w:i w:val="0"/>
        </w:rPr>
        <w:t>Layer 4, ranking.</w:t>
      </w:r>
      <w:r>
        <w:rPr>
          <w:b w:val="0"/>
          <w:i w:val="0"/>
        </w:rPr>
        <w:t xml:space="preserve"> Candidate meals are scored for health relevance, cuisine compatibility and practical feasibility (each 0–100) and combined with explicit weights (0.6, 0.2, 0.2). Recipes that meet every reference value rank first. Each recommendation reports its criterion values, reference values and supporting evidence rows.</w:t>
      </w:r>
    </w:p>
    <w:p>
      <w:pPr>
        <w:pStyle w:val="Heading2"/>
      </w:pPr>
      <w:r>
        <w:t>B.2 Intervention Evidence Table</w:t>
      </w:r>
    </w:p>
    <w:p>
      <w:r>
        <w:rPr>
          <w:b w:val="0"/>
          <w:i w:val="0"/>
        </w:rPr>
        <w:t>The evidence table contains 17 intervention–outcome rows from eight sources. Every citation was checked against its PubMed record. The check corrected two first authors (the British Journal of Nutrition meta-analysis is by Sangouni et al., and the Clinical Nutrition meta-analysis by Haigh et al.), completed an incomplete citation (Stern et al., 2026), and repaired two guideline rows whose fields had shifted by one column. Three rows were added to support the saturated-fat and sugar priorities, including one null finding, so that conflicting evidence is retained.</w:t>
      </w:r>
    </w:p>
    <w:p>
      <w:pPr>
        <w:pStyle w:val="Caption"/>
      </w:pPr>
      <w:r>
        <w:rPr>
          <w:b/>
        </w:rPr>
        <w:t xml:space="preserve">Table B.1. </w:t>
      </w:r>
      <w:r>
        <w:t>Intervention evidence rows cited by the rules.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1757"/>
            <w:shd w:val="clear" w:color="auto" w:fill="EDEDED"/>
            <w:tcBorders>
              <w:bottom w:val="single" w:sz="6" w:space="0" w:color="000000"/>
            </w:tcBorders>
          </w:tcPr>
          <w:p>
            <w:pPr>
              <w:spacing w:line="240" w:lineRule="auto" w:after="40" w:before="40"/>
              <w:jc w:val="left"/>
            </w:pPr>
            <w:r>
              <w:rPr>
                <w:b/>
                <w:i w:val="0"/>
                <w:sz w:val="17"/>
              </w:rPr>
              <w:t>ID</w:t>
            </w:r>
          </w:p>
        </w:tc>
        <w:tc>
          <w:tcPr>
            <w:tcW w:type="dxa" w:w="2381"/>
            <w:shd w:val="clear" w:color="auto" w:fill="EDEDED"/>
            <w:tcBorders>
              <w:bottom w:val="single" w:sz="6" w:space="0" w:color="000000"/>
            </w:tcBorders>
          </w:tcPr>
          <w:p>
            <w:pPr>
              <w:spacing w:line="240" w:lineRule="auto" w:after="40" w:before="40"/>
              <w:jc w:val="left"/>
            </w:pPr>
            <w:r>
              <w:rPr>
                <w:b/>
                <w:i w:val="0"/>
                <w:sz w:val="17"/>
              </w:rPr>
              <w:t>Intervention</w:t>
            </w:r>
          </w:p>
        </w:tc>
        <w:tc>
          <w:tcPr>
            <w:tcW w:type="dxa" w:w="1928"/>
            <w:shd w:val="clear" w:color="auto" w:fill="EDEDED"/>
            <w:tcBorders>
              <w:bottom w:val="single" w:sz="6" w:space="0" w:color="000000"/>
            </w:tcBorders>
          </w:tcPr>
          <w:p>
            <w:pPr>
              <w:spacing w:line="240" w:lineRule="auto" w:after="40" w:before="40"/>
              <w:jc w:val="left"/>
            </w:pPr>
            <w:r>
              <w:rPr>
                <w:b/>
                <w:i w:val="0"/>
                <w:sz w:val="17"/>
              </w:rPr>
              <w:t>Outcome</w:t>
            </w:r>
          </w:p>
        </w:tc>
        <w:tc>
          <w:tcPr>
            <w:tcW w:type="dxa" w:w="1191"/>
            <w:shd w:val="clear" w:color="auto" w:fill="EDEDED"/>
            <w:tcBorders>
              <w:bottom w:val="single" w:sz="6" w:space="0" w:color="000000"/>
            </w:tcBorders>
          </w:tcPr>
          <w:p>
            <w:pPr>
              <w:spacing w:line="240" w:lineRule="auto" w:after="40" w:before="40"/>
              <w:jc w:val="left"/>
            </w:pPr>
            <w:r>
              <w:rPr>
                <w:b/>
                <w:i w:val="0"/>
                <w:sz w:val="17"/>
              </w:rPr>
              <w:t>Strength</w:t>
            </w:r>
          </w:p>
        </w:tc>
        <w:tc>
          <w:tcPr>
            <w:tcW w:type="dxa" w:w="1757"/>
            <w:shd w:val="clear" w:color="auto" w:fill="EDEDED"/>
            <w:tcBorders>
              <w:bottom w:val="single" w:sz="6" w:space="0" w:color="000000"/>
            </w:tcBorders>
          </w:tcPr>
          <w:p>
            <w:pPr>
              <w:spacing w:line="240" w:lineRule="auto" w:after="40" w:before="40"/>
              <w:jc w:val="left"/>
            </w:pPr>
            <w:r>
              <w:rPr>
                <w:b/>
                <w:i w:val="0"/>
                <w:sz w:val="17"/>
              </w:rPr>
              <w:t>Source</w:t>
            </w:r>
          </w:p>
        </w:tc>
      </w:tr>
      <w:tr>
        <w:trPr>
          <w:cantSplit/>
        </w:trPr>
        <w:tc>
          <w:tcPr>
            <w:tcW w:type="dxa" w:w="1757"/>
          </w:tcPr>
          <w:p>
            <w:pPr>
              <w:spacing w:line="240" w:lineRule="auto" w:after="40" w:before="40"/>
              <w:jc w:val="left"/>
            </w:pPr>
            <w:r>
              <w:rPr>
                <w:b w:val="0"/>
                <w:i w:val="0"/>
                <w:sz w:val="17"/>
              </w:rPr>
              <w:t>VG2015-WL5</w:t>
            </w:r>
          </w:p>
        </w:tc>
        <w:tc>
          <w:tcPr>
            <w:tcW w:type="dxa" w:w="2381"/>
          </w:tcPr>
          <w:p>
            <w:pPr>
              <w:spacing w:line="240" w:lineRule="auto" w:after="40" w:before="40"/>
              <w:jc w:val="left"/>
            </w:pPr>
            <w:r>
              <w:rPr>
                <w:b w:val="0"/>
                <w:i w:val="0"/>
                <w:sz w:val="17"/>
              </w:rPr>
              <w:t>Weight loss ≥ 5%</w:t>
            </w:r>
          </w:p>
        </w:tc>
        <w:tc>
          <w:tcPr>
            <w:tcW w:type="dxa" w:w="1928"/>
          </w:tcPr>
          <w:p>
            <w:pPr>
              <w:spacing w:line="240" w:lineRule="auto" w:after="40" w:before="40"/>
              <w:jc w:val="left"/>
            </w:pPr>
            <w:r>
              <w:rPr>
                <w:b w:val="0"/>
                <w:i w:val="0"/>
                <w:sz w:val="17"/>
              </w:rPr>
              <w:t>NASH resolution, NAS</w:t>
            </w:r>
          </w:p>
        </w:tc>
        <w:tc>
          <w:tcPr>
            <w:tcW w:type="dxa" w:w="1191"/>
          </w:tcPr>
          <w:p>
            <w:pPr>
              <w:spacing w:line="240" w:lineRule="auto" w:after="40" w:before="40"/>
              <w:jc w:val="left"/>
            </w:pPr>
            <w:r>
              <w:rPr>
                <w:b w:val="0"/>
                <w:i w:val="0"/>
                <w:sz w:val="17"/>
              </w:rPr>
              <w:t>Strong</w:t>
            </w:r>
          </w:p>
        </w:tc>
        <w:tc>
          <w:tcPr>
            <w:tcW w:type="dxa" w:w="1757"/>
          </w:tcPr>
          <w:p>
            <w:pPr>
              <w:spacing w:line="240" w:lineRule="auto" w:after="40" w:before="40"/>
              <w:jc w:val="left"/>
            </w:pPr>
            <w:r>
              <w:rPr>
                <w:b w:val="0"/>
                <w:i w:val="0"/>
                <w:sz w:val="17"/>
              </w:rPr>
              <w:t>Vilar-Gomez et al., 2015</w:t>
            </w:r>
          </w:p>
        </w:tc>
      </w:tr>
      <w:tr>
        <w:trPr>
          <w:cantSplit/>
        </w:trPr>
        <w:tc>
          <w:tcPr>
            <w:tcW w:type="dxa" w:w="1757"/>
          </w:tcPr>
          <w:p>
            <w:pPr>
              <w:spacing w:line="240" w:lineRule="auto" w:after="40" w:before="40"/>
              <w:jc w:val="left"/>
            </w:pPr>
            <w:r>
              <w:rPr>
                <w:b w:val="0"/>
                <w:i w:val="0"/>
                <w:sz w:val="17"/>
              </w:rPr>
              <w:t>VG2015-WL7-10</w:t>
            </w:r>
          </w:p>
        </w:tc>
        <w:tc>
          <w:tcPr>
            <w:tcW w:type="dxa" w:w="2381"/>
          </w:tcPr>
          <w:p>
            <w:pPr>
              <w:spacing w:line="240" w:lineRule="auto" w:after="40" w:before="40"/>
              <w:jc w:val="left"/>
            </w:pPr>
            <w:r>
              <w:rPr>
                <w:b w:val="0"/>
                <w:i w:val="0"/>
                <w:sz w:val="17"/>
              </w:rPr>
              <w:t>Weight loss 7–10%</w:t>
            </w:r>
          </w:p>
        </w:tc>
        <w:tc>
          <w:tcPr>
            <w:tcW w:type="dxa" w:w="1928"/>
          </w:tcPr>
          <w:p>
            <w:pPr>
              <w:spacing w:line="240" w:lineRule="auto" w:after="40" w:before="40"/>
              <w:jc w:val="left"/>
            </w:pPr>
            <w:r>
              <w:rPr>
                <w:b w:val="0"/>
                <w:i w:val="0"/>
                <w:sz w:val="17"/>
              </w:rPr>
              <w:t>NAS</w:t>
            </w:r>
          </w:p>
        </w:tc>
        <w:tc>
          <w:tcPr>
            <w:tcW w:type="dxa" w:w="1191"/>
          </w:tcPr>
          <w:p>
            <w:pPr>
              <w:spacing w:line="240" w:lineRule="auto" w:after="40" w:before="40"/>
              <w:jc w:val="left"/>
            </w:pPr>
            <w:r>
              <w:rPr>
                <w:b w:val="0"/>
                <w:i w:val="0"/>
                <w:sz w:val="17"/>
              </w:rPr>
              <w:t>Strong</w:t>
            </w:r>
          </w:p>
        </w:tc>
        <w:tc>
          <w:tcPr>
            <w:tcW w:type="dxa" w:w="1757"/>
          </w:tcPr>
          <w:p>
            <w:pPr>
              <w:spacing w:line="240" w:lineRule="auto" w:after="40" w:before="40"/>
              <w:jc w:val="left"/>
            </w:pPr>
            <w:r>
              <w:rPr>
                <w:b w:val="0"/>
                <w:i w:val="0"/>
                <w:sz w:val="17"/>
              </w:rPr>
              <w:t>Vilar-Gomez et al., 2015</w:t>
            </w:r>
          </w:p>
        </w:tc>
      </w:tr>
      <w:tr>
        <w:trPr>
          <w:cantSplit/>
        </w:trPr>
        <w:tc>
          <w:tcPr>
            <w:tcW w:type="dxa" w:w="1757"/>
          </w:tcPr>
          <w:p>
            <w:pPr>
              <w:spacing w:line="240" w:lineRule="auto" w:after="40" w:before="40"/>
              <w:jc w:val="left"/>
            </w:pPr>
            <w:r>
              <w:rPr>
                <w:b w:val="0"/>
                <w:i w:val="0"/>
                <w:sz w:val="17"/>
              </w:rPr>
              <w:t>VG2015-WL10-NASH</w:t>
            </w:r>
          </w:p>
        </w:tc>
        <w:tc>
          <w:tcPr>
            <w:tcW w:type="dxa" w:w="2381"/>
          </w:tcPr>
          <w:p>
            <w:pPr>
              <w:spacing w:line="240" w:lineRule="auto" w:after="40" w:before="40"/>
              <w:jc w:val="left"/>
            </w:pPr>
            <w:r>
              <w:rPr>
                <w:b w:val="0"/>
                <w:i w:val="0"/>
                <w:sz w:val="17"/>
              </w:rPr>
              <w:t>Weight loss ≥ 10%</w:t>
            </w:r>
          </w:p>
        </w:tc>
        <w:tc>
          <w:tcPr>
            <w:tcW w:type="dxa" w:w="1928"/>
          </w:tcPr>
          <w:p>
            <w:pPr>
              <w:spacing w:line="240" w:lineRule="auto" w:after="40" w:before="40"/>
              <w:jc w:val="left"/>
            </w:pPr>
            <w:r>
              <w:rPr>
                <w:b w:val="0"/>
                <w:i w:val="0"/>
                <w:sz w:val="17"/>
              </w:rPr>
              <w:t>NASH resolution</w:t>
            </w:r>
          </w:p>
        </w:tc>
        <w:tc>
          <w:tcPr>
            <w:tcW w:type="dxa" w:w="1191"/>
          </w:tcPr>
          <w:p>
            <w:pPr>
              <w:spacing w:line="240" w:lineRule="auto" w:after="40" w:before="40"/>
              <w:jc w:val="left"/>
            </w:pPr>
            <w:r>
              <w:rPr>
                <w:b w:val="0"/>
                <w:i w:val="0"/>
                <w:sz w:val="17"/>
              </w:rPr>
              <w:t>Strong</w:t>
            </w:r>
          </w:p>
        </w:tc>
        <w:tc>
          <w:tcPr>
            <w:tcW w:type="dxa" w:w="1757"/>
          </w:tcPr>
          <w:p>
            <w:pPr>
              <w:spacing w:line="240" w:lineRule="auto" w:after="40" w:before="40"/>
              <w:jc w:val="left"/>
            </w:pPr>
            <w:r>
              <w:rPr>
                <w:b w:val="0"/>
                <w:i w:val="0"/>
                <w:sz w:val="17"/>
              </w:rPr>
              <w:t>Vilar-Gomez et al., 2015</w:t>
            </w:r>
          </w:p>
        </w:tc>
      </w:tr>
      <w:tr>
        <w:trPr>
          <w:cantSplit/>
        </w:trPr>
        <w:tc>
          <w:tcPr>
            <w:tcW w:type="dxa" w:w="1757"/>
          </w:tcPr>
          <w:p>
            <w:pPr>
              <w:spacing w:line="240" w:lineRule="auto" w:after="40" w:before="40"/>
              <w:jc w:val="left"/>
            </w:pPr>
            <w:r>
              <w:rPr>
                <w:b w:val="0"/>
                <w:i w:val="0"/>
                <w:sz w:val="17"/>
              </w:rPr>
              <w:t>VG2015-WL10-FIB</w:t>
            </w:r>
          </w:p>
        </w:tc>
        <w:tc>
          <w:tcPr>
            <w:tcW w:type="dxa" w:w="2381"/>
          </w:tcPr>
          <w:p>
            <w:pPr>
              <w:spacing w:line="240" w:lineRule="auto" w:after="40" w:before="40"/>
              <w:jc w:val="left"/>
            </w:pPr>
            <w:r>
              <w:rPr>
                <w:b w:val="0"/>
                <w:i w:val="0"/>
                <w:sz w:val="17"/>
              </w:rPr>
              <w:t>Weight loss ≥ 10%</w:t>
            </w:r>
          </w:p>
        </w:tc>
        <w:tc>
          <w:tcPr>
            <w:tcW w:type="dxa" w:w="1928"/>
          </w:tcPr>
          <w:p>
            <w:pPr>
              <w:spacing w:line="240" w:lineRule="auto" w:after="40" w:before="40"/>
              <w:jc w:val="left"/>
            </w:pPr>
            <w:r>
              <w:rPr>
                <w:b w:val="0"/>
                <w:i w:val="0"/>
                <w:sz w:val="17"/>
              </w:rPr>
              <w:t>Fibrosis regression</w:t>
            </w:r>
          </w:p>
        </w:tc>
        <w:tc>
          <w:tcPr>
            <w:tcW w:type="dxa" w:w="1191"/>
          </w:tcPr>
          <w:p>
            <w:pPr>
              <w:spacing w:line="240" w:lineRule="auto" w:after="40" w:before="40"/>
              <w:jc w:val="left"/>
            </w:pPr>
            <w:r>
              <w:rPr>
                <w:b w:val="0"/>
                <w:i w:val="0"/>
                <w:sz w:val="17"/>
              </w:rPr>
              <w:t>Strong</w:t>
            </w:r>
          </w:p>
        </w:tc>
        <w:tc>
          <w:tcPr>
            <w:tcW w:type="dxa" w:w="1757"/>
          </w:tcPr>
          <w:p>
            <w:pPr>
              <w:spacing w:line="240" w:lineRule="auto" w:after="40" w:before="40"/>
              <w:jc w:val="left"/>
            </w:pPr>
            <w:r>
              <w:rPr>
                <w:b w:val="0"/>
                <w:i w:val="0"/>
                <w:sz w:val="17"/>
              </w:rPr>
              <w:t>Vilar-Gomez et al., 2015</w:t>
            </w:r>
          </w:p>
        </w:tc>
      </w:tr>
      <w:tr>
        <w:trPr>
          <w:cantSplit/>
        </w:trPr>
        <w:tc>
          <w:tcPr>
            <w:tcW w:type="dxa" w:w="1757"/>
          </w:tcPr>
          <w:p>
            <w:pPr>
              <w:spacing w:line="240" w:lineRule="auto" w:after="40" w:before="40"/>
              <w:jc w:val="left"/>
            </w:pPr>
            <w:r>
              <w:rPr>
                <w:b w:val="0"/>
                <w:i w:val="0"/>
                <w:sz w:val="17"/>
              </w:rPr>
              <w:t>SAN2021-AST-GGT</w:t>
            </w:r>
          </w:p>
        </w:tc>
        <w:tc>
          <w:tcPr>
            <w:tcW w:type="dxa" w:w="2381"/>
          </w:tcPr>
          <w:p>
            <w:pPr>
              <w:spacing w:line="240" w:lineRule="auto" w:after="40" w:before="40"/>
              <w:jc w:val="left"/>
            </w:pPr>
            <w:r>
              <w:rPr>
                <w:b w:val="0"/>
                <w:i w:val="0"/>
                <w:sz w:val="17"/>
              </w:rPr>
              <w:t>Mediterranean diet</w:t>
            </w:r>
          </w:p>
        </w:tc>
        <w:tc>
          <w:tcPr>
            <w:tcW w:type="dxa" w:w="1928"/>
          </w:tcPr>
          <w:p>
            <w:pPr>
              <w:spacing w:line="240" w:lineRule="auto" w:after="40" w:before="40"/>
              <w:jc w:val="left"/>
            </w:pPr>
            <w:r>
              <w:rPr>
                <w:b w:val="0"/>
                <w:i w:val="0"/>
                <w:sz w:val="17"/>
              </w:rPr>
              <w:t>AST, GGT</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Sangouni et al., 2022</w:t>
            </w:r>
          </w:p>
        </w:tc>
      </w:tr>
      <w:tr>
        <w:trPr>
          <w:cantSplit/>
        </w:trPr>
        <w:tc>
          <w:tcPr>
            <w:tcW w:type="dxa" w:w="1757"/>
          </w:tcPr>
          <w:p>
            <w:pPr>
              <w:spacing w:line="240" w:lineRule="auto" w:after="40" w:before="40"/>
              <w:jc w:val="left"/>
            </w:pPr>
            <w:r>
              <w:rPr>
                <w:b w:val="0"/>
                <w:i w:val="0"/>
                <w:sz w:val="17"/>
              </w:rPr>
              <w:t>SAN2021-ALT</w:t>
            </w:r>
          </w:p>
        </w:tc>
        <w:tc>
          <w:tcPr>
            <w:tcW w:type="dxa" w:w="2381"/>
          </w:tcPr>
          <w:p>
            <w:pPr>
              <w:spacing w:line="240" w:lineRule="auto" w:after="40" w:before="40"/>
              <w:jc w:val="left"/>
            </w:pPr>
            <w:r>
              <w:rPr>
                <w:b w:val="0"/>
                <w:i w:val="0"/>
                <w:sz w:val="17"/>
              </w:rPr>
              <w:t>Mediterranean diet</w:t>
            </w:r>
          </w:p>
        </w:tc>
        <w:tc>
          <w:tcPr>
            <w:tcW w:type="dxa" w:w="1928"/>
          </w:tcPr>
          <w:p>
            <w:pPr>
              <w:spacing w:line="240" w:lineRule="auto" w:after="40" w:before="40"/>
              <w:jc w:val="left"/>
            </w:pPr>
            <w:r>
              <w:rPr>
                <w:b w:val="0"/>
                <w:i w:val="0"/>
                <w:sz w:val="17"/>
              </w:rPr>
              <w:t>ALT (no effect)</w:t>
            </w:r>
          </w:p>
        </w:tc>
        <w:tc>
          <w:tcPr>
            <w:tcW w:type="dxa" w:w="1191"/>
          </w:tcPr>
          <w:p>
            <w:pPr>
              <w:spacing w:line="240" w:lineRule="auto" w:after="40" w:before="40"/>
              <w:jc w:val="left"/>
            </w:pPr>
            <w:r>
              <w:rPr>
                <w:b w:val="0"/>
                <w:i w:val="0"/>
                <w:sz w:val="17"/>
              </w:rPr>
              <w:t>Weak / inconclusive</w:t>
            </w:r>
          </w:p>
        </w:tc>
        <w:tc>
          <w:tcPr>
            <w:tcW w:type="dxa" w:w="1757"/>
          </w:tcPr>
          <w:p>
            <w:pPr>
              <w:spacing w:line="240" w:lineRule="auto" w:after="40" w:before="40"/>
              <w:jc w:val="left"/>
            </w:pPr>
            <w:r>
              <w:rPr>
                <w:b w:val="0"/>
                <w:i w:val="0"/>
                <w:sz w:val="17"/>
              </w:rPr>
              <w:t>Sangouni et al., 2022</w:t>
            </w:r>
          </w:p>
        </w:tc>
      </w:tr>
      <w:tr>
        <w:trPr>
          <w:cantSplit/>
        </w:trPr>
        <w:tc>
          <w:tcPr>
            <w:tcW w:type="dxa" w:w="1757"/>
          </w:tcPr>
          <w:p>
            <w:pPr>
              <w:spacing w:line="240" w:lineRule="auto" w:after="40" w:before="40"/>
              <w:jc w:val="left"/>
            </w:pPr>
            <w:r>
              <w:rPr>
                <w:b w:val="0"/>
                <w:i w:val="0"/>
                <w:sz w:val="17"/>
              </w:rPr>
              <w:t>STE2026-MEDDIET</w:t>
            </w:r>
          </w:p>
        </w:tc>
        <w:tc>
          <w:tcPr>
            <w:tcW w:type="dxa" w:w="2381"/>
          </w:tcPr>
          <w:p>
            <w:pPr>
              <w:spacing w:line="240" w:lineRule="auto" w:after="40" w:before="40"/>
              <w:jc w:val="left"/>
            </w:pPr>
            <w:r>
              <w:rPr>
                <w:b w:val="0"/>
                <w:i w:val="0"/>
                <w:sz w:val="17"/>
              </w:rPr>
              <w:t>Mediterranean diet</w:t>
            </w:r>
          </w:p>
        </w:tc>
        <w:tc>
          <w:tcPr>
            <w:tcW w:type="dxa" w:w="1928"/>
          </w:tcPr>
          <w:p>
            <w:pPr>
              <w:spacing w:line="240" w:lineRule="auto" w:after="40" w:before="40"/>
              <w:jc w:val="left"/>
            </w:pPr>
            <w:r>
              <w:rPr>
                <w:b w:val="0"/>
                <w:i w:val="0"/>
                <w:sz w:val="17"/>
              </w:rPr>
              <w:t>ALT, stiffness, MRI-PDFF</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Stern et al., 2026</w:t>
            </w:r>
          </w:p>
        </w:tc>
      </w:tr>
      <w:tr>
        <w:trPr>
          <w:cantSplit/>
        </w:trPr>
        <w:tc>
          <w:tcPr>
            <w:tcW w:type="dxa" w:w="1757"/>
          </w:tcPr>
          <w:p>
            <w:pPr>
              <w:spacing w:line="240" w:lineRule="auto" w:after="40" w:before="40"/>
              <w:jc w:val="left"/>
            </w:pPr>
            <w:r>
              <w:rPr>
                <w:b w:val="0"/>
                <w:i w:val="0"/>
                <w:sz w:val="17"/>
              </w:rPr>
              <w:t>HAI2022-DIET</w:t>
            </w:r>
          </w:p>
        </w:tc>
        <w:tc>
          <w:tcPr>
            <w:tcW w:type="dxa" w:w="2381"/>
          </w:tcPr>
          <w:p>
            <w:pPr>
              <w:spacing w:line="240" w:lineRule="auto" w:after="40" w:before="40"/>
              <w:jc w:val="left"/>
            </w:pPr>
            <w:r>
              <w:rPr>
                <w:b w:val="0"/>
                <w:i w:val="0"/>
                <w:sz w:val="17"/>
              </w:rPr>
              <w:t>Dietary interventions</w:t>
            </w:r>
          </w:p>
        </w:tc>
        <w:tc>
          <w:tcPr>
            <w:tcW w:type="dxa" w:w="1928"/>
          </w:tcPr>
          <w:p>
            <w:pPr>
              <w:spacing w:line="240" w:lineRule="auto" w:after="40" w:before="40"/>
              <w:jc w:val="left"/>
            </w:pPr>
            <w:r>
              <w:rPr>
                <w:b w:val="0"/>
                <w:i w:val="0"/>
                <w:sz w:val="17"/>
              </w:rPr>
              <w:t>ALT, AST, FLI, steatosis</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Haigh et al., 2022</w:t>
            </w:r>
          </w:p>
        </w:tc>
      </w:tr>
      <w:tr>
        <w:trPr>
          <w:cantSplit/>
        </w:trPr>
        <w:tc>
          <w:tcPr>
            <w:tcW w:type="dxa" w:w="1757"/>
          </w:tcPr>
          <w:p>
            <w:pPr>
              <w:spacing w:line="240" w:lineRule="auto" w:after="40" w:before="40"/>
              <w:jc w:val="left"/>
            </w:pPr>
            <w:r>
              <w:rPr>
                <w:b w:val="0"/>
                <w:i w:val="0"/>
                <w:sz w:val="17"/>
              </w:rPr>
              <w:t>HAI2022-CR</w:t>
            </w:r>
          </w:p>
        </w:tc>
        <w:tc>
          <w:tcPr>
            <w:tcW w:type="dxa" w:w="2381"/>
          </w:tcPr>
          <w:p>
            <w:pPr>
              <w:spacing w:line="240" w:lineRule="auto" w:after="40" w:before="40"/>
              <w:jc w:val="left"/>
            </w:pPr>
            <w:r>
              <w:rPr>
                <w:b w:val="0"/>
                <w:i w:val="0"/>
                <w:sz w:val="17"/>
              </w:rPr>
              <w:t>Calorie restriction</w:t>
            </w:r>
          </w:p>
        </w:tc>
        <w:tc>
          <w:tcPr>
            <w:tcW w:type="dxa" w:w="1928"/>
          </w:tcPr>
          <w:p>
            <w:pPr>
              <w:spacing w:line="240" w:lineRule="auto" w:after="40" w:before="40"/>
              <w:jc w:val="left"/>
            </w:pPr>
            <w:r>
              <w:rPr>
                <w:b w:val="0"/>
                <w:i w:val="0"/>
                <w:sz w:val="17"/>
              </w:rPr>
              <w:t>ALT, steatosis, stiffness</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Haigh et al., 2022</w:t>
            </w:r>
          </w:p>
        </w:tc>
      </w:tr>
      <w:tr>
        <w:trPr>
          <w:cantSplit/>
        </w:trPr>
        <w:tc>
          <w:tcPr>
            <w:tcW w:type="dxa" w:w="1757"/>
          </w:tcPr>
          <w:p>
            <w:pPr>
              <w:spacing w:line="240" w:lineRule="auto" w:after="40" w:before="40"/>
              <w:jc w:val="left"/>
            </w:pPr>
            <w:r>
              <w:rPr>
                <w:b w:val="0"/>
                <w:i w:val="0"/>
                <w:sz w:val="17"/>
              </w:rPr>
              <w:t>XIO2024-MD-LFD</w:t>
            </w:r>
          </w:p>
        </w:tc>
        <w:tc>
          <w:tcPr>
            <w:tcW w:type="dxa" w:w="2381"/>
          </w:tcPr>
          <w:p>
            <w:pPr>
              <w:spacing w:line="240" w:lineRule="auto" w:after="40" w:before="40"/>
              <w:jc w:val="left"/>
            </w:pPr>
            <w:r>
              <w:rPr>
                <w:b w:val="0"/>
                <w:i w:val="0"/>
                <w:sz w:val="17"/>
              </w:rPr>
              <w:t>Mediterranean vs low-fat</w:t>
            </w:r>
          </w:p>
        </w:tc>
        <w:tc>
          <w:tcPr>
            <w:tcW w:type="dxa" w:w="1928"/>
          </w:tcPr>
          <w:p>
            <w:pPr>
              <w:spacing w:line="240" w:lineRule="auto" w:after="40" w:before="40"/>
              <w:jc w:val="left"/>
            </w:pPr>
            <w:r>
              <w:rPr>
                <w:b w:val="0"/>
                <w:i w:val="0"/>
                <w:sz w:val="17"/>
              </w:rPr>
              <w:t>Enzymes, liver fat (no difference)</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Xiong et al., 2024</w:t>
            </w:r>
          </w:p>
        </w:tc>
      </w:tr>
      <w:tr>
        <w:trPr>
          <w:cantSplit/>
        </w:trPr>
        <w:tc>
          <w:tcPr>
            <w:tcW w:type="dxa" w:w="1757"/>
          </w:tcPr>
          <w:p>
            <w:pPr>
              <w:spacing w:line="240" w:lineRule="auto" w:after="40" w:before="40"/>
              <w:jc w:val="left"/>
            </w:pPr>
            <w:r>
              <w:rPr>
                <w:b w:val="0"/>
                <w:i w:val="0"/>
                <w:sz w:val="17"/>
              </w:rPr>
              <w:t>STI2023-EX</w:t>
            </w:r>
          </w:p>
        </w:tc>
        <w:tc>
          <w:tcPr>
            <w:tcW w:type="dxa" w:w="2381"/>
          </w:tcPr>
          <w:p>
            <w:pPr>
              <w:spacing w:line="240" w:lineRule="auto" w:after="40" w:before="40"/>
              <w:jc w:val="left"/>
            </w:pPr>
            <w:r>
              <w:rPr>
                <w:b w:val="0"/>
                <w:i w:val="0"/>
                <w:sz w:val="17"/>
              </w:rPr>
              <w:t>Exercise training</w:t>
            </w:r>
          </w:p>
        </w:tc>
        <w:tc>
          <w:tcPr>
            <w:tcW w:type="dxa" w:w="1928"/>
          </w:tcPr>
          <w:p>
            <w:pPr>
              <w:spacing w:line="240" w:lineRule="auto" w:after="40" w:before="40"/>
              <w:jc w:val="left"/>
            </w:pPr>
            <w:r>
              <w:rPr>
                <w:b w:val="0"/>
                <w:i w:val="0"/>
                <w:sz w:val="17"/>
              </w:rPr>
              <w:t>MRI liver fat</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Stine et al., 2023</w:t>
            </w:r>
          </w:p>
        </w:tc>
      </w:tr>
      <w:tr>
        <w:trPr>
          <w:cantSplit/>
        </w:trPr>
        <w:tc>
          <w:tcPr>
            <w:tcW w:type="dxa" w:w="1757"/>
          </w:tcPr>
          <w:p>
            <w:pPr>
              <w:spacing w:line="240" w:lineRule="auto" w:after="40" w:before="40"/>
              <w:jc w:val="left"/>
            </w:pPr>
            <w:r>
              <w:rPr>
                <w:b w:val="0"/>
                <w:i w:val="0"/>
                <w:sz w:val="17"/>
              </w:rPr>
              <w:t>STI2023-EXDOSE</w:t>
            </w:r>
          </w:p>
        </w:tc>
        <w:tc>
          <w:tcPr>
            <w:tcW w:type="dxa" w:w="2381"/>
          </w:tcPr>
          <w:p>
            <w:pPr>
              <w:spacing w:line="240" w:lineRule="auto" w:after="40" w:before="40"/>
              <w:jc w:val="left"/>
            </w:pPr>
            <w:r>
              <w:rPr>
                <w:b w:val="0"/>
                <w:i w:val="0"/>
                <w:sz w:val="17"/>
              </w:rPr>
              <w:t>Exercise ≥ 750 MET-min/week</w:t>
            </w:r>
          </w:p>
        </w:tc>
        <w:tc>
          <w:tcPr>
            <w:tcW w:type="dxa" w:w="1928"/>
          </w:tcPr>
          <w:p>
            <w:pPr>
              <w:spacing w:line="240" w:lineRule="auto" w:after="40" w:before="40"/>
              <w:jc w:val="left"/>
            </w:pPr>
            <w:r>
              <w:rPr>
                <w:b w:val="0"/>
                <w:i w:val="0"/>
                <w:sz w:val="17"/>
              </w:rPr>
              <w:t>MRI liver fat</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Stine et al., 2023</w:t>
            </w:r>
          </w:p>
        </w:tc>
      </w:tr>
      <w:tr>
        <w:trPr>
          <w:cantSplit/>
        </w:trPr>
        <w:tc>
          <w:tcPr>
            <w:tcW w:type="dxa" w:w="1757"/>
          </w:tcPr>
          <w:p>
            <w:pPr>
              <w:spacing w:line="240" w:lineRule="auto" w:after="40" w:before="40"/>
              <w:jc w:val="left"/>
            </w:pPr>
            <w:r>
              <w:rPr>
                <w:b w:val="0"/>
                <w:i w:val="0"/>
                <w:sz w:val="17"/>
              </w:rPr>
              <w:t>EASL2024-DIET</w:t>
            </w:r>
          </w:p>
        </w:tc>
        <w:tc>
          <w:tcPr>
            <w:tcW w:type="dxa" w:w="2381"/>
          </w:tcPr>
          <w:p>
            <w:pPr>
              <w:spacing w:line="240" w:lineRule="auto" w:after="40" w:before="40"/>
              <w:jc w:val="left"/>
            </w:pPr>
            <w:r>
              <w:rPr>
                <w:b w:val="0"/>
                <w:i w:val="0"/>
                <w:sz w:val="17"/>
              </w:rPr>
              <w:t>Diet quality; limit sugars, saturated fat</w:t>
            </w:r>
          </w:p>
        </w:tc>
        <w:tc>
          <w:tcPr>
            <w:tcW w:type="dxa" w:w="1928"/>
          </w:tcPr>
          <w:p>
            <w:pPr>
              <w:spacing w:line="240" w:lineRule="auto" w:after="40" w:before="40"/>
              <w:jc w:val="left"/>
            </w:pPr>
            <w:r>
              <w:rPr>
                <w:b w:val="0"/>
                <w:i w:val="0"/>
                <w:sz w:val="17"/>
              </w:rPr>
              <w:t>Liver injury</w:t>
            </w:r>
          </w:p>
        </w:tc>
        <w:tc>
          <w:tcPr>
            <w:tcW w:type="dxa" w:w="1191"/>
          </w:tcPr>
          <w:p>
            <w:pPr>
              <w:spacing w:line="240" w:lineRule="auto" w:after="40" w:before="40"/>
              <w:jc w:val="left"/>
            </w:pPr>
            <w:r>
              <w:rPr>
                <w:b w:val="0"/>
                <w:i w:val="0"/>
                <w:sz w:val="17"/>
              </w:rPr>
              <w:t>Guideline</w:t>
            </w:r>
          </w:p>
        </w:tc>
        <w:tc>
          <w:tcPr>
            <w:tcW w:type="dxa" w:w="1757"/>
          </w:tcPr>
          <w:p>
            <w:pPr>
              <w:spacing w:line="240" w:lineRule="auto" w:after="40" w:before="40"/>
              <w:jc w:val="left"/>
            </w:pPr>
            <w:r>
              <w:rPr>
                <w:b w:val="0"/>
                <w:i w:val="0"/>
                <w:sz w:val="17"/>
              </w:rPr>
              <w:t>EASL-EASD-EASO, 2024</w:t>
            </w:r>
          </w:p>
        </w:tc>
      </w:tr>
      <w:tr>
        <w:trPr>
          <w:cantSplit/>
        </w:trPr>
        <w:tc>
          <w:tcPr>
            <w:tcW w:type="dxa" w:w="1757"/>
          </w:tcPr>
          <w:p>
            <w:pPr>
              <w:spacing w:line="240" w:lineRule="auto" w:after="40" w:before="40"/>
              <w:jc w:val="left"/>
            </w:pPr>
            <w:r>
              <w:rPr>
                <w:b w:val="0"/>
                <w:i w:val="0"/>
                <w:sz w:val="17"/>
              </w:rPr>
              <w:t>EASL2024-PA</w:t>
            </w:r>
          </w:p>
        </w:tc>
        <w:tc>
          <w:tcPr>
            <w:tcW w:type="dxa" w:w="2381"/>
          </w:tcPr>
          <w:p>
            <w:pPr>
              <w:spacing w:line="240" w:lineRule="auto" w:after="40" w:before="40"/>
              <w:jc w:val="left"/>
            </w:pPr>
            <w:r>
              <w:rPr>
                <w:b w:val="0"/>
                <w:i w:val="0"/>
                <w:sz w:val="17"/>
              </w:rPr>
              <w:t>Physical activity</w:t>
            </w:r>
          </w:p>
        </w:tc>
        <w:tc>
          <w:tcPr>
            <w:tcW w:type="dxa" w:w="1928"/>
          </w:tcPr>
          <w:p>
            <w:pPr>
              <w:spacing w:line="240" w:lineRule="auto" w:after="40" w:before="40"/>
              <w:jc w:val="left"/>
            </w:pPr>
            <w:r>
              <w:rPr>
                <w:b w:val="0"/>
                <w:i w:val="0"/>
                <w:sz w:val="17"/>
              </w:rPr>
              <w:t>Steatosis</w:t>
            </w:r>
          </w:p>
        </w:tc>
        <w:tc>
          <w:tcPr>
            <w:tcW w:type="dxa" w:w="1191"/>
          </w:tcPr>
          <w:p>
            <w:pPr>
              <w:spacing w:line="240" w:lineRule="auto" w:after="40" w:before="40"/>
              <w:jc w:val="left"/>
            </w:pPr>
            <w:r>
              <w:rPr>
                <w:b w:val="0"/>
                <w:i w:val="0"/>
                <w:sz w:val="17"/>
              </w:rPr>
              <w:t>Guideline</w:t>
            </w:r>
          </w:p>
        </w:tc>
        <w:tc>
          <w:tcPr>
            <w:tcW w:type="dxa" w:w="1757"/>
          </w:tcPr>
          <w:p>
            <w:pPr>
              <w:spacing w:line="240" w:lineRule="auto" w:after="40" w:before="40"/>
              <w:jc w:val="left"/>
            </w:pPr>
            <w:r>
              <w:rPr>
                <w:b w:val="0"/>
                <w:i w:val="0"/>
                <w:sz w:val="17"/>
              </w:rPr>
              <w:t>EASL-EASD-EASO, 2024</w:t>
            </w:r>
          </w:p>
        </w:tc>
      </w:tr>
      <w:tr>
        <w:trPr>
          <w:cantSplit/>
        </w:trPr>
        <w:tc>
          <w:tcPr>
            <w:tcW w:type="dxa" w:w="1757"/>
          </w:tcPr>
          <w:p>
            <w:pPr>
              <w:spacing w:line="240" w:lineRule="auto" w:after="40" w:before="40"/>
              <w:jc w:val="left"/>
            </w:pPr>
            <w:r>
              <w:rPr>
                <w:b w:val="0"/>
                <w:i w:val="0"/>
                <w:sz w:val="17"/>
              </w:rPr>
              <w:t>LUU2018-SAT</w:t>
            </w:r>
          </w:p>
        </w:tc>
        <w:tc>
          <w:tcPr>
            <w:tcW w:type="dxa" w:w="2381"/>
          </w:tcPr>
          <w:p>
            <w:pPr>
              <w:spacing w:line="240" w:lineRule="auto" w:after="40" w:before="40"/>
              <w:jc w:val="left"/>
            </w:pPr>
            <w:r>
              <w:rPr>
                <w:b w:val="0"/>
                <w:i w:val="0"/>
                <w:sz w:val="17"/>
              </w:rPr>
              <w:t>Excess saturated vs unsaturated fat vs sugars</w:t>
            </w:r>
          </w:p>
        </w:tc>
        <w:tc>
          <w:tcPr>
            <w:tcW w:type="dxa" w:w="1928"/>
          </w:tcPr>
          <w:p>
            <w:pPr>
              <w:spacing w:line="240" w:lineRule="auto" w:after="40" w:before="40"/>
              <w:jc w:val="left"/>
            </w:pPr>
            <w:r>
              <w:rPr>
                <w:b w:val="0"/>
                <w:i w:val="0"/>
                <w:sz w:val="17"/>
              </w:rPr>
              <w:t>Liver fat</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Luukkonen et al., 2018</w:t>
            </w:r>
          </w:p>
        </w:tc>
      </w:tr>
      <w:tr>
        <w:trPr>
          <w:cantSplit/>
        </w:trPr>
        <w:tc>
          <w:tcPr>
            <w:tcW w:type="dxa" w:w="1757"/>
          </w:tcPr>
          <w:p>
            <w:pPr>
              <w:spacing w:line="240" w:lineRule="auto" w:after="40" w:before="40"/>
              <w:jc w:val="left"/>
            </w:pPr>
            <w:r>
              <w:rPr>
                <w:b w:val="0"/>
                <w:i w:val="0"/>
                <w:sz w:val="17"/>
              </w:rPr>
              <w:t>CHI2014-HYPER</w:t>
            </w:r>
          </w:p>
        </w:tc>
        <w:tc>
          <w:tcPr>
            <w:tcW w:type="dxa" w:w="2381"/>
          </w:tcPr>
          <w:p>
            <w:pPr>
              <w:spacing w:line="240" w:lineRule="auto" w:after="40" w:before="40"/>
              <w:jc w:val="left"/>
            </w:pPr>
            <w:r>
              <w:rPr>
                <w:b w:val="0"/>
                <w:i w:val="0"/>
                <w:sz w:val="17"/>
              </w:rPr>
              <w:t>Hypercaloric fructose</w:t>
            </w:r>
          </w:p>
        </w:tc>
        <w:tc>
          <w:tcPr>
            <w:tcW w:type="dxa" w:w="1928"/>
          </w:tcPr>
          <w:p>
            <w:pPr>
              <w:spacing w:line="240" w:lineRule="auto" w:after="40" w:before="40"/>
              <w:jc w:val="left"/>
            </w:pPr>
            <w:r>
              <w:rPr>
                <w:b w:val="0"/>
                <w:i w:val="0"/>
                <w:sz w:val="17"/>
              </w:rPr>
              <w:t>Liver fat, ALT</w:t>
            </w:r>
          </w:p>
        </w:tc>
        <w:tc>
          <w:tcPr>
            <w:tcW w:type="dxa" w:w="1191"/>
          </w:tcPr>
          <w:p>
            <w:pPr>
              <w:spacing w:line="240" w:lineRule="auto" w:after="40" w:before="40"/>
              <w:jc w:val="left"/>
            </w:pPr>
            <w:r>
              <w:rPr>
                <w:b w:val="0"/>
                <w:i w:val="0"/>
                <w:sz w:val="17"/>
              </w:rPr>
              <w:t>Moderate</w:t>
            </w:r>
          </w:p>
        </w:tc>
        <w:tc>
          <w:tcPr>
            <w:tcW w:type="dxa" w:w="1757"/>
          </w:tcPr>
          <w:p>
            <w:pPr>
              <w:spacing w:line="240" w:lineRule="auto" w:after="40" w:before="40"/>
              <w:jc w:val="left"/>
            </w:pPr>
            <w:r>
              <w:rPr>
                <w:b w:val="0"/>
                <w:i w:val="0"/>
                <w:sz w:val="17"/>
              </w:rPr>
              <w:t>Chiu et al., 2014</w:t>
            </w:r>
          </w:p>
        </w:tc>
      </w:tr>
      <w:tr>
        <w:trPr>
          <w:cantSplit/>
        </w:trPr>
        <w:tc>
          <w:tcPr>
            <w:tcW w:type="dxa" w:w="1757"/>
          </w:tcPr>
          <w:p>
            <w:pPr>
              <w:spacing w:line="240" w:lineRule="auto" w:after="40" w:before="40"/>
              <w:jc w:val="left"/>
            </w:pPr>
            <w:r>
              <w:rPr>
                <w:b w:val="0"/>
                <w:i w:val="0"/>
                <w:sz w:val="17"/>
              </w:rPr>
              <w:t>CHI2014-ISO</w:t>
            </w:r>
          </w:p>
        </w:tc>
        <w:tc>
          <w:tcPr>
            <w:tcW w:type="dxa" w:w="2381"/>
          </w:tcPr>
          <w:p>
            <w:pPr>
              <w:spacing w:line="240" w:lineRule="auto" w:after="40" w:before="40"/>
              <w:jc w:val="left"/>
            </w:pPr>
            <w:r>
              <w:rPr>
                <w:b w:val="0"/>
                <w:i w:val="0"/>
                <w:sz w:val="17"/>
              </w:rPr>
              <w:t>Isocaloric fructose</w:t>
            </w:r>
          </w:p>
        </w:tc>
        <w:tc>
          <w:tcPr>
            <w:tcW w:type="dxa" w:w="1928"/>
          </w:tcPr>
          <w:p>
            <w:pPr>
              <w:spacing w:line="240" w:lineRule="auto" w:after="40" w:before="40"/>
              <w:jc w:val="left"/>
            </w:pPr>
            <w:r>
              <w:rPr>
                <w:b w:val="0"/>
                <w:i w:val="0"/>
                <w:sz w:val="17"/>
              </w:rPr>
              <w:t>Liver fat, ALT (no effect)</w:t>
            </w:r>
          </w:p>
        </w:tc>
        <w:tc>
          <w:tcPr>
            <w:tcW w:type="dxa" w:w="1191"/>
          </w:tcPr>
          <w:p>
            <w:pPr>
              <w:spacing w:line="240" w:lineRule="auto" w:after="40" w:before="40"/>
              <w:jc w:val="left"/>
            </w:pPr>
            <w:r>
              <w:rPr>
                <w:b w:val="0"/>
                <w:i w:val="0"/>
                <w:sz w:val="17"/>
              </w:rPr>
              <w:t>Weak / inconclusive</w:t>
            </w:r>
          </w:p>
        </w:tc>
        <w:tc>
          <w:tcPr>
            <w:tcW w:type="dxa" w:w="1757"/>
          </w:tcPr>
          <w:p>
            <w:pPr>
              <w:spacing w:line="240" w:lineRule="auto" w:after="40" w:before="40"/>
              <w:jc w:val="left"/>
            </w:pPr>
            <w:r>
              <w:rPr>
                <w:b w:val="0"/>
                <w:i w:val="0"/>
                <w:sz w:val="17"/>
              </w:rPr>
              <w:t>Chiu et al., 2014</w:t>
            </w:r>
          </w:p>
        </w:tc>
      </w:tr>
    </w:tbl>
    <w:p>
      <w:pPr>
        <w:spacing w:after="40"/>
      </w:pPr>
    </w:p>
    <w:p>
      <w:r>
        <w:rPr>
          <w:b w:val="0"/>
          <w:i w:val="0"/>
        </w:rPr>
        <w:t>Strength labels follow the project scheme (STRONG, MODERATE, WEAK / INCONCLUSIVE, INSUFFICIENT), with guideline recommendations recorded separately. The Luukkonen et al. trial (n = 38) is labelled MODERATE as a controlled trial with a significant effect, although it is smaller than the scheme’s “well-powered” description.</w:t>
      </w:r>
    </w:p>
    <w:p>
      <w:pPr>
        <w:pStyle w:val="Heading2"/>
      </w:pPr>
      <w:r>
        <w:t>B.3 Patient State and Priority Rules</w:t>
      </w:r>
    </w:p>
    <w:p>
      <w:pPr>
        <w:pStyle w:val="Caption"/>
      </w:pPr>
      <w:r>
        <w:rPr>
          <w:b/>
        </w:rPr>
        <w:t xml:space="preserve">Table B.2. </w:t>
      </w:r>
      <w:r>
        <w:t>Thresholds used to derive patient-state flags.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381"/>
            <w:shd w:val="clear" w:color="auto" w:fill="EDEDED"/>
            <w:tcBorders>
              <w:bottom w:val="single" w:sz="6" w:space="0" w:color="000000"/>
            </w:tcBorders>
          </w:tcPr>
          <w:p>
            <w:pPr>
              <w:spacing w:line="240" w:lineRule="auto" w:after="40" w:before="40"/>
              <w:jc w:val="left"/>
            </w:pPr>
            <w:r>
              <w:rPr>
                <w:b/>
                <w:i w:val="0"/>
                <w:sz w:val="18"/>
              </w:rPr>
              <w:t>Flag</w:t>
            </w:r>
          </w:p>
        </w:tc>
        <w:tc>
          <w:tcPr>
            <w:tcW w:type="dxa" w:w="4082"/>
            <w:shd w:val="clear" w:color="auto" w:fill="EDEDED"/>
            <w:tcBorders>
              <w:bottom w:val="single" w:sz="6" w:space="0" w:color="000000"/>
            </w:tcBorders>
          </w:tcPr>
          <w:p>
            <w:pPr>
              <w:spacing w:line="240" w:lineRule="auto" w:after="40" w:before="40"/>
              <w:jc w:val="left"/>
            </w:pPr>
            <w:r>
              <w:rPr>
                <w:b/>
                <w:i w:val="0"/>
                <w:sz w:val="18"/>
              </w:rPr>
              <w:t>Definition</w:t>
            </w:r>
          </w:p>
        </w:tc>
        <w:tc>
          <w:tcPr>
            <w:tcW w:type="dxa" w:w="2551"/>
            <w:shd w:val="clear" w:color="auto" w:fill="EDEDED"/>
            <w:tcBorders>
              <w:bottom w:val="single" w:sz="6" w:space="0" w:color="000000"/>
            </w:tcBorders>
          </w:tcPr>
          <w:p>
            <w:pPr>
              <w:spacing w:line="240" w:lineRule="auto" w:after="40" w:before="40"/>
              <w:jc w:val="left"/>
            </w:pPr>
            <w:r>
              <w:rPr>
                <w:b/>
                <w:i w:val="0"/>
                <w:sz w:val="18"/>
              </w:rPr>
              <w:t>Source</w:t>
            </w:r>
          </w:p>
        </w:tc>
      </w:tr>
      <w:tr>
        <w:trPr>
          <w:cantSplit/>
        </w:trPr>
        <w:tc>
          <w:tcPr>
            <w:tcW w:type="dxa" w:w="2381"/>
          </w:tcPr>
          <w:p>
            <w:pPr>
              <w:spacing w:line="240" w:lineRule="auto" w:after="40" w:before="40"/>
              <w:jc w:val="left"/>
            </w:pPr>
            <w:r>
              <w:rPr>
                <w:b w:val="0"/>
                <w:i w:val="0"/>
                <w:sz w:val="18"/>
              </w:rPr>
              <w:t>Steatosis likely</w:t>
            </w:r>
          </w:p>
        </w:tc>
        <w:tc>
          <w:tcPr>
            <w:tcW w:type="dxa" w:w="4082"/>
          </w:tcPr>
          <w:p>
            <w:pPr>
              <w:spacing w:line="240" w:lineRule="auto" w:after="40" w:before="40"/>
              <w:jc w:val="left"/>
            </w:pPr>
            <w:r>
              <w:rPr>
                <w:b w:val="0"/>
                <w:i w:val="0"/>
                <w:sz w:val="18"/>
              </w:rPr>
              <w:t>P(CAP ≥ 248) ≥ 0.432 (classifier threshold)</w:t>
            </w:r>
          </w:p>
        </w:tc>
        <w:tc>
          <w:tcPr>
            <w:tcW w:type="dxa" w:w="2551"/>
          </w:tcPr>
          <w:p>
            <w:pPr>
              <w:spacing w:line="240" w:lineRule="auto" w:after="40" w:before="40"/>
              <w:jc w:val="left"/>
            </w:pPr>
            <w:r>
              <w:rPr>
                <w:b w:val="0"/>
                <w:i w:val="0"/>
                <w:sz w:val="18"/>
              </w:rPr>
              <w:t>Layer 2 (Appendix A)</w:t>
            </w:r>
          </w:p>
        </w:tc>
      </w:tr>
      <w:tr>
        <w:trPr>
          <w:cantSplit/>
        </w:trPr>
        <w:tc>
          <w:tcPr>
            <w:tcW w:type="dxa" w:w="2381"/>
          </w:tcPr>
          <w:p>
            <w:pPr>
              <w:spacing w:line="240" w:lineRule="auto" w:after="40" w:before="40"/>
              <w:jc w:val="left"/>
            </w:pPr>
            <w:r>
              <w:rPr>
                <w:b w:val="0"/>
                <w:i w:val="0"/>
                <w:sz w:val="18"/>
              </w:rPr>
              <w:t>Moderate–severe steatosis likely</w:t>
            </w:r>
          </w:p>
        </w:tc>
        <w:tc>
          <w:tcPr>
            <w:tcW w:type="dxa" w:w="4082"/>
          </w:tcPr>
          <w:p>
            <w:pPr>
              <w:spacing w:line="240" w:lineRule="auto" w:after="40" w:before="40"/>
              <w:jc w:val="left"/>
            </w:pPr>
            <w:r>
              <w:rPr>
                <w:b w:val="0"/>
                <w:i w:val="0"/>
                <w:sz w:val="18"/>
              </w:rPr>
              <w:t>P(CAP ≥ 280) ≥ 0.365 (classifier threshold)</w:t>
            </w:r>
          </w:p>
        </w:tc>
        <w:tc>
          <w:tcPr>
            <w:tcW w:type="dxa" w:w="2551"/>
          </w:tcPr>
          <w:p>
            <w:pPr>
              <w:spacing w:line="240" w:lineRule="auto" w:after="40" w:before="40"/>
              <w:jc w:val="left"/>
            </w:pPr>
            <w:r>
              <w:rPr>
                <w:b w:val="0"/>
                <w:i w:val="0"/>
                <w:sz w:val="18"/>
              </w:rPr>
              <w:t>Layer 2 (Appendix A)</w:t>
            </w:r>
          </w:p>
        </w:tc>
      </w:tr>
      <w:tr>
        <w:trPr>
          <w:cantSplit/>
        </w:trPr>
        <w:tc>
          <w:tcPr>
            <w:tcW w:type="dxa" w:w="2381"/>
          </w:tcPr>
          <w:p>
            <w:pPr>
              <w:spacing w:line="240" w:lineRule="auto" w:after="40" w:before="40"/>
              <w:jc w:val="left"/>
            </w:pPr>
            <w:r>
              <w:rPr>
                <w:b w:val="0"/>
                <w:i w:val="0"/>
                <w:sz w:val="18"/>
              </w:rPr>
              <w:t>Overweight / obesity</w:t>
            </w:r>
          </w:p>
        </w:tc>
        <w:tc>
          <w:tcPr>
            <w:tcW w:type="dxa" w:w="4082"/>
          </w:tcPr>
          <w:p>
            <w:pPr>
              <w:spacing w:line="240" w:lineRule="auto" w:after="40" w:before="40"/>
              <w:jc w:val="left"/>
            </w:pPr>
            <w:r>
              <w:rPr>
                <w:b w:val="0"/>
                <w:i w:val="0"/>
                <w:sz w:val="18"/>
              </w:rPr>
              <w:t>BMI ≥ 25 / ≥ 30 kg/m²; ≥ 23 / ≥ 27.5 for Asian participants</w:t>
            </w:r>
          </w:p>
        </w:tc>
        <w:tc>
          <w:tcPr>
            <w:tcW w:type="dxa" w:w="2551"/>
          </w:tcPr>
          <w:p>
            <w:pPr>
              <w:spacing w:line="240" w:lineRule="auto" w:after="40" w:before="40"/>
              <w:jc w:val="left"/>
            </w:pPr>
            <w:r>
              <w:rPr>
                <w:b w:val="0"/>
                <w:i w:val="0"/>
                <w:sz w:val="18"/>
              </w:rPr>
              <w:t>WHO; WHO Expert Consultation, 2004</w:t>
            </w:r>
          </w:p>
        </w:tc>
      </w:tr>
      <w:tr>
        <w:trPr>
          <w:cantSplit/>
        </w:trPr>
        <w:tc>
          <w:tcPr>
            <w:tcW w:type="dxa" w:w="2381"/>
          </w:tcPr>
          <w:p>
            <w:pPr>
              <w:spacing w:line="240" w:lineRule="auto" w:after="40" w:before="40"/>
              <w:jc w:val="left"/>
            </w:pPr>
            <w:r>
              <w:rPr>
                <w:b w:val="0"/>
                <w:i w:val="0"/>
                <w:sz w:val="18"/>
              </w:rPr>
              <w:t>Central obesity</w:t>
            </w:r>
          </w:p>
        </w:tc>
        <w:tc>
          <w:tcPr>
            <w:tcW w:type="dxa" w:w="4082"/>
          </w:tcPr>
          <w:p>
            <w:pPr>
              <w:spacing w:line="240" w:lineRule="auto" w:after="40" w:before="40"/>
              <w:jc w:val="left"/>
            </w:pPr>
            <w:r>
              <w:rPr>
                <w:b w:val="0"/>
                <w:i w:val="0"/>
                <w:sz w:val="18"/>
              </w:rPr>
              <w:t>Waist &gt; 102 cm (men), &gt; 88 cm (women)</w:t>
            </w:r>
          </w:p>
        </w:tc>
        <w:tc>
          <w:tcPr>
            <w:tcW w:type="dxa" w:w="2551"/>
          </w:tcPr>
          <w:p>
            <w:pPr>
              <w:spacing w:line="240" w:lineRule="auto" w:after="40" w:before="40"/>
              <w:jc w:val="left"/>
            </w:pPr>
            <w:r>
              <w:rPr>
                <w:b w:val="0"/>
                <w:i w:val="0"/>
                <w:sz w:val="18"/>
              </w:rPr>
              <w:t>NCEP ATP III</w:t>
            </w:r>
          </w:p>
        </w:tc>
      </w:tr>
      <w:tr>
        <w:trPr>
          <w:cantSplit/>
        </w:trPr>
        <w:tc>
          <w:tcPr>
            <w:tcW w:type="dxa" w:w="2381"/>
          </w:tcPr>
          <w:p>
            <w:pPr>
              <w:spacing w:line="240" w:lineRule="auto" w:after="40" w:before="40"/>
              <w:jc w:val="left"/>
            </w:pPr>
            <w:r>
              <w:rPr>
                <w:b w:val="0"/>
                <w:i w:val="0"/>
                <w:sz w:val="18"/>
              </w:rPr>
              <w:t>Elevated glycaemia</w:t>
            </w:r>
          </w:p>
        </w:tc>
        <w:tc>
          <w:tcPr>
            <w:tcW w:type="dxa" w:w="4082"/>
          </w:tcPr>
          <w:p>
            <w:pPr>
              <w:spacing w:line="240" w:lineRule="auto" w:after="40" w:before="40"/>
              <w:jc w:val="left"/>
            </w:pPr>
            <w:r>
              <w:rPr>
                <w:b w:val="0"/>
                <w:i w:val="0"/>
                <w:sz w:val="18"/>
              </w:rPr>
              <w:t>HbA1c ≥ 5.7%</w:t>
            </w:r>
          </w:p>
        </w:tc>
        <w:tc>
          <w:tcPr>
            <w:tcW w:type="dxa" w:w="2551"/>
          </w:tcPr>
          <w:p>
            <w:pPr>
              <w:spacing w:line="240" w:lineRule="auto" w:after="40" w:before="40"/>
              <w:jc w:val="left"/>
            </w:pPr>
            <w:r>
              <w:rPr>
                <w:b w:val="0"/>
                <w:i w:val="0"/>
                <w:sz w:val="18"/>
              </w:rPr>
              <w:t>American Diabetes Association</w:t>
            </w:r>
          </w:p>
        </w:tc>
      </w:tr>
      <w:tr>
        <w:trPr>
          <w:cantSplit/>
        </w:trPr>
        <w:tc>
          <w:tcPr>
            <w:tcW w:type="dxa" w:w="2381"/>
          </w:tcPr>
          <w:p>
            <w:pPr>
              <w:spacing w:line="240" w:lineRule="auto" w:after="40" w:before="40"/>
              <w:jc w:val="left"/>
            </w:pPr>
            <w:r>
              <w:rPr>
                <w:b w:val="0"/>
                <w:i w:val="0"/>
                <w:sz w:val="18"/>
              </w:rPr>
              <w:t>Dyslipidaemia</w:t>
            </w:r>
          </w:p>
        </w:tc>
        <w:tc>
          <w:tcPr>
            <w:tcW w:type="dxa" w:w="4082"/>
          </w:tcPr>
          <w:p>
            <w:pPr>
              <w:spacing w:line="240" w:lineRule="auto" w:after="40" w:before="40"/>
              <w:jc w:val="left"/>
            </w:pPr>
            <w:r>
              <w:rPr>
                <w:b w:val="0"/>
                <w:i w:val="0"/>
                <w:sz w:val="18"/>
              </w:rPr>
              <w:t>Triglycerides ≥ 150 (fasting) or ≥ 175 mg/dL (non-fasting); HDL &lt; 40 (men) or &lt; 50 mg/dL (women)</w:t>
            </w:r>
          </w:p>
        </w:tc>
        <w:tc>
          <w:tcPr>
            <w:tcW w:type="dxa" w:w="2551"/>
          </w:tcPr>
          <w:p>
            <w:pPr>
              <w:spacing w:line="240" w:lineRule="auto" w:after="40" w:before="40"/>
              <w:jc w:val="left"/>
            </w:pPr>
            <w:r>
              <w:rPr>
                <w:b w:val="0"/>
                <w:i w:val="0"/>
                <w:sz w:val="18"/>
              </w:rPr>
              <w:t>NCEP ATP III; EAS/EFLM, 2016</w:t>
            </w:r>
          </w:p>
        </w:tc>
      </w:tr>
      <w:tr>
        <w:trPr>
          <w:cantSplit/>
        </w:trPr>
        <w:tc>
          <w:tcPr>
            <w:tcW w:type="dxa" w:w="2381"/>
          </w:tcPr>
          <w:p>
            <w:pPr>
              <w:spacing w:line="240" w:lineRule="auto" w:after="40" w:before="40"/>
              <w:jc w:val="left"/>
            </w:pPr>
            <w:r>
              <w:rPr>
                <w:b w:val="0"/>
                <w:i w:val="0"/>
                <w:sz w:val="18"/>
              </w:rPr>
              <w:t>Weight management appropriate</w:t>
            </w:r>
          </w:p>
        </w:tc>
        <w:tc>
          <w:tcPr>
            <w:tcW w:type="dxa" w:w="4082"/>
          </w:tcPr>
          <w:p>
            <w:pPr>
              <w:spacing w:line="240" w:lineRule="auto" w:after="40" w:before="40"/>
              <w:jc w:val="left"/>
            </w:pPr>
            <w:r>
              <w:rPr>
                <w:b w:val="0"/>
                <w:i w:val="0"/>
                <w:sz w:val="18"/>
              </w:rPr>
              <w:t>Steatosis likely and (overweight or central obesity)</w:t>
            </w:r>
          </w:p>
        </w:tc>
        <w:tc>
          <w:tcPr>
            <w:tcW w:type="dxa" w:w="2551"/>
          </w:tcPr>
          <w:p>
            <w:pPr>
              <w:spacing w:line="240" w:lineRule="auto" w:after="40" w:before="40"/>
              <w:jc w:val="left"/>
            </w:pPr>
            <w:r>
              <w:rPr>
                <w:b w:val="0"/>
                <w:i w:val="0"/>
                <w:sz w:val="18"/>
              </w:rPr>
              <w:t>Project rule</w:t>
            </w:r>
          </w:p>
        </w:tc>
      </w:tr>
    </w:tbl>
    <w:p>
      <w:pPr>
        <w:spacing w:after="40"/>
      </w:pPr>
    </w:p>
    <w:p>
      <w:pPr>
        <w:pStyle w:val="Caption"/>
      </w:pPr>
      <w:r>
        <w:rPr>
          <w:b/>
        </w:rPr>
        <w:t xml:space="preserve">Table B.3. </w:t>
      </w:r>
      <w:r>
        <w:t>Evidence rules: when each priority applies and how its level is set.</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1701"/>
            <w:shd w:val="clear" w:color="auto" w:fill="EDEDED"/>
            <w:tcBorders>
              <w:bottom w:val="single" w:sz="6" w:space="0" w:color="000000"/>
            </w:tcBorders>
          </w:tcPr>
          <w:p>
            <w:pPr>
              <w:spacing w:line="240" w:lineRule="auto" w:after="40" w:before="40"/>
              <w:jc w:val="left"/>
            </w:pPr>
            <w:r>
              <w:rPr>
                <w:b/>
                <w:i w:val="0"/>
                <w:sz w:val="18"/>
              </w:rPr>
              <w:t>Priority</w:t>
            </w:r>
          </w:p>
        </w:tc>
        <w:tc>
          <w:tcPr>
            <w:tcW w:type="dxa" w:w="1928"/>
            <w:shd w:val="clear" w:color="auto" w:fill="EDEDED"/>
            <w:tcBorders>
              <w:bottom w:val="single" w:sz="6" w:space="0" w:color="000000"/>
            </w:tcBorders>
          </w:tcPr>
          <w:p>
            <w:pPr>
              <w:spacing w:line="240" w:lineRule="auto" w:after="40" w:before="40"/>
              <w:jc w:val="left"/>
            </w:pPr>
            <w:r>
              <w:rPr>
                <w:b/>
                <w:i w:val="0"/>
                <w:sz w:val="18"/>
              </w:rPr>
              <w:t>Applies when</w:t>
            </w:r>
          </w:p>
        </w:tc>
        <w:tc>
          <w:tcPr>
            <w:tcW w:type="dxa" w:w="964"/>
            <w:shd w:val="clear" w:color="auto" w:fill="EDEDED"/>
            <w:tcBorders>
              <w:bottom w:val="single" w:sz="6" w:space="0" w:color="000000"/>
            </w:tcBorders>
          </w:tcPr>
          <w:p>
            <w:pPr>
              <w:spacing w:line="240" w:lineRule="auto" w:after="40" w:before="40"/>
              <w:jc w:val="left"/>
            </w:pPr>
            <w:r>
              <w:rPr>
                <w:b/>
                <w:i w:val="0"/>
                <w:sz w:val="18"/>
              </w:rPr>
              <w:t>Base level</w:t>
            </w:r>
          </w:p>
        </w:tc>
        <w:tc>
          <w:tcPr>
            <w:tcW w:type="dxa" w:w="2154"/>
            <w:shd w:val="clear" w:color="auto" w:fill="EDEDED"/>
            <w:tcBorders>
              <w:bottom w:val="single" w:sz="6" w:space="0" w:color="000000"/>
            </w:tcBorders>
          </w:tcPr>
          <w:p>
            <w:pPr>
              <w:spacing w:line="240" w:lineRule="auto" w:after="40" w:before="40"/>
              <w:jc w:val="left"/>
            </w:pPr>
            <w:r>
              <w:rPr>
                <w:b/>
                <w:i w:val="0"/>
                <w:sz w:val="18"/>
              </w:rPr>
              <w:t>Raised when</w:t>
            </w:r>
          </w:p>
        </w:tc>
        <w:tc>
          <w:tcPr>
            <w:tcW w:type="dxa" w:w="2268"/>
            <w:shd w:val="clear" w:color="auto" w:fill="EDEDED"/>
            <w:tcBorders>
              <w:bottom w:val="single" w:sz="6" w:space="0" w:color="000000"/>
            </w:tcBorders>
          </w:tcPr>
          <w:p>
            <w:pPr>
              <w:spacing w:line="240" w:lineRule="auto" w:after="40" w:before="40"/>
              <w:jc w:val="left"/>
            </w:pPr>
            <w:r>
              <w:rPr>
                <w:b/>
                <w:i w:val="0"/>
                <w:sz w:val="18"/>
              </w:rPr>
              <w:t>Evidence rows</w:t>
            </w:r>
          </w:p>
        </w:tc>
      </w:tr>
      <w:tr>
        <w:trPr>
          <w:cantSplit/>
        </w:trPr>
        <w:tc>
          <w:tcPr>
            <w:tcW w:type="dxa" w:w="1701"/>
          </w:tcPr>
          <w:p>
            <w:pPr>
              <w:spacing w:line="240" w:lineRule="auto" w:after="40" w:before="40"/>
              <w:jc w:val="left"/>
            </w:pPr>
            <w:r>
              <w:rPr>
                <w:b w:val="0"/>
                <w:i w:val="0"/>
                <w:sz w:val="18"/>
              </w:rPr>
              <w:t>Weight management</w:t>
            </w:r>
          </w:p>
        </w:tc>
        <w:tc>
          <w:tcPr>
            <w:tcW w:type="dxa" w:w="1928"/>
          </w:tcPr>
          <w:p>
            <w:pPr>
              <w:spacing w:line="240" w:lineRule="auto" w:after="40" w:before="40"/>
              <w:jc w:val="left"/>
            </w:pPr>
            <w:r>
              <w:rPr>
                <w:b w:val="0"/>
                <w:i w:val="0"/>
                <w:sz w:val="18"/>
              </w:rPr>
              <w:t>Weight management appropriate</w:t>
            </w:r>
          </w:p>
        </w:tc>
        <w:tc>
          <w:tcPr>
            <w:tcW w:type="dxa" w:w="964"/>
          </w:tcPr>
          <w:p>
            <w:pPr>
              <w:spacing w:line="240" w:lineRule="auto" w:after="40" w:before="40"/>
              <w:jc w:val="left"/>
            </w:pPr>
            <w:r>
              <w:rPr>
                <w:b w:val="0"/>
                <w:i w:val="0"/>
                <w:sz w:val="18"/>
              </w:rPr>
              <w:t>Medium</w:t>
            </w:r>
          </w:p>
        </w:tc>
        <w:tc>
          <w:tcPr>
            <w:tcW w:type="dxa" w:w="2154"/>
          </w:tcPr>
          <w:p>
            <w:pPr>
              <w:spacing w:line="240" w:lineRule="auto" w:after="40" w:before="40"/>
              <w:jc w:val="left"/>
            </w:pPr>
            <w:r>
              <w:rPr>
                <w:b w:val="0"/>
                <w:i w:val="0"/>
                <w:sz w:val="18"/>
              </w:rPr>
              <w:t>High if moderate–severe steatosis or obesity</w:t>
            </w:r>
          </w:p>
        </w:tc>
        <w:tc>
          <w:tcPr>
            <w:tcW w:type="dxa" w:w="2268"/>
          </w:tcPr>
          <w:p>
            <w:pPr>
              <w:spacing w:line="240" w:lineRule="auto" w:after="40" w:before="40"/>
              <w:jc w:val="left"/>
            </w:pPr>
            <w:r>
              <w:rPr>
                <w:b w:val="0"/>
                <w:i w:val="0"/>
                <w:sz w:val="18"/>
              </w:rPr>
              <w:t>VG2015 (×3), HAI2022-CR</w:t>
            </w:r>
          </w:p>
        </w:tc>
      </w:tr>
      <w:tr>
        <w:trPr>
          <w:cantSplit/>
        </w:trPr>
        <w:tc>
          <w:tcPr>
            <w:tcW w:type="dxa" w:w="1701"/>
          </w:tcPr>
          <w:p>
            <w:pPr>
              <w:spacing w:line="240" w:lineRule="auto" w:after="40" w:before="40"/>
              <w:jc w:val="left"/>
            </w:pPr>
            <w:r>
              <w:rPr>
                <w:b w:val="0"/>
                <w:i w:val="0"/>
                <w:sz w:val="18"/>
              </w:rPr>
              <w:t>Dietary quality</w:t>
            </w:r>
          </w:p>
        </w:tc>
        <w:tc>
          <w:tcPr>
            <w:tcW w:type="dxa" w:w="1928"/>
          </w:tcPr>
          <w:p>
            <w:pPr>
              <w:spacing w:line="240" w:lineRule="auto" w:after="40" w:before="40"/>
              <w:jc w:val="left"/>
            </w:pPr>
            <w:r>
              <w:rPr>
                <w:b w:val="0"/>
                <w:i w:val="0"/>
                <w:sz w:val="18"/>
              </w:rPr>
              <w:t>Steatosis likely</w:t>
            </w:r>
          </w:p>
        </w:tc>
        <w:tc>
          <w:tcPr>
            <w:tcW w:type="dxa" w:w="964"/>
          </w:tcPr>
          <w:p>
            <w:pPr>
              <w:spacing w:line="240" w:lineRule="auto" w:after="40" w:before="40"/>
              <w:jc w:val="left"/>
            </w:pPr>
            <w:r>
              <w:rPr>
                <w:b w:val="0"/>
                <w:i w:val="0"/>
                <w:sz w:val="18"/>
              </w:rPr>
              <w:t>Medium</w:t>
            </w:r>
          </w:p>
        </w:tc>
        <w:tc>
          <w:tcPr>
            <w:tcW w:type="dxa" w:w="2154"/>
          </w:tcPr>
          <w:p>
            <w:pPr>
              <w:spacing w:line="240" w:lineRule="auto" w:after="40" w:before="40"/>
              <w:jc w:val="left"/>
            </w:pPr>
            <w:r>
              <w:rPr>
                <w:b w:val="0"/>
                <w:i w:val="0"/>
                <w:sz w:val="18"/>
              </w:rPr>
              <w:t>High if moderate–severe steatosis</w:t>
            </w:r>
          </w:p>
        </w:tc>
        <w:tc>
          <w:tcPr>
            <w:tcW w:type="dxa" w:w="2268"/>
          </w:tcPr>
          <w:p>
            <w:pPr>
              <w:spacing w:line="240" w:lineRule="auto" w:after="40" w:before="40"/>
              <w:jc w:val="left"/>
            </w:pPr>
            <w:r>
              <w:rPr>
                <w:b w:val="0"/>
                <w:i w:val="0"/>
                <w:sz w:val="18"/>
              </w:rPr>
              <w:t>EASL2024-DIET, STE2026, HAI2022, SAN2021 (×2), XIO2024</w:t>
            </w:r>
          </w:p>
        </w:tc>
      </w:tr>
      <w:tr>
        <w:trPr>
          <w:cantSplit/>
        </w:trPr>
        <w:tc>
          <w:tcPr>
            <w:tcW w:type="dxa" w:w="1701"/>
          </w:tcPr>
          <w:p>
            <w:pPr>
              <w:spacing w:line="240" w:lineRule="auto" w:after="40" w:before="40"/>
              <w:jc w:val="left"/>
            </w:pPr>
            <w:r>
              <w:rPr>
                <w:b w:val="0"/>
                <w:i w:val="0"/>
                <w:sz w:val="18"/>
              </w:rPr>
              <w:t>Limit saturated fat</w:t>
            </w:r>
          </w:p>
        </w:tc>
        <w:tc>
          <w:tcPr>
            <w:tcW w:type="dxa" w:w="1928"/>
          </w:tcPr>
          <w:p>
            <w:pPr>
              <w:spacing w:line="240" w:lineRule="auto" w:after="40" w:before="40"/>
              <w:jc w:val="left"/>
            </w:pPr>
            <w:r>
              <w:rPr>
                <w:b w:val="0"/>
                <w:i w:val="0"/>
                <w:sz w:val="18"/>
              </w:rPr>
              <w:t>Steatosis likely</w:t>
            </w:r>
          </w:p>
        </w:tc>
        <w:tc>
          <w:tcPr>
            <w:tcW w:type="dxa" w:w="964"/>
          </w:tcPr>
          <w:p>
            <w:pPr>
              <w:spacing w:line="240" w:lineRule="auto" w:after="40" w:before="40"/>
              <w:jc w:val="left"/>
            </w:pPr>
            <w:r>
              <w:rPr>
                <w:b w:val="0"/>
                <w:i w:val="0"/>
                <w:sz w:val="18"/>
              </w:rPr>
              <w:t>Medium</w:t>
            </w:r>
          </w:p>
        </w:tc>
        <w:tc>
          <w:tcPr>
            <w:tcW w:type="dxa" w:w="2154"/>
          </w:tcPr>
          <w:p>
            <w:pPr>
              <w:spacing w:line="240" w:lineRule="auto" w:after="40" w:before="40"/>
              <w:jc w:val="left"/>
            </w:pPr>
            <w:r>
              <w:rPr>
                <w:b w:val="0"/>
                <w:i w:val="0"/>
                <w:sz w:val="18"/>
              </w:rPr>
              <w:t>High if dyslipidaemia</w:t>
            </w:r>
          </w:p>
        </w:tc>
        <w:tc>
          <w:tcPr>
            <w:tcW w:type="dxa" w:w="2268"/>
          </w:tcPr>
          <w:p>
            <w:pPr>
              <w:spacing w:line="240" w:lineRule="auto" w:after="40" w:before="40"/>
              <w:jc w:val="left"/>
            </w:pPr>
            <w:r>
              <w:rPr>
                <w:b w:val="0"/>
                <w:i w:val="0"/>
                <w:sz w:val="18"/>
              </w:rPr>
              <w:t>EASL2024-DIET, LUU2018-SAT</w:t>
            </w:r>
          </w:p>
        </w:tc>
      </w:tr>
      <w:tr>
        <w:trPr>
          <w:cantSplit/>
        </w:trPr>
        <w:tc>
          <w:tcPr>
            <w:tcW w:type="dxa" w:w="1701"/>
          </w:tcPr>
          <w:p>
            <w:pPr>
              <w:spacing w:line="240" w:lineRule="auto" w:after="40" w:before="40"/>
              <w:jc w:val="left"/>
            </w:pPr>
            <w:r>
              <w:rPr>
                <w:b w:val="0"/>
                <w:i w:val="0"/>
                <w:sz w:val="18"/>
              </w:rPr>
              <w:t>Limit excess sugar</w:t>
            </w:r>
          </w:p>
        </w:tc>
        <w:tc>
          <w:tcPr>
            <w:tcW w:type="dxa" w:w="1928"/>
          </w:tcPr>
          <w:p>
            <w:pPr>
              <w:spacing w:line="240" w:lineRule="auto" w:after="40" w:before="40"/>
              <w:jc w:val="left"/>
            </w:pPr>
            <w:r>
              <w:rPr>
                <w:b w:val="0"/>
                <w:i w:val="0"/>
                <w:sz w:val="18"/>
              </w:rPr>
              <w:t>Steatosis likely</w:t>
            </w:r>
          </w:p>
        </w:tc>
        <w:tc>
          <w:tcPr>
            <w:tcW w:type="dxa" w:w="964"/>
          </w:tcPr>
          <w:p>
            <w:pPr>
              <w:spacing w:line="240" w:lineRule="auto" w:after="40" w:before="40"/>
              <w:jc w:val="left"/>
            </w:pPr>
            <w:r>
              <w:rPr>
                <w:b w:val="0"/>
                <w:i w:val="0"/>
                <w:sz w:val="18"/>
              </w:rPr>
              <w:t>Low</w:t>
            </w:r>
          </w:p>
        </w:tc>
        <w:tc>
          <w:tcPr>
            <w:tcW w:type="dxa" w:w="2154"/>
          </w:tcPr>
          <w:p>
            <w:pPr>
              <w:spacing w:line="240" w:lineRule="auto" w:after="40" w:before="40"/>
              <w:jc w:val="left"/>
            </w:pPr>
            <w:r>
              <w:rPr>
                <w:b w:val="0"/>
                <w:i w:val="0"/>
                <w:sz w:val="18"/>
              </w:rPr>
              <w:t>Medium if elevated glycaemia or weight management appropriate</w:t>
            </w:r>
          </w:p>
        </w:tc>
        <w:tc>
          <w:tcPr>
            <w:tcW w:type="dxa" w:w="2268"/>
          </w:tcPr>
          <w:p>
            <w:pPr>
              <w:spacing w:line="240" w:lineRule="auto" w:after="40" w:before="40"/>
              <w:jc w:val="left"/>
            </w:pPr>
            <w:r>
              <w:rPr>
                <w:b w:val="0"/>
                <w:i w:val="0"/>
                <w:sz w:val="18"/>
              </w:rPr>
              <w:t>EASL2024-DIET, CHI2014-HYPER, CHI2014-ISO</w:t>
            </w:r>
          </w:p>
        </w:tc>
      </w:tr>
    </w:tbl>
    <w:p>
      <w:pPr>
        <w:spacing w:after="40"/>
      </w:pPr>
    </w:p>
    <w:p>
      <w:r>
        <w:rPr>
          <w:b w:val="0"/>
          <w:i w:val="0"/>
        </w:rPr>
        <w:t>The sugar priority starts low because feeding trials show harm when fructose adds surplus energy but not when it replaces other carbohydrates (CHI2014-ISO). Applied to the 3,060 held-out participants, 62% receive at least one priority, with a mean of 2.5 priorities each; participants whose steatosis is unlikely receive none.</w:t>
      </w:r>
    </w:p>
    <w:p>
      <w:pPr>
        <w:pStyle w:val="Heading2"/>
      </w:pPr>
      <w:r>
        <w:t>B.4 Recipe Criteria and Candidate Screening</w:t>
      </w:r>
    </w:p>
    <w:p>
      <w:pPr>
        <w:pStyle w:val="Caption"/>
      </w:pPr>
      <w:r>
        <w:rPr>
          <w:b/>
        </w:rPr>
        <w:t xml:space="preserve">Table B.4. </w:t>
      </w:r>
      <w:r>
        <w:t>Recipe criteria linked to each priority. Scores are 100 at or beyond the reference value and fall linearly to 0 over the tolerance.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1701"/>
            <w:shd w:val="clear" w:color="auto" w:fill="EDEDED"/>
            <w:tcBorders>
              <w:bottom w:val="single" w:sz="6" w:space="0" w:color="000000"/>
            </w:tcBorders>
          </w:tcPr>
          <w:p>
            <w:pPr>
              <w:spacing w:line="240" w:lineRule="auto" w:after="40" w:before="40"/>
              <w:jc w:val="left"/>
            </w:pPr>
            <w:r>
              <w:rPr>
                <w:b/>
                <w:i w:val="0"/>
                <w:sz w:val="18"/>
              </w:rPr>
              <w:t>Priority</w:t>
            </w:r>
          </w:p>
        </w:tc>
        <w:tc>
          <w:tcPr>
            <w:tcW w:type="dxa" w:w="2041"/>
            <w:shd w:val="clear" w:color="auto" w:fill="EDEDED"/>
            <w:tcBorders>
              <w:bottom w:val="single" w:sz="6" w:space="0" w:color="000000"/>
            </w:tcBorders>
          </w:tcPr>
          <w:p>
            <w:pPr>
              <w:spacing w:line="240" w:lineRule="auto" w:after="40" w:before="40"/>
              <w:jc w:val="left"/>
            </w:pPr>
            <w:r>
              <w:rPr>
                <w:b/>
                <w:i w:val="0"/>
                <w:sz w:val="18"/>
              </w:rPr>
              <w:t>Recipe measure</w:t>
            </w:r>
          </w:p>
        </w:tc>
        <w:tc>
          <w:tcPr>
            <w:tcW w:type="dxa" w:w="1077"/>
            <w:shd w:val="clear" w:color="auto" w:fill="EDEDED"/>
            <w:tcBorders>
              <w:bottom w:val="single" w:sz="6" w:space="0" w:color="000000"/>
            </w:tcBorders>
          </w:tcPr>
          <w:p>
            <w:pPr>
              <w:spacing w:line="240" w:lineRule="auto" w:after="40" w:before="40"/>
              <w:jc w:val="left"/>
            </w:pPr>
            <w:r>
              <w:rPr>
                <w:b/>
                <w:i w:val="0"/>
                <w:sz w:val="18"/>
              </w:rPr>
              <w:t>Reference</w:t>
            </w:r>
          </w:p>
        </w:tc>
        <w:tc>
          <w:tcPr>
            <w:tcW w:type="dxa" w:w="1077"/>
            <w:shd w:val="clear" w:color="auto" w:fill="EDEDED"/>
            <w:tcBorders>
              <w:bottom w:val="single" w:sz="6" w:space="0" w:color="000000"/>
            </w:tcBorders>
          </w:tcPr>
          <w:p>
            <w:pPr>
              <w:spacing w:line="240" w:lineRule="auto" w:after="40" w:before="40"/>
              <w:jc w:val="left"/>
            </w:pPr>
            <w:r>
              <w:rPr>
                <w:b/>
                <w:i w:val="0"/>
                <w:sz w:val="18"/>
              </w:rPr>
              <w:t>Tolerance</w:t>
            </w:r>
          </w:p>
        </w:tc>
        <w:tc>
          <w:tcPr>
            <w:tcW w:type="dxa" w:w="3118"/>
            <w:shd w:val="clear" w:color="auto" w:fill="EDEDED"/>
            <w:tcBorders>
              <w:bottom w:val="single" w:sz="6" w:space="0" w:color="000000"/>
            </w:tcBorders>
          </w:tcPr>
          <w:p>
            <w:pPr>
              <w:spacing w:line="240" w:lineRule="auto" w:after="40" w:before="40"/>
              <w:jc w:val="left"/>
            </w:pPr>
            <w:r>
              <w:rPr>
                <w:b/>
                <w:i w:val="0"/>
                <w:sz w:val="18"/>
              </w:rPr>
              <w:t>Source of reference</w:t>
            </w:r>
          </w:p>
        </w:tc>
      </w:tr>
      <w:tr>
        <w:trPr>
          <w:cantSplit/>
        </w:trPr>
        <w:tc>
          <w:tcPr>
            <w:tcW w:type="dxa" w:w="1701"/>
          </w:tcPr>
          <w:p>
            <w:pPr>
              <w:spacing w:line="240" w:lineRule="auto" w:after="40" w:before="40"/>
              <w:jc w:val="left"/>
            </w:pPr>
            <w:r>
              <w:rPr>
                <w:b w:val="0"/>
                <w:i w:val="0"/>
                <w:sz w:val="18"/>
              </w:rPr>
              <w:t>Weight management</w:t>
            </w:r>
          </w:p>
        </w:tc>
        <w:tc>
          <w:tcPr>
            <w:tcW w:type="dxa" w:w="2041"/>
          </w:tcPr>
          <w:p>
            <w:pPr>
              <w:spacing w:line="240" w:lineRule="auto" w:after="40" w:before="40"/>
              <w:jc w:val="left"/>
            </w:pPr>
            <w:r>
              <w:rPr>
                <w:b w:val="0"/>
                <w:i w:val="0"/>
                <w:sz w:val="18"/>
              </w:rPr>
              <w:t>Energy per serving</w:t>
            </w:r>
          </w:p>
        </w:tc>
        <w:tc>
          <w:tcPr>
            <w:tcW w:type="dxa" w:w="1077"/>
          </w:tcPr>
          <w:p>
            <w:pPr>
              <w:spacing w:line="240" w:lineRule="auto" w:after="40" w:before="40"/>
              <w:jc w:val="left"/>
            </w:pPr>
            <w:r>
              <w:rPr>
                <w:b w:val="0"/>
                <w:i w:val="0"/>
                <w:sz w:val="18"/>
              </w:rPr>
              <w:t>≤ 600 kcal</w:t>
            </w:r>
          </w:p>
        </w:tc>
        <w:tc>
          <w:tcPr>
            <w:tcW w:type="dxa" w:w="1077"/>
          </w:tcPr>
          <w:p>
            <w:pPr>
              <w:spacing w:line="240" w:lineRule="auto" w:after="40" w:before="40"/>
              <w:jc w:val="left"/>
            </w:pPr>
            <w:r>
              <w:rPr>
                <w:b w:val="0"/>
                <w:i w:val="0"/>
                <w:sz w:val="18"/>
              </w:rPr>
              <w:t>400 kcal</w:t>
            </w:r>
          </w:p>
        </w:tc>
        <w:tc>
          <w:tcPr>
            <w:tcW w:type="dxa" w:w="3118"/>
          </w:tcPr>
          <w:p>
            <w:pPr>
              <w:spacing w:line="240" w:lineRule="auto" w:after="40" w:before="40"/>
              <w:jc w:val="left"/>
            </w:pPr>
            <w:r>
              <w:rPr>
                <w:b w:val="0"/>
                <w:i w:val="0"/>
                <w:sz w:val="18"/>
              </w:rPr>
              <w:t>Public Health England 400-600-600, 2018</w:t>
            </w:r>
          </w:p>
        </w:tc>
      </w:tr>
      <w:tr>
        <w:trPr>
          <w:cantSplit/>
        </w:trPr>
        <w:tc>
          <w:tcPr>
            <w:tcW w:type="dxa" w:w="1701"/>
          </w:tcPr>
          <w:p>
            <w:pPr>
              <w:spacing w:line="240" w:lineRule="auto" w:after="40" w:before="40"/>
              <w:jc w:val="left"/>
            </w:pPr>
            <w:r>
              <w:rPr>
                <w:b w:val="0"/>
                <w:i w:val="0"/>
                <w:sz w:val="18"/>
              </w:rPr>
              <w:t>Limit saturated fat</w:t>
            </w:r>
          </w:p>
        </w:tc>
        <w:tc>
          <w:tcPr>
            <w:tcW w:type="dxa" w:w="2041"/>
          </w:tcPr>
          <w:p>
            <w:pPr>
              <w:spacing w:line="240" w:lineRule="auto" w:after="40" w:before="40"/>
              <w:jc w:val="left"/>
            </w:pPr>
            <w:r>
              <w:rPr>
                <w:b w:val="0"/>
                <w:i w:val="0"/>
                <w:sz w:val="18"/>
              </w:rPr>
              <w:t>Saturated fat, % of energy</w:t>
            </w:r>
          </w:p>
        </w:tc>
        <w:tc>
          <w:tcPr>
            <w:tcW w:type="dxa" w:w="1077"/>
          </w:tcPr>
          <w:p>
            <w:pPr>
              <w:spacing w:line="240" w:lineRule="auto" w:after="40" w:before="40"/>
              <w:jc w:val="left"/>
            </w:pPr>
            <w:r>
              <w:rPr>
                <w:b w:val="0"/>
                <w:i w:val="0"/>
                <w:sz w:val="18"/>
              </w:rPr>
              <w:t>≤ 10%</w:t>
            </w:r>
          </w:p>
        </w:tc>
        <w:tc>
          <w:tcPr>
            <w:tcW w:type="dxa" w:w="1077"/>
          </w:tcPr>
          <w:p>
            <w:pPr>
              <w:spacing w:line="240" w:lineRule="auto" w:after="40" w:before="40"/>
              <w:jc w:val="left"/>
            </w:pPr>
            <w:r>
              <w:rPr>
                <w:b w:val="0"/>
                <w:i w:val="0"/>
                <w:sz w:val="18"/>
              </w:rPr>
              <w:t>10 points</w:t>
            </w:r>
          </w:p>
        </w:tc>
        <w:tc>
          <w:tcPr>
            <w:tcW w:type="dxa" w:w="3118"/>
          </w:tcPr>
          <w:p>
            <w:pPr>
              <w:spacing w:line="240" w:lineRule="auto" w:after="40" w:before="40"/>
              <w:jc w:val="left"/>
            </w:pPr>
            <w:r>
              <w:rPr>
                <w:b w:val="0"/>
                <w:i w:val="0"/>
                <w:sz w:val="18"/>
              </w:rPr>
              <w:t>WHO, 2023; DGA 2020–2025</w:t>
            </w:r>
          </w:p>
        </w:tc>
      </w:tr>
      <w:tr>
        <w:trPr>
          <w:cantSplit/>
        </w:trPr>
        <w:tc>
          <w:tcPr>
            <w:tcW w:type="dxa" w:w="1701"/>
          </w:tcPr>
          <w:p>
            <w:pPr>
              <w:spacing w:line="240" w:lineRule="auto" w:after="40" w:before="40"/>
              <w:jc w:val="left"/>
            </w:pPr>
            <w:r>
              <w:rPr>
                <w:b w:val="0"/>
                <w:i w:val="0"/>
                <w:sz w:val="18"/>
              </w:rPr>
              <w:t>Limit excess sugar</w:t>
            </w:r>
          </w:p>
        </w:tc>
        <w:tc>
          <w:tcPr>
            <w:tcW w:type="dxa" w:w="2041"/>
          </w:tcPr>
          <w:p>
            <w:pPr>
              <w:spacing w:line="240" w:lineRule="auto" w:after="40" w:before="40"/>
              <w:jc w:val="left"/>
            </w:pPr>
            <w:r>
              <w:rPr>
                <w:b w:val="0"/>
                <w:i w:val="0"/>
                <w:sz w:val="18"/>
              </w:rPr>
              <w:t>Total sugars, % of energy</w:t>
            </w:r>
          </w:p>
        </w:tc>
        <w:tc>
          <w:tcPr>
            <w:tcW w:type="dxa" w:w="1077"/>
          </w:tcPr>
          <w:p>
            <w:pPr>
              <w:spacing w:line="240" w:lineRule="auto" w:after="40" w:before="40"/>
              <w:jc w:val="left"/>
            </w:pPr>
            <w:r>
              <w:rPr>
                <w:b w:val="0"/>
                <w:i w:val="0"/>
                <w:sz w:val="18"/>
              </w:rPr>
              <w:t>≤ 10%</w:t>
            </w:r>
          </w:p>
        </w:tc>
        <w:tc>
          <w:tcPr>
            <w:tcW w:type="dxa" w:w="1077"/>
          </w:tcPr>
          <w:p>
            <w:pPr>
              <w:spacing w:line="240" w:lineRule="auto" w:after="40" w:before="40"/>
              <w:jc w:val="left"/>
            </w:pPr>
            <w:r>
              <w:rPr>
                <w:b w:val="0"/>
                <w:i w:val="0"/>
                <w:sz w:val="18"/>
              </w:rPr>
              <w:t>15 points</w:t>
            </w:r>
          </w:p>
        </w:tc>
        <w:tc>
          <w:tcPr>
            <w:tcW w:type="dxa" w:w="3118"/>
          </w:tcPr>
          <w:p>
            <w:pPr>
              <w:spacing w:line="240" w:lineRule="auto" w:after="40" w:before="40"/>
              <w:jc w:val="left"/>
            </w:pPr>
            <w:r>
              <w:rPr>
                <w:b w:val="0"/>
                <w:i w:val="0"/>
                <w:sz w:val="18"/>
              </w:rPr>
              <w:t>WHO sugars guideline, 2015</w:t>
            </w:r>
          </w:p>
        </w:tc>
      </w:tr>
      <w:tr>
        <w:trPr>
          <w:cantSplit/>
        </w:trPr>
        <w:tc>
          <w:tcPr>
            <w:tcW w:type="dxa" w:w="1701"/>
          </w:tcPr>
          <w:p>
            <w:pPr>
              <w:spacing w:line="240" w:lineRule="auto" w:after="40" w:before="40"/>
              <w:jc w:val="left"/>
            </w:pPr>
            <w:r>
              <w:rPr>
                <w:b w:val="0"/>
                <w:i w:val="0"/>
                <w:sz w:val="18"/>
              </w:rPr>
              <w:t>Dietary quality</w:t>
            </w:r>
          </w:p>
        </w:tc>
        <w:tc>
          <w:tcPr>
            <w:tcW w:type="dxa" w:w="2041"/>
          </w:tcPr>
          <w:p>
            <w:pPr>
              <w:spacing w:line="240" w:lineRule="auto" w:after="40" w:before="40"/>
              <w:jc w:val="left"/>
            </w:pPr>
            <w:r>
              <w:rPr>
                <w:b w:val="0"/>
                <w:i w:val="0"/>
                <w:sz w:val="18"/>
              </w:rPr>
              <w:t>Fibre per 1,000 kcal</w:t>
            </w:r>
          </w:p>
        </w:tc>
        <w:tc>
          <w:tcPr>
            <w:tcW w:type="dxa" w:w="1077"/>
          </w:tcPr>
          <w:p>
            <w:pPr>
              <w:spacing w:line="240" w:lineRule="auto" w:after="40" w:before="40"/>
              <w:jc w:val="left"/>
            </w:pPr>
            <w:r>
              <w:rPr>
                <w:b w:val="0"/>
                <w:i w:val="0"/>
                <w:sz w:val="18"/>
              </w:rPr>
              <w:t>≥ 14 g</w:t>
            </w:r>
          </w:p>
        </w:tc>
        <w:tc>
          <w:tcPr>
            <w:tcW w:type="dxa" w:w="1077"/>
          </w:tcPr>
          <w:p>
            <w:pPr>
              <w:spacing w:line="240" w:lineRule="auto" w:after="40" w:before="40"/>
              <w:jc w:val="left"/>
            </w:pPr>
            <w:r>
              <w:rPr>
                <w:b w:val="0"/>
                <w:i w:val="0"/>
                <w:sz w:val="18"/>
              </w:rPr>
              <w:t>14 g</w:t>
            </w:r>
          </w:p>
        </w:tc>
        <w:tc>
          <w:tcPr>
            <w:tcW w:type="dxa" w:w="3118"/>
          </w:tcPr>
          <w:p>
            <w:pPr>
              <w:spacing w:line="240" w:lineRule="auto" w:after="40" w:before="40"/>
              <w:jc w:val="left"/>
            </w:pPr>
            <w:r>
              <w:rPr>
                <w:b w:val="0"/>
                <w:i w:val="0"/>
                <w:sz w:val="18"/>
              </w:rPr>
              <w:t>DGA 2020–2025</w:t>
            </w:r>
          </w:p>
        </w:tc>
      </w:tr>
    </w:tbl>
    <w:p>
      <w:pPr>
        <w:spacing w:after="40"/>
      </w:pPr>
    </w:p>
    <w:p>
      <w:r>
        <w:rPr>
          <w:b w:val="0"/>
          <w:i w:val="0"/>
        </w:rPr>
        <w:t>Reference values describe the composition of a recipe and are the same for every patient; what varies by patient is which criteria apply and how they are weighted (low 1, medium 2, high 3). RecipeDB reports total rather than added sugars, so fruit and milk sugars count towards the sugar criterion.</w:t>
      </w:r>
    </w:p>
    <w:p>
      <w:pPr>
        <w:pStyle w:val="Caption"/>
      </w:pPr>
      <w:r>
        <w:rPr>
          <w:b/>
        </w:rPr>
        <w:t xml:space="preserve">Table B.5. </w:t>
      </w:r>
      <w:r>
        <w:t>Screening of the RecipeDB corpus before ranking.</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1814"/>
            <w:shd w:val="clear" w:color="auto" w:fill="EDEDED"/>
            <w:tcBorders>
              <w:bottom w:val="single" w:sz="6" w:space="0" w:color="000000"/>
            </w:tcBorders>
          </w:tcPr>
          <w:p>
            <w:pPr>
              <w:spacing w:line="240" w:lineRule="auto" w:after="40" w:before="40"/>
              <w:jc w:val="left"/>
            </w:pPr>
            <w:r>
              <w:rPr>
                <w:b/>
                <w:i w:val="0"/>
                <w:sz w:val="18"/>
              </w:rPr>
              <w:t>Step</w:t>
            </w:r>
          </w:p>
        </w:tc>
        <w:tc>
          <w:tcPr>
            <w:tcW w:type="dxa" w:w="4365"/>
            <w:shd w:val="clear" w:color="auto" w:fill="EDEDED"/>
            <w:tcBorders>
              <w:bottom w:val="single" w:sz="6" w:space="0" w:color="000000"/>
            </w:tcBorders>
          </w:tcPr>
          <w:p>
            <w:pPr>
              <w:spacing w:line="240" w:lineRule="auto" w:after="40" w:before="40"/>
              <w:jc w:val="left"/>
            </w:pPr>
            <w:r>
              <w:rPr>
                <w:b/>
                <w:i w:val="0"/>
                <w:sz w:val="18"/>
              </w:rPr>
              <w:t>Rule</w:t>
            </w:r>
          </w:p>
        </w:tc>
        <w:tc>
          <w:tcPr>
            <w:tcW w:type="dxa" w:w="2835"/>
            <w:shd w:val="clear" w:color="auto" w:fill="EDEDED"/>
            <w:tcBorders>
              <w:bottom w:val="single" w:sz="6" w:space="0" w:color="000000"/>
            </w:tcBorders>
          </w:tcPr>
          <w:p>
            <w:pPr>
              <w:spacing w:line="240" w:lineRule="auto" w:after="40" w:before="40"/>
              <w:jc w:val="left"/>
            </w:pPr>
            <w:r>
              <w:rPr>
                <w:b/>
                <w:i w:val="0"/>
                <w:sz w:val="18"/>
              </w:rPr>
              <w:t>Effect</w:t>
            </w:r>
          </w:p>
        </w:tc>
      </w:tr>
      <w:tr>
        <w:trPr>
          <w:cantSplit/>
        </w:trPr>
        <w:tc>
          <w:tcPr>
            <w:tcW w:type="dxa" w:w="1814"/>
          </w:tcPr>
          <w:p>
            <w:pPr>
              <w:spacing w:line="240" w:lineRule="auto" w:after="40" w:before="40"/>
              <w:jc w:val="left"/>
            </w:pPr>
            <w:r>
              <w:rPr>
                <w:b w:val="0"/>
                <w:i w:val="0"/>
                <w:sz w:val="18"/>
              </w:rPr>
              <w:t>Nutrition plausibility</w:t>
            </w:r>
          </w:p>
        </w:tc>
        <w:tc>
          <w:tcPr>
            <w:tcW w:type="dxa" w:w="4365"/>
          </w:tcPr>
          <w:p>
            <w:pPr>
              <w:spacing w:line="240" w:lineRule="auto" w:after="40" w:before="40"/>
              <w:jc w:val="left"/>
            </w:pPr>
            <w:r>
              <w:rPr>
                <w:b w:val="0"/>
                <w:i w:val="0"/>
                <w:sz w:val="18"/>
              </w:rPr>
              <w:t>Energy &gt; 0 and ≤ 2,500 kcal per serving; sodium ≤ 6,000 mg; macronutrient energy within 30% of stated energy</w:t>
            </w:r>
          </w:p>
        </w:tc>
        <w:tc>
          <w:tcPr>
            <w:tcW w:type="dxa" w:w="2835"/>
          </w:tcPr>
          <w:p>
            <w:pPr>
              <w:spacing w:line="240" w:lineRule="auto" w:after="40" w:before="40"/>
              <w:jc w:val="left"/>
            </w:pPr>
            <w:r>
              <w:rPr>
                <w:b w:val="0"/>
                <w:i w:val="0"/>
                <w:sz w:val="18"/>
              </w:rPr>
              <w:t>774 of 20,000 recipes (3.9%) held for review</w:t>
            </w:r>
          </w:p>
        </w:tc>
      </w:tr>
      <w:tr>
        <w:trPr>
          <w:cantSplit/>
        </w:trPr>
        <w:tc>
          <w:tcPr>
            <w:tcW w:type="dxa" w:w="1814"/>
          </w:tcPr>
          <w:p>
            <w:pPr>
              <w:spacing w:line="240" w:lineRule="auto" w:after="40" w:before="40"/>
              <w:jc w:val="left"/>
            </w:pPr>
            <w:r>
              <w:rPr>
                <w:b w:val="0"/>
                <w:i w:val="0"/>
                <w:sz w:val="18"/>
              </w:rPr>
              <w:t>Main meals only</w:t>
            </w:r>
          </w:p>
        </w:tc>
        <w:tc>
          <w:tcPr>
            <w:tcW w:type="dxa" w:w="4365"/>
          </w:tcPr>
          <w:p>
            <w:pPr>
              <w:spacing w:line="240" w:lineRule="auto" w:after="40" w:before="40"/>
              <w:jc w:val="left"/>
            </w:pPr>
            <w:r>
              <w:rPr>
                <w:b w:val="0"/>
                <w:i w:val="0"/>
                <w:sz w:val="18"/>
              </w:rPr>
              <w:t>Excludes non-meal categories (desserts, beverages, sauces, household and beauty items) and titles naming seasonings or condiments; energy ≥ 200 kcal per serving</w:t>
            </w:r>
          </w:p>
        </w:tc>
        <w:tc>
          <w:tcPr>
            <w:tcW w:type="dxa" w:w="2835"/>
          </w:tcPr>
          <w:p>
            <w:pPr>
              <w:spacing w:line="240" w:lineRule="auto" w:after="40" w:before="40"/>
              <w:jc w:val="left"/>
            </w:pPr>
            <w:r>
              <w:rPr>
                <w:b w:val="0"/>
                <w:i w:val="0"/>
                <w:sz w:val="18"/>
              </w:rPr>
              <w:t>10,108 candidate meals remain</w:t>
            </w:r>
          </w:p>
        </w:tc>
      </w:tr>
      <w:tr>
        <w:trPr>
          <w:cantSplit/>
        </w:trPr>
        <w:tc>
          <w:tcPr>
            <w:tcW w:type="dxa" w:w="1814"/>
          </w:tcPr>
          <w:p>
            <w:pPr>
              <w:spacing w:line="240" w:lineRule="auto" w:after="40" w:before="40"/>
              <w:jc w:val="left"/>
            </w:pPr>
            <w:r>
              <w:rPr>
                <w:b w:val="0"/>
                <w:i w:val="0"/>
                <w:sz w:val="18"/>
              </w:rPr>
              <w:t>Dietary preference</w:t>
            </w:r>
          </w:p>
        </w:tc>
        <w:tc>
          <w:tcPr>
            <w:tcW w:type="dxa" w:w="4365"/>
          </w:tcPr>
          <w:p>
            <w:pPr>
              <w:spacing w:line="240" w:lineRule="auto" w:after="40" w:before="40"/>
              <w:jc w:val="left"/>
            </w:pPr>
            <w:r>
              <w:rPr>
                <w:b w:val="0"/>
                <w:i w:val="0"/>
                <w:sz w:val="18"/>
              </w:rPr>
              <w:t>Every diet tag must be allowed by the requested diet</w:t>
            </w:r>
          </w:p>
        </w:tc>
        <w:tc>
          <w:tcPr>
            <w:tcW w:type="dxa" w:w="2835"/>
          </w:tcPr>
          <w:p>
            <w:pPr>
              <w:spacing w:line="240" w:lineRule="auto" w:after="40" w:before="40"/>
              <w:jc w:val="left"/>
            </w:pPr>
            <w:r>
              <w:rPr>
                <w:b w:val="0"/>
                <w:i w:val="0"/>
                <w:sz w:val="18"/>
              </w:rPr>
              <w:t>About 1,000 recipes have conflicting tags (e.g. a prawn dish tagged vegan)</w:t>
            </w:r>
          </w:p>
        </w:tc>
      </w:tr>
    </w:tbl>
    <w:p>
      <w:pPr>
        <w:spacing w:after="40"/>
      </w:pPr>
    </w:p>
    <w:p>
      <w:pPr>
        <w:pStyle w:val="Heading2"/>
      </w:pPr>
      <w:r>
        <w:t>B.5 Evaluation of the Ranking Engine</w:t>
      </w:r>
    </w:p>
    <w:p>
      <w:r>
        <w:rPr>
          <w:b w:val="0"/>
          <w:i w:val="0"/>
        </w:rPr>
        <w:t>Following Section 12.2 of the proposal, the ranking was evaluated on 300 randomly selected held-out participants who had at least one priority (of 1,902 eligible). For each participant, the ten highest-ranked recipes from each method were checked against the three criteria: health (the recipe meets the reference value of every criterion that applies to the patient), cuisine (it matches the requested cuisine) and feasibility (total time ≤ 60 minutes, ≤ 15 ingredients and ≤ 12 steps). NHANES does not record cuisine preferences, so each participant was assigned one at random from the five cuisines with at least 100 candidate meals. Random selection was repeated 20 times per participant.</w:t>
      </w:r>
    </w:p>
    <w:p>
      <w:pPr>
        <w:pStyle w:val="Caption"/>
      </w:pPr>
      <w:r>
        <w:rPr>
          <w:b/>
        </w:rPr>
        <w:t xml:space="preserve">Table B.6. </w:t>
      </w:r>
      <w:r>
        <w:t>Share of each top-10 list meeting the criteria (mean over 300 participants).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912"/>
            <w:shd w:val="clear" w:color="auto" w:fill="EDEDED"/>
            <w:tcBorders>
              <w:bottom w:val="single" w:sz="6" w:space="0" w:color="000000"/>
            </w:tcBorders>
          </w:tcPr>
          <w:p>
            <w:pPr>
              <w:spacing w:line="240" w:lineRule="auto" w:after="40" w:before="40"/>
              <w:jc w:val="left"/>
            </w:pPr>
            <w:r>
              <w:rPr>
                <w:b/>
                <w:i w:val="0"/>
                <w:sz w:val="20"/>
              </w:rPr>
              <w:t>Method</w:t>
            </w:r>
          </w:p>
        </w:tc>
        <w:tc>
          <w:tcPr>
            <w:tcW w:type="dxa" w:w="1247"/>
            <w:shd w:val="clear" w:color="auto" w:fill="EDEDED"/>
            <w:tcBorders>
              <w:bottom w:val="single" w:sz="6" w:space="0" w:color="000000"/>
            </w:tcBorders>
          </w:tcPr>
          <w:p>
            <w:pPr>
              <w:spacing w:line="240" w:lineRule="auto" w:after="40" w:before="40"/>
              <w:jc w:val="right"/>
            </w:pPr>
            <w:r>
              <w:rPr>
                <w:b/>
                <w:i w:val="0"/>
                <w:sz w:val="20"/>
              </w:rPr>
              <w:t>Health</w:t>
            </w:r>
          </w:p>
        </w:tc>
        <w:tc>
          <w:tcPr>
            <w:tcW w:type="dxa" w:w="1247"/>
            <w:shd w:val="clear" w:color="auto" w:fill="EDEDED"/>
            <w:tcBorders>
              <w:bottom w:val="single" w:sz="6" w:space="0" w:color="000000"/>
            </w:tcBorders>
          </w:tcPr>
          <w:p>
            <w:pPr>
              <w:spacing w:line="240" w:lineRule="auto" w:after="40" w:before="40"/>
              <w:jc w:val="right"/>
            </w:pPr>
            <w:r>
              <w:rPr>
                <w:b/>
                <w:i w:val="0"/>
                <w:sz w:val="20"/>
              </w:rPr>
              <w:t>Cuisine</w:t>
            </w:r>
          </w:p>
        </w:tc>
        <w:tc>
          <w:tcPr>
            <w:tcW w:type="dxa" w:w="1304"/>
            <w:shd w:val="clear" w:color="auto" w:fill="EDEDED"/>
            <w:tcBorders>
              <w:bottom w:val="single" w:sz="6" w:space="0" w:color="000000"/>
            </w:tcBorders>
          </w:tcPr>
          <w:p>
            <w:pPr>
              <w:spacing w:line="240" w:lineRule="auto" w:after="40" w:before="40"/>
              <w:jc w:val="right"/>
            </w:pPr>
            <w:r>
              <w:rPr>
                <w:b/>
                <w:i w:val="0"/>
                <w:sz w:val="20"/>
              </w:rPr>
              <w:t>Feasibility</w:t>
            </w:r>
          </w:p>
        </w:tc>
        <w:tc>
          <w:tcPr>
            <w:tcW w:type="dxa" w:w="1304"/>
            <w:shd w:val="clear" w:color="auto" w:fill="EDEDED"/>
            <w:tcBorders>
              <w:bottom w:val="single" w:sz="6" w:space="0" w:color="000000"/>
            </w:tcBorders>
          </w:tcPr>
          <w:p>
            <w:pPr>
              <w:spacing w:line="240" w:lineRule="auto" w:after="40" w:before="40"/>
              <w:jc w:val="right"/>
            </w:pPr>
            <w:r>
              <w:rPr>
                <w:b/>
                <w:i w:val="0"/>
                <w:sz w:val="20"/>
              </w:rPr>
              <w:t>All three</w:t>
            </w:r>
          </w:p>
        </w:tc>
      </w:tr>
      <w:tr>
        <w:trPr>
          <w:cantSplit/>
        </w:trPr>
        <w:tc>
          <w:tcPr>
            <w:tcW w:type="dxa" w:w="3912"/>
          </w:tcPr>
          <w:p>
            <w:pPr>
              <w:spacing w:line="240" w:lineRule="auto" w:after="40" w:before="40"/>
              <w:jc w:val="left"/>
            </w:pPr>
            <w:r>
              <w:rPr>
                <w:b w:val="0"/>
                <w:i w:val="0"/>
                <w:sz w:val="20"/>
              </w:rPr>
              <w:t>Multi-criteria, health-gated (selected)</w:t>
            </w:r>
          </w:p>
        </w:tc>
        <w:tc>
          <w:tcPr>
            <w:tcW w:type="dxa" w:w="1247"/>
          </w:tcPr>
          <w:p>
            <w:pPr>
              <w:spacing w:line="240" w:lineRule="auto" w:after="40" w:before="40"/>
              <w:jc w:val="right"/>
            </w:pPr>
            <w:r>
              <w:rPr>
                <w:b w:val="0"/>
                <w:i w:val="0"/>
                <w:sz w:val="20"/>
              </w:rPr>
              <w:t>1.000</w:t>
            </w:r>
          </w:p>
        </w:tc>
        <w:tc>
          <w:tcPr>
            <w:tcW w:type="dxa" w:w="1247"/>
          </w:tcPr>
          <w:p>
            <w:pPr>
              <w:spacing w:line="240" w:lineRule="auto" w:after="40" w:before="40"/>
              <w:jc w:val="right"/>
            </w:pPr>
            <w:r>
              <w:rPr>
                <w:b w:val="0"/>
                <w:i w:val="0"/>
                <w:sz w:val="20"/>
              </w:rPr>
              <w:t>1.000</w:t>
            </w:r>
          </w:p>
        </w:tc>
        <w:tc>
          <w:tcPr>
            <w:tcW w:type="dxa" w:w="1304"/>
          </w:tcPr>
          <w:p>
            <w:pPr>
              <w:spacing w:line="240" w:lineRule="auto" w:after="40" w:before="40"/>
              <w:jc w:val="right"/>
            </w:pPr>
            <w:r>
              <w:rPr>
                <w:b w:val="0"/>
                <w:i w:val="0"/>
                <w:sz w:val="20"/>
              </w:rPr>
              <w:t>0.899</w:t>
            </w:r>
          </w:p>
        </w:tc>
        <w:tc>
          <w:tcPr>
            <w:tcW w:type="dxa" w:w="1304"/>
          </w:tcPr>
          <w:p>
            <w:pPr>
              <w:spacing w:line="240" w:lineRule="auto" w:after="40" w:before="40"/>
              <w:jc w:val="right"/>
            </w:pPr>
            <w:r>
              <w:rPr>
                <w:b w:val="0"/>
                <w:i w:val="0"/>
                <w:sz w:val="20"/>
              </w:rPr>
              <w:t>0.899</w:t>
            </w:r>
          </w:p>
        </w:tc>
      </w:tr>
      <w:tr>
        <w:trPr>
          <w:cantSplit/>
        </w:trPr>
        <w:tc>
          <w:tcPr>
            <w:tcW w:type="dxa" w:w="3912"/>
          </w:tcPr>
          <w:p>
            <w:pPr>
              <w:spacing w:line="240" w:lineRule="auto" w:after="40" w:before="40"/>
              <w:jc w:val="left"/>
            </w:pPr>
            <w:r>
              <w:rPr>
                <w:b w:val="0"/>
                <w:i w:val="0"/>
                <w:sz w:val="20"/>
              </w:rPr>
              <w:t>Multi-criteria, weighted only</w:t>
            </w:r>
          </w:p>
        </w:tc>
        <w:tc>
          <w:tcPr>
            <w:tcW w:type="dxa" w:w="1247"/>
          </w:tcPr>
          <w:p>
            <w:pPr>
              <w:spacing w:line="240" w:lineRule="auto" w:after="40" w:before="40"/>
              <w:jc w:val="right"/>
            </w:pPr>
            <w:r>
              <w:rPr>
                <w:b w:val="0"/>
                <w:i w:val="0"/>
                <w:sz w:val="20"/>
              </w:rPr>
              <w:t>0.749</w:t>
            </w:r>
          </w:p>
        </w:tc>
        <w:tc>
          <w:tcPr>
            <w:tcW w:type="dxa" w:w="1247"/>
          </w:tcPr>
          <w:p>
            <w:pPr>
              <w:spacing w:line="240" w:lineRule="auto" w:after="40" w:before="40"/>
              <w:jc w:val="right"/>
            </w:pPr>
            <w:r>
              <w:rPr>
                <w:b w:val="0"/>
                <w:i w:val="0"/>
                <w:sz w:val="20"/>
              </w:rPr>
              <w:t>1.000</w:t>
            </w:r>
          </w:p>
        </w:tc>
        <w:tc>
          <w:tcPr>
            <w:tcW w:type="dxa" w:w="1304"/>
          </w:tcPr>
          <w:p>
            <w:pPr>
              <w:spacing w:line="240" w:lineRule="auto" w:after="40" w:before="40"/>
              <w:jc w:val="right"/>
            </w:pPr>
            <w:r>
              <w:rPr>
                <w:b w:val="0"/>
                <w:i w:val="0"/>
                <w:sz w:val="20"/>
              </w:rPr>
              <w:t>0.982</w:t>
            </w:r>
          </w:p>
        </w:tc>
        <w:tc>
          <w:tcPr>
            <w:tcW w:type="dxa" w:w="1304"/>
          </w:tcPr>
          <w:p>
            <w:pPr>
              <w:spacing w:line="240" w:lineRule="auto" w:after="40" w:before="40"/>
              <w:jc w:val="right"/>
            </w:pPr>
            <w:r>
              <w:rPr>
                <w:b w:val="0"/>
                <w:i w:val="0"/>
                <w:sz w:val="20"/>
              </w:rPr>
              <w:t>0.749</w:t>
            </w:r>
          </w:p>
        </w:tc>
      </w:tr>
      <w:tr>
        <w:trPr>
          <w:cantSplit/>
        </w:trPr>
        <w:tc>
          <w:tcPr>
            <w:tcW w:type="dxa" w:w="3912"/>
          </w:tcPr>
          <w:p>
            <w:pPr>
              <w:spacing w:line="240" w:lineRule="auto" w:after="40" w:before="40"/>
              <w:jc w:val="left"/>
            </w:pPr>
            <w:r>
              <w:rPr>
                <w:b w:val="0"/>
                <w:i w:val="0"/>
                <w:sz w:val="20"/>
              </w:rPr>
              <w:t>Health score only</w:t>
            </w:r>
          </w:p>
        </w:tc>
        <w:tc>
          <w:tcPr>
            <w:tcW w:type="dxa" w:w="1247"/>
          </w:tcPr>
          <w:p>
            <w:pPr>
              <w:spacing w:line="240" w:lineRule="auto" w:after="40" w:before="40"/>
              <w:jc w:val="right"/>
            </w:pPr>
            <w:r>
              <w:rPr>
                <w:b w:val="0"/>
                <w:i w:val="0"/>
                <w:sz w:val="20"/>
              </w:rPr>
              <w:t>1.000</w:t>
            </w:r>
          </w:p>
        </w:tc>
        <w:tc>
          <w:tcPr>
            <w:tcW w:type="dxa" w:w="1247"/>
          </w:tcPr>
          <w:p>
            <w:pPr>
              <w:spacing w:line="240" w:lineRule="auto" w:after="40" w:before="40"/>
              <w:jc w:val="right"/>
            </w:pPr>
            <w:r>
              <w:rPr>
                <w:b w:val="0"/>
                <w:i w:val="0"/>
                <w:sz w:val="20"/>
              </w:rPr>
              <w:t>0.057</w:t>
            </w:r>
          </w:p>
        </w:tc>
        <w:tc>
          <w:tcPr>
            <w:tcW w:type="dxa" w:w="1304"/>
          </w:tcPr>
          <w:p>
            <w:pPr>
              <w:spacing w:line="240" w:lineRule="auto" w:after="40" w:before="40"/>
              <w:jc w:val="right"/>
            </w:pPr>
            <w:r>
              <w:rPr>
                <w:b w:val="0"/>
                <w:i w:val="0"/>
                <w:sz w:val="20"/>
              </w:rPr>
              <w:t>0.400</w:t>
            </w:r>
          </w:p>
        </w:tc>
        <w:tc>
          <w:tcPr>
            <w:tcW w:type="dxa" w:w="1304"/>
          </w:tcPr>
          <w:p>
            <w:pPr>
              <w:spacing w:line="240" w:lineRule="auto" w:after="40" w:before="40"/>
              <w:jc w:val="right"/>
            </w:pPr>
            <w:r>
              <w:rPr>
                <w:b w:val="0"/>
                <w:i w:val="0"/>
                <w:sz w:val="20"/>
              </w:rPr>
              <w:t>0.017</w:t>
            </w:r>
          </w:p>
        </w:tc>
      </w:tr>
      <w:tr>
        <w:trPr>
          <w:cantSplit/>
        </w:trPr>
        <w:tc>
          <w:tcPr>
            <w:tcW w:type="dxa" w:w="3912"/>
          </w:tcPr>
          <w:p>
            <w:pPr>
              <w:spacing w:line="240" w:lineRule="auto" w:after="40" w:before="40"/>
              <w:jc w:val="left"/>
            </w:pPr>
            <w:r>
              <w:rPr>
                <w:b w:val="0"/>
                <w:i w:val="0"/>
                <w:sz w:val="20"/>
              </w:rPr>
              <w:t>Nutrition only (non-personalised)</w:t>
            </w:r>
          </w:p>
        </w:tc>
        <w:tc>
          <w:tcPr>
            <w:tcW w:type="dxa" w:w="1247"/>
          </w:tcPr>
          <w:p>
            <w:pPr>
              <w:spacing w:line="240" w:lineRule="auto" w:after="40" w:before="40"/>
              <w:jc w:val="right"/>
            </w:pPr>
            <w:r>
              <w:rPr>
                <w:b w:val="0"/>
                <w:i w:val="0"/>
                <w:sz w:val="20"/>
              </w:rPr>
              <w:t>1.000</w:t>
            </w:r>
          </w:p>
        </w:tc>
        <w:tc>
          <w:tcPr>
            <w:tcW w:type="dxa" w:w="1247"/>
          </w:tcPr>
          <w:p>
            <w:pPr>
              <w:spacing w:line="240" w:lineRule="auto" w:after="40" w:before="40"/>
              <w:jc w:val="right"/>
            </w:pPr>
            <w:r>
              <w:rPr>
                <w:b w:val="0"/>
                <w:i w:val="0"/>
                <w:sz w:val="20"/>
              </w:rPr>
              <w:t>0.057</w:t>
            </w:r>
          </w:p>
        </w:tc>
        <w:tc>
          <w:tcPr>
            <w:tcW w:type="dxa" w:w="1304"/>
          </w:tcPr>
          <w:p>
            <w:pPr>
              <w:spacing w:line="240" w:lineRule="auto" w:after="40" w:before="40"/>
              <w:jc w:val="right"/>
            </w:pPr>
            <w:r>
              <w:rPr>
                <w:b w:val="0"/>
                <w:i w:val="0"/>
                <w:sz w:val="20"/>
              </w:rPr>
              <w:t>0.400</w:t>
            </w:r>
          </w:p>
        </w:tc>
        <w:tc>
          <w:tcPr>
            <w:tcW w:type="dxa" w:w="1304"/>
          </w:tcPr>
          <w:p>
            <w:pPr>
              <w:spacing w:line="240" w:lineRule="auto" w:after="40" w:before="40"/>
              <w:jc w:val="right"/>
            </w:pPr>
            <w:r>
              <w:rPr>
                <w:b w:val="0"/>
                <w:i w:val="0"/>
                <w:sz w:val="20"/>
              </w:rPr>
              <w:t>0.017</w:t>
            </w:r>
          </w:p>
        </w:tc>
      </w:tr>
      <w:tr>
        <w:trPr>
          <w:cantSplit/>
        </w:trPr>
        <w:tc>
          <w:tcPr>
            <w:tcW w:type="dxa" w:w="3912"/>
          </w:tcPr>
          <w:p>
            <w:pPr>
              <w:spacing w:line="240" w:lineRule="auto" w:after="40" w:before="40"/>
              <w:jc w:val="left"/>
            </w:pPr>
            <w:r>
              <w:rPr>
                <w:b w:val="0"/>
                <w:i w:val="0"/>
                <w:sz w:val="20"/>
              </w:rPr>
              <w:t>Random selection</w:t>
            </w:r>
          </w:p>
        </w:tc>
        <w:tc>
          <w:tcPr>
            <w:tcW w:type="dxa" w:w="1247"/>
          </w:tcPr>
          <w:p>
            <w:pPr>
              <w:spacing w:line="240" w:lineRule="auto" w:after="40" w:before="40"/>
              <w:jc w:val="right"/>
            </w:pPr>
            <w:r>
              <w:rPr>
                <w:b w:val="0"/>
                <w:i w:val="0"/>
                <w:sz w:val="20"/>
              </w:rPr>
              <w:t>0.057</w:t>
            </w:r>
          </w:p>
        </w:tc>
        <w:tc>
          <w:tcPr>
            <w:tcW w:type="dxa" w:w="1247"/>
          </w:tcPr>
          <w:p>
            <w:pPr>
              <w:spacing w:line="240" w:lineRule="auto" w:after="40" w:before="40"/>
              <w:jc w:val="right"/>
            </w:pPr>
            <w:r>
              <w:rPr>
                <w:b w:val="0"/>
                <w:i w:val="0"/>
                <w:sz w:val="20"/>
              </w:rPr>
              <w:t>0.053</w:t>
            </w:r>
          </w:p>
        </w:tc>
        <w:tc>
          <w:tcPr>
            <w:tcW w:type="dxa" w:w="1304"/>
          </w:tcPr>
          <w:p>
            <w:pPr>
              <w:spacing w:line="240" w:lineRule="auto" w:after="40" w:before="40"/>
              <w:jc w:val="right"/>
            </w:pPr>
            <w:r>
              <w:rPr>
                <w:b w:val="0"/>
                <w:i w:val="0"/>
                <w:sz w:val="20"/>
              </w:rPr>
              <w:t>0.596</w:t>
            </w:r>
          </w:p>
        </w:tc>
        <w:tc>
          <w:tcPr>
            <w:tcW w:type="dxa" w:w="1304"/>
          </w:tcPr>
          <w:p>
            <w:pPr>
              <w:spacing w:line="240" w:lineRule="auto" w:after="40" w:before="40"/>
              <w:jc w:val="right"/>
            </w:pPr>
            <w:r>
              <w:rPr>
                <w:b w:val="0"/>
                <w:i w:val="0"/>
                <w:sz w:val="20"/>
              </w:rPr>
              <w:t>0.003</w:t>
            </w:r>
          </w:p>
        </w:tc>
      </w:tr>
    </w:tbl>
    <w:p>
      <w:pPr>
        <w:spacing w:after="40"/>
      </w:pPr>
    </w:p>
    <w:p>
      <w:r>
        <w:rPr>
          <w:b w:val="0"/>
          <w:i w:val="0"/>
        </w:rPr>
        <w:t>The multi-criteria ranking is the only method that satisfies all three criteria for most recommendations. Ranking on health alone finds healthy recipes but ignores cuisine and practicality, and random selection rarely meets the health criteria. Without the health gate, the weighted score traded health for cuisine in a quarter of recommendations; with it, every recommendation met the evidence-linked criteria and 90% met all three. The gate was therefore adopted as the default. The health-only and nutrition-only baselines coincide because 565 candidates meet every reference value, so both select among the same tied recipes.</w:t>
      </w:r>
    </w:p>
    <w:p>
      <w:r>
        <w:rPr>
          <w:b w:val="0"/>
          <w:i w:val="0"/>
        </w:rPr>
        <w:t>The sensitivity analysis reran the selected ranking over every combination of weights in steps of 0.1 (Figure B.1). The top ten was identical to the default whenever cuisine had a weight of at least 0.2, and the mean overlap across the whole grid was 0.90. Rankings changed only when the cuisine weight fell to 0.1 and feasibility dominated. Because of the gate, the health weight has little effect on which recipes are recommended.</w:t>
      </w:r>
    </w:p>
    <w:p>
      <w:pPr>
        <w:keepNext/>
        <w:spacing w:before="240"/>
        <w:jc w:val="center"/>
      </w:pPr>
      <w:r>
        <w:drawing>
          <wp:inline xmlns:a="http://schemas.openxmlformats.org/drawingml/2006/main" xmlns:pic="http://schemas.openxmlformats.org/drawingml/2006/picture">
            <wp:extent cx="5724000" cy="2349448"/>
            <wp:docPr id="1" name="Picture 1"/>
            <wp:cNvGraphicFramePr>
              <a:graphicFrameLocks noChangeAspect="1"/>
            </wp:cNvGraphicFramePr>
            <a:graphic>
              <a:graphicData uri="http://schemas.openxmlformats.org/drawingml/2006/picture">
                <pic:pic>
                  <pic:nvPicPr>
                    <pic:cNvPr id="0" name="fig_weight_sensitivity.png"/>
                    <pic:cNvPicPr/>
                  </pic:nvPicPr>
                  <pic:blipFill>
                    <a:blip r:embed="rId9"/>
                    <a:stretch>
                      <a:fillRect/>
                    </a:stretch>
                  </pic:blipFill>
                  <pic:spPr>
                    <a:xfrm>
                      <a:off x="0" y="0"/>
                      <a:ext cx="5724000" cy="2349448"/>
                    </a:xfrm>
                    <a:prstGeom prst="rect"/>
                  </pic:spPr>
                </pic:pic>
              </a:graphicData>
            </a:graphic>
          </wp:inline>
        </w:drawing>
      </w:r>
    </w:p>
    <w:p>
      <w:pPr>
        <w:pStyle w:val="Caption"/>
        <w:spacing w:before="80" w:after="240"/>
      </w:pPr>
      <w:r>
        <w:rPr>
          <w:b/>
        </w:rPr>
        <w:t xml:space="preserve">Figure B.1. </w:t>
      </w:r>
      <w:r>
        <w:t>Weight sensitivity of the selected ranking over 300 held-out participants. (a) Mean share of the default top ten that is retained. (b) Mean share of the top ten meeting all three criteria.</w:t>
      </w:r>
    </w:p>
    <w:p>
      <w:pPr>
        <w:pStyle w:val="Heading2"/>
      </w:pPr>
      <w:r>
        <w:t>B.6 Worked Example</w:t>
      </w:r>
    </w:p>
    <w:p>
      <w:r>
        <w:rPr>
          <w:b w:val="0"/>
          <w:i w:val="0"/>
        </w:rPr>
        <w:t>Participant 109349 (held out from training; measured CAP 338 dB/m) has calibrated probabilities of 0.96 for CAP ≥ 248 and 0.78 for CAP ≥ 280. Layer 3 assigns high priority to weight management, dietary quality and limiting saturated fat (the last because of dyslipidaemia), and medium priority to limiting excess sugar. With Asian cuisine requested, 9,844 candidate meals are scored, 565 meet every reference value and 264 are held for data review.</w:t>
      </w:r>
    </w:p>
    <w:p>
      <w:pPr>
        <w:pStyle w:val="Caption"/>
      </w:pPr>
      <w:r>
        <w:rPr>
          <w:b/>
        </w:rPr>
        <w:t xml:space="preserve">Table B.7. </w:t>
      </w:r>
      <w:r>
        <w:t>Top three recommendations for participant 109349 (Asian cuisine requested).</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289"/>
        <w:gridCol w:w="1289"/>
        <w:gridCol w:w="1289"/>
        <w:gridCol w:w="1289"/>
        <w:gridCol w:w="1289"/>
        <w:gridCol w:w="1289"/>
        <w:gridCol w:w="1289"/>
      </w:tblGrid>
      <w:tr>
        <w:trPr>
          <w:tblHeader/>
          <w:cantSplit/>
        </w:trPr>
        <w:tc>
          <w:tcPr>
            <w:tcW w:type="dxa" w:w="794"/>
            <w:shd w:val="clear" w:color="auto" w:fill="EDEDED"/>
            <w:tcBorders>
              <w:bottom w:val="single" w:sz="6" w:space="0" w:color="000000"/>
            </w:tcBorders>
          </w:tcPr>
          <w:p>
            <w:pPr>
              <w:spacing w:line="240" w:lineRule="auto" w:after="40" w:before="40"/>
              <w:jc w:val="right"/>
            </w:pPr>
            <w:r>
              <w:rPr>
                <w:b/>
                <w:i w:val="0"/>
                <w:sz w:val="18"/>
              </w:rPr>
              <w:t>Rank</w:t>
            </w:r>
          </w:p>
        </w:tc>
        <w:tc>
          <w:tcPr>
            <w:tcW w:type="dxa" w:w="2665"/>
            <w:shd w:val="clear" w:color="auto" w:fill="EDEDED"/>
            <w:tcBorders>
              <w:bottom w:val="single" w:sz="6" w:space="0" w:color="000000"/>
            </w:tcBorders>
          </w:tcPr>
          <w:p>
            <w:pPr>
              <w:spacing w:line="240" w:lineRule="auto" w:after="40" w:before="40"/>
              <w:jc w:val="left"/>
            </w:pPr>
            <w:r>
              <w:rPr>
                <w:b/>
                <w:i w:val="0"/>
                <w:sz w:val="18"/>
              </w:rPr>
              <w:t>Recipe</w:t>
            </w:r>
          </w:p>
        </w:tc>
        <w:tc>
          <w:tcPr>
            <w:tcW w:type="dxa" w:w="1077"/>
            <w:shd w:val="clear" w:color="auto" w:fill="EDEDED"/>
            <w:tcBorders>
              <w:bottom w:val="single" w:sz="6" w:space="0" w:color="000000"/>
            </w:tcBorders>
          </w:tcPr>
          <w:p>
            <w:pPr>
              <w:spacing w:line="240" w:lineRule="auto" w:after="40" w:before="40"/>
              <w:jc w:val="right"/>
            </w:pPr>
            <w:r>
              <w:rPr>
                <w:b/>
                <w:i w:val="0"/>
                <w:sz w:val="18"/>
              </w:rPr>
              <w:t>Energy (kcal)</w:t>
            </w:r>
          </w:p>
        </w:tc>
        <w:tc>
          <w:tcPr>
            <w:tcW w:type="dxa" w:w="1134"/>
            <w:shd w:val="clear" w:color="auto" w:fill="EDEDED"/>
            <w:tcBorders>
              <w:bottom w:val="single" w:sz="6" w:space="0" w:color="000000"/>
            </w:tcBorders>
          </w:tcPr>
          <w:p>
            <w:pPr>
              <w:spacing w:line="240" w:lineRule="auto" w:after="40" w:before="40"/>
              <w:jc w:val="right"/>
            </w:pPr>
            <w:r>
              <w:rPr>
                <w:b/>
                <w:i w:val="0"/>
                <w:sz w:val="18"/>
              </w:rPr>
              <w:t>Sat. fat (% energy)</w:t>
            </w:r>
          </w:p>
        </w:tc>
        <w:tc>
          <w:tcPr>
            <w:tcW w:type="dxa" w:w="1134"/>
            <w:shd w:val="clear" w:color="auto" w:fill="EDEDED"/>
            <w:tcBorders>
              <w:bottom w:val="single" w:sz="6" w:space="0" w:color="000000"/>
            </w:tcBorders>
          </w:tcPr>
          <w:p>
            <w:pPr>
              <w:spacing w:line="240" w:lineRule="auto" w:after="40" w:before="40"/>
              <w:jc w:val="right"/>
            </w:pPr>
            <w:r>
              <w:rPr>
                <w:b/>
                <w:i w:val="0"/>
                <w:sz w:val="18"/>
              </w:rPr>
              <w:t>Sugars (% energy)</w:t>
            </w:r>
          </w:p>
        </w:tc>
        <w:tc>
          <w:tcPr>
            <w:tcW w:type="dxa" w:w="1247"/>
            <w:shd w:val="clear" w:color="auto" w:fill="EDEDED"/>
            <w:tcBorders>
              <w:bottom w:val="single" w:sz="6" w:space="0" w:color="000000"/>
            </w:tcBorders>
          </w:tcPr>
          <w:p>
            <w:pPr>
              <w:spacing w:line="240" w:lineRule="auto" w:after="40" w:before="40"/>
              <w:jc w:val="right"/>
            </w:pPr>
            <w:r>
              <w:rPr>
                <w:b/>
                <w:i w:val="0"/>
                <w:sz w:val="18"/>
              </w:rPr>
              <w:t>Fibre (g/1,000 kcal)</w:t>
            </w:r>
          </w:p>
        </w:tc>
        <w:tc>
          <w:tcPr>
            <w:tcW w:type="dxa" w:w="964"/>
            <w:shd w:val="clear" w:color="auto" w:fill="EDEDED"/>
            <w:tcBorders>
              <w:bottom w:val="single" w:sz="6" w:space="0" w:color="000000"/>
            </w:tcBorders>
          </w:tcPr>
          <w:p>
            <w:pPr>
              <w:spacing w:line="240" w:lineRule="auto" w:after="40" w:before="40"/>
              <w:jc w:val="right"/>
            </w:pPr>
            <w:r>
              <w:rPr>
                <w:b/>
                <w:i w:val="0"/>
                <w:sz w:val="18"/>
              </w:rPr>
              <w:t>Overall</w:t>
            </w:r>
          </w:p>
        </w:tc>
      </w:tr>
      <w:tr>
        <w:trPr>
          <w:cantSplit/>
        </w:trPr>
        <w:tc>
          <w:tcPr>
            <w:tcW w:type="dxa" w:w="794"/>
          </w:tcPr>
          <w:p>
            <w:pPr>
              <w:spacing w:line="240" w:lineRule="auto" w:after="40" w:before="40"/>
              <w:jc w:val="right"/>
            </w:pPr>
            <w:r>
              <w:rPr>
                <w:b w:val="0"/>
                <w:i w:val="0"/>
                <w:sz w:val="18"/>
              </w:rPr>
              <w:t>1</w:t>
            </w:r>
          </w:p>
        </w:tc>
        <w:tc>
          <w:tcPr>
            <w:tcW w:type="dxa" w:w="2665"/>
          </w:tcPr>
          <w:p>
            <w:pPr>
              <w:spacing w:line="240" w:lineRule="auto" w:after="40" w:before="40"/>
              <w:jc w:val="left"/>
            </w:pPr>
            <w:r>
              <w:rPr>
                <w:b w:val="0"/>
                <w:i w:val="0"/>
                <w:sz w:val="18"/>
              </w:rPr>
              <w:t>Avocado and Prawns in Wasabi</w:t>
            </w:r>
          </w:p>
        </w:tc>
        <w:tc>
          <w:tcPr>
            <w:tcW w:type="dxa" w:w="1077"/>
          </w:tcPr>
          <w:p>
            <w:pPr>
              <w:spacing w:line="240" w:lineRule="auto" w:after="40" w:before="40"/>
              <w:jc w:val="right"/>
            </w:pPr>
            <w:r>
              <w:rPr>
                <w:b w:val="0"/>
                <w:i w:val="0"/>
                <w:sz w:val="18"/>
              </w:rPr>
              <w:t>234</w:t>
            </w:r>
          </w:p>
        </w:tc>
        <w:tc>
          <w:tcPr>
            <w:tcW w:type="dxa" w:w="1134"/>
          </w:tcPr>
          <w:p>
            <w:pPr>
              <w:spacing w:line="240" w:lineRule="auto" w:after="40" w:before="40"/>
              <w:jc w:val="right"/>
            </w:pPr>
            <w:r>
              <w:rPr>
                <w:b w:val="0"/>
                <w:i w:val="0"/>
                <w:sz w:val="18"/>
              </w:rPr>
              <w:t>8.8</w:t>
            </w:r>
          </w:p>
        </w:tc>
        <w:tc>
          <w:tcPr>
            <w:tcW w:type="dxa" w:w="1134"/>
          </w:tcPr>
          <w:p>
            <w:pPr>
              <w:spacing w:line="240" w:lineRule="auto" w:after="40" w:before="40"/>
              <w:jc w:val="right"/>
            </w:pPr>
            <w:r>
              <w:rPr>
                <w:b w:val="0"/>
                <w:i w:val="0"/>
                <w:sz w:val="18"/>
              </w:rPr>
              <w:t>1.4</w:t>
            </w:r>
          </w:p>
        </w:tc>
        <w:tc>
          <w:tcPr>
            <w:tcW w:type="dxa" w:w="1247"/>
          </w:tcPr>
          <w:p>
            <w:pPr>
              <w:spacing w:line="240" w:lineRule="auto" w:after="40" w:before="40"/>
              <w:jc w:val="right"/>
            </w:pPr>
            <w:r>
              <w:rPr>
                <w:b w:val="0"/>
                <w:i w:val="0"/>
                <w:sz w:val="18"/>
              </w:rPr>
              <w:t>29.9</w:t>
            </w:r>
          </w:p>
        </w:tc>
        <w:tc>
          <w:tcPr>
            <w:tcW w:type="dxa" w:w="964"/>
          </w:tcPr>
          <w:p>
            <w:pPr>
              <w:spacing w:line="240" w:lineRule="auto" w:after="40" w:before="40"/>
              <w:jc w:val="right"/>
            </w:pPr>
            <w:r>
              <w:rPr>
                <w:b w:val="0"/>
                <w:i w:val="0"/>
                <w:sz w:val="18"/>
              </w:rPr>
              <w:t>96.3</w:t>
            </w:r>
          </w:p>
        </w:tc>
      </w:tr>
      <w:tr>
        <w:trPr>
          <w:cantSplit/>
        </w:trPr>
        <w:tc>
          <w:tcPr>
            <w:tcW w:type="dxa" w:w="794"/>
          </w:tcPr>
          <w:p>
            <w:pPr>
              <w:spacing w:line="240" w:lineRule="auto" w:after="40" w:before="40"/>
              <w:jc w:val="right"/>
            </w:pPr>
            <w:r>
              <w:rPr>
                <w:b w:val="0"/>
                <w:i w:val="0"/>
                <w:sz w:val="18"/>
              </w:rPr>
              <w:t>2</w:t>
            </w:r>
          </w:p>
        </w:tc>
        <w:tc>
          <w:tcPr>
            <w:tcW w:type="dxa" w:w="2665"/>
          </w:tcPr>
          <w:p>
            <w:pPr>
              <w:spacing w:line="240" w:lineRule="auto" w:after="40" w:before="40"/>
              <w:jc w:val="left"/>
            </w:pPr>
            <w:r>
              <w:rPr>
                <w:b w:val="0"/>
                <w:i w:val="0"/>
                <w:sz w:val="18"/>
              </w:rPr>
              <w:t>Hummus Without Tahini</w:t>
            </w:r>
          </w:p>
        </w:tc>
        <w:tc>
          <w:tcPr>
            <w:tcW w:type="dxa" w:w="1077"/>
          </w:tcPr>
          <w:p>
            <w:pPr>
              <w:spacing w:line="240" w:lineRule="auto" w:after="40" w:before="40"/>
              <w:jc w:val="right"/>
            </w:pPr>
            <w:r>
              <w:rPr>
                <w:b w:val="0"/>
                <w:i w:val="0"/>
                <w:sz w:val="18"/>
              </w:rPr>
              <w:t>335</w:t>
            </w:r>
          </w:p>
        </w:tc>
        <w:tc>
          <w:tcPr>
            <w:tcW w:type="dxa" w:w="1134"/>
          </w:tcPr>
          <w:p>
            <w:pPr>
              <w:spacing w:line="240" w:lineRule="auto" w:after="40" w:before="40"/>
              <w:jc w:val="right"/>
            </w:pPr>
            <w:r>
              <w:rPr>
                <w:b w:val="0"/>
                <w:i w:val="0"/>
                <w:sz w:val="18"/>
              </w:rPr>
              <w:t>7.3</w:t>
            </w:r>
          </w:p>
        </w:tc>
        <w:tc>
          <w:tcPr>
            <w:tcW w:type="dxa" w:w="1134"/>
          </w:tcPr>
          <w:p>
            <w:pPr>
              <w:spacing w:line="240" w:lineRule="auto" w:after="40" w:before="40"/>
              <w:jc w:val="right"/>
            </w:pPr>
            <w:r>
              <w:rPr>
                <w:b w:val="0"/>
                <w:i w:val="0"/>
                <w:sz w:val="18"/>
              </w:rPr>
              <w:t>0.6</w:t>
            </w:r>
          </w:p>
        </w:tc>
        <w:tc>
          <w:tcPr>
            <w:tcW w:type="dxa" w:w="1247"/>
          </w:tcPr>
          <w:p>
            <w:pPr>
              <w:spacing w:line="240" w:lineRule="auto" w:after="40" w:before="40"/>
              <w:jc w:val="right"/>
            </w:pPr>
            <w:r>
              <w:rPr>
                <w:b w:val="0"/>
                <w:i w:val="0"/>
                <w:sz w:val="18"/>
              </w:rPr>
              <w:t>20.3</w:t>
            </w:r>
          </w:p>
        </w:tc>
        <w:tc>
          <w:tcPr>
            <w:tcW w:type="dxa" w:w="964"/>
          </w:tcPr>
          <w:p>
            <w:pPr>
              <w:spacing w:line="240" w:lineRule="auto" w:after="40" w:before="40"/>
              <w:jc w:val="right"/>
            </w:pPr>
            <w:r>
              <w:rPr>
                <w:b w:val="0"/>
                <w:i w:val="0"/>
                <w:sz w:val="18"/>
              </w:rPr>
              <w:t>95.5</w:t>
            </w:r>
          </w:p>
        </w:tc>
      </w:tr>
      <w:tr>
        <w:trPr>
          <w:cantSplit/>
        </w:trPr>
        <w:tc>
          <w:tcPr>
            <w:tcW w:type="dxa" w:w="794"/>
          </w:tcPr>
          <w:p>
            <w:pPr>
              <w:spacing w:line="240" w:lineRule="auto" w:after="40" w:before="40"/>
              <w:jc w:val="right"/>
            </w:pPr>
            <w:r>
              <w:rPr>
                <w:b w:val="0"/>
                <w:i w:val="0"/>
                <w:sz w:val="18"/>
              </w:rPr>
              <w:t>3</w:t>
            </w:r>
          </w:p>
        </w:tc>
        <w:tc>
          <w:tcPr>
            <w:tcW w:type="dxa" w:w="2665"/>
          </w:tcPr>
          <w:p>
            <w:pPr>
              <w:spacing w:line="240" w:lineRule="auto" w:after="40" w:before="40"/>
              <w:jc w:val="left"/>
            </w:pPr>
            <w:r>
              <w:rPr>
                <w:b w:val="0"/>
                <w:i w:val="0"/>
                <w:sz w:val="18"/>
              </w:rPr>
              <w:t>Creamy Chickpea Salad</w:t>
            </w:r>
          </w:p>
        </w:tc>
        <w:tc>
          <w:tcPr>
            <w:tcW w:type="dxa" w:w="1077"/>
          </w:tcPr>
          <w:p>
            <w:pPr>
              <w:spacing w:line="240" w:lineRule="auto" w:after="40" w:before="40"/>
              <w:jc w:val="right"/>
            </w:pPr>
            <w:r>
              <w:rPr>
                <w:b w:val="0"/>
                <w:i w:val="0"/>
                <w:sz w:val="18"/>
              </w:rPr>
              <w:t>207</w:t>
            </w:r>
          </w:p>
        </w:tc>
        <w:tc>
          <w:tcPr>
            <w:tcW w:type="dxa" w:w="1134"/>
          </w:tcPr>
          <w:p>
            <w:pPr>
              <w:spacing w:line="240" w:lineRule="auto" w:after="40" w:before="40"/>
              <w:jc w:val="right"/>
            </w:pPr>
            <w:r>
              <w:rPr>
                <w:b w:val="0"/>
                <w:i w:val="0"/>
                <w:sz w:val="18"/>
              </w:rPr>
              <w:t>7.4</w:t>
            </w:r>
          </w:p>
        </w:tc>
        <w:tc>
          <w:tcPr>
            <w:tcW w:type="dxa" w:w="1134"/>
          </w:tcPr>
          <w:p>
            <w:pPr>
              <w:spacing w:line="240" w:lineRule="auto" w:after="40" w:before="40"/>
              <w:jc w:val="right"/>
            </w:pPr>
            <w:r>
              <w:rPr>
                <w:b w:val="0"/>
                <w:i w:val="0"/>
                <w:sz w:val="18"/>
              </w:rPr>
              <w:t>3.7</w:t>
            </w:r>
          </w:p>
        </w:tc>
        <w:tc>
          <w:tcPr>
            <w:tcW w:type="dxa" w:w="1247"/>
          </w:tcPr>
          <w:p>
            <w:pPr>
              <w:spacing w:line="240" w:lineRule="auto" w:after="40" w:before="40"/>
              <w:jc w:val="right"/>
            </w:pPr>
            <w:r>
              <w:rPr>
                <w:b w:val="0"/>
                <w:i w:val="0"/>
                <w:sz w:val="18"/>
              </w:rPr>
              <w:t>20.3</w:t>
            </w:r>
          </w:p>
        </w:tc>
        <w:tc>
          <w:tcPr>
            <w:tcW w:type="dxa" w:w="964"/>
          </w:tcPr>
          <w:p>
            <w:pPr>
              <w:spacing w:line="240" w:lineRule="auto" w:after="40" w:before="40"/>
              <w:jc w:val="right"/>
            </w:pPr>
            <w:r>
              <w:rPr>
                <w:b w:val="0"/>
                <w:i w:val="0"/>
                <w:sz w:val="18"/>
              </w:rPr>
              <w:t>95.4</w:t>
            </w:r>
          </w:p>
        </w:tc>
      </w:tr>
    </w:tbl>
    <w:p>
      <w:pPr>
        <w:spacing w:after="40"/>
      </w:pPr>
    </w:p>
    <w:p>
      <w:pPr>
        <w:pStyle w:val="Heading2"/>
      </w:pPr>
      <w:r>
        <w:t>B.7 Limitations</w:t>
      </w:r>
    </w:p>
    <w:p>
      <w:pPr>
        <w:ind w:left="510" w:hanging="283"/>
      </w:pPr>
      <w:r>
        <w:rPr>
          <w:b w:val="0"/>
          <w:i w:val="0"/>
        </w:rPr>
        <w:t>• Reference values come from population dietary guidance, not from liver-specific dose–response evidence; the evidence rows justify the direction of each criterion, not its threshold.</w:t>
      </w:r>
    </w:p>
    <w:p>
      <w:pPr>
        <w:ind w:left="510" w:hanging="283"/>
      </w:pPr>
      <w:r>
        <w:rPr>
          <w:b w:val="0"/>
          <w:i w:val="0"/>
        </w:rPr>
        <w:t>• Criterion scores reach their ceiling once a recipe meets the reference, so the engine does not distinguish between compliant recipes on health grounds; cuisine and feasibility order them.</w:t>
      </w:r>
    </w:p>
    <w:p>
      <w:pPr>
        <w:ind w:left="510" w:hanging="283"/>
      </w:pPr>
      <w:r>
        <w:rPr>
          <w:b w:val="0"/>
          <w:i w:val="0"/>
        </w:rPr>
        <w:t>• Most participants with priorities receive all four, so personalisation comes mainly from which priorities apply (for example, no weight-management criterion for lean participants) and from the patient’s preferences, rather than from the priority levels.</w:t>
      </w:r>
    </w:p>
    <w:p>
      <w:pPr>
        <w:ind w:left="510" w:hanging="283"/>
      </w:pPr>
      <w:r>
        <w:rPr>
          <w:b w:val="0"/>
          <w:i w:val="0"/>
        </w:rPr>
        <w:t>• Cuisine preferences were simulated, and 73% of RecipeDB recipes have the cuisine label “Other”, which limits cuisine matching. Cuisine compatibility uses exact label matches rather than the ingredient co-occurrence measure described in the proposal.</w:t>
      </w:r>
    </w:p>
    <w:p>
      <w:pPr>
        <w:ind w:left="510" w:hanging="283"/>
      </w:pPr>
      <w:r>
        <w:rPr>
          <w:b w:val="0"/>
          <w:i w:val="0"/>
        </w:rPr>
        <w:t>• RecipeDB nutrition is per serving as reported by recipe authors; implausible values are screened out but plausible errors remain. Total sugars stand in for added sugars.</w:t>
      </w:r>
    </w:p>
    <w:p>
      <w:pPr>
        <w:ind w:left="510" w:hanging="283"/>
      </w:pPr>
      <w:r>
        <w:rPr>
          <w:b w:val="0"/>
          <w:i w:val="0"/>
        </w:rPr>
        <w:t>• The evaluation measures whether recommendations satisfy the defined criteria. It does not show that following them changes liver fat; the planned pilot evaluation of recipe appropriateness has not yet been run.</w:t>
      </w:r>
    </w:p>
    <w:sectPr w:rsidR="00FC693F" w:rsidRPr="0006063C" w:rsidSect="00034616">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