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20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HepatoTwin- Weekly Action Plan</w:t>
      </w:r>
    </w:p>
    <w:p w:rsidR="00000000" w:rsidDel="00000000" w:rsidP="00000000" w:rsidRDefault="00000000" w:rsidRPr="00000000" w14:paraId="00000002">
      <w:pPr>
        <w:spacing w:after="1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Meeting-by-Meeting Plan</w:t>
      </w:r>
    </w:p>
    <w:p w:rsidR="00000000" w:rsidDel="00000000" w:rsidP="00000000" w:rsidRDefault="00000000" w:rsidRPr="00000000" w14:paraId="00000003">
      <w:pPr>
        <w:spacing w:after="140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"/>
        <w:tblW w:w="92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0"/>
        <w:gridCol w:w="1080"/>
        <w:gridCol w:w="2760"/>
        <w:gridCol w:w="4095"/>
        <w:tblGridChange w:id="0">
          <w:tblGrid>
            <w:gridCol w:w="1350"/>
            <w:gridCol w:w="1080"/>
            <w:gridCol w:w="2760"/>
            <w:gridCol w:w="4095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tcBorders>
              <w:top w:color="999999" w:space="0" w:sz="5" w:val="single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Meeting</w:t>
            </w:r>
          </w:p>
        </w:tc>
        <w:tc>
          <w:tcPr>
            <w:tcBorders>
              <w:top w:color="999999" w:space="0" w:sz="5" w:val="single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Date</w:t>
            </w:r>
          </w:p>
        </w:tc>
        <w:tc>
          <w:tcPr>
            <w:tcBorders>
              <w:top w:color="999999" w:space="0" w:sz="5" w:val="single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Task 1 (twin state + evidence)</w:t>
            </w:r>
          </w:p>
        </w:tc>
        <w:tc>
          <w:tcPr>
            <w:tcBorders>
              <w:top w:color="999999" w:space="0" w:sz="5" w:val="single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61789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Task 2 (optimizer + recipes)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21 Aug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NHANES data downloaded and linked; repository setup started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Recipe resources identified; database access/schema investigation started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28 Aug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EDA of CAP/steatosis; candidate feature list; preprocessing pipeline started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Read RecipeDB/FlavorDB/SpiceRx/DietRx papers; initial understanding of recipe schema and ingredient extraction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Thu 3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Train first baseline model using NHANES with train/test split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Build robust RecipeDB parser and extract recipe metadata, ingredients, cuisine, and preparation information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11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Compare baseline models and select initial patient-state prediction approach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Define a structured internal recipe representation and begin nutrient profiling of parsed recipes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18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Finalize initial predictive model and evaluate performance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Build recipe nutritional feature profiles: calories, macronutrients, fat-related variables, etc.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 meeting as it was mid-sem week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25 Sept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Light week: review model results and identify limitations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Light week: test parser and recipe representation on a larger recipe batch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Thu 1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Begin calibration and SHAP/explainability; draft evidence table from literature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Define recipe evaluation criteria: health alignment, cuisine compatibility, and practical feasibility</w:t>
            </w:r>
          </w:p>
        </w:tc>
      </w:tr>
      <w:tr>
        <w:trPr>
          <w:cantSplit w:val="0"/>
          <w:trHeight w:val="1155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9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Complete initial evidence table and connect patient characteristics to nutritional objectives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Implement individual scoring functions for recipe-level criteria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16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Build Layer 3 logic: patient state → relevant nutritional priorities → priority levels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Implement patient-specific health alignment scoring for recipes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23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Integration checkpoint met early (end-to-end pipeline and demo run). Build Layer 5 scenario engine: Recipe A vs B → evidence-graded projected direction (§8). Save the current Layer 4 evaluation as the “before” run, then download DR1IFF and FPED and add the patient’s habitual diet from NHANES 24-hour recall so priorities are personal (§17.1). Add new evidence rows: coffee, fasting, null findings (§17.13)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>Recommendation diversity re-ranking and 7-day meal plan with weekly constraints (§17.6). Add rating-based acceptability (§17.12). Start recruiting 5–10 pilot evaluators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30 Oct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>Done early (22 Oct): final Layer 2 model, scope set to ages 12–59 (test R² 0.562). Explainability and safety: fibrosis risk (FIB-4, ages 18–59) validated against measured liver stiffness, plus referral pathway (§17.2); MASLD/MetALD labelling and safety guardrails (§17.3); per-patient SHAP and conformal CAP intervals (§17.4); causal knowledge graph of 10–15 links (§5.3); download NHANES III ultrasound and Linked Mortality Files and map variables (§17.9)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>Explainability: knowledge-graph-traced recipe explanations (§7.3); grounded plain-language summaries with automatic faithfulness check (§17.7); improve cuisine score (ingredient co-occurrence) and feasibility score (process/utensils) (§7.1)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6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>FastAPI backend wrapping Layers 2–5 with an SQLite database (§16); re-assessment timeline storing dated measurements (§17.5); simple 3D liver S0–S3 with timeline slider (§9): today’s colour from the calibrated steatosis probabilities with their uncertainty rather than the single predicted CAP; future horizons show only the evidence-graded direction; optional view conditional on 5% and 10% weight loss (Vilar-Gomez thresholds)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>React dashboard: patient state, priorities with evidence, side-by-side recipe comparison, scenarios and summaries (§10). New recipe criteria: ultra-processing (FoodProX, §17.10) and glycaemic load (§17.11)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13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>Evaluation: NHANES III external and mortality validation in ages 20–59, inside the model’s scope (§17.9); fibrosis triage accuracy; conformal coverage; fairness audit by sex, ethnicity and age (§17.8, §12.4)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>Evaluation: re-run Layer 4 evaluation with new criteria (personalisation, diversity, meal-plan constraints, summary faithfulness); run pilot evaluation with 5–10 people (§12.2, §12.4)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20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>Freeze scope; consolidate results; update Appendix A and write the twin-state, evidence and scenario chapters. If behind, apply the proposal’s cut list (3D fidelity first, then panel size, then evidence-table breadth)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>Freeze scope; consolidate results; update Appendix B and write the ranking-engine and evaluation chapters; prepare internal evaluation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999999" w:space="0" w:sz="5" w:val="single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0" w:lineRule="auto"/>
              <w:rPr/>
            </w:pPr>
            <w:r w:rsidDel="00000000" w:rsidR="00000000" w:rsidRPr="00000000">
              <w:rPr>
                <w:rtl w:val="0"/>
              </w:rPr>
              <w:t xml:space="preserve">Fri 27 Nov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>Final debugging, documentation and presentation preparation; reproducibility check (one command rebuilds data, models and results)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99999" w:space="0" w:sz="5" w:val="single"/>
              <w:right w:color="999999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>Final debugging, documentation and presentation preparation; live demo rehearsal of the dashboard</w:t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