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B. Evidence Engine, Recipe Ranking and Scenarios (Layers 3–5)</w:t>
      </w:r>
    </w:p>
    <w:p>
      <w:r>
        <w:rPr>
          <w:b w:val="0"/>
          <w:i w:val="0"/>
        </w:rPr>
        <w:t>This appendix documents how the HepatoTwin pipeline turns the Layer 2 patient state into evidence-linked nutritional priorities (Layer 3), ranks candidate recipes from RecipeDB against them (Layer 4, NutriTwin), builds seven-day meal plans, and compares recipe choices as scenarios (Layer 5). It records the evidence base, the rules, the recipe criteria and the screening of the recipe corpus, and reports the evaluation set out in Section 12.2 of the proposal. Like the Layer 2 model (Appendix A), the pipeline is evaluated on held-out patients aged 12 to 59, the model’s scope. All figures come from scripts and result files in the project repository.</w:t>
      </w:r>
    </w:p>
    <w:p>
      <w:pPr>
        <w:pStyle w:val="Heading2"/>
      </w:pPr>
      <w:r>
        <w:t>B.1 Pipeline Overview</w:t>
      </w:r>
    </w:p>
    <w:p>
      <w:pPr>
        <w:ind w:left="510" w:hanging="340"/>
      </w:pPr>
      <w:r>
        <w:rPr>
          <w:b w:val="0"/>
          <w:i w:val="0"/>
        </w:rPr>
        <w:t xml:space="preserve">1. </w:t>
      </w:r>
      <w:r>
        <w:rPr>
          <w:b/>
          <w:i w:val="0"/>
        </w:rPr>
        <w:t>Layer 2, patient state.</w:t>
      </w:r>
      <w:r>
        <w:rPr>
          <w:b w:val="0"/>
          <w:i w:val="0"/>
        </w:rPr>
        <w:t xml:space="preserve"> The combined model (Appendix A) gives a predicted CAP and calibrated probabilities P(CAP ≥ 248) and P(CAP ≥ 280), each with an F1-selected decision threshold.</w:t>
      </w:r>
    </w:p>
    <w:p>
      <w:pPr>
        <w:ind w:left="510" w:hanging="340"/>
      </w:pPr>
      <w:r>
        <w:rPr>
          <w:b w:val="0"/>
          <w:i w:val="0"/>
        </w:rPr>
        <w:t xml:space="preserve">2. </w:t>
      </w:r>
      <w:r>
        <w:rPr>
          <w:b/>
          <w:i w:val="0"/>
        </w:rPr>
        <w:t>Layer 3, patient-state flags.</w:t>
      </w:r>
      <w:r>
        <w:rPr>
          <w:b w:val="0"/>
          <w:i w:val="0"/>
        </w:rPr>
        <w:t xml:space="preserve"> The probabilities and routine measurements are converted into explicit 0/1 flags using published clinical thresholds (Table B.2). Flags describe which evidence rules apply; they are not diagnoses.</w:t>
      </w:r>
    </w:p>
    <w:p>
      <w:pPr>
        <w:ind w:left="510" w:hanging="340"/>
      </w:pPr>
      <w:r>
        <w:rPr>
          <w:b w:val="0"/>
          <w:i w:val="0"/>
        </w:rPr>
        <w:t xml:space="preserve">3. </w:t>
      </w:r>
      <w:r>
        <w:rPr>
          <w:b/>
          <w:i w:val="0"/>
        </w:rPr>
        <w:t>Layer 3, priorities.</w:t>
      </w:r>
      <w:r>
        <w:rPr>
          <w:b w:val="0"/>
          <w:i w:val="0"/>
        </w:rPr>
        <w:t xml:space="preserve"> Each evidence rule fires on a flag, sets a base priority (low, medium or high), may raise it when further flags hold, and cites rows of the evidence table (Table B.1). The patient’s own 24-hour dietary recall then moves the priority one level up or down. No priority carries a patient-level numeric target.</w:t>
      </w:r>
    </w:p>
    <w:p>
      <w:pPr>
        <w:ind w:left="510" w:hanging="340"/>
      </w:pPr>
      <w:r>
        <w:rPr>
          <w:b w:val="0"/>
          <w:i w:val="0"/>
        </w:rPr>
        <w:t xml:space="preserve">4. </w:t>
      </w:r>
      <w:r>
        <w:rPr>
          <w:b/>
          <w:i w:val="0"/>
        </w:rPr>
        <w:t>Layer 4, recipe criteria.</w:t>
      </w:r>
      <w:r>
        <w:rPr>
          <w:b w:val="0"/>
          <w:i w:val="0"/>
        </w:rPr>
        <w:t xml:space="preserve"> Each priority is linked to one recipe-composition measure with a reference value from public dietary guidance (Table B.5). The priority level sets the weight.</w:t>
      </w:r>
    </w:p>
    <w:p>
      <w:pPr>
        <w:ind w:left="510" w:hanging="340"/>
      </w:pPr>
      <w:r>
        <w:rPr>
          <w:b w:val="0"/>
          <w:i w:val="0"/>
        </w:rPr>
        <w:t xml:space="preserve">5. </w:t>
      </w:r>
      <w:r>
        <w:rPr>
          <w:b/>
          <w:i w:val="0"/>
        </w:rPr>
        <w:t>Layer 4, ranking.</w:t>
      </w:r>
      <w:r>
        <w:rPr>
          <w:b w:val="0"/>
          <w:i w:val="0"/>
        </w:rPr>
        <w:t xml:space="preserve"> Candidate meals are scored for health relevance, cuisine compatibility, practical feasibility and acceptability (each 0–100) and combined with explicit weights (0.6, 0.2, 0.2, 0.1). Recipes that meet every reference value rank first. Each recommendation reports its criterion values, reference values and supporting evidence rows.</w:t>
      </w:r>
    </w:p>
    <w:p>
      <w:pPr>
        <w:ind w:left="510" w:hanging="340"/>
      </w:pPr>
      <w:r>
        <w:rPr>
          <w:b w:val="0"/>
          <w:i w:val="0"/>
        </w:rPr>
        <w:t xml:space="preserve">6. </w:t>
      </w:r>
      <w:r>
        <w:rPr>
          <w:b/>
          <w:i w:val="0"/>
        </w:rPr>
        <w:t>Meal plans and Layer 5 scenarios.</w:t>
      </w:r>
      <w:r>
        <w:rPr>
          <w:b w:val="0"/>
          <w:i w:val="0"/>
        </w:rPr>
        <w:t xml:space="preserve"> Seven-day plans are drawn from the ranked list under weekly constraints, and a scenario compares chosen recipes with the patient’s usual diet, giving an evidence-graded direction rather than a predicted value.</w:t>
      </w:r>
    </w:p>
    <w:p>
      <w:pPr>
        <w:pStyle w:val="Heading2"/>
      </w:pPr>
      <w:r>
        <w:t>B.2 Intervention Evidence Table</w:t>
      </w:r>
    </w:p>
    <w:p>
      <w:r>
        <w:rPr>
          <w:b w:val="0"/>
          <w:i w:val="0"/>
        </w:rPr>
        <w:t>The evidence table contains 23 intervention–outcome rows from 11 sources. Every citation was checked against its PubMed record; the check corrected two first authors (Sangouni et al. and Haigh et al.), completed an incomplete citation (Stern et al., 2026) and repaired two guideline rows whose fields had shifted by one column. Null findings are kept so that conflicting evidence is visible. Observational associations (coffee) carry their own label and are recorded but never used as effects.</w:t>
      </w:r>
    </w:p>
    <w:p>
      <w:pPr>
        <w:pStyle w:val="Caption"/>
      </w:pPr>
      <w:r>
        <w:rPr>
          <w:b/>
        </w:rPr>
        <w:t xml:space="preserve">Table B.1. </w:t>
      </w:r>
      <w:r>
        <w:t>Intervention evidence rows.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1871"/>
            <w:shd w:val="clear" w:color="auto" w:fill="EDEDED"/>
            <w:tcBorders>
              <w:bottom w:val="single" w:sz="6" w:space="0" w:color="000000"/>
            </w:tcBorders>
          </w:tcPr>
          <w:p>
            <w:pPr>
              <w:spacing w:line="240" w:lineRule="auto" w:after="40" w:before="40"/>
              <w:jc w:val="left"/>
            </w:pPr>
            <w:r>
              <w:rPr>
                <w:b/>
                <w:i w:val="0"/>
                <w:sz w:val="17"/>
              </w:rPr>
              <w:t>ID</w:t>
            </w:r>
          </w:p>
        </w:tc>
        <w:tc>
          <w:tcPr>
            <w:tcW w:type="dxa" w:w="2381"/>
            <w:shd w:val="clear" w:color="auto" w:fill="EDEDED"/>
            <w:tcBorders>
              <w:bottom w:val="single" w:sz="6" w:space="0" w:color="000000"/>
            </w:tcBorders>
          </w:tcPr>
          <w:p>
            <w:pPr>
              <w:spacing w:line="240" w:lineRule="auto" w:after="40" w:before="40"/>
              <w:jc w:val="left"/>
            </w:pPr>
            <w:r>
              <w:rPr>
                <w:b/>
                <w:i w:val="0"/>
                <w:sz w:val="17"/>
              </w:rPr>
              <w:t>Intervention</w:t>
            </w:r>
          </w:p>
        </w:tc>
        <w:tc>
          <w:tcPr>
            <w:tcW w:type="dxa" w:w="2041"/>
            <w:shd w:val="clear" w:color="auto" w:fill="EDEDED"/>
            <w:tcBorders>
              <w:bottom w:val="single" w:sz="6" w:space="0" w:color="000000"/>
            </w:tcBorders>
          </w:tcPr>
          <w:p>
            <w:pPr>
              <w:spacing w:line="240" w:lineRule="auto" w:after="40" w:before="40"/>
              <w:jc w:val="left"/>
            </w:pPr>
            <w:r>
              <w:rPr>
                <w:b/>
                <w:i w:val="0"/>
                <w:sz w:val="17"/>
              </w:rPr>
              <w:t>Outcome</w:t>
            </w:r>
          </w:p>
        </w:tc>
        <w:tc>
          <w:tcPr>
            <w:tcW w:type="dxa" w:w="1247"/>
            <w:shd w:val="clear" w:color="auto" w:fill="EDEDED"/>
            <w:tcBorders>
              <w:bottom w:val="single" w:sz="6" w:space="0" w:color="000000"/>
            </w:tcBorders>
          </w:tcPr>
          <w:p>
            <w:pPr>
              <w:spacing w:line="240" w:lineRule="auto" w:after="40" w:before="40"/>
              <w:jc w:val="left"/>
            </w:pPr>
            <w:r>
              <w:rPr>
                <w:b/>
                <w:i w:val="0"/>
                <w:sz w:val="17"/>
              </w:rPr>
              <w:t>Strength</w:t>
            </w:r>
          </w:p>
        </w:tc>
        <w:tc>
          <w:tcPr>
            <w:tcW w:type="dxa" w:w="1701"/>
            <w:shd w:val="clear" w:color="auto" w:fill="EDEDED"/>
            <w:tcBorders>
              <w:bottom w:val="single" w:sz="6" w:space="0" w:color="000000"/>
            </w:tcBorders>
          </w:tcPr>
          <w:p>
            <w:pPr>
              <w:spacing w:line="240" w:lineRule="auto" w:after="40" w:before="40"/>
              <w:jc w:val="left"/>
            </w:pPr>
            <w:r>
              <w:rPr>
                <w:b/>
                <w:i w:val="0"/>
                <w:sz w:val="17"/>
              </w:rPr>
              <w:t>Source</w:t>
            </w:r>
          </w:p>
        </w:tc>
      </w:tr>
      <w:tr>
        <w:trPr>
          <w:cantSplit/>
        </w:trPr>
        <w:tc>
          <w:tcPr>
            <w:tcW w:type="dxa" w:w="1871"/>
          </w:tcPr>
          <w:p>
            <w:pPr>
              <w:spacing w:line="240" w:lineRule="auto" w:after="40" w:before="40"/>
              <w:jc w:val="left"/>
            </w:pPr>
            <w:r>
              <w:rPr>
                <w:b w:val="0"/>
                <w:i w:val="0"/>
                <w:sz w:val="17"/>
              </w:rPr>
              <w:t>VG2015-WL5</w:t>
            </w:r>
          </w:p>
        </w:tc>
        <w:tc>
          <w:tcPr>
            <w:tcW w:type="dxa" w:w="2381"/>
          </w:tcPr>
          <w:p>
            <w:pPr>
              <w:spacing w:line="240" w:lineRule="auto" w:after="40" w:before="40"/>
              <w:jc w:val="left"/>
            </w:pPr>
            <w:r>
              <w:rPr>
                <w:b w:val="0"/>
                <w:i w:val="0"/>
                <w:sz w:val="17"/>
              </w:rPr>
              <w:t>Weight loss ≥ 5%</w:t>
            </w:r>
          </w:p>
        </w:tc>
        <w:tc>
          <w:tcPr>
            <w:tcW w:type="dxa" w:w="2041"/>
          </w:tcPr>
          <w:p>
            <w:pPr>
              <w:spacing w:line="240" w:lineRule="auto" w:after="40" w:before="40"/>
              <w:jc w:val="left"/>
            </w:pPr>
            <w:r>
              <w:rPr>
                <w:b w:val="0"/>
                <w:i w:val="0"/>
                <w:sz w:val="17"/>
              </w:rPr>
              <w:t>NASH resolution, NAS</w:t>
            </w:r>
          </w:p>
        </w:tc>
        <w:tc>
          <w:tcPr>
            <w:tcW w:type="dxa" w:w="1247"/>
          </w:tcPr>
          <w:p>
            <w:pPr>
              <w:spacing w:line="240" w:lineRule="auto" w:after="40" w:before="40"/>
              <w:jc w:val="left"/>
            </w:pPr>
            <w:r>
              <w:rPr>
                <w:b w:val="0"/>
                <w:i w:val="0"/>
                <w:sz w:val="17"/>
              </w:rPr>
              <w:t>Strong</w:t>
            </w:r>
          </w:p>
        </w:tc>
        <w:tc>
          <w:tcPr>
            <w:tcW w:type="dxa" w:w="1701"/>
          </w:tcPr>
          <w:p>
            <w:pPr>
              <w:spacing w:line="240" w:lineRule="auto" w:after="40" w:before="40"/>
              <w:jc w:val="left"/>
            </w:pPr>
            <w:r>
              <w:rPr>
                <w:b w:val="0"/>
                <w:i w:val="0"/>
                <w:sz w:val="17"/>
              </w:rPr>
              <w:t>Vilar-Gomez et al., 2015</w:t>
            </w:r>
          </w:p>
        </w:tc>
      </w:tr>
      <w:tr>
        <w:trPr>
          <w:cantSplit/>
        </w:trPr>
        <w:tc>
          <w:tcPr>
            <w:tcW w:type="dxa" w:w="1871"/>
          </w:tcPr>
          <w:p>
            <w:pPr>
              <w:spacing w:line="240" w:lineRule="auto" w:after="40" w:before="40"/>
              <w:jc w:val="left"/>
            </w:pPr>
            <w:r>
              <w:rPr>
                <w:b w:val="0"/>
                <w:i w:val="0"/>
                <w:sz w:val="17"/>
              </w:rPr>
              <w:t>VG2015-WL7-10</w:t>
            </w:r>
          </w:p>
        </w:tc>
        <w:tc>
          <w:tcPr>
            <w:tcW w:type="dxa" w:w="2381"/>
          </w:tcPr>
          <w:p>
            <w:pPr>
              <w:spacing w:line="240" w:lineRule="auto" w:after="40" w:before="40"/>
              <w:jc w:val="left"/>
            </w:pPr>
            <w:r>
              <w:rPr>
                <w:b w:val="0"/>
                <w:i w:val="0"/>
                <w:sz w:val="17"/>
              </w:rPr>
              <w:t>Weight loss 7–10%</w:t>
            </w:r>
          </w:p>
        </w:tc>
        <w:tc>
          <w:tcPr>
            <w:tcW w:type="dxa" w:w="2041"/>
          </w:tcPr>
          <w:p>
            <w:pPr>
              <w:spacing w:line="240" w:lineRule="auto" w:after="40" w:before="40"/>
              <w:jc w:val="left"/>
            </w:pPr>
            <w:r>
              <w:rPr>
                <w:b w:val="0"/>
                <w:i w:val="0"/>
                <w:sz w:val="17"/>
              </w:rPr>
              <w:t>NAS</w:t>
            </w:r>
          </w:p>
        </w:tc>
        <w:tc>
          <w:tcPr>
            <w:tcW w:type="dxa" w:w="1247"/>
          </w:tcPr>
          <w:p>
            <w:pPr>
              <w:spacing w:line="240" w:lineRule="auto" w:after="40" w:before="40"/>
              <w:jc w:val="left"/>
            </w:pPr>
            <w:r>
              <w:rPr>
                <w:b w:val="0"/>
                <w:i w:val="0"/>
                <w:sz w:val="17"/>
              </w:rPr>
              <w:t>Strong</w:t>
            </w:r>
          </w:p>
        </w:tc>
        <w:tc>
          <w:tcPr>
            <w:tcW w:type="dxa" w:w="1701"/>
          </w:tcPr>
          <w:p>
            <w:pPr>
              <w:spacing w:line="240" w:lineRule="auto" w:after="40" w:before="40"/>
              <w:jc w:val="left"/>
            </w:pPr>
            <w:r>
              <w:rPr>
                <w:b w:val="0"/>
                <w:i w:val="0"/>
                <w:sz w:val="17"/>
              </w:rPr>
              <w:t>Vilar-Gomez et al., 2015</w:t>
            </w:r>
          </w:p>
        </w:tc>
      </w:tr>
      <w:tr>
        <w:trPr>
          <w:cantSplit/>
        </w:trPr>
        <w:tc>
          <w:tcPr>
            <w:tcW w:type="dxa" w:w="1871"/>
          </w:tcPr>
          <w:p>
            <w:pPr>
              <w:spacing w:line="240" w:lineRule="auto" w:after="40" w:before="40"/>
              <w:jc w:val="left"/>
            </w:pPr>
            <w:r>
              <w:rPr>
                <w:b w:val="0"/>
                <w:i w:val="0"/>
                <w:sz w:val="17"/>
              </w:rPr>
              <w:t>VG2015-WL10-NASH</w:t>
            </w:r>
          </w:p>
        </w:tc>
        <w:tc>
          <w:tcPr>
            <w:tcW w:type="dxa" w:w="2381"/>
          </w:tcPr>
          <w:p>
            <w:pPr>
              <w:spacing w:line="240" w:lineRule="auto" w:after="40" w:before="40"/>
              <w:jc w:val="left"/>
            </w:pPr>
            <w:r>
              <w:rPr>
                <w:b w:val="0"/>
                <w:i w:val="0"/>
                <w:sz w:val="17"/>
              </w:rPr>
              <w:t>Weight loss ≥ 10%</w:t>
            </w:r>
          </w:p>
        </w:tc>
        <w:tc>
          <w:tcPr>
            <w:tcW w:type="dxa" w:w="2041"/>
          </w:tcPr>
          <w:p>
            <w:pPr>
              <w:spacing w:line="240" w:lineRule="auto" w:after="40" w:before="40"/>
              <w:jc w:val="left"/>
            </w:pPr>
            <w:r>
              <w:rPr>
                <w:b w:val="0"/>
                <w:i w:val="0"/>
                <w:sz w:val="17"/>
              </w:rPr>
              <w:t>NASH resolution</w:t>
            </w:r>
          </w:p>
        </w:tc>
        <w:tc>
          <w:tcPr>
            <w:tcW w:type="dxa" w:w="1247"/>
          </w:tcPr>
          <w:p>
            <w:pPr>
              <w:spacing w:line="240" w:lineRule="auto" w:after="40" w:before="40"/>
              <w:jc w:val="left"/>
            </w:pPr>
            <w:r>
              <w:rPr>
                <w:b w:val="0"/>
                <w:i w:val="0"/>
                <w:sz w:val="17"/>
              </w:rPr>
              <w:t>Strong</w:t>
            </w:r>
          </w:p>
        </w:tc>
        <w:tc>
          <w:tcPr>
            <w:tcW w:type="dxa" w:w="1701"/>
          </w:tcPr>
          <w:p>
            <w:pPr>
              <w:spacing w:line="240" w:lineRule="auto" w:after="40" w:before="40"/>
              <w:jc w:val="left"/>
            </w:pPr>
            <w:r>
              <w:rPr>
                <w:b w:val="0"/>
                <w:i w:val="0"/>
                <w:sz w:val="17"/>
              </w:rPr>
              <w:t>Vilar-Gomez et al., 2015</w:t>
            </w:r>
          </w:p>
        </w:tc>
      </w:tr>
      <w:tr>
        <w:trPr>
          <w:cantSplit/>
        </w:trPr>
        <w:tc>
          <w:tcPr>
            <w:tcW w:type="dxa" w:w="1871"/>
          </w:tcPr>
          <w:p>
            <w:pPr>
              <w:spacing w:line="240" w:lineRule="auto" w:after="40" w:before="40"/>
              <w:jc w:val="left"/>
            </w:pPr>
            <w:r>
              <w:rPr>
                <w:b w:val="0"/>
                <w:i w:val="0"/>
                <w:sz w:val="17"/>
              </w:rPr>
              <w:t>VG2015-WL10-FIB</w:t>
            </w:r>
          </w:p>
        </w:tc>
        <w:tc>
          <w:tcPr>
            <w:tcW w:type="dxa" w:w="2381"/>
          </w:tcPr>
          <w:p>
            <w:pPr>
              <w:spacing w:line="240" w:lineRule="auto" w:after="40" w:before="40"/>
              <w:jc w:val="left"/>
            </w:pPr>
            <w:r>
              <w:rPr>
                <w:b w:val="0"/>
                <w:i w:val="0"/>
                <w:sz w:val="17"/>
              </w:rPr>
              <w:t>Weight loss ≥ 10%</w:t>
            </w:r>
          </w:p>
        </w:tc>
        <w:tc>
          <w:tcPr>
            <w:tcW w:type="dxa" w:w="2041"/>
          </w:tcPr>
          <w:p>
            <w:pPr>
              <w:spacing w:line="240" w:lineRule="auto" w:after="40" w:before="40"/>
              <w:jc w:val="left"/>
            </w:pPr>
            <w:r>
              <w:rPr>
                <w:b w:val="0"/>
                <w:i w:val="0"/>
                <w:sz w:val="17"/>
              </w:rPr>
              <w:t>Fibrosis regression</w:t>
            </w:r>
          </w:p>
        </w:tc>
        <w:tc>
          <w:tcPr>
            <w:tcW w:type="dxa" w:w="1247"/>
          </w:tcPr>
          <w:p>
            <w:pPr>
              <w:spacing w:line="240" w:lineRule="auto" w:after="40" w:before="40"/>
              <w:jc w:val="left"/>
            </w:pPr>
            <w:r>
              <w:rPr>
                <w:b w:val="0"/>
                <w:i w:val="0"/>
                <w:sz w:val="17"/>
              </w:rPr>
              <w:t>Strong</w:t>
            </w:r>
          </w:p>
        </w:tc>
        <w:tc>
          <w:tcPr>
            <w:tcW w:type="dxa" w:w="1701"/>
          </w:tcPr>
          <w:p>
            <w:pPr>
              <w:spacing w:line="240" w:lineRule="auto" w:after="40" w:before="40"/>
              <w:jc w:val="left"/>
            </w:pPr>
            <w:r>
              <w:rPr>
                <w:b w:val="0"/>
                <w:i w:val="0"/>
                <w:sz w:val="17"/>
              </w:rPr>
              <w:t>Vilar-Gomez et al., 2015</w:t>
            </w:r>
          </w:p>
        </w:tc>
      </w:tr>
      <w:tr>
        <w:trPr>
          <w:cantSplit/>
        </w:trPr>
        <w:tc>
          <w:tcPr>
            <w:tcW w:type="dxa" w:w="1871"/>
          </w:tcPr>
          <w:p>
            <w:pPr>
              <w:spacing w:line="240" w:lineRule="auto" w:after="40" w:before="40"/>
              <w:jc w:val="left"/>
            </w:pPr>
            <w:r>
              <w:rPr>
                <w:b w:val="0"/>
                <w:i w:val="0"/>
                <w:sz w:val="17"/>
              </w:rPr>
              <w:t>SAN2021-AST-GGT</w:t>
            </w:r>
          </w:p>
        </w:tc>
        <w:tc>
          <w:tcPr>
            <w:tcW w:type="dxa" w:w="2381"/>
          </w:tcPr>
          <w:p>
            <w:pPr>
              <w:spacing w:line="240" w:lineRule="auto" w:after="40" w:before="40"/>
              <w:jc w:val="left"/>
            </w:pPr>
            <w:r>
              <w:rPr>
                <w:b w:val="0"/>
                <w:i w:val="0"/>
                <w:sz w:val="17"/>
              </w:rPr>
              <w:t>Mediterranean diet</w:t>
            </w:r>
          </w:p>
        </w:tc>
        <w:tc>
          <w:tcPr>
            <w:tcW w:type="dxa" w:w="2041"/>
          </w:tcPr>
          <w:p>
            <w:pPr>
              <w:spacing w:line="240" w:lineRule="auto" w:after="40" w:before="40"/>
              <w:jc w:val="left"/>
            </w:pPr>
            <w:r>
              <w:rPr>
                <w:b w:val="0"/>
                <w:i w:val="0"/>
                <w:sz w:val="17"/>
              </w:rPr>
              <w:t>AST, GGT</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Sangouni et al., 2021</w:t>
            </w:r>
          </w:p>
        </w:tc>
      </w:tr>
      <w:tr>
        <w:trPr>
          <w:cantSplit/>
        </w:trPr>
        <w:tc>
          <w:tcPr>
            <w:tcW w:type="dxa" w:w="1871"/>
          </w:tcPr>
          <w:p>
            <w:pPr>
              <w:spacing w:line="240" w:lineRule="auto" w:after="40" w:before="40"/>
              <w:jc w:val="left"/>
            </w:pPr>
            <w:r>
              <w:rPr>
                <w:b w:val="0"/>
                <w:i w:val="0"/>
                <w:sz w:val="17"/>
              </w:rPr>
              <w:t>SAN2021-ALT</w:t>
            </w:r>
          </w:p>
        </w:tc>
        <w:tc>
          <w:tcPr>
            <w:tcW w:type="dxa" w:w="2381"/>
          </w:tcPr>
          <w:p>
            <w:pPr>
              <w:spacing w:line="240" w:lineRule="auto" w:after="40" w:before="40"/>
              <w:jc w:val="left"/>
            </w:pPr>
            <w:r>
              <w:rPr>
                <w:b w:val="0"/>
                <w:i w:val="0"/>
                <w:sz w:val="17"/>
              </w:rPr>
              <w:t>Mediterranean diet</w:t>
            </w:r>
          </w:p>
        </w:tc>
        <w:tc>
          <w:tcPr>
            <w:tcW w:type="dxa" w:w="2041"/>
          </w:tcPr>
          <w:p>
            <w:pPr>
              <w:spacing w:line="240" w:lineRule="auto" w:after="40" w:before="40"/>
              <w:jc w:val="left"/>
            </w:pPr>
            <w:r>
              <w:rPr>
                <w:b w:val="0"/>
                <w:i w:val="0"/>
                <w:sz w:val="17"/>
              </w:rPr>
              <w:t>ALT (no effect)</w:t>
            </w:r>
          </w:p>
        </w:tc>
        <w:tc>
          <w:tcPr>
            <w:tcW w:type="dxa" w:w="1247"/>
          </w:tcPr>
          <w:p>
            <w:pPr>
              <w:spacing w:line="240" w:lineRule="auto" w:after="40" w:before="40"/>
              <w:jc w:val="left"/>
            </w:pPr>
            <w:r>
              <w:rPr>
                <w:b w:val="0"/>
                <w:i w:val="0"/>
                <w:sz w:val="17"/>
              </w:rPr>
              <w:t>Weak / inconclusive</w:t>
            </w:r>
          </w:p>
        </w:tc>
        <w:tc>
          <w:tcPr>
            <w:tcW w:type="dxa" w:w="1701"/>
          </w:tcPr>
          <w:p>
            <w:pPr>
              <w:spacing w:line="240" w:lineRule="auto" w:after="40" w:before="40"/>
              <w:jc w:val="left"/>
            </w:pPr>
            <w:r>
              <w:rPr>
                <w:b w:val="0"/>
                <w:i w:val="0"/>
                <w:sz w:val="17"/>
              </w:rPr>
              <w:t>Sangouni et al., 2021</w:t>
            </w:r>
          </w:p>
        </w:tc>
      </w:tr>
      <w:tr>
        <w:trPr>
          <w:cantSplit/>
        </w:trPr>
        <w:tc>
          <w:tcPr>
            <w:tcW w:type="dxa" w:w="1871"/>
          </w:tcPr>
          <w:p>
            <w:pPr>
              <w:spacing w:line="240" w:lineRule="auto" w:after="40" w:before="40"/>
              <w:jc w:val="left"/>
            </w:pPr>
            <w:r>
              <w:rPr>
                <w:b w:val="0"/>
                <w:i w:val="0"/>
                <w:sz w:val="17"/>
              </w:rPr>
              <w:t>STE2026-MEDDIET</w:t>
            </w:r>
          </w:p>
        </w:tc>
        <w:tc>
          <w:tcPr>
            <w:tcW w:type="dxa" w:w="2381"/>
          </w:tcPr>
          <w:p>
            <w:pPr>
              <w:spacing w:line="240" w:lineRule="auto" w:after="40" w:before="40"/>
              <w:jc w:val="left"/>
            </w:pPr>
            <w:r>
              <w:rPr>
                <w:b w:val="0"/>
                <w:i w:val="0"/>
                <w:sz w:val="17"/>
              </w:rPr>
              <w:t>Mediterranean diet</w:t>
            </w:r>
          </w:p>
        </w:tc>
        <w:tc>
          <w:tcPr>
            <w:tcW w:type="dxa" w:w="2041"/>
          </w:tcPr>
          <w:p>
            <w:pPr>
              <w:spacing w:line="240" w:lineRule="auto" w:after="40" w:before="40"/>
              <w:jc w:val="left"/>
            </w:pPr>
            <w:r>
              <w:rPr>
                <w:b w:val="0"/>
                <w:i w:val="0"/>
                <w:sz w:val="17"/>
              </w:rPr>
              <w:t>ALT, stiffness, MRI-PDFF</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Stern et al., 2026</w:t>
            </w:r>
          </w:p>
        </w:tc>
      </w:tr>
      <w:tr>
        <w:trPr>
          <w:cantSplit/>
        </w:trPr>
        <w:tc>
          <w:tcPr>
            <w:tcW w:type="dxa" w:w="1871"/>
          </w:tcPr>
          <w:p>
            <w:pPr>
              <w:spacing w:line="240" w:lineRule="auto" w:after="40" w:before="40"/>
              <w:jc w:val="left"/>
            </w:pPr>
            <w:r>
              <w:rPr>
                <w:b w:val="0"/>
                <w:i w:val="0"/>
                <w:sz w:val="17"/>
              </w:rPr>
              <w:t>HAI2022-DIET</w:t>
            </w:r>
          </w:p>
        </w:tc>
        <w:tc>
          <w:tcPr>
            <w:tcW w:type="dxa" w:w="2381"/>
          </w:tcPr>
          <w:p>
            <w:pPr>
              <w:spacing w:line="240" w:lineRule="auto" w:after="40" w:before="40"/>
              <w:jc w:val="left"/>
            </w:pPr>
            <w:r>
              <w:rPr>
                <w:b w:val="0"/>
                <w:i w:val="0"/>
                <w:sz w:val="17"/>
              </w:rPr>
              <w:t>Dietary interventions</w:t>
            </w:r>
          </w:p>
        </w:tc>
        <w:tc>
          <w:tcPr>
            <w:tcW w:type="dxa" w:w="2041"/>
          </w:tcPr>
          <w:p>
            <w:pPr>
              <w:spacing w:line="240" w:lineRule="auto" w:after="40" w:before="40"/>
              <w:jc w:val="left"/>
            </w:pPr>
            <w:r>
              <w:rPr>
                <w:b w:val="0"/>
                <w:i w:val="0"/>
                <w:sz w:val="17"/>
              </w:rPr>
              <w:t>ALT, AST, FLI, steatosis</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Haigh et al., 2022</w:t>
            </w:r>
          </w:p>
        </w:tc>
      </w:tr>
      <w:tr>
        <w:trPr>
          <w:cantSplit/>
        </w:trPr>
        <w:tc>
          <w:tcPr>
            <w:tcW w:type="dxa" w:w="1871"/>
          </w:tcPr>
          <w:p>
            <w:pPr>
              <w:spacing w:line="240" w:lineRule="auto" w:after="40" w:before="40"/>
              <w:jc w:val="left"/>
            </w:pPr>
            <w:r>
              <w:rPr>
                <w:b w:val="0"/>
                <w:i w:val="0"/>
                <w:sz w:val="17"/>
              </w:rPr>
              <w:t>HAI2022-CR</w:t>
            </w:r>
          </w:p>
        </w:tc>
        <w:tc>
          <w:tcPr>
            <w:tcW w:type="dxa" w:w="2381"/>
          </w:tcPr>
          <w:p>
            <w:pPr>
              <w:spacing w:line="240" w:lineRule="auto" w:after="40" w:before="40"/>
              <w:jc w:val="left"/>
            </w:pPr>
            <w:r>
              <w:rPr>
                <w:b w:val="0"/>
                <w:i w:val="0"/>
                <w:sz w:val="17"/>
              </w:rPr>
              <w:t>Calorie restriction</w:t>
            </w:r>
          </w:p>
        </w:tc>
        <w:tc>
          <w:tcPr>
            <w:tcW w:type="dxa" w:w="2041"/>
          </w:tcPr>
          <w:p>
            <w:pPr>
              <w:spacing w:line="240" w:lineRule="auto" w:after="40" w:before="40"/>
              <w:jc w:val="left"/>
            </w:pPr>
            <w:r>
              <w:rPr>
                <w:b w:val="0"/>
                <w:i w:val="0"/>
                <w:sz w:val="17"/>
              </w:rPr>
              <w:t>ALT, steatosis, stiffness</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Haigh et al., 2022</w:t>
            </w:r>
          </w:p>
        </w:tc>
      </w:tr>
      <w:tr>
        <w:trPr>
          <w:cantSplit/>
        </w:trPr>
        <w:tc>
          <w:tcPr>
            <w:tcW w:type="dxa" w:w="1871"/>
          </w:tcPr>
          <w:p>
            <w:pPr>
              <w:spacing w:line="240" w:lineRule="auto" w:after="40" w:before="40"/>
              <w:jc w:val="left"/>
            </w:pPr>
            <w:r>
              <w:rPr>
                <w:b w:val="0"/>
                <w:i w:val="0"/>
                <w:sz w:val="17"/>
              </w:rPr>
              <w:t>XIO2024-MD-LFD</w:t>
            </w:r>
          </w:p>
        </w:tc>
        <w:tc>
          <w:tcPr>
            <w:tcW w:type="dxa" w:w="2381"/>
          </w:tcPr>
          <w:p>
            <w:pPr>
              <w:spacing w:line="240" w:lineRule="auto" w:after="40" w:before="40"/>
              <w:jc w:val="left"/>
            </w:pPr>
            <w:r>
              <w:rPr>
                <w:b w:val="0"/>
                <w:i w:val="0"/>
                <w:sz w:val="17"/>
              </w:rPr>
              <w:t>Mediterranean vs low-fat</w:t>
            </w:r>
          </w:p>
        </w:tc>
        <w:tc>
          <w:tcPr>
            <w:tcW w:type="dxa" w:w="2041"/>
          </w:tcPr>
          <w:p>
            <w:pPr>
              <w:spacing w:line="240" w:lineRule="auto" w:after="40" w:before="40"/>
              <w:jc w:val="left"/>
            </w:pPr>
            <w:r>
              <w:rPr>
                <w:b w:val="0"/>
                <w:i w:val="0"/>
                <w:sz w:val="17"/>
              </w:rPr>
              <w:t>Enzymes, liver fat (no difference)</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Xiong et al., 2024</w:t>
            </w:r>
          </w:p>
        </w:tc>
      </w:tr>
      <w:tr>
        <w:trPr>
          <w:cantSplit/>
        </w:trPr>
        <w:tc>
          <w:tcPr>
            <w:tcW w:type="dxa" w:w="1871"/>
          </w:tcPr>
          <w:p>
            <w:pPr>
              <w:spacing w:line="240" w:lineRule="auto" w:after="40" w:before="40"/>
              <w:jc w:val="left"/>
            </w:pPr>
            <w:r>
              <w:rPr>
                <w:b w:val="0"/>
                <w:i w:val="0"/>
                <w:sz w:val="17"/>
              </w:rPr>
              <w:t>STI2023-EX</w:t>
            </w:r>
          </w:p>
        </w:tc>
        <w:tc>
          <w:tcPr>
            <w:tcW w:type="dxa" w:w="2381"/>
          </w:tcPr>
          <w:p>
            <w:pPr>
              <w:spacing w:line="240" w:lineRule="auto" w:after="40" w:before="40"/>
              <w:jc w:val="left"/>
            </w:pPr>
            <w:r>
              <w:rPr>
                <w:b w:val="0"/>
                <w:i w:val="0"/>
                <w:sz w:val="17"/>
              </w:rPr>
              <w:t>Exercise training</w:t>
            </w:r>
          </w:p>
        </w:tc>
        <w:tc>
          <w:tcPr>
            <w:tcW w:type="dxa" w:w="2041"/>
          </w:tcPr>
          <w:p>
            <w:pPr>
              <w:spacing w:line="240" w:lineRule="auto" w:after="40" w:before="40"/>
              <w:jc w:val="left"/>
            </w:pPr>
            <w:r>
              <w:rPr>
                <w:b w:val="0"/>
                <w:i w:val="0"/>
                <w:sz w:val="17"/>
              </w:rPr>
              <w:t>MRI liver fat</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Stine et al., 2023</w:t>
            </w:r>
          </w:p>
        </w:tc>
      </w:tr>
      <w:tr>
        <w:trPr>
          <w:cantSplit/>
        </w:trPr>
        <w:tc>
          <w:tcPr>
            <w:tcW w:type="dxa" w:w="1871"/>
          </w:tcPr>
          <w:p>
            <w:pPr>
              <w:spacing w:line="240" w:lineRule="auto" w:after="40" w:before="40"/>
              <w:jc w:val="left"/>
            </w:pPr>
            <w:r>
              <w:rPr>
                <w:b w:val="0"/>
                <w:i w:val="0"/>
                <w:sz w:val="17"/>
              </w:rPr>
              <w:t>STI2023-EXDOSE</w:t>
            </w:r>
          </w:p>
        </w:tc>
        <w:tc>
          <w:tcPr>
            <w:tcW w:type="dxa" w:w="2381"/>
          </w:tcPr>
          <w:p>
            <w:pPr>
              <w:spacing w:line="240" w:lineRule="auto" w:after="40" w:before="40"/>
              <w:jc w:val="left"/>
            </w:pPr>
            <w:r>
              <w:rPr>
                <w:b w:val="0"/>
                <w:i w:val="0"/>
                <w:sz w:val="17"/>
              </w:rPr>
              <w:t>Exercise ≥ 750 MET-min/week</w:t>
            </w:r>
          </w:p>
        </w:tc>
        <w:tc>
          <w:tcPr>
            <w:tcW w:type="dxa" w:w="2041"/>
          </w:tcPr>
          <w:p>
            <w:pPr>
              <w:spacing w:line="240" w:lineRule="auto" w:after="40" w:before="40"/>
              <w:jc w:val="left"/>
            </w:pPr>
            <w:r>
              <w:rPr>
                <w:b w:val="0"/>
                <w:i w:val="0"/>
                <w:sz w:val="17"/>
              </w:rPr>
              <w:t>MRI liver fat</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Stine et al., 2023</w:t>
            </w:r>
          </w:p>
        </w:tc>
      </w:tr>
      <w:tr>
        <w:trPr>
          <w:cantSplit/>
        </w:trPr>
        <w:tc>
          <w:tcPr>
            <w:tcW w:type="dxa" w:w="1871"/>
          </w:tcPr>
          <w:p>
            <w:pPr>
              <w:spacing w:line="240" w:lineRule="auto" w:after="40" w:before="40"/>
              <w:jc w:val="left"/>
            </w:pPr>
            <w:r>
              <w:rPr>
                <w:b w:val="0"/>
                <w:i w:val="0"/>
                <w:sz w:val="17"/>
              </w:rPr>
              <w:t>EASL2024-DIET</w:t>
            </w:r>
          </w:p>
        </w:tc>
        <w:tc>
          <w:tcPr>
            <w:tcW w:type="dxa" w:w="2381"/>
          </w:tcPr>
          <w:p>
            <w:pPr>
              <w:spacing w:line="240" w:lineRule="auto" w:after="40" w:before="40"/>
              <w:jc w:val="left"/>
            </w:pPr>
            <w:r>
              <w:rPr>
                <w:b w:val="0"/>
                <w:i w:val="0"/>
                <w:sz w:val="17"/>
              </w:rPr>
              <w:t>Diet quality; limit sugars, saturated fat</w:t>
            </w:r>
          </w:p>
        </w:tc>
        <w:tc>
          <w:tcPr>
            <w:tcW w:type="dxa" w:w="2041"/>
          </w:tcPr>
          <w:p>
            <w:pPr>
              <w:spacing w:line="240" w:lineRule="auto" w:after="40" w:before="40"/>
              <w:jc w:val="left"/>
            </w:pPr>
            <w:r>
              <w:rPr>
                <w:b w:val="0"/>
                <w:i w:val="0"/>
                <w:sz w:val="17"/>
              </w:rPr>
              <w:t>Liver injury</w:t>
            </w:r>
          </w:p>
        </w:tc>
        <w:tc>
          <w:tcPr>
            <w:tcW w:type="dxa" w:w="1247"/>
          </w:tcPr>
          <w:p>
            <w:pPr>
              <w:spacing w:line="240" w:lineRule="auto" w:after="40" w:before="40"/>
              <w:jc w:val="left"/>
            </w:pPr>
            <w:r>
              <w:rPr>
                <w:b w:val="0"/>
                <w:i w:val="0"/>
                <w:sz w:val="17"/>
              </w:rPr>
              <w:t>Guideline</w:t>
            </w:r>
          </w:p>
        </w:tc>
        <w:tc>
          <w:tcPr>
            <w:tcW w:type="dxa" w:w="1701"/>
          </w:tcPr>
          <w:p>
            <w:pPr>
              <w:spacing w:line="240" w:lineRule="auto" w:after="40" w:before="40"/>
              <w:jc w:val="left"/>
            </w:pPr>
            <w:r>
              <w:rPr>
                <w:b w:val="0"/>
                <w:i w:val="0"/>
                <w:sz w:val="17"/>
              </w:rPr>
              <w:t>EASL-EASD-EASO, 2024</w:t>
            </w:r>
          </w:p>
        </w:tc>
      </w:tr>
      <w:tr>
        <w:trPr>
          <w:cantSplit/>
        </w:trPr>
        <w:tc>
          <w:tcPr>
            <w:tcW w:type="dxa" w:w="1871"/>
          </w:tcPr>
          <w:p>
            <w:pPr>
              <w:spacing w:line="240" w:lineRule="auto" w:after="40" w:before="40"/>
              <w:jc w:val="left"/>
            </w:pPr>
            <w:r>
              <w:rPr>
                <w:b w:val="0"/>
                <w:i w:val="0"/>
                <w:sz w:val="17"/>
              </w:rPr>
              <w:t>EASL2024-PA</w:t>
            </w:r>
          </w:p>
        </w:tc>
        <w:tc>
          <w:tcPr>
            <w:tcW w:type="dxa" w:w="2381"/>
          </w:tcPr>
          <w:p>
            <w:pPr>
              <w:spacing w:line="240" w:lineRule="auto" w:after="40" w:before="40"/>
              <w:jc w:val="left"/>
            </w:pPr>
            <w:r>
              <w:rPr>
                <w:b w:val="0"/>
                <w:i w:val="0"/>
                <w:sz w:val="17"/>
              </w:rPr>
              <w:t>Physical activity</w:t>
            </w:r>
          </w:p>
        </w:tc>
        <w:tc>
          <w:tcPr>
            <w:tcW w:type="dxa" w:w="2041"/>
          </w:tcPr>
          <w:p>
            <w:pPr>
              <w:spacing w:line="240" w:lineRule="auto" w:after="40" w:before="40"/>
              <w:jc w:val="left"/>
            </w:pPr>
            <w:r>
              <w:rPr>
                <w:b w:val="0"/>
                <w:i w:val="0"/>
                <w:sz w:val="17"/>
              </w:rPr>
              <w:t>Steatosis</w:t>
            </w:r>
          </w:p>
        </w:tc>
        <w:tc>
          <w:tcPr>
            <w:tcW w:type="dxa" w:w="1247"/>
          </w:tcPr>
          <w:p>
            <w:pPr>
              <w:spacing w:line="240" w:lineRule="auto" w:after="40" w:before="40"/>
              <w:jc w:val="left"/>
            </w:pPr>
            <w:r>
              <w:rPr>
                <w:b w:val="0"/>
                <w:i w:val="0"/>
                <w:sz w:val="17"/>
              </w:rPr>
              <w:t>Guideline</w:t>
            </w:r>
          </w:p>
        </w:tc>
        <w:tc>
          <w:tcPr>
            <w:tcW w:type="dxa" w:w="1701"/>
          </w:tcPr>
          <w:p>
            <w:pPr>
              <w:spacing w:line="240" w:lineRule="auto" w:after="40" w:before="40"/>
              <w:jc w:val="left"/>
            </w:pPr>
            <w:r>
              <w:rPr>
                <w:b w:val="0"/>
                <w:i w:val="0"/>
                <w:sz w:val="17"/>
              </w:rPr>
              <w:t>EASL-EASD-EASO, 2024</w:t>
            </w:r>
          </w:p>
        </w:tc>
      </w:tr>
      <w:tr>
        <w:trPr>
          <w:cantSplit/>
        </w:trPr>
        <w:tc>
          <w:tcPr>
            <w:tcW w:type="dxa" w:w="1871"/>
          </w:tcPr>
          <w:p>
            <w:pPr>
              <w:spacing w:line="240" w:lineRule="auto" w:after="40" w:before="40"/>
              <w:jc w:val="left"/>
            </w:pPr>
            <w:r>
              <w:rPr>
                <w:b w:val="0"/>
                <w:i w:val="0"/>
                <w:sz w:val="17"/>
              </w:rPr>
              <w:t>LUU2018-SAT</w:t>
            </w:r>
          </w:p>
        </w:tc>
        <w:tc>
          <w:tcPr>
            <w:tcW w:type="dxa" w:w="2381"/>
          </w:tcPr>
          <w:p>
            <w:pPr>
              <w:spacing w:line="240" w:lineRule="auto" w:after="40" w:before="40"/>
              <w:jc w:val="left"/>
            </w:pPr>
            <w:r>
              <w:rPr>
                <w:b w:val="0"/>
                <w:i w:val="0"/>
                <w:sz w:val="17"/>
              </w:rPr>
              <w:t>Excess saturated vs unsaturated fat vs sugars</w:t>
            </w:r>
          </w:p>
        </w:tc>
        <w:tc>
          <w:tcPr>
            <w:tcW w:type="dxa" w:w="2041"/>
          </w:tcPr>
          <w:p>
            <w:pPr>
              <w:spacing w:line="240" w:lineRule="auto" w:after="40" w:before="40"/>
              <w:jc w:val="left"/>
            </w:pPr>
            <w:r>
              <w:rPr>
                <w:b w:val="0"/>
                <w:i w:val="0"/>
                <w:sz w:val="17"/>
              </w:rPr>
              <w:t>Liver fat</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Luukkonen et al., 2018</w:t>
            </w:r>
          </w:p>
        </w:tc>
      </w:tr>
      <w:tr>
        <w:trPr>
          <w:cantSplit/>
        </w:trPr>
        <w:tc>
          <w:tcPr>
            <w:tcW w:type="dxa" w:w="1871"/>
          </w:tcPr>
          <w:p>
            <w:pPr>
              <w:spacing w:line="240" w:lineRule="auto" w:after="40" w:before="40"/>
              <w:jc w:val="left"/>
            </w:pPr>
            <w:r>
              <w:rPr>
                <w:b w:val="0"/>
                <w:i w:val="0"/>
                <w:sz w:val="17"/>
              </w:rPr>
              <w:t>CHI2014-HYPER</w:t>
            </w:r>
          </w:p>
        </w:tc>
        <w:tc>
          <w:tcPr>
            <w:tcW w:type="dxa" w:w="2381"/>
          </w:tcPr>
          <w:p>
            <w:pPr>
              <w:spacing w:line="240" w:lineRule="auto" w:after="40" w:before="40"/>
              <w:jc w:val="left"/>
            </w:pPr>
            <w:r>
              <w:rPr>
                <w:b w:val="0"/>
                <w:i w:val="0"/>
                <w:sz w:val="17"/>
              </w:rPr>
              <w:t>Hypercaloric fructose</w:t>
            </w:r>
          </w:p>
        </w:tc>
        <w:tc>
          <w:tcPr>
            <w:tcW w:type="dxa" w:w="2041"/>
          </w:tcPr>
          <w:p>
            <w:pPr>
              <w:spacing w:line="240" w:lineRule="auto" w:after="40" w:before="40"/>
              <w:jc w:val="left"/>
            </w:pPr>
            <w:r>
              <w:rPr>
                <w:b w:val="0"/>
                <w:i w:val="0"/>
                <w:sz w:val="17"/>
              </w:rPr>
              <w:t>Liver fat, ALT</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Chiu et al., 2014</w:t>
            </w:r>
          </w:p>
        </w:tc>
      </w:tr>
      <w:tr>
        <w:trPr>
          <w:cantSplit/>
        </w:trPr>
        <w:tc>
          <w:tcPr>
            <w:tcW w:type="dxa" w:w="1871"/>
          </w:tcPr>
          <w:p>
            <w:pPr>
              <w:spacing w:line="240" w:lineRule="auto" w:after="40" w:before="40"/>
              <w:jc w:val="left"/>
            </w:pPr>
            <w:r>
              <w:rPr>
                <w:b w:val="0"/>
                <w:i w:val="0"/>
                <w:sz w:val="17"/>
              </w:rPr>
              <w:t>CHI2014-ISO</w:t>
            </w:r>
          </w:p>
        </w:tc>
        <w:tc>
          <w:tcPr>
            <w:tcW w:type="dxa" w:w="2381"/>
          </w:tcPr>
          <w:p>
            <w:pPr>
              <w:spacing w:line="240" w:lineRule="auto" w:after="40" w:before="40"/>
              <w:jc w:val="left"/>
            </w:pPr>
            <w:r>
              <w:rPr>
                <w:b w:val="0"/>
                <w:i w:val="0"/>
                <w:sz w:val="17"/>
              </w:rPr>
              <w:t>Isocaloric fructose</w:t>
            </w:r>
          </w:p>
        </w:tc>
        <w:tc>
          <w:tcPr>
            <w:tcW w:type="dxa" w:w="2041"/>
          </w:tcPr>
          <w:p>
            <w:pPr>
              <w:spacing w:line="240" w:lineRule="auto" w:after="40" w:before="40"/>
              <w:jc w:val="left"/>
            </w:pPr>
            <w:r>
              <w:rPr>
                <w:b w:val="0"/>
                <w:i w:val="0"/>
                <w:sz w:val="17"/>
              </w:rPr>
              <w:t>Liver fat, ALT (no effect)</w:t>
            </w:r>
          </w:p>
        </w:tc>
        <w:tc>
          <w:tcPr>
            <w:tcW w:type="dxa" w:w="1247"/>
          </w:tcPr>
          <w:p>
            <w:pPr>
              <w:spacing w:line="240" w:lineRule="auto" w:after="40" w:before="40"/>
              <w:jc w:val="left"/>
            </w:pPr>
            <w:r>
              <w:rPr>
                <w:b w:val="0"/>
                <w:i w:val="0"/>
                <w:sz w:val="17"/>
              </w:rPr>
              <w:t>Weak / inconclusive</w:t>
            </w:r>
          </w:p>
        </w:tc>
        <w:tc>
          <w:tcPr>
            <w:tcW w:type="dxa" w:w="1701"/>
          </w:tcPr>
          <w:p>
            <w:pPr>
              <w:spacing w:line="240" w:lineRule="auto" w:after="40" w:before="40"/>
              <w:jc w:val="left"/>
            </w:pPr>
            <w:r>
              <w:rPr>
                <w:b w:val="0"/>
                <w:i w:val="0"/>
                <w:sz w:val="17"/>
              </w:rPr>
              <w:t>Chiu et al., 2014</w:t>
            </w:r>
          </w:p>
        </w:tc>
      </w:tr>
      <w:tr>
        <w:trPr>
          <w:cantSplit/>
        </w:trPr>
        <w:tc>
          <w:tcPr>
            <w:tcW w:type="dxa" w:w="1871"/>
          </w:tcPr>
          <w:p>
            <w:pPr>
              <w:spacing w:line="240" w:lineRule="auto" w:after="40" w:before="40"/>
              <w:jc w:val="left"/>
            </w:pPr>
            <w:r>
              <w:rPr>
                <w:b w:val="0"/>
                <w:i w:val="0"/>
                <w:sz w:val="17"/>
              </w:rPr>
              <w:t>LIU2015-COF-FIB</w:t>
            </w:r>
          </w:p>
        </w:tc>
        <w:tc>
          <w:tcPr>
            <w:tcW w:type="dxa" w:w="2381"/>
          </w:tcPr>
          <w:p>
            <w:pPr>
              <w:spacing w:line="240" w:lineRule="auto" w:after="40" w:before="40"/>
              <w:jc w:val="left"/>
            </w:pPr>
            <w:r>
              <w:rPr>
                <w:b w:val="0"/>
                <w:i w:val="0"/>
                <w:sz w:val="17"/>
              </w:rPr>
              <w:t>Coffee</w:t>
            </w:r>
          </w:p>
        </w:tc>
        <w:tc>
          <w:tcPr>
            <w:tcW w:type="dxa" w:w="2041"/>
          </w:tcPr>
          <w:p>
            <w:pPr>
              <w:spacing w:line="240" w:lineRule="auto" w:after="40" w:before="40"/>
              <w:jc w:val="left"/>
            </w:pPr>
            <w:r>
              <w:rPr>
                <w:b w:val="0"/>
                <w:i w:val="0"/>
                <w:sz w:val="17"/>
              </w:rPr>
              <w:t>Advanced fibrosis, cirrhosis</w:t>
            </w:r>
          </w:p>
        </w:tc>
        <w:tc>
          <w:tcPr>
            <w:tcW w:type="dxa" w:w="1247"/>
          </w:tcPr>
          <w:p>
            <w:pPr>
              <w:spacing w:line="240" w:lineRule="auto" w:after="40" w:before="40"/>
              <w:jc w:val="left"/>
            </w:pPr>
            <w:r>
              <w:rPr>
                <w:b w:val="0"/>
                <w:i w:val="0"/>
                <w:sz w:val="17"/>
              </w:rPr>
              <w:t>Observational</w:t>
            </w:r>
          </w:p>
        </w:tc>
        <w:tc>
          <w:tcPr>
            <w:tcW w:type="dxa" w:w="1701"/>
          </w:tcPr>
          <w:p>
            <w:pPr>
              <w:spacing w:line="240" w:lineRule="auto" w:after="40" w:before="40"/>
              <w:jc w:val="left"/>
            </w:pPr>
            <w:r>
              <w:rPr>
                <w:b w:val="0"/>
                <w:i w:val="0"/>
                <w:sz w:val="17"/>
              </w:rPr>
              <w:t>Liu et al., 2015</w:t>
            </w:r>
          </w:p>
        </w:tc>
      </w:tr>
      <w:tr>
        <w:trPr>
          <w:cantSplit/>
        </w:trPr>
        <w:tc>
          <w:tcPr>
            <w:tcW w:type="dxa" w:w="1871"/>
          </w:tcPr>
          <w:p>
            <w:pPr>
              <w:spacing w:line="240" w:lineRule="auto" w:after="40" w:before="40"/>
              <w:jc w:val="left"/>
            </w:pPr>
            <w:r>
              <w:rPr>
                <w:b w:val="0"/>
                <w:i w:val="0"/>
                <w:sz w:val="17"/>
              </w:rPr>
              <w:t>EBA2021-COF-FIB</w:t>
            </w:r>
          </w:p>
        </w:tc>
        <w:tc>
          <w:tcPr>
            <w:tcW w:type="dxa" w:w="2381"/>
          </w:tcPr>
          <w:p>
            <w:pPr>
              <w:spacing w:line="240" w:lineRule="auto" w:after="40" w:before="40"/>
              <w:jc w:val="left"/>
            </w:pPr>
            <w:r>
              <w:rPr>
                <w:b w:val="0"/>
                <w:i w:val="0"/>
                <w:sz w:val="17"/>
              </w:rPr>
              <w:t>Coffee</w:t>
            </w:r>
          </w:p>
        </w:tc>
        <w:tc>
          <w:tcPr>
            <w:tcW w:type="dxa" w:w="2041"/>
          </w:tcPr>
          <w:p>
            <w:pPr>
              <w:spacing w:line="240" w:lineRule="auto" w:after="40" w:before="40"/>
              <w:jc w:val="left"/>
            </w:pPr>
            <w:r>
              <w:rPr>
                <w:b w:val="0"/>
                <w:i w:val="0"/>
                <w:sz w:val="17"/>
              </w:rPr>
              <w:t>Significant fibrosis in NAFLD</w:t>
            </w:r>
          </w:p>
        </w:tc>
        <w:tc>
          <w:tcPr>
            <w:tcW w:type="dxa" w:w="1247"/>
          </w:tcPr>
          <w:p>
            <w:pPr>
              <w:spacing w:line="240" w:lineRule="auto" w:after="40" w:before="40"/>
              <w:jc w:val="left"/>
            </w:pPr>
            <w:r>
              <w:rPr>
                <w:b w:val="0"/>
                <w:i w:val="0"/>
                <w:sz w:val="17"/>
              </w:rPr>
              <w:t>Observational</w:t>
            </w:r>
          </w:p>
        </w:tc>
        <w:tc>
          <w:tcPr>
            <w:tcW w:type="dxa" w:w="1701"/>
          </w:tcPr>
          <w:p>
            <w:pPr>
              <w:spacing w:line="240" w:lineRule="auto" w:after="40" w:before="40"/>
              <w:jc w:val="left"/>
            </w:pPr>
            <w:r>
              <w:rPr>
                <w:b w:val="0"/>
                <w:i w:val="0"/>
                <w:sz w:val="17"/>
              </w:rPr>
              <w:t>Ebadi et al., 2021</w:t>
            </w:r>
          </w:p>
        </w:tc>
      </w:tr>
      <w:tr>
        <w:trPr>
          <w:cantSplit/>
        </w:trPr>
        <w:tc>
          <w:tcPr>
            <w:tcW w:type="dxa" w:w="1871"/>
          </w:tcPr>
          <w:p>
            <w:pPr>
              <w:spacing w:line="240" w:lineRule="auto" w:after="40" w:before="40"/>
              <w:jc w:val="left"/>
            </w:pPr>
            <w:r>
              <w:rPr>
                <w:b w:val="0"/>
                <w:i w:val="0"/>
                <w:sz w:val="17"/>
              </w:rPr>
              <w:t>EBA2021-COF-INC</w:t>
            </w:r>
          </w:p>
        </w:tc>
        <w:tc>
          <w:tcPr>
            <w:tcW w:type="dxa" w:w="2381"/>
          </w:tcPr>
          <w:p>
            <w:pPr>
              <w:spacing w:line="240" w:lineRule="auto" w:after="40" w:before="40"/>
              <w:jc w:val="left"/>
            </w:pPr>
            <w:r>
              <w:rPr>
                <w:b w:val="0"/>
                <w:i w:val="0"/>
                <w:sz w:val="17"/>
              </w:rPr>
              <w:t>Coffee</w:t>
            </w:r>
          </w:p>
        </w:tc>
        <w:tc>
          <w:tcPr>
            <w:tcW w:type="dxa" w:w="2041"/>
          </w:tcPr>
          <w:p>
            <w:pPr>
              <w:spacing w:line="240" w:lineRule="auto" w:after="40" w:before="40"/>
              <w:jc w:val="left"/>
            </w:pPr>
            <w:r>
              <w:rPr>
                <w:b w:val="0"/>
                <w:i w:val="0"/>
                <w:sz w:val="17"/>
              </w:rPr>
              <w:t>NAFLD incidence (no association)</w:t>
            </w:r>
          </w:p>
        </w:tc>
        <w:tc>
          <w:tcPr>
            <w:tcW w:type="dxa" w:w="1247"/>
          </w:tcPr>
          <w:p>
            <w:pPr>
              <w:spacing w:line="240" w:lineRule="auto" w:after="40" w:before="40"/>
              <w:jc w:val="left"/>
            </w:pPr>
            <w:r>
              <w:rPr>
                <w:b w:val="0"/>
                <w:i w:val="0"/>
                <w:sz w:val="17"/>
              </w:rPr>
              <w:t>Observational</w:t>
            </w:r>
          </w:p>
        </w:tc>
        <w:tc>
          <w:tcPr>
            <w:tcW w:type="dxa" w:w="1701"/>
          </w:tcPr>
          <w:p>
            <w:pPr>
              <w:spacing w:line="240" w:lineRule="auto" w:after="40" w:before="40"/>
              <w:jc w:val="left"/>
            </w:pPr>
            <w:r>
              <w:rPr>
                <w:b w:val="0"/>
                <w:i w:val="0"/>
                <w:sz w:val="17"/>
              </w:rPr>
              <w:t>Ebadi et al., 2021</w:t>
            </w:r>
          </w:p>
        </w:tc>
      </w:tr>
      <w:tr>
        <w:trPr>
          <w:cantSplit/>
        </w:trPr>
        <w:tc>
          <w:tcPr>
            <w:tcW w:type="dxa" w:w="1871"/>
          </w:tcPr>
          <w:p>
            <w:pPr>
              <w:spacing w:line="240" w:lineRule="auto" w:after="40" w:before="40"/>
              <w:jc w:val="left"/>
            </w:pPr>
            <w:r>
              <w:rPr>
                <w:b w:val="0"/>
                <w:i w:val="0"/>
                <w:sz w:val="17"/>
              </w:rPr>
              <w:t>STE2026-FAST</w:t>
            </w:r>
          </w:p>
        </w:tc>
        <w:tc>
          <w:tcPr>
            <w:tcW w:type="dxa" w:w="2381"/>
          </w:tcPr>
          <w:p>
            <w:pPr>
              <w:spacing w:line="240" w:lineRule="auto" w:after="40" w:before="40"/>
              <w:jc w:val="left"/>
            </w:pPr>
            <w:r>
              <w:rPr>
                <w:b w:val="0"/>
                <w:i w:val="0"/>
                <w:sz w:val="17"/>
              </w:rPr>
              <w:t>Fasting</w:t>
            </w:r>
          </w:p>
        </w:tc>
        <w:tc>
          <w:tcPr>
            <w:tcW w:type="dxa" w:w="2041"/>
          </w:tcPr>
          <w:p>
            <w:pPr>
              <w:spacing w:line="240" w:lineRule="auto" w:after="40" w:before="40"/>
              <w:jc w:val="left"/>
            </w:pPr>
            <w:r>
              <w:rPr>
                <w:b w:val="0"/>
                <w:i w:val="0"/>
                <w:sz w:val="17"/>
              </w:rPr>
              <w:t>ALT, liver stiffness</w:t>
            </w:r>
          </w:p>
        </w:tc>
        <w:tc>
          <w:tcPr>
            <w:tcW w:type="dxa" w:w="1247"/>
          </w:tcPr>
          <w:p>
            <w:pPr>
              <w:spacing w:line="240" w:lineRule="auto" w:after="40" w:before="40"/>
              <w:jc w:val="left"/>
            </w:pPr>
            <w:r>
              <w:rPr>
                <w:b w:val="0"/>
                <w:i w:val="0"/>
                <w:sz w:val="17"/>
              </w:rPr>
              <w:t>Moderate</w:t>
            </w:r>
          </w:p>
        </w:tc>
        <w:tc>
          <w:tcPr>
            <w:tcW w:type="dxa" w:w="1701"/>
          </w:tcPr>
          <w:p>
            <w:pPr>
              <w:spacing w:line="240" w:lineRule="auto" w:after="40" w:before="40"/>
              <w:jc w:val="left"/>
            </w:pPr>
            <w:r>
              <w:rPr>
                <w:b w:val="0"/>
                <w:i w:val="0"/>
                <w:sz w:val="17"/>
              </w:rPr>
              <w:t>Stern et al., 2026</w:t>
            </w:r>
          </w:p>
        </w:tc>
      </w:tr>
      <w:tr>
        <w:trPr>
          <w:cantSplit/>
        </w:trPr>
        <w:tc>
          <w:tcPr>
            <w:tcW w:type="dxa" w:w="1871"/>
          </w:tcPr>
          <w:p>
            <w:pPr>
              <w:spacing w:line="240" w:lineRule="auto" w:after="40" w:before="40"/>
              <w:jc w:val="left"/>
            </w:pPr>
            <w:r>
              <w:rPr>
                <w:b w:val="0"/>
                <w:i w:val="0"/>
                <w:sz w:val="17"/>
              </w:rPr>
              <w:t>STE2026-LCHF</w:t>
            </w:r>
          </w:p>
        </w:tc>
        <w:tc>
          <w:tcPr>
            <w:tcW w:type="dxa" w:w="2381"/>
          </w:tcPr>
          <w:p>
            <w:pPr>
              <w:spacing w:line="240" w:lineRule="auto" w:after="40" w:before="40"/>
              <w:jc w:val="left"/>
            </w:pPr>
            <w:r>
              <w:rPr>
                <w:b w:val="0"/>
                <w:i w:val="0"/>
                <w:sz w:val="17"/>
              </w:rPr>
              <w:t>Low-carbohydrate high-fat diet</w:t>
            </w:r>
          </w:p>
        </w:tc>
        <w:tc>
          <w:tcPr>
            <w:tcW w:type="dxa" w:w="2041"/>
          </w:tcPr>
          <w:p>
            <w:pPr>
              <w:spacing w:line="240" w:lineRule="auto" w:after="40" w:before="40"/>
              <w:jc w:val="left"/>
            </w:pPr>
            <w:r>
              <w:rPr>
                <w:b w:val="0"/>
                <w:i w:val="0"/>
                <w:sz w:val="17"/>
              </w:rPr>
              <w:t>ALT (no effect)</w:t>
            </w:r>
          </w:p>
        </w:tc>
        <w:tc>
          <w:tcPr>
            <w:tcW w:type="dxa" w:w="1247"/>
          </w:tcPr>
          <w:p>
            <w:pPr>
              <w:spacing w:line="240" w:lineRule="auto" w:after="40" w:before="40"/>
              <w:jc w:val="left"/>
            </w:pPr>
            <w:r>
              <w:rPr>
                <w:b w:val="0"/>
                <w:i w:val="0"/>
                <w:sz w:val="17"/>
              </w:rPr>
              <w:t>Weak / inconclusive</w:t>
            </w:r>
          </w:p>
        </w:tc>
        <w:tc>
          <w:tcPr>
            <w:tcW w:type="dxa" w:w="1701"/>
          </w:tcPr>
          <w:p>
            <w:pPr>
              <w:spacing w:line="240" w:lineRule="auto" w:after="40" w:before="40"/>
              <w:jc w:val="left"/>
            </w:pPr>
            <w:r>
              <w:rPr>
                <w:b w:val="0"/>
                <w:i w:val="0"/>
                <w:sz w:val="17"/>
              </w:rPr>
              <w:t>Stern et al., 2026</w:t>
            </w:r>
          </w:p>
        </w:tc>
      </w:tr>
      <w:tr>
        <w:trPr>
          <w:cantSplit/>
        </w:trPr>
        <w:tc>
          <w:tcPr>
            <w:tcW w:type="dxa" w:w="1871"/>
          </w:tcPr>
          <w:p>
            <w:pPr>
              <w:spacing w:line="240" w:lineRule="auto" w:after="40" w:before="40"/>
              <w:jc w:val="left"/>
            </w:pPr>
            <w:r>
              <w:rPr>
                <w:b w:val="0"/>
                <w:i w:val="0"/>
                <w:sz w:val="17"/>
              </w:rPr>
              <w:t>STE2026-OMEGA3</w:t>
            </w:r>
          </w:p>
        </w:tc>
        <w:tc>
          <w:tcPr>
            <w:tcW w:type="dxa" w:w="2381"/>
          </w:tcPr>
          <w:p>
            <w:pPr>
              <w:spacing w:line="240" w:lineRule="auto" w:after="40" w:before="40"/>
              <w:jc w:val="left"/>
            </w:pPr>
            <w:r>
              <w:rPr>
                <w:b w:val="0"/>
                <w:i w:val="0"/>
                <w:sz w:val="17"/>
              </w:rPr>
              <w:t>Omega-3 supplementation</w:t>
            </w:r>
          </w:p>
        </w:tc>
        <w:tc>
          <w:tcPr>
            <w:tcW w:type="dxa" w:w="2041"/>
          </w:tcPr>
          <w:p>
            <w:pPr>
              <w:spacing w:line="240" w:lineRule="auto" w:after="40" w:before="40"/>
              <w:jc w:val="left"/>
            </w:pPr>
            <w:r>
              <w:rPr>
                <w:b w:val="0"/>
                <w:i w:val="0"/>
                <w:sz w:val="17"/>
              </w:rPr>
              <w:t>ALT (no effect)</w:t>
            </w:r>
          </w:p>
        </w:tc>
        <w:tc>
          <w:tcPr>
            <w:tcW w:type="dxa" w:w="1247"/>
          </w:tcPr>
          <w:p>
            <w:pPr>
              <w:spacing w:line="240" w:lineRule="auto" w:after="40" w:before="40"/>
              <w:jc w:val="left"/>
            </w:pPr>
            <w:r>
              <w:rPr>
                <w:b w:val="0"/>
                <w:i w:val="0"/>
                <w:sz w:val="17"/>
              </w:rPr>
              <w:t>Weak / inconclusive</w:t>
            </w:r>
          </w:p>
        </w:tc>
        <w:tc>
          <w:tcPr>
            <w:tcW w:type="dxa" w:w="1701"/>
          </w:tcPr>
          <w:p>
            <w:pPr>
              <w:spacing w:line="240" w:lineRule="auto" w:after="40" w:before="40"/>
              <w:jc w:val="left"/>
            </w:pPr>
            <w:r>
              <w:rPr>
                <w:b w:val="0"/>
                <w:i w:val="0"/>
                <w:sz w:val="17"/>
              </w:rPr>
              <w:t>Stern et al., 2026</w:t>
            </w:r>
          </w:p>
        </w:tc>
      </w:tr>
    </w:tbl>
    <w:p>
      <w:pPr>
        <w:spacing w:after="200" w:line="240" w:lineRule="auto" w:before="80"/>
        <w:jc w:val="left"/>
      </w:pPr>
      <w:r>
        <w:rPr>
          <w:b w:val="0"/>
          <w:i/>
          <w:sz w:val="18"/>
        </w:rPr>
        <w:t>Strength labels follow the project scheme: STRONG 4, MODERATE 10, WEAK / INCONCLUSIVE 4, guideline recommendation 2, observational association 3. The Luukkonen et al. trial (n = 38) is labelled MODERATE as a controlled trial with a significant effect. Source years follow the study ID.</w:t>
      </w:r>
    </w:p>
    <w:p>
      <w:pPr>
        <w:pStyle w:val="Heading2"/>
      </w:pPr>
      <w:r>
        <w:t>B.3 Patient State and Priority Rules</w:t>
      </w:r>
    </w:p>
    <w:p>
      <w:pPr>
        <w:pStyle w:val="Caption"/>
      </w:pPr>
      <w:r>
        <w:rPr>
          <w:b/>
        </w:rPr>
        <w:t xml:space="preserve">Table B.2. </w:t>
      </w:r>
      <w:r>
        <w:t>Thresholds used to derive patient-state flags.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381"/>
            <w:shd w:val="clear" w:color="auto" w:fill="EDEDED"/>
            <w:tcBorders>
              <w:bottom w:val="single" w:sz="6" w:space="0" w:color="000000"/>
            </w:tcBorders>
          </w:tcPr>
          <w:p>
            <w:pPr>
              <w:spacing w:line="240" w:lineRule="auto" w:after="40" w:before="40"/>
              <w:jc w:val="left"/>
            </w:pPr>
            <w:r>
              <w:rPr>
                <w:b/>
                <w:i w:val="0"/>
                <w:sz w:val="18"/>
              </w:rPr>
              <w:t>Flag</w:t>
            </w:r>
          </w:p>
        </w:tc>
        <w:tc>
          <w:tcPr>
            <w:tcW w:type="dxa" w:w="4082"/>
            <w:shd w:val="clear" w:color="auto" w:fill="EDEDED"/>
            <w:tcBorders>
              <w:bottom w:val="single" w:sz="6" w:space="0" w:color="000000"/>
            </w:tcBorders>
          </w:tcPr>
          <w:p>
            <w:pPr>
              <w:spacing w:line="240" w:lineRule="auto" w:after="40" w:before="40"/>
              <w:jc w:val="left"/>
            </w:pPr>
            <w:r>
              <w:rPr>
                <w:b/>
                <w:i w:val="0"/>
                <w:sz w:val="18"/>
              </w:rPr>
              <w:t>Definition</w:t>
            </w:r>
          </w:p>
        </w:tc>
        <w:tc>
          <w:tcPr>
            <w:tcW w:type="dxa" w:w="2551"/>
            <w:shd w:val="clear" w:color="auto" w:fill="EDEDED"/>
            <w:tcBorders>
              <w:bottom w:val="single" w:sz="6" w:space="0" w:color="000000"/>
            </w:tcBorders>
          </w:tcPr>
          <w:p>
            <w:pPr>
              <w:spacing w:line="240" w:lineRule="auto" w:after="40" w:before="40"/>
              <w:jc w:val="left"/>
            </w:pPr>
            <w:r>
              <w:rPr>
                <w:b/>
                <w:i w:val="0"/>
                <w:sz w:val="18"/>
              </w:rPr>
              <w:t>Source</w:t>
            </w:r>
          </w:p>
        </w:tc>
      </w:tr>
      <w:tr>
        <w:trPr>
          <w:cantSplit/>
        </w:trPr>
        <w:tc>
          <w:tcPr>
            <w:tcW w:type="dxa" w:w="2381"/>
          </w:tcPr>
          <w:p>
            <w:pPr>
              <w:spacing w:line="240" w:lineRule="auto" w:after="40" w:before="40"/>
              <w:jc w:val="left"/>
            </w:pPr>
            <w:r>
              <w:rPr>
                <w:b w:val="0"/>
                <w:i w:val="0"/>
                <w:sz w:val="18"/>
              </w:rPr>
              <w:t>Steatosis likely</w:t>
            </w:r>
          </w:p>
        </w:tc>
        <w:tc>
          <w:tcPr>
            <w:tcW w:type="dxa" w:w="4082"/>
          </w:tcPr>
          <w:p>
            <w:pPr>
              <w:spacing w:line="240" w:lineRule="auto" w:after="40" w:before="40"/>
              <w:jc w:val="left"/>
            </w:pPr>
            <w:r>
              <w:rPr>
                <w:b w:val="0"/>
                <w:i w:val="0"/>
                <w:sz w:val="18"/>
              </w:rPr>
              <w:t>P(CAP ≥ 248) ≥ 0.432 (classifier threshold)</w:t>
            </w:r>
          </w:p>
        </w:tc>
        <w:tc>
          <w:tcPr>
            <w:tcW w:type="dxa" w:w="2551"/>
          </w:tcPr>
          <w:p>
            <w:pPr>
              <w:spacing w:line="240" w:lineRule="auto" w:after="40" w:before="40"/>
              <w:jc w:val="left"/>
            </w:pPr>
            <w:r>
              <w:rPr>
                <w:b w:val="0"/>
                <w:i w:val="0"/>
                <w:sz w:val="18"/>
              </w:rPr>
              <w:t>Layer 2 (Appendix A)</w:t>
            </w:r>
          </w:p>
        </w:tc>
      </w:tr>
      <w:tr>
        <w:trPr>
          <w:cantSplit/>
        </w:trPr>
        <w:tc>
          <w:tcPr>
            <w:tcW w:type="dxa" w:w="2381"/>
          </w:tcPr>
          <w:p>
            <w:pPr>
              <w:spacing w:line="240" w:lineRule="auto" w:after="40" w:before="40"/>
              <w:jc w:val="left"/>
            </w:pPr>
            <w:r>
              <w:rPr>
                <w:b w:val="0"/>
                <w:i w:val="0"/>
                <w:sz w:val="18"/>
              </w:rPr>
              <w:t>Moderate–severe steatosis likely</w:t>
            </w:r>
          </w:p>
        </w:tc>
        <w:tc>
          <w:tcPr>
            <w:tcW w:type="dxa" w:w="4082"/>
          </w:tcPr>
          <w:p>
            <w:pPr>
              <w:spacing w:line="240" w:lineRule="auto" w:after="40" w:before="40"/>
              <w:jc w:val="left"/>
            </w:pPr>
            <w:r>
              <w:rPr>
                <w:b w:val="0"/>
                <w:i w:val="0"/>
                <w:sz w:val="18"/>
              </w:rPr>
              <w:t>P(CAP ≥ 280) ≥ 0.365 (classifier threshold)</w:t>
            </w:r>
          </w:p>
        </w:tc>
        <w:tc>
          <w:tcPr>
            <w:tcW w:type="dxa" w:w="2551"/>
          </w:tcPr>
          <w:p>
            <w:pPr>
              <w:spacing w:line="240" w:lineRule="auto" w:after="40" w:before="40"/>
              <w:jc w:val="left"/>
            </w:pPr>
            <w:r>
              <w:rPr>
                <w:b w:val="0"/>
                <w:i w:val="0"/>
                <w:sz w:val="18"/>
              </w:rPr>
              <w:t>Layer 2 (Appendix A)</w:t>
            </w:r>
          </w:p>
        </w:tc>
      </w:tr>
      <w:tr>
        <w:trPr>
          <w:cantSplit/>
        </w:trPr>
        <w:tc>
          <w:tcPr>
            <w:tcW w:type="dxa" w:w="2381"/>
          </w:tcPr>
          <w:p>
            <w:pPr>
              <w:spacing w:line="240" w:lineRule="auto" w:after="40" w:before="40"/>
              <w:jc w:val="left"/>
            </w:pPr>
            <w:r>
              <w:rPr>
                <w:b w:val="0"/>
                <w:i w:val="0"/>
                <w:sz w:val="18"/>
              </w:rPr>
              <w:t>Overweight / obesity</w:t>
            </w:r>
          </w:p>
        </w:tc>
        <w:tc>
          <w:tcPr>
            <w:tcW w:type="dxa" w:w="4082"/>
          </w:tcPr>
          <w:p>
            <w:pPr>
              <w:spacing w:line="240" w:lineRule="auto" w:after="40" w:before="40"/>
              <w:jc w:val="left"/>
            </w:pPr>
            <w:r>
              <w:rPr>
                <w:b w:val="0"/>
                <w:i w:val="0"/>
                <w:sz w:val="18"/>
              </w:rPr>
              <w:t>BMI ≥ 25 / ≥ 30 kg/m²; ≥ 23 / ≥ 27.5 for Asian participants</w:t>
            </w:r>
          </w:p>
        </w:tc>
        <w:tc>
          <w:tcPr>
            <w:tcW w:type="dxa" w:w="2551"/>
          </w:tcPr>
          <w:p>
            <w:pPr>
              <w:spacing w:line="240" w:lineRule="auto" w:after="40" w:before="40"/>
              <w:jc w:val="left"/>
            </w:pPr>
            <w:r>
              <w:rPr>
                <w:b w:val="0"/>
                <w:i w:val="0"/>
                <w:sz w:val="18"/>
              </w:rPr>
              <w:t>WHO; WHO Expert Consultation, 2004</w:t>
            </w:r>
          </w:p>
        </w:tc>
      </w:tr>
      <w:tr>
        <w:trPr>
          <w:cantSplit/>
        </w:trPr>
        <w:tc>
          <w:tcPr>
            <w:tcW w:type="dxa" w:w="2381"/>
          </w:tcPr>
          <w:p>
            <w:pPr>
              <w:spacing w:line="240" w:lineRule="auto" w:after="40" w:before="40"/>
              <w:jc w:val="left"/>
            </w:pPr>
            <w:r>
              <w:rPr>
                <w:b w:val="0"/>
                <w:i w:val="0"/>
                <w:sz w:val="18"/>
              </w:rPr>
              <w:t>Central obesity</w:t>
            </w:r>
          </w:p>
        </w:tc>
        <w:tc>
          <w:tcPr>
            <w:tcW w:type="dxa" w:w="4082"/>
          </w:tcPr>
          <w:p>
            <w:pPr>
              <w:spacing w:line="240" w:lineRule="auto" w:after="40" w:before="40"/>
              <w:jc w:val="left"/>
            </w:pPr>
            <w:r>
              <w:rPr>
                <w:b w:val="0"/>
                <w:i w:val="0"/>
                <w:sz w:val="18"/>
              </w:rPr>
              <w:t>Waist &gt; 102 cm (men), &gt; 88 cm (women)</w:t>
            </w:r>
          </w:p>
        </w:tc>
        <w:tc>
          <w:tcPr>
            <w:tcW w:type="dxa" w:w="2551"/>
          </w:tcPr>
          <w:p>
            <w:pPr>
              <w:spacing w:line="240" w:lineRule="auto" w:after="40" w:before="40"/>
              <w:jc w:val="left"/>
            </w:pPr>
            <w:r>
              <w:rPr>
                <w:b w:val="0"/>
                <w:i w:val="0"/>
                <w:sz w:val="18"/>
              </w:rPr>
              <w:t>NCEP ATP III</w:t>
            </w:r>
          </w:p>
        </w:tc>
      </w:tr>
      <w:tr>
        <w:trPr>
          <w:cantSplit/>
        </w:trPr>
        <w:tc>
          <w:tcPr>
            <w:tcW w:type="dxa" w:w="2381"/>
          </w:tcPr>
          <w:p>
            <w:pPr>
              <w:spacing w:line="240" w:lineRule="auto" w:after="40" w:before="40"/>
              <w:jc w:val="left"/>
            </w:pPr>
            <w:r>
              <w:rPr>
                <w:b w:val="0"/>
                <w:i w:val="0"/>
                <w:sz w:val="18"/>
              </w:rPr>
              <w:t>Elevated glycaemia</w:t>
            </w:r>
          </w:p>
        </w:tc>
        <w:tc>
          <w:tcPr>
            <w:tcW w:type="dxa" w:w="4082"/>
          </w:tcPr>
          <w:p>
            <w:pPr>
              <w:spacing w:line="240" w:lineRule="auto" w:after="40" w:before="40"/>
              <w:jc w:val="left"/>
            </w:pPr>
            <w:r>
              <w:rPr>
                <w:b w:val="0"/>
                <w:i w:val="0"/>
                <w:sz w:val="18"/>
              </w:rPr>
              <w:t>HbA1c ≥ 5.7%</w:t>
            </w:r>
          </w:p>
        </w:tc>
        <w:tc>
          <w:tcPr>
            <w:tcW w:type="dxa" w:w="2551"/>
          </w:tcPr>
          <w:p>
            <w:pPr>
              <w:spacing w:line="240" w:lineRule="auto" w:after="40" w:before="40"/>
              <w:jc w:val="left"/>
            </w:pPr>
            <w:r>
              <w:rPr>
                <w:b w:val="0"/>
                <w:i w:val="0"/>
                <w:sz w:val="18"/>
              </w:rPr>
              <w:t>American Diabetes Association</w:t>
            </w:r>
          </w:p>
        </w:tc>
      </w:tr>
      <w:tr>
        <w:trPr>
          <w:cantSplit/>
        </w:trPr>
        <w:tc>
          <w:tcPr>
            <w:tcW w:type="dxa" w:w="2381"/>
          </w:tcPr>
          <w:p>
            <w:pPr>
              <w:spacing w:line="240" w:lineRule="auto" w:after="40" w:before="40"/>
              <w:jc w:val="left"/>
            </w:pPr>
            <w:r>
              <w:rPr>
                <w:b w:val="0"/>
                <w:i w:val="0"/>
                <w:sz w:val="18"/>
              </w:rPr>
              <w:t>Dyslipidaemia</w:t>
            </w:r>
          </w:p>
        </w:tc>
        <w:tc>
          <w:tcPr>
            <w:tcW w:type="dxa" w:w="4082"/>
          </w:tcPr>
          <w:p>
            <w:pPr>
              <w:spacing w:line="240" w:lineRule="auto" w:after="40" w:before="40"/>
              <w:jc w:val="left"/>
            </w:pPr>
            <w:r>
              <w:rPr>
                <w:b w:val="0"/>
                <w:i w:val="0"/>
                <w:sz w:val="18"/>
              </w:rPr>
              <w:t>Triglycerides ≥ 150 (fasting) or ≥ 175 mg/dL (non-fasting); HDL &lt; 40 (men) or &lt; 50 mg/dL (women)</w:t>
            </w:r>
          </w:p>
        </w:tc>
        <w:tc>
          <w:tcPr>
            <w:tcW w:type="dxa" w:w="2551"/>
          </w:tcPr>
          <w:p>
            <w:pPr>
              <w:spacing w:line="240" w:lineRule="auto" w:after="40" w:before="40"/>
              <w:jc w:val="left"/>
            </w:pPr>
            <w:r>
              <w:rPr>
                <w:b w:val="0"/>
                <w:i w:val="0"/>
                <w:sz w:val="18"/>
              </w:rPr>
              <w:t>NCEP ATP III; EAS/EFLM, 2016</w:t>
            </w:r>
          </w:p>
        </w:tc>
      </w:tr>
      <w:tr>
        <w:trPr>
          <w:cantSplit/>
        </w:trPr>
        <w:tc>
          <w:tcPr>
            <w:tcW w:type="dxa" w:w="2381"/>
          </w:tcPr>
          <w:p>
            <w:pPr>
              <w:spacing w:line="240" w:lineRule="auto" w:after="40" w:before="40"/>
              <w:jc w:val="left"/>
            </w:pPr>
            <w:r>
              <w:rPr>
                <w:b w:val="0"/>
                <w:i w:val="0"/>
                <w:sz w:val="18"/>
              </w:rPr>
              <w:t>Weight management appropriate</w:t>
            </w:r>
          </w:p>
        </w:tc>
        <w:tc>
          <w:tcPr>
            <w:tcW w:type="dxa" w:w="4082"/>
          </w:tcPr>
          <w:p>
            <w:pPr>
              <w:spacing w:line="240" w:lineRule="auto" w:after="40" w:before="40"/>
              <w:jc w:val="left"/>
            </w:pPr>
            <w:r>
              <w:rPr>
                <w:b w:val="0"/>
                <w:i w:val="0"/>
                <w:sz w:val="18"/>
              </w:rPr>
              <w:t>Steatosis likely and (overweight or central obesity)</w:t>
            </w:r>
          </w:p>
        </w:tc>
        <w:tc>
          <w:tcPr>
            <w:tcW w:type="dxa" w:w="2551"/>
          </w:tcPr>
          <w:p>
            <w:pPr>
              <w:spacing w:line="240" w:lineRule="auto" w:after="40" w:before="40"/>
              <w:jc w:val="left"/>
            </w:pPr>
            <w:r>
              <w:rPr>
                <w:b w:val="0"/>
                <w:i w:val="0"/>
                <w:sz w:val="18"/>
              </w:rPr>
              <w:t>Project rule</w:t>
            </w:r>
          </w:p>
        </w:tc>
      </w:tr>
    </w:tbl>
    <w:p>
      <w:pPr>
        <w:spacing w:after="40"/>
      </w:pPr>
    </w:p>
    <w:p>
      <w:pPr>
        <w:pStyle w:val="Caption"/>
      </w:pPr>
      <w:r>
        <w:rPr>
          <w:b/>
        </w:rPr>
        <w:t xml:space="preserve">Table B.3. </w:t>
      </w:r>
      <w:r>
        <w:t>Evidence rules: when each priority applies and how its level is set.</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1701"/>
            <w:shd w:val="clear" w:color="auto" w:fill="EDEDED"/>
            <w:tcBorders>
              <w:bottom w:val="single" w:sz="6" w:space="0" w:color="000000"/>
            </w:tcBorders>
          </w:tcPr>
          <w:p>
            <w:pPr>
              <w:spacing w:line="240" w:lineRule="auto" w:after="40" w:before="40"/>
              <w:jc w:val="left"/>
            </w:pPr>
            <w:r>
              <w:rPr>
                <w:b/>
                <w:i w:val="0"/>
                <w:sz w:val="18"/>
              </w:rPr>
              <w:t>Priority</w:t>
            </w:r>
          </w:p>
        </w:tc>
        <w:tc>
          <w:tcPr>
            <w:tcW w:type="dxa" w:w="1928"/>
            <w:shd w:val="clear" w:color="auto" w:fill="EDEDED"/>
            <w:tcBorders>
              <w:bottom w:val="single" w:sz="6" w:space="0" w:color="000000"/>
            </w:tcBorders>
          </w:tcPr>
          <w:p>
            <w:pPr>
              <w:spacing w:line="240" w:lineRule="auto" w:after="40" w:before="40"/>
              <w:jc w:val="left"/>
            </w:pPr>
            <w:r>
              <w:rPr>
                <w:b/>
                <w:i w:val="0"/>
                <w:sz w:val="18"/>
              </w:rPr>
              <w:t>Applies when</w:t>
            </w:r>
          </w:p>
        </w:tc>
        <w:tc>
          <w:tcPr>
            <w:tcW w:type="dxa" w:w="964"/>
            <w:shd w:val="clear" w:color="auto" w:fill="EDEDED"/>
            <w:tcBorders>
              <w:bottom w:val="single" w:sz="6" w:space="0" w:color="000000"/>
            </w:tcBorders>
          </w:tcPr>
          <w:p>
            <w:pPr>
              <w:spacing w:line="240" w:lineRule="auto" w:after="40" w:before="40"/>
              <w:jc w:val="left"/>
            </w:pPr>
            <w:r>
              <w:rPr>
                <w:b/>
                <w:i w:val="0"/>
                <w:sz w:val="18"/>
              </w:rPr>
              <w:t>Base level</w:t>
            </w:r>
          </w:p>
        </w:tc>
        <w:tc>
          <w:tcPr>
            <w:tcW w:type="dxa" w:w="2154"/>
            <w:shd w:val="clear" w:color="auto" w:fill="EDEDED"/>
            <w:tcBorders>
              <w:bottom w:val="single" w:sz="6" w:space="0" w:color="000000"/>
            </w:tcBorders>
          </w:tcPr>
          <w:p>
            <w:pPr>
              <w:spacing w:line="240" w:lineRule="auto" w:after="40" w:before="40"/>
              <w:jc w:val="left"/>
            </w:pPr>
            <w:r>
              <w:rPr>
                <w:b/>
                <w:i w:val="0"/>
                <w:sz w:val="18"/>
              </w:rPr>
              <w:t>Raised when</w:t>
            </w:r>
          </w:p>
        </w:tc>
        <w:tc>
          <w:tcPr>
            <w:tcW w:type="dxa" w:w="2268"/>
            <w:shd w:val="clear" w:color="auto" w:fill="EDEDED"/>
            <w:tcBorders>
              <w:bottom w:val="single" w:sz="6" w:space="0" w:color="000000"/>
            </w:tcBorders>
          </w:tcPr>
          <w:p>
            <w:pPr>
              <w:spacing w:line="240" w:lineRule="auto" w:after="40" w:before="40"/>
              <w:jc w:val="left"/>
            </w:pPr>
            <w:r>
              <w:rPr>
                <w:b/>
                <w:i w:val="0"/>
                <w:sz w:val="18"/>
              </w:rPr>
              <w:t>Evidence rows</w:t>
            </w:r>
          </w:p>
        </w:tc>
      </w:tr>
      <w:tr>
        <w:trPr>
          <w:cantSplit/>
        </w:trPr>
        <w:tc>
          <w:tcPr>
            <w:tcW w:type="dxa" w:w="1701"/>
          </w:tcPr>
          <w:p>
            <w:pPr>
              <w:spacing w:line="240" w:lineRule="auto" w:after="40" w:before="40"/>
              <w:jc w:val="left"/>
            </w:pPr>
            <w:r>
              <w:rPr>
                <w:b w:val="0"/>
                <w:i w:val="0"/>
                <w:sz w:val="18"/>
              </w:rPr>
              <w:t>Weight management</w:t>
            </w:r>
          </w:p>
        </w:tc>
        <w:tc>
          <w:tcPr>
            <w:tcW w:type="dxa" w:w="1928"/>
          </w:tcPr>
          <w:p>
            <w:pPr>
              <w:spacing w:line="240" w:lineRule="auto" w:after="40" w:before="40"/>
              <w:jc w:val="left"/>
            </w:pPr>
            <w:r>
              <w:rPr>
                <w:b w:val="0"/>
                <w:i w:val="0"/>
                <w:sz w:val="18"/>
              </w:rPr>
              <w:t>Weight management appropriate</w:t>
            </w:r>
          </w:p>
        </w:tc>
        <w:tc>
          <w:tcPr>
            <w:tcW w:type="dxa" w:w="964"/>
          </w:tcPr>
          <w:p>
            <w:pPr>
              <w:spacing w:line="240" w:lineRule="auto" w:after="40" w:before="40"/>
              <w:jc w:val="left"/>
            </w:pPr>
            <w:r>
              <w:rPr>
                <w:b w:val="0"/>
                <w:i w:val="0"/>
                <w:sz w:val="18"/>
              </w:rPr>
              <w:t>Medium</w:t>
            </w:r>
          </w:p>
        </w:tc>
        <w:tc>
          <w:tcPr>
            <w:tcW w:type="dxa" w:w="2154"/>
          </w:tcPr>
          <w:p>
            <w:pPr>
              <w:spacing w:line="240" w:lineRule="auto" w:after="40" w:before="40"/>
              <w:jc w:val="left"/>
            </w:pPr>
            <w:r>
              <w:rPr>
                <w:b w:val="0"/>
                <w:i w:val="0"/>
                <w:sz w:val="18"/>
              </w:rPr>
              <w:t>High if moderate–severe steatosis or obesity</w:t>
            </w:r>
          </w:p>
        </w:tc>
        <w:tc>
          <w:tcPr>
            <w:tcW w:type="dxa" w:w="2268"/>
          </w:tcPr>
          <w:p>
            <w:pPr>
              <w:spacing w:line="240" w:lineRule="auto" w:after="40" w:before="40"/>
              <w:jc w:val="left"/>
            </w:pPr>
            <w:r>
              <w:rPr>
                <w:b w:val="0"/>
                <w:i w:val="0"/>
                <w:sz w:val="18"/>
              </w:rPr>
              <w:t>VG2015 (×3), HAI2022-CR</w:t>
            </w:r>
          </w:p>
        </w:tc>
      </w:tr>
      <w:tr>
        <w:trPr>
          <w:cantSplit/>
        </w:trPr>
        <w:tc>
          <w:tcPr>
            <w:tcW w:type="dxa" w:w="1701"/>
          </w:tcPr>
          <w:p>
            <w:pPr>
              <w:spacing w:line="240" w:lineRule="auto" w:after="40" w:before="40"/>
              <w:jc w:val="left"/>
            </w:pPr>
            <w:r>
              <w:rPr>
                <w:b w:val="0"/>
                <w:i w:val="0"/>
                <w:sz w:val="18"/>
              </w:rPr>
              <w:t>Dietary quality</w:t>
            </w:r>
          </w:p>
        </w:tc>
        <w:tc>
          <w:tcPr>
            <w:tcW w:type="dxa" w:w="1928"/>
          </w:tcPr>
          <w:p>
            <w:pPr>
              <w:spacing w:line="240" w:lineRule="auto" w:after="40" w:before="40"/>
              <w:jc w:val="left"/>
            </w:pPr>
            <w:r>
              <w:rPr>
                <w:b w:val="0"/>
                <w:i w:val="0"/>
                <w:sz w:val="18"/>
              </w:rPr>
              <w:t>Steatosis likely</w:t>
            </w:r>
          </w:p>
        </w:tc>
        <w:tc>
          <w:tcPr>
            <w:tcW w:type="dxa" w:w="964"/>
          </w:tcPr>
          <w:p>
            <w:pPr>
              <w:spacing w:line="240" w:lineRule="auto" w:after="40" w:before="40"/>
              <w:jc w:val="left"/>
            </w:pPr>
            <w:r>
              <w:rPr>
                <w:b w:val="0"/>
                <w:i w:val="0"/>
                <w:sz w:val="18"/>
              </w:rPr>
              <w:t>Medium</w:t>
            </w:r>
          </w:p>
        </w:tc>
        <w:tc>
          <w:tcPr>
            <w:tcW w:type="dxa" w:w="2154"/>
          </w:tcPr>
          <w:p>
            <w:pPr>
              <w:spacing w:line="240" w:lineRule="auto" w:after="40" w:before="40"/>
              <w:jc w:val="left"/>
            </w:pPr>
            <w:r>
              <w:rPr>
                <w:b w:val="0"/>
                <w:i w:val="0"/>
                <w:sz w:val="18"/>
              </w:rPr>
              <w:t>High if moderate–severe steatosis</w:t>
            </w:r>
          </w:p>
        </w:tc>
        <w:tc>
          <w:tcPr>
            <w:tcW w:type="dxa" w:w="2268"/>
          </w:tcPr>
          <w:p>
            <w:pPr>
              <w:spacing w:line="240" w:lineRule="auto" w:after="40" w:before="40"/>
              <w:jc w:val="left"/>
            </w:pPr>
            <w:r>
              <w:rPr>
                <w:b w:val="0"/>
                <w:i w:val="0"/>
                <w:sz w:val="18"/>
              </w:rPr>
              <w:t>EASL2024-DIET, STE2026, HAI2022, SAN2021 (×2), XIO2024</w:t>
            </w:r>
          </w:p>
        </w:tc>
      </w:tr>
      <w:tr>
        <w:trPr>
          <w:cantSplit/>
        </w:trPr>
        <w:tc>
          <w:tcPr>
            <w:tcW w:type="dxa" w:w="1701"/>
          </w:tcPr>
          <w:p>
            <w:pPr>
              <w:spacing w:line="240" w:lineRule="auto" w:after="40" w:before="40"/>
              <w:jc w:val="left"/>
            </w:pPr>
            <w:r>
              <w:rPr>
                <w:b w:val="0"/>
                <w:i w:val="0"/>
                <w:sz w:val="18"/>
              </w:rPr>
              <w:t>Limit saturated fat</w:t>
            </w:r>
          </w:p>
        </w:tc>
        <w:tc>
          <w:tcPr>
            <w:tcW w:type="dxa" w:w="1928"/>
          </w:tcPr>
          <w:p>
            <w:pPr>
              <w:spacing w:line="240" w:lineRule="auto" w:after="40" w:before="40"/>
              <w:jc w:val="left"/>
            </w:pPr>
            <w:r>
              <w:rPr>
                <w:b w:val="0"/>
                <w:i w:val="0"/>
                <w:sz w:val="18"/>
              </w:rPr>
              <w:t>Steatosis likely</w:t>
            </w:r>
          </w:p>
        </w:tc>
        <w:tc>
          <w:tcPr>
            <w:tcW w:type="dxa" w:w="964"/>
          </w:tcPr>
          <w:p>
            <w:pPr>
              <w:spacing w:line="240" w:lineRule="auto" w:after="40" w:before="40"/>
              <w:jc w:val="left"/>
            </w:pPr>
            <w:r>
              <w:rPr>
                <w:b w:val="0"/>
                <w:i w:val="0"/>
                <w:sz w:val="18"/>
              </w:rPr>
              <w:t>Medium</w:t>
            </w:r>
          </w:p>
        </w:tc>
        <w:tc>
          <w:tcPr>
            <w:tcW w:type="dxa" w:w="2154"/>
          </w:tcPr>
          <w:p>
            <w:pPr>
              <w:spacing w:line="240" w:lineRule="auto" w:after="40" w:before="40"/>
              <w:jc w:val="left"/>
            </w:pPr>
            <w:r>
              <w:rPr>
                <w:b w:val="0"/>
                <w:i w:val="0"/>
                <w:sz w:val="18"/>
              </w:rPr>
              <w:t>High if dyslipidaemia</w:t>
            </w:r>
          </w:p>
        </w:tc>
        <w:tc>
          <w:tcPr>
            <w:tcW w:type="dxa" w:w="2268"/>
          </w:tcPr>
          <w:p>
            <w:pPr>
              <w:spacing w:line="240" w:lineRule="auto" w:after="40" w:before="40"/>
              <w:jc w:val="left"/>
            </w:pPr>
            <w:r>
              <w:rPr>
                <w:b w:val="0"/>
                <w:i w:val="0"/>
                <w:sz w:val="18"/>
              </w:rPr>
              <w:t>EASL2024-DIET, LUU2018-SAT</w:t>
            </w:r>
          </w:p>
        </w:tc>
      </w:tr>
      <w:tr>
        <w:trPr>
          <w:cantSplit/>
        </w:trPr>
        <w:tc>
          <w:tcPr>
            <w:tcW w:type="dxa" w:w="1701"/>
          </w:tcPr>
          <w:p>
            <w:pPr>
              <w:spacing w:line="240" w:lineRule="auto" w:after="40" w:before="40"/>
              <w:jc w:val="left"/>
            </w:pPr>
            <w:r>
              <w:rPr>
                <w:b w:val="0"/>
                <w:i w:val="0"/>
                <w:sz w:val="18"/>
              </w:rPr>
              <w:t>Limit excess sugar</w:t>
            </w:r>
          </w:p>
        </w:tc>
        <w:tc>
          <w:tcPr>
            <w:tcW w:type="dxa" w:w="1928"/>
          </w:tcPr>
          <w:p>
            <w:pPr>
              <w:spacing w:line="240" w:lineRule="auto" w:after="40" w:before="40"/>
              <w:jc w:val="left"/>
            </w:pPr>
            <w:r>
              <w:rPr>
                <w:b w:val="0"/>
                <w:i w:val="0"/>
                <w:sz w:val="18"/>
              </w:rPr>
              <w:t>Steatosis likely</w:t>
            </w:r>
          </w:p>
        </w:tc>
        <w:tc>
          <w:tcPr>
            <w:tcW w:type="dxa" w:w="964"/>
          </w:tcPr>
          <w:p>
            <w:pPr>
              <w:spacing w:line="240" w:lineRule="auto" w:after="40" w:before="40"/>
              <w:jc w:val="left"/>
            </w:pPr>
            <w:r>
              <w:rPr>
                <w:b w:val="0"/>
                <w:i w:val="0"/>
                <w:sz w:val="18"/>
              </w:rPr>
              <w:t>Low</w:t>
            </w:r>
          </w:p>
        </w:tc>
        <w:tc>
          <w:tcPr>
            <w:tcW w:type="dxa" w:w="2154"/>
          </w:tcPr>
          <w:p>
            <w:pPr>
              <w:spacing w:line="240" w:lineRule="auto" w:after="40" w:before="40"/>
              <w:jc w:val="left"/>
            </w:pPr>
            <w:r>
              <w:rPr>
                <w:b w:val="0"/>
                <w:i w:val="0"/>
                <w:sz w:val="18"/>
              </w:rPr>
              <w:t>Medium if elevated glycaemia or weight management appropriate</w:t>
            </w:r>
          </w:p>
        </w:tc>
        <w:tc>
          <w:tcPr>
            <w:tcW w:type="dxa" w:w="2268"/>
          </w:tcPr>
          <w:p>
            <w:pPr>
              <w:spacing w:line="240" w:lineRule="auto" w:after="40" w:before="40"/>
              <w:jc w:val="left"/>
            </w:pPr>
            <w:r>
              <w:rPr>
                <w:b w:val="0"/>
                <w:i w:val="0"/>
                <w:sz w:val="18"/>
              </w:rPr>
              <w:t>EASL2024-DIET, CHI2014-HYPER, CHI2014-ISO</w:t>
            </w:r>
          </w:p>
        </w:tc>
      </w:tr>
    </w:tbl>
    <w:p>
      <w:pPr>
        <w:spacing w:after="40"/>
      </w:pPr>
    </w:p>
    <w:p>
      <w:r>
        <w:rPr>
          <w:b w:val="0"/>
          <w:i w:val="0"/>
        </w:rPr>
        <w:t>The sugar priority starts low because feeding trials show harm when fructose adds surplus energy but not when it replaces other carbohydrates (CHI2014-ISO).</w:t>
      </w:r>
    </w:p>
    <w:p>
      <w:pPr>
        <w:pStyle w:val="Heading3"/>
      </w:pPr>
      <w:r>
        <w:t>Personalisation from the 24-hour recall</w:t>
      </w:r>
    </w:p>
    <w:p>
      <w:r>
        <w:rPr>
          <w:b w:val="0"/>
          <w:i w:val="0"/>
        </w:rPr>
        <w:t>NHANES records each participant’s intake on the day before the examination. When the recall is reliable, three priorities move one level with the patient’s own intake, using the same reference values that score recipes: up when intake misses the reference, down when it meets it. Weight management has no intake measure and is unchanged. One day is a noisy measure for an individual, so a priority never moves by more than one level and the reason is shown with it.</w:t>
      </w:r>
    </w:p>
    <w:p>
      <w:pPr>
        <w:pStyle w:val="Caption"/>
      </w:pPr>
      <w:r>
        <w:rPr>
          <w:b/>
        </w:rPr>
        <w:t xml:space="preserve">Table B.4. </w:t>
      </w:r>
      <w:r>
        <w:t>Recall measures that adjust priorities.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551"/>
            <w:shd w:val="clear" w:color="auto" w:fill="EDEDED"/>
            <w:tcBorders>
              <w:bottom w:val="single" w:sz="6" w:space="0" w:color="000000"/>
            </w:tcBorders>
          </w:tcPr>
          <w:p>
            <w:pPr>
              <w:spacing w:line="240" w:lineRule="auto" w:after="40" w:before="40"/>
              <w:jc w:val="left"/>
            </w:pPr>
            <w:r>
              <w:rPr>
                <w:b/>
                <w:i w:val="0"/>
                <w:sz w:val="18"/>
              </w:rPr>
              <w:t>Priority</w:t>
            </w:r>
          </w:p>
        </w:tc>
        <w:tc>
          <w:tcPr>
            <w:tcW w:type="dxa" w:w="3685"/>
            <w:shd w:val="clear" w:color="auto" w:fill="EDEDED"/>
            <w:tcBorders>
              <w:bottom w:val="single" w:sz="6" w:space="0" w:color="000000"/>
            </w:tcBorders>
          </w:tcPr>
          <w:p>
            <w:pPr>
              <w:spacing w:line="240" w:lineRule="auto" w:after="40" w:before="40"/>
              <w:jc w:val="left"/>
            </w:pPr>
            <w:r>
              <w:rPr>
                <w:b/>
                <w:i w:val="0"/>
                <w:sz w:val="18"/>
              </w:rPr>
              <w:t>Recall measure</w:t>
            </w:r>
          </w:p>
        </w:tc>
        <w:tc>
          <w:tcPr>
            <w:tcW w:type="dxa" w:w="2778"/>
            <w:shd w:val="clear" w:color="auto" w:fill="EDEDED"/>
            <w:tcBorders>
              <w:bottom w:val="single" w:sz="6" w:space="0" w:color="000000"/>
            </w:tcBorders>
          </w:tcPr>
          <w:p>
            <w:pPr>
              <w:spacing w:line="240" w:lineRule="auto" w:after="40" w:before="40"/>
              <w:jc w:val="left"/>
            </w:pPr>
            <w:r>
              <w:rPr>
                <w:b/>
                <w:i w:val="0"/>
                <w:sz w:val="18"/>
              </w:rPr>
              <w:t>Reference</w:t>
            </w:r>
          </w:p>
        </w:tc>
      </w:tr>
      <w:tr>
        <w:trPr>
          <w:cantSplit/>
        </w:trPr>
        <w:tc>
          <w:tcPr>
            <w:tcW w:type="dxa" w:w="2551"/>
          </w:tcPr>
          <w:p>
            <w:pPr>
              <w:spacing w:line="240" w:lineRule="auto" w:after="40" w:before="40"/>
              <w:jc w:val="left"/>
            </w:pPr>
            <w:r>
              <w:rPr>
                <w:b w:val="0"/>
                <w:i w:val="0"/>
                <w:sz w:val="18"/>
              </w:rPr>
              <w:t>Dietary quality</w:t>
            </w:r>
          </w:p>
        </w:tc>
        <w:tc>
          <w:tcPr>
            <w:tcW w:type="dxa" w:w="3685"/>
          </w:tcPr>
          <w:p>
            <w:pPr>
              <w:spacing w:line="240" w:lineRule="auto" w:after="40" w:before="40"/>
              <w:jc w:val="left"/>
            </w:pPr>
            <w:r>
              <w:rPr>
                <w:b w:val="0"/>
                <w:i w:val="0"/>
                <w:sz w:val="18"/>
              </w:rPr>
              <w:t>Fibre per 1,000 kcal</w:t>
            </w:r>
          </w:p>
        </w:tc>
        <w:tc>
          <w:tcPr>
            <w:tcW w:type="dxa" w:w="2778"/>
          </w:tcPr>
          <w:p>
            <w:pPr>
              <w:spacing w:line="240" w:lineRule="auto" w:after="40" w:before="40"/>
              <w:jc w:val="left"/>
            </w:pPr>
            <w:r>
              <w:rPr>
                <w:b w:val="0"/>
                <w:i w:val="0"/>
                <w:sz w:val="18"/>
              </w:rPr>
              <w:t>≥ 14 g</w:t>
            </w:r>
          </w:p>
        </w:tc>
      </w:tr>
      <w:tr>
        <w:trPr>
          <w:cantSplit/>
        </w:trPr>
        <w:tc>
          <w:tcPr>
            <w:tcW w:type="dxa" w:w="2551"/>
          </w:tcPr>
          <w:p>
            <w:pPr>
              <w:spacing w:line="240" w:lineRule="auto" w:after="40" w:before="40"/>
              <w:jc w:val="left"/>
            </w:pPr>
            <w:r>
              <w:rPr>
                <w:b w:val="0"/>
                <w:i w:val="0"/>
                <w:sz w:val="18"/>
              </w:rPr>
              <w:t>Limit saturated fat</w:t>
            </w:r>
          </w:p>
        </w:tc>
        <w:tc>
          <w:tcPr>
            <w:tcW w:type="dxa" w:w="3685"/>
          </w:tcPr>
          <w:p>
            <w:pPr>
              <w:spacing w:line="240" w:lineRule="auto" w:after="40" w:before="40"/>
              <w:jc w:val="left"/>
            </w:pPr>
            <w:r>
              <w:rPr>
                <w:b w:val="0"/>
                <w:i w:val="0"/>
                <w:sz w:val="18"/>
              </w:rPr>
              <w:t>Saturated fat, % of energy</w:t>
            </w:r>
          </w:p>
        </w:tc>
        <w:tc>
          <w:tcPr>
            <w:tcW w:type="dxa" w:w="2778"/>
          </w:tcPr>
          <w:p>
            <w:pPr>
              <w:spacing w:line="240" w:lineRule="auto" w:after="40" w:before="40"/>
              <w:jc w:val="left"/>
            </w:pPr>
            <w:r>
              <w:rPr>
                <w:b w:val="0"/>
                <w:i w:val="0"/>
                <w:sz w:val="18"/>
              </w:rPr>
              <w:t>≤ 10%</w:t>
            </w:r>
          </w:p>
        </w:tc>
      </w:tr>
      <w:tr>
        <w:trPr>
          <w:cantSplit/>
        </w:trPr>
        <w:tc>
          <w:tcPr>
            <w:tcW w:type="dxa" w:w="2551"/>
          </w:tcPr>
          <w:p>
            <w:pPr>
              <w:spacing w:line="240" w:lineRule="auto" w:after="40" w:before="40"/>
              <w:jc w:val="left"/>
            </w:pPr>
            <w:r>
              <w:rPr>
                <w:b w:val="0"/>
                <w:i w:val="0"/>
                <w:sz w:val="18"/>
              </w:rPr>
              <w:t>Limit excess sugar</w:t>
            </w:r>
          </w:p>
        </w:tc>
        <w:tc>
          <w:tcPr>
            <w:tcW w:type="dxa" w:w="3685"/>
          </w:tcPr>
          <w:p>
            <w:pPr>
              <w:spacing w:line="240" w:lineRule="auto" w:after="40" w:before="40"/>
              <w:jc w:val="left"/>
            </w:pPr>
            <w:r>
              <w:rPr>
                <w:b w:val="0"/>
                <w:i w:val="0"/>
                <w:sz w:val="18"/>
              </w:rPr>
              <w:t>Added sugars, % of energy (FPED)</w:t>
            </w:r>
          </w:p>
        </w:tc>
        <w:tc>
          <w:tcPr>
            <w:tcW w:type="dxa" w:w="2778"/>
          </w:tcPr>
          <w:p>
            <w:pPr>
              <w:spacing w:line="240" w:lineRule="auto" w:after="40" w:before="40"/>
              <w:jc w:val="left"/>
            </w:pPr>
            <w:r>
              <w:rPr>
                <w:b w:val="0"/>
                <w:i w:val="0"/>
                <w:sz w:val="18"/>
              </w:rPr>
              <w:t>≤ 10%</w:t>
            </w:r>
          </w:p>
        </w:tc>
      </w:tr>
    </w:tbl>
    <w:p>
      <w:pPr>
        <w:spacing w:after="200" w:line="240" w:lineRule="auto" w:before="80"/>
        <w:jc w:val="left"/>
      </w:pPr>
      <w:r>
        <w:rPr>
          <w:b w:val="0"/>
          <w:i/>
          <w:sz w:val="18"/>
        </w:rPr>
        <w:t>Recalls are used when coded reliable, the day was usual, and energy is plausible (500–3,500 kcal for women, 800–4,000 for men). FPED added sugars for 2021–2023 are derived from the individual foods with USDA’s method, which reproduces USDA’s 2017–2020 totals.</w:t>
      </w:r>
    </w:p>
    <w:p>
      <w:r>
        <w:rPr>
          <w:b w:val="0"/>
          <w:i w:val="0"/>
        </w:rPr>
        <w:t>Of the 2,040 held-out participants aged 12 to 59, 1,112 (55%) receive at least one priority, almost always all four; participants whose steatosis is unlikely receive none. The recall is what makes the priorities differ between patients:</w:t>
      </w:r>
    </w:p>
    <w:p>
      <w:pPr>
        <w:pStyle w:val="Caption"/>
      </w:pPr>
      <w:r>
        <w:rPr>
          <w:b/>
        </w:rPr>
        <w:t xml:space="preserve">Table B.5. </w:t>
      </w:r>
      <w:r>
        <w:t>Personalisation on 300 held-out participants aged 12–59 (same engine, without and with the recall).</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4876"/>
            <w:shd w:val="clear" w:color="auto" w:fill="EDEDED"/>
            <w:tcBorders>
              <w:bottom w:val="single" w:sz="6" w:space="0" w:color="000000"/>
            </w:tcBorders>
          </w:tcPr>
          <w:p>
            <w:pPr>
              <w:spacing w:line="240" w:lineRule="auto" w:after="40" w:before="40"/>
              <w:jc w:val="left"/>
            </w:pPr>
            <w:r>
              <w:rPr>
                <w:b/>
                <w:i w:val="0"/>
                <w:sz w:val="18"/>
              </w:rPr>
              <w:t>Measure</w:t>
            </w:r>
          </w:p>
        </w:tc>
        <w:tc>
          <w:tcPr>
            <w:tcW w:type="dxa" w:w="1928"/>
            <w:shd w:val="clear" w:color="auto" w:fill="EDEDED"/>
            <w:tcBorders>
              <w:bottom w:val="single" w:sz="6" w:space="0" w:color="000000"/>
            </w:tcBorders>
          </w:tcPr>
          <w:p>
            <w:pPr>
              <w:spacing w:line="240" w:lineRule="auto" w:after="40" w:before="40"/>
              <w:jc w:val="right"/>
            </w:pPr>
            <w:r>
              <w:rPr>
                <w:b/>
                <w:i w:val="0"/>
                <w:sz w:val="18"/>
              </w:rPr>
              <w:t>Without recall</w:t>
            </w:r>
          </w:p>
        </w:tc>
        <w:tc>
          <w:tcPr>
            <w:tcW w:type="dxa" w:w="1928"/>
            <w:shd w:val="clear" w:color="auto" w:fill="EDEDED"/>
            <w:tcBorders>
              <w:bottom w:val="single" w:sz="6" w:space="0" w:color="000000"/>
            </w:tcBorders>
          </w:tcPr>
          <w:p>
            <w:pPr>
              <w:spacing w:line="240" w:lineRule="auto" w:after="40" w:before="40"/>
              <w:jc w:val="right"/>
            </w:pPr>
            <w:r>
              <w:rPr>
                <w:b/>
                <w:i w:val="0"/>
                <w:sz w:val="18"/>
              </w:rPr>
              <w:t>With recall</w:t>
            </w:r>
          </w:p>
        </w:tc>
      </w:tr>
      <w:tr>
        <w:trPr>
          <w:cantSplit/>
        </w:trPr>
        <w:tc>
          <w:tcPr>
            <w:tcW w:type="dxa" w:w="4876"/>
          </w:tcPr>
          <w:p>
            <w:pPr>
              <w:spacing w:line="240" w:lineRule="auto" w:after="40" w:before="40"/>
              <w:jc w:val="left"/>
            </w:pPr>
            <w:r>
              <w:rPr>
                <w:b w:val="0"/>
                <w:i w:val="0"/>
                <w:sz w:val="18"/>
              </w:rPr>
              <w:t>Distinct priority profiles</w:t>
            </w:r>
          </w:p>
        </w:tc>
        <w:tc>
          <w:tcPr>
            <w:tcW w:type="dxa" w:w="1928"/>
          </w:tcPr>
          <w:p>
            <w:pPr>
              <w:spacing w:line="240" w:lineRule="auto" w:after="40" w:before="40"/>
              <w:jc w:val="right"/>
            </w:pPr>
            <w:r>
              <w:rPr>
                <w:b w:val="0"/>
                <w:i w:val="0"/>
                <w:sz w:val="18"/>
              </w:rPr>
              <w:t>9</w:t>
            </w:r>
          </w:p>
        </w:tc>
        <w:tc>
          <w:tcPr>
            <w:tcW w:type="dxa" w:w="1928"/>
          </w:tcPr>
          <w:p>
            <w:pPr>
              <w:spacing w:line="240" w:lineRule="auto" w:after="40" w:before="40"/>
              <w:jc w:val="right"/>
            </w:pPr>
            <w:r>
              <w:rPr>
                <w:b w:val="0"/>
                <w:i w:val="0"/>
                <w:sz w:val="18"/>
              </w:rPr>
              <w:t>29</w:t>
            </w:r>
          </w:p>
        </w:tc>
      </w:tr>
      <w:tr>
        <w:trPr>
          <w:cantSplit/>
        </w:trPr>
        <w:tc>
          <w:tcPr>
            <w:tcW w:type="dxa" w:w="4876"/>
          </w:tcPr>
          <w:p>
            <w:pPr>
              <w:spacing w:line="240" w:lineRule="auto" w:after="40" w:before="40"/>
              <w:jc w:val="left"/>
            </w:pPr>
            <w:r>
              <w:rPr>
                <w:b w:val="0"/>
                <w:i w:val="0"/>
                <w:sz w:val="18"/>
              </w:rPr>
              <w:t>Share with the most common profile</w:t>
            </w:r>
          </w:p>
        </w:tc>
        <w:tc>
          <w:tcPr>
            <w:tcW w:type="dxa" w:w="1928"/>
          </w:tcPr>
          <w:p>
            <w:pPr>
              <w:spacing w:line="240" w:lineRule="auto" w:after="40" w:before="40"/>
              <w:jc w:val="right"/>
            </w:pPr>
            <w:r>
              <w:rPr>
                <w:b w:val="0"/>
                <w:i w:val="0"/>
                <w:sz w:val="18"/>
              </w:rPr>
              <w:t>43%</w:t>
            </w:r>
          </w:p>
        </w:tc>
        <w:tc>
          <w:tcPr>
            <w:tcW w:type="dxa" w:w="1928"/>
          </w:tcPr>
          <w:p>
            <w:pPr>
              <w:spacing w:line="240" w:lineRule="auto" w:after="40" w:before="40"/>
              <w:jc w:val="right"/>
            </w:pPr>
            <w:r>
              <w:rPr>
                <w:b w:val="0"/>
                <w:i w:val="0"/>
                <w:sz w:val="18"/>
              </w:rPr>
              <w:t>16%</w:t>
            </w:r>
          </w:p>
        </w:tc>
      </w:tr>
      <w:tr>
        <w:trPr>
          <w:cantSplit/>
        </w:trPr>
        <w:tc>
          <w:tcPr>
            <w:tcW w:type="dxa" w:w="4876"/>
          </w:tcPr>
          <w:p>
            <w:pPr>
              <w:spacing w:line="240" w:lineRule="auto" w:after="40" w:before="40"/>
              <w:jc w:val="left"/>
            </w:pPr>
            <w:r>
              <w:rPr>
                <w:b w:val="0"/>
                <w:i w:val="0"/>
                <w:sz w:val="18"/>
              </w:rPr>
              <w:t>Distinct top-10 recipe lists</w:t>
            </w:r>
          </w:p>
        </w:tc>
        <w:tc>
          <w:tcPr>
            <w:tcW w:type="dxa" w:w="1928"/>
          </w:tcPr>
          <w:p>
            <w:pPr>
              <w:spacing w:line="240" w:lineRule="auto" w:after="40" w:before="40"/>
              <w:jc w:val="right"/>
            </w:pPr>
            <w:r>
              <w:rPr>
                <w:b w:val="0"/>
                <w:i w:val="0"/>
                <w:sz w:val="18"/>
              </w:rPr>
              <w:t>15</w:t>
            </w:r>
          </w:p>
        </w:tc>
        <w:tc>
          <w:tcPr>
            <w:tcW w:type="dxa" w:w="1928"/>
          </w:tcPr>
          <w:p>
            <w:pPr>
              <w:spacing w:line="240" w:lineRule="auto" w:after="40" w:before="40"/>
              <w:jc w:val="right"/>
            </w:pPr>
            <w:r>
              <w:rPr>
                <w:b w:val="0"/>
                <w:i w:val="0"/>
                <w:sz w:val="18"/>
              </w:rPr>
              <w:t>27</w:t>
            </w:r>
          </w:p>
        </w:tc>
      </w:tr>
      <w:tr>
        <w:trPr>
          <w:cantSplit/>
        </w:trPr>
        <w:tc>
          <w:tcPr>
            <w:tcW w:type="dxa" w:w="4876"/>
          </w:tcPr>
          <w:p>
            <w:pPr>
              <w:spacing w:line="240" w:lineRule="auto" w:after="40" w:before="40"/>
              <w:jc w:val="left"/>
            </w:pPr>
            <w:r>
              <w:rPr>
                <w:b w:val="0"/>
                <w:i w:val="0"/>
                <w:sz w:val="18"/>
              </w:rPr>
              <w:t>Mean top-10 overlap, same cuisine</w:t>
            </w:r>
          </w:p>
        </w:tc>
        <w:tc>
          <w:tcPr>
            <w:tcW w:type="dxa" w:w="1928"/>
          </w:tcPr>
          <w:p>
            <w:pPr>
              <w:spacing w:line="240" w:lineRule="auto" w:after="40" w:before="40"/>
              <w:jc w:val="right"/>
            </w:pPr>
            <w:r>
              <w:rPr>
                <w:b w:val="0"/>
                <w:i w:val="0"/>
                <w:sz w:val="18"/>
              </w:rPr>
              <w:t>0.953</w:t>
            </w:r>
          </w:p>
        </w:tc>
        <w:tc>
          <w:tcPr>
            <w:tcW w:type="dxa" w:w="1928"/>
          </w:tcPr>
          <w:p>
            <w:pPr>
              <w:spacing w:line="240" w:lineRule="auto" w:after="40" w:before="40"/>
              <w:jc w:val="right"/>
            </w:pPr>
            <w:r>
              <w:rPr>
                <w:b w:val="0"/>
                <w:i w:val="0"/>
                <w:sz w:val="18"/>
              </w:rPr>
              <w:t>0.928</w:t>
            </w:r>
          </w:p>
        </w:tc>
      </w:tr>
    </w:tbl>
    <w:p>
      <w:pPr>
        <w:spacing w:after="40"/>
      </w:pPr>
    </w:p>
    <w:p>
      <w:pPr>
        <w:pStyle w:val="Heading2"/>
      </w:pPr>
      <w:r>
        <w:t>B.4 Recipe Criteria, Scoring and Candidate Screening</w:t>
      </w:r>
    </w:p>
    <w:p>
      <w:pPr>
        <w:pStyle w:val="Caption"/>
      </w:pPr>
      <w:r>
        <w:rPr>
          <w:b/>
        </w:rPr>
        <w:t xml:space="preserve">Table B.6. </w:t>
      </w:r>
      <w:r>
        <w:t>Recipe criteria linked to each priority. Scores are 100 at or beyond the reference value and fall linearly to 0 over the tolerance.</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805"/>
        <w:gridCol w:w="1805"/>
        <w:gridCol w:w="1805"/>
        <w:gridCol w:w="1805"/>
        <w:gridCol w:w="1805"/>
      </w:tblGrid>
      <w:tr>
        <w:trPr>
          <w:tblHeader/>
          <w:cantSplit/>
        </w:trPr>
        <w:tc>
          <w:tcPr>
            <w:tcW w:type="dxa" w:w="1701"/>
            <w:shd w:val="clear" w:color="auto" w:fill="EDEDED"/>
            <w:tcBorders>
              <w:bottom w:val="single" w:sz="6" w:space="0" w:color="000000"/>
            </w:tcBorders>
          </w:tcPr>
          <w:p>
            <w:pPr>
              <w:spacing w:line="240" w:lineRule="auto" w:after="40" w:before="40"/>
              <w:jc w:val="left"/>
            </w:pPr>
            <w:r>
              <w:rPr>
                <w:b/>
                <w:i w:val="0"/>
                <w:sz w:val="18"/>
              </w:rPr>
              <w:t>Priority</w:t>
            </w:r>
          </w:p>
        </w:tc>
        <w:tc>
          <w:tcPr>
            <w:tcW w:type="dxa" w:w="2041"/>
            <w:shd w:val="clear" w:color="auto" w:fill="EDEDED"/>
            <w:tcBorders>
              <w:bottom w:val="single" w:sz="6" w:space="0" w:color="000000"/>
            </w:tcBorders>
          </w:tcPr>
          <w:p>
            <w:pPr>
              <w:spacing w:line="240" w:lineRule="auto" w:after="40" w:before="40"/>
              <w:jc w:val="left"/>
            </w:pPr>
            <w:r>
              <w:rPr>
                <w:b/>
                <w:i w:val="0"/>
                <w:sz w:val="18"/>
              </w:rPr>
              <w:t>Recipe measure</w:t>
            </w:r>
          </w:p>
        </w:tc>
        <w:tc>
          <w:tcPr>
            <w:tcW w:type="dxa" w:w="1077"/>
            <w:shd w:val="clear" w:color="auto" w:fill="EDEDED"/>
            <w:tcBorders>
              <w:bottom w:val="single" w:sz="6" w:space="0" w:color="000000"/>
            </w:tcBorders>
          </w:tcPr>
          <w:p>
            <w:pPr>
              <w:spacing w:line="240" w:lineRule="auto" w:after="40" w:before="40"/>
              <w:jc w:val="left"/>
            </w:pPr>
            <w:r>
              <w:rPr>
                <w:b/>
                <w:i w:val="0"/>
                <w:sz w:val="18"/>
              </w:rPr>
              <w:t>Reference</w:t>
            </w:r>
          </w:p>
        </w:tc>
        <w:tc>
          <w:tcPr>
            <w:tcW w:type="dxa" w:w="1077"/>
            <w:shd w:val="clear" w:color="auto" w:fill="EDEDED"/>
            <w:tcBorders>
              <w:bottom w:val="single" w:sz="6" w:space="0" w:color="000000"/>
            </w:tcBorders>
          </w:tcPr>
          <w:p>
            <w:pPr>
              <w:spacing w:line="240" w:lineRule="auto" w:after="40" w:before="40"/>
              <w:jc w:val="left"/>
            </w:pPr>
            <w:r>
              <w:rPr>
                <w:b/>
                <w:i w:val="0"/>
                <w:sz w:val="18"/>
              </w:rPr>
              <w:t>Tolerance</w:t>
            </w:r>
          </w:p>
        </w:tc>
        <w:tc>
          <w:tcPr>
            <w:tcW w:type="dxa" w:w="3118"/>
            <w:shd w:val="clear" w:color="auto" w:fill="EDEDED"/>
            <w:tcBorders>
              <w:bottom w:val="single" w:sz="6" w:space="0" w:color="000000"/>
            </w:tcBorders>
          </w:tcPr>
          <w:p>
            <w:pPr>
              <w:spacing w:line="240" w:lineRule="auto" w:after="40" w:before="40"/>
              <w:jc w:val="left"/>
            </w:pPr>
            <w:r>
              <w:rPr>
                <w:b/>
                <w:i w:val="0"/>
                <w:sz w:val="18"/>
              </w:rPr>
              <w:t>Source of reference</w:t>
            </w:r>
          </w:p>
        </w:tc>
      </w:tr>
      <w:tr>
        <w:trPr>
          <w:cantSplit/>
        </w:trPr>
        <w:tc>
          <w:tcPr>
            <w:tcW w:type="dxa" w:w="1701"/>
          </w:tcPr>
          <w:p>
            <w:pPr>
              <w:spacing w:line="240" w:lineRule="auto" w:after="40" w:before="40"/>
              <w:jc w:val="left"/>
            </w:pPr>
            <w:r>
              <w:rPr>
                <w:b w:val="0"/>
                <w:i w:val="0"/>
                <w:sz w:val="18"/>
              </w:rPr>
              <w:t>Weight management</w:t>
            </w:r>
          </w:p>
        </w:tc>
        <w:tc>
          <w:tcPr>
            <w:tcW w:type="dxa" w:w="2041"/>
          </w:tcPr>
          <w:p>
            <w:pPr>
              <w:spacing w:line="240" w:lineRule="auto" w:after="40" w:before="40"/>
              <w:jc w:val="left"/>
            </w:pPr>
            <w:r>
              <w:rPr>
                <w:b w:val="0"/>
                <w:i w:val="0"/>
                <w:sz w:val="18"/>
              </w:rPr>
              <w:t>Energy per serving</w:t>
            </w:r>
          </w:p>
        </w:tc>
        <w:tc>
          <w:tcPr>
            <w:tcW w:type="dxa" w:w="1077"/>
          </w:tcPr>
          <w:p>
            <w:pPr>
              <w:spacing w:line="240" w:lineRule="auto" w:after="40" w:before="40"/>
              <w:jc w:val="left"/>
            </w:pPr>
            <w:r>
              <w:rPr>
                <w:b w:val="0"/>
                <w:i w:val="0"/>
                <w:sz w:val="18"/>
              </w:rPr>
              <w:t>≤ 600 kcal</w:t>
            </w:r>
          </w:p>
        </w:tc>
        <w:tc>
          <w:tcPr>
            <w:tcW w:type="dxa" w:w="1077"/>
          </w:tcPr>
          <w:p>
            <w:pPr>
              <w:spacing w:line="240" w:lineRule="auto" w:after="40" w:before="40"/>
              <w:jc w:val="left"/>
            </w:pPr>
            <w:r>
              <w:rPr>
                <w:b w:val="0"/>
                <w:i w:val="0"/>
                <w:sz w:val="18"/>
              </w:rPr>
              <w:t>400 kcal</w:t>
            </w:r>
          </w:p>
        </w:tc>
        <w:tc>
          <w:tcPr>
            <w:tcW w:type="dxa" w:w="3118"/>
          </w:tcPr>
          <w:p>
            <w:pPr>
              <w:spacing w:line="240" w:lineRule="auto" w:after="40" w:before="40"/>
              <w:jc w:val="left"/>
            </w:pPr>
            <w:r>
              <w:rPr>
                <w:b w:val="0"/>
                <w:i w:val="0"/>
                <w:sz w:val="18"/>
              </w:rPr>
              <w:t>Public Health England 400-600-600, 2018</w:t>
            </w:r>
          </w:p>
        </w:tc>
      </w:tr>
      <w:tr>
        <w:trPr>
          <w:cantSplit/>
        </w:trPr>
        <w:tc>
          <w:tcPr>
            <w:tcW w:type="dxa" w:w="1701"/>
          </w:tcPr>
          <w:p>
            <w:pPr>
              <w:spacing w:line="240" w:lineRule="auto" w:after="40" w:before="40"/>
              <w:jc w:val="left"/>
            </w:pPr>
            <w:r>
              <w:rPr>
                <w:b w:val="0"/>
                <w:i w:val="0"/>
                <w:sz w:val="18"/>
              </w:rPr>
              <w:t>Limit saturated fat</w:t>
            </w:r>
          </w:p>
        </w:tc>
        <w:tc>
          <w:tcPr>
            <w:tcW w:type="dxa" w:w="2041"/>
          </w:tcPr>
          <w:p>
            <w:pPr>
              <w:spacing w:line="240" w:lineRule="auto" w:after="40" w:before="40"/>
              <w:jc w:val="left"/>
            </w:pPr>
            <w:r>
              <w:rPr>
                <w:b w:val="0"/>
                <w:i w:val="0"/>
                <w:sz w:val="18"/>
              </w:rPr>
              <w:t>Saturated fat, % of energy</w:t>
            </w:r>
          </w:p>
        </w:tc>
        <w:tc>
          <w:tcPr>
            <w:tcW w:type="dxa" w:w="1077"/>
          </w:tcPr>
          <w:p>
            <w:pPr>
              <w:spacing w:line="240" w:lineRule="auto" w:after="40" w:before="40"/>
              <w:jc w:val="left"/>
            </w:pPr>
            <w:r>
              <w:rPr>
                <w:b w:val="0"/>
                <w:i w:val="0"/>
                <w:sz w:val="18"/>
              </w:rPr>
              <w:t>≤ 10%</w:t>
            </w:r>
          </w:p>
        </w:tc>
        <w:tc>
          <w:tcPr>
            <w:tcW w:type="dxa" w:w="1077"/>
          </w:tcPr>
          <w:p>
            <w:pPr>
              <w:spacing w:line="240" w:lineRule="auto" w:after="40" w:before="40"/>
              <w:jc w:val="left"/>
            </w:pPr>
            <w:r>
              <w:rPr>
                <w:b w:val="0"/>
                <w:i w:val="0"/>
                <w:sz w:val="18"/>
              </w:rPr>
              <w:t>10 points</w:t>
            </w:r>
          </w:p>
        </w:tc>
        <w:tc>
          <w:tcPr>
            <w:tcW w:type="dxa" w:w="3118"/>
          </w:tcPr>
          <w:p>
            <w:pPr>
              <w:spacing w:line="240" w:lineRule="auto" w:after="40" w:before="40"/>
              <w:jc w:val="left"/>
            </w:pPr>
            <w:r>
              <w:rPr>
                <w:b w:val="0"/>
                <w:i w:val="0"/>
                <w:sz w:val="18"/>
              </w:rPr>
              <w:t>WHO, 2023; DGA 2020–2025</w:t>
            </w:r>
          </w:p>
        </w:tc>
      </w:tr>
      <w:tr>
        <w:trPr>
          <w:cantSplit/>
        </w:trPr>
        <w:tc>
          <w:tcPr>
            <w:tcW w:type="dxa" w:w="1701"/>
          </w:tcPr>
          <w:p>
            <w:pPr>
              <w:spacing w:line="240" w:lineRule="auto" w:after="40" w:before="40"/>
              <w:jc w:val="left"/>
            </w:pPr>
            <w:r>
              <w:rPr>
                <w:b w:val="0"/>
                <w:i w:val="0"/>
                <w:sz w:val="18"/>
              </w:rPr>
              <w:t>Limit excess sugar</w:t>
            </w:r>
          </w:p>
        </w:tc>
        <w:tc>
          <w:tcPr>
            <w:tcW w:type="dxa" w:w="2041"/>
          </w:tcPr>
          <w:p>
            <w:pPr>
              <w:spacing w:line="240" w:lineRule="auto" w:after="40" w:before="40"/>
              <w:jc w:val="left"/>
            </w:pPr>
            <w:r>
              <w:rPr>
                <w:b w:val="0"/>
                <w:i w:val="0"/>
                <w:sz w:val="18"/>
              </w:rPr>
              <w:t>Total sugars, % of energy</w:t>
            </w:r>
          </w:p>
        </w:tc>
        <w:tc>
          <w:tcPr>
            <w:tcW w:type="dxa" w:w="1077"/>
          </w:tcPr>
          <w:p>
            <w:pPr>
              <w:spacing w:line="240" w:lineRule="auto" w:after="40" w:before="40"/>
              <w:jc w:val="left"/>
            </w:pPr>
            <w:r>
              <w:rPr>
                <w:b w:val="0"/>
                <w:i w:val="0"/>
                <w:sz w:val="18"/>
              </w:rPr>
              <w:t>≤ 10%</w:t>
            </w:r>
          </w:p>
        </w:tc>
        <w:tc>
          <w:tcPr>
            <w:tcW w:type="dxa" w:w="1077"/>
          </w:tcPr>
          <w:p>
            <w:pPr>
              <w:spacing w:line="240" w:lineRule="auto" w:after="40" w:before="40"/>
              <w:jc w:val="left"/>
            </w:pPr>
            <w:r>
              <w:rPr>
                <w:b w:val="0"/>
                <w:i w:val="0"/>
                <w:sz w:val="18"/>
              </w:rPr>
              <w:t>15 points</w:t>
            </w:r>
          </w:p>
        </w:tc>
        <w:tc>
          <w:tcPr>
            <w:tcW w:type="dxa" w:w="3118"/>
          </w:tcPr>
          <w:p>
            <w:pPr>
              <w:spacing w:line="240" w:lineRule="auto" w:after="40" w:before="40"/>
              <w:jc w:val="left"/>
            </w:pPr>
            <w:r>
              <w:rPr>
                <w:b w:val="0"/>
                <w:i w:val="0"/>
                <w:sz w:val="18"/>
              </w:rPr>
              <w:t>WHO sugars guideline, 2015</w:t>
            </w:r>
          </w:p>
        </w:tc>
      </w:tr>
      <w:tr>
        <w:trPr>
          <w:cantSplit/>
        </w:trPr>
        <w:tc>
          <w:tcPr>
            <w:tcW w:type="dxa" w:w="1701"/>
          </w:tcPr>
          <w:p>
            <w:pPr>
              <w:spacing w:line="240" w:lineRule="auto" w:after="40" w:before="40"/>
              <w:jc w:val="left"/>
            </w:pPr>
            <w:r>
              <w:rPr>
                <w:b w:val="0"/>
                <w:i w:val="0"/>
                <w:sz w:val="18"/>
              </w:rPr>
              <w:t>Dietary quality</w:t>
            </w:r>
          </w:p>
        </w:tc>
        <w:tc>
          <w:tcPr>
            <w:tcW w:type="dxa" w:w="2041"/>
          </w:tcPr>
          <w:p>
            <w:pPr>
              <w:spacing w:line="240" w:lineRule="auto" w:after="40" w:before="40"/>
              <w:jc w:val="left"/>
            </w:pPr>
            <w:r>
              <w:rPr>
                <w:b w:val="0"/>
                <w:i w:val="0"/>
                <w:sz w:val="18"/>
              </w:rPr>
              <w:t>Fibre per 1,000 kcal</w:t>
            </w:r>
          </w:p>
        </w:tc>
        <w:tc>
          <w:tcPr>
            <w:tcW w:type="dxa" w:w="1077"/>
          </w:tcPr>
          <w:p>
            <w:pPr>
              <w:spacing w:line="240" w:lineRule="auto" w:after="40" w:before="40"/>
              <w:jc w:val="left"/>
            </w:pPr>
            <w:r>
              <w:rPr>
                <w:b w:val="0"/>
                <w:i w:val="0"/>
                <w:sz w:val="18"/>
              </w:rPr>
              <w:t>≥ 14 g</w:t>
            </w:r>
          </w:p>
        </w:tc>
        <w:tc>
          <w:tcPr>
            <w:tcW w:type="dxa" w:w="1077"/>
          </w:tcPr>
          <w:p>
            <w:pPr>
              <w:spacing w:line="240" w:lineRule="auto" w:after="40" w:before="40"/>
              <w:jc w:val="left"/>
            </w:pPr>
            <w:r>
              <w:rPr>
                <w:b w:val="0"/>
                <w:i w:val="0"/>
                <w:sz w:val="18"/>
              </w:rPr>
              <w:t>14 g</w:t>
            </w:r>
          </w:p>
        </w:tc>
        <w:tc>
          <w:tcPr>
            <w:tcW w:type="dxa" w:w="3118"/>
          </w:tcPr>
          <w:p>
            <w:pPr>
              <w:spacing w:line="240" w:lineRule="auto" w:after="40" w:before="40"/>
              <w:jc w:val="left"/>
            </w:pPr>
            <w:r>
              <w:rPr>
                <w:b w:val="0"/>
                <w:i w:val="0"/>
                <w:sz w:val="18"/>
              </w:rPr>
              <w:t>DGA 2020–2025</w:t>
            </w:r>
          </w:p>
        </w:tc>
      </w:tr>
    </w:tbl>
    <w:p>
      <w:pPr>
        <w:spacing w:after="40"/>
      </w:pPr>
    </w:p>
    <w:p>
      <w:r>
        <w:rPr>
          <w:b w:val="0"/>
          <w:i w:val="0"/>
        </w:rPr>
        <w:t>Reference values describe the composition of a recipe and are the same for every patient; what varies by patient is which criteria apply and how they are weighted (low 1, medium 2, high 3). RecipeDB reports total rather than added sugars, so fruit and milk sugars count towards the sugar criterion.</w:t>
      </w:r>
    </w:p>
    <w:p>
      <w:pPr>
        <w:ind w:left="510" w:hanging="283"/>
      </w:pPr>
      <w:r>
        <w:rPr>
          <w:b w:val="0"/>
          <w:i w:val="0"/>
        </w:rPr>
        <w:t xml:space="preserve">• </w:t>
      </w:r>
      <w:r>
        <w:rPr>
          <w:b/>
          <w:i w:val="0"/>
        </w:rPr>
        <w:t>Health gate.</w:t>
      </w:r>
      <w:r>
        <w:rPr>
          <w:b w:val="0"/>
          <w:i w:val="0"/>
        </w:rPr>
        <w:t xml:space="preserve"> Recipes that meet every reference value rank ahead of those that do not. Inside the gate every health score is 100, so half of the health component is instead the priority-weighted margin past the saturated-fat, sugar and fibre references; a patient with a high saturated-fat priority is therefore offered recipes further below that reference. Energy has no margin, because a much smaller meal is not better for that reason.</w:t>
      </w:r>
    </w:p>
    <w:p>
      <w:pPr>
        <w:ind w:left="510" w:hanging="283"/>
      </w:pPr>
      <w:r>
        <w:rPr>
          <w:b w:val="0"/>
          <w:i w:val="0"/>
        </w:rPr>
        <w:t xml:space="preserve">• </w:t>
      </w:r>
      <w:r>
        <w:rPr>
          <w:b/>
          <w:i w:val="0"/>
        </w:rPr>
        <w:t>Acceptability.</w:t>
      </w:r>
      <w:r>
        <w:rPr>
          <w:b w:val="0"/>
          <w:i w:val="0"/>
        </w:rPr>
        <w:t xml:space="preserve"> The RecipeDB rating shrunk towards the corpus mean (4.91) with a pseudo-count of 20, so five stars from three raters does not beat 4.9 from 3,000; ratings of 4.5–5.0 map to 0–100.</w:t>
      </w:r>
    </w:p>
    <w:p>
      <w:pPr>
        <w:ind w:left="510" w:hanging="283"/>
      </w:pPr>
      <w:r>
        <w:rPr>
          <w:b w:val="0"/>
          <w:i w:val="0"/>
        </w:rPr>
        <w:t xml:space="preserve">• </w:t>
      </w:r>
      <w:r>
        <w:rPr>
          <w:b/>
          <w:i w:val="0"/>
        </w:rPr>
        <w:t>Weights.</w:t>
      </w:r>
      <w:r>
        <w:rPr>
          <w:b w:val="0"/>
          <w:i w:val="0"/>
        </w:rPr>
        <w:t xml:space="preserve"> Health 0.6, cuisine 0.2, feasibility 0.2 and acceptability 0.1, renormalised over the criteria a recipe has. Cuisine counts exact matches and configured related cuisines.</w:t>
      </w:r>
    </w:p>
    <w:p>
      <w:pPr>
        <w:pStyle w:val="Caption"/>
      </w:pPr>
      <w:r>
        <w:rPr>
          <w:b/>
        </w:rPr>
        <w:t xml:space="preserve">Table B.7. </w:t>
      </w:r>
      <w:r>
        <w:t>Screening of the RecipeDB corpus before ranking.</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1814"/>
            <w:shd w:val="clear" w:color="auto" w:fill="EDEDED"/>
            <w:tcBorders>
              <w:bottom w:val="single" w:sz="6" w:space="0" w:color="000000"/>
            </w:tcBorders>
          </w:tcPr>
          <w:p>
            <w:pPr>
              <w:spacing w:line="240" w:lineRule="auto" w:after="40" w:before="40"/>
              <w:jc w:val="left"/>
            </w:pPr>
            <w:r>
              <w:rPr>
                <w:b/>
                <w:i w:val="0"/>
                <w:sz w:val="18"/>
              </w:rPr>
              <w:t>Step</w:t>
            </w:r>
          </w:p>
        </w:tc>
        <w:tc>
          <w:tcPr>
            <w:tcW w:type="dxa" w:w="4365"/>
            <w:shd w:val="clear" w:color="auto" w:fill="EDEDED"/>
            <w:tcBorders>
              <w:bottom w:val="single" w:sz="6" w:space="0" w:color="000000"/>
            </w:tcBorders>
          </w:tcPr>
          <w:p>
            <w:pPr>
              <w:spacing w:line="240" w:lineRule="auto" w:after="40" w:before="40"/>
              <w:jc w:val="left"/>
            </w:pPr>
            <w:r>
              <w:rPr>
                <w:b/>
                <w:i w:val="0"/>
                <w:sz w:val="18"/>
              </w:rPr>
              <w:t>Rule</w:t>
            </w:r>
          </w:p>
        </w:tc>
        <w:tc>
          <w:tcPr>
            <w:tcW w:type="dxa" w:w="2835"/>
            <w:shd w:val="clear" w:color="auto" w:fill="EDEDED"/>
            <w:tcBorders>
              <w:bottom w:val="single" w:sz="6" w:space="0" w:color="000000"/>
            </w:tcBorders>
          </w:tcPr>
          <w:p>
            <w:pPr>
              <w:spacing w:line="240" w:lineRule="auto" w:after="40" w:before="40"/>
              <w:jc w:val="left"/>
            </w:pPr>
            <w:r>
              <w:rPr>
                <w:b/>
                <w:i w:val="0"/>
                <w:sz w:val="18"/>
              </w:rPr>
              <w:t>Effect</w:t>
            </w:r>
          </w:p>
        </w:tc>
      </w:tr>
      <w:tr>
        <w:trPr>
          <w:cantSplit/>
        </w:trPr>
        <w:tc>
          <w:tcPr>
            <w:tcW w:type="dxa" w:w="1814"/>
          </w:tcPr>
          <w:p>
            <w:pPr>
              <w:spacing w:line="240" w:lineRule="auto" w:after="40" w:before="40"/>
              <w:jc w:val="left"/>
            </w:pPr>
            <w:r>
              <w:rPr>
                <w:b w:val="0"/>
                <w:i w:val="0"/>
                <w:sz w:val="18"/>
              </w:rPr>
              <w:t>Nutrition plausibility</w:t>
            </w:r>
          </w:p>
        </w:tc>
        <w:tc>
          <w:tcPr>
            <w:tcW w:type="dxa" w:w="4365"/>
          </w:tcPr>
          <w:p>
            <w:pPr>
              <w:spacing w:line="240" w:lineRule="auto" w:after="40" w:before="40"/>
              <w:jc w:val="left"/>
            </w:pPr>
            <w:r>
              <w:rPr>
                <w:b w:val="0"/>
                <w:i w:val="0"/>
                <w:sz w:val="18"/>
              </w:rPr>
              <w:t>Energy &gt; 0 and ≤ 2,500 kcal per serving; sodium ≤ 6,000 mg; macronutrient energy within 30% of stated energy</w:t>
            </w:r>
          </w:p>
        </w:tc>
        <w:tc>
          <w:tcPr>
            <w:tcW w:type="dxa" w:w="2835"/>
          </w:tcPr>
          <w:p>
            <w:pPr>
              <w:spacing w:line="240" w:lineRule="auto" w:after="40" w:before="40"/>
              <w:jc w:val="left"/>
            </w:pPr>
            <w:r>
              <w:rPr>
                <w:b w:val="0"/>
                <w:i w:val="0"/>
                <w:sz w:val="18"/>
              </w:rPr>
              <w:t>774 of 20,000 recipes (3.9%) held for review</w:t>
            </w:r>
          </w:p>
        </w:tc>
      </w:tr>
      <w:tr>
        <w:trPr>
          <w:cantSplit/>
        </w:trPr>
        <w:tc>
          <w:tcPr>
            <w:tcW w:type="dxa" w:w="1814"/>
          </w:tcPr>
          <w:p>
            <w:pPr>
              <w:spacing w:line="240" w:lineRule="auto" w:after="40" w:before="40"/>
              <w:jc w:val="left"/>
            </w:pPr>
            <w:r>
              <w:rPr>
                <w:b w:val="0"/>
                <w:i w:val="0"/>
                <w:sz w:val="18"/>
              </w:rPr>
              <w:t>Main meals only</w:t>
            </w:r>
          </w:p>
        </w:tc>
        <w:tc>
          <w:tcPr>
            <w:tcW w:type="dxa" w:w="4365"/>
          </w:tcPr>
          <w:p>
            <w:pPr>
              <w:spacing w:line="240" w:lineRule="auto" w:after="40" w:before="40"/>
              <w:jc w:val="left"/>
            </w:pPr>
            <w:r>
              <w:rPr>
                <w:b w:val="0"/>
                <w:i w:val="0"/>
                <w:sz w:val="18"/>
              </w:rPr>
              <w:t>Excludes non-meal categories (desserts, beverages, sauces, household and beauty items) and titles naming seasonings or condiments; energy ≥ 200 kcal per serving</w:t>
            </w:r>
          </w:p>
        </w:tc>
        <w:tc>
          <w:tcPr>
            <w:tcW w:type="dxa" w:w="2835"/>
          </w:tcPr>
          <w:p>
            <w:pPr>
              <w:spacing w:line="240" w:lineRule="auto" w:after="40" w:before="40"/>
              <w:jc w:val="left"/>
            </w:pPr>
            <w:r>
              <w:rPr>
                <w:b w:val="0"/>
                <w:i w:val="0"/>
                <w:sz w:val="18"/>
              </w:rPr>
              <w:t>10,108 candidate meals remain; 9,844 have plausible nutrition</w:t>
            </w:r>
          </w:p>
        </w:tc>
      </w:tr>
      <w:tr>
        <w:trPr>
          <w:cantSplit/>
        </w:trPr>
        <w:tc>
          <w:tcPr>
            <w:tcW w:type="dxa" w:w="1814"/>
          </w:tcPr>
          <w:p>
            <w:pPr>
              <w:spacing w:line="240" w:lineRule="auto" w:after="40" w:before="40"/>
              <w:jc w:val="left"/>
            </w:pPr>
            <w:r>
              <w:rPr>
                <w:b w:val="0"/>
                <w:i w:val="0"/>
                <w:sz w:val="18"/>
              </w:rPr>
              <w:t>Dietary preference</w:t>
            </w:r>
          </w:p>
        </w:tc>
        <w:tc>
          <w:tcPr>
            <w:tcW w:type="dxa" w:w="4365"/>
          </w:tcPr>
          <w:p>
            <w:pPr>
              <w:spacing w:line="240" w:lineRule="auto" w:after="40" w:before="40"/>
              <w:jc w:val="left"/>
            </w:pPr>
            <w:r>
              <w:rPr>
                <w:b w:val="0"/>
                <w:i w:val="0"/>
                <w:sz w:val="18"/>
              </w:rPr>
              <w:t>Every diet tag must be allowed by the requested diet</w:t>
            </w:r>
          </w:p>
        </w:tc>
        <w:tc>
          <w:tcPr>
            <w:tcW w:type="dxa" w:w="2835"/>
          </w:tcPr>
          <w:p>
            <w:pPr>
              <w:spacing w:line="240" w:lineRule="auto" w:after="40" w:before="40"/>
              <w:jc w:val="left"/>
            </w:pPr>
            <w:r>
              <w:rPr>
                <w:b w:val="0"/>
                <w:i w:val="0"/>
                <w:sz w:val="18"/>
              </w:rPr>
              <w:t>About 1,000 recipes have conflicting tags (e.g. a prawn dish tagged vegan)</w:t>
            </w:r>
          </w:p>
        </w:tc>
      </w:tr>
    </w:tbl>
    <w:p>
      <w:pPr>
        <w:spacing w:after="40"/>
      </w:pPr>
    </w:p>
    <w:p>
      <w:pPr>
        <w:pStyle w:val="Heading2"/>
      </w:pPr>
      <w:r>
        <w:t>B.5 Evaluation of the Ranking Engine</w:t>
      </w:r>
    </w:p>
    <w:p>
      <w:r>
        <w:rPr>
          <w:b w:val="0"/>
          <w:i w:val="0"/>
        </w:rPr>
        <w:t>Following Section 12.2 of the proposal, the ranking was evaluated on 300 randomly selected held-out participants aged 12 to 59 who had at least one priority (of 1,112 eligible), using their 24-hour recall. For each participant, the ten highest-ranked recipes from each method were checked against the three criteria: health (the recipe meets the reference value of every criterion that applies to the patient), cuisine (it matches the requested cuisine) and feasibility (total time ≤ 60 minutes, ≤ 15 ingredients and ≤ 12 steps). NHANES does not record cuisine preferences, so each participant was assigned one at random from the five cuisines with at least 100 candidate meals. Random selection was repeated 20 times per participant.</w:t>
      </w:r>
    </w:p>
    <w:p>
      <w:pPr>
        <w:pStyle w:val="Caption"/>
      </w:pPr>
      <w:r>
        <w:rPr>
          <w:b/>
        </w:rPr>
        <w:t xml:space="preserve">Table B.8. </w:t>
      </w:r>
      <w:r>
        <w:t>Share of each top-10 list meeting the criteria (mean over 300 participants aged 12–59).</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3628"/>
            <w:shd w:val="clear" w:color="auto" w:fill="EDEDED"/>
            <w:tcBorders>
              <w:bottom w:val="single" w:sz="6" w:space="0" w:color="000000"/>
            </w:tcBorders>
          </w:tcPr>
          <w:p>
            <w:pPr>
              <w:spacing w:line="240" w:lineRule="auto" w:after="40" w:before="40"/>
              <w:jc w:val="left"/>
            </w:pPr>
            <w:r>
              <w:rPr>
                <w:b/>
                <w:i w:val="0"/>
                <w:sz w:val="18"/>
              </w:rPr>
              <w:t>Method</w:t>
            </w:r>
          </w:p>
        </w:tc>
        <w:tc>
          <w:tcPr>
            <w:tcW w:type="dxa" w:w="1020"/>
            <w:shd w:val="clear" w:color="auto" w:fill="EDEDED"/>
            <w:tcBorders>
              <w:bottom w:val="single" w:sz="6" w:space="0" w:color="000000"/>
            </w:tcBorders>
          </w:tcPr>
          <w:p>
            <w:pPr>
              <w:spacing w:line="240" w:lineRule="auto" w:after="40" w:before="40"/>
              <w:jc w:val="right"/>
            </w:pPr>
            <w:r>
              <w:rPr>
                <w:b/>
                <w:i w:val="0"/>
                <w:sz w:val="18"/>
              </w:rPr>
              <w:t>Health</w:t>
            </w:r>
          </w:p>
        </w:tc>
        <w:tc>
          <w:tcPr>
            <w:tcW w:type="dxa" w:w="1020"/>
            <w:shd w:val="clear" w:color="auto" w:fill="EDEDED"/>
            <w:tcBorders>
              <w:bottom w:val="single" w:sz="6" w:space="0" w:color="000000"/>
            </w:tcBorders>
          </w:tcPr>
          <w:p>
            <w:pPr>
              <w:spacing w:line="240" w:lineRule="auto" w:after="40" w:before="40"/>
              <w:jc w:val="right"/>
            </w:pPr>
            <w:r>
              <w:rPr>
                <w:b/>
                <w:i w:val="0"/>
                <w:sz w:val="18"/>
              </w:rPr>
              <w:t>Cuisine</w:t>
            </w:r>
          </w:p>
        </w:tc>
        <w:tc>
          <w:tcPr>
            <w:tcW w:type="dxa" w:w="1134"/>
            <w:shd w:val="clear" w:color="auto" w:fill="EDEDED"/>
            <w:tcBorders>
              <w:bottom w:val="single" w:sz="6" w:space="0" w:color="000000"/>
            </w:tcBorders>
          </w:tcPr>
          <w:p>
            <w:pPr>
              <w:spacing w:line="240" w:lineRule="auto" w:after="40" w:before="40"/>
              <w:jc w:val="right"/>
            </w:pPr>
            <w:r>
              <w:rPr>
                <w:b/>
                <w:i w:val="0"/>
                <w:sz w:val="18"/>
              </w:rPr>
              <w:t>Feasibility</w:t>
            </w:r>
          </w:p>
        </w:tc>
        <w:tc>
          <w:tcPr>
            <w:tcW w:type="dxa" w:w="1077"/>
            <w:shd w:val="clear" w:color="auto" w:fill="EDEDED"/>
            <w:tcBorders>
              <w:bottom w:val="single" w:sz="6" w:space="0" w:color="000000"/>
            </w:tcBorders>
          </w:tcPr>
          <w:p>
            <w:pPr>
              <w:spacing w:line="240" w:lineRule="auto" w:after="40" w:before="40"/>
              <w:jc w:val="right"/>
            </w:pPr>
            <w:r>
              <w:rPr>
                <w:b/>
                <w:i w:val="0"/>
                <w:sz w:val="18"/>
              </w:rPr>
              <w:t>All three</w:t>
            </w:r>
          </w:p>
        </w:tc>
        <w:tc>
          <w:tcPr>
            <w:tcW w:type="dxa" w:w="1134"/>
            <w:shd w:val="clear" w:color="auto" w:fill="EDEDED"/>
            <w:tcBorders>
              <w:bottom w:val="single" w:sz="6" w:space="0" w:color="000000"/>
            </w:tcBorders>
          </w:tcPr>
          <w:p>
            <w:pPr>
              <w:spacing w:line="240" w:lineRule="auto" w:after="40" w:before="40"/>
              <w:jc w:val="right"/>
            </w:pPr>
            <w:r>
              <w:rPr>
                <w:b/>
                <w:i w:val="0"/>
                <w:sz w:val="18"/>
              </w:rPr>
              <w:t>Diversity</w:t>
            </w:r>
          </w:p>
        </w:tc>
      </w:tr>
      <w:tr>
        <w:trPr>
          <w:cantSplit/>
        </w:trPr>
        <w:tc>
          <w:tcPr>
            <w:tcW w:type="dxa" w:w="3628"/>
          </w:tcPr>
          <w:p>
            <w:pPr>
              <w:spacing w:line="240" w:lineRule="auto" w:after="40" w:before="40"/>
              <w:jc w:val="left"/>
            </w:pPr>
            <w:r>
              <w:rPr>
                <w:b w:val="0"/>
                <w:i w:val="0"/>
                <w:sz w:val="18"/>
              </w:rPr>
              <w:t>Multi-criteria, health-gated (default)</w:t>
            </w:r>
          </w:p>
        </w:tc>
        <w:tc>
          <w:tcPr>
            <w:tcW w:type="dxa" w:w="1020"/>
          </w:tcPr>
          <w:p>
            <w:pPr>
              <w:spacing w:line="240" w:lineRule="auto" w:after="40" w:before="40"/>
              <w:jc w:val="right"/>
            </w:pPr>
            <w:r>
              <w:rPr>
                <w:b w:val="0"/>
                <w:i w:val="0"/>
                <w:sz w:val="18"/>
              </w:rPr>
              <w:t>1.000</w:t>
            </w:r>
          </w:p>
        </w:tc>
        <w:tc>
          <w:tcPr>
            <w:tcW w:type="dxa" w:w="1020"/>
          </w:tcPr>
          <w:p>
            <w:pPr>
              <w:spacing w:line="240" w:lineRule="auto" w:after="40" w:before="40"/>
              <w:jc w:val="right"/>
            </w:pPr>
            <w:r>
              <w:rPr>
                <w:b w:val="0"/>
                <w:i w:val="0"/>
                <w:sz w:val="18"/>
              </w:rPr>
              <w:t>0.998</w:t>
            </w:r>
          </w:p>
        </w:tc>
        <w:tc>
          <w:tcPr>
            <w:tcW w:type="dxa" w:w="1134"/>
          </w:tcPr>
          <w:p>
            <w:pPr>
              <w:spacing w:line="240" w:lineRule="auto" w:after="40" w:before="40"/>
              <w:jc w:val="right"/>
            </w:pPr>
            <w:r>
              <w:rPr>
                <w:b w:val="0"/>
                <w:i w:val="0"/>
                <w:sz w:val="18"/>
              </w:rPr>
              <w:t>0.832</w:t>
            </w:r>
          </w:p>
        </w:tc>
        <w:tc>
          <w:tcPr>
            <w:tcW w:type="dxa" w:w="1077"/>
          </w:tcPr>
          <w:p>
            <w:pPr>
              <w:spacing w:line="240" w:lineRule="auto" w:after="40" w:before="40"/>
              <w:jc w:val="right"/>
            </w:pPr>
            <w:r>
              <w:rPr>
                <w:b w:val="0"/>
                <w:i w:val="0"/>
                <w:sz w:val="18"/>
              </w:rPr>
              <w:t>0.831</w:t>
            </w:r>
          </w:p>
        </w:tc>
        <w:tc>
          <w:tcPr>
            <w:tcW w:type="dxa" w:w="1134"/>
          </w:tcPr>
          <w:p>
            <w:pPr>
              <w:spacing w:line="240" w:lineRule="auto" w:after="40" w:before="40"/>
              <w:jc w:val="right"/>
            </w:pPr>
            <w:r>
              <w:rPr>
                <w:b w:val="0"/>
                <w:i w:val="0"/>
                <w:sz w:val="18"/>
              </w:rPr>
              <w:t>0.947</w:t>
            </w:r>
          </w:p>
        </w:tc>
      </w:tr>
      <w:tr>
        <w:trPr>
          <w:cantSplit/>
        </w:trPr>
        <w:tc>
          <w:tcPr>
            <w:tcW w:type="dxa" w:w="3628"/>
          </w:tcPr>
          <w:p>
            <w:pPr>
              <w:spacing w:line="240" w:lineRule="auto" w:after="40" w:before="40"/>
              <w:jc w:val="left"/>
            </w:pPr>
            <w:r>
              <w:rPr>
                <w:b w:val="0"/>
                <w:i w:val="0"/>
                <w:sz w:val="18"/>
              </w:rPr>
              <w:t>Health-gated, without acceptability</w:t>
            </w:r>
          </w:p>
        </w:tc>
        <w:tc>
          <w:tcPr>
            <w:tcW w:type="dxa" w:w="1020"/>
          </w:tcPr>
          <w:p>
            <w:pPr>
              <w:spacing w:line="240" w:lineRule="auto" w:after="40" w:before="40"/>
              <w:jc w:val="right"/>
            </w:pPr>
            <w:r>
              <w:rPr>
                <w:b w:val="0"/>
                <w:i w:val="0"/>
                <w:sz w:val="18"/>
              </w:rPr>
              <w:t>1.000</w:t>
            </w:r>
          </w:p>
        </w:tc>
        <w:tc>
          <w:tcPr>
            <w:tcW w:type="dxa" w:w="1020"/>
          </w:tcPr>
          <w:p>
            <w:pPr>
              <w:spacing w:line="240" w:lineRule="auto" w:after="40" w:before="40"/>
              <w:jc w:val="right"/>
            </w:pPr>
            <w:r>
              <w:rPr>
                <w:b w:val="0"/>
                <w:i w:val="0"/>
                <w:sz w:val="18"/>
              </w:rPr>
              <w:t>0.994</w:t>
            </w:r>
          </w:p>
        </w:tc>
        <w:tc>
          <w:tcPr>
            <w:tcW w:type="dxa" w:w="1134"/>
          </w:tcPr>
          <w:p>
            <w:pPr>
              <w:spacing w:line="240" w:lineRule="auto" w:after="40" w:before="40"/>
              <w:jc w:val="right"/>
            </w:pPr>
            <w:r>
              <w:rPr>
                <w:b w:val="0"/>
                <w:i w:val="0"/>
                <w:sz w:val="18"/>
              </w:rPr>
              <w:t>0.803</w:t>
            </w:r>
          </w:p>
        </w:tc>
        <w:tc>
          <w:tcPr>
            <w:tcW w:type="dxa" w:w="1077"/>
          </w:tcPr>
          <w:p>
            <w:pPr>
              <w:spacing w:line="240" w:lineRule="auto" w:after="40" w:before="40"/>
              <w:jc w:val="right"/>
            </w:pPr>
            <w:r>
              <w:rPr>
                <w:b w:val="0"/>
                <w:i w:val="0"/>
                <w:sz w:val="18"/>
              </w:rPr>
              <w:t>0.796</w:t>
            </w:r>
          </w:p>
        </w:tc>
        <w:tc>
          <w:tcPr>
            <w:tcW w:type="dxa" w:w="1134"/>
          </w:tcPr>
          <w:p>
            <w:pPr>
              <w:spacing w:line="240" w:lineRule="auto" w:after="40" w:before="40"/>
              <w:jc w:val="right"/>
            </w:pPr>
            <w:r>
              <w:rPr>
                <w:b w:val="0"/>
                <w:i w:val="0"/>
                <w:sz w:val="18"/>
              </w:rPr>
              <w:t>0.945</w:t>
            </w:r>
          </w:p>
        </w:tc>
      </w:tr>
      <w:tr>
        <w:trPr>
          <w:cantSplit/>
        </w:trPr>
        <w:tc>
          <w:tcPr>
            <w:tcW w:type="dxa" w:w="3628"/>
          </w:tcPr>
          <w:p>
            <w:pPr>
              <w:spacing w:line="240" w:lineRule="auto" w:after="40" w:before="40"/>
              <w:jc w:val="left"/>
            </w:pPr>
            <w:r>
              <w:rPr>
                <w:b w:val="0"/>
                <w:i w:val="0"/>
                <w:sz w:val="18"/>
              </w:rPr>
              <w:t>Health-gated + diversity re-ranking</w:t>
            </w:r>
          </w:p>
        </w:tc>
        <w:tc>
          <w:tcPr>
            <w:tcW w:type="dxa" w:w="1020"/>
          </w:tcPr>
          <w:p>
            <w:pPr>
              <w:spacing w:line="240" w:lineRule="auto" w:after="40" w:before="40"/>
              <w:jc w:val="right"/>
            </w:pPr>
            <w:r>
              <w:rPr>
                <w:b w:val="0"/>
                <w:i w:val="0"/>
                <w:sz w:val="18"/>
              </w:rPr>
              <w:t>1.000</w:t>
            </w:r>
          </w:p>
        </w:tc>
        <w:tc>
          <w:tcPr>
            <w:tcW w:type="dxa" w:w="1020"/>
          </w:tcPr>
          <w:p>
            <w:pPr>
              <w:spacing w:line="240" w:lineRule="auto" w:after="40" w:before="40"/>
              <w:jc w:val="right"/>
            </w:pPr>
            <w:r>
              <w:rPr>
                <w:b w:val="0"/>
                <w:i w:val="0"/>
                <w:sz w:val="18"/>
              </w:rPr>
              <w:t>0.988</w:t>
            </w:r>
          </w:p>
        </w:tc>
        <w:tc>
          <w:tcPr>
            <w:tcW w:type="dxa" w:w="1134"/>
          </w:tcPr>
          <w:p>
            <w:pPr>
              <w:spacing w:line="240" w:lineRule="auto" w:after="40" w:before="40"/>
              <w:jc w:val="right"/>
            </w:pPr>
            <w:r>
              <w:rPr>
                <w:b w:val="0"/>
                <w:i w:val="0"/>
                <w:sz w:val="18"/>
              </w:rPr>
              <w:t>0.818</w:t>
            </w:r>
          </w:p>
        </w:tc>
        <w:tc>
          <w:tcPr>
            <w:tcW w:type="dxa" w:w="1077"/>
          </w:tcPr>
          <w:p>
            <w:pPr>
              <w:spacing w:line="240" w:lineRule="auto" w:after="40" w:before="40"/>
              <w:jc w:val="right"/>
            </w:pPr>
            <w:r>
              <w:rPr>
                <w:b w:val="0"/>
                <w:i w:val="0"/>
                <w:sz w:val="18"/>
              </w:rPr>
              <w:t>0.806</w:t>
            </w:r>
          </w:p>
        </w:tc>
        <w:tc>
          <w:tcPr>
            <w:tcW w:type="dxa" w:w="1134"/>
          </w:tcPr>
          <w:p>
            <w:pPr>
              <w:spacing w:line="240" w:lineRule="auto" w:after="40" w:before="40"/>
              <w:jc w:val="right"/>
            </w:pPr>
            <w:r>
              <w:rPr>
                <w:b w:val="0"/>
                <w:i w:val="0"/>
                <w:sz w:val="18"/>
              </w:rPr>
              <w:t>0.956</w:t>
            </w:r>
          </w:p>
        </w:tc>
      </w:tr>
      <w:tr>
        <w:trPr>
          <w:cantSplit/>
        </w:trPr>
        <w:tc>
          <w:tcPr>
            <w:tcW w:type="dxa" w:w="3628"/>
          </w:tcPr>
          <w:p>
            <w:pPr>
              <w:spacing w:line="240" w:lineRule="auto" w:after="40" w:before="40"/>
              <w:jc w:val="left"/>
            </w:pPr>
            <w:r>
              <w:rPr>
                <w:b w:val="0"/>
                <w:i w:val="0"/>
                <w:sz w:val="18"/>
              </w:rPr>
              <w:t>Multi-criteria, weighted only</w:t>
            </w:r>
          </w:p>
        </w:tc>
        <w:tc>
          <w:tcPr>
            <w:tcW w:type="dxa" w:w="1020"/>
          </w:tcPr>
          <w:p>
            <w:pPr>
              <w:spacing w:line="240" w:lineRule="auto" w:after="40" w:before="40"/>
              <w:jc w:val="right"/>
            </w:pPr>
            <w:r>
              <w:rPr>
                <w:b w:val="0"/>
                <w:i w:val="0"/>
                <w:sz w:val="18"/>
              </w:rPr>
              <w:t>0.737</w:t>
            </w:r>
          </w:p>
        </w:tc>
        <w:tc>
          <w:tcPr>
            <w:tcW w:type="dxa" w:w="1020"/>
          </w:tcPr>
          <w:p>
            <w:pPr>
              <w:spacing w:line="240" w:lineRule="auto" w:after="40" w:before="40"/>
              <w:jc w:val="right"/>
            </w:pPr>
            <w:r>
              <w:rPr>
                <w:b w:val="0"/>
                <w:i w:val="0"/>
                <w:sz w:val="18"/>
              </w:rPr>
              <w:t>1.000</w:t>
            </w:r>
          </w:p>
        </w:tc>
        <w:tc>
          <w:tcPr>
            <w:tcW w:type="dxa" w:w="1134"/>
          </w:tcPr>
          <w:p>
            <w:pPr>
              <w:spacing w:line="240" w:lineRule="auto" w:after="40" w:before="40"/>
              <w:jc w:val="right"/>
            </w:pPr>
            <w:r>
              <w:rPr>
                <w:b w:val="0"/>
                <w:i w:val="0"/>
                <w:sz w:val="18"/>
              </w:rPr>
              <w:t>0.970</w:t>
            </w:r>
          </w:p>
        </w:tc>
        <w:tc>
          <w:tcPr>
            <w:tcW w:type="dxa" w:w="1077"/>
          </w:tcPr>
          <w:p>
            <w:pPr>
              <w:spacing w:line="240" w:lineRule="auto" w:after="40" w:before="40"/>
              <w:jc w:val="right"/>
            </w:pPr>
            <w:r>
              <w:rPr>
                <w:b w:val="0"/>
                <w:i w:val="0"/>
                <w:sz w:val="18"/>
              </w:rPr>
              <w:t>0.727</w:t>
            </w:r>
          </w:p>
        </w:tc>
        <w:tc>
          <w:tcPr>
            <w:tcW w:type="dxa" w:w="1134"/>
          </w:tcPr>
          <w:p>
            <w:pPr>
              <w:spacing w:line="240" w:lineRule="auto" w:after="40" w:before="40"/>
              <w:jc w:val="right"/>
            </w:pPr>
            <w:r>
              <w:rPr>
                <w:b w:val="0"/>
                <w:i w:val="0"/>
                <w:sz w:val="18"/>
              </w:rPr>
              <w:t>0.952</w:t>
            </w:r>
          </w:p>
        </w:tc>
      </w:tr>
      <w:tr>
        <w:trPr>
          <w:cantSplit/>
        </w:trPr>
        <w:tc>
          <w:tcPr>
            <w:tcW w:type="dxa" w:w="3628"/>
          </w:tcPr>
          <w:p>
            <w:pPr>
              <w:spacing w:line="240" w:lineRule="auto" w:after="40" w:before="40"/>
              <w:jc w:val="left"/>
            </w:pPr>
            <w:r>
              <w:rPr>
                <w:b w:val="0"/>
                <w:i w:val="0"/>
                <w:sz w:val="18"/>
              </w:rPr>
              <w:t>Health score only</w:t>
            </w:r>
          </w:p>
        </w:tc>
        <w:tc>
          <w:tcPr>
            <w:tcW w:type="dxa" w:w="1020"/>
          </w:tcPr>
          <w:p>
            <w:pPr>
              <w:spacing w:line="240" w:lineRule="auto" w:after="40" w:before="40"/>
              <w:jc w:val="right"/>
            </w:pPr>
            <w:r>
              <w:rPr>
                <w:b w:val="0"/>
                <w:i w:val="0"/>
                <w:sz w:val="18"/>
              </w:rPr>
              <w:t>1.000</w:t>
            </w:r>
          </w:p>
        </w:tc>
        <w:tc>
          <w:tcPr>
            <w:tcW w:type="dxa" w:w="1020"/>
          </w:tcPr>
          <w:p>
            <w:pPr>
              <w:spacing w:line="240" w:lineRule="auto" w:after="40" w:before="40"/>
              <w:jc w:val="right"/>
            </w:pPr>
            <w:r>
              <w:rPr>
                <w:b w:val="0"/>
                <w:i w:val="0"/>
                <w:sz w:val="18"/>
              </w:rPr>
              <w:t>0.057</w:t>
            </w:r>
          </w:p>
        </w:tc>
        <w:tc>
          <w:tcPr>
            <w:tcW w:type="dxa" w:w="1134"/>
          </w:tcPr>
          <w:p>
            <w:pPr>
              <w:spacing w:line="240" w:lineRule="auto" w:after="40" w:before="40"/>
              <w:jc w:val="right"/>
            </w:pPr>
            <w:r>
              <w:rPr>
                <w:b w:val="0"/>
                <w:i w:val="0"/>
                <w:sz w:val="18"/>
              </w:rPr>
              <w:t>0.400</w:t>
            </w:r>
          </w:p>
        </w:tc>
        <w:tc>
          <w:tcPr>
            <w:tcW w:type="dxa" w:w="1077"/>
          </w:tcPr>
          <w:p>
            <w:pPr>
              <w:spacing w:line="240" w:lineRule="auto" w:after="40" w:before="40"/>
              <w:jc w:val="right"/>
            </w:pPr>
            <w:r>
              <w:rPr>
                <w:b w:val="0"/>
                <w:i w:val="0"/>
                <w:sz w:val="18"/>
              </w:rPr>
              <w:t>0.017</w:t>
            </w:r>
          </w:p>
        </w:tc>
        <w:tc>
          <w:tcPr>
            <w:tcW w:type="dxa" w:w="1134"/>
          </w:tcPr>
          <w:p>
            <w:pPr>
              <w:spacing w:line="240" w:lineRule="auto" w:after="40" w:before="40"/>
              <w:jc w:val="right"/>
            </w:pPr>
            <w:r>
              <w:rPr>
                <w:b w:val="0"/>
                <w:i w:val="0"/>
                <w:sz w:val="18"/>
              </w:rPr>
              <w:t>0.966</w:t>
            </w:r>
          </w:p>
        </w:tc>
      </w:tr>
      <w:tr>
        <w:trPr>
          <w:cantSplit/>
        </w:trPr>
        <w:tc>
          <w:tcPr>
            <w:tcW w:type="dxa" w:w="3628"/>
          </w:tcPr>
          <w:p>
            <w:pPr>
              <w:spacing w:line="240" w:lineRule="auto" w:after="40" w:before="40"/>
              <w:jc w:val="left"/>
            </w:pPr>
            <w:r>
              <w:rPr>
                <w:b w:val="0"/>
                <w:i w:val="0"/>
                <w:sz w:val="18"/>
              </w:rPr>
              <w:t>Nutrition only (non-personalised)</w:t>
            </w:r>
          </w:p>
        </w:tc>
        <w:tc>
          <w:tcPr>
            <w:tcW w:type="dxa" w:w="1020"/>
          </w:tcPr>
          <w:p>
            <w:pPr>
              <w:spacing w:line="240" w:lineRule="auto" w:after="40" w:before="40"/>
              <w:jc w:val="right"/>
            </w:pPr>
            <w:r>
              <w:rPr>
                <w:b w:val="0"/>
                <w:i w:val="0"/>
                <w:sz w:val="18"/>
              </w:rPr>
              <w:t>1.000</w:t>
            </w:r>
          </w:p>
        </w:tc>
        <w:tc>
          <w:tcPr>
            <w:tcW w:type="dxa" w:w="1020"/>
          </w:tcPr>
          <w:p>
            <w:pPr>
              <w:spacing w:line="240" w:lineRule="auto" w:after="40" w:before="40"/>
              <w:jc w:val="right"/>
            </w:pPr>
            <w:r>
              <w:rPr>
                <w:b w:val="0"/>
                <w:i w:val="0"/>
                <w:sz w:val="18"/>
              </w:rPr>
              <w:t>0.057</w:t>
            </w:r>
          </w:p>
        </w:tc>
        <w:tc>
          <w:tcPr>
            <w:tcW w:type="dxa" w:w="1134"/>
          </w:tcPr>
          <w:p>
            <w:pPr>
              <w:spacing w:line="240" w:lineRule="auto" w:after="40" w:before="40"/>
              <w:jc w:val="right"/>
            </w:pPr>
            <w:r>
              <w:rPr>
                <w:b w:val="0"/>
                <w:i w:val="0"/>
                <w:sz w:val="18"/>
              </w:rPr>
              <w:t>0.400</w:t>
            </w:r>
          </w:p>
        </w:tc>
        <w:tc>
          <w:tcPr>
            <w:tcW w:type="dxa" w:w="1077"/>
          </w:tcPr>
          <w:p>
            <w:pPr>
              <w:spacing w:line="240" w:lineRule="auto" w:after="40" w:before="40"/>
              <w:jc w:val="right"/>
            </w:pPr>
            <w:r>
              <w:rPr>
                <w:b w:val="0"/>
                <w:i w:val="0"/>
                <w:sz w:val="18"/>
              </w:rPr>
              <w:t>0.017</w:t>
            </w:r>
          </w:p>
        </w:tc>
        <w:tc>
          <w:tcPr>
            <w:tcW w:type="dxa" w:w="1134"/>
          </w:tcPr>
          <w:p>
            <w:pPr>
              <w:spacing w:line="240" w:lineRule="auto" w:after="40" w:before="40"/>
              <w:jc w:val="right"/>
            </w:pPr>
            <w:r>
              <w:rPr>
                <w:b w:val="0"/>
                <w:i w:val="0"/>
                <w:sz w:val="18"/>
              </w:rPr>
              <w:t>0.966</w:t>
            </w:r>
          </w:p>
        </w:tc>
      </w:tr>
      <w:tr>
        <w:trPr>
          <w:cantSplit/>
        </w:trPr>
        <w:tc>
          <w:tcPr>
            <w:tcW w:type="dxa" w:w="3628"/>
          </w:tcPr>
          <w:p>
            <w:pPr>
              <w:spacing w:line="240" w:lineRule="auto" w:after="40" w:before="40"/>
              <w:jc w:val="left"/>
            </w:pPr>
            <w:r>
              <w:rPr>
                <w:b w:val="0"/>
                <w:i w:val="0"/>
                <w:sz w:val="18"/>
              </w:rPr>
              <w:t>Random</w:t>
            </w:r>
          </w:p>
        </w:tc>
        <w:tc>
          <w:tcPr>
            <w:tcW w:type="dxa" w:w="1020"/>
          </w:tcPr>
          <w:p>
            <w:pPr>
              <w:spacing w:line="240" w:lineRule="auto" w:after="40" w:before="40"/>
              <w:jc w:val="right"/>
            </w:pPr>
            <w:r>
              <w:rPr>
                <w:b w:val="0"/>
                <w:i w:val="0"/>
                <w:sz w:val="18"/>
              </w:rPr>
              <w:t>0.057</w:t>
            </w:r>
          </w:p>
        </w:tc>
        <w:tc>
          <w:tcPr>
            <w:tcW w:type="dxa" w:w="1020"/>
          </w:tcPr>
          <w:p>
            <w:pPr>
              <w:spacing w:line="240" w:lineRule="auto" w:after="40" w:before="40"/>
              <w:jc w:val="right"/>
            </w:pPr>
            <w:r>
              <w:rPr>
                <w:b w:val="0"/>
                <w:i w:val="0"/>
                <w:sz w:val="18"/>
              </w:rPr>
              <w:t>0.053</w:t>
            </w:r>
          </w:p>
        </w:tc>
        <w:tc>
          <w:tcPr>
            <w:tcW w:type="dxa" w:w="1134"/>
          </w:tcPr>
          <w:p>
            <w:pPr>
              <w:spacing w:line="240" w:lineRule="auto" w:after="40" w:before="40"/>
              <w:jc w:val="right"/>
            </w:pPr>
            <w:r>
              <w:rPr>
                <w:b w:val="0"/>
                <w:i w:val="0"/>
                <w:sz w:val="18"/>
              </w:rPr>
              <w:t>0.596</w:t>
            </w:r>
          </w:p>
        </w:tc>
        <w:tc>
          <w:tcPr>
            <w:tcW w:type="dxa" w:w="1077"/>
          </w:tcPr>
          <w:p>
            <w:pPr>
              <w:spacing w:line="240" w:lineRule="auto" w:after="40" w:before="40"/>
              <w:jc w:val="right"/>
            </w:pPr>
            <w:r>
              <w:rPr>
                <w:b w:val="0"/>
                <w:i w:val="0"/>
                <w:sz w:val="18"/>
              </w:rPr>
              <w:t>0.003</w:t>
            </w:r>
          </w:p>
        </w:tc>
        <w:tc>
          <w:tcPr>
            <w:tcW w:type="dxa" w:w="1134"/>
          </w:tcPr>
          <w:p>
            <w:pPr>
              <w:spacing w:line="240" w:lineRule="auto" w:after="40" w:before="40"/>
              <w:jc w:val="right"/>
            </w:pPr>
            <w:r>
              <w:rPr>
                <w:b w:val="0"/>
                <w:i w:val="0"/>
                <w:sz w:val="18"/>
              </w:rPr>
              <w:t>0.962</w:t>
            </w:r>
          </w:p>
        </w:tc>
      </w:tr>
    </w:tbl>
    <w:p>
      <w:pPr>
        <w:spacing w:after="200" w:line="240" w:lineRule="auto" w:before="80"/>
        <w:jc w:val="left"/>
      </w:pPr>
      <w:r>
        <w:rPr>
          <w:b w:val="0"/>
          <w:i/>
          <w:sz w:val="18"/>
        </w:rPr>
        <w:t>Diversity: mean pairwise 1 − Jaccard similarity of ingredient sets. Without the recall the default reaches 0.835 on all three criteria.</w:t>
      </w:r>
    </w:p>
    <w:p>
      <w:r>
        <w:rPr>
          <w:b w:val="0"/>
          <w:i w:val="0"/>
        </w:rPr>
        <w:t>Only the health-gated variants always meet every evidence-linked reference. Without the gate the weighted score traded health for cuisine or practicality in 26% of recommendations. Acceptability raised the share meeting all three criteria from 0.796 to 0.831 and is part of the default. Diversity re-ranking added little (0.947 to 0.956) at a cost in practicality, because the default list is already varied, so it remains an option. The health-only and nutrition-only baselines coincide because both select among the same tied recipes that meet every reference value.</w:t>
      </w:r>
    </w:p>
    <w:p>
      <w:r>
        <w:rPr>
          <w:b w:val="0"/>
          <w:i w:val="0"/>
        </w:rPr>
        <w:t>Priority levels shape the recommendations in the expected direction: with a high saturated-fat priority the top 10 averages 3.25% of energy from saturated fat against 3.55% with a low one, and 4.22% against 4.58% for sugars. Fibre does not differ, because almost every gated recipe is already far above the fibre reference.</w:t>
      </w:r>
    </w:p>
    <w:p>
      <w:r>
        <w:rPr>
          <w:b w:val="0"/>
          <w:i w:val="0"/>
        </w:rPr>
        <w:t>The sensitivity analysis reran the default ranking over 36 combinations of weights in steps of 0.1 (Figure B.1). The mean overlap of the top 10 with the default was 0.74 (median 0.78); it fell mainly when cuisine had weight 0.1 (0.50) and was 0.77–0.83 for cuisine weights of 0.2 to 0.7.</w:t>
      </w:r>
    </w:p>
    <w:p>
      <w:pPr>
        <w:keepNext/>
        <w:spacing w:before="240"/>
        <w:jc w:val="center"/>
      </w:pPr>
      <w:r>
        <w:drawing>
          <wp:inline xmlns:a="http://schemas.openxmlformats.org/drawingml/2006/main" xmlns:pic="http://schemas.openxmlformats.org/drawingml/2006/picture">
            <wp:extent cx="5724000" cy="2349448"/>
            <wp:docPr id="1" name="Picture 1"/>
            <wp:cNvGraphicFramePr>
              <a:graphicFrameLocks noChangeAspect="1"/>
            </wp:cNvGraphicFramePr>
            <a:graphic>
              <a:graphicData uri="http://schemas.openxmlformats.org/drawingml/2006/picture">
                <pic:pic>
                  <pic:nvPicPr>
                    <pic:cNvPr id="0" name="fig_weight_sensitivity.png"/>
                    <pic:cNvPicPr/>
                  </pic:nvPicPr>
                  <pic:blipFill>
                    <a:blip r:embed="rId9"/>
                    <a:stretch>
                      <a:fillRect/>
                    </a:stretch>
                  </pic:blipFill>
                  <pic:spPr>
                    <a:xfrm>
                      <a:off x="0" y="0"/>
                      <a:ext cx="5724000" cy="2349448"/>
                    </a:xfrm>
                    <a:prstGeom prst="rect"/>
                  </pic:spPr>
                </pic:pic>
              </a:graphicData>
            </a:graphic>
          </wp:inline>
        </w:drawing>
      </w:r>
    </w:p>
    <w:p>
      <w:pPr>
        <w:pStyle w:val="Caption"/>
        <w:spacing w:before="80" w:after="240"/>
      </w:pPr>
      <w:r>
        <w:rPr>
          <w:b/>
        </w:rPr>
        <w:t xml:space="preserve">Figure B.1. </w:t>
      </w:r>
      <w:r>
        <w:t>Weight sensitivity of the default ranking over 300 held-out participants aged 12–59. (a) Mean share of the default top ten that is retained. (b) Mean share of the top ten meeting all three criteria.</w:t>
      </w:r>
    </w:p>
    <w:p>
      <w:pPr>
        <w:pStyle w:val="Heading2"/>
      </w:pPr>
      <w:r>
        <w:t>B.6 Seven-Day Meal Plans</w:t>
      </w:r>
    </w:p>
    <w:p>
      <w:r>
        <w:rPr>
          <w:b w:val="0"/>
          <w:i w:val="0"/>
        </w:rPr>
        <w:t>A plan gives two main meals a day for seven days from recipes that meet every reference, practical recipes first. Each plan is checked for: every meal and every day meeting the references, a recipe at most twice and never on the same or consecutive days, different protein families within a day and at most three per week, and the requested cuisine. Because a patient may lack the ingredients, tools or taste for another cuisine, the week is filled in three steps and stops at the first that completes it: (1) the requested cuisine only; (2) a favourite recipe may appear twice; (3) recipes from the most similar cuisines by ingredient profile (cosine similarity ≥ 0.8), each labelled as borrowed.</w:t>
      </w:r>
    </w:p>
    <w:p>
      <w:pPr>
        <w:pStyle w:val="Caption"/>
      </w:pPr>
      <w:r>
        <w:rPr>
          <w:b/>
        </w:rPr>
        <w:t xml:space="preserve">Table B.9. </w:t>
      </w:r>
      <w:r>
        <w:t>Seven-day plans for the 300 participants.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4513"/>
        <w:gridCol w:w="4513"/>
      </w:tblGrid>
      <w:tr>
        <w:trPr>
          <w:tblHeader/>
          <w:cantSplit/>
        </w:trPr>
        <w:tc>
          <w:tcPr>
            <w:tcW w:type="dxa" w:w="5669"/>
            <w:shd w:val="clear" w:color="auto" w:fill="EDEDED"/>
            <w:tcBorders>
              <w:bottom w:val="single" w:sz="6" w:space="0" w:color="000000"/>
            </w:tcBorders>
          </w:tcPr>
          <w:p>
            <w:pPr>
              <w:spacing w:line="240" w:lineRule="auto" w:after="40" w:before="40"/>
              <w:jc w:val="left"/>
            </w:pPr>
            <w:r>
              <w:rPr>
                <w:b/>
                <w:i w:val="0"/>
                <w:sz w:val="18"/>
              </w:rPr>
              <w:t>Check</w:t>
            </w:r>
          </w:p>
        </w:tc>
        <w:tc>
          <w:tcPr>
            <w:tcW w:type="dxa" w:w="2268"/>
            <w:shd w:val="clear" w:color="auto" w:fill="EDEDED"/>
            <w:tcBorders>
              <w:bottom w:val="single" w:sz="6" w:space="0" w:color="000000"/>
            </w:tcBorders>
          </w:tcPr>
          <w:p>
            <w:pPr>
              <w:spacing w:line="240" w:lineRule="auto" w:after="40" w:before="40"/>
              <w:jc w:val="right"/>
            </w:pPr>
            <w:r>
              <w:rPr>
                <w:b/>
                <w:i w:val="0"/>
                <w:sz w:val="18"/>
              </w:rPr>
              <w:t>Share of patients</w:t>
            </w:r>
          </w:p>
        </w:tc>
      </w:tr>
      <w:tr>
        <w:trPr>
          <w:cantSplit/>
        </w:trPr>
        <w:tc>
          <w:tcPr>
            <w:tcW w:type="dxa" w:w="5669"/>
          </w:tcPr>
          <w:p>
            <w:pPr>
              <w:spacing w:line="240" w:lineRule="auto" w:after="40" w:before="40"/>
              <w:jc w:val="left"/>
            </w:pPr>
            <w:r>
              <w:rPr>
                <w:b w:val="0"/>
                <w:i w:val="0"/>
                <w:sz w:val="18"/>
              </w:rPr>
              <w:t>Every meal meets the references</w:t>
            </w:r>
          </w:p>
        </w:tc>
        <w:tc>
          <w:tcPr>
            <w:tcW w:type="dxa" w:w="2268"/>
          </w:tcPr>
          <w:p>
            <w:pPr>
              <w:spacing w:line="240" w:lineRule="auto" w:after="40" w:before="40"/>
              <w:jc w:val="right"/>
            </w:pPr>
            <w:r>
              <w:rPr>
                <w:b w:val="0"/>
                <w:i w:val="0"/>
                <w:sz w:val="18"/>
              </w:rPr>
              <w:t>1.000</w:t>
            </w:r>
          </w:p>
        </w:tc>
      </w:tr>
      <w:tr>
        <w:trPr>
          <w:cantSplit/>
        </w:trPr>
        <w:tc>
          <w:tcPr>
            <w:tcW w:type="dxa" w:w="5669"/>
          </w:tcPr>
          <w:p>
            <w:pPr>
              <w:spacing w:line="240" w:lineRule="auto" w:after="40" w:before="40"/>
              <w:jc w:val="left"/>
            </w:pPr>
            <w:r>
              <w:rPr>
                <w:b w:val="0"/>
                <w:i w:val="0"/>
                <w:sz w:val="18"/>
              </w:rPr>
              <w:t>Every day meets the references</w:t>
            </w:r>
          </w:p>
        </w:tc>
        <w:tc>
          <w:tcPr>
            <w:tcW w:type="dxa" w:w="2268"/>
          </w:tcPr>
          <w:p>
            <w:pPr>
              <w:spacing w:line="240" w:lineRule="auto" w:after="40" w:before="40"/>
              <w:jc w:val="right"/>
            </w:pPr>
            <w:r>
              <w:rPr>
                <w:b w:val="0"/>
                <w:i w:val="0"/>
                <w:sz w:val="18"/>
              </w:rPr>
              <w:t>1.000</w:t>
            </w:r>
          </w:p>
        </w:tc>
      </w:tr>
      <w:tr>
        <w:trPr>
          <w:cantSplit/>
        </w:trPr>
        <w:tc>
          <w:tcPr>
            <w:tcW w:type="dxa" w:w="5669"/>
          </w:tcPr>
          <w:p>
            <w:pPr>
              <w:spacing w:line="240" w:lineRule="auto" w:after="40" w:before="40"/>
              <w:jc w:val="left"/>
            </w:pPr>
            <w:r>
              <w:rPr>
                <w:b w:val="0"/>
                <w:i w:val="0"/>
                <w:sz w:val="18"/>
              </w:rPr>
              <w:t>Repeats within limits; protein varied</w:t>
            </w:r>
          </w:p>
        </w:tc>
        <w:tc>
          <w:tcPr>
            <w:tcW w:type="dxa" w:w="2268"/>
          </w:tcPr>
          <w:p>
            <w:pPr>
              <w:spacing w:line="240" w:lineRule="auto" w:after="40" w:before="40"/>
              <w:jc w:val="right"/>
            </w:pPr>
            <w:r>
              <w:rPr>
                <w:b w:val="0"/>
                <w:i w:val="0"/>
                <w:sz w:val="18"/>
              </w:rPr>
              <w:t>1.000</w:t>
            </w:r>
          </w:p>
        </w:tc>
      </w:tr>
      <w:tr>
        <w:trPr>
          <w:cantSplit/>
        </w:trPr>
        <w:tc>
          <w:tcPr>
            <w:tcW w:type="dxa" w:w="5669"/>
          </w:tcPr>
          <w:p>
            <w:pPr>
              <w:spacing w:line="240" w:lineRule="auto" w:after="40" w:before="40"/>
              <w:jc w:val="left"/>
            </w:pPr>
            <w:r>
              <w:rPr>
                <w:b w:val="0"/>
                <w:i w:val="0"/>
                <w:sz w:val="18"/>
              </w:rPr>
              <w:t>Complete with own cuisine only (step 1)</w:t>
            </w:r>
          </w:p>
        </w:tc>
        <w:tc>
          <w:tcPr>
            <w:tcW w:type="dxa" w:w="2268"/>
          </w:tcPr>
          <w:p>
            <w:pPr>
              <w:spacing w:line="240" w:lineRule="auto" w:after="40" w:before="40"/>
              <w:jc w:val="right"/>
            </w:pPr>
            <w:r>
              <w:rPr>
                <w:b w:val="0"/>
                <w:i w:val="0"/>
                <w:sz w:val="18"/>
              </w:rPr>
              <w:t>0.583</w:t>
            </w:r>
          </w:p>
        </w:tc>
      </w:tr>
      <w:tr>
        <w:trPr>
          <w:cantSplit/>
        </w:trPr>
        <w:tc>
          <w:tcPr>
            <w:tcW w:type="dxa" w:w="5669"/>
          </w:tcPr>
          <w:p>
            <w:pPr>
              <w:spacing w:line="240" w:lineRule="auto" w:after="40" w:before="40"/>
              <w:jc w:val="left"/>
            </w:pPr>
            <w:r>
              <w:rPr>
                <w:b w:val="0"/>
                <w:i w:val="0"/>
                <w:sz w:val="18"/>
              </w:rPr>
              <w:t>Complete by step 2 (a favourite may repeat)</w:t>
            </w:r>
          </w:p>
        </w:tc>
        <w:tc>
          <w:tcPr>
            <w:tcW w:type="dxa" w:w="2268"/>
          </w:tcPr>
          <w:p>
            <w:pPr>
              <w:spacing w:line="240" w:lineRule="auto" w:after="40" w:before="40"/>
              <w:jc w:val="right"/>
            </w:pPr>
            <w:r>
              <w:rPr>
                <w:b w:val="0"/>
                <w:i w:val="0"/>
                <w:sz w:val="18"/>
              </w:rPr>
              <w:t>0.803</w:t>
            </w:r>
          </w:p>
        </w:tc>
      </w:tr>
      <w:tr>
        <w:trPr>
          <w:cantSplit/>
        </w:trPr>
        <w:tc>
          <w:tcPr>
            <w:tcW w:type="dxa" w:w="5669"/>
          </w:tcPr>
          <w:p>
            <w:pPr>
              <w:spacing w:line="240" w:lineRule="auto" w:after="40" w:before="40"/>
              <w:jc w:val="left"/>
            </w:pPr>
            <w:r>
              <w:rPr>
                <w:b w:val="0"/>
                <w:i w:val="0"/>
                <w:sz w:val="18"/>
              </w:rPr>
              <w:t>Complete by step 3 (similar cuisine allowed)</w:t>
            </w:r>
          </w:p>
        </w:tc>
        <w:tc>
          <w:tcPr>
            <w:tcW w:type="dxa" w:w="2268"/>
          </w:tcPr>
          <w:p>
            <w:pPr>
              <w:spacing w:line="240" w:lineRule="auto" w:after="40" w:before="40"/>
              <w:jc w:val="right"/>
            </w:pPr>
            <w:r>
              <w:rPr>
                <w:b w:val="0"/>
                <w:i w:val="0"/>
                <w:sz w:val="18"/>
              </w:rPr>
              <w:t>1.000</w:t>
            </w:r>
          </w:p>
        </w:tc>
      </w:tr>
    </w:tbl>
    <w:p>
      <w:pPr>
        <w:spacing w:after="200" w:line="240" w:lineRule="auto" w:before="80"/>
        <w:jc w:val="left"/>
      </w:pPr>
      <w:r>
        <w:rPr>
          <w:b w:val="0"/>
          <w:i/>
          <w:sz w:val="18"/>
        </w:rPr>
        <w:t>Asian, European and Mexican plans complete at step 1; American plans at step 2; Canadian plans need step 3 and borrow 0.98 meals on average. Plans used 5.9 protein families; 81% of plan meals are within the practical limits.</w:t>
      </w:r>
    </w:p>
    <w:p>
      <w:pPr>
        <w:pStyle w:val="Heading2"/>
      </w:pPr>
      <w:r>
        <w:t>B.7 Scenarios (Layer 5)</w:t>
      </w:r>
    </w:p>
    <w:p>
      <w:r>
        <w:rPr>
          <w:b w:val="0"/>
          <w:i w:val="0"/>
        </w:rPr>
        <w:t>A scenario is a set of recipes that replace the patient’s usual meals. For each recipe criterion the engine compares the scenario’s mean composition with the patient’s own 24-hour recall (usual meal energy is a third of daily energy) and reports whether it improves, worsens or does not change meaningfully, with the evidence label of that pathway: energy (calorie restriction, HAI2022-CR, MODERATE; weight loss of 5% or more, VG2015-WL5, STRONG, shown as conditional), saturated fat (LUU2018-SAT, MODERATE), sugars (MODERATE only when energy also falls, otherwise WEAK, following CHI2014-HYPER and CHI2014-ISO) and fibre as a marker of a Mediterranean-style diet (STE2026-MEDDIET, MODERATE). The Layer 2 model is not queried for scenarios, because it was not trained on interventions; every scenario is labelled “Simulated projection, not a clinical forecast”.</w:t>
      </w:r>
    </w:p>
    <w:p>
      <w:pPr>
        <w:pStyle w:val="Heading2"/>
      </w:pPr>
      <w:r>
        <w:t>B.8 Worked Example</w:t>
      </w:r>
    </w:p>
    <w:p>
      <w:r>
        <w:rPr>
          <w:b w:val="0"/>
          <w:i w:val="0"/>
        </w:rPr>
        <w:t>Participant 109349 (aged 47, held out from training; measured CAP 338 dB/m, reliable examination) has a predicted CAP of 313.7 dB/m and calibrated probabilities of 0.96 for CAP ≥ 248 and 0.78 for CAP ≥ 280. BMI 40.5 kg/m² and low HDL (45 mg/dL, below 50 for women) set the obesity and dyslipidaemia flags. All four priorities are high:</w:t>
      </w:r>
    </w:p>
    <w:p>
      <w:pPr>
        <w:pStyle w:val="Caption"/>
      </w:pPr>
      <w:r>
        <w:rPr>
          <w:b/>
        </w:rPr>
        <w:t xml:space="preserve">Table B.10. </w:t>
      </w:r>
      <w:r>
        <w:t>Priorities for participant 109349 and their reasons.</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3009"/>
        <w:gridCol w:w="3009"/>
        <w:gridCol w:w="3009"/>
      </w:tblGrid>
      <w:tr>
        <w:trPr>
          <w:tblHeader/>
          <w:cantSplit/>
        </w:trPr>
        <w:tc>
          <w:tcPr>
            <w:tcW w:type="dxa" w:w="2948"/>
            <w:shd w:val="clear" w:color="auto" w:fill="EDEDED"/>
            <w:tcBorders>
              <w:bottom w:val="single" w:sz="6" w:space="0" w:color="000000"/>
            </w:tcBorders>
          </w:tcPr>
          <w:p>
            <w:pPr>
              <w:spacing w:line="240" w:lineRule="auto" w:after="40" w:before="40"/>
              <w:jc w:val="left"/>
            </w:pPr>
            <w:r>
              <w:rPr>
                <w:b/>
                <w:i w:val="0"/>
                <w:sz w:val="17"/>
              </w:rPr>
              <w:t>Priority</w:t>
            </w:r>
          </w:p>
        </w:tc>
        <w:tc>
          <w:tcPr>
            <w:tcW w:type="dxa" w:w="907"/>
            <w:shd w:val="clear" w:color="auto" w:fill="EDEDED"/>
            <w:tcBorders>
              <w:bottom w:val="single" w:sz="6" w:space="0" w:color="000000"/>
            </w:tcBorders>
          </w:tcPr>
          <w:p>
            <w:pPr>
              <w:spacing w:line="240" w:lineRule="auto" w:after="40" w:before="40"/>
              <w:jc w:val="left"/>
            </w:pPr>
            <w:r>
              <w:rPr>
                <w:b/>
                <w:i w:val="0"/>
                <w:sz w:val="17"/>
              </w:rPr>
              <w:t>Level</w:t>
            </w:r>
          </w:p>
        </w:tc>
        <w:tc>
          <w:tcPr>
            <w:tcW w:type="dxa" w:w="5159"/>
            <w:shd w:val="clear" w:color="auto" w:fill="EDEDED"/>
            <w:tcBorders>
              <w:bottom w:val="single" w:sz="6" w:space="0" w:color="000000"/>
            </w:tcBorders>
          </w:tcPr>
          <w:p>
            <w:pPr>
              <w:spacing w:line="240" w:lineRule="auto" w:after="40" w:before="40"/>
              <w:jc w:val="left"/>
            </w:pPr>
            <w:r>
              <w:rPr>
                <w:b/>
                <w:i w:val="0"/>
                <w:sz w:val="17"/>
              </w:rPr>
              <w:t>Reason shown</w:t>
            </w:r>
          </w:p>
        </w:tc>
      </w:tr>
      <w:tr>
        <w:trPr>
          <w:cantSplit/>
        </w:trPr>
        <w:tc>
          <w:tcPr>
            <w:tcW w:type="dxa" w:w="2948"/>
          </w:tcPr>
          <w:p>
            <w:pPr>
              <w:spacing w:line="240" w:lineRule="auto" w:after="40" w:before="40"/>
              <w:jc w:val="left"/>
            </w:pPr>
            <w:r>
              <w:rPr>
                <w:b w:val="0"/>
                <w:i w:val="0"/>
                <w:sz w:val="17"/>
              </w:rPr>
              <w:t>Consider evidence-informed weight management</w:t>
            </w:r>
          </w:p>
        </w:tc>
        <w:tc>
          <w:tcPr>
            <w:tcW w:type="dxa" w:w="907"/>
          </w:tcPr>
          <w:p>
            <w:pPr>
              <w:spacing w:line="240" w:lineRule="auto" w:after="40" w:before="40"/>
              <w:jc w:val="left"/>
            </w:pPr>
            <w:r>
              <w:rPr>
                <w:b w:val="0"/>
                <w:i w:val="0"/>
                <w:sz w:val="17"/>
              </w:rPr>
              <w:t>High</w:t>
            </w:r>
          </w:p>
        </w:tc>
        <w:tc>
          <w:tcPr>
            <w:tcW w:type="dxa" w:w="5159"/>
          </w:tcPr>
          <w:p>
            <w:pPr>
              <w:spacing w:line="240" w:lineRule="auto" w:after="40" w:before="40"/>
              <w:jc w:val="left"/>
            </w:pPr>
            <w:r>
              <w:rPr>
                <w:b w:val="0"/>
                <w:i w:val="0"/>
                <w:sz w:val="17"/>
              </w:rPr>
              <w:t>Probable moderate-to-severe steatosis (CAP ≥ 280 dB/m)</w:t>
            </w:r>
          </w:p>
        </w:tc>
      </w:tr>
      <w:tr>
        <w:trPr>
          <w:cantSplit/>
        </w:trPr>
        <w:tc>
          <w:tcPr>
            <w:tcW w:type="dxa" w:w="2948"/>
          </w:tcPr>
          <w:p>
            <w:pPr>
              <w:spacing w:line="240" w:lineRule="auto" w:after="40" w:before="40"/>
              <w:jc w:val="left"/>
            </w:pPr>
            <w:r>
              <w:rPr>
                <w:b w:val="0"/>
                <w:i w:val="0"/>
                <w:sz w:val="17"/>
              </w:rPr>
              <w:t>Consider overall dietary quality</w:t>
            </w:r>
          </w:p>
        </w:tc>
        <w:tc>
          <w:tcPr>
            <w:tcW w:type="dxa" w:w="907"/>
          </w:tcPr>
          <w:p>
            <w:pPr>
              <w:spacing w:line="240" w:lineRule="auto" w:after="40" w:before="40"/>
              <w:jc w:val="left"/>
            </w:pPr>
            <w:r>
              <w:rPr>
                <w:b w:val="0"/>
                <w:i w:val="0"/>
                <w:sz w:val="17"/>
              </w:rPr>
              <w:t>High</w:t>
            </w:r>
          </w:p>
        </w:tc>
        <w:tc>
          <w:tcPr>
            <w:tcW w:type="dxa" w:w="5159"/>
          </w:tcPr>
          <w:p>
            <w:pPr>
              <w:spacing w:line="240" w:lineRule="auto" w:after="40" w:before="40"/>
              <w:jc w:val="left"/>
            </w:pPr>
            <w:r>
              <w:rPr>
                <w:b w:val="0"/>
                <w:i w:val="0"/>
                <w:sz w:val="17"/>
              </w:rPr>
              <w:t>Probable moderate-to-severe steatosis (CAP ≥ 280 dB/m); kept: fibre 4.1 g per 1,000 kcal in the 24-hour recall misses the reference ≥ 14</w:t>
            </w:r>
          </w:p>
        </w:tc>
      </w:tr>
      <w:tr>
        <w:trPr>
          <w:cantSplit/>
        </w:trPr>
        <w:tc>
          <w:tcPr>
            <w:tcW w:type="dxa" w:w="2948"/>
          </w:tcPr>
          <w:p>
            <w:pPr>
              <w:spacing w:line="240" w:lineRule="auto" w:after="40" w:before="40"/>
              <w:jc w:val="left"/>
            </w:pPr>
            <w:r>
              <w:rPr>
                <w:b w:val="0"/>
                <w:i w:val="0"/>
                <w:sz w:val="17"/>
              </w:rPr>
              <w:t>Prefer recipes lower in saturated fat</w:t>
            </w:r>
          </w:p>
        </w:tc>
        <w:tc>
          <w:tcPr>
            <w:tcW w:type="dxa" w:w="907"/>
          </w:tcPr>
          <w:p>
            <w:pPr>
              <w:spacing w:line="240" w:lineRule="auto" w:after="40" w:before="40"/>
              <w:jc w:val="left"/>
            </w:pPr>
            <w:r>
              <w:rPr>
                <w:b w:val="0"/>
                <w:i w:val="0"/>
                <w:sz w:val="17"/>
              </w:rPr>
              <w:t>High</w:t>
            </w:r>
          </w:p>
        </w:tc>
        <w:tc>
          <w:tcPr>
            <w:tcW w:type="dxa" w:w="5159"/>
          </w:tcPr>
          <w:p>
            <w:pPr>
              <w:spacing w:line="240" w:lineRule="auto" w:after="40" w:before="40"/>
              <w:jc w:val="left"/>
            </w:pPr>
            <w:r>
              <w:rPr>
                <w:b w:val="0"/>
                <w:i w:val="0"/>
                <w:sz w:val="17"/>
              </w:rPr>
              <w:t>Raised triglycerides or low HDL; kept: saturated fat 11.7% of energy in the 24-hour recall misses the reference ≤ 10</w:t>
            </w:r>
          </w:p>
        </w:tc>
      </w:tr>
      <w:tr>
        <w:trPr>
          <w:cantSplit/>
        </w:trPr>
        <w:tc>
          <w:tcPr>
            <w:tcW w:type="dxa" w:w="2948"/>
          </w:tcPr>
          <w:p>
            <w:pPr>
              <w:spacing w:line="240" w:lineRule="auto" w:after="40" w:before="40"/>
              <w:jc w:val="left"/>
            </w:pPr>
            <w:r>
              <w:rPr>
                <w:b w:val="0"/>
                <w:i w:val="0"/>
                <w:sz w:val="17"/>
              </w:rPr>
              <w:t>Prefer recipes lower in added sugars</w:t>
            </w:r>
          </w:p>
        </w:tc>
        <w:tc>
          <w:tcPr>
            <w:tcW w:type="dxa" w:w="907"/>
          </w:tcPr>
          <w:p>
            <w:pPr>
              <w:spacing w:line="240" w:lineRule="auto" w:after="40" w:before="40"/>
              <w:jc w:val="left"/>
            </w:pPr>
            <w:r>
              <w:rPr>
                <w:b w:val="0"/>
                <w:i w:val="0"/>
                <w:sz w:val="17"/>
              </w:rPr>
              <w:t>High</w:t>
            </w:r>
          </w:p>
        </w:tc>
        <w:tc>
          <w:tcPr>
            <w:tcW w:type="dxa" w:w="5159"/>
          </w:tcPr>
          <w:p>
            <w:pPr>
              <w:spacing w:line="240" w:lineRule="auto" w:after="40" w:before="40"/>
              <w:jc w:val="left"/>
            </w:pPr>
            <w:r>
              <w:rPr>
                <w:b w:val="0"/>
                <w:i w:val="0"/>
                <w:sz w:val="17"/>
              </w:rPr>
              <w:t>Excess weight, where surplus energy from sugar matters most; raised: added sugars 14.9% of energy in the 24-hour recall misses the reference ≤ 10</w:t>
            </w:r>
          </w:p>
        </w:tc>
      </w:tr>
    </w:tbl>
    <w:p>
      <w:pPr>
        <w:spacing w:after="40"/>
      </w:pPr>
    </w:p>
    <w:p>
      <w:r>
        <w:rPr>
          <w:b w:val="0"/>
          <w:i w:val="0"/>
        </w:rPr>
        <w:t>With Asian cuisine requested, 9,844 candidate meals are scored, 565 meet every reference value and 264 are held for data review.</w:t>
      </w:r>
    </w:p>
    <w:p>
      <w:pPr>
        <w:pStyle w:val="Caption"/>
      </w:pPr>
      <w:r>
        <w:rPr>
          <w:b/>
        </w:rPr>
        <w:t xml:space="preserve">Table B.11. </w:t>
      </w:r>
      <w:r>
        <w:t>Top three recommendations for participant 109349 (Asian cuisine requested).</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289"/>
        <w:gridCol w:w="1289"/>
        <w:gridCol w:w="1289"/>
        <w:gridCol w:w="1289"/>
        <w:gridCol w:w="1289"/>
        <w:gridCol w:w="1289"/>
        <w:gridCol w:w="1289"/>
      </w:tblGrid>
      <w:tr>
        <w:trPr>
          <w:tblHeader/>
          <w:cantSplit/>
        </w:trPr>
        <w:tc>
          <w:tcPr>
            <w:tcW w:type="dxa" w:w="794"/>
            <w:shd w:val="clear" w:color="auto" w:fill="EDEDED"/>
            <w:tcBorders>
              <w:bottom w:val="single" w:sz="6" w:space="0" w:color="000000"/>
            </w:tcBorders>
          </w:tcPr>
          <w:p>
            <w:pPr>
              <w:spacing w:line="240" w:lineRule="auto" w:after="40" w:before="40"/>
              <w:jc w:val="right"/>
            </w:pPr>
            <w:r>
              <w:rPr>
                <w:b/>
                <w:i w:val="0"/>
                <w:sz w:val="18"/>
              </w:rPr>
              <w:t>Rank</w:t>
            </w:r>
          </w:p>
        </w:tc>
        <w:tc>
          <w:tcPr>
            <w:tcW w:type="dxa" w:w="2665"/>
            <w:shd w:val="clear" w:color="auto" w:fill="EDEDED"/>
            <w:tcBorders>
              <w:bottom w:val="single" w:sz="6" w:space="0" w:color="000000"/>
            </w:tcBorders>
          </w:tcPr>
          <w:p>
            <w:pPr>
              <w:spacing w:line="240" w:lineRule="auto" w:after="40" w:before="40"/>
              <w:jc w:val="left"/>
            </w:pPr>
            <w:r>
              <w:rPr>
                <w:b/>
                <w:i w:val="0"/>
                <w:sz w:val="18"/>
              </w:rPr>
              <w:t>Recipe</w:t>
            </w:r>
          </w:p>
        </w:tc>
        <w:tc>
          <w:tcPr>
            <w:tcW w:type="dxa" w:w="1077"/>
            <w:shd w:val="clear" w:color="auto" w:fill="EDEDED"/>
            <w:tcBorders>
              <w:bottom w:val="single" w:sz="6" w:space="0" w:color="000000"/>
            </w:tcBorders>
          </w:tcPr>
          <w:p>
            <w:pPr>
              <w:spacing w:line="240" w:lineRule="auto" w:after="40" w:before="40"/>
              <w:jc w:val="right"/>
            </w:pPr>
            <w:r>
              <w:rPr>
                <w:b/>
                <w:i w:val="0"/>
                <w:sz w:val="18"/>
              </w:rPr>
              <w:t>Energy (kcal)</w:t>
            </w:r>
          </w:p>
        </w:tc>
        <w:tc>
          <w:tcPr>
            <w:tcW w:type="dxa" w:w="1134"/>
            <w:shd w:val="clear" w:color="auto" w:fill="EDEDED"/>
            <w:tcBorders>
              <w:bottom w:val="single" w:sz="6" w:space="0" w:color="000000"/>
            </w:tcBorders>
          </w:tcPr>
          <w:p>
            <w:pPr>
              <w:spacing w:line="240" w:lineRule="auto" w:after="40" w:before="40"/>
              <w:jc w:val="right"/>
            </w:pPr>
            <w:r>
              <w:rPr>
                <w:b/>
                <w:i w:val="0"/>
                <w:sz w:val="18"/>
              </w:rPr>
              <w:t>Sat. fat (% energy)</w:t>
            </w:r>
          </w:p>
        </w:tc>
        <w:tc>
          <w:tcPr>
            <w:tcW w:type="dxa" w:w="1134"/>
            <w:shd w:val="clear" w:color="auto" w:fill="EDEDED"/>
            <w:tcBorders>
              <w:bottom w:val="single" w:sz="6" w:space="0" w:color="000000"/>
            </w:tcBorders>
          </w:tcPr>
          <w:p>
            <w:pPr>
              <w:spacing w:line="240" w:lineRule="auto" w:after="40" w:before="40"/>
              <w:jc w:val="right"/>
            </w:pPr>
            <w:r>
              <w:rPr>
                <w:b/>
                <w:i w:val="0"/>
                <w:sz w:val="18"/>
              </w:rPr>
              <w:t>Sugars (% energy)</w:t>
            </w:r>
          </w:p>
        </w:tc>
        <w:tc>
          <w:tcPr>
            <w:tcW w:type="dxa" w:w="1247"/>
            <w:shd w:val="clear" w:color="auto" w:fill="EDEDED"/>
            <w:tcBorders>
              <w:bottom w:val="single" w:sz="6" w:space="0" w:color="000000"/>
            </w:tcBorders>
          </w:tcPr>
          <w:p>
            <w:pPr>
              <w:spacing w:line="240" w:lineRule="auto" w:after="40" w:before="40"/>
              <w:jc w:val="right"/>
            </w:pPr>
            <w:r>
              <w:rPr>
                <w:b/>
                <w:i w:val="0"/>
                <w:sz w:val="18"/>
              </w:rPr>
              <w:t>Fibre (g/1,000 kcal)</w:t>
            </w:r>
          </w:p>
        </w:tc>
        <w:tc>
          <w:tcPr>
            <w:tcW w:type="dxa" w:w="964"/>
            <w:shd w:val="clear" w:color="auto" w:fill="EDEDED"/>
            <w:tcBorders>
              <w:bottom w:val="single" w:sz="6" w:space="0" w:color="000000"/>
            </w:tcBorders>
          </w:tcPr>
          <w:p>
            <w:pPr>
              <w:spacing w:line="240" w:lineRule="auto" w:after="40" w:before="40"/>
              <w:jc w:val="right"/>
            </w:pPr>
            <w:r>
              <w:rPr>
                <w:b/>
                <w:i w:val="0"/>
                <w:sz w:val="18"/>
              </w:rPr>
              <w:t>Overall</w:t>
            </w:r>
          </w:p>
        </w:tc>
      </w:tr>
      <w:tr>
        <w:trPr>
          <w:cantSplit/>
        </w:trPr>
        <w:tc>
          <w:tcPr>
            <w:tcW w:type="dxa" w:w="794"/>
          </w:tcPr>
          <w:p>
            <w:pPr>
              <w:spacing w:line="240" w:lineRule="auto" w:after="40" w:before="40"/>
              <w:jc w:val="right"/>
            </w:pPr>
            <w:r>
              <w:rPr>
                <w:b w:val="0"/>
                <w:i w:val="0"/>
                <w:sz w:val="18"/>
              </w:rPr>
              <w:t>1</w:t>
            </w:r>
          </w:p>
        </w:tc>
        <w:tc>
          <w:tcPr>
            <w:tcW w:type="dxa" w:w="2665"/>
          </w:tcPr>
          <w:p>
            <w:pPr>
              <w:spacing w:line="240" w:lineRule="auto" w:after="40" w:before="40"/>
              <w:jc w:val="left"/>
            </w:pPr>
            <w:r>
              <w:rPr>
                <w:b w:val="0"/>
                <w:i w:val="0"/>
                <w:sz w:val="18"/>
              </w:rPr>
              <w:t>Avocado and Prawns in Wasabi</w:t>
            </w:r>
          </w:p>
        </w:tc>
        <w:tc>
          <w:tcPr>
            <w:tcW w:type="dxa" w:w="1077"/>
          </w:tcPr>
          <w:p>
            <w:pPr>
              <w:spacing w:line="240" w:lineRule="auto" w:after="40" w:before="40"/>
              <w:jc w:val="right"/>
            </w:pPr>
            <w:r>
              <w:rPr>
                <w:b w:val="0"/>
                <w:i w:val="0"/>
                <w:sz w:val="18"/>
              </w:rPr>
              <w:t>234</w:t>
            </w:r>
          </w:p>
        </w:tc>
        <w:tc>
          <w:tcPr>
            <w:tcW w:type="dxa" w:w="1134"/>
          </w:tcPr>
          <w:p>
            <w:pPr>
              <w:spacing w:line="240" w:lineRule="auto" w:after="40" w:before="40"/>
              <w:jc w:val="right"/>
            </w:pPr>
            <w:r>
              <w:rPr>
                <w:b w:val="0"/>
                <w:i w:val="0"/>
                <w:sz w:val="18"/>
              </w:rPr>
              <w:t>8.8</w:t>
            </w:r>
          </w:p>
        </w:tc>
        <w:tc>
          <w:tcPr>
            <w:tcW w:type="dxa" w:w="1134"/>
          </w:tcPr>
          <w:p>
            <w:pPr>
              <w:spacing w:line="240" w:lineRule="auto" w:after="40" w:before="40"/>
              <w:jc w:val="right"/>
            </w:pPr>
            <w:r>
              <w:rPr>
                <w:b w:val="0"/>
                <w:i w:val="0"/>
                <w:sz w:val="18"/>
              </w:rPr>
              <w:t>1.4</w:t>
            </w:r>
          </w:p>
        </w:tc>
        <w:tc>
          <w:tcPr>
            <w:tcW w:type="dxa" w:w="1247"/>
          </w:tcPr>
          <w:p>
            <w:pPr>
              <w:spacing w:line="240" w:lineRule="auto" w:after="40" w:before="40"/>
              <w:jc w:val="right"/>
            </w:pPr>
            <w:r>
              <w:rPr>
                <w:b w:val="0"/>
                <w:i w:val="0"/>
                <w:sz w:val="18"/>
              </w:rPr>
              <w:t>29.9</w:t>
            </w:r>
          </w:p>
        </w:tc>
        <w:tc>
          <w:tcPr>
            <w:tcW w:type="dxa" w:w="964"/>
          </w:tcPr>
          <w:p>
            <w:pPr>
              <w:spacing w:line="240" w:lineRule="auto" w:after="40" w:before="40"/>
              <w:jc w:val="right"/>
            </w:pPr>
            <w:r>
              <w:rPr>
                <w:b w:val="0"/>
                <w:i w:val="0"/>
                <w:sz w:val="18"/>
              </w:rPr>
              <w:t>83.7</w:t>
            </w:r>
          </w:p>
        </w:tc>
      </w:tr>
      <w:tr>
        <w:trPr>
          <w:cantSplit/>
        </w:trPr>
        <w:tc>
          <w:tcPr>
            <w:tcW w:type="dxa" w:w="794"/>
          </w:tcPr>
          <w:p>
            <w:pPr>
              <w:spacing w:line="240" w:lineRule="auto" w:after="40" w:before="40"/>
              <w:jc w:val="right"/>
            </w:pPr>
            <w:r>
              <w:rPr>
                <w:b w:val="0"/>
                <w:i w:val="0"/>
                <w:sz w:val="18"/>
              </w:rPr>
              <w:t>2</w:t>
            </w:r>
          </w:p>
        </w:tc>
        <w:tc>
          <w:tcPr>
            <w:tcW w:type="dxa" w:w="2665"/>
          </w:tcPr>
          <w:p>
            <w:pPr>
              <w:spacing w:line="240" w:lineRule="auto" w:after="40" w:before="40"/>
              <w:jc w:val="left"/>
            </w:pPr>
            <w:r>
              <w:rPr>
                <w:b w:val="0"/>
                <w:i w:val="0"/>
                <w:sz w:val="18"/>
              </w:rPr>
              <w:t>Spicy Chickpeas</w:t>
            </w:r>
          </w:p>
        </w:tc>
        <w:tc>
          <w:tcPr>
            <w:tcW w:type="dxa" w:w="1077"/>
          </w:tcPr>
          <w:p>
            <w:pPr>
              <w:spacing w:line="240" w:lineRule="auto" w:after="40" w:before="40"/>
              <w:jc w:val="right"/>
            </w:pPr>
            <w:r>
              <w:rPr>
                <w:b w:val="0"/>
                <w:i w:val="0"/>
                <w:sz w:val="18"/>
              </w:rPr>
              <w:t>271</w:t>
            </w:r>
          </w:p>
        </w:tc>
        <w:tc>
          <w:tcPr>
            <w:tcW w:type="dxa" w:w="1134"/>
          </w:tcPr>
          <w:p>
            <w:pPr>
              <w:spacing w:line="240" w:lineRule="auto" w:after="40" w:before="40"/>
              <w:jc w:val="right"/>
            </w:pPr>
            <w:r>
              <w:rPr>
                <w:b w:val="0"/>
                <w:i w:val="0"/>
                <w:sz w:val="18"/>
              </w:rPr>
              <w:t>3.0</w:t>
            </w:r>
          </w:p>
        </w:tc>
        <w:tc>
          <w:tcPr>
            <w:tcW w:type="dxa" w:w="1134"/>
          </w:tcPr>
          <w:p>
            <w:pPr>
              <w:spacing w:line="240" w:lineRule="auto" w:after="40" w:before="40"/>
              <w:jc w:val="right"/>
            </w:pPr>
            <w:r>
              <w:rPr>
                <w:b w:val="0"/>
                <w:i w:val="0"/>
                <w:sz w:val="18"/>
              </w:rPr>
              <w:t>3.4</w:t>
            </w:r>
          </w:p>
        </w:tc>
        <w:tc>
          <w:tcPr>
            <w:tcW w:type="dxa" w:w="1247"/>
          </w:tcPr>
          <w:p>
            <w:pPr>
              <w:spacing w:line="240" w:lineRule="auto" w:after="40" w:before="40"/>
              <w:jc w:val="right"/>
            </w:pPr>
            <w:r>
              <w:rPr>
                <w:b w:val="0"/>
                <w:i w:val="0"/>
                <w:sz w:val="18"/>
              </w:rPr>
              <w:t>31.7</w:t>
            </w:r>
          </w:p>
        </w:tc>
        <w:tc>
          <w:tcPr>
            <w:tcW w:type="dxa" w:w="964"/>
          </w:tcPr>
          <w:p>
            <w:pPr>
              <w:spacing w:line="240" w:lineRule="auto" w:after="40" w:before="40"/>
              <w:jc w:val="right"/>
            </w:pPr>
            <w:r>
              <w:rPr>
                <w:b w:val="0"/>
                <w:i w:val="0"/>
                <w:sz w:val="18"/>
              </w:rPr>
              <w:t>83.5</w:t>
            </w:r>
          </w:p>
        </w:tc>
      </w:tr>
      <w:tr>
        <w:trPr>
          <w:cantSplit/>
        </w:trPr>
        <w:tc>
          <w:tcPr>
            <w:tcW w:type="dxa" w:w="794"/>
          </w:tcPr>
          <w:p>
            <w:pPr>
              <w:spacing w:line="240" w:lineRule="auto" w:after="40" w:before="40"/>
              <w:jc w:val="right"/>
            </w:pPr>
            <w:r>
              <w:rPr>
                <w:b w:val="0"/>
                <w:i w:val="0"/>
                <w:sz w:val="18"/>
              </w:rPr>
              <w:t>3</w:t>
            </w:r>
          </w:p>
        </w:tc>
        <w:tc>
          <w:tcPr>
            <w:tcW w:type="dxa" w:w="2665"/>
          </w:tcPr>
          <w:p>
            <w:pPr>
              <w:spacing w:line="240" w:lineRule="auto" w:after="40" w:before="40"/>
              <w:jc w:val="left"/>
            </w:pPr>
            <w:r>
              <w:rPr>
                <w:b w:val="0"/>
                <w:i w:val="0"/>
                <w:sz w:val="18"/>
              </w:rPr>
              <w:t>Potatoes With Indian Spices</w:t>
            </w:r>
          </w:p>
        </w:tc>
        <w:tc>
          <w:tcPr>
            <w:tcW w:type="dxa" w:w="1077"/>
          </w:tcPr>
          <w:p>
            <w:pPr>
              <w:spacing w:line="240" w:lineRule="auto" w:after="40" w:before="40"/>
              <w:jc w:val="right"/>
            </w:pPr>
            <w:r>
              <w:rPr>
                <w:b w:val="0"/>
                <w:i w:val="0"/>
                <w:sz w:val="18"/>
              </w:rPr>
              <w:t>209</w:t>
            </w:r>
          </w:p>
        </w:tc>
        <w:tc>
          <w:tcPr>
            <w:tcW w:type="dxa" w:w="1134"/>
          </w:tcPr>
          <w:p>
            <w:pPr>
              <w:spacing w:line="240" w:lineRule="auto" w:after="40" w:before="40"/>
              <w:jc w:val="right"/>
            </w:pPr>
            <w:r>
              <w:rPr>
                <w:b w:val="0"/>
                <w:i w:val="0"/>
                <w:sz w:val="18"/>
              </w:rPr>
              <w:t>2.2</w:t>
            </w:r>
          </w:p>
        </w:tc>
        <w:tc>
          <w:tcPr>
            <w:tcW w:type="dxa" w:w="1134"/>
          </w:tcPr>
          <w:p>
            <w:pPr>
              <w:spacing w:line="240" w:lineRule="auto" w:after="40" w:before="40"/>
              <w:jc w:val="right"/>
            </w:pPr>
            <w:r>
              <w:rPr>
                <w:b w:val="0"/>
                <w:i w:val="0"/>
                <w:sz w:val="18"/>
              </w:rPr>
              <w:t>3.4</w:t>
            </w:r>
          </w:p>
        </w:tc>
        <w:tc>
          <w:tcPr>
            <w:tcW w:type="dxa" w:w="1247"/>
          </w:tcPr>
          <w:p>
            <w:pPr>
              <w:spacing w:line="240" w:lineRule="auto" w:after="40" w:before="40"/>
              <w:jc w:val="right"/>
            </w:pPr>
            <w:r>
              <w:rPr>
                <w:b w:val="0"/>
                <w:i w:val="0"/>
                <w:sz w:val="18"/>
              </w:rPr>
              <w:t>25.4</w:t>
            </w:r>
          </w:p>
        </w:tc>
        <w:tc>
          <w:tcPr>
            <w:tcW w:type="dxa" w:w="964"/>
          </w:tcPr>
          <w:p>
            <w:pPr>
              <w:spacing w:line="240" w:lineRule="auto" w:after="40" w:before="40"/>
              <w:jc w:val="right"/>
            </w:pPr>
            <w:r>
              <w:rPr>
                <w:b w:val="0"/>
                <w:i w:val="0"/>
                <w:sz w:val="18"/>
              </w:rPr>
              <w:t>83.0</w:t>
            </w:r>
          </w:p>
        </w:tc>
      </w:tr>
    </w:tbl>
    <w:p>
      <w:pPr>
        <w:spacing w:after="40"/>
      </w:pPr>
    </w:p>
    <w:p>
      <w:pPr>
        <w:pStyle w:val="Caption"/>
      </w:pPr>
      <w:r>
        <w:rPr>
          <w:b/>
        </w:rPr>
        <w:t xml:space="preserve">Table B.12. </w:t>
      </w:r>
      <w:r>
        <w:t>Scenarios for participant 109349 (European cuisine): usual diet against each scenario.</w:t>
      </w:r>
    </w:p>
    <w:tbl>
      <w:tblPr>
        <w:tblW w:type="auto" w:w="0"/>
        <w:jc w:val="center"/>
        <w:tblLayout w:type="fixed"/>
        <w:tblLook w:firstColumn="1" w:firstRow="1" w:lastColumn="0" w:lastRow="0" w:noHBand="0" w:noVBand="1" w:val="04A0"/>
        <w:tblBorders>
          <w:top w:val="single" w:sz="12" w:space="0" w:color="000000"/>
          <w:bottom w:val="single" w:sz="12" w:space="0" w:color="000000"/>
        </w:tblBorders>
        <w:tblLayout w:type="fixed"/>
      </w:tblPr>
      <w:tblGrid>
        <w:gridCol w:w="1504"/>
        <w:gridCol w:w="1504"/>
        <w:gridCol w:w="1504"/>
        <w:gridCol w:w="1504"/>
        <w:gridCol w:w="1504"/>
        <w:gridCol w:w="1504"/>
      </w:tblGrid>
      <w:tr>
        <w:trPr>
          <w:tblHeader/>
          <w:cantSplit/>
        </w:trPr>
        <w:tc>
          <w:tcPr>
            <w:tcW w:type="dxa" w:w="1134"/>
            <w:shd w:val="clear" w:color="auto" w:fill="EDEDED"/>
            <w:tcBorders>
              <w:bottom w:val="single" w:sz="6" w:space="0" w:color="000000"/>
            </w:tcBorders>
          </w:tcPr>
          <w:p>
            <w:pPr>
              <w:spacing w:line="240" w:lineRule="auto" w:after="40" w:before="40"/>
              <w:jc w:val="left"/>
            </w:pPr>
            <w:r>
              <w:rPr>
                <w:b/>
                <w:i w:val="0"/>
                <w:sz w:val="18"/>
              </w:rPr>
              <w:t>Scenario</w:t>
            </w:r>
          </w:p>
        </w:tc>
        <w:tc>
          <w:tcPr>
            <w:tcW w:type="dxa" w:w="2608"/>
            <w:shd w:val="clear" w:color="auto" w:fill="EDEDED"/>
            <w:tcBorders>
              <w:bottom w:val="single" w:sz="6" w:space="0" w:color="000000"/>
            </w:tcBorders>
          </w:tcPr>
          <w:p>
            <w:pPr>
              <w:spacing w:line="240" w:lineRule="auto" w:after="40" w:before="40"/>
              <w:jc w:val="left"/>
            </w:pPr>
            <w:r>
              <w:rPr>
                <w:b/>
                <w:i w:val="0"/>
                <w:sz w:val="18"/>
              </w:rPr>
              <w:t>Criterion</w:t>
            </w:r>
          </w:p>
        </w:tc>
        <w:tc>
          <w:tcPr>
            <w:tcW w:type="dxa" w:w="907"/>
            <w:shd w:val="clear" w:color="auto" w:fill="EDEDED"/>
            <w:tcBorders>
              <w:bottom w:val="single" w:sz="6" w:space="0" w:color="000000"/>
            </w:tcBorders>
          </w:tcPr>
          <w:p>
            <w:pPr>
              <w:spacing w:line="240" w:lineRule="auto" w:after="40" w:before="40"/>
              <w:jc w:val="right"/>
            </w:pPr>
            <w:r>
              <w:rPr>
                <w:b/>
                <w:i w:val="0"/>
                <w:sz w:val="18"/>
              </w:rPr>
              <w:t>Usual</w:t>
            </w:r>
          </w:p>
        </w:tc>
        <w:tc>
          <w:tcPr>
            <w:tcW w:type="dxa" w:w="1020"/>
            <w:shd w:val="clear" w:color="auto" w:fill="EDEDED"/>
            <w:tcBorders>
              <w:bottom w:val="single" w:sz="6" w:space="0" w:color="000000"/>
            </w:tcBorders>
          </w:tcPr>
          <w:p>
            <w:pPr>
              <w:spacing w:line="240" w:lineRule="auto" w:after="40" w:before="40"/>
              <w:jc w:val="right"/>
            </w:pPr>
            <w:r>
              <w:rPr>
                <w:b/>
                <w:i w:val="0"/>
                <w:sz w:val="18"/>
              </w:rPr>
              <w:t>Scenario</w:t>
            </w:r>
          </w:p>
        </w:tc>
        <w:tc>
          <w:tcPr>
            <w:tcW w:type="dxa" w:w="1701"/>
            <w:shd w:val="clear" w:color="auto" w:fill="EDEDED"/>
            <w:tcBorders>
              <w:bottom w:val="single" w:sz="6" w:space="0" w:color="000000"/>
            </w:tcBorders>
          </w:tcPr>
          <w:p>
            <w:pPr>
              <w:spacing w:line="240" w:lineRule="auto" w:after="40" w:before="40"/>
              <w:jc w:val="left"/>
            </w:pPr>
            <w:r>
              <w:rPr>
                <w:b/>
                <w:i w:val="0"/>
                <w:sz w:val="18"/>
              </w:rPr>
              <w:t>Direction</w:t>
            </w:r>
          </w:p>
        </w:tc>
        <w:tc>
          <w:tcPr>
            <w:tcW w:type="dxa" w:w="1701"/>
            <w:shd w:val="clear" w:color="auto" w:fill="EDEDED"/>
            <w:tcBorders>
              <w:bottom w:val="single" w:sz="6" w:space="0" w:color="000000"/>
            </w:tcBorders>
          </w:tcPr>
          <w:p>
            <w:pPr>
              <w:spacing w:line="240" w:lineRule="auto" w:after="40" w:before="40"/>
              <w:jc w:val="left"/>
            </w:pPr>
            <w:r>
              <w:rPr>
                <w:b/>
                <w:i w:val="0"/>
                <w:sz w:val="18"/>
              </w:rPr>
              <w:t>Evidence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Energy per serving (kcal)</w:t>
            </w:r>
          </w:p>
        </w:tc>
        <w:tc>
          <w:tcPr>
            <w:tcW w:type="dxa" w:w="907"/>
          </w:tcPr>
          <w:p>
            <w:pPr>
              <w:spacing w:line="240" w:lineRule="auto" w:after="40" w:before="40"/>
              <w:jc w:val="right"/>
            </w:pPr>
            <w:r>
              <w:rPr>
                <w:b w:val="0"/>
                <w:i w:val="0"/>
                <w:sz w:val="18"/>
              </w:rPr>
              <w:t>631.7</w:t>
            </w:r>
          </w:p>
        </w:tc>
        <w:tc>
          <w:tcPr>
            <w:tcW w:type="dxa" w:w="1020"/>
          </w:tcPr>
          <w:p>
            <w:pPr>
              <w:spacing w:line="240" w:lineRule="auto" w:after="40" w:before="40"/>
              <w:jc w:val="right"/>
            </w:pPr>
            <w:r>
              <w:rPr>
                <w:b w:val="0"/>
                <w:i w:val="0"/>
                <w:sz w:val="18"/>
              </w:rPr>
              <w:t>318.9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Fibre (g per 1,000 kcal)</w:t>
            </w:r>
          </w:p>
        </w:tc>
        <w:tc>
          <w:tcPr>
            <w:tcW w:type="dxa" w:w="907"/>
          </w:tcPr>
          <w:p>
            <w:pPr>
              <w:spacing w:line="240" w:lineRule="auto" w:after="40" w:before="40"/>
              <w:jc w:val="right"/>
            </w:pPr>
            <w:r>
              <w:rPr>
                <w:b w:val="0"/>
                <w:i w:val="0"/>
                <w:sz w:val="18"/>
              </w:rPr>
              <w:t>4.1</w:t>
            </w:r>
          </w:p>
        </w:tc>
        <w:tc>
          <w:tcPr>
            <w:tcW w:type="dxa" w:w="1020"/>
          </w:tcPr>
          <w:p>
            <w:pPr>
              <w:spacing w:line="240" w:lineRule="auto" w:after="40" w:before="40"/>
              <w:jc w:val="right"/>
            </w:pPr>
            <w:r>
              <w:rPr>
                <w:b w:val="0"/>
                <w:i w:val="0"/>
                <w:sz w:val="18"/>
              </w:rPr>
              <w:t>39.6</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Saturated fat (% of energy)</w:t>
            </w:r>
          </w:p>
        </w:tc>
        <w:tc>
          <w:tcPr>
            <w:tcW w:type="dxa" w:w="907"/>
          </w:tcPr>
          <w:p>
            <w:pPr>
              <w:spacing w:line="240" w:lineRule="auto" w:after="40" w:before="40"/>
              <w:jc w:val="right"/>
            </w:pPr>
            <w:r>
              <w:rPr>
                <w:b w:val="0"/>
                <w:i w:val="0"/>
                <w:sz w:val="18"/>
              </w:rPr>
              <w:t>11.7</w:t>
            </w:r>
          </w:p>
        </w:tc>
        <w:tc>
          <w:tcPr>
            <w:tcW w:type="dxa" w:w="1020"/>
          </w:tcPr>
          <w:p>
            <w:pPr>
              <w:spacing w:line="240" w:lineRule="auto" w:after="40" w:before="40"/>
              <w:jc w:val="right"/>
            </w:pPr>
            <w:r>
              <w:rPr>
                <w:b w:val="0"/>
                <w:i w:val="0"/>
                <w:sz w:val="18"/>
              </w:rPr>
              <w:t>1.9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A</w:t>
            </w:r>
          </w:p>
        </w:tc>
        <w:tc>
          <w:tcPr>
            <w:tcW w:type="dxa" w:w="2608"/>
          </w:tcPr>
          <w:p>
            <w:pPr>
              <w:spacing w:line="240" w:lineRule="auto" w:after="40" w:before="40"/>
              <w:jc w:val="left"/>
            </w:pPr>
            <w:r>
              <w:rPr>
                <w:b w:val="0"/>
                <w:i w:val="0"/>
                <w:sz w:val="18"/>
              </w:rPr>
              <w:t>Total sugars (% of energy)</w:t>
            </w:r>
          </w:p>
        </w:tc>
        <w:tc>
          <w:tcPr>
            <w:tcW w:type="dxa" w:w="907"/>
          </w:tcPr>
          <w:p>
            <w:pPr>
              <w:spacing w:line="240" w:lineRule="auto" w:after="40" w:before="40"/>
              <w:jc w:val="right"/>
            </w:pPr>
            <w:r>
              <w:rPr>
                <w:b w:val="0"/>
                <w:i w:val="0"/>
                <w:sz w:val="18"/>
              </w:rPr>
              <w:t>20.8</w:t>
            </w:r>
          </w:p>
        </w:tc>
        <w:tc>
          <w:tcPr>
            <w:tcW w:type="dxa" w:w="1020"/>
          </w:tcPr>
          <w:p>
            <w:pPr>
              <w:spacing w:line="240" w:lineRule="auto" w:after="40" w:before="40"/>
              <w:jc w:val="right"/>
            </w:pPr>
            <w:r>
              <w:rPr>
                <w:b w:val="0"/>
                <w:i w:val="0"/>
                <w:sz w:val="18"/>
              </w:rPr>
              <w:t>0.3</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Energy per serving (kcal)</w:t>
            </w:r>
          </w:p>
        </w:tc>
        <w:tc>
          <w:tcPr>
            <w:tcW w:type="dxa" w:w="907"/>
          </w:tcPr>
          <w:p>
            <w:pPr>
              <w:spacing w:line="240" w:lineRule="auto" w:after="40" w:before="40"/>
              <w:jc w:val="right"/>
            </w:pPr>
            <w:r>
              <w:rPr>
                <w:b w:val="0"/>
                <w:i w:val="0"/>
                <w:sz w:val="18"/>
              </w:rPr>
              <w:t>631.7</w:t>
            </w:r>
          </w:p>
        </w:tc>
        <w:tc>
          <w:tcPr>
            <w:tcW w:type="dxa" w:w="1020"/>
          </w:tcPr>
          <w:p>
            <w:pPr>
              <w:spacing w:line="240" w:lineRule="auto" w:after="40" w:before="40"/>
              <w:jc w:val="right"/>
            </w:pPr>
            <w:r>
              <w:rPr>
                <w:b w:val="0"/>
                <w:i w:val="0"/>
                <w:sz w:val="18"/>
              </w:rPr>
              <w:t>551.7</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Fibre (g per 1,000 kcal)</w:t>
            </w:r>
          </w:p>
        </w:tc>
        <w:tc>
          <w:tcPr>
            <w:tcW w:type="dxa" w:w="907"/>
          </w:tcPr>
          <w:p>
            <w:pPr>
              <w:spacing w:line="240" w:lineRule="auto" w:after="40" w:before="40"/>
              <w:jc w:val="right"/>
            </w:pPr>
            <w:r>
              <w:rPr>
                <w:b w:val="0"/>
                <w:i w:val="0"/>
                <w:sz w:val="18"/>
              </w:rPr>
              <w:t>4.1</w:t>
            </w:r>
          </w:p>
        </w:tc>
        <w:tc>
          <w:tcPr>
            <w:tcW w:type="dxa" w:w="1020"/>
          </w:tcPr>
          <w:p>
            <w:pPr>
              <w:spacing w:line="240" w:lineRule="auto" w:after="40" w:before="40"/>
              <w:jc w:val="right"/>
            </w:pPr>
            <w:r>
              <w:rPr>
                <w:b w:val="0"/>
                <w:i w:val="0"/>
                <w:sz w:val="18"/>
              </w:rPr>
              <w:t>15.9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Saturated fat (% of energy)</w:t>
            </w:r>
          </w:p>
        </w:tc>
        <w:tc>
          <w:tcPr>
            <w:tcW w:type="dxa" w:w="907"/>
          </w:tcPr>
          <w:p>
            <w:pPr>
              <w:spacing w:line="240" w:lineRule="auto" w:after="40" w:before="40"/>
              <w:jc w:val="right"/>
            </w:pPr>
            <w:r>
              <w:rPr>
                <w:b w:val="0"/>
                <w:i w:val="0"/>
                <w:sz w:val="18"/>
              </w:rPr>
              <w:t>11.7</w:t>
            </w:r>
          </w:p>
        </w:tc>
        <w:tc>
          <w:tcPr>
            <w:tcW w:type="dxa" w:w="1020"/>
          </w:tcPr>
          <w:p>
            <w:pPr>
              <w:spacing w:line="240" w:lineRule="auto" w:after="40" w:before="40"/>
              <w:jc w:val="right"/>
            </w:pPr>
            <w:r>
              <w:rPr>
                <w:b w:val="0"/>
                <w:i w:val="0"/>
                <w:sz w:val="18"/>
              </w:rPr>
              <w:t>4.9</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r>
        <w:trPr>
          <w:cantSplit/>
        </w:trPr>
        <w:tc>
          <w:tcPr>
            <w:tcW w:type="dxa" w:w="1134"/>
          </w:tcPr>
          <w:p>
            <w:pPr>
              <w:spacing w:line="240" w:lineRule="auto" w:after="40" w:before="40"/>
              <w:jc w:val="left"/>
            </w:pPr>
            <w:r>
              <w:rPr>
                <w:b w:val="0"/>
                <w:i w:val="0"/>
                <w:sz w:val="18"/>
              </w:rPr>
              <w:t>Scenario B</w:t>
            </w:r>
          </w:p>
        </w:tc>
        <w:tc>
          <w:tcPr>
            <w:tcW w:type="dxa" w:w="2608"/>
          </w:tcPr>
          <w:p>
            <w:pPr>
              <w:spacing w:line="240" w:lineRule="auto" w:after="40" w:before="40"/>
              <w:jc w:val="left"/>
            </w:pPr>
            <w:r>
              <w:rPr>
                <w:b w:val="0"/>
                <w:i w:val="0"/>
                <w:sz w:val="18"/>
              </w:rPr>
              <w:t>Total sugars (% of energy)</w:t>
            </w:r>
          </w:p>
        </w:tc>
        <w:tc>
          <w:tcPr>
            <w:tcW w:type="dxa" w:w="907"/>
          </w:tcPr>
          <w:p>
            <w:pPr>
              <w:spacing w:line="240" w:lineRule="auto" w:after="40" w:before="40"/>
              <w:jc w:val="right"/>
            </w:pPr>
            <w:r>
              <w:rPr>
                <w:b w:val="0"/>
                <w:i w:val="0"/>
                <w:sz w:val="18"/>
              </w:rPr>
              <w:t>20.8</w:t>
            </w:r>
          </w:p>
        </w:tc>
        <w:tc>
          <w:tcPr>
            <w:tcW w:type="dxa" w:w="1020"/>
          </w:tcPr>
          <w:p>
            <w:pPr>
              <w:spacing w:line="240" w:lineRule="auto" w:after="40" w:before="40"/>
              <w:jc w:val="right"/>
            </w:pPr>
            <w:r>
              <w:rPr>
                <w:b w:val="0"/>
                <w:i w:val="0"/>
                <w:sz w:val="18"/>
              </w:rPr>
              <w:t>6.5</w:t>
            </w:r>
          </w:p>
        </w:tc>
        <w:tc>
          <w:tcPr>
            <w:tcW w:type="dxa" w:w="1701"/>
          </w:tcPr>
          <w:p>
            <w:pPr>
              <w:spacing w:line="240" w:lineRule="auto" w:after="40" w:before="40"/>
              <w:jc w:val="left"/>
            </w:pPr>
            <w:r>
              <w:rPr>
                <w:b w:val="0"/>
                <w:i w:val="0"/>
                <w:sz w:val="18"/>
              </w:rPr>
              <w:t>improves</w:t>
            </w:r>
          </w:p>
        </w:tc>
        <w:tc>
          <w:tcPr>
            <w:tcW w:type="dxa" w:w="1701"/>
          </w:tcPr>
          <w:p>
            <w:pPr>
              <w:spacing w:line="240" w:lineRule="auto" w:after="40" w:before="40"/>
              <w:jc w:val="left"/>
            </w:pPr>
            <w:r>
              <w:rPr>
                <w:b w:val="0"/>
                <w:i w:val="0"/>
                <w:sz w:val="18"/>
              </w:rPr>
              <w:t>MODERATE</w:t>
            </w:r>
          </w:p>
        </w:tc>
      </w:tr>
    </w:tbl>
    <w:p>
      <w:pPr>
        <w:spacing w:after="200" w:line="240" w:lineRule="auto" w:before="80"/>
        <w:jc w:val="left"/>
      </w:pPr>
      <w:r>
        <w:rPr>
          <w:b w:val="0"/>
          <w:i/>
          <w:sz w:val="18"/>
        </w:rPr>
        <w:t>Scenario A (Broccoli and Garlic Pasta; 5 Ingredient Soup; Southern Lima Butter Beans With Ham Bits): improvement, MODERATE. Scenario B (Mediterranean Quinoa Salad; Pasta Puttanesca; Skillet Penne and Sausage Supper): improvement, MODERATE.</w:t>
      </w:r>
    </w:p>
    <w:p>
      <w:pPr>
        <w:pStyle w:val="Heading2"/>
      </w:pPr>
      <w:r>
        <w:t>B.9 Limitations</w:t>
      </w:r>
    </w:p>
    <w:p>
      <w:pPr>
        <w:ind w:left="510" w:hanging="283"/>
      </w:pPr>
      <w:r>
        <w:rPr>
          <w:b w:val="0"/>
          <w:i w:val="0"/>
        </w:rPr>
        <w:t>• Reference values come from population dietary guidance, not from liver-specific dose–response evidence; the evidence rows justify the direction of each criterion, not its threshold.</w:t>
      </w:r>
    </w:p>
    <w:p>
      <w:pPr>
        <w:ind w:left="510" w:hanging="283"/>
      </w:pPr>
      <w:r>
        <w:rPr>
          <w:b w:val="0"/>
          <w:i w:val="0"/>
        </w:rPr>
        <w:t>• Most participants with priorities receive all four; personalisation comes from the recall-adjusted priority levels, the margin inside the health gate and the patient’s preferences.</w:t>
      </w:r>
    </w:p>
    <w:p>
      <w:pPr>
        <w:ind w:left="510" w:hanging="283"/>
      </w:pPr>
      <w:r>
        <w:rPr>
          <w:b w:val="0"/>
          <w:i w:val="0"/>
        </w:rPr>
        <w:t>• A single 24-hour recall is a noisy measure of usual intake, which is why it moves a priority by one level at most.</w:t>
      </w:r>
    </w:p>
    <w:p>
      <w:pPr>
        <w:ind w:left="510" w:hanging="283"/>
      </w:pPr>
      <w:r>
        <w:rPr>
          <w:b w:val="0"/>
          <w:i w:val="0"/>
        </w:rPr>
        <w:t>• Cuisine preferences were simulated, and 73% of RecipeDB recipes have the cuisine label “Other”, which limits cuisine matching. Cuisine compatibility uses exact and configured related matches rather than the ingredient co-occurrence measure described in the proposal.</w:t>
      </w:r>
    </w:p>
    <w:p>
      <w:pPr>
        <w:ind w:left="510" w:hanging="283"/>
      </w:pPr>
      <w:r>
        <w:rPr>
          <w:b w:val="0"/>
          <w:i w:val="0"/>
        </w:rPr>
        <w:t>• RecipeDB nutrition is per serving as reported by recipe authors; implausible values are screened out but plausible errors remain. Total sugars stand in for added sugars in recipes.</w:t>
      </w:r>
    </w:p>
    <w:p>
      <w:pPr>
        <w:ind w:left="510" w:hanging="283"/>
      </w:pPr>
      <w:r>
        <w:rPr>
          <w:b w:val="0"/>
          <w:i w:val="0"/>
        </w:rPr>
        <w:t>• The evaluation covers held-out participants aged 12 to 59, the Layer 2 model’s scope.</w:t>
      </w:r>
    </w:p>
    <w:p>
      <w:pPr>
        <w:ind w:left="510" w:hanging="283"/>
      </w:pPr>
      <w:r>
        <w:rPr>
          <w:b w:val="0"/>
          <w:i w:val="0"/>
        </w:rPr>
        <w:t>• The evaluation measures whether recommendations satisfy the defined criteria. It does not show that following them changes liver fat; the planned pilot evaluation of recipe appropriateness has not yet been run.</w:t>
      </w:r>
    </w:p>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240" w:after="80"/>
      <w:jc w:val="left"/>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