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HepatoTwin: Exploratory Data Analysis</w:t>
      </w:r>
    </w:p>
    <w:p>
      <w:pPr>
        <w:spacing w:after="40"/>
        <w:jc w:val="center"/>
      </w:pPr>
      <w:r>
        <w:rPr>
          <w:b w:val="0"/>
          <w:i w:val="0"/>
        </w:rPr>
        <w:t>Datasets used by the final pipeline · 18 October 2026</w:t>
      </w:r>
    </w:p>
    <w:p>
      <w:pPr>
        <w:spacing w:after="240"/>
        <w:jc w:val="center"/>
      </w:pPr>
      <w:r>
        <w:rPr>
          <w:b w:val="0"/>
          <w:i/>
          <w:sz w:val="20"/>
        </w:rPr>
        <w:t>All figures and numbers are produced by src/eda_report.py (python -m src.eda_report) in https://github.com/manojna0012/HepatoTwin.</w:t>
      </w:r>
    </w:p>
    <w:p>
      <w:pPr>
        <w:pStyle w:val="Heading2"/>
      </w:pPr>
      <w:r>
        <w:t>1. Datasets</w:t>
      </w:r>
    </w:p>
    <w:p>
      <w:pPr>
        <w:pStyle w:val="Caption"/>
      </w:pPr>
      <w:r>
        <w:rPr>
          <w:b/>
        </w:rPr>
        <w:t xml:space="preserve">Table 1. </w:t>
      </w:r>
      <w:r>
        <w:t>Datasets and their role in the pipeline.</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4082"/>
            <w:shd w:val="clear" w:color="auto" w:fill="EDEDED"/>
            <w:tcBorders>
              <w:bottom w:val="single" w:sz="6" w:space="0" w:color="000000"/>
            </w:tcBorders>
          </w:tcPr>
          <w:p>
            <w:pPr>
              <w:spacing w:line="240" w:lineRule="auto" w:after="40" w:before="40"/>
              <w:jc w:val="left"/>
            </w:pPr>
            <w:r>
              <w:rPr>
                <w:b/>
                <w:i w:val="0"/>
                <w:sz w:val="18"/>
              </w:rPr>
              <w:t>Dataset</w:t>
            </w:r>
          </w:p>
        </w:tc>
        <w:tc>
          <w:tcPr>
            <w:tcW w:type="dxa" w:w="2608"/>
            <w:shd w:val="clear" w:color="auto" w:fill="EDEDED"/>
            <w:tcBorders>
              <w:bottom w:val="single" w:sz="6" w:space="0" w:color="000000"/>
            </w:tcBorders>
          </w:tcPr>
          <w:p>
            <w:pPr>
              <w:spacing w:line="240" w:lineRule="auto" w:after="40" w:before="40"/>
              <w:jc w:val="left"/>
            </w:pPr>
            <w:r>
              <w:rPr>
                <w:b/>
                <w:i w:val="0"/>
                <w:sz w:val="18"/>
              </w:rPr>
              <w:t>Role</w:t>
            </w:r>
          </w:p>
        </w:tc>
        <w:tc>
          <w:tcPr>
            <w:tcW w:type="dxa" w:w="2324"/>
            <w:shd w:val="clear" w:color="auto" w:fill="EDEDED"/>
            <w:tcBorders>
              <w:bottom w:val="single" w:sz="6" w:space="0" w:color="000000"/>
            </w:tcBorders>
          </w:tcPr>
          <w:p>
            <w:pPr>
              <w:spacing w:line="240" w:lineRule="auto" w:after="40" w:before="40"/>
              <w:jc w:val="left"/>
            </w:pPr>
            <w:r>
              <w:rPr>
                <w:b/>
                <w:i w:val="0"/>
                <w:sz w:val="18"/>
              </w:rPr>
              <w:t>Size after preparation</w:t>
            </w:r>
          </w:p>
        </w:tc>
      </w:tr>
      <w:tr>
        <w:trPr>
          <w:cantSplit/>
        </w:trPr>
        <w:tc>
          <w:tcPr>
            <w:tcW w:type="dxa" w:w="4082"/>
          </w:tcPr>
          <w:p>
            <w:pPr>
              <w:spacing w:line="240" w:lineRule="auto" w:after="40" w:before="40"/>
              <w:jc w:val="left"/>
            </w:pPr>
            <w:r>
              <w:rPr>
                <w:b w:val="0"/>
                <w:i w:val="0"/>
                <w:sz w:val="18"/>
              </w:rPr>
              <w:t>NHANES 2017–March 2020 and August 2021–August 2023, liver elastography (LUX) with demographics, examination, laboratory and questionnaire files</w:t>
            </w:r>
          </w:p>
        </w:tc>
        <w:tc>
          <w:tcPr>
            <w:tcW w:type="dxa" w:w="2608"/>
          </w:tcPr>
          <w:p>
            <w:pPr>
              <w:spacing w:line="240" w:lineRule="auto" w:after="40" w:before="40"/>
              <w:jc w:val="left"/>
            </w:pPr>
            <w:r>
              <w:rPr>
                <w:b w:val="0"/>
                <w:i w:val="0"/>
                <w:sz w:val="18"/>
              </w:rPr>
              <w:t>Training and evaluation of the liver state model (Layer 2)</w:t>
            </w:r>
          </w:p>
        </w:tc>
        <w:tc>
          <w:tcPr>
            <w:tcW w:type="dxa" w:w="2324"/>
          </w:tcPr>
          <w:p>
            <w:pPr>
              <w:spacing w:line="240" w:lineRule="auto" w:after="40" w:before="40"/>
              <w:jc w:val="left"/>
            </w:pPr>
            <w:r>
              <w:rPr>
                <w:b w:val="0"/>
                <w:i w:val="0"/>
                <w:sz w:val="18"/>
              </w:rPr>
              <w:t>15,300 participants with a complete FibroScan examination</w:t>
            </w:r>
          </w:p>
        </w:tc>
      </w:tr>
      <w:tr>
        <w:trPr>
          <w:cantSplit/>
        </w:trPr>
        <w:tc>
          <w:tcPr>
            <w:tcW w:type="dxa" w:w="4082"/>
          </w:tcPr>
          <w:p>
            <w:pPr>
              <w:spacing w:line="240" w:lineRule="auto" w:after="40" w:before="40"/>
              <w:jc w:val="left"/>
            </w:pPr>
            <w:r>
              <w:rPr>
                <w:b w:val="0"/>
                <w:i w:val="0"/>
                <w:sz w:val="18"/>
              </w:rPr>
              <w:t>NHANES day-1 24-hour dietary recall (DR1TOT, DR1IFF) with USDA FPED</w:t>
            </w:r>
          </w:p>
        </w:tc>
        <w:tc>
          <w:tcPr>
            <w:tcW w:type="dxa" w:w="2608"/>
          </w:tcPr>
          <w:p>
            <w:pPr>
              <w:spacing w:line="240" w:lineRule="auto" w:after="40" w:before="40"/>
              <w:jc w:val="left"/>
            </w:pPr>
            <w:r>
              <w:rPr>
                <w:b w:val="0"/>
                <w:i w:val="0"/>
                <w:sz w:val="18"/>
              </w:rPr>
              <w:t>Each patient's own intake (Layer 3)</w:t>
            </w:r>
          </w:p>
        </w:tc>
        <w:tc>
          <w:tcPr>
            <w:tcW w:type="dxa" w:w="2324"/>
          </w:tcPr>
          <w:p>
            <w:pPr>
              <w:spacing w:line="240" w:lineRule="auto" w:after="40" w:before="40"/>
              <w:jc w:val="left"/>
            </w:pPr>
            <w:r>
              <w:rPr>
                <w:b w:val="0"/>
                <w:i w:val="0"/>
                <w:sz w:val="18"/>
              </w:rPr>
              <w:t>9,391 reliable recalls</w:t>
            </w:r>
          </w:p>
        </w:tc>
      </w:tr>
      <w:tr>
        <w:trPr>
          <w:cantSplit/>
        </w:trPr>
        <w:tc>
          <w:tcPr>
            <w:tcW w:type="dxa" w:w="4082"/>
          </w:tcPr>
          <w:p>
            <w:pPr>
              <w:spacing w:line="240" w:lineRule="auto" w:after="40" w:before="40"/>
              <w:jc w:val="left"/>
            </w:pPr>
            <w:r>
              <w:rPr>
                <w:b w:val="0"/>
                <w:i w:val="0"/>
                <w:sz w:val="18"/>
              </w:rPr>
              <w:t>RecipeDB (lab API)</w:t>
            </w:r>
          </w:p>
        </w:tc>
        <w:tc>
          <w:tcPr>
            <w:tcW w:type="dxa" w:w="2608"/>
          </w:tcPr>
          <w:p>
            <w:pPr>
              <w:spacing w:line="240" w:lineRule="auto" w:after="40" w:before="40"/>
              <w:jc w:val="left"/>
            </w:pPr>
            <w:r>
              <w:rPr>
                <w:b w:val="0"/>
                <w:i w:val="0"/>
                <w:sz w:val="18"/>
              </w:rPr>
              <w:t>Candidate recipes (Layer 4)</w:t>
            </w:r>
          </w:p>
        </w:tc>
        <w:tc>
          <w:tcPr>
            <w:tcW w:type="dxa" w:w="2324"/>
          </w:tcPr>
          <w:p>
            <w:pPr>
              <w:spacing w:line="240" w:lineRule="auto" w:after="40" w:before="40"/>
              <w:jc w:val="left"/>
            </w:pPr>
            <w:r>
              <w:rPr>
                <w:b w:val="0"/>
                <w:i w:val="0"/>
                <w:sz w:val="18"/>
              </w:rPr>
              <w:t>20,000 recipes; 10,108 main meals</w:t>
            </w:r>
          </w:p>
        </w:tc>
      </w:tr>
      <w:tr>
        <w:trPr>
          <w:cantSplit/>
        </w:trPr>
        <w:tc>
          <w:tcPr>
            <w:tcW w:type="dxa" w:w="4082"/>
          </w:tcPr>
          <w:p>
            <w:pPr>
              <w:spacing w:line="240" w:lineRule="auto" w:after="40" w:before="40"/>
              <w:jc w:val="left"/>
            </w:pPr>
            <w:r>
              <w:rPr>
                <w:b w:val="0"/>
                <w:i w:val="0"/>
                <w:sz w:val="18"/>
              </w:rPr>
              <w:t>Curated evidence table</w:t>
            </w:r>
          </w:p>
        </w:tc>
        <w:tc>
          <w:tcPr>
            <w:tcW w:type="dxa" w:w="2608"/>
          </w:tcPr>
          <w:p>
            <w:pPr>
              <w:spacing w:line="240" w:lineRule="auto" w:after="40" w:before="40"/>
              <w:jc w:val="left"/>
            </w:pPr>
            <w:r>
              <w:rPr>
                <w:b w:val="0"/>
                <w:i w:val="0"/>
                <w:sz w:val="18"/>
              </w:rPr>
              <w:t>Graded intervention effects (Layer 3)</w:t>
            </w:r>
          </w:p>
        </w:tc>
        <w:tc>
          <w:tcPr>
            <w:tcW w:type="dxa" w:w="2324"/>
          </w:tcPr>
          <w:p>
            <w:pPr>
              <w:spacing w:line="240" w:lineRule="auto" w:after="40" w:before="40"/>
              <w:jc w:val="left"/>
            </w:pPr>
            <w:r>
              <w:rPr>
                <w:b w:val="0"/>
                <w:i w:val="0"/>
                <w:sz w:val="18"/>
              </w:rPr>
              <w:t>23 rows</w:t>
            </w:r>
          </w:p>
        </w:tc>
      </w:tr>
    </w:tbl>
    <w:p>
      <w:pPr>
        <w:spacing w:after="40"/>
      </w:pPr>
    </w:p>
    <w:p>
      <w:pPr>
        <w:pStyle w:val="Heading2"/>
      </w:pPr>
      <w:r>
        <w:t>2. NHANES FibroScan Cohort</w:t>
      </w:r>
    </w:p>
    <w:p>
      <w:r>
        <w:rPr>
          <w:b/>
          <w:i w:val="0"/>
        </w:rPr>
        <w:t>Inclusion.</w:t>
      </w:r>
      <w:r>
        <w:rPr>
          <w:b w:val="0"/>
          <w:i w:val="0"/>
        </w:rPr>
        <w:t xml:space="preserve"> Participants aged 12 and over with a complete elastography examination (LUAXSTAT = 1) and a recorded median CAP. The two cycles use the same examination and variable names; 2021–2023 is the last NHANES cycle with liver elastography. Values are kept in raw NHANES coding, and “refused” or “don't know” answers are converted to missing values in the model's feature step.</w:t>
      </w:r>
    </w:p>
    <w:p>
      <w:pPr>
        <w:pStyle w:val="Caption"/>
      </w:pPr>
      <w:r>
        <w:rPr>
          <w:b/>
        </w:rPr>
        <w:t xml:space="preserve">Table 2. </w:t>
      </w:r>
      <w:r>
        <w:t>Cohort characteristics.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4513"/>
        <w:gridCol w:w="4513"/>
      </w:tblGrid>
      <w:tr>
        <w:trPr>
          <w:tblHeader/>
          <w:cantSplit/>
        </w:trPr>
        <w:tc>
          <w:tcPr>
            <w:tcW w:type="dxa" w:w="4535"/>
            <w:shd w:val="clear" w:color="auto" w:fill="EDEDED"/>
            <w:tcBorders>
              <w:bottom w:val="single" w:sz="6" w:space="0" w:color="000000"/>
            </w:tcBorders>
          </w:tcPr>
          <w:p>
            <w:pPr>
              <w:spacing w:line="240" w:lineRule="auto" w:after="40" w:before="40"/>
              <w:jc w:val="left"/>
            </w:pPr>
            <w:r>
              <w:rPr>
                <w:b/>
                <w:i w:val="0"/>
                <w:sz w:val="18"/>
              </w:rPr>
              <w:t>Characteristic</w:t>
            </w:r>
          </w:p>
        </w:tc>
        <w:tc>
          <w:tcPr>
            <w:tcW w:type="dxa" w:w="4479"/>
            <w:shd w:val="clear" w:color="auto" w:fill="EDEDED"/>
            <w:tcBorders>
              <w:bottom w:val="single" w:sz="6" w:space="0" w:color="000000"/>
            </w:tcBorders>
          </w:tcPr>
          <w:p>
            <w:pPr>
              <w:spacing w:line="240" w:lineRule="auto" w:after="40" w:before="40"/>
              <w:jc w:val="right"/>
            </w:pPr>
            <w:r>
              <w:rPr>
                <w:b/>
                <w:i w:val="0"/>
                <w:sz w:val="18"/>
              </w:rPr>
              <w:t>Value</w:t>
            </w:r>
          </w:p>
        </w:tc>
      </w:tr>
      <w:tr>
        <w:trPr>
          <w:cantSplit/>
        </w:trPr>
        <w:tc>
          <w:tcPr>
            <w:tcW w:type="dxa" w:w="4535"/>
          </w:tcPr>
          <w:p>
            <w:pPr>
              <w:spacing w:line="240" w:lineRule="auto" w:after="40" w:before="40"/>
              <w:jc w:val="left"/>
            </w:pPr>
            <w:r>
              <w:rPr>
                <w:b w:val="0"/>
                <w:i w:val="0"/>
                <w:sz w:val="18"/>
              </w:rPr>
              <w:t>Participants (2017–2020 / 2021–2023)</w:t>
            </w:r>
          </w:p>
        </w:tc>
        <w:tc>
          <w:tcPr>
            <w:tcW w:type="dxa" w:w="4479"/>
          </w:tcPr>
          <w:p>
            <w:pPr>
              <w:spacing w:line="240" w:lineRule="auto" w:after="40" w:before="40"/>
              <w:jc w:val="right"/>
            </w:pPr>
            <w:r>
              <w:rPr>
                <w:b w:val="0"/>
                <w:i w:val="0"/>
                <w:sz w:val="18"/>
              </w:rPr>
              <w:t>15,300 (9,021 / 6,279)</w:t>
            </w:r>
          </w:p>
        </w:tc>
      </w:tr>
      <w:tr>
        <w:trPr>
          <w:cantSplit/>
        </w:trPr>
        <w:tc>
          <w:tcPr>
            <w:tcW w:type="dxa" w:w="4535"/>
          </w:tcPr>
          <w:p>
            <w:pPr>
              <w:spacing w:line="240" w:lineRule="auto" w:after="40" w:before="40"/>
              <w:jc w:val="left"/>
            </w:pPr>
            <w:r>
              <w:rPr>
                <w:b w:val="0"/>
                <w:i w:val="0"/>
                <w:sz w:val="18"/>
              </w:rPr>
              <w:t>Age, median (IQR), years</w:t>
            </w:r>
          </w:p>
        </w:tc>
        <w:tc>
          <w:tcPr>
            <w:tcW w:type="dxa" w:w="4479"/>
          </w:tcPr>
          <w:p>
            <w:pPr>
              <w:spacing w:line="240" w:lineRule="auto" w:after="40" w:before="40"/>
              <w:jc w:val="right"/>
            </w:pPr>
            <w:r>
              <w:rPr>
                <w:b w:val="0"/>
                <w:i w:val="0"/>
                <w:sz w:val="18"/>
              </w:rPr>
              <w:t>47 (27–63); range 12–80</w:t>
            </w:r>
          </w:p>
        </w:tc>
      </w:tr>
      <w:tr>
        <w:trPr>
          <w:cantSplit/>
        </w:trPr>
        <w:tc>
          <w:tcPr>
            <w:tcW w:type="dxa" w:w="4535"/>
          </w:tcPr>
          <w:p>
            <w:pPr>
              <w:spacing w:line="240" w:lineRule="auto" w:after="40" w:before="40"/>
              <w:jc w:val="left"/>
            </w:pPr>
            <w:r>
              <w:rPr>
                <w:b w:val="0"/>
                <w:i w:val="0"/>
                <w:sz w:val="18"/>
              </w:rPr>
              <w:t>Female</w:t>
            </w:r>
          </w:p>
        </w:tc>
        <w:tc>
          <w:tcPr>
            <w:tcW w:type="dxa" w:w="4479"/>
          </w:tcPr>
          <w:p>
            <w:pPr>
              <w:spacing w:line="240" w:lineRule="auto" w:after="40" w:before="40"/>
              <w:jc w:val="right"/>
            </w:pPr>
            <w:r>
              <w:rPr>
                <w:b w:val="0"/>
                <w:i w:val="0"/>
                <w:sz w:val="18"/>
              </w:rPr>
              <w:t>51%</w:t>
            </w:r>
          </w:p>
        </w:tc>
      </w:tr>
      <w:tr>
        <w:trPr>
          <w:cantSplit/>
        </w:trPr>
        <w:tc>
          <w:tcPr>
            <w:tcW w:type="dxa" w:w="4535"/>
          </w:tcPr>
          <w:p>
            <w:pPr>
              <w:spacing w:line="240" w:lineRule="auto" w:after="40" w:before="40"/>
              <w:jc w:val="left"/>
            </w:pPr>
            <w:r>
              <w:rPr>
                <w:b w:val="0"/>
                <w:i w:val="0"/>
                <w:sz w:val="18"/>
              </w:rPr>
              <w:t>BMI, median; obesity (BMI ≥ 30)</w:t>
            </w:r>
          </w:p>
        </w:tc>
        <w:tc>
          <w:tcPr>
            <w:tcW w:type="dxa" w:w="4479"/>
          </w:tcPr>
          <w:p>
            <w:pPr>
              <w:spacing w:line="240" w:lineRule="auto" w:after="40" w:before="40"/>
              <w:jc w:val="right"/>
            </w:pPr>
            <w:r>
              <w:rPr>
                <w:b w:val="0"/>
                <w:i w:val="0"/>
                <w:sz w:val="18"/>
              </w:rPr>
              <w:t>27.6 kg/m²; 36%</w:t>
            </w:r>
          </w:p>
        </w:tc>
      </w:tr>
      <w:tr>
        <w:trPr>
          <w:cantSplit/>
        </w:trPr>
        <w:tc>
          <w:tcPr>
            <w:tcW w:type="dxa" w:w="4535"/>
          </w:tcPr>
          <w:p>
            <w:pPr>
              <w:spacing w:line="240" w:lineRule="auto" w:after="40" w:before="40"/>
              <w:jc w:val="left"/>
            </w:pPr>
            <w:r>
              <w:rPr>
                <w:b w:val="0"/>
                <w:i w:val="0"/>
                <w:sz w:val="18"/>
              </w:rPr>
              <w:t>CAP, mean (SD); median</w:t>
            </w:r>
          </w:p>
        </w:tc>
        <w:tc>
          <w:tcPr>
            <w:tcW w:type="dxa" w:w="4479"/>
          </w:tcPr>
          <w:p>
            <w:pPr>
              <w:spacing w:line="240" w:lineRule="auto" w:after="40" w:before="40"/>
              <w:jc w:val="right"/>
            </w:pPr>
            <w:r>
              <w:rPr>
                <w:b w:val="0"/>
                <w:i w:val="0"/>
                <w:sz w:val="18"/>
              </w:rPr>
              <w:t>256 (63) dB/m; 251 dB/m</w:t>
            </w:r>
          </w:p>
        </w:tc>
      </w:tr>
      <w:tr>
        <w:trPr>
          <w:cantSplit/>
        </w:trPr>
        <w:tc>
          <w:tcPr>
            <w:tcW w:type="dxa" w:w="4535"/>
          </w:tcPr>
          <w:p>
            <w:pPr>
              <w:spacing w:line="240" w:lineRule="auto" w:after="40" w:before="40"/>
              <w:jc w:val="left"/>
            </w:pPr>
            <w:r>
              <w:rPr>
                <w:b w:val="0"/>
                <w:i w:val="0"/>
                <w:sz w:val="18"/>
              </w:rPr>
              <w:t>CAP ≥ 248 / ≥ 280 / ≥ 302 dB/m</w:t>
            </w:r>
          </w:p>
        </w:tc>
        <w:tc>
          <w:tcPr>
            <w:tcW w:type="dxa" w:w="4479"/>
          </w:tcPr>
          <w:p>
            <w:pPr>
              <w:spacing w:line="240" w:lineRule="auto" w:after="40" w:before="40"/>
              <w:jc w:val="right"/>
            </w:pPr>
            <w:r>
              <w:rPr>
                <w:b w:val="0"/>
                <w:i w:val="0"/>
                <w:sz w:val="18"/>
              </w:rPr>
              <w:t>52% / 34% / 24%</w:t>
            </w:r>
          </w:p>
        </w:tc>
      </w:tr>
      <w:tr>
        <w:trPr>
          <w:cantSplit/>
        </w:trPr>
        <w:tc>
          <w:tcPr>
            <w:tcW w:type="dxa" w:w="4535"/>
          </w:tcPr>
          <w:p>
            <w:pPr>
              <w:spacing w:line="240" w:lineRule="auto" w:after="40" w:before="40"/>
              <w:jc w:val="left"/>
            </w:pPr>
            <w:r>
              <w:rPr>
                <w:b w:val="0"/>
                <w:i w:val="0"/>
                <w:sz w:val="18"/>
              </w:rPr>
              <w:t>Reliable examinations (CAP IQR &lt; 40 dB/m)</w:t>
            </w:r>
          </w:p>
        </w:tc>
        <w:tc>
          <w:tcPr>
            <w:tcW w:type="dxa" w:w="4479"/>
          </w:tcPr>
          <w:p>
            <w:pPr>
              <w:spacing w:line="240" w:lineRule="auto" w:after="40" w:before="40"/>
              <w:jc w:val="right"/>
            </w:pPr>
            <w:r>
              <w:rPr>
                <w:b w:val="0"/>
                <w:i w:val="0"/>
                <w:sz w:val="18"/>
              </w:rPr>
              <w:t>62%</w:t>
            </w:r>
          </w:p>
        </w:tc>
      </w:tr>
      <w:tr>
        <w:trPr>
          <w:cantSplit/>
        </w:trPr>
        <w:tc>
          <w:tcPr>
            <w:tcW w:type="dxa" w:w="4535"/>
          </w:tcPr>
          <w:p>
            <w:pPr>
              <w:spacing w:line="240" w:lineRule="auto" w:after="40" w:before="40"/>
              <w:jc w:val="left"/>
            </w:pPr>
            <w:r>
              <w:rPr>
                <w:b w:val="0"/>
                <w:i w:val="0"/>
                <w:sz w:val="18"/>
              </w:rPr>
              <w:t>CAP at the device maximum (400 dB/m)</w:t>
            </w:r>
          </w:p>
        </w:tc>
        <w:tc>
          <w:tcPr>
            <w:tcW w:type="dxa" w:w="4479"/>
          </w:tcPr>
          <w:p>
            <w:pPr>
              <w:spacing w:line="240" w:lineRule="auto" w:after="40" w:before="40"/>
              <w:jc w:val="right"/>
            </w:pPr>
            <w:r>
              <w:rPr>
                <w:b w:val="0"/>
                <w:i w:val="0"/>
                <w:sz w:val="18"/>
              </w:rPr>
              <w:t>1.5%</w:t>
            </w:r>
          </w:p>
        </w:tc>
      </w:tr>
    </w:tbl>
    <w:p>
      <w:pPr>
        <w:spacing w:after="40"/>
      </w:pPr>
    </w:p>
    <w:p>
      <w:pPr>
        <w:jc w:val="center"/>
      </w:pPr>
      <w:r>
        <w:drawing>
          <wp:inline xmlns:a="http://schemas.openxmlformats.org/drawingml/2006/main" xmlns:pic="http://schemas.openxmlformats.org/drawingml/2006/picture">
            <wp:extent cx="5580000" cy="2253811"/>
            <wp:docPr id="1" name="Picture 1"/>
            <wp:cNvGraphicFramePr>
              <a:graphicFrameLocks noChangeAspect="1"/>
            </wp:cNvGraphicFramePr>
            <a:graphic>
              <a:graphicData uri="http://schemas.openxmlformats.org/drawingml/2006/picture">
                <pic:pic>
                  <pic:nvPicPr>
                    <pic:cNvPr id="0" name="fig_cap_distribution.png"/>
                    <pic:cNvPicPr/>
                  </pic:nvPicPr>
                  <pic:blipFill>
                    <a:blip r:embed="rId9"/>
                    <a:stretch>
                      <a:fillRect/>
                    </a:stretch>
                  </pic:blipFill>
                  <pic:spPr>
                    <a:xfrm>
                      <a:off x="0" y="0"/>
                      <a:ext cx="5580000" cy="2253811"/>
                    </a:xfrm>
                    <a:prstGeom prst="rect"/>
                  </pic:spPr>
                </pic:pic>
              </a:graphicData>
            </a:graphic>
          </wp:inline>
        </w:drawing>
      </w:r>
    </w:p>
    <w:p>
      <w:pPr>
        <w:pStyle w:val="Caption"/>
      </w:pPr>
      <w:r>
        <w:rPr>
          <w:b/>
        </w:rPr>
        <w:t xml:space="preserve">Figure 1. </w:t>
      </w:r>
      <w:r>
        <w:t>CAP by cycle with the steatosis grade cut-offs of Karlas et al. (2017), and by age group. The peak at 400 dB/m is the device maximum.</w:t>
      </w:r>
    </w:p>
    <w:p>
      <w:r>
        <w:rPr>
          <w:b w:val="0"/>
          <w:i w:val="0"/>
        </w:rPr>
        <w:t>CAP is roughly bell-shaped around 251 dB/m, so about half the cohort lies above the main cut-off of 248 dB/m (53% in 2017–2020, 51% in 2021–2023). The cut-offs for grades S1, S2 and S3 lie only 20 and 12 dB/m apart, narrower than the model's typical error, which is why the model classifies steatosis at two cut-offs rather than predicting four grades.</w:t>
      </w:r>
    </w:p>
    <w:p>
      <w:pPr>
        <w:pStyle w:val="Caption"/>
      </w:pPr>
      <w:r>
        <w:rPr>
          <w:b/>
        </w:rPr>
        <w:t xml:space="preserve">Table 3. </w:t>
      </w:r>
      <w:r>
        <w:t>CAP and steatosis prevalence by group.</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805"/>
        <w:gridCol w:w="1805"/>
        <w:gridCol w:w="1805"/>
        <w:gridCol w:w="1805"/>
        <w:gridCol w:w="1805"/>
      </w:tblGrid>
      <w:tr>
        <w:trPr>
          <w:tblHeader/>
          <w:cantSplit/>
        </w:trPr>
        <w:tc>
          <w:tcPr>
            <w:tcW w:type="dxa" w:w="1814"/>
            <w:shd w:val="clear" w:color="auto" w:fill="EDEDED"/>
            <w:tcBorders>
              <w:bottom w:val="single" w:sz="6" w:space="0" w:color="000000"/>
            </w:tcBorders>
          </w:tcPr>
          <w:p>
            <w:pPr>
              <w:spacing w:line="240" w:lineRule="auto" w:after="40" w:before="40"/>
              <w:jc w:val="left"/>
            </w:pPr>
            <w:r>
              <w:rPr>
                <w:b/>
                <w:i w:val="0"/>
                <w:sz w:val="18"/>
              </w:rPr>
              <w:t>Factor</w:t>
            </w:r>
          </w:p>
        </w:tc>
        <w:tc>
          <w:tcPr>
            <w:tcW w:type="dxa" w:w="2721"/>
            <w:shd w:val="clear" w:color="auto" w:fill="EDEDED"/>
            <w:tcBorders>
              <w:bottom w:val="single" w:sz="6" w:space="0" w:color="000000"/>
            </w:tcBorders>
          </w:tcPr>
          <w:p>
            <w:pPr>
              <w:spacing w:line="240" w:lineRule="auto" w:after="40" w:before="40"/>
              <w:jc w:val="left"/>
            </w:pPr>
            <w:r>
              <w:rPr>
                <w:b/>
                <w:i w:val="0"/>
                <w:sz w:val="18"/>
              </w:rPr>
              <w:t>Group</w:t>
            </w:r>
          </w:p>
        </w:tc>
        <w:tc>
          <w:tcPr>
            <w:tcW w:type="dxa" w:w="1361"/>
            <w:shd w:val="clear" w:color="auto" w:fill="EDEDED"/>
            <w:tcBorders>
              <w:bottom w:val="single" w:sz="6" w:space="0" w:color="000000"/>
            </w:tcBorders>
          </w:tcPr>
          <w:p>
            <w:pPr>
              <w:spacing w:line="240" w:lineRule="auto" w:after="40" w:before="40"/>
              <w:jc w:val="right"/>
            </w:pPr>
            <w:r>
              <w:rPr>
                <w:b/>
                <w:i w:val="0"/>
                <w:sz w:val="18"/>
              </w:rPr>
              <w:t>n</w:t>
            </w:r>
          </w:p>
        </w:tc>
        <w:tc>
          <w:tcPr>
            <w:tcW w:type="dxa" w:w="1474"/>
            <w:shd w:val="clear" w:color="auto" w:fill="EDEDED"/>
            <w:tcBorders>
              <w:bottom w:val="single" w:sz="6" w:space="0" w:color="000000"/>
            </w:tcBorders>
          </w:tcPr>
          <w:p>
            <w:pPr>
              <w:spacing w:line="240" w:lineRule="auto" w:after="40" w:before="40"/>
              <w:jc w:val="right"/>
            </w:pPr>
            <w:r>
              <w:rPr>
                <w:b/>
                <w:i w:val="0"/>
                <w:sz w:val="18"/>
              </w:rPr>
              <w:t>Mean CAP</w:t>
            </w:r>
          </w:p>
        </w:tc>
        <w:tc>
          <w:tcPr>
            <w:tcW w:type="dxa" w:w="1474"/>
            <w:shd w:val="clear" w:color="auto" w:fill="EDEDED"/>
            <w:tcBorders>
              <w:bottom w:val="single" w:sz="6" w:space="0" w:color="000000"/>
            </w:tcBorders>
          </w:tcPr>
          <w:p>
            <w:pPr>
              <w:spacing w:line="240" w:lineRule="auto" w:after="40" w:before="40"/>
              <w:jc w:val="right"/>
            </w:pPr>
            <w:r>
              <w:rPr>
                <w:b/>
                <w:i w:val="0"/>
                <w:sz w:val="18"/>
              </w:rPr>
              <w:t>CAP ≥ 248</w:t>
            </w:r>
          </w:p>
        </w:tc>
      </w:tr>
      <w:tr>
        <w:trPr>
          <w:cantSplit/>
        </w:trPr>
        <w:tc>
          <w:tcPr>
            <w:tcW w:type="dxa" w:w="1814"/>
          </w:tcPr>
          <w:p>
            <w:pPr>
              <w:spacing w:line="240" w:lineRule="auto" w:after="40" w:before="40"/>
              <w:jc w:val="left"/>
            </w:pPr>
            <w:r>
              <w:rPr>
                <w:b w:val="0"/>
                <w:i w:val="0"/>
                <w:sz w:val="18"/>
              </w:rPr>
              <w:t>Sex</w:t>
            </w:r>
          </w:p>
        </w:tc>
        <w:tc>
          <w:tcPr>
            <w:tcW w:type="dxa" w:w="2721"/>
          </w:tcPr>
          <w:p>
            <w:pPr>
              <w:spacing w:line="240" w:lineRule="auto" w:after="40" w:before="40"/>
              <w:jc w:val="left"/>
            </w:pPr>
            <w:r>
              <w:rPr>
                <w:b w:val="0"/>
                <w:i w:val="0"/>
                <w:sz w:val="18"/>
              </w:rPr>
              <w:t>Female</w:t>
            </w:r>
          </w:p>
        </w:tc>
        <w:tc>
          <w:tcPr>
            <w:tcW w:type="dxa" w:w="1361"/>
          </w:tcPr>
          <w:p>
            <w:pPr>
              <w:spacing w:line="240" w:lineRule="auto" w:after="40" w:before="40"/>
              <w:jc w:val="right"/>
            </w:pPr>
            <w:r>
              <w:rPr>
                <w:b w:val="0"/>
                <w:i w:val="0"/>
                <w:sz w:val="18"/>
              </w:rPr>
              <w:t>7,862</w:t>
            </w:r>
          </w:p>
        </w:tc>
        <w:tc>
          <w:tcPr>
            <w:tcW w:type="dxa" w:w="1474"/>
          </w:tcPr>
          <w:p>
            <w:pPr>
              <w:spacing w:line="240" w:lineRule="auto" w:after="40" w:before="40"/>
              <w:jc w:val="right"/>
            </w:pPr>
            <w:r>
              <w:rPr>
                <w:b w:val="0"/>
                <w:i w:val="0"/>
                <w:sz w:val="18"/>
              </w:rPr>
              <w:t>251</w:t>
            </w:r>
          </w:p>
        </w:tc>
        <w:tc>
          <w:tcPr>
            <w:tcW w:type="dxa" w:w="1474"/>
          </w:tcPr>
          <w:p>
            <w:pPr>
              <w:spacing w:line="240" w:lineRule="auto" w:after="40" w:before="40"/>
              <w:jc w:val="right"/>
            </w:pPr>
            <w:r>
              <w:rPr>
                <w:b w:val="0"/>
                <w:i w:val="0"/>
                <w:sz w:val="18"/>
              </w:rPr>
              <w:t>49%</w:t>
            </w:r>
          </w:p>
        </w:tc>
      </w:tr>
      <w:tr>
        <w:trPr>
          <w:cantSplit/>
        </w:trPr>
        <w:tc>
          <w:tcPr>
            <w:tcW w:type="dxa" w:w="1814"/>
          </w:tcPr>
          <w:p>
            <w:pPr>
              <w:spacing w:line="240" w:lineRule="auto" w:after="40" w:before="40"/>
              <w:jc w:val="left"/>
            </w:pPr>
          </w:p>
        </w:tc>
        <w:tc>
          <w:tcPr>
            <w:tcW w:type="dxa" w:w="2721"/>
          </w:tcPr>
          <w:p>
            <w:pPr>
              <w:spacing w:line="240" w:lineRule="auto" w:after="40" w:before="40"/>
              <w:jc w:val="left"/>
            </w:pPr>
            <w:r>
              <w:rPr>
                <w:b w:val="0"/>
                <w:i w:val="0"/>
                <w:sz w:val="18"/>
              </w:rPr>
              <w:t>Male</w:t>
            </w:r>
          </w:p>
        </w:tc>
        <w:tc>
          <w:tcPr>
            <w:tcW w:type="dxa" w:w="1361"/>
          </w:tcPr>
          <w:p>
            <w:pPr>
              <w:spacing w:line="240" w:lineRule="auto" w:after="40" w:before="40"/>
              <w:jc w:val="right"/>
            </w:pPr>
            <w:r>
              <w:rPr>
                <w:b w:val="0"/>
                <w:i w:val="0"/>
                <w:sz w:val="18"/>
              </w:rPr>
              <w:t>7,438</w:t>
            </w:r>
          </w:p>
        </w:tc>
        <w:tc>
          <w:tcPr>
            <w:tcW w:type="dxa" w:w="1474"/>
          </w:tcPr>
          <w:p>
            <w:pPr>
              <w:spacing w:line="240" w:lineRule="auto" w:after="40" w:before="40"/>
              <w:jc w:val="right"/>
            </w:pPr>
            <w:r>
              <w:rPr>
                <w:b w:val="0"/>
                <w:i w:val="0"/>
                <w:sz w:val="18"/>
              </w:rPr>
              <w:t>261</w:t>
            </w:r>
          </w:p>
        </w:tc>
        <w:tc>
          <w:tcPr>
            <w:tcW w:type="dxa" w:w="1474"/>
          </w:tcPr>
          <w:p>
            <w:pPr>
              <w:spacing w:line="240" w:lineRule="auto" w:after="40" w:before="40"/>
              <w:jc w:val="right"/>
            </w:pPr>
            <w:r>
              <w:rPr>
                <w:b w:val="0"/>
                <w:i w:val="0"/>
                <w:sz w:val="18"/>
              </w:rPr>
              <w:t>55%</w:t>
            </w:r>
          </w:p>
        </w:tc>
      </w:tr>
      <w:tr>
        <w:trPr>
          <w:cantSplit/>
        </w:trPr>
        <w:tc>
          <w:tcPr>
            <w:tcW w:type="dxa" w:w="1814"/>
          </w:tcPr>
          <w:p>
            <w:pPr>
              <w:spacing w:line="240" w:lineRule="auto" w:after="40" w:before="40"/>
              <w:jc w:val="left"/>
            </w:pPr>
            <w:r>
              <w:rPr>
                <w:b w:val="0"/>
                <w:i w:val="0"/>
                <w:sz w:val="18"/>
              </w:rPr>
              <w:t>Age</w:t>
            </w:r>
          </w:p>
        </w:tc>
        <w:tc>
          <w:tcPr>
            <w:tcW w:type="dxa" w:w="2721"/>
          </w:tcPr>
          <w:p>
            <w:pPr>
              <w:spacing w:line="240" w:lineRule="auto" w:after="40" w:before="40"/>
              <w:jc w:val="left"/>
            </w:pPr>
            <w:r>
              <w:rPr>
                <w:b w:val="0"/>
                <w:i w:val="0"/>
                <w:sz w:val="18"/>
              </w:rPr>
              <w:t>12–17</w:t>
            </w:r>
          </w:p>
        </w:tc>
        <w:tc>
          <w:tcPr>
            <w:tcW w:type="dxa" w:w="1361"/>
          </w:tcPr>
          <w:p>
            <w:pPr>
              <w:spacing w:line="240" w:lineRule="auto" w:after="40" w:before="40"/>
              <w:jc w:val="right"/>
            </w:pPr>
            <w:r>
              <w:rPr>
                <w:b w:val="0"/>
                <w:i w:val="0"/>
                <w:sz w:val="18"/>
              </w:rPr>
              <w:t>2,008</w:t>
            </w:r>
          </w:p>
        </w:tc>
        <w:tc>
          <w:tcPr>
            <w:tcW w:type="dxa" w:w="1474"/>
          </w:tcPr>
          <w:p>
            <w:pPr>
              <w:spacing w:line="240" w:lineRule="auto" w:after="40" w:before="40"/>
              <w:jc w:val="right"/>
            </w:pPr>
            <w:r>
              <w:rPr>
                <w:b w:val="0"/>
                <w:i w:val="0"/>
                <w:sz w:val="18"/>
              </w:rPr>
              <w:t>219</w:t>
            </w:r>
          </w:p>
        </w:tc>
        <w:tc>
          <w:tcPr>
            <w:tcW w:type="dxa" w:w="1474"/>
          </w:tcPr>
          <w:p>
            <w:pPr>
              <w:spacing w:line="240" w:lineRule="auto" w:after="40" w:before="40"/>
              <w:jc w:val="right"/>
            </w:pPr>
            <w:r>
              <w:rPr>
                <w:b w:val="0"/>
                <w:i w:val="0"/>
                <w:sz w:val="18"/>
              </w:rPr>
              <w:t>26%</w:t>
            </w:r>
          </w:p>
        </w:tc>
      </w:tr>
      <w:tr>
        <w:trPr>
          <w:cantSplit/>
        </w:trPr>
        <w:tc>
          <w:tcPr>
            <w:tcW w:type="dxa" w:w="1814"/>
          </w:tcPr>
          <w:p>
            <w:pPr>
              <w:spacing w:line="240" w:lineRule="auto" w:after="40" w:before="40"/>
              <w:jc w:val="left"/>
            </w:pPr>
          </w:p>
        </w:tc>
        <w:tc>
          <w:tcPr>
            <w:tcW w:type="dxa" w:w="2721"/>
          </w:tcPr>
          <w:p>
            <w:pPr>
              <w:spacing w:line="240" w:lineRule="auto" w:after="40" w:before="40"/>
              <w:jc w:val="left"/>
            </w:pPr>
            <w:r>
              <w:rPr>
                <w:b w:val="0"/>
                <w:i w:val="0"/>
                <w:sz w:val="18"/>
              </w:rPr>
              <w:t>18–39</w:t>
            </w:r>
          </w:p>
        </w:tc>
        <w:tc>
          <w:tcPr>
            <w:tcW w:type="dxa" w:w="1361"/>
          </w:tcPr>
          <w:p>
            <w:pPr>
              <w:spacing w:line="240" w:lineRule="auto" w:after="40" w:before="40"/>
              <w:jc w:val="right"/>
            </w:pPr>
            <w:r>
              <w:rPr>
                <w:b w:val="0"/>
                <w:i w:val="0"/>
                <w:sz w:val="18"/>
              </w:rPr>
              <w:t>4,267</w:t>
            </w:r>
          </w:p>
        </w:tc>
        <w:tc>
          <w:tcPr>
            <w:tcW w:type="dxa" w:w="1474"/>
          </w:tcPr>
          <w:p>
            <w:pPr>
              <w:spacing w:line="240" w:lineRule="auto" w:after="40" w:before="40"/>
              <w:jc w:val="right"/>
            </w:pPr>
            <w:r>
              <w:rPr>
                <w:b w:val="0"/>
                <w:i w:val="0"/>
                <w:sz w:val="18"/>
              </w:rPr>
              <w:t>244</w:t>
            </w:r>
          </w:p>
        </w:tc>
        <w:tc>
          <w:tcPr>
            <w:tcW w:type="dxa" w:w="1474"/>
          </w:tcPr>
          <w:p>
            <w:pPr>
              <w:spacing w:line="240" w:lineRule="auto" w:after="40" w:before="40"/>
              <w:jc w:val="right"/>
            </w:pPr>
            <w:r>
              <w:rPr>
                <w:b w:val="0"/>
                <w:i w:val="0"/>
                <w:sz w:val="18"/>
              </w:rPr>
              <w:t>43%</w:t>
            </w:r>
          </w:p>
        </w:tc>
      </w:tr>
      <w:tr>
        <w:trPr>
          <w:cantSplit/>
        </w:trPr>
        <w:tc>
          <w:tcPr>
            <w:tcW w:type="dxa" w:w="1814"/>
          </w:tcPr>
          <w:p>
            <w:pPr>
              <w:spacing w:line="240" w:lineRule="auto" w:after="40" w:before="40"/>
              <w:jc w:val="left"/>
            </w:pPr>
          </w:p>
        </w:tc>
        <w:tc>
          <w:tcPr>
            <w:tcW w:type="dxa" w:w="2721"/>
          </w:tcPr>
          <w:p>
            <w:pPr>
              <w:spacing w:line="240" w:lineRule="auto" w:after="40" w:before="40"/>
              <w:jc w:val="left"/>
            </w:pPr>
            <w:r>
              <w:rPr>
                <w:b w:val="0"/>
                <w:i w:val="0"/>
                <w:sz w:val="18"/>
              </w:rPr>
              <w:t>40–59</w:t>
            </w:r>
          </w:p>
        </w:tc>
        <w:tc>
          <w:tcPr>
            <w:tcW w:type="dxa" w:w="1361"/>
          </w:tcPr>
          <w:p>
            <w:pPr>
              <w:spacing w:line="240" w:lineRule="auto" w:after="40" w:before="40"/>
              <w:jc w:val="right"/>
            </w:pPr>
            <w:r>
              <w:rPr>
                <w:b w:val="0"/>
                <w:i w:val="0"/>
                <w:sz w:val="18"/>
              </w:rPr>
              <w:t>4,020</w:t>
            </w:r>
          </w:p>
        </w:tc>
        <w:tc>
          <w:tcPr>
            <w:tcW w:type="dxa" w:w="1474"/>
          </w:tcPr>
          <w:p>
            <w:pPr>
              <w:spacing w:line="240" w:lineRule="auto" w:after="40" w:before="40"/>
              <w:jc w:val="right"/>
            </w:pPr>
            <w:r>
              <w:rPr>
                <w:b w:val="0"/>
                <w:i w:val="0"/>
                <w:sz w:val="18"/>
              </w:rPr>
              <w:t>272</w:t>
            </w:r>
          </w:p>
        </w:tc>
        <w:tc>
          <w:tcPr>
            <w:tcW w:type="dxa" w:w="1474"/>
          </w:tcPr>
          <w:p>
            <w:pPr>
              <w:spacing w:line="240" w:lineRule="auto" w:after="40" w:before="40"/>
              <w:jc w:val="right"/>
            </w:pPr>
            <w:r>
              <w:rPr>
                <w:b w:val="0"/>
                <w:i w:val="0"/>
                <w:sz w:val="18"/>
              </w:rPr>
              <w:t>62%</w:t>
            </w:r>
          </w:p>
        </w:tc>
      </w:tr>
      <w:tr>
        <w:trPr>
          <w:cantSplit/>
        </w:trPr>
        <w:tc>
          <w:tcPr>
            <w:tcW w:type="dxa" w:w="1814"/>
          </w:tcPr>
          <w:p>
            <w:pPr>
              <w:spacing w:line="240" w:lineRule="auto" w:after="40" w:before="40"/>
              <w:jc w:val="left"/>
            </w:pPr>
          </w:p>
        </w:tc>
        <w:tc>
          <w:tcPr>
            <w:tcW w:type="dxa" w:w="2721"/>
          </w:tcPr>
          <w:p>
            <w:pPr>
              <w:spacing w:line="240" w:lineRule="auto" w:after="40" w:before="40"/>
              <w:jc w:val="left"/>
            </w:pPr>
            <w:r>
              <w:rPr>
                <w:b w:val="0"/>
                <w:i w:val="0"/>
                <w:sz w:val="18"/>
              </w:rPr>
              <w:t>60+</w:t>
            </w:r>
          </w:p>
        </w:tc>
        <w:tc>
          <w:tcPr>
            <w:tcW w:type="dxa" w:w="1361"/>
          </w:tcPr>
          <w:p>
            <w:pPr>
              <w:spacing w:line="240" w:lineRule="auto" w:after="40" w:before="40"/>
              <w:jc w:val="right"/>
            </w:pPr>
            <w:r>
              <w:rPr>
                <w:b w:val="0"/>
                <w:i w:val="0"/>
                <w:sz w:val="18"/>
              </w:rPr>
              <w:t>5,005</w:t>
            </w:r>
          </w:p>
        </w:tc>
        <w:tc>
          <w:tcPr>
            <w:tcW w:type="dxa" w:w="1474"/>
          </w:tcPr>
          <w:p>
            <w:pPr>
              <w:spacing w:line="240" w:lineRule="auto" w:after="40" w:before="40"/>
              <w:jc w:val="right"/>
            </w:pPr>
            <w:r>
              <w:rPr>
                <w:b w:val="0"/>
                <w:i w:val="0"/>
                <w:sz w:val="18"/>
              </w:rPr>
              <w:t>269</w:t>
            </w:r>
          </w:p>
        </w:tc>
        <w:tc>
          <w:tcPr>
            <w:tcW w:type="dxa" w:w="1474"/>
          </w:tcPr>
          <w:p>
            <w:pPr>
              <w:spacing w:line="240" w:lineRule="auto" w:after="40" w:before="40"/>
              <w:jc w:val="right"/>
            </w:pPr>
            <w:r>
              <w:rPr>
                <w:b w:val="0"/>
                <w:i w:val="0"/>
                <w:sz w:val="18"/>
              </w:rPr>
              <w:t>62%</w:t>
            </w:r>
          </w:p>
        </w:tc>
      </w:tr>
      <w:tr>
        <w:trPr>
          <w:cantSplit/>
        </w:trPr>
        <w:tc>
          <w:tcPr>
            <w:tcW w:type="dxa" w:w="1814"/>
          </w:tcPr>
          <w:p>
            <w:pPr>
              <w:spacing w:line="240" w:lineRule="auto" w:after="40" w:before="40"/>
              <w:jc w:val="left"/>
            </w:pPr>
            <w:r>
              <w:rPr>
                <w:b w:val="0"/>
                <w:i w:val="0"/>
                <w:sz w:val="18"/>
              </w:rPr>
              <w:t>Race and ethnicity</w:t>
            </w:r>
          </w:p>
        </w:tc>
        <w:tc>
          <w:tcPr>
            <w:tcW w:type="dxa" w:w="2721"/>
          </w:tcPr>
          <w:p>
            <w:pPr>
              <w:spacing w:line="240" w:lineRule="auto" w:after="40" w:before="40"/>
              <w:jc w:val="left"/>
            </w:pPr>
            <w:r>
              <w:rPr>
                <w:b w:val="0"/>
                <w:i w:val="0"/>
                <w:sz w:val="18"/>
              </w:rPr>
              <w:t>Mexican American</w:t>
            </w:r>
          </w:p>
        </w:tc>
        <w:tc>
          <w:tcPr>
            <w:tcW w:type="dxa" w:w="1361"/>
          </w:tcPr>
          <w:p>
            <w:pPr>
              <w:spacing w:line="240" w:lineRule="auto" w:after="40" w:before="40"/>
              <w:jc w:val="right"/>
            </w:pPr>
            <w:r>
              <w:rPr>
                <w:b w:val="0"/>
                <w:i w:val="0"/>
                <w:sz w:val="18"/>
              </w:rPr>
              <w:t>1,649</w:t>
            </w:r>
          </w:p>
        </w:tc>
        <w:tc>
          <w:tcPr>
            <w:tcW w:type="dxa" w:w="1474"/>
          </w:tcPr>
          <w:p>
            <w:pPr>
              <w:spacing w:line="240" w:lineRule="auto" w:after="40" w:before="40"/>
              <w:jc w:val="right"/>
            </w:pPr>
            <w:r>
              <w:rPr>
                <w:b w:val="0"/>
                <w:i w:val="0"/>
                <w:sz w:val="18"/>
              </w:rPr>
              <w:t>269</w:t>
            </w:r>
          </w:p>
        </w:tc>
        <w:tc>
          <w:tcPr>
            <w:tcW w:type="dxa" w:w="1474"/>
          </w:tcPr>
          <w:p>
            <w:pPr>
              <w:spacing w:line="240" w:lineRule="auto" w:after="40" w:before="40"/>
              <w:jc w:val="right"/>
            </w:pPr>
            <w:r>
              <w:rPr>
                <w:b w:val="0"/>
                <w:i w:val="0"/>
                <w:sz w:val="18"/>
              </w:rPr>
              <w:t>61%</w:t>
            </w:r>
          </w:p>
        </w:tc>
      </w:tr>
      <w:tr>
        <w:trPr>
          <w:cantSplit/>
        </w:trPr>
        <w:tc>
          <w:tcPr>
            <w:tcW w:type="dxa" w:w="1814"/>
          </w:tcPr>
          <w:p>
            <w:pPr>
              <w:spacing w:line="240" w:lineRule="auto" w:after="40" w:before="40"/>
              <w:jc w:val="left"/>
            </w:pPr>
          </w:p>
        </w:tc>
        <w:tc>
          <w:tcPr>
            <w:tcW w:type="dxa" w:w="2721"/>
          </w:tcPr>
          <w:p>
            <w:pPr>
              <w:spacing w:line="240" w:lineRule="auto" w:after="40" w:before="40"/>
              <w:jc w:val="left"/>
            </w:pPr>
            <w:r>
              <w:rPr>
                <w:b w:val="0"/>
                <w:i w:val="0"/>
                <w:sz w:val="18"/>
              </w:rPr>
              <w:t>Non-Hispanic Asian</w:t>
            </w:r>
          </w:p>
        </w:tc>
        <w:tc>
          <w:tcPr>
            <w:tcW w:type="dxa" w:w="1361"/>
          </w:tcPr>
          <w:p>
            <w:pPr>
              <w:spacing w:line="240" w:lineRule="auto" w:after="40" w:before="40"/>
              <w:jc w:val="right"/>
            </w:pPr>
            <w:r>
              <w:rPr>
                <w:b w:val="0"/>
                <w:i w:val="0"/>
                <w:sz w:val="18"/>
              </w:rPr>
              <w:t>1,438</w:t>
            </w:r>
          </w:p>
        </w:tc>
        <w:tc>
          <w:tcPr>
            <w:tcW w:type="dxa" w:w="1474"/>
          </w:tcPr>
          <w:p>
            <w:pPr>
              <w:spacing w:line="240" w:lineRule="auto" w:after="40" w:before="40"/>
              <w:jc w:val="right"/>
            </w:pPr>
            <w:r>
              <w:rPr>
                <w:b w:val="0"/>
                <w:i w:val="0"/>
                <w:sz w:val="18"/>
              </w:rPr>
              <w:t>252</w:t>
            </w:r>
          </w:p>
        </w:tc>
        <w:tc>
          <w:tcPr>
            <w:tcW w:type="dxa" w:w="1474"/>
          </w:tcPr>
          <w:p>
            <w:pPr>
              <w:spacing w:line="240" w:lineRule="auto" w:after="40" w:before="40"/>
              <w:jc w:val="right"/>
            </w:pPr>
            <w:r>
              <w:rPr>
                <w:b w:val="0"/>
                <w:i w:val="0"/>
                <w:sz w:val="18"/>
              </w:rPr>
              <w:t>50%</w:t>
            </w:r>
          </w:p>
        </w:tc>
      </w:tr>
      <w:tr>
        <w:trPr>
          <w:cantSplit/>
        </w:trPr>
        <w:tc>
          <w:tcPr>
            <w:tcW w:type="dxa" w:w="1814"/>
          </w:tcPr>
          <w:p>
            <w:pPr>
              <w:spacing w:line="240" w:lineRule="auto" w:after="40" w:before="40"/>
              <w:jc w:val="left"/>
            </w:pPr>
          </w:p>
        </w:tc>
        <w:tc>
          <w:tcPr>
            <w:tcW w:type="dxa" w:w="2721"/>
          </w:tcPr>
          <w:p>
            <w:pPr>
              <w:spacing w:line="240" w:lineRule="auto" w:after="40" w:before="40"/>
              <w:jc w:val="left"/>
            </w:pPr>
            <w:r>
              <w:rPr>
                <w:b w:val="0"/>
                <w:i w:val="0"/>
                <w:sz w:val="18"/>
              </w:rPr>
              <w:t>Non-Hispanic Black</w:t>
            </w:r>
          </w:p>
        </w:tc>
        <w:tc>
          <w:tcPr>
            <w:tcW w:type="dxa" w:w="1361"/>
          </w:tcPr>
          <w:p>
            <w:pPr>
              <w:spacing w:line="240" w:lineRule="auto" w:after="40" w:before="40"/>
              <w:jc w:val="right"/>
            </w:pPr>
            <w:r>
              <w:rPr>
                <w:b w:val="0"/>
                <w:i w:val="0"/>
                <w:sz w:val="18"/>
              </w:rPr>
              <w:t>3,121</w:t>
            </w:r>
          </w:p>
        </w:tc>
        <w:tc>
          <w:tcPr>
            <w:tcW w:type="dxa" w:w="1474"/>
          </w:tcPr>
          <w:p>
            <w:pPr>
              <w:spacing w:line="240" w:lineRule="auto" w:after="40" w:before="40"/>
              <w:jc w:val="right"/>
            </w:pPr>
            <w:r>
              <w:rPr>
                <w:b w:val="0"/>
                <w:i w:val="0"/>
                <w:sz w:val="18"/>
              </w:rPr>
              <w:t>246</w:t>
            </w:r>
          </w:p>
        </w:tc>
        <w:tc>
          <w:tcPr>
            <w:tcW w:type="dxa" w:w="1474"/>
          </w:tcPr>
          <w:p>
            <w:pPr>
              <w:spacing w:line="240" w:lineRule="auto" w:after="40" w:before="40"/>
              <w:jc w:val="right"/>
            </w:pPr>
            <w:r>
              <w:rPr>
                <w:b w:val="0"/>
                <w:i w:val="0"/>
                <w:sz w:val="18"/>
              </w:rPr>
              <w:t>46%</w:t>
            </w:r>
          </w:p>
        </w:tc>
      </w:tr>
      <w:tr>
        <w:trPr>
          <w:cantSplit/>
        </w:trPr>
        <w:tc>
          <w:tcPr>
            <w:tcW w:type="dxa" w:w="1814"/>
          </w:tcPr>
          <w:p>
            <w:pPr>
              <w:spacing w:line="240" w:lineRule="auto" w:after="40" w:before="40"/>
              <w:jc w:val="left"/>
            </w:pPr>
          </w:p>
        </w:tc>
        <w:tc>
          <w:tcPr>
            <w:tcW w:type="dxa" w:w="2721"/>
          </w:tcPr>
          <w:p>
            <w:pPr>
              <w:spacing w:line="240" w:lineRule="auto" w:after="40" w:before="40"/>
              <w:jc w:val="left"/>
            </w:pPr>
            <w:r>
              <w:rPr>
                <w:b w:val="0"/>
                <w:i w:val="0"/>
                <w:sz w:val="18"/>
              </w:rPr>
              <w:t>Non-Hispanic White</w:t>
            </w:r>
          </w:p>
        </w:tc>
        <w:tc>
          <w:tcPr>
            <w:tcW w:type="dxa" w:w="1361"/>
          </w:tcPr>
          <w:p>
            <w:pPr>
              <w:spacing w:line="240" w:lineRule="auto" w:after="40" w:before="40"/>
              <w:jc w:val="right"/>
            </w:pPr>
            <w:r>
              <w:rPr>
                <w:b w:val="0"/>
                <w:i w:val="0"/>
                <w:sz w:val="18"/>
              </w:rPr>
              <w:t>6,545</w:t>
            </w:r>
          </w:p>
        </w:tc>
        <w:tc>
          <w:tcPr>
            <w:tcW w:type="dxa" w:w="1474"/>
          </w:tcPr>
          <w:p>
            <w:pPr>
              <w:spacing w:line="240" w:lineRule="auto" w:after="40" w:before="40"/>
              <w:jc w:val="right"/>
            </w:pPr>
            <w:r>
              <w:rPr>
                <w:b w:val="0"/>
                <w:i w:val="0"/>
                <w:sz w:val="18"/>
              </w:rPr>
              <w:t>259</w:t>
            </w:r>
          </w:p>
        </w:tc>
        <w:tc>
          <w:tcPr>
            <w:tcW w:type="dxa" w:w="1474"/>
          </w:tcPr>
          <w:p>
            <w:pPr>
              <w:spacing w:line="240" w:lineRule="auto" w:after="40" w:before="40"/>
              <w:jc w:val="right"/>
            </w:pPr>
            <w:r>
              <w:rPr>
                <w:b w:val="0"/>
                <w:i w:val="0"/>
                <w:sz w:val="18"/>
              </w:rPr>
              <w:t>53%</w:t>
            </w:r>
          </w:p>
        </w:tc>
      </w:tr>
      <w:tr>
        <w:trPr>
          <w:cantSplit/>
        </w:trPr>
        <w:tc>
          <w:tcPr>
            <w:tcW w:type="dxa" w:w="1814"/>
          </w:tcPr>
          <w:p>
            <w:pPr>
              <w:spacing w:line="240" w:lineRule="auto" w:after="40" w:before="40"/>
              <w:jc w:val="left"/>
            </w:pPr>
          </w:p>
        </w:tc>
        <w:tc>
          <w:tcPr>
            <w:tcW w:type="dxa" w:w="2721"/>
          </w:tcPr>
          <w:p>
            <w:pPr>
              <w:spacing w:line="240" w:lineRule="auto" w:after="40" w:before="40"/>
              <w:jc w:val="left"/>
            </w:pPr>
            <w:r>
              <w:rPr>
                <w:b w:val="0"/>
                <w:i w:val="0"/>
                <w:sz w:val="18"/>
              </w:rPr>
              <w:t>Other Hispanic</w:t>
            </w:r>
          </w:p>
        </w:tc>
        <w:tc>
          <w:tcPr>
            <w:tcW w:type="dxa" w:w="1361"/>
          </w:tcPr>
          <w:p>
            <w:pPr>
              <w:spacing w:line="240" w:lineRule="auto" w:after="40" w:before="40"/>
              <w:jc w:val="right"/>
            </w:pPr>
            <w:r>
              <w:rPr>
                <w:b w:val="0"/>
                <w:i w:val="0"/>
                <w:sz w:val="18"/>
              </w:rPr>
              <w:t>1,609</w:t>
            </w:r>
          </w:p>
        </w:tc>
        <w:tc>
          <w:tcPr>
            <w:tcW w:type="dxa" w:w="1474"/>
          </w:tcPr>
          <w:p>
            <w:pPr>
              <w:spacing w:line="240" w:lineRule="auto" w:after="40" w:before="40"/>
              <w:jc w:val="right"/>
            </w:pPr>
            <w:r>
              <w:rPr>
                <w:b w:val="0"/>
                <w:i w:val="0"/>
                <w:sz w:val="18"/>
              </w:rPr>
              <w:t>257</w:t>
            </w:r>
          </w:p>
        </w:tc>
        <w:tc>
          <w:tcPr>
            <w:tcW w:type="dxa" w:w="1474"/>
          </w:tcPr>
          <w:p>
            <w:pPr>
              <w:spacing w:line="240" w:lineRule="auto" w:after="40" w:before="40"/>
              <w:jc w:val="right"/>
            </w:pPr>
            <w:r>
              <w:rPr>
                <w:b w:val="0"/>
                <w:i w:val="0"/>
                <w:sz w:val="18"/>
              </w:rPr>
              <w:t>55%</w:t>
            </w:r>
          </w:p>
        </w:tc>
      </w:tr>
      <w:tr>
        <w:trPr>
          <w:cantSplit/>
        </w:trPr>
        <w:tc>
          <w:tcPr>
            <w:tcW w:type="dxa" w:w="1814"/>
          </w:tcPr>
          <w:p>
            <w:pPr>
              <w:spacing w:line="240" w:lineRule="auto" w:after="40" w:before="40"/>
              <w:jc w:val="left"/>
            </w:pPr>
          </w:p>
        </w:tc>
        <w:tc>
          <w:tcPr>
            <w:tcW w:type="dxa" w:w="2721"/>
          </w:tcPr>
          <w:p>
            <w:pPr>
              <w:spacing w:line="240" w:lineRule="auto" w:after="40" w:before="40"/>
              <w:jc w:val="left"/>
            </w:pPr>
            <w:r>
              <w:rPr>
                <w:b w:val="0"/>
                <w:i w:val="0"/>
                <w:sz w:val="18"/>
              </w:rPr>
              <w:t>Other or multiracial</w:t>
            </w:r>
          </w:p>
        </w:tc>
        <w:tc>
          <w:tcPr>
            <w:tcW w:type="dxa" w:w="1361"/>
          </w:tcPr>
          <w:p>
            <w:pPr>
              <w:spacing w:line="240" w:lineRule="auto" w:after="40" w:before="40"/>
              <w:jc w:val="right"/>
            </w:pPr>
            <w:r>
              <w:rPr>
                <w:b w:val="0"/>
                <w:i w:val="0"/>
                <w:sz w:val="18"/>
              </w:rPr>
              <w:t>938</w:t>
            </w:r>
          </w:p>
        </w:tc>
        <w:tc>
          <w:tcPr>
            <w:tcW w:type="dxa" w:w="1474"/>
          </w:tcPr>
          <w:p>
            <w:pPr>
              <w:spacing w:line="240" w:lineRule="auto" w:after="40" w:before="40"/>
              <w:jc w:val="right"/>
            </w:pPr>
            <w:r>
              <w:rPr>
                <w:b w:val="0"/>
                <w:i w:val="0"/>
                <w:sz w:val="18"/>
              </w:rPr>
              <w:t>253</w:t>
            </w:r>
          </w:p>
        </w:tc>
        <w:tc>
          <w:tcPr>
            <w:tcW w:type="dxa" w:w="1474"/>
          </w:tcPr>
          <w:p>
            <w:pPr>
              <w:spacing w:line="240" w:lineRule="auto" w:after="40" w:before="40"/>
              <w:jc w:val="right"/>
            </w:pPr>
            <w:r>
              <w:rPr>
                <w:b w:val="0"/>
                <w:i w:val="0"/>
                <w:sz w:val="18"/>
              </w:rPr>
              <w:t>49%</w:t>
            </w:r>
          </w:p>
        </w:tc>
      </w:tr>
    </w:tbl>
    <w:p>
      <w:pPr>
        <w:spacing w:after="200" w:line="240" w:lineRule="auto" w:before="80"/>
        <w:jc w:val="left"/>
      </w:pPr>
      <w:r>
        <w:rPr>
          <w:b w:val="0"/>
          <w:i/>
          <w:sz w:val="18"/>
        </w:rPr>
        <w:t>Prevalence rises sharply after age 40 and is highest among Mexican American participants and lowest among non-Hispanic Black participants, consistent with published NHANES analyses.</w:t>
      </w:r>
    </w:p>
    <w:p>
      <w:pPr>
        <w:pStyle w:val="Heading3"/>
      </w:pPr>
      <w:r>
        <w:t>2.1 Which measurements relate to CAP</w:t>
      </w:r>
    </w:p>
    <w:p>
      <w:pPr>
        <w:jc w:val="center"/>
      </w:pPr>
      <w:r>
        <w:drawing>
          <wp:inline xmlns:a="http://schemas.openxmlformats.org/drawingml/2006/main" xmlns:pic="http://schemas.openxmlformats.org/drawingml/2006/picture">
            <wp:extent cx="4500000" cy="3014676"/>
            <wp:docPr id="2" name="Picture 2"/>
            <wp:cNvGraphicFramePr>
              <a:graphicFrameLocks noChangeAspect="1"/>
            </wp:cNvGraphicFramePr>
            <a:graphic>
              <a:graphicData uri="http://schemas.openxmlformats.org/drawingml/2006/picture">
                <pic:pic>
                  <pic:nvPicPr>
                    <pic:cNvPr id="0" name="fig_correlations.png"/>
                    <pic:cNvPicPr/>
                  </pic:nvPicPr>
                  <pic:blipFill>
                    <a:blip r:embed="rId10"/>
                    <a:stretch>
                      <a:fillRect/>
                    </a:stretch>
                  </pic:blipFill>
                  <pic:spPr>
                    <a:xfrm>
                      <a:off x="0" y="0"/>
                      <a:ext cx="4500000" cy="3014676"/>
                    </a:xfrm>
                    <a:prstGeom prst="rect"/>
                  </pic:spPr>
                </pic:pic>
              </a:graphicData>
            </a:graphic>
          </wp:inline>
        </w:drawing>
      </w:r>
    </w:p>
    <w:p>
      <w:pPr>
        <w:pStyle w:val="Caption"/>
      </w:pPr>
      <w:r>
        <w:rPr>
          <w:b/>
        </w:rPr>
        <w:t xml:space="preserve">Figure 2. </w:t>
      </w:r>
      <w:r>
        <w:t>The 15 inputs with the strongest Spearman correlation with CAP.</w:t>
      </w:r>
    </w:p>
    <w:p>
      <w:r>
        <w:rPr>
          <w:b w:val="0"/>
          <w:i w:val="0"/>
        </w:rPr>
        <w:t>Body size dominates: waist circumference (ρ = 0.66) and BMI (0.61) correlate most strongly, followed by other body measures, insulin resistance (fasting insulin, glucose, triglycerides) and liver enzymes (GGT, ALT). HDL cholesterol is the only strong negative correlate. Many top inputs measure the same thing (overall adiposity), which is why adding further body or laboratory variables improved the model only slightly.</w:t>
      </w:r>
    </w:p>
    <w:p>
      <w:pPr>
        <w:jc w:val="center"/>
      </w:pPr>
      <w:r>
        <w:drawing>
          <wp:inline xmlns:a="http://schemas.openxmlformats.org/drawingml/2006/main" xmlns:pic="http://schemas.openxmlformats.org/drawingml/2006/picture">
            <wp:extent cx="5580000" cy="2160749"/>
            <wp:docPr id="3" name="Picture 3"/>
            <wp:cNvGraphicFramePr>
              <a:graphicFrameLocks noChangeAspect="1"/>
            </wp:cNvGraphicFramePr>
            <a:graphic>
              <a:graphicData uri="http://schemas.openxmlformats.org/drawingml/2006/picture">
                <pic:pic>
                  <pic:nvPicPr>
                    <pic:cNvPr id="0" name="fig_cap_vs_body_size.png"/>
                    <pic:cNvPicPr/>
                  </pic:nvPicPr>
                  <pic:blipFill>
                    <a:blip r:embed="rId11"/>
                    <a:stretch>
                      <a:fillRect/>
                    </a:stretch>
                  </pic:blipFill>
                  <pic:spPr>
                    <a:xfrm>
                      <a:off x="0" y="0"/>
                      <a:ext cx="5580000" cy="2160749"/>
                    </a:xfrm>
                    <a:prstGeom prst="rect"/>
                  </pic:spPr>
                </pic:pic>
              </a:graphicData>
            </a:graphic>
          </wp:inline>
        </w:drawing>
      </w:r>
    </w:p>
    <w:p>
      <w:pPr>
        <w:pStyle w:val="Caption"/>
      </w:pPr>
      <w:r>
        <w:rPr>
          <w:b/>
        </w:rPr>
        <w:t xml:space="preserve">Figure 3. </w:t>
      </w:r>
      <w:r>
        <w:t>CAP against BMI and waist circumference. The vertical spread at any BMI shows how much liver fat varies between people of the same size.</w:t>
      </w:r>
    </w:p>
    <w:p>
      <w:r>
        <w:rPr>
          <w:b w:val="0"/>
          <w:i w:val="0"/>
        </w:rPr>
        <w:t>The scatter shows the central limitation of the data: at a BMI of 30 kg/m², CAP ranges across almost the whole scale. Body size shifts the average, but much of the variation between individuals is not explained by routine measurements.</w:t>
      </w:r>
    </w:p>
    <w:p>
      <w:pPr>
        <w:pStyle w:val="Heading3"/>
      </w:pPr>
      <w:r>
        <w:t>2.2 Missing values</w:t>
      </w:r>
    </w:p>
    <w:p>
      <w:r>
        <w:rPr>
          <w:b w:val="0"/>
          <w:i w:val="0"/>
        </w:rPr>
        <w:t>Of the model's 81 inputs, 6 are complete and the median input is missing for 8.9% of participants. Most heavily missing inputs are missing by design: fasting insulin and glucose were measured only in the morning fasting subsample, and follow-up questions (for example, insulin use or drinks per drinking day) are asked only after a screening question. The final model (XGBoost) handles missing values natively, learning at each split which branch a missing value should follow, so no values are imputed.</w:t>
      </w:r>
    </w:p>
    <w:p>
      <w:pPr>
        <w:jc w:val="center"/>
      </w:pPr>
      <w:r>
        <w:drawing>
          <wp:inline xmlns:a="http://schemas.openxmlformats.org/drawingml/2006/main" xmlns:pic="http://schemas.openxmlformats.org/drawingml/2006/picture">
            <wp:extent cx="4680000" cy="2657642"/>
            <wp:docPr id="4" name="Picture 4"/>
            <wp:cNvGraphicFramePr>
              <a:graphicFrameLocks noChangeAspect="1"/>
            </wp:cNvGraphicFramePr>
            <a:graphic>
              <a:graphicData uri="http://schemas.openxmlformats.org/drawingml/2006/picture">
                <pic:pic>
                  <pic:nvPicPr>
                    <pic:cNvPr id="0" name="fig_missingness.png"/>
                    <pic:cNvPicPr/>
                  </pic:nvPicPr>
                  <pic:blipFill>
                    <a:blip r:embed="rId12"/>
                    <a:stretch>
                      <a:fillRect/>
                    </a:stretch>
                  </pic:blipFill>
                  <pic:spPr>
                    <a:xfrm>
                      <a:off x="0" y="0"/>
                      <a:ext cx="4680000" cy="2657642"/>
                    </a:xfrm>
                    <a:prstGeom prst="rect"/>
                  </pic:spPr>
                </pic:pic>
              </a:graphicData>
            </a:graphic>
          </wp:inline>
        </w:drawing>
      </w:r>
    </w:p>
    <w:p>
      <w:pPr>
        <w:pStyle w:val="Caption"/>
      </w:pPr>
      <w:r>
        <w:rPr>
          <w:b/>
        </w:rPr>
        <w:t xml:space="preserve">Figure 4. </w:t>
      </w:r>
      <w:r>
        <w:t>Inputs with the most missing values; grey bars (*) are missing by survey design.</w:t>
      </w:r>
    </w:p>
    <w:p>
      <w:pPr>
        <w:pStyle w:val="Heading2"/>
      </w:pPr>
      <w:r>
        <w:t>3. 24-Hour Dietary Recall</w:t>
      </w:r>
    </w:p>
    <w:p>
      <w:r>
        <w:rPr>
          <w:b w:val="0"/>
          <w:i w:val="0"/>
        </w:rPr>
        <w:t>Of 15,300 cohort participants, 13,250 have a day-1 recall. A recall is used only if complete and reliable, reported as a usual day, and of plausible energy (500–3,500 kcal for women, 800–4,000 for men): 2,050 have no usable recall, 3,218 reported eating much more or less than usual, and 641 have implausible energy, leaving 9,391. Added sugars and the HEI-2020 food groups come from USDA FPED: USDA's totals for 2017–2020 (9,021), and for 2021–2023 totals derived from the individual foods with USDA's method (4,789; 102 excluded for low food-code coverage), which reproduced USDA's 2017–2020 totals with r = 1.000.</w:t>
      </w:r>
    </w:p>
    <w:p>
      <w:pPr>
        <w:pStyle w:val="Caption"/>
      </w:pPr>
      <w:r>
        <w:rPr>
          <w:b/>
        </w:rPr>
        <w:t xml:space="preserve">Table 4. </w:t>
      </w:r>
      <w:r>
        <w:t>Median intake on the recall day (reliable recalls).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805"/>
        <w:gridCol w:w="1805"/>
        <w:gridCol w:w="1805"/>
        <w:gridCol w:w="1805"/>
        <w:gridCol w:w="1805"/>
      </w:tblGrid>
      <w:tr>
        <w:trPr>
          <w:tblHeader/>
          <w:cantSplit/>
        </w:trPr>
        <w:tc>
          <w:tcPr>
            <w:tcW w:type="dxa" w:w="2835"/>
            <w:shd w:val="clear" w:color="auto" w:fill="EDEDED"/>
            <w:tcBorders>
              <w:bottom w:val="single" w:sz="6" w:space="0" w:color="000000"/>
            </w:tcBorders>
          </w:tcPr>
          <w:p>
            <w:pPr>
              <w:spacing w:line="240" w:lineRule="auto" w:after="40" w:before="40"/>
              <w:jc w:val="left"/>
            </w:pPr>
            <w:r>
              <w:rPr>
                <w:b/>
                <w:i w:val="0"/>
                <w:sz w:val="18"/>
              </w:rPr>
              <w:t>Measure</w:t>
            </w:r>
          </w:p>
        </w:tc>
        <w:tc>
          <w:tcPr>
            <w:tcW w:type="dxa" w:w="1247"/>
            <w:shd w:val="clear" w:color="auto" w:fill="EDEDED"/>
            <w:tcBorders>
              <w:bottom w:val="single" w:sz="6" w:space="0" w:color="000000"/>
            </w:tcBorders>
          </w:tcPr>
          <w:p>
            <w:pPr>
              <w:spacing w:line="240" w:lineRule="auto" w:after="40" w:before="40"/>
              <w:jc w:val="left"/>
            </w:pPr>
            <w:r>
              <w:rPr>
                <w:b/>
                <w:i w:val="0"/>
                <w:sz w:val="18"/>
              </w:rPr>
              <w:t>Reference</w:t>
            </w:r>
          </w:p>
        </w:tc>
        <w:tc>
          <w:tcPr>
            <w:tcW w:type="dxa" w:w="1361"/>
            <w:shd w:val="clear" w:color="auto" w:fill="EDEDED"/>
            <w:tcBorders>
              <w:bottom w:val="single" w:sz="6" w:space="0" w:color="000000"/>
            </w:tcBorders>
          </w:tcPr>
          <w:p>
            <w:pPr>
              <w:spacing w:line="240" w:lineRule="auto" w:after="40" w:before="40"/>
              <w:jc w:val="right"/>
            </w:pPr>
            <w:r>
              <w:rPr>
                <w:b/>
                <w:i w:val="0"/>
                <w:sz w:val="18"/>
              </w:rPr>
              <w:t>2017–2020</w:t>
            </w:r>
          </w:p>
        </w:tc>
        <w:tc>
          <w:tcPr>
            <w:tcW w:type="dxa" w:w="1361"/>
            <w:shd w:val="clear" w:color="auto" w:fill="EDEDED"/>
            <w:tcBorders>
              <w:bottom w:val="single" w:sz="6" w:space="0" w:color="000000"/>
            </w:tcBorders>
          </w:tcPr>
          <w:p>
            <w:pPr>
              <w:spacing w:line="240" w:lineRule="auto" w:after="40" w:before="40"/>
              <w:jc w:val="right"/>
            </w:pPr>
            <w:r>
              <w:rPr>
                <w:b/>
                <w:i w:val="0"/>
                <w:sz w:val="18"/>
              </w:rPr>
              <w:t>2021–2023</w:t>
            </w:r>
          </w:p>
        </w:tc>
        <w:tc>
          <w:tcPr>
            <w:tcW w:type="dxa" w:w="2211"/>
            <w:shd w:val="clear" w:color="auto" w:fill="EDEDED"/>
            <w:tcBorders>
              <w:bottom w:val="single" w:sz="6" w:space="0" w:color="000000"/>
            </w:tcBorders>
          </w:tcPr>
          <w:p>
            <w:pPr>
              <w:spacing w:line="240" w:lineRule="auto" w:after="40" w:before="40"/>
              <w:jc w:val="right"/>
            </w:pPr>
            <w:r>
              <w:rPr>
                <w:b/>
                <w:i w:val="0"/>
                <w:sz w:val="18"/>
              </w:rPr>
              <w:t>Missing the reference</w:t>
            </w:r>
          </w:p>
        </w:tc>
      </w:tr>
      <w:tr>
        <w:trPr>
          <w:cantSplit/>
        </w:trPr>
        <w:tc>
          <w:tcPr>
            <w:tcW w:type="dxa" w:w="2835"/>
          </w:tcPr>
          <w:p>
            <w:pPr>
              <w:spacing w:line="240" w:lineRule="auto" w:after="40" w:before="40"/>
              <w:jc w:val="left"/>
            </w:pPr>
            <w:r>
              <w:rPr>
                <w:b w:val="0"/>
                <w:i w:val="0"/>
                <w:sz w:val="18"/>
              </w:rPr>
              <w:t>Energy (kcal)</w:t>
            </w:r>
          </w:p>
        </w:tc>
        <w:tc>
          <w:tcPr>
            <w:tcW w:type="dxa" w:w="1247"/>
          </w:tcPr>
          <w:p>
            <w:pPr>
              <w:spacing w:line="240" w:lineRule="auto" w:after="40" w:before="40"/>
              <w:jc w:val="left"/>
            </w:pPr>
            <w:r>
              <w:rPr>
                <w:b w:val="0"/>
                <w:i w:val="0"/>
                <w:sz w:val="18"/>
              </w:rPr>
              <w:t>–</w:t>
            </w:r>
          </w:p>
        </w:tc>
        <w:tc>
          <w:tcPr>
            <w:tcW w:type="dxa" w:w="1361"/>
          </w:tcPr>
          <w:p>
            <w:pPr>
              <w:spacing w:line="240" w:lineRule="auto" w:after="40" w:before="40"/>
              <w:jc w:val="right"/>
            </w:pPr>
            <w:r>
              <w:rPr>
                <w:b w:val="0"/>
                <w:i w:val="0"/>
                <w:sz w:val="18"/>
              </w:rPr>
              <w:t>1928</w:t>
            </w:r>
          </w:p>
        </w:tc>
        <w:tc>
          <w:tcPr>
            <w:tcW w:type="dxa" w:w="1361"/>
          </w:tcPr>
          <w:p>
            <w:pPr>
              <w:spacing w:line="240" w:lineRule="auto" w:after="40" w:before="40"/>
              <w:jc w:val="right"/>
            </w:pPr>
            <w:r>
              <w:rPr>
                <w:b w:val="0"/>
                <w:i w:val="0"/>
                <w:sz w:val="18"/>
              </w:rPr>
              <w:t>1865</w:t>
            </w:r>
          </w:p>
        </w:tc>
        <w:tc>
          <w:tcPr>
            <w:tcW w:type="dxa" w:w="2211"/>
          </w:tcPr>
          <w:p>
            <w:pPr>
              <w:spacing w:line="240" w:lineRule="auto" w:after="40" w:before="40"/>
              <w:jc w:val="right"/>
            </w:pPr>
            <w:r>
              <w:rPr>
                <w:b w:val="0"/>
                <w:i w:val="0"/>
                <w:sz w:val="18"/>
              </w:rPr>
              <w:t>–</w:t>
            </w:r>
          </w:p>
        </w:tc>
      </w:tr>
      <w:tr>
        <w:trPr>
          <w:cantSplit/>
        </w:trPr>
        <w:tc>
          <w:tcPr>
            <w:tcW w:type="dxa" w:w="2835"/>
          </w:tcPr>
          <w:p>
            <w:pPr>
              <w:spacing w:line="240" w:lineRule="auto" w:after="40" w:before="40"/>
              <w:jc w:val="left"/>
            </w:pPr>
            <w:r>
              <w:rPr>
                <w:b w:val="0"/>
                <w:i w:val="0"/>
                <w:sz w:val="18"/>
              </w:rPr>
              <w:t>Saturated fat (% of energy)</w:t>
            </w:r>
          </w:p>
        </w:tc>
        <w:tc>
          <w:tcPr>
            <w:tcW w:type="dxa" w:w="1247"/>
          </w:tcPr>
          <w:p>
            <w:pPr>
              <w:spacing w:line="240" w:lineRule="auto" w:after="40" w:before="40"/>
              <w:jc w:val="left"/>
            </w:pPr>
            <w:r>
              <w:rPr>
                <w:b w:val="0"/>
                <w:i w:val="0"/>
                <w:sz w:val="18"/>
              </w:rPr>
              <w:t>≤ 10</w:t>
            </w:r>
          </w:p>
        </w:tc>
        <w:tc>
          <w:tcPr>
            <w:tcW w:type="dxa" w:w="1361"/>
          </w:tcPr>
          <w:p>
            <w:pPr>
              <w:spacing w:line="240" w:lineRule="auto" w:after="40" w:before="40"/>
              <w:jc w:val="right"/>
            </w:pPr>
            <w:r>
              <w:rPr>
                <w:b w:val="0"/>
                <w:i w:val="0"/>
                <w:sz w:val="18"/>
              </w:rPr>
              <w:t>11.3</w:t>
            </w:r>
          </w:p>
        </w:tc>
        <w:tc>
          <w:tcPr>
            <w:tcW w:type="dxa" w:w="1361"/>
          </w:tcPr>
          <w:p>
            <w:pPr>
              <w:spacing w:line="240" w:lineRule="auto" w:after="40" w:before="40"/>
              <w:jc w:val="right"/>
            </w:pPr>
            <w:r>
              <w:rPr>
                <w:b w:val="0"/>
                <w:i w:val="0"/>
                <w:sz w:val="18"/>
              </w:rPr>
              <w:t>11.7</w:t>
            </w:r>
          </w:p>
        </w:tc>
        <w:tc>
          <w:tcPr>
            <w:tcW w:type="dxa" w:w="2211"/>
          </w:tcPr>
          <w:p>
            <w:pPr>
              <w:spacing w:line="240" w:lineRule="auto" w:after="40" w:before="40"/>
              <w:jc w:val="right"/>
            </w:pPr>
            <w:r>
              <w:rPr>
                <w:b w:val="0"/>
                <w:i w:val="0"/>
                <w:sz w:val="18"/>
              </w:rPr>
              <w:t>65%</w:t>
            </w:r>
          </w:p>
        </w:tc>
      </w:tr>
      <w:tr>
        <w:trPr>
          <w:cantSplit/>
        </w:trPr>
        <w:tc>
          <w:tcPr>
            <w:tcW w:type="dxa" w:w="2835"/>
          </w:tcPr>
          <w:p>
            <w:pPr>
              <w:spacing w:line="240" w:lineRule="auto" w:after="40" w:before="40"/>
              <w:jc w:val="left"/>
            </w:pPr>
            <w:r>
              <w:rPr>
                <w:b w:val="0"/>
                <w:i w:val="0"/>
                <w:sz w:val="18"/>
              </w:rPr>
              <w:t>Added sugars (% of energy)</w:t>
            </w:r>
          </w:p>
        </w:tc>
        <w:tc>
          <w:tcPr>
            <w:tcW w:type="dxa" w:w="1247"/>
          </w:tcPr>
          <w:p>
            <w:pPr>
              <w:spacing w:line="240" w:lineRule="auto" w:after="40" w:before="40"/>
              <w:jc w:val="left"/>
            </w:pPr>
            <w:r>
              <w:rPr>
                <w:b w:val="0"/>
                <w:i w:val="0"/>
                <w:sz w:val="18"/>
              </w:rPr>
              <w:t>≤ 10</w:t>
            </w:r>
          </w:p>
        </w:tc>
        <w:tc>
          <w:tcPr>
            <w:tcW w:type="dxa" w:w="1361"/>
          </w:tcPr>
          <w:p>
            <w:pPr>
              <w:spacing w:line="240" w:lineRule="auto" w:after="40" w:before="40"/>
              <w:jc w:val="right"/>
            </w:pPr>
            <w:r>
              <w:rPr>
                <w:b w:val="0"/>
                <w:i w:val="0"/>
                <w:sz w:val="18"/>
              </w:rPr>
              <w:t>10.4</w:t>
            </w:r>
          </w:p>
        </w:tc>
        <w:tc>
          <w:tcPr>
            <w:tcW w:type="dxa" w:w="1361"/>
          </w:tcPr>
          <w:p>
            <w:pPr>
              <w:spacing w:line="240" w:lineRule="auto" w:after="40" w:before="40"/>
              <w:jc w:val="right"/>
            </w:pPr>
            <w:r>
              <w:rPr>
                <w:b w:val="0"/>
                <w:i w:val="0"/>
                <w:sz w:val="18"/>
              </w:rPr>
              <w:t>8.9</w:t>
            </w:r>
          </w:p>
        </w:tc>
        <w:tc>
          <w:tcPr>
            <w:tcW w:type="dxa" w:w="2211"/>
          </w:tcPr>
          <w:p>
            <w:pPr>
              <w:spacing w:line="240" w:lineRule="auto" w:after="40" w:before="40"/>
              <w:jc w:val="right"/>
            </w:pPr>
            <w:r>
              <w:rPr>
                <w:b w:val="0"/>
                <w:i w:val="0"/>
                <w:sz w:val="18"/>
              </w:rPr>
              <w:t>49%</w:t>
            </w:r>
          </w:p>
        </w:tc>
      </w:tr>
      <w:tr>
        <w:trPr>
          <w:cantSplit/>
        </w:trPr>
        <w:tc>
          <w:tcPr>
            <w:tcW w:type="dxa" w:w="2835"/>
          </w:tcPr>
          <w:p>
            <w:pPr>
              <w:spacing w:line="240" w:lineRule="auto" w:after="40" w:before="40"/>
              <w:jc w:val="left"/>
            </w:pPr>
            <w:r>
              <w:rPr>
                <w:b w:val="0"/>
                <w:i w:val="0"/>
                <w:sz w:val="18"/>
              </w:rPr>
              <w:t>Total sugars (% of energy)</w:t>
            </w:r>
          </w:p>
        </w:tc>
        <w:tc>
          <w:tcPr>
            <w:tcW w:type="dxa" w:w="1247"/>
          </w:tcPr>
          <w:p>
            <w:pPr>
              <w:spacing w:line="240" w:lineRule="auto" w:after="40" w:before="40"/>
              <w:jc w:val="left"/>
            </w:pPr>
            <w:r>
              <w:rPr>
                <w:b w:val="0"/>
                <w:i w:val="0"/>
                <w:sz w:val="18"/>
              </w:rPr>
              <w:t>–</w:t>
            </w:r>
          </w:p>
        </w:tc>
        <w:tc>
          <w:tcPr>
            <w:tcW w:type="dxa" w:w="1361"/>
          </w:tcPr>
          <w:p>
            <w:pPr>
              <w:spacing w:line="240" w:lineRule="auto" w:after="40" w:before="40"/>
              <w:jc w:val="right"/>
            </w:pPr>
            <w:r>
              <w:rPr>
                <w:b w:val="0"/>
                <w:i w:val="0"/>
                <w:sz w:val="18"/>
              </w:rPr>
              <w:t>18.8</w:t>
            </w:r>
          </w:p>
        </w:tc>
        <w:tc>
          <w:tcPr>
            <w:tcW w:type="dxa" w:w="1361"/>
          </w:tcPr>
          <w:p>
            <w:pPr>
              <w:spacing w:line="240" w:lineRule="auto" w:after="40" w:before="40"/>
              <w:jc w:val="right"/>
            </w:pPr>
            <w:r>
              <w:rPr>
                <w:b w:val="0"/>
                <w:i w:val="0"/>
                <w:sz w:val="18"/>
              </w:rPr>
              <w:t>18.2</w:t>
            </w:r>
          </w:p>
        </w:tc>
        <w:tc>
          <w:tcPr>
            <w:tcW w:type="dxa" w:w="2211"/>
          </w:tcPr>
          <w:p>
            <w:pPr>
              <w:spacing w:line="240" w:lineRule="auto" w:after="40" w:before="40"/>
              <w:jc w:val="right"/>
            </w:pPr>
            <w:r>
              <w:rPr>
                <w:b w:val="0"/>
                <w:i w:val="0"/>
                <w:sz w:val="18"/>
              </w:rPr>
              <w:t>–</w:t>
            </w:r>
          </w:p>
        </w:tc>
      </w:tr>
      <w:tr>
        <w:trPr>
          <w:cantSplit/>
        </w:trPr>
        <w:tc>
          <w:tcPr>
            <w:tcW w:type="dxa" w:w="2835"/>
          </w:tcPr>
          <w:p>
            <w:pPr>
              <w:spacing w:line="240" w:lineRule="auto" w:after="40" w:before="40"/>
              <w:jc w:val="left"/>
            </w:pPr>
            <w:r>
              <w:rPr>
                <w:b w:val="0"/>
                <w:i w:val="0"/>
                <w:sz w:val="18"/>
              </w:rPr>
              <w:t>Fibre (g per 1,000 kcal)</w:t>
            </w:r>
          </w:p>
        </w:tc>
        <w:tc>
          <w:tcPr>
            <w:tcW w:type="dxa" w:w="1247"/>
          </w:tcPr>
          <w:p>
            <w:pPr>
              <w:spacing w:line="240" w:lineRule="auto" w:after="40" w:before="40"/>
              <w:jc w:val="left"/>
            </w:pPr>
            <w:r>
              <w:rPr>
                <w:b w:val="0"/>
                <w:i w:val="0"/>
                <w:sz w:val="18"/>
              </w:rPr>
              <w:t>≥ 14</w:t>
            </w:r>
          </w:p>
        </w:tc>
        <w:tc>
          <w:tcPr>
            <w:tcW w:type="dxa" w:w="1361"/>
          </w:tcPr>
          <w:p>
            <w:pPr>
              <w:spacing w:line="240" w:lineRule="auto" w:after="40" w:before="40"/>
              <w:jc w:val="right"/>
            </w:pPr>
            <w:r>
              <w:rPr>
                <w:b w:val="0"/>
                <w:i w:val="0"/>
                <w:sz w:val="18"/>
              </w:rPr>
              <w:t>7.1</w:t>
            </w:r>
          </w:p>
        </w:tc>
        <w:tc>
          <w:tcPr>
            <w:tcW w:type="dxa" w:w="1361"/>
          </w:tcPr>
          <w:p>
            <w:pPr>
              <w:spacing w:line="240" w:lineRule="auto" w:after="40" w:before="40"/>
              <w:jc w:val="right"/>
            </w:pPr>
            <w:r>
              <w:rPr>
                <w:b w:val="0"/>
                <w:i w:val="0"/>
                <w:sz w:val="18"/>
              </w:rPr>
              <w:t>7.8</w:t>
            </w:r>
          </w:p>
        </w:tc>
        <w:tc>
          <w:tcPr>
            <w:tcW w:type="dxa" w:w="2211"/>
          </w:tcPr>
          <w:p>
            <w:pPr>
              <w:spacing w:line="240" w:lineRule="auto" w:after="40" w:before="40"/>
              <w:jc w:val="right"/>
            </w:pPr>
            <w:r>
              <w:rPr>
                <w:b w:val="0"/>
                <w:i w:val="0"/>
                <w:sz w:val="18"/>
              </w:rPr>
              <w:t>89%</w:t>
            </w:r>
          </w:p>
        </w:tc>
      </w:tr>
      <w:tr>
        <w:trPr>
          <w:cantSplit/>
        </w:trPr>
        <w:tc>
          <w:tcPr>
            <w:tcW w:type="dxa" w:w="2835"/>
          </w:tcPr>
          <w:p>
            <w:pPr>
              <w:spacing w:line="240" w:lineRule="auto" w:after="40" w:before="40"/>
              <w:jc w:val="left"/>
            </w:pPr>
            <w:r>
              <w:rPr>
                <w:b w:val="0"/>
                <w:i w:val="0"/>
                <w:sz w:val="18"/>
              </w:rPr>
              <w:t>HEI-2020 (0–100)</w:t>
            </w:r>
          </w:p>
        </w:tc>
        <w:tc>
          <w:tcPr>
            <w:tcW w:type="dxa" w:w="1247"/>
          </w:tcPr>
          <w:p>
            <w:pPr>
              <w:spacing w:line="240" w:lineRule="auto" w:after="40" w:before="40"/>
              <w:jc w:val="left"/>
            </w:pPr>
            <w:r>
              <w:rPr>
                <w:b w:val="0"/>
                <w:i w:val="0"/>
                <w:sz w:val="18"/>
              </w:rPr>
              <w:t>–</w:t>
            </w:r>
          </w:p>
        </w:tc>
        <w:tc>
          <w:tcPr>
            <w:tcW w:type="dxa" w:w="1361"/>
          </w:tcPr>
          <w:p>
            <w:pPr>
              <w:spacing w:line="240" w:lineRule="auto" w:after="40" w:before="40"/>
              <w:jc w:val="right"/>
            </w:pPr>
            <w:r>
              <w:rPr>
                <w:b w:val="0"/>
                <w:i w:val="0"/>
                <w:sz w:val="18"/>
              </w:rPr>
              <w:t>48.5</w:t>
            </w:r>
          </w:p>
        </w:tc>
        <w:tc>
          <w:tcPr>
            <w:tcW w:type="dxa" w:w="1361"/>
          </w:tcPr>
          <w:p>
            <w:pPr>
              <w:spacing w:line="240" w:lineRule="auto" w:after="40" w:before="40"/>
              <w:jc w:val="right"/>
            </w:pPr>
            <w:r>
              <w:rPr>
                <w:b w:val="0"/>
                <w:i w:val="0"/>
                <w:sz w:val="18"/>
              </w:rPr>
              <w:t>52.0</w:t>
            </w:r>
          </w:p>
        </w:tc>
        <w:tc>
          <w:tcPr>
            <w:tcW w:type="dxa" w:w="2211"/>
          </w:tcPr>
          <w:p>
            <w:pPr>
              <w:spacing w:line="240" w:lineRule="auto" w:after="40" w:before="40"/>
              <w:jc w:val="right"/>
            </w:pPr>
            <w:r>
              <w:rPr>
                <w:b w:val="0"/>
                <w:i w:val="0"/>
                <w:sz w:val="18"/>
              </w:rPr>
              <w:t>–</w:t>
            </w:r>
          </w:p>
        </w:tc>
      </w:tr>
    </w:tbl>
    <w:p>
      <w:pPr>
        <w:spacing w:after="40"/>
      </w:pPr>
    </w:p>
    <w:p>
      <w:pPr>
        <w:jc w:val="center"/>
      </w:pPr>
      <w:r>
        <w:drawing>
          <wp:inline xmlns:a="http://schemas.openxmlformats.org/drawingml/2006/main" xmlns:pic="http://schemas.openxmlformats.org/drawingml/2006/picture">
            <wp:extent cx="5580000" cy="1725406"/>
            <wp:docPr id="5" name="Picture 5"/>
            <wp:cNvGraphicFramePr>
              <a:graphicFrameLocks noChangeAspect="1"/>
            </wp:cNvGraphicFramePr>
            <a:graphic>
              <a:graphicData uri="http://schemas.openxmlformats.org/drawingml/2006/picture">
                <pic:pic>
                  <pic:nvPicPr>
                    <pic:cNvPr id="0" name="fig_diet.png"/>
                    <pic:cNvPicPr/>
                  </pic:nvPicPr>
                  <pic:blipFill>
                    <a:blip r:embed="rId13"/>
                    <a:stretch>
                      <a:fillRect/>
                    </a:stretch>
                  </pic:blipFill>
                  <pic:spPr>
                    <a:xfrm>
                      <a:off x="0" y="0"/>
                      <a:ext cx="5580000" cy="1725406"/>
                    </a:xfrm>
                    <a:prstGeom prst="rect"/>
                  </pic:spPr>
                </pic:pic>
              </a:graphicData>
            </a:graphic>
          </wp:inline>
        </w:drawing>
      </w:r>
    </w:p>
    <w:p>
      <w:pPr>
        <w:pStyle w:val="Caption"/>
      </w:pPr>
      <w:r>
        <w:rPr>
          <w:b/>
        </w:rPr>
        <w:t xml:space="preserve">Figure 5. </w:t>
      </w:r>
      <w:r>
        <w:t>Intake on the recall day against the reference values used to score recipes.</w:t>
      </w:r>
    </w:p>
    <w:p>
      <w:r>
        <w:rPr>
          <w:b w:val="0"/>
          <w:i w:val="0"/>
        </w:rPr>
        <w:t>Most participants miss the fibre reference and about two-thirds exceed the saturated-fat reference, while added sugars split close to half and half. These spreads are what allow the recall to raise some patients' priorities and lower others'. A single day is a noisy measure of usual intake, so it moves a priority by at most one level.</w:t>
      </w:r>
    </w:p>
    <w:p>
      <w:pPr>
        <w:pStyle w:val="Heading2"/>
      </w:pPr>
      <w:r>
        <w:t>4. RecipeDB</w:t>
      </w:r>
    </w:p>
    <w:p>
      <w:r>
        <w:rPr>
          <w:b w:val="0"/>
          <w:i w:val="0"/>
        </w:rPr>
        <w:t>The RecipeDB API available to the project holds 20,000 recipes. Screening keeps main meals (10,108): it removes desserts, drinks, sauces, condiments and non-food entries by category and title, and servings below 200 kcal. Of these, 264 have implausible nutrition (for example, energy inconsistent with macronutrients) and are held for review, leaving 9,844 scored meals; 565 meet all four reference values.</w:t>
      </w:r>
    </w:p>
    <w:p>
      <w:pPr>
        <w:jc w:val="center"/>
      </w:pPr>
      <w:r>
        <w:drawing>
          <wp:inline xmlns:a="http://schemas.openxmlformats.org/drawingml/2006/main" xmlns:pic="http://schemas.openxmlformats.org/drawingml/2006/picture">
            <wp:extent cx="5580000" cy="2058481"/>
            <wp:docPr id="6" name="Picture 6"/>
            <wp:cNvGraphicFramePr>
              <a:graphicFrameLocks noChangeAspect="1"/>
            </wp:cNvGraphicFramePr>
            <a:graphic>
              <a:graphicData uri="http://schemas.openxmlformats.org/drawingml/2006/picture">
                <pic:pic>
                  <pic:nvPicPr>
                    <pic:cNvPr id="0" name="fig_recipe_funnel.png"/>
                    <pic:cNvPicPr/>
                  </pic:nvPicPr>
                  <pic:blipFill>
                    <a:blip r:embed="rId14"/>
                    <a:stretch>
                      <a:fillRect/>
                    </a:stretch>
                  </pic:blipFill>
                  <pic:spPr>
                    <a:xfrm>
                      <a:off x="0" y="0"/>
                      <a:ext cx="5580000" cy="2058481"/>
                    </a:xfrm>
                    <a:prstGeom prst="rect"/>
                  </pic:spPr>
                </pic:pic>
              </a:graphicData>
            </a:graphic>
          </wp:inline>
        </w:drawing>
      </w:r>
    </w:p>
    <w:p>
      <w:pPr>
        <w:pStyle w:val="Caption"/>
      </w:pPr>
      <w:r>
        <w:rPr>
          <w:b/>
        </w:rPr>
        <w:t xml:space="preserve">Figure 6. </w:t>
      </w:r>
      <w:r>
        <w:t>From the RecipeDB corpus to meals that meet every reference value, and the cuisine labels in the corpus.</w:t>
      </w:r>
    </w:p>
    <w:p>
      <w:pPr>
        <w:pStyle w:val="Caption"/>
      </w:pPr>
      <w:r>
        <w:rPr>
          <w:b/>
        </w:rPr>
        <w:t xml:space="preserve">Table 5. </w:t>
      </w:r>
      <w:r>
        <w:t>Share of the 10,108 candidate meals meeting each reference value.</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4513"/>
        <w:gridCol w:w="4513"/>
      </w:tblGrid>
      <w:tr>
        <w:trPr>
          <w:tblHeader/>
          <w:cantSplit/>
        </w:trPr>
        <w:tc>
          <w:tcPr>
            <w:tcW w:type="dxa" w:w="5669"/>
            <w:shd w:val="clear" w:color="auto" w:fill="EDEDED"/>
            <w:tcBorders>
              <w:bottom w:val="single" w:sz="6" w:space="0" w:color="000000"/>
            </w:tcBorders>
          </w:tcPr>
          <w:p>
            <w:pPr>
              <w:spacing w:line="240" w:lineRule="auto" w:after="40" w:before="40"/>
              <w:jc w:val="left"/>
            </w:pPr>
            <w:r>
              <w:rPr>
                <w:b/>
                <w:i w:val="0"/>
                <w:sz w:val="18"/>
              </w:rPr>
              <w:t>Reference value</w:t>
            </w:r>
          </w:p>
        </w:tc>
        <w:tc>
          <w:tcPr>
            <w:tcW w:type="dxa" w:w="2268"/>
            <w:shd w:val="clear" w:color="auto" w:fill="EDEDED"/>
            <w:tcBorders>
              <w:bottom w:val="single" w:sz="6" w:space="0" w:color="000000"/>
            </w:tcBorders>
          </w:tcPr>
          <w:p>
            <w:pPr>
              <w:spacing w:line="240" w:lineRule="auto" w:after="40" w:before="40"/>
              <w:jc w:val="right"/>
            </w:pPr>
            <w:r>
              <w:rPr>
                <w:b/>
                <w:i w:val="0"/>
                <w:sz w:val="18"/>
              </w:rPr>
              <w:t>Share</w:t>
            </w:r>
          </w:p>
        </w:tc>
      </w:tr>
      <w:tr>
        <w:trPr>
          <w:cantSplit/>
        </w:trPr>
        <w:tc>
          <w:tcPr>
            <w:tcW w:type="dxa" w:w="5669"/>
          </w:tcPr>
          <w:p>
            <w:pPr>
              <w:spacing w:line="240" w:lineRule="auto" w:after="40" w:before="40"/>
              <w:jc w:val="left"/>
            </w:pPr>
            <w:r>
              <w:rPr>
                <w:b w:val="0"/>
                <w:i w:val="0"/>
                <w:sz w:val="18"/>
              </w:rPr>
              <w:t>Energy ≤ 600 kcal per serving</w:t>
            </w:r>
          </w:p>
        </w:tc>
        <w:tc>
          <w:tcPr>
            <w:tcW w:type="dxa" w:w="2268"/>
          </w:tcPr>
          <w:p>
            <w:pPr>
              <w:spacing w:line="240" w:lineRule="auto" w:after="40" w:before="40"/>
              <w:jc w:val="right"/>
            </w:pPr>
            <w:r>
              <w:rPr>
                <w:b w:val="0"/>
                <w:i w:val="0"/>
                <w:sz w:val="18"/>
              </w:rPr>
              <w:t>75%</w:t>
            </w:r>
          </w:p>
        </w:tc>
      </w:tr>
      <w:tr>
        <w:trPr>
          <w:cantSplit/>
        </w:trPr>
        <w:tc>
          <w:tcPr>
            <w:tcW w:type="dxa" w:w="5669"/>
          </w:tcPr>
          <w:p>
            <w:pPr>
              <w:spacing w:line="240" w:lineRule="auto" w:after="40" w:before="40"/>
              <w:jc w:val="left"/>
            </w:pPr>
            <w:r>
              <w:rPr>
                <w:b w:val="0"/>
                <w:i w:val="0"/>
                <w:sz w:val="18"/>
              </w:rPr>
              <w:t>Saturated fat ≤ 10% of energy</w:t>
            </w:r>
          </w:p>
        </w:tc>
        <w:tc>
          <w:tcPr>
            <w:tcW w:type="dxa" w:w="2268"/>
          </w:tcPr>
          <w:p>
            <w:pPr>
              <w:spacing w:line="240" w:lineRule="auto" w:after="40" w:before="40"/>
              <w:jc w:val="right"/>
            </w:pPr>
            <w:r>
              <w:rPr>
                <w:b w:val="0"/>
                <w:i w:val="0"/>
                <w:sz w:val="18"/>
              </w:rPr>
              <w:t>32%</w:t>
            </w:r>
          </w:p>
        </w:tc>
      </w:tr>
      <w:tr>
        <w:trPr>
          <w:cantSplit/>
        </w:trPr>
        <w:tc>
          <w:tcPr>
            <w:tcW w:type="dxa" w:w="5669"/>
          </w:tcPr>
          <w:p>
            <w:pPr>
              <w:spacing w:line="240" w:lineRule="auto" w:after="40" w:before="40"/>
              <w:jc w:val="left"/>
            </w:pPr>
            <w:r>
              <w:rPr>
                <w:b w:val="0"/>
                <w:i w:val="0"/>
                <w:sz w:val="18"/>
              </w:rPr>
              <w:t>Sugars ≤ 10% of energy</w:t>
            </w:r>
          </w:p>
        </w:tc>
        <w:tc>
          <w:tcPr>
            <w:tcW w:type="dxa" w:w="2268"/>
          </w:tcPr>
          <w:p>
            <w:pPr>
              <w:spacing w:line="240" w:lineRule="auto" w:after="40" w:before="40"/>
              <w:jc w:val="right"/>
            </w:pPr>
            <w:r>
              <w:rPr>
                <w:b w:val="0"/>
                <w:i w:val="0"/>
                <w:sz w:val="18"/>
              </w:rPr>
              <w:t>73%</w:t>
            </w:r>
          </w:p>
        </w:tc>
      </w:tr>
      <w:tr>
        <w:trPr>
          <w:cantSplit/>
        </w:trPr>
        <w:tc>
          <w:tcPr>
            <w:tcW w:type="dxa" w:w="5669"/>
          </w:tcPr>
          <w:p>
            <w:pPr>
              <w:spacing w:line="240" w:lineRule="auto" w:after="40" w:before="40"/>
              <w:jc w:val="left"/>
            </w:pPr>
            <w:r>
              <w:rPr>
                <w:b w:val="0"/>
                <w:i w:val="0"/>
                <w:sz w:val="18"/>
              </w:rPr>
              <w:t>Fibre ≥ 14 g per 1,000 kcal</w:t>
            </w:r>
          </w:p>
        </w:tc>
        <w:tc>
          <w:tcPr>
            <w:tcW w:type="dxa" w:w="2268"/>
          </w:tcPr>
          <w:p>
            <w:pPr>
              <w:spacing w:line="240" w:lineRule="auto" w:after="40" w:before="40"/>
              <w:jc w:val="right"/>
            </w:pPr>
            <w:r>
              <w:rPr>
                <w:b w:val="0"/>
                <w:i w:val="0"/>
                <w:sz w:val="18"/>
              </w:rPr>
              <w:t>18%</w:t>
            </w:r>
          </w:p>
        </w:tc>
      </w:tr>
      <w:tr>
        <w:trPr>
          <w:cantSplit/>
        </w:trPr>
        <w:tc>
          <w:tcPr>
            <w:tcW w:type="dxa" w:w="5669"/>
          </w:tcPr>
          <w:p>
            <w:pPr>
              <w:spacing w:line="240" w:lineRule="auto" w:after="40" w:before="40"/>
              <w:jc w:val="left"/>
            </w:pPr>
            <w:r>
              <w:rPr>
                <w:b w:val="0"/>
                <w:i w:val="0"/>
                <w:sz w:val="18"/>
              </w:rPr>
              <w:t>All four</w:t>
            </w:r>
          </w:p>
        </w:tc>
        <w:tc>
          <w:tcPr>
            <w:tcW w:type="dxa" w:w="2268"/>
          </w:tcPr>
          <w:p>
            <w:pPr>
              <w:spacing w:line="240" w:lineRule="auto" w:after="40" w:before="40"/>
              <w:jc w:val="right"/>
            </w:pPr>
            <w:r>
              <w:rPr>
                <w:b w:val="0"/>
                <w:i w:val="0"/>
                <w:sz w:val="18"/>
              </w:rPr>
              <w:t>5.6%</w:t>
            </w:r>
          </w:p>
        </w:tc>
      </w:tr>
    </w:tbl>
    <w:p>
      <w:pPr>
        <w:spacing w:after="40"/>
      </w:pPr>
    </w:p>
    <w:p>
      <w:pPr>
        <w:jc w:val="center"/>
      </w:pPr>
      <w:r>
        <w:drawing>
          <wp:inline xmlns:a="http://schemas.openxmlformats.org/drawingml/2006/main" xmlns:pic="http://schemas.openxmlformats.org/drawingml/2006/picture">
            <wp:extent cx="5580000" cy="1731196"/>
            <wp:docPr id="7" name="Picture 7"/>
            <wp:cNvGraphicFramePr>
              <a:graphicFrameLocks noChangeAspect="1"/>
            </wp:cNvGraphicFramePr>
            <a:graphic>
              <a:graphicData uri="http://schemas.openxmlformats.org/drawingml/2006/picture">
                <pic:pic>
                  <pic:nvPicPr>
                    <pic:cNvPr id="0" name="fig_recipe_composition.png"/>
                    <pic:cNvPicPr/>
                  </pic:nvPicPr>
                  <pic:blipFill>
                    <a:blip r:embed="rId15"/>
                    <a:stretch>
                      <a:fillRect/>
                    </a:stretch>
                  </pic:blipFill>
                  <pic:spPr>
                    <a:xfrm>
                      <a:off x="0" y="0"/>
                      <a:ext cx="5580000" cy="1731196"/>
                    </a:xfrm>
                    <a:prstGeom prst="rect"/>
                  </pic:spPr>
                </pic:pic>
              </a:graphicData>
            </a:graphic>
          </wp:inline>
        </w:drawing>
      </w:r>
    </w:p>
    <w:p>
      <w:pPr>
        <w:pStyle w:val="Caption"/>
      </w:pPr>
      <w:r>
        <w:rPr>
          <w:b/>
        </w:rPr>
        <w:t xml:space="preserve">Figure 7. </w:t>
      </w:r>
      <w:r>
        <w:t>Composition of candidate meals; red lines are the reference values. Values beyond each axis range are shown at its right edge.</w:t>
      </w:r>
    </w:p>
    <w:p>
      <w:r>
        <w:rPr>
          <w:b w:val="0"/>
          <w:i w:val="0"/>
        </w:rPr>
        <w:t>Fibre and saturated fat are the binding constraints: the median candidate meal has 5.9 g of fibre per 1,000 kcal and 15.3% of energy from saturated fat. 73% of recipes have no specific cuisine label (“Other”) and only 19 are Indian; among qualifying meals, Other 324, European 78, Asian 50, Mexican 33, American 26, African 19, Canadian 15, Cajun And Creole 6. Since the patient cohort is the US population, the ranking focuses on US cuisines, and cuisines with few qualifying meals (American, Canadian) are handled in the meal-plan step by repeating favourites or borrowing from the most similar cuisine.</w:t>
      </w:r>
    </w:p>
    <w:p>
      <w:r>
        <w:rPr>
          <w:b/>
          <w:i w:val="0"/>
        </w:rPr>
        <w:t>Ratings.</w:t>
      </w:r>
      <w:r>
        <w:rPr>
          <w:b w:val="0"/>
          <w:i w:val="0"/>
        </w:rPr>
        <w:t xml:space="preserve"> Ratings cluster at the top: the median and the 25th percentile are both 5.0, and only 1.9% are below 4.5. The number of ratings varies more (median 20, 90th percentile 66), so the acceptability score shrinks each rating towards the corpus mean according to how many people rated it.</w:t>
      </w:r>
    </w:p>
    <w:p>
      <w:pPr>
        <w:pStyle w:val="Heading2"/>
      </w:pPr>
      <w:r>
        <w:t>5. Implications for the Pipeline</w:t>
      </w:r>
    </w:p>
    <w:p>
      <w:pPr>
        <w:ind w:left="510" w:hanging="283"/>
      </w:pPr>
      <w:r>
        <w:rPr>
          <w:b w:val="0"/>
          <w:i w:val="0"/>
        </w:rPr>
        <w:t>• About half of the cohort has steatosis, so the classification task is balanced and AUC, F1 and calibration are informative.</w:t>
      </w:r>
    </w:p>
    <w:p>
      <w:pPr>
        <w:ind w:left="510" w:hanging="283"/>
      </w:pPr>
      <w:r>
        <w:rPr>
          <w:b w:val="0"/>
          <w:i w:val="0"/>
        </w:rPr>
        <w:t>• Body size explains much of CAP, and many inputs measure the same thing, so further routine variables add little: the observed ceiling of R² ≈ 0.5 across all ages. Prediction is weakest at 60 and over, so the model is scoped to ages 12–59, where its test R² is 0.56.</w:t>
      </w:r>
    </w:p>
    <w:p>
      <w:pPr>
        <w:ind w:left="510" w:hanging="283"/>
      </w:pPr>
      <w:r>
        <w:rPr>
          <w:b w:val="0"/>
          <w:i w:val="0"/>
        </w:rPr>
        <w:t>• Grade cut-offs are closer together than the model's error, so steatosis is classified at two cut-offs, not as four grades.</w:t>
      </w:r>
    </w:p>
    <w:p>
      <w:pPr>
        <w:ind w:left="510" w:hanging="283"/>
      </w:pPr>
      <w:r>
        <w:rPr>
          <w:b w:val="0"/>
          <w:i w:val="0"/>
        </w:rPr>
        <w:t>• Missing values are largely structural and are handled natively by the tree model.</w:t>
      </w:r>
    </w:p>
    <w:p>
      <w:pPr>
        <w:ind w:left="510" w:hanging="283"/>
      </w:pPr>
      <w:r>
        <w:rPr>
          <w:b w:val="0"/>
          <w:i w:val="0"/>
        </w:rPr>
        <w:t>• Patients' recall intakes vary widely around the reference values, which makes diet-based personalisation of priorities meaningful.</w:t>
      </w:r>
    </w:p>
    <w:p>
      <w:pPr>
        <w:ind w:left="510" w:hanging="283"/>
      </w:pPr>
      <w:r>
        <w:rPr>
          <w:b w:val="0"/>
          <w:i w:val="0"/>
        </w:rPr>
        <w:t>• Only 5.6% of candidate meals meet every reference, and coverage differs by cuisine, which motivated the health gate in the ranking and the cuisine fallback in meal plans.</w:t>
      </w:r>
    </w:p>
    <w:sectPr w:rsidR="00FC693F" w:rsidRPr="0006063C" w:rsidSect="00034616">
      <w:footerReference w:type="default" r:id="rId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jc w:val="left"/>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before="240" w:after="80"/>
      <w:jc w:val="left"/>
    </w:pPr>
    <w:rPr>
      <w:rFonts w:ascii="Times New Roman" w:hAnsi="Times New Roman" w:cs="Times New Roman" w:eastAsia="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