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HepatoTwin: Meeting 9 Progress Report</w:t>
      </w:r>
    </w:p>
    <w:p>
      <w:pPr>
        <w:spacing w:after="40"/>
        <w:jc w:val="center"/>
      </w:pPr>
      <w:r>
        <w:rPr>
          <w:b w:val="0"/>
          <w:i w:val="0"/>
        </w:rPr>
        <w:t>Meeting 9, Friday 23 October 2026 · Manojna</w:t>
      </w:r>
    </w:p>
    <w:p>
      <w:pPr>
        <w:spacing w:after="240"/>
        <w:jc w:val="center"/>
      </w:pPr>
      <w:r>
        <w:rPr>
          <w:b w:val="0"/>
          <w:i/>
          <w:sz w:val="22"/>
        </w:rPr>
        <w:t>Covers the meeting 9 tasks of the weekly action plan (Task 1: twin state and evidence; Task 2: optimiser and recipes). Proposal section numbers are given in brackets. Updated on 22 October: all evaluations use held-out patients aged 12–59, the final scope of the Layer 2 model.</w:t>
      </w:r>
    </w:p>
    <w:p>
      <w:pPr>
        <w:pStyle w:val="Heading2"/>
      </w:pPr>
      <w:r>
        <w:t>1. Summary</w:t>
      </w:r>
    </w:p>
    <w:p>
      <w:pPr>
        <w:ind w:left="510" w:hanging="283"/>
      </w:pPr>
      <w:r>
        <w:rPr>
          <w:b w:val="0"/>
          <w:i w:val="0"/>
        </w:rPr>
        <w:t xml:space="preserve">• </w:t>
      </w:r>
      <w:r>
        <w:rPr>
          <w:b/>
          <w:i w:val="0"/>
        </w:rPr>
        <w:t>Priorities are now personal (§17.1).</w:t>
      </w:r>
      <w:r>
        <w:rPr>
          <w:b w:val="0"/>
          <w:i w:val="0"/>
        </w:rPr>
        <w:t xml:space="preserve"> Each patient's 24-hour dietary recall raises or lowers their nutritional priorities. Across 300 held-out test patients aged 12–59 the number of distinct priority profiles rose from 9 to 29, and distinct top-10 recipe lists from 15 to 27.</w:t>
      </w:r>
    </w:p>
    <w:p>
      <w:pPr>
        <w:ind w:left="510" w:hanging="283"/>
      </w:pPr>
      <w:r>
        <w:rPr>
          <w:b w:val="0"/>
          <w:i w:val="0"/>
        </w:rPr>
        <w:t xml:space="preserve">• </w:t>
      </w:r>
      <w:r>
        <w:rPr>
          <w:b/>
          <w:i w:val="0"/>
        </w:rPr>
        <w:t>A ranking flaw was found and fixed.</w:t>
      </w:r>
      <w:r>
        <w:rPr>
          <w:b w:val="0"/>
          <w:i w:val="0"/>
        </w:rPr>
        <w:t xml:space="preserve"> Once a recipe met every health reference, the patient's priority levels no longer affected its rank. With the fix, priorities count inside the health gate; the headline fell from 0.899 to 0.796, and adding acceptability (weight 0.1, now default) brings it to 0.831.</w:t>
      </w:r>
    </w:p>
    <w:p>
      <w:pPr>
        <w:ind w:left="510" w:hanging="283"/>
      </w:pPr>
      <w:r>
        <w:rPr>
          <w:b w:val="0"/>
          <w:i w:val="0"/>
        </w:rPr>
        <w:t xml:space="preserve">• </w:t>
      </w:r>
      <w:r>
        <w:rPr>
          <w:b/>
          <w:i w:val="0"/>
        </w:rPr>
        <w:t>The scenario engine (Layer 5, §8) works end to end.</w:t>
      </w:r>
      <w:r>
        <w:rPr>
          <w:b w:val="0"/>
          <w:i w:val="0"/>
        </w:rPr>
        <w:t xml:space="preserve"> It compares a maximum-health scenario with one closer to the patient's usual diet, giving an evidence-graded direction, never a predicted number.</w:t>
      </w:r>
    </w:p>
    <w:p>
      <w:pPr>
        <w:ind w:left="510" w:hanging="283"/>
      </w:pPr>
      <w:r>
        <w:rPr>
          <w:b w:val="0"/>
          <w:i w:val="0"/>
        </w:rPr>
        <w:t xml:space="preserve">• </w:t>
      </w:r>
      <w:r>
        <w:rPr>
          <w:b/>
          <w:i w:val="0"/>
        </w:rPr>
        <w:t>Every seven-day meal plan is complete and meets every constraint (§17.6).</w:t>
      </w:r>
      <w:r>
        <w:rPr>
          <w:b w:val="0"/>
          <w:i w:val="0"/>
        </w:rPr>
        <w:t xml:space="preserve"> 58% use only the patient's own cuisine, 80% once a favourite may repeat, and the rest borrow about one meal from the most similar cuisine.</w:t>
      </w:r>
    </w:p>
    <w:p>
      <w:pPr>
        <w:ind w:left="510" w:hanging="283"/>
      </w:pPr>
      <w:r>
        <w:rPr>
          <w:b w:val="0"/>
          <w:i w:val="0"/>
        </w:rPr>
        <w:t xml:space="preserve">• </w:t>
      </w:r>
      <w:r>
        <w:rPr>
          <w:b/>
          <w:i w:val="0"/>
        </w:rPr>
        <w:t>Six evidence rows were added (§17.13)</w:t>
      </w:r>
      <w:r>
        <w:rPr>
          <w:b w:val="0"/>
          <w:i w:val="0"/>
        </w:rPr>
        <w:t>, bringing the table to 23; observational coffee findings carry their own label and are never used as effects.</w:t>
      </w:r>
    </w:p>
    <w:p>
      <w:pPr>
        <w:ind w:left="510" w:hanging="283"/>
      </w:pPr>
      <w:r>
        <w:rPr>
          <w:b w:val="0"/>
          <w:i w:val="0"/>
        </w:rPr>
        <w:t xml:space="preserve">• </w:t>
      </w:r>
      <w:r>
        <w:rPr>
          <w:b/>
          <w:i w:val="0"/>
        </w:rPr>
        <w:t>Indian regional cuisines moved to future work.</w:t>
      </w:r>
      <w:r>
        <w:rPr>
          <w:b w:val="0"/>
          <w:i w:val="0"/>
        </w:rPr>
        <w:t xml:space="preserve"> The RecipeDB API holds the same 20,000 recipes already used (19 Indian), and the patient cohort is the US population, so US cuisines are the focus.</w:t>
      </w:r>
    </w:p>
    <w:p>
      <w:pPr>
        <w:pStyle w:val="Heading2"/>
      </w:pPr>
      <w:r>
        <w:t>2. Plan Versus Delivery</w:t>
      </w:r>
    </w:p>
    <w:p>
      <w:pPr>
        <w:pStyle w:val="Caption"/>
      </w:pPr>
      <w:r>
        <w:rPr>
          <w:b/>
        </w:rPr>
        <w:t xml:space="preserve">Table 1. </w:t>
      </w:r>
      <w:r>
        <w:t>Meeting 9 tasks from the weekly action plan.</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624"/>
            <w:shd w:val="clear" w:color="auto" w:fill="EDEDED"/>
            <w:tcBorders>
              <w:bottom w:val="single" w:sz="6" w:space="0" w:color="000000"/>
            </w:tcBorders>
          </w:tcPr>
          <w:p>
            <w:pPr>
              <w:spacing w:line="240" w:lineRule="auto" w:after="40" w:before="40"/>
              <w:jc w:val="left"/>
            </w:pPr>
            <w:r>
              <w:rPr>
                <w:b/>
                <w:i w:val="0"/>
                <w:sz w:val="18"/>
              </w:rPr>
              <w:t>Task</w:t>
            </w:r>
          </w:p>
        </w:tc>
        <w:tc>
          <w:tcPr>
            <w:tcW w:type="dxa" w:w="3969"/>
            <w:shd w:val="clear" w:color="auto" w:fill="EDEDED"/>
            <w:tcBorders>
              <w:bottom w:val="single" w:sz="6" w:space="0" w:color="000000"/>
            </w:tcBorders>
          </w:tcPr>
          <w:p>
            <w:pPr>
              <w:spacing w:line="240" w:lineRule="auto" w:after="40" w:before="40"/>
              <w:jc w:val="left"/>
            </w:pPr>
            <w:r>
              <w:rPr>
                <w:b/>
                <w:i w:val="0"/>
                <w:sz w:val="18"/>
              </w:rPr>
              <w:t>Planned item</w:t>
            </w:r>
          </w:p>
        </w:tc>
        <w:tc>
          <w:tcPr>
            <w:tcW w:type="dxa" w:w="2381"/>
            <w:shd w:val="clear" w:color="auto" w:fill="EDEDED"/>
            <w:tcBorders>
              <w:bottom w:val="single" w:sz="6" w:space="0" w:color="000000"/>
            </w:tcBorders>
          </w:tcPr>
          <w:p>
            <w:pPr>
              <w:spacing w:line="240" w:lineRule="auto" w:after="40" w:before="40"/>
              <w:jc w:val="left"/>
            </w:pPr>
            <w:r>
              <w:rPr>
                <w:b/>
                <w:i w:val="0"/>
                <w:sz w:val="18"/>
              </w:rPr>
              <w:t>Status</w:t>
            </w:r>
          </w:p>
        </w:tc>
        <w:tc>
          <w:tcPr>
            <w:tcW w:type="dxa" w:w="2041"/>
            <w:shd w:val="clear" w:color="auto" w:fill="EDEDED"/>
            <w:tcBorders>
              <w:bottom w:val="single" w:sz="6" w:space="0" w:color="000000"/>
            </w:tcBorders>
          </w:tcPr>
          <w:p>
            <w:pPr>
              <w:spacing w:line="240" w:lineRule="auto" w:after="40" w:before="40"/>
              <w:jc w:val="left"/>
            </w:pPr>
            <w:r>
              <w:rPr>
                <w:b/>
                <w:i w:val="0"/>
                <w:sz w:val="18"/>
              </w:rPr>
              <w:t>Where</w:t>
            </w:r>
          </w:p>
        </w:tc>
      </w:tr>
      <w:tr>
        <w:trPr>
          <w:cantSplit/>
        </w:trPr>
        <w:tc>
          <w:tcPr>
            <w:tcW w:type="dxa" w:w="624"/>
          </w:tcPr>
          <w:p>
            <w:pPr>
              <w:spacing w:line="240" w:lineRule="auto" w:after="40" w:before="40"/>
              <w:jc w:val="left"/>
            </w:pPr>
            <w:r>
              <w:rPr>
                <w:b w:val="0"/>
                <w:i w:val="0"/>
                <w:sz w:val="18"/>
              </w:rPr>
              <w:t>1</w:t>
            </w:r>
          </w:p>
        </w:tc>
        <w:tc>
          <w:tcPr>
            <w:tcW w:type="dxa" w:w="3969"/>
          </w:tcPr>
          <w:p>
            <w:pPr>
              <w:spacing w:line="240" w:lineRule="auto" w:after="40" w:before="40"/>
              <w:jc w:val="left"/>
            </w:pPr>
            <w:r>
              <w:rPr>
                <w:b w:val="0"/>
                <w:i w:val="0"/>
                <w:sz w:val="18"/>
              </w:rPr>
              <w:t>Integration checkpoint (end-to-end pipeline and demo)</w:t>
            </w:r>
          </w:p>
        </w:tc>
        <w:tc>
          <w:tcPr>
            <w:tcW w:type="dxa" w:w="2381"/>
          </w:tcPr>
          <w:p>
            <w:pPr>
              <w:spacing w:line="240" w:lineRule="auto" w:after="40" w:before="40"/>
              <w:jc w:val="left"/>
            </w:pPr>
            <w:r>
              <w:rPr>
                <w:b w:val="0"/>
                <w:i w:val="0"/>
                <w:sz w:val="18"/>
              </w:rPr>
              <w:t>Met earlier; demo now runs Layers 2–5</w:t>
            </w:r>
          </w:p>
        </w:tc>
        <w:tc>
          <w:tcPr>
            <w:tcW w:type="dxa" w:w="2041"/>
          </w:tcPr>
          <w:p>
            <w:pPr>
              <w:spacing w:line="240" w:lineRule="auto" w:after="40" w:before="40"/>
              <w:jc w:val="left"/>
            </w:pPr>
            <w:r>
              <w:rPr>
                <w:b w:val="0"/>
                <w:i w:val="0"/>
                <w:sz w:val="18"/>
              </w:rPr>
              <w:t>src/demo.py</w:t>
            </w:r>
          </w:p>
        </w:tc>
      </w:tr>
      <w:tr>
        <w:trPr>
          <w:cantSplit/>
        </w:trPr>
        <w:tc>
          <w:tcPr>
            <w:tcW w:type="dxa" w:w="624"/>
          </w:tcPr>
          <w:p>
            <w:pPr>
              <w:spacing w:line="240" w:lineRule="auto" w:after="40" w:before="40"/>
              <w:jc w:val="left"/>
            </w:pPr>
            <w:r>
              <w:rPr>
                <w:b w:val="0"/>
                <w:i w:val="0"/>
                <w:sz w:val="18"/>
              </w:rPr>
              <w:t>1</w:t>
            </w:r>
          </w:p>
        </w:tc>
        <w:tc>
          <w:tcPr>
            <w:tcW w:type="dxa" w:w="3969"/>
          </w:tcPr>
          <w:p>
            <w:pPr>
              <w:spacing w:line="240" w:lineRule="auto" w:after="40" w:before="40"/>
              <w:jc w:val="left"/>
            </w:pPr>
            <w:r>
              <w:rPr>
                <w:b w:val="0"/>
                <w:i w:val="0"/>
                <w:sz w:val="18"/>
              </w:rPr>
              <w:t>Layer 5 scenario engine: Recipe A vs B, evidence-graded direction (§8)</w:t>
            </w:r>
          </w:p>
        </w:tc>
        <w:tc>
          <w:tcPr>
            <w:tcW w:type="dxa" w:w="2381"/>
          </w:tcPr>
          <w:p>
            <w:pPr>
              <w:spacing w:line="240" w:lineRule="auto" w:after="40" w:before="40"/>
              <w:jc w:val="left"/>
            </w:pPr>
            <w:r>
              <w:rPr>
                <w:b w:val="0"/>
                <w:i w:val="0"/>
                <w:sz w:val="18"/>
              </w:rPr>
              <w:t>Done</w:t>
            </w:r>
          </w:p>
        </w:tc>
        <w:tc>
          <w:tcPr>
            <w:tcW w:type="dxa" w:w="2041"/>
          </w:tcPr>
          <w:p>
            <w:pPr>
              <w:spacing w:line="240" w:lineRule="auto" w:after="40" w:before="40"/>
              <w:jc w:val="left"/>
            </w:pPr>
            <w:r>
              <w:rPr>
                <w:b w:val="0"/>
                <w:i w:val="0"/>
                <w:sz w:val="18"/>
              </w:rPr>
              <w:t>scenario_engine.py</w:t>
            </w:r>
          </w:p>
        </w:tc>
      </w:tr>
      <w:tr>
        <w:trPr>
          <w:cantSplit/>
        </w:trPr>
        <w:tc>
          <w:tcPr>
            <w:tcW w:type="dxa" w:w="624"/>
          </w:tcPr>
          <w:p>
            <w:pPr>
              <w:spacing w:line="240" w:lineRule="auto" w:after="40" w:before="40"/>
              <w:jc w:val="left"/>
            </w:pPr>
            <w:r>
              <w:rPr>
                <w:b w:val="0"/>
                <w:i w:val="0"/>
                <w:sz w:val="18"/>
              </w:rPr>
              <w:t>1</w:t>
            </w:r>
          </w:p>
        </w:tc>
        <w:tc>
          <w:tcPr>
            <w:tcW w:type="dxa" w:w="3969"/>
          </w:tcPr>
          <w:p>
            <w:pPr>
              <w:spacing w:line="240" w:lineRule="auto" w:after="40" w:before="40"/>
              <w:jc w:val="left"/>
            </w:pPr>
            <w:r>
              <w:rPr>
                <w:b w:val="0"/>
                <w:i w:val="0"/>
                <w:sz w:val="18"/>
              </w:rPr>
              <w:t>Habitual diet from NHANES 24-hour recall (§17.1)</w:t>
            </w:r>
          </w:p>
        </w:tc>
        <w:tc>
          <w:tcPr>
            <w:tcW w:type="dxa" w:w="2381"/>
          </w:tcPr>
          <w:p>
            <w:pPr>
              <w:spacing w:line="240" w:lineRule="auto" w:after="40" w:before="40"/>
              <w:jc w:val="left"/>
            </w:pPr>
            <w:r>
              <w:rPr>
                <w:b w:val="0"/>
                <w:i w:val="0"/>
                <w:sz w:val="18"/>
              </w:rPr>
              <w:t>Done</w:t>
            </w:r>
          </w:p>
        </w:tc>
        <w:tc>
          <w:tcPr>
            <w:tcW w:type="dxa" w:w="2041"/>
          </w:tcPr>
          <w:p>
            <w:pPr>
              <w:spacing w:line="240" w:lineRule="auto" w:after="40" w:before="40"/>
              <w:jc w:val="left"/>
            </w:pPr>
            <w:r>
              <w:rPr>
                <w:b w:val="0"/>
                <w:i w:val="0"/>
                <w:sz w:val="18"/>
              </w:rPr>
              <w:t>habitual_diet.py</w:t>
            </w:r>
          </w:p>
        </w:tc>
      </w:tr>
      <w:tr>
        <w:trPr>
          <w:cantSplit/>
        </w:trPr>
        <w:tc>
          <w:tcPr>
            <w:tcW w:type="dxa" w:w="624"/>
          </w:tcPr>
          <w:p>
            <w:pPr>
              <w:spacing w:line="240" w:lineRule="auto" w:after="40" w:before="40"/>
              <w:jc w:val="left"/>
            </w:pPr>
            <w:r>
              <w:rPr>
                <w:b w:val="0"/>
                <w:i w:val="0"/>
                <w:sz w:val="18"/>
              </w:rPr>
              <w:t>1</w:t>
            </w:r>
          </w:p>
        </w:tc>
        <w:tc>
          <w:tcPr>
            <w:tcW w:type="dxa" w:w="3969"/>
          </w:tcPr>
          <w:p>
            <w:pPr>
              <w:spacing w:line="240" w:lineRule="auto" w:after="40" w:before="40"/>
              <w:jc w:val="left"/>
            </w:pPr>
            <w:r>
              <w:rPr>
                <w:b w:val="0"/>
                <w:i w:val="0"/>
                <w:sz w:val="18"/>
              </w:rPr>
              <w:t>New evidence rows: coffee, fasting, null findings (§17.13)</w:t>
            </w:r>
          </w:p>
        </w:tc>
        <w:tc>
          <w:tcPr>
            <w:tcW w:type="dxa" w:w="2381"/>
          </w:tcPr>
          <w:p>
            <w:pPr>
              <w:spacing w:line="240" w:lineRule="auto" w:after="40" w:before="40"/>
              <w:jc w:val="left"/>
            </w:pPr>
            <w:r>
              <w:rPr>
                <w:b w:val="0"/>
                <w:i w:val="0"/>
                <w:sz w:val="18"/>
              </w:rPr>
              <w:t>Done (6 rows)</w:t>
            </w:r>
          </w:p>
        </w:tc>
        <w:tc>
          <w:tcPr>
            <w:tcW w:type="dxa" w:w="2041"/>
          </w:tcPr>
          <w:p>
            <w:pPr>
              <w:spacing w:line="240" w:lineRule="auto" w:after="40" w:before="40"/>
              <w:jc w:val="left"/>
            </w:pPr>
            <w:r>
              <w:rPr>
                <w:b w:val="0"/>
                <w:i w:val="0"/>
                <w:sz w:val="18"/>
              </w:rPr>
              <w:t>evidence CSV</w:t>
            </w:r>
          </w:p>
        </w:tc>
      </w:tr>
      <w:tr>
        <w:trPr>
          <w:cantSplit/>
        </w:trPr>
        <w:tc>
          <w:tcPr>
            <w:tcW w:type="dxa" w:w="624"/>
          </w:tcPr>
          <w:p>
            <w:pPr>
              <w:spacing w:line="240" w:lineRule="auto" w:after="40" w:before="40"/>
              <w:jc w:val="left"/>
            </w:pPr>
            <w:r>
              <w:rPr>
                <w:b w:val="0"/>
                <w:i w:val="0"/>
                <w:sz w:val="18"/>
              </w:rPr>
              <w:t>2</w:t>
            </w:r>
          </w:p>
        </w:tc>
        <w:tc>
          <w:tcPr>
            <w:tcW w:type="dxa" w:w="3969"/>
          </w:tcPr>
          <w:p>
            <w:pPr>
              <w:spacing w:line="240" w:lineRule="auto" w:after="40" w:before="40"/>
              <w:jc w:val="left"/>
            </w:pPr>
            <w:r>
              <w:rPr>
                <w:b w:val="0"/>
                <w:i w:val="0"/>
                <w:sz w:val="18"/>
              </w:rPr>
              <w:t>Diversity re-ranking and 7-day meal plan (§17.6)</w:t>
            </w:r>
          </w:p>
        </w:tc>
        <w:tc>
          <w:tcPr>
            <w:tcW w:type="dxa" w:w="2381"/>
          </w:tcPr>
          <w:p>
            <w:pPr>
              <w:spacing w:line="240" w:lineRule="auto" w:after="40" w:before="40"/>
              <w:jc w:val="left"/>
            </w:pPr>
            <w:r>
              <w:rPr>
                <w:b w:val="0"/>
                <w:i w:val="0"/>
                <w:sz w:val="18"/>
              </w:rPr>
              <w:t>Done</w:t>
            </w:r>
          </w:p>
        </w:tc>
        <w:tc>
          <w:tcPr>
            <w:tcW w:type="dxa" w:w="2041"/>
          </w:tcPr>
          <w:p>
            <w:pPr>
              <w:spacing w:line="240" w:lineRule="auto" w:after="40" w:before="40"/>
              <w:jc w:val="left"/>
            </w:pPr>
            <w:r>
              <w:rPr>
                <w:b w:val="0"/>
                <w:i w:val="0"/>
                <w:sz w:val="18"/>
              </w:rPr>
              <w:t>meal_plan.py</w:t>
            </w:r>
          </w:p>
        </w:tc>
      </w:tr>
      <w:tr>
        <w:trPr>
          <w:cantSplit/>
        </w:trPr>
        <w:tc>
          <w:tcPr>
            <w:tcW w:type="dxa" w:w="624"/>
          </w:tcPr>
          <w:p>
            <w:pPr>
              <w:spacing w:line="240" w:lineRule="auto" w:after="40" w:before="40"/>
              <w:jc w:val="left"/>
            </w:pPr>
            <w:r>
              <w:rPr>
                <w:b w:val="0"/>
                <w:i w:val="0"/>
                <w:sz w:val="18"/>
              </w:rPr>
              <w:t>2</w:t>
            </w:r>
          </w:p>
        </w:tc>
        <w:tc>
          <w:tcPr>
            <w:tcW w:type="dxa" w:w="3969"/>
          </w:tcPr>
          <w:p>
            <w:pPr>
              <w:spacing w:line="240" w:lineRule="auto" w:after="40" w:before="40"/>
              <w:jc w:val="left"/>
            </w:pPr>
            <w:r>
              <w:rPr>
                <w:b w:val="0"/>
                <w:i w:val="0"/>
                <w:sz w:val="18"/>
              </w:rPr>
              <w:t>Full RecipeDB including Indian regional cuisines (§17.12)</w:t>
            </w:r>
          </w:p>
        </w:tc>
        <w:tc>
          <w:tcPr>
            <w:tcW w:type="dxa" w:w="2381"/>
          </w:tcPr>
          <w:p>
            <w:pPr>
              <w:spacing w:line="240" w:lineRule="auto" w:after="40" w:before="40"/>
              <w:jc w:val="left"/>
            </w:pPr>
            <w:r>
              <w:rPr>
                <w:b w:val="0"/>
                <w:i w:val="0"/>
                <w:sz w:val="18"/>
              </w:rPr>
              <w:t>Moved to future work</w:t>
            </w:r>
          </w:p>
        </w:tc>
        <w:tc>
          <w:tcPr>
            <w:tcW w:type="dxa" w:w="2041"/>
          </w:tcPr>
          <w:p>
            <w:pPr>
              <w:spacing w:line="240" w:lineRule="auto" w:after="40" w:before="40"/>
              <w:jc w:val="left"/>
            </w:pPr>
            <w:r>
              <w:rPr>
                <w:b w:val="0"/>
                <w:i w:val="0"/>
                <w:sz w:val="18"/>
              </w:rPr>
              <w:t>Section 7</w:t>
            </w:r>
          </w:p>
        </w:tc>
      </w:tr>
      <w:tr>
        <w:trPr>
          <w:cantSplit/>
        </w:trPr>
        <w:tc>
          <w:tcPr>
            <w:tcW w:type="dxa" w:w="624"/>
          </w:tcPr>
          <w:p>
            <w:pPr>
              <w:spacing w:line="240" w:lineRule="auto" w:after="40" w:before="40"/>
              <w:jc w:val="left"/>
            </w:pPr>
            <w:r>
              <w:rPr>
                <w:b w:val="0"/>
                <w:i w:val="0"/>
                <w:sz w:val="18"/>
              </w:rPr>
              <w:t>2</w:t>
            </w:r>
          </w:p>
        </w:tc>
        <w:tc>
          <w:tcPr>
            <w:tcW w:type="dxa" w:w="3969"/>
          </w:tcPr>
          <w:p>
            <w:pPr>
              <w:spacing w:line="240" w:lineRule="auto" w:after="40" w:before="40"/>
              <w:jc w:val="left"/>
            </w:pPr>
            <w:r>
              <w:rPr>
                <w:b w:val="0"/>
                <w:i w:val="0"/>
                <w:sz w:val="18"/>
              </w:rPr>
              <w:t>Rating-based acceptability (§17.12)</w:t>
            </w:r>
          </w:p>
        </w:tc>
        <w:tc>
          <w:tcPr>
            <w:tcW w:type="dxa" w:w="2381"/>
          </w:tcPr>
          <w:p>
            <w:pPr>
              <w:spacing w:line="240" w:lineRule="auto" w:after="40" w:before="40"/>
              <w:jc w:val="left"/>
            </w:pPr>
            <w:r>
              <w:rPr>
                <w:b w:val="0"/>
                <w:i w:val="0"/>
                <w:sz w:val="18"/>
              </w:rPr>
              <w:t>Done; now in the default ranking</w:t>
            </w:r>
          </w:p>
        </w:tc>
        <w:tc>
          <w:tcPr>
            <w:tcW w:type="dxa" w:w="2041"/>
          </w:tcPr>
          <w:p>
            <w:pPr>
              <w:spacing w:line="240" w:lineRule="auto" w:after="40" w:before="40"/>
              <w:jc w:val="left"/>
            </w:pPr>
            <w:r>
              <w:rPr>
                <w:b w:val="0"/>
                <w:i w:val="0"/>
                <w:sz w:val="18"/>
              </w:rPr>
              <w:t>multi_criteria.py</w:t>
            </w:r>
          </w:p>
        </w:tc>
      </w:tr>
      <w:tr>
        <w:trPr>
          <w:cantSplit/>
        </w:trPr>
        <w:tc>
          <w:tcPr>
            <w:tcW w:type="dxa" w:w="624"/>
          </w:tcPr>
          <w:p>
            <w:pPr>
              <w:spacing w:line="240" w:lineRule="auto" w:after="40" w:before="40"/>
              <w:jc w:val="left"/>
            </w:pPr>
            <w:r>
              <w:rPr>
                <w:b w:val="0"/>
                <w:i w:val="0"/>
                <w:sz w:val="18"/>
              </w:rPr>
              <w:t>2</w:t>
            </w:r>
          </w:p>
        </w:tc>
        <w:tc>
          <w:tcPr>
            <w:tcW w:type="dxa" w:w="3969"/>
          </w:tcPr>
          <w:p>
            <w:pPr>
              <w:spacing w:line="240" w:lineRule="auto" w:after="40" w:before="40"/>
              <w:jc w:val="left"/>
            </w:pPr>
            <w:r>
              <w:rPr>
                <w:b w:val="0"/>
                <w:i w:val="0"/>
                <w:sz w:val="18"/>
              </w:rPr>
              <w:t>Start recruiting 5–10 pilot evaluators</w:t>
            </w:r>
          </w:p>
        </w:tc>
        <w:tc>
          <w:tcPr>
            <w:tcW w:type="dxa" w:w="2381"/>
          </w:tcPr>
          <w:p>
            <w:pPr>
              <w:spacing w:line="240" w:lineRule="auto" w:after="40" w:before="40"/>
              <w:jc w:val="left"/>
            </w:pPr>
            <w:r>
              <w:rPr>
                <w:b w:val="0"/>
                <w:i w:val="0"/>
                <w:sz w:val="18"/>
              </w:rPr>
              <w:t>Not started</w:t>
            </w:r>
          </w:p>
        </w:tc>
        <w:tc>
          <w:tcPr>
            <w:tcW w:type="dxa" w:w="2041"/>
          </w:tcPr>
          <w:p>
            <w:pPr>
              <w:spacing w:line="240" w:lineRule="auto" w:after="40" w:before="40"/>
              <w:jc w:val="left"/>
            </w:pPr>
            <w:r>
              <w:rPr>
                <w:b w:val="0"/>
                <w:i w:val="0"/>
                <w:sz w:val="18"/>
              </w:rPr>
              <w:t>Section 10</w:t>
            </w:r>
          </w:p>
        </w:tc>
      </w:tr>
      <w:tr>
        <w:trPr>
          <w:cantSplit/>
        </w:trPr>
        <w:tc>
          <w:tcPr>
            <w:tcW w:type="dxa" w:w="624"/>
          </w:tcPr>
          <w:p>
            <w:pPr>
              <w:spacing w:line="240" w:lineRule="auto" w:after="40" w:before="40"/>
              <w:jc w:val="left"/>
            </w:pPr>
            <w:r>
              <w:rPr>
                <w:b w:val="0"/>
                <w:i w:val="0"/>
                <w:sz w:val="18"/>
              </w:rPr>
              <w:t>–</w:t>
            </w:r>
          </w:p>
        </w:tc>
        <w:tc>
          <w:tcPr>
            <w:tcW w:type="dxa" w:w="3969"/>
          </w:tcPr>
          <w:p>
            <w:pPr>
              <w:spacing w:line="240" w:lineRule="auto" w:after="40" w:before="40"/>
              <w:jc w:val="left"/>
            </w:pPr>
            <w:r>
              <w:rPr>
                <w:b w:val="0"/>
                <w:i w:val="0"/>
                <w:sz w:val="18"/>
              </w:rPr>
              <w:t>Not planned: priority levels ignored inside the health gate</w:t>
            </w:r>
          </w:p>
        </w:tc>
        <w:tc>
          <w:tcPr>
            <w:tcW w:type="dxa" w:w="2381"/>
          </w:tcPr>
          <w:p>
            <w:pPr>
              <w:spacing w:line="240" w:lineRule="auto" w:after="40" w:before="40"/>
              <w:jc w:val="left"/>
            </w:pPr>
            <w:r>
              <w:rPr>
                <w:b w:val="0"/>
                <w:i w:val="0"/>
                <w:sz w:val="18"/>
              </w:rPr>
              <w:t>Found and fixed</w:t>
            </w:r>
          </w:p>
        </w:tc>
        <w:tc>
          <w:tcPr>
            <w:tcW w:type="dxa" w:w="2041"/>
          </w:tcPr>
          <w:p>
            <w:pPr>
              <w:spacing w:line="240" w:lineRule="auto" w:after="40" w:before="40"/>
              <w:jc w:val="left"/>
            </w:pPr>
            <w:r>
              <w:rPr>
                <w:b w:val="0"/>
                <w:i w:val="0"/>
                <w:sz w:val="18"/>
              </w:rPr>
              <w:t>Section 3</w:t>
            </w:r>
          </w:p>
        </w:tc>
      </w:tr>
    </w:tbl>
    <w:p>
      <w:pPr>
        <w:spacing w:after="200" w:line="240" w:lineRule="auto" w:before="80"/>
        <w:jc w:val="left"/>
      </w:pPr>
      <w:r>
        <w:rPr>
          <w:b w:val="0"/>
          <w:i/>
          <w:sz w:val="18"/>
        </w:rPr>
        <w:t>All code is in the project repository; 84 automated tests pass.</w:t>
      </w:r>
    </w:p>
    <w:p>
      <w:pPr>
        <w:pStyle w:val="Heading2"/>
      </w:pPr>
      <w:r>
        <w:t>3. Personalised Priorities from the 24-Hour Recall (§17.1)</w:t>
      </w:r>
    </w:p>
    <w:p>
      <w:r>
        <w:rPr>
          <w:b/>
          <w:i w:val="0"/>
        </w:rPr>
        <w:t>Data.</w:t>
      </w:r>
      <w:r>
        <w:rPr>
          <w:b w:val="0"/>
          <w:i w:val="0"/>
        </w:rPr>
        <w:t xml:space="preserve"> Day-1 nutrient totals (DR1TOT) were taken for both FibroScan cycles. Added sugars and the food groups needed for the Healthy Eating Index-2020 (HEI-2020) come from the USDA Food Patterns Equivalents Database (FPED). For 2017–March 2020 these are USDA's participant-level totals. USDA has not released FPED for 2021–2023, so the totals were derived with USDA's own method: each food in the day-1 individual-foods file contributes its per-100 g FPED values from the 2017–March 2020 food-level database, multiplied by grams eaten. Food codes with a match cover 99.6% of 2021–2023 food energy; a participant's values are used only when matched foods supply at least 95% of their energy (4,789 participants; 102 excluded). Of 15,300 cohort participants, 9,391 have a recall that is complete, reported as a usual day, and of plausible energy (500–3,500 kcal for women, 800–4,000 for men); only these are used.</w:t>
      </w:r>
    </w:p>
    <w:p>
      <w:r>
        <w:rPr>
          <w:b/>
          <w:i w:val="0"/>
        </w:rPr>
        <w:t>Validation of the derived FPED.</w:t>
      </w:r>
      <w:r>
        <w:rPr>
          <w:b w:val="0"/>
          <w:i w:val="0"/>
        </w:rPr>
        <w:t xml:space="preserve"> Applying the same derivation to the 2017–2020 individual foods and comparing it with USDA's official totals (5,608 cohort participants with a reliable recall) gave Pearson r = 1.000 for added sugars (median absolute difference 0.004 percentage points of energy) and r = 1.000 for HEI-2020, with 100% of scores within one point; the decision “added sugars above 10% of energy” agreed for 100% of participants. This confirms the calculation reproduces USDA's; it cannot show that 2017–2020 food values still apply to foods eaten in 2021–2023 (Section 8).</w:t>
      </w:r>
    </w:p>
    <w:p>
      <w:pPr>
        <w:pStyle w:val="Caption"/>
      </w:pPr>
      <w:r>
        <w:rPr>
          <w:b/>
        </w:rPr>
        <w:t xml:space="preserve">Table 2. </w:t>
      </w:r>
      <w:r>
        <w:t>Median intake among participants with a reliable recall.</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3061"/>
            <w:shd w:val="clear" w:color="auto" w:fill="EDEDED"/>
            <w:tcBorders>
              <w:bottom w:val="single" w:sz="6" w:space="0" w:color="000000"/>
            </w:tcBorders>
          </w:tcPr>
          <w:p>
            <w:pPr>
              <w:spacing w:line="240" w:lineRule="auto" w:after="40" w:before="40"/>
              <w:jc w:val="left"/>
            </w:pPr>
            <w:r>
              <w:rPr>
                <w:b/>
                <w:i w:val="0"/>
                <w:sz w:val="18"/>
              </w:rPr>
              <w:t>Measure</w:t>
            </w:r>
          </w:p>
        </w:tc>
        <w:tc>
          <w:tcPr>
            <w:tcW w:type="dxa" w:w="2381"/>
            <w:shd w:val="clear" w:color="auto" w:fill="EDEDED"/>
            <w:tcBorders>
              <w:bottom w:val="single" w:sz="6" w:space="0" w:color="000000"/>
            </w:tcBorders>
          </w:tcPr>
          <w:p>
            <w:pPr>
              <w:spacing w:line="240" w:lineRule="auto" w:after="40" w:before="40"/>
              <w:jc w:val="left"/>
            </w:pPr>
            <w:r>
              <w:rPr>
                <w:b/>
                <w:i w:val="0"/>
                <w:sz w:val="18"/>
              </w:rPr>
              <w:t>Reference used for recipes</w:t>
            </w:r>
          </w:p>
        </w:tc>
        <w:tc>
          <w:tcPr>
            <w:tcW w:type="dxa" w:w="1474"/>
            <w:shd w:val="clear" w:color="auto" w:fill="EDEDED"/>
            <w:tcBorders>
              <w:bottom w:val="single" w:sz="6" w:space="0" w:color="000000"/>
            </w:tcBorders>
          </w:tcPr>
          <w:p>
            <w:pPr>
              <w:spacing w:line="240" w:lineRule="auto" w:after="40" w:before="40"/>
              <w:jc w:val="right"/>
            </w:pPr>
            <w:r>
              <w:rPr>
                <w:b/>
                <w:i w:val="0"/>
                <w:sz w:val="18"/>
              </w:rPr>
              <w:t>2017–2020</w:t>
            </w:r>
          </w:p>
        </w:tc>
        <w:tc>
          <w:tcPr>
            <w:tcW w:type="dxa" w:w="1474"/>
            <w:shd w:val="clear" w:color="auto" w:fill="EDEDED"/>
            <w:tcBorders>
              <w:bottom w:val="single" w:sz="6" w:space="0" w:color="000000"/>
            </w:tcBorders>
          </w:tcPr>
          <w:p>
            <w:pPr>
              <w:spacing w:line="240" w:lineRule="auto" w:after="40" w:before="40"/>
              <w:jc w:val="right"/>
            </w:pPr>
            <w:r>
              <w:rPr>
                <w:b/>
                <w:i w:val="0"/>
                <w:sz w:val="18"/>
              </w:rPr>
              <w:t>2021–2023</w:t>
            </w:r>
          </w:p>
        </w:tc>
      </w:tr>
      <w:tr>
        <w:trPr>
          <w:cantSplit/>
        </w:trPr>
        <w:tc>
          <w:tcPr>
            <w:tcW w:type="dxa" w:w="3061"/>
          </w:tcPr>
          <w:p>
            <w:pPr>
              <w:spacing w:line="240" w:lineRule="auto" w:after="40" w:before="40"/>
              <w:jc w:val="left"/>
            </w:pPr>
            <w:r>
              <w:rPr>
                <w:b w:val="0"/>
                <w:i w:val="0"/>
                <w:sz w:val="18"/>
              </w:rPr>
              <w:t>Saturated fat (% of energy)</w:t>
            </w:r>
          </w:p>
        </w:tc>
        <w:tc>
          <w:tcPr>
            <w:tcW w:type="dxa" w:w="2381"/>
          </w:tcPr>
          <w:p>
            <w:pPr>
              <w:spacing w:line="240" w:lineRule="auto" w:after="40" w:before="40"/>
              <w:jc w:val="left"/>
            </w:pPr>
            <w:r>
              <w:rPr>
                <w:b w:val="0"/>
                <w:i w:val="0"/>
                <w:sz w:val="18"/>
              </w:rPr>
              <w:t>≤ 10</w:t>
            </w:r>
          </w:p>
        </w:tc>
        <w:tc>
          <w:tcPr>
            <w:tcW w:type="dxa" w:w="1474"/>
          </w:tcPr>
          <w:p>
            <w:pPr>
              <w:spacing w:line="240" w:lineRule="auto" w:after="40" w:before="40"/>
              <w:jc w:val="right"/>
            </w:pPr>
            <w:r>
              <w:rPr>
                <w:b w:val="0"/>
                <w:i w:val="0"/>
                <w:sz w:val="18"/>
              </w:rPr>
              <w:t>11.3</w:t>
            </w:r>
          </w:p>
        </w:tc>
        <w:tc>
          <w:tcPr>
            <w:tcW w:type="dxa" w:w="1474"/>
          </w:tcPr>
          <w:p>
            <w:pPr>
              <w:spacing w:line="240" w:lineRule="auto" w:after="40" w:before="40"/>
              <w:jc w:val="right"/>
            </w:pPr>
            <w:r>
              <w:rPr>
                <w:b w:val="0"/>
                <w:i w:val="0"/>
                <w:sz w:val="18"/>
              </w:rPr>
              <w:t>11.7</w:t>
            </w:r>
          </w:p>
        </w:tc>
      </w:tr>
      <w:tr>
        <w:trPr>
          <w:cantSplit/>
        </w:trPr>
        <w:tc>
          <w:tcPr>
            <w:tcW w:type="dxa" w:w="3061"/>
          </w:tcPr>
          <w:p>
            <w:pPr>
              <w:spacing w:line="240" w:lineRule="auto" w:after="40" w:before="40"/>
              <w:jc w:val="left"/>
            </w:pPr>
            <w:r>
              <w:rPr>
                <w:b w:val="0"/>
                <w:i w:val="0"/>
                <w:sz w:val="18"/>
              </w:rPr>
              <w:t>Added sugars (% of energy)</w:t>
            </w:r>
          </w:p>
        </w:tc>
        <w:tc>
          <w:tcPr>
            <w:tcW w:type="dxa" w:w="2381"/>
          </w:tcPr>
          <w:p>
            <w:pPr>
              <w:spacing w:line="240" w:lineRule="auto" w:after="40" w:before="40"/>
              <w:jc w:val="left"/>
            </w:pPr>
            <w:r>
              <w:rPr>
                <w:b w:val="0"/>
                <w:i w:val="0"/>
                <w:sz w:val="18"/>
              </w:rPr>
              <w:t>≤ 10</w:t>
            </w:r>
          </w:p>
        </w:tc>
        <w:tc>
          <w:tcPr>
            <w:tcW w:type="dxa" w:w="1474"/>
          </w:tcPr>
          <w:p>
            <w:pPr>
              <w:spacing w:line="240" w:lineRule="auto" w:after="40" w:before="40"/>
              <w:jc w:val="right"/>
            </w:pPr>
            <w:r>
              <w:rPr>
                <w:b w:val="0"/>
                <w:i w:val="0"/>
                <w:sz w:val="18"/>
              </w:rPr>
              <w:t>10.4</w:t>
            </w:r>
          </w:p>
        </w:tc>
        <w:tc>
          <w:tcPr>
            <w:tcW w:type="dxa" w:w="1474"/>
          </w:tcPr>
          <w:p>
            <w:pPr>
              <w:spacing w:line="240" w:lineRule="auto" w:after="40" w:before="40"/>
              <w:jc w:val="right"/>
            </w:pPr>
            <w:r>
              <w:rPr>
                <w:b w:val="0"/>
                <w:i w:val="0"/>
                <w:sz w:val="18"/>
              </w:rPr>
              <w:t>8.9*</w:t>
            </w:r>
          </w:p>
        </w:tc>
      </w:tr>
      <w:tr>
        <w:trPr>
          <w:cantSplit/>
        </w:trPr>
        <w:tc>
          <w:tcPr>
            <w:tcW w:type="dxa" w:w="3061"/>
          </w:tcPr>
          <w:p>
            <w:pPr>
              <w:spacing w:line="240" w:lineRule="auto" w:after="40" w:before="40"/>
              <w:jc w:val="left"/>
            </w:pPr>
            <w:r>
              <w:rPr>
                <w:b w:val="0"/>
                <w:i w:val="0"/>
                <w:sz w:val="18"/>
              </w:rPr>
              <w:t>Total sugars (% of energy)</w:t>
            </w:r>
          </w:p>
        </w:tc>
        <w:tc>
          <w:tcPr>
            <w:tcW w:type="dxa" w:w="2381"/>
          </w:tcPr>
          <w:p>
            <w:pPr>
              <w:spacing w:line="240" w:lineRule="auto" w:after="40" w:before="40"/>
              <w:jc w:val="left"/>
            </w:pPr>
            <w:r>
              <w:rPr>
                <w:b w:val="0"/>
                <w:i w:val="0"/>
                <w:sz w:val="18"/>
              </w:rPr>
              <w:t>–</w:t>
            </w:r>
          </w:p>
        </w:tc>
        <w:tc>
          <w:tcPr>
            <w:tcW w:type="dxa" w:w="1474"/>
          </w:tcPr>
          <w:p>
            <w:pPr>
              <w:spacing w:line="240" w:lineRule="auto" w:after="40" w:before="40"/>
              <w:jc w:val="right"/>
            </w:pPr>
            <w:r>
              <w:rPr>
                <w:b w:val="0"/>
                <w:i w:val="0"/>
                <w:sz w:val="18"/>
              </w:rPr>
              <w:t>18.8</w:t>
            </w:r>
          </w:p>
        </w:tc>
        <w:tc>
          <w:tcPr>
            <w:tcW w:type="dxa" w:w="1474"/>
          </w:tcPr>
          <w:p>
            <w:pPr>
              <w:spacing w:line="240" w:lineRule="auto" w:after="40" w:before="40"/>
              <w:jc w:val="right"/>
            </w:pPr>
            <w:r>
              <w:rPr>
                <w:b w:val="0"/>
                <w:i w:val="0"/>
                <w:sz w:val="18"/>
              </w:rPr>
              <w:t>18.2</w:t>
            </w:r>
          </w:p>
        </w:tc>
      </w:tr>
      <w:tr>
        <w:trPr>
          <w:cantSplit/>
        </w:trPr>
        <w:tc>
          <w:tcPr>
            <w:tcW w:type="dxa" w:w="3061"/>
          </w:tcPr>
          <w:p>
            <w:pPr>
              <w:spacing w:line="240" w:lineRule="auto" w:after="40" w:before="40"/>
              <w:jc w:val="left"/>
            </w:pPr>
            <w:r>
              <w:rPr>
                <w:b w:val="0"/>
                <w:i w:val="0"/>
                <w:sz w:val="18"/>
              </w:rPr>
              <w:t>Fibre (g per 1,000 kcal)</w:t>
            </w:r>
          </w:p>
        </w:tc>
        <w:tc>
          <w:tcPr>
            <w:tcW w:type="dxa" w:w="2381"/>
          </w:tcPr>
          <w:p>
            <w:pPr>
              <w:spacing w:line="240" w:lineRule="auto" w:after="40" w:before="40"/>
              <w:jc w:val="left"/>
            </w:pPr>
            <w:r>
              <w:rPr>
                <w:b w:val="0"/>
                <w:i w:val="0"/>
                <w:sz w:val="18"/>
              </w:rPr>
              <w:t>≥ 14</w:t>
            </w:r>
          </w:p>
        </w:tc>
        <w:tc>
          <w:tcPr>
            <w:tcW w:type="dxa" w:w="1474"/>
          </w:tcPr>
          <w:p>
            <w:pPr>
              <w:spacing w:line="240" w:lineRule="auto" w:after="40" w:before="40"/>
              <w:jc w:val="right"/>
            </w:pPr>
            <w:r>
              <w:rPr>
                <w:b w:val="0"/>
                <w:i w:val="0"/>
                <w:sz w:val="18"/>
              </w:rPr>
              <w:t>7.1</w:t>
            </w:r>
          </w:p>
        </w:tc>
        <w:tc>
          <w:tcPr>
            <w:tcW w:type="dxa" w:w="1474"/>
          </w:tcPr>
          <w:p>
            <w:pPr>
              <w:spacing w:line="240" w:lineRule="auto" w:after="40" w:before="40"/>
              <w:jc w:val="right"/>
            </w:pPr>
            <w:r>
              <w:rPr>
                <w:b w:val="0"/>
                <w:i w:val="0"/>
                <w:sz w:val="18"/>
              </w:rPr>
              <w:t>7.8</w:t>
            </w:r>
          </w:p>
        </w:tc>
      </w:tr>
      <w:tr>
        <w:trPr>
          <w:cantSplit/>
        </w:trPr>
        <w:tc>
          <w:tcPr>
            <w:tcW w:type="dxa" w:w="3061"/>
          </w:tcPr>
          <w:p>
            <w:pPr>
              <w:spacing w:line="240" w:lineRule="auto" w:after="40" w:before="40"/>
              <w:jc w:val="left"/>
            </w:pPr>
            <w:r>
              <w:rPr>
                <w:b w:val="0"/>
                <w:i w:val="0"/>
                <w:sz w:val="18"/>
              </w:rPr>
              <w:t>HEI-2020 (0–100)</w:t>
            </w:r>
          </w:p>
        </w:tc>
        <w:tc>
          <w:tcPr>
            <w:tcW w:type="dxa" w:w="2381"/>
          </w:tcPr>
          <w:p>
            <w:pPr>
              <w:spacing w:line="240" w:lineRule="auto" w:after="40" w:before="40"/>
              <w:jc w:val="left"/>
            </w:pPr>
            <w:r>
              <w:rPr>
                <w:b w:val="0"/>
                <w:i w:val="0"/>
                <w:sz w:val="18"/>
              </w:rPr>
              <w:t>–</w:t>
            </w:r>
          </w:p>
        </w:tc>
        <w:tc>
          <w:tcPr>
            <w:tcW w:type="dxa" w:w="1474"/>
          </w:tcPr>
          <w:p>
            <w:pPr>
              <w:spacing w:line="240" w:lineRule="auto" w:after="40" w:before="40"/>
              <w:jc w:val="right"/>
            </w:pPr>
            <w:r>
              <w:rPr>
                <w:b w:val="0"/>
                <w:i w:val="0"/>
                <w:sz w:val="18"/>
              </w:rPr>
              <w:t>48.5</w:t>
            </w:r>
          </w:p>
        </w:tc>
        <w:tc>
          <w:tcPr>
            <w:tcW w:type="dxa" w:w="1474"/>
          </w:tcPr>
          <w:p>
            <w:pPr>
              <w:spacing w:line="240" w:lineRule="auto" w:after="40" w:before="40"/>
              <w:jc w:val="right"/>
            </w:pPr>
            <w:r>
              <w:rPr>
                <w:b w:val="0"/>
                <w:i w:val="0"/>
                <w:sz w:val="18"/>
              </w:rPr>
              <w:t>52.0*</w:t>
            </w:r>
          </w:p>
        </w:tc>
      </w:tr>
    </w:tbl>
    <w:p>
      <w:pPr>
        <w:spacing w:after="200" w:line="240" w:lineRule="auto" w:before="80"/>
        <w:jc w:val="left"/>
      </w:pPr>
      <w:r>
        <w:rPr>
          <w:b w:val="0"/>
          <w:i/>
          <w:sz w:val="18"/>
        </w:rPr>
        <w:t>65% of reliable recalls exceed the saturated-fat reference, 49% the added-sugar reference, and 89% fall short of the fibre reference. HEI-2020 follows the NCI simple scoring algorithm. *Derived FPED (see text).</w:t>
      </w:r>
    </w:p>
    <w:p>
      <w:r>
        <w:rPr>
          <w:b/>
          <w:i w:val="0"/>
        </w:rPr>
        <w:t>Method.</w:t>
      </w:r>
      <w:r>
        <w:rPr>
          <w:b w:val="0"/>
          <w:i w:val="0"/>
        </w:rPr>
        <w:t xml:space="preserve"> Each priority moves one level up when the patient's own intake misses the same reference value used to score recipes, and one level down when it already meets it; without a reliable recall it is unchanged. A single recall is noisy, so it never moves a priority by more than one level and never acts as a diagnosis. The reason is shown with every priority, for example for the worked patient (SEQN 109349): “Excess weight, where surplus energy from sugar matters most; raised: added sugars 14.9% of energy in the 24-hour recall misses the reference ≤ 10”.</w:t>
      </w:r>
    </w:p>
    <w:p>
      <w:r>
        <w:rPr>
          <w:b/>
          <w:i w:val="0"/>
        </w:rPr>
        <w:t>Ranking change needed for this to matter.</w:t>
      </w:r>
      <w:r>
        <w:rPr>
          <w:b w:val="0"/>
          <w:i w:val="0"/>
        </w:rPr>
        <w:t xml:space="preserve"> The default ranking puts recipes that meet every reference first. Inside that group every health score was capped at 100, so priority levels changed nothing: in the 17 October tuning run (all ages, no recall), 300 patients received only 8 distinct top-10 lists. Inside the gate, half of the health score now measures how far a recipe goes beyond the saturated-fat, sugar and fibre references, weighted by the patient's priority levels (energy is excluded: a much smaller meal is not better for that reason). Figure 1 shows the trade-off; a share of 0.5 was chosen because it quadruples the variety of recommendations while keeping the gated ranking above weighted scoring.</w:t>
      </w:r>
    </w:p>
    <w:p>
      <w:pPr>
        <w:jc w:val="center"/>
      </w:pPr>
      <w:r>
        <w:drawing>
          <wp:inline xmlns:a="http://schemas.openxmlformats.org/drawingml/2006/main" xmlns:pic="http://schemas.openxmlformats.org/drawingml/2006/picture">
            <wp:extent cx="5220000" cy="3165942"/>
            <wp:docPr id="1" name="Picture 1"/>
            <wp:cNvGraphicFramePr>
              <a:graphicFrameLocks noChangeAspect="1"/>
            </wp:cNvGraphicFramePr>
            <a:graphic>
              <a:graphicData uri="http://schemas.openxmlformats.org/drawingml/2006/picture">
                <pic:pic>
                  <pic:nvPicPr>
                    <pic:cNvPr id="0" name="m9_fig_margin.png"/>
                    <pic:cNvPicPr/>
                  </pic:nvPicPr>
                  <pic:blipFill>
                    <a:blip r:embed="rId9"/>
                    <a:stretch>
                      <a:fillRect/>
                    </a:stretch>
                  </pic:blipFill>
                  <pic:spPr>
                    <a:xfrm>
                      <a:off x="0" y="0"/>
                      <a:ext cx="5220000" cy="3165942"/>
                    </a:xfrm>
                    <a:prstGeom prst="rect"/>
                  </pic:spPr>
                </pic:pic>
              </a:graphicData>
            </a:graphic>
          </wp:inline>
        </w:drawing>
      </w:r>
    </w:p>
    <w:p>
      <w:pPr>
        <w:pStyle w:val="Caption"/>
      </w:pPr>
      <w:r>
        <w:rPr>
          <w:b/>
        </w:rPr>
        <w:t xml:space="preserve">Figure 1. </w:t>
      </w:r>
      <w:r>
        <w:t>Effect of the margin share on practicality and on how much recommendations differ between patients (17 October tuning run: 300 held-out patients of all ages, 24-hour recall used, before acceptability was added to the default).</w:t>
      </w:r>
    </w:p>
    <w:p>
      <w:pPr>
        <w:pStyle w:val="Caption"/>
      </w:pPr>
      <w:r>
        <w:rPr>
          <w:b/>
        </w:rPr>
        <w:t xml:space="preserve">Table 3. </w:t>
      </w:r>
      <w:r>
        <w:t>Personalisation with the same engine, without and with the 24-hour recall.</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4876"/>
            <w:shd w:val="clear" w:color="auto" w:fill="EDEDED"/>
            <w:tcBorders>
              <w:bottom w:val="single" w:sz="6" w:space="0" w:color="000000"/>
            </w:tcBorders>
          </w:tcPr>
          <w:p>
            <w:pPr>
              <w:spacing w:line="240" w:lineRule="auto" w:after="40" w:before="40"/>
              <w:jc w:val="left"/>
            </w:pPr>
            <w:r>
              <w:rPr>
                <w:b/>
                <w:i w:val="0"/>
                <w:sz w:val="18"/>
              </w:rPr>
              <w:t>Measure</w:t>
            </w:r>
          </w:p>
        </w:tc>
        <w:tc>
          <w:tcPr>
            <w:tcW w:type="dxa" w:w="1814"/>
            <w:shd w:val="clear" w:color="auto" w:fill="EDEDED"/>
            <w:tcBorders>
              <w:bottom w:val="single" w:sz="6" w:space="0" w:color="000000"/>
            </w:tcBorders>
          </w:tcPr>
          <w:p>
            <w:pPr>
              <w:spacing w:line="240" w:lineRule="auto" w:after="40" w:before="40"/>
              <w:jc w:val="right"/>
            </w:pPr>
            <w:r>
              <w:rPr>
                <w:b/>
                <w:i w:val="0"/>
                <w:sz w:val="18"/>
              </w:rPr>
              <w:t>Without recall</w:t>
            </w:r>
          </w:p>
        </w:tc>
        <w:tc>
          <w:tcPr>
            <w:tcW w:type="dxa" w:w="1814"/>
            <w:shd w:val="clear" w:color="auto" w:fill="EDEDED"/>
            <w:tcBorders>
              <w:bottom w:val="single" w:sz="6" w:space="0" w:color="000000"/>
            </w:tcBorders>
          </w:tcPr>
          <w:p>
            <w:pPr>
              <w:spacing w:line="240" w:lineRule="auto" w:after="40" w:before="40"/>
              <w:jc w:val="right"/>
            </w:pPr>
            <w:r>
              <w:rPr>
                <w:b/>
                <w:i w:val="0"/>
                <w:sz w:val="18"/>
              </w:rPr>
              <w:t>With recall</w:t>
            </w:r>
          </w:p>
        </w:tc>
      </w:tr>
      <w:tr>
        <w:trPr>
          <w:cantSplit/>
        </w:trPr>
        <w:tc>
          <w:tcPr>
            <w:tcW w:type="dxa" w:w="4876"/>
          </w:tcPr>
          <w:p>
            <w:pPr>
              <w:spacing w:line="240" w:lineRule="auto" w:after="40" w:before="40"/>
              <w:jc w:val="left"/>
            </w:pPr>
            <w:r>
              <w:rPr>
                <w:b w:val="0"/>
                <w:i w:val="0"/>
                <w:sz w:val="18"/>
              </w:rPr>
              <w:t>Distinct priority profiles</w:t>
            </w:r>
          </w:p>
        </w:tc>
        <w:tc>
          <w:tcPr>
            <w:tcW w:type="dxa" w:w="1814"/>
          </w:tcPr>
          <w:p>
            <w:pPr>
              <w:spacing w:line="240" w:lineRule="auto" w:after="40" w:before="40"/>
              <w:jc w:val="right"/>
            </w:pPr>
            <w:r>
              <w:rPr>
                <w:b w:val="0"/>
                <w:i w:val="0"/>
                <w:sz w:val="18"/>
              </w:rPr>
              <w:t>9</w:t>
            </w:r>
          </w:p>
        </w:tc>
        <w:tc>
          <w:tcPr>
            <w:tcW w:type="dxa" w:w="1814"/>
          </w:tcPr>
          <w:p>
            <w:pPr>
              <w:spacing w:line="240" w:lineRule="auto" w:after="40" w:before="40"/>
              <w:jc w:val="right"/>
            </w:pPr>
            <w:r>
              <w:rPr>
                <w:b w:val="0"/>
                <w:i w:val="0"/>
                <w:sz w:val="18"/>
              </w:rPr>
              <w:t>29</w:t>
            </w:r>
          </w:p>
        </w:tc>
      </w:tr>
      <w:tr>
        <w:trPr>
          <w:cantSplit/>
        </w:trPr>
        <w:tc>
          <w:tcPr>
            <w:tcW w:type="dxa" w:w="4876"/>
          </w:tcPr>
          <w:p>
            <w:pPr>
              <w:spacing w:line="240" w:lineRule="auto" w:after="40" w:before="40"/>
              <w:jc w:val="left"/>
            </w:pPr>
            <w:r>
              <w:rPr>
                <w:b w:val="0"/>
                <w:i w:val="0"/>
                <w:sz w:val="18"/>
              </w:rPr>
              <w:t>Distinct top-10 lists</w:t>
            </w:r>
          </w:p>
        </w:tc>
        <w:tc>
          <w:tcPr>
            <w:tcW w:type="dxa" w:w="1814"/>
          </w:tcPr>
          <w:p>
            <w:pPr>
              <w:spacing w:line="240" w:lineRule="auto" w:after="40" w:before="40"/>
              <w:jc w:val="right"/>
            </w:pPr>
            <w:r>
              <w:rPr>
                <w:b w:val="0"/>
                <w:i w:val="0"/>
                <w:sz w:val="18"/>
              </w:rPr>
              <w:t>15</w:t>
            </w:r>
          </w:p>
        </w:tc>
        <w:tc>
          <w:tcPr>
            <w:tcW w:type="dxa" w:w="1814"/>
          </w:tcPr>
          <w:p>
            <w:pPr>
              <w:spacing w:line="240" w:lineRule="auto" w:after="40" w:before="40"/>
              <w:jc w:val="right"/>
            </w:pPr>
            <w:r>
              <w:rPr>
                <w:b w:val="0"/>
                <w:i w:val="0"/>
                <w:sz w:val="18"/>
              </w:rPr>
              <w:t>27</w:t>
            </w:r>
          </w:p>
        </w:tc>
      </w:tr>
      <w:tr>
        <w:trPr>
          <w:cantSplit/>
        </w:trPr>
        <w:tc>
          <w:tcPr>
            <w:tcW w:type="dxa" w:w="4876"/>
          </w:tcPr>
          <w:p>
            <w:pPr>
              <w:spacing w:line="240" w:lineRule="auto" w:after="40" w:before="40"/>
              <w:jc w:val="left"/>
            </w:pPr>
            <w:r>
              <w:rPr>
                <w:b w:val="0"/>
                <w:i w:val="0"/>
                <w:sz w:val="18"/>
              </w:rPr>
              <w:t>Mean top-10 overlap between patients with the same cuisine</w:t>
            </w:r>
          </w:p>
        </w:tc>
        <w:tc>
          <w:tcPr>
            <w:tcW w:type="dxa" w:w="1814"/>
          </w:tcPr>
          <w:p>
            <w:pPr>
              <w:spacing w:line="240" w:lineRule="auto" w:after="40" w:before="40"/>
              <w:jc w:val="right"/>
            </w:pPr>
            <w:r>
              <w:rPr>
                <w:b w:val="0"/>
                <w:i w:val="0"/>
                <w:sz w:val="18"/>
              </w:rPr>
              <w:t>0.95</w:t>
            </w:r>
          </w:p>
        </w:tc>
        <w:tc>
          <w:tcPr>
            <w:tcW w:type="dxa" w:w="1814"/>
          </w:tcPr>
          <w:p>
            <w:pPr>
              <w:spacing w:line="240" w:lineRule="auto" w:after="40" w:before="40"/>
              <w:jc w:val="right"/>
            </w:pPr>
            <w:r>
              <w:rPr>
                <w:b w:val="0"/>
                <w:i w:val="0"/>
                <w:sz w:val="18"/>
              </w:rPr>
              <w:t>0.93</w:t>
            </w:r>
          </w:p>
        </w:tc>
      </w:tr>
      <w:tr>
        <w:trPr>
          <w:cantSplit/>
        </w:trPr>
        <w:tc>
          <w:tcPr>
            <w:tcW w:type="dxa" w:w="4876"/>
          </w:tcPr>
          <w:p>
            <w:pPr>
              <w:spacing w:line="240" w:lineRule="auto" w:after="40" w:before="40"/>
              <w:jc w:val="left"/>
            </w:pPr>
            <w:r>
              <w:rPr>
                <w:b w:val="0"/>
                <w:i w:val="0"/>
                <w:sz w:val="18"/>
              </w:rPr>
              <w:t>Top 10 meeting all three criteria</w:t>
            </w:r>
          </w:p>
        </w:tc>
        <w:tc>
          <w:tcPr>
            <w:tcW w:type="dxa" w:w="1814"/>
          </w:tcPr>
          <w:p>
            <w:pPr>
              <w:spacing w:line="240" w:lineRule="auto" w:after="40" w:before="40"/>
              <w:jc w:val="right"/>
            </w:pPr>
            <w:r>
              <w:rPr>
                <w:b w:val="0"/>
                <w:i w:val="0"/>
                <w:sz w:val="18"/>
              </w:rPr>
              <w:t>0.835</w:t>
            </w:r>
          </w:p>
        </w:tc>
        <w:tc>
          <w:tcPr>
            <w:tcW w:type="dxa" w:w="1814"/>
          </w:tcPr>
          <w:p>
            <w:pPr>
              <w:spacing w:line="240" w:lineRule="auto" w:after="40" w:before="40"/>
              <w:jc w:val="right"/>
            </w:pPr>
            <w:r>
              <w:rPr>
                <w:b w:val="0"/>
                <w:i w:val="0"/>
                <w:sz w:val="18"/>
              </w:rPr>
              <w:t>0.831</w:t>
            </w:r>
          </w:p>
        </w:tc>
      </w:tr>
    </w:tbl>
    <w:p>
      <w:pPr>
        <w:spacing w:after="200" w:line="240" w:lineRule="auto" w:before="80"/>
        <w:jc w:val="left"/>
      </w:pPr>
      <w:r>
        <w:rPr>
          <w:b w:val="0"/>
          <w:i/>
          <w:sz w:val="18"/>
        </w:rPr>
        <w:t>Default ranking, including acceptability, which makes lists slightly more alike because well-rated recipes are shared. The most common priority profile covers 16% of patients with the recall, against 43% without it.</w:t>
      </w:r>
    </w:p>
    <w:p>
      <w:pPr>
        <w:pStyle w:val="Caption"/>
      </w:pPr>
      <w:r>
        <w:rPr>
          <w:b/>
        </w:rPr>
        <w:t xml:space="preserve">Table 4. </w:t>
      </w:r>
      <w:r>
        <w:t>Recommendations move in the direction of each patient's priorities (mean of the top 10).</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2256"/>
        <w:gridCol w:w="2256"/>
        <w:gridCol w:w="2256"/>
        <w:gridCol w:w="2256"/>
      </w:tblGrid>
      <w:tr>
        <w:trPr>
          <w:tblHeader/>
          <w:cantSplit/>
        </w:trPr>
        <w:tc>
          <w:tcPr>
            <w:tcW w:type="dxa" w:w="2948"/>
            <w:shd w:val="clear" w:color="auto" w:fill="EDEDED"/>
            <w:tcBorders>
              <w:bottom w:val="single" w:sz="6" w:space="0" w:color="000000"/>
            </w:tcBorders>
          </w:tcPr>
          <w:p>
            <w:pPr>
              <w:spacing w:line="240" w:lineRule="auto" w:after="40" w:before="40"/>
              <w:jc w:val="left"/>
            </w:pPr>
            <w:r>
              <w:rPr>
                <w:b/>
                <w:i w:val="0"/>
                <w:sz w:val="18"/>
              </w:rPr>
              <w:t>Priority</w:t>
            </w:r>
          </w:p>
        </w:tc>
        <w:tc>
          <w:tcPr>
            <w:tcW w:type="dxa" w:w="1871"/>
            <w:shd w:val="clear" w:color="auto" w:fill="EDEDED"/>
            <w:tcBorders>
              <w:bottom w:val="single" w:sz="6" w:space="0" w:color="000000"/>
            </w:tcBorders>
          </w:tcPr>
          <w:p>
            <w:pPr>
              <w:spacing w:line="240" w:lineRule="auto" w:after="40" w:before="40"/>
              <w:jc w:val="right"/>
            </w:pPr>
            <w:r>
              <w:rPr>
                <w:b/>
                <w:i w:val="0"/>
                <w:sz w:val="18"/>
              </w:rPr>
              <w:t>Level: high</w:t>
            </w:r>
          </w:p>
        </w:tc>
        <w:tc>
          <w:tcPr>
            <w:tcW w:type="dxa" w:w="1871"/>
            <w:shd w:val="clear" w:color="auto" w:fill="EDEDED"/>
            <w:tcBorders>
              <w:bottom w:val="single" w:sz="6" w:space="0" w:color="000000"/>
            </w:tcBorders>
          </w:tcPr>
          <w:p>
            <w:pPr>
              <w:spacing w:line="240" w:lineRule="auto" w:after="40" w:before="40"/>
              <w:jc w:val="right"/>
            </w:pPr>
            <w:r>
              <w:rPr>
                <w:b/>
                <w:i w:val="0"/>
                <w:sz w:val="18"/>
              </w:rPr>
              <w:t>Level: medium</w:t>
            </w:r>
          </w:p>
        </w:tc>
        <w:tc>
          <w:tcPr>
            <w:tcW w:type="dxa" w:w="1871"/>
            <w:shd w:val="clear" w:color="auto" w:fill="EDEDED"/>
            <w:tcBorders>
              <w:bottom w:val="single" w:sz="6" w:space="0" w:color="000000"/>
            </w:tcBorders>
          </w:tcPr>
          <w:p>
            <w:pPr>
              <w:spacing w:line="240" w:lineRule="auto" w:after="40" w:before="40"/>
              <w:jc w:val="right"/>
            </w:pPr>
            <w:r>
              <w:rPr>
                <w:b/>
                <w:i w:val="0"/>
                <w:sz w:val="18"/>
              </w:rPr>
              <w:t>Level: low</w:t>
            </w:r>
          </w:p>
        </w:tc>
      </w:tr>
      <w:tr>
        <w:trPr>
          <w:cantSplit/>
        </w:trPr>
        <w:tc>
          <w:tcPr>
            <w:tcW w:type="dxa" w:w="2948"/>
          </w:tcPr>
          <w:p>
            <w:pPr>
              <w:spacing w:line="240" w:lineRule="auto" w:after="40" w:before="40"/>
              <w:jc w:val="left"/>
            </w:pPr>
            <w:r>
              <w:rPr>
                <w:b w:val="0"/>
                <w:i w:val="0"/>
                <w:sz w:val="18"/>
              </w:rPr>
              <w:t>Saturated fat (% of energy)</w:t>
            </w:r>
          </w:p>
        </w:tc>
        <w:tc>
          <w:tcPr>
            <w:tcW w:type="dxa" w:w="1871"/>
          </w:tcPr>
          <w:p>
            <w:pPr>
              <w:spacing w:line="240" w:lineRule="auto" w:after="40" w:before="40"/>
              <w:jc w:val="right"/>
            </w:pPr>
            <w:r>
              <w:rPr>
                <w:b w:val="0"/>
                <w:i w:val="0"/>
                <w:sz w:val="18"/>
              </w:rPr>
              <w:t>3.25 (n=175)</w:t>
            </w:r>
          </w:p>
        </w:tc>
        <w:tc>
          <w:tcPr>
            <w:tcW w:type="dxa" w:w="1871"/>
          </w:tcPr>
          <w:p>
            <w:pPr>
              <w:spacing w:line="240" w:lineRule="auto" w:after="40" w:before="40"/>
              <w:jc w:val="right"/>
            </w:pPr>
            <w:r>
              <w:rPr>
                <w:b w:val="0"/>
                <w:i w:val="0"/>
                <w:sz w:val="18"/>
              </w:rPr>
              <w:t>3.58 (n=93)</w:t>
            </w:r>
          </w:p>
        </w:tc>
        <w:tc>
          <w:tcPr>
            <w:tcW w:type="dxa" w:w="1871"/>
          </w:tcPr>
          <w:p>
            <w:pPr>
              <w:spacing w:line="240" w:lineRule="auto" w:after="40" w:before="40"/>
              <w:jc w:val="right"/>
            </w:pPr>
            <w:r>
              <w:rPr>
                <w:b w:val="0"/>
                <w:i w:val="0"/>
                <w:sz w:val="18"/>
              </w:rPr>
              <w:t>3.55 (n=32)</w:t>
            </w:r>
          </w:p>
        </w:tc>
      </w:tr>
      <w:tr>
        <w:trPr>
          <w:cantSplit/>
        </w:trPr>
        <w:tc>
          <w:tcPr>
            <w:tcW w:type="dxa" w:w="2948"/>
          </w:tcPr>
          <w:p>
            <w:pPr>
              <w:spacing w:line="240" w:lineRule="auto" w:after="40" w:before="40"/>
              <w:jc w:val="left"/>
            </w:pPr>
            <w:r>
              <w:rPr>
                <w:b w:val="0"/>
                <w:i w:val="0"/>
                <w:sz w:val="18"/>
              </w:rPr>
              <w:t>Total sugars (% of energy)</w:t>
            </w:r>
          </w:p>
        </w:tc>
        <w:tc>
          <w:tcPr>
            <w:tcW w:type="dxa" w:w="1871"/>
          </w:tcPr>
          <w:p>
            <w:pPr>
              <w:spacing w:line="240" w:lineRule="auto" w:after="40" w:before="40"/>
              <w:jc w:val="right"/>
            </w:pPr>
            <w:r>
              <w:rPr>
                <w:b w:val="0"/>
                <w:i w:val="0"/>
                <w:sz w:val="18"/>
              </w:rPr>
              <w:t>4.22 (n=91)</w:t>
            </w:r>
          </w:p>
        </w:tc>
        <w:tc>
          <w:tcPr>
            <w:tcW w:type="dxa" w:w="1871"/>
          </w:tcPr>
          <w:p>
            <w:pPr>
              <w:spacing w:line="240" w:lineRule="auto" w:after="40" w:before="40"/>
              <w:jc w:val="right"/>
            </w:pPr>
            <w:r>
              <w:rPr>
                <w:b w:val="0"/>
                <w:i w:val="0"/>
                <w:sz w:val="18"/>
              </w:rPr>
              <w:t>4.27 (n=121)</w:t>
            </w:r>
          </w:p>
        </w:tc>
        <w:tc>
          <w:tcPr>
            <w:tcW w:type="dxa" w:w="1871"/>
          </w:tcPr>
          <w:p>
            <w:pPr>
              <w:spacing w:line="240" w:lineRule="auto" w:after="40" w:before="40"/>
              <w:jc w:val="right"/>
            </w:pPr>
            <w:r>
              <w:rPr>
                <w:b w:val="0"/>
                <w:i w:val="0"/>
                <w:sz w:val="18"/>
              </w:rPr>
              <w:t>4.58 (n=88)</w:t>
            </w:r>
          </w:p>
        </w:tc>
      </w:tr>
      <w:tr>
        <w:trPr>
          <w:cantSplit/>
        </w:trPr>
        <w:tc>
          <w:tcPr>
            <w:tcW w:type="dxa" w:w="2948"/>
          </w:tcPr>
          <w:p>
            <w:pPr>
              <w:spacing w:line="240" w:lineRule="auto" w:after="40" w:before="40"/>
              <w:jc w:val="left"/>
            </w:pPr>
            <w:r>
              <w:rPr>
                <w:b w:val="0"/>
                <w:i w:val="0"/>
                <w:sz w:val="18"/>
              </w:rPr>
              <w:t>Fibre (g per 1,000 kcal)</w:t>
            </w:r>
          </w:p>
        </w:tc>
        <w:tc>
          <w:tcPr>
            <w:tcW w:type="dxa" w:w="1871"/>
          </w:tcPr>
          <w:p>
            <w:pPr>
              <w:spacing w:line="240" w:lineRule="auto" w:after="40" w:before="40"/>
              <w:jc w:val="right"/>
            </w:pPr>
            <w:r>
              <w:rPr>
                <w:b w:val="0"/>
                <w:i w:val="0"/>
                <w:sz w:val="18"/>
              </w:rPr>
              <w:t>35.28 (n=252)</w:t>
            </w:r>
          </w:p>
        </w:tc>
        <w:tc>
          <w:tcPr>
            <w:tcW w:type="dxa" w:w="1871"/>
          </w:tcPr>
          <w:p>
            <w:pPr>
              <w:spacing w:line="240" w:lineRule="auto" w:after="40" w:before="40"/>
              <w:jc w:val="right"/>
            </w:pPr>
            <w:r>
              <w:rPr>
                <w:b w:val="0"/>
                <w:i w:val="0"/>
                <w:sz w:val="18"/>
              </w:rPr>
              <w:t>35.44 (n=43)</w:t>
            </w:r>
          </w:p>
        </w:tc>
        <w:tc>
          <w:tcPr>
            <w:tcW w:type="dxa" w:w="1871"/>
          </w:tcPr>
          <w:p>
            <w:pPr>
              <w:spacing w:line="240" w:lineRule="auto" w:after="40" w:before="40"/>
              <w:jc w:val="right"/>
            </w:pPr>
            <w:r>
              <w:rPr>
                <w:b w:val="0"/>
                <w:i w:val="0"/>
                <w:sz w:val="18"/>
              </w:rPr>
              <w:t>37.22 (n=5)</w:t>
            </w:r>
          </w:p>
        </w:tc>
      </w:tr>
    </w:tbl>
    <w:p>
      <w:pPr>
        <w:spacing w:after="200" w:line="240" w:lineRule="auto" w:before="80"/>
        <w:jc w:val="left"/>
      </w:pPr>
      <w:r>
        <w:rPr>
          <w:b w:val="0"/>
          <w:i/>
          <w:sz w:val="18"/>
        </w:rPr>
        <w:t>Patients with a high saturated-fat or sugar priority receive recipes lower in that nutrient. Fibre shows no gradient because almost every recommended recipe already exceeds the cap of the fibre margin (28 g per 1,000 kcal).</w:t>
      </w:r>
    </w:p>
    <w:p>
      <w:pPr>
        <w:pStyle w:val="Heading2"/>
      </w:pPr>
      <w:r>
        <w:t>4. Scenario Engine, Layer 5 (§8)</w:t>
      </w:r>
    </w:p>
    <w:p>
      <w:r>
        <w:rPr>
          <w:b w:val="0"/>
          <w:i w:val="0"/>
        </w:rPr>
        <w:t>A scenario is a set of recipes that replace the patient's usual meals. For each of the patient's criteria the engine compares the scenario with the patient's usual intake from the recall (usual meal energy is a third of daily energy) and reports whether it improves, worsens or does not change meaningfully. Each criterion carries the evidence rows for its pathway, and the scenario's label is the strongest label among the criteria that improve. The Layer 2 model is not queried for scenarios, because it was not trained on interventions, so no CAP or probability is ever predicted for one.</w:t>
      </w:r>
    </w:p>
    <w:p>
      <w:pPr>
        <w:ind w:left="510" w:hanging="283"/>
      </w:pPr>
      <w:r>
        <w:rPr>
          <w:b w:val="0"/>
          <w:i w:val="0"/>
        </w:rPr>
        <w:t xml:space="preserve">• </w:t>
      </w:r>
      <w:r>
        <w:rPr>
          <w:b/>
          <w:i w:val="0"/>
        </w:rPr>
        <w:t>Energy:</w:t>
      </w:r>
      <w:r>
        <w:rPr>
          <w:b w:val="0"/>
          <w:i w:val="0"/>
        </w:rPr>
        <w:t xml:space="preserve"> calorie restriction improved steatosis (HAI2022-CR, MODERATE). Weight loss of 5% or more (VG2015-WL5, STRONG) is shown only as conditional: “if sustained lower energy leads to ≥ 5% weight loss”.</w:t>
      </w:r>
    </w:p>
    <w:p>
      <w:pPr>
        <w:ind w:left="510" w:hanging="283"/>
      </w:pPr>
      <w:r>
        <w:rPr>
          <w:b w:val="0"/>
          <w:i w:val="0"/>
        </w:rPr>
        <w:t xml:space="preserve">• </w:t>
      </w:r>
      <w:r>
        <w:rPr>
          <w:b/>
          <w:i w:val="0"/>
        </w:rPr>
        <w:t>Saturated fat:</w:t>
      </w:r>
      <w:r>
        <w:rPr>
          <w:b w:val="0"/>
          <w:i w:val="0"/>
        </w:rPr>
        <w:t xml:space="preserve"> saturated-fat overfeeding raised liver fat more than unsaturated fat (LUU2018-SAT, MODERATE), with the EASL guideline.</w:t>
      </w:r>
    </w:p>
    <w:p>
      <w:pPr>
        <w:ind w:left="510" w:hanging="283"/>
      </w:pPr>
      <w:r>
        <w:rPr>
          <w:b w:val="0"/>
          <w:i w:val="0"/>
        </w:rPr>
        <w:t xml:space="preserve">• </w:t>
      </w:r>
      <w:r>
        <w:rPr>
          <w:b/>
          <w:i w:val="0"/>
        </w:rPr>
        <w:t>Sugars:</w:t>
      </w:r>
      <w:r>
        <w:rPr>
          <w:b w:val="0"/>
          <w:i w:val="0"/>
        </w:rPr>
        <w:t xml:space="preserve"> sugar harmed the liver when it added surplus energy (CHI2014-HYPER, MODERATE) but not when exchanged isocalorically (CHI2014-ISO, WEAK). A sugar reduction is graded MODERATE only when the scenario also lowers energy.</w:t>
      </w:r>
    </w:p>
    <w:p>
      <w:pPr>
        <w:ind w:left="510" w:hanging="283"/>
      </w:pPr>
      <w:r>
        <w:rPr>
          <w:b w:val="0"/>
          <w:i w:val="0"/>
        </w:rPr>
        <w:t xml:space="preserve">• </w:t>
      </w:r>
      <w:r>
        <w:rPr>
          <w:b/>
          <w:i w:val="0"/>
        </w:rPr>
        <w:t>Fibre,</w:t>
      </w:r>
      <w:r>
        <w:rPr>
          <w:b w:val="0"/>
          <w:i w:val="0"/>
        </w:rPr>
        <w:t xml:space="preserve"> as a marker of a Mediterranean-style diet: the Mediterranean diet reduced MRI-PDFF (STE2026-MEDDIET, MODERATE). Because one recipe is not a dietary pattern, every scenario is marked as indirect evidence and labelled “Simulated projection, not a clinical forecast”.</w:t>
      </w:r>
    </w:p>
    <w:p>
      <w:pPr>
        <w:pStyle w:val="Caption"/>
      </w:pPr>
      <w:r>
        <w:rPr>
          <w:b/>
        </w:rPr>
        <w:t xml:space="preserve">Table 5. </w:t>
      </w:r>
      <w:r>
        <w:t>Worked example, SEQN 109349 (predicted CAP 313.7 dB/m, grade S3; P(CAP ≥ 248) 96%; European cuisine).</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1134"/>
            <w:shd w:val="clear" w:color="auto" w:fill="EDEDED"/>
            <w:tcBorders>
              <w:bottom w:val="single" w:sz="6" w:space="0" w:color="000000"/>
            </w:tcBorders>
          </w:tcPr>
          <w:p>
            <w:pPr>
              <w:spacing w:line="240" w:lineRule="auto" w:after="40" w:before="40"/>
              <w:jc w:val="left"/>
            </w:pPr>
            <w:r>
              <w:rPr>
                <w:b/>
                <w:i w:val="0"/>
                <w:sz w:val="18"/>
              </w:rPr>
              <w:t>Scenario</w:t>
            </w:r>
          </w:p>
        </w:tc>
        <w:tc>
          <w:tcPr>
            <w:tcW w:type="dxa" w:w="2608"/>
            <w:shd w:val="clear" w:color="auto" w:fill="EDEDED"/>
            <w:tcBorders>
              <w:bottom w:val="single" w:sz="6" w:space="0" w:color="000000"/>
            </w:tcBorders>
          </w:tcPr>
          <w:p>
            <w:pPr>
              <w:spacing w:line="240" w:lineRule="auto" w:after="40" w:before="40"/>
              <w:jc w:val="left"/>
            </w:pPr>
            <w:r>
              <w:rPr>
                <w:b/>
                <w:i w:val="0"/>
                <w:sz w:val="18"/>
              </w:rPr>
              <w:t>Criterion</w:t>
            </w:r>
          </w:p>
        </w:tc>
        <w:tc>
          <w:tcPr>
            <w:tcW w:type="dxa" w:w="907"/>
            <w:shd w:val="clear" w:color="auto" w:fill="EDEDED"/>
            <w:tcBorders>
              <w:bottom w:val="single" w:sz="6" w:space="0" w:color="000000"/>
            </w:tcBorders>
          </w:tcPr>
          <w:p>
            <w:pPr>
              <w:spacing w:line="240" w:lineRule="auto" w:after="40" w:before="40"/>
              <w:jc w:val="right"/>
            </w:pPr>
            <w:r>
              <w:rPr>
                <w:b/>
                <w:i w:val="0"/>
                <w:sz w:val="18"/>
              </w:rPr>
              <w:t>Usual</w:t>
            </w:r>
          </w:p>
        </w:tc>
        <w:tc>
          <w:tcPr>
            <w:tcW w:type="dxa" w:w="1020"/>
            <w:shd w:val="clear" w:color="auto" w:fill="EDEDED"/>
            <w:tcBorders>
              <w:bottom w:val="single" w:sz="6" w:space="0" w:color="000000"/>
            </w:tcBorders>
          </w:tcPr>
          <w:p>
            <w:pPr>
              <w:spacing w:line="240" w:lineRule="auto" w:after="40" w:before="40"/>
              <w:jc w:val="right"/>
            </w:pPr>
            <w:r>
              <w:rPr>
                <w:b/>
                <w:i w:val="0"/>
                <w:sz w:val="18"/>
              </w:rPr>
              <w:t>Scenario</w:t>
            </w:r>
          </w:p>
        </w:tc>
        <w:tc>
          <w:tcPr>
            <w:tcW w:type="dxa" w:w="1701"/>
            <w:shd w:val="clear" w:color="auto" w:fill="EDEDED"/>
            <w:tcBorders>
              <w:bottom w:val="single" w:sz="6" w:space="0" w:color="000000"/>
            </w:tcBorders>
          </w:tcPr>
          <w:p>
            <w:pPr>
              <w:spacing w:line="240" w:lineRule="auto" w:after="40" w:before="40"/>
              <w:jc w:val="left"/>
            </w:pPr>
            <w:r>
              <w:rPr>
                <w:b/>
                <w:i w:val="0"/>
                <w:sz w:val="18"/>
              </w:rPr>
              <w:t>Direction</w:t>
            </w:r>
          </w:p>
        </w:tc>
        <w:tc>
          <w:tcPr>
            <w:tcW w:type="dxa" w:w="1701"/>
            <w:shd w:val="clear" w:color="auto" w:fill="EDEDED"/>
            <w:tcBorders>
              <w:bottom w:val="single" w:sz="6" w:space="0" w:color="000000"/>
            </w:tcBorders>
          </w:tcPr>
          <w:p>
            <w:pPr>
              <w:spacing w:line="240" w:lineRule="auto" w:after="40" w:before="40"/>
              <w:jc w:val="left"/>
            </w:pPr>
            <w:r>
              <w:rPr>
                <w:b/>
                <w:i w:val="0"/>
                <w:sz w:val="18"/>
              </w:rPr>
              <w:t>Evidence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Energy per serving (kcal)</w:t>
            </w:r>
          </w:p>
        </w:tc>
        <w:tc>
          <w:tcPr>
            <w:tcW w:type="dxa" w:w="907"/>
          </w:tcPr>
          <w:p>
            <w:pPr>
              <w:spacing w:line="240" w:lineRule="auto" w:after="40" w:before="40"/>
              <w:jc w:val="right"/>
            </w:pPr>
            <w:r>
              <w:rPr>
                <w:b w:val="0"/>
                <w:i w:val="0"/>
                <w:sz w:val="18"/>
              </w:rPr>
              <w:t>631.7</w:t>
            </w:r>
          </w:p>
        </w:tc>
        <w:tc>
          <w:tcPr>
            <w:tcW w:type="dxa" w:w="1020"/>
          </w:tcPr>
          <w:p>
            <w:pPr>
              <w:spacing w:line="240" w:lineRule="auto" w:after="40" w:before="40"/>
              <w:jc w:val="right"/>
            </w:pPr>
            <w:r>
              <w:rPr>
                <w:b w:val="0"/>
                <w:i w:val="0"/>
                <w:sz w:val="18"/>
              </w:rPr>
              <w:t>318.9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Fibre (g per 1,000 kcal)</w:t>
            </w:r>
          </w:p>
        </w:tc>
        <w:tc>
          <w:tcPr>
            <w:tcW w:type="dxa" w:w="907"/>
          </w:tcPr>
          <w:p>
            <w:pPr>
              <w:spacing w:line="240" w:lineRule="auto" w:after="40" w:before="40"/>
              <w:jc w:val="right"/>
            </w:pPr>
            <w:r>
              <w:rPr>
                <w:b w:val="0"/>
                <w:i w:val="0"/>
                <w:sz w:val="18"/>
              </w:rPr>
              <w:t>4.1</w:t>
            </w:r>
          </w:p>
        </w:tc>
        <w:tc>
          <w:tcPr>
            <w:tcW w:type="dxa" w:w="1020"/>
          </w:tcPr>
          <w:p>
            <w:pPr>
              <w:spacing w:line="240" w:lineRule="auto" w:after="40" w:before="40"/>
              <w:jc w:val="right"/>
            </w:pPr>
            <w:r>
              <w:rPr>
                <w:b w:val="0"/>
                <w:i w:val="0"/>
                <w:sz w:val="18"/>
              </w:rPr>
              <w:t>39.6</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Saturated fat (% of energy)</w:t>
            </w:r>
          </w:p>
        </w:tc>
        <w:tc>
          <w:tcPr>
            <w:tcW w:type="dxa" w:w="907"/>
          </w:tcPr>
          <w:p>
            <w:pPr>
              <w:spacing w:line="240" w:lineRule="auto" w:after="40" w:before="40"/>
              <w:jc w:val="right"/>
            </w:pPr>
            <w:r>
              <w:rPr>
                <w:b w:val="0"/>
                <w:i w:val="0"/>
                <w:sz w:val="18"/>
              </w:rPr>
              <w:t>11.7</w:t>
            </w:r>
          </w:p>
        </w:tc>
        <w:tc>
          <w:tcPr>
            <w:tcW w:type="dxa" w:w="1020"/>
          </w:tcPr>
          <w:p>
            <w:pPr>
              <w:spacing w:line="240" w:lineRule="auto" w:after="40" w:before="40"/>
              <w:jc w:val="right"/>
            </w:pPr>
            <w:r>
              <w:rPr>
                <w:b w:val="0"/>
                <w:i w:val="0"/>
                <w:sz w:val="18"/>
              </w:rPr>
              <w:t>1.9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Total sugars (% of energy)</w:t>
            </w:r>
          </w:p>
        </w:tc>
        <w:tc>
          <w:tcPr>
            <w:tcW w:type="dxa" w:w="907"/>
          </w:tcPr>
          <w:p>
            <w:pPr>
              <w:spacing w:line="240" w:lineRule="auto" w:after="40" w:before="40"/>
              <w:jc w:val="right"/>
            </w:pPr>
            <w:r>
              <w:rPr>
                <w:b w:val="0"/>
                <w:i w:val="0"/>
                <w:sz w:val="18"/>
              </w:rPr>
              <w:t>20.8</w:t>
            </w:r>
          </w:p>
        </w:tc>
        <w:tc>
          <w:tcPr>
            <w:tcW w:type="dxa" w:w="1020"/>
          </w:tcPr>
          <w:p>
            <w:pPr>
              <w:spacing w:line="240" w:lineRule="auto" w:after="40" w:before="40"/>
              <w:jc w:val="right"/>
            </w:pPr>
            <w:r>
              <w:rPr>
                <w:b w:val="0"/>
                <w:i w:val="0"/>
                <w:sz w:val="18"/>
              </w:rPr>
              <w:t>0.3</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Energy per serving (kcal)</w:t>
            </w:r>
          </w:p>
        </w:tc>
        <w:tc>
          <w:tcPr>
            <w:tcW w:type="dxa" w:w="907"/>
          </w:tcPr>
          <w:p>
            <w:pPr>
              <w:spacing w:line="240" w:lineRule="auto" w:after="40" w:before="40"/>
              <w:jc w:val="right"/>
            </w:pPr>
            <w:r>
              <w:rPr>
                <w:b w:val="0"/>
                <w:i w:val="0"/>
                <w:sz w:val="18"/>
              </w:rPr>
              <w:t>631.7</w:t>
            </w:r>
          </w:p>
        </w:tc>
        <w:tc>
          <w:tcPr>
            <w:tcW w:type="dxa" w:w="1020"/>
          </w:tcPr>
          <w:p>
            <w:pPr>
              <w:spacing w:line="240" w:lineRule="auto" w:after="40" w:before="40"/>
              <w:jc w:val="right"/>
            </w:pPr>
            <w:r>
              <w:rPr>
                <w:b w:val="0"/>
                <w:i w:val="0"/>
                <w:sz w:val="18"/>
              </w:rPr>
              <w:t>551.7</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Fibre (g per 1,000 kcal)</w:t>
            </w:r>
          </w:p>
        </w:tc>
        <w:tc>
          <w:tcPr>
            <w:tcW w:type="dxa" w:w="907"/>
          </w:tcPr>
          <w:p>
            <w:pPr>
              <w:spacing w:line="240" w:lineRule="auto" w:after="40" w:before="40"/>
              <w:jc w:val="right"/>
            </w:pPr>
            <w:r>
              <w:rPr>
                <w:b w:val="0"/>
                <w:i w:val="0"/>
                <w:sz w:val="18"/>
              </w:rPr>
              <w:t>4.1</w:t>
            </w:r>
          </w:p>
        </w:tc>
        <w:tc>
          <w:tcPr>
            <w:tcW w:type="dxa" w:w="1020"/>
          </w:tcPr>
          <w:p>
            <w:pPr>
              <w:spacing w:line="240" w:lineRule="auto" w:after="40" w:before="40"/>
              <w:jc w:val="right"/>
            </w:pPr>
            <w:r>
              <w:rPr>
                <w:b w:val="0"/>
                <w:i w:val="0"/>
                <w:sz w:val="18"/>
              </w:rPr>
              <w:t>15.9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Saturated fat (% of energy)</w:t>
            </w:r>
          </w:p>
        </w:tc>
        <w:tc>
          <w:tcPr>
            <w:tcW w:type="dxa" w:w="907"/>
          </w:tcPr>
          <w:p>
            <w:pPr>
              <w:spacing w:line="240" w:lineRule="auto" w:after="40" w:before="40"/>
              <w:jc w:val="right"/>
            </w:pPr>
            <w:r>
              <w:rPr>
                <w:b w:val="0"/>
                <w:i w:val="0"/>
                <w:sz w:val="18"/>
              </w:rPr>
              <w:t>11.7</w:t>
            </w:r>
          </w:p>
        </w:tc>
        <w:tc>
          <w:tcPr>
            <w:tcW w:type="dxa" w:w="1020"/>
          </w:tcPr>
          <w:p>
            <w:pPr>
              <w:spacing w:line="240" w:lineRule="auto" w:after="40" w:before="40"/>
              <w:jc w:val="right"/>
            </w:pPr>
            <w:r>
              <w:rPr>
                <w:b w:val="0"/>
                <w:i w:val="0"/>
                <w:sz w:val="18"/>
              </w:rPr>
              <w:t>4.9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Total sugars (% of energy)</w:t>
            </w:r>
          </w:p>
        </w:tc>
        <w:tc>
          <w:tcPr>
            <w:tcW w:type="dxa" w:w="907"/>
          </w:tcPr>
          <w:p>
            <w:pPr>
              <w:spacing w:line="240" w:lineRule="auto" w:after="40" w:before="40"/>
              <w:jc w:val="right"/>
            </w:pPr>
            <w:r>
              <w:rPr>
                <w:b w:val="0"/>
                <w:i w:val="0"/>
                <w:sz w:val="18"/>
              </w:rPr>
              <w:t>20.8</w:t>
            </w:r>
          </w:p>
        </w:tc>
        <w:tc>
          <w:tcPr>
            <w:tcW w:type="dxa" w:w="1020"/>
          </w:tcPr>
          <w:p>
            <w:pPr>
              <w:spacing w:line="240" w:lineRule="auto" w:after="40" w:before="40"/>
              <w:jc w:val="right"/>
            </w:pPr>
            <w:r>
              <w:rPr>
                <w:b w:val="0"/>
                <w:i w:val="0"/>
                <w:sz w:val="18"/>
              </w:rPr>
              <w:t>6.5</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bl>
    <w:p>
      <w:pPr>
        <w:spacing w:after="200" w:line="240" w:lineRule="auto" w:before="80"/>
        <w:jc w:val="left"/>
      </w:pPr>
      <w:r>
        <w:rPr>
          <w:b w:val="0"/>
          <w:i/>
          <w:sz w:val="18"/>
        </w:rPr>
        <w:t>Scenario A (Broccoli and Garlic Pasta; 5 Ingredient Soup; Southern Lima Butter Beans With Ham Bits): improvement, MODERATE, large shift from the usual diet. Scenario B (Mediterranean Quinoa Salad; Pasta Puttanesca; Skillet Penne and Sausage Supper): improvement, MODERATE, moderate shift. Energy falls in both, so the sugar reduction is graded MODERATE; it would be WEAK if energy did not fall.</w:t>
      </w:r>
    </w:p>
    <w:p>
      <w:r>
        <w:rPr>
          <w:b w:val="0"/>
          <w:i w:val="0"/>
        </w:rPr>
        <w:t>For the Layer 6 visualisation the engine also returns a timeline (today, 3 months, 6 months, 1 year) with the current grade and, for each horizon, only a direction and its evidence label.</w:t>
      </w:r>
    </w:p>
    <w:p>
      <w:pPr>
        <w:pStyle w:val="Heading2"/>
      </w:pPr>
      <w:r>
        <w:t>5. Evidence Table Additions (§17.13)</w:t>
      </w:r>
    </w:p>
    <w:p>
      <w:r>
        <w:rPr>
          <w:b w:val="0"/>
          <w:i w:val="0"/>
        </w:rPr>
        <w:t>Every value below was checked against the PubMed abstract. A new label, OBSERVATIONAL ASSOCIATION, keeps the coffee findings apart from intervention evidence; an automated test confirms that no priority rule cites them.</w:t>
      </w:r>
    </w:p>
    <w:p>
      <w:pPr>
        <w:pStyle w:val="Caption"/>
      </w:pPr>
      <w:r>
        <w:rPr>
          <w:b/>
        </w:rPr>
        <w:t xml:space="preserve">Table 6. </w:t>
      </w:r>
      <w:r>
        <w:t>Rows added to the evidence table (now 23 rows).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1871"/>
            <w:shd w:val="clear" w:color="auto" w:fill="EDEDED"/>
            <w:tcBorders>
              <w:bottom w:val="single" w:sz="6" w:space="0" w:color="000000"/>
            </w:tcBorders>
          </w:tcPr>
          <w:p>
            <w:pPr>
              <w:spacing w:line="240" w:lineRule="auto" w:after="40" w:before="40"/>
              <w:jc w:val="left"/>
            </w:pPr>
            <w:r>
              <w:rPr>
                <w:b/>
                <w:i w:val="0"/>
                <w:sz w:val="18"/>
              </w:rPr>
              <w:t>ID</w:t>
            </w:r>
          </w:p>
        </w:tc>
        <w:tc>
          <w:tcPr>
            <w:tcW w:type="dxa" w:w="4876"/>
            <w:shd w:val="clear" w:color="auto" w:fill="EDEDED"/>
            <w:tcBorders>
              <w:bottom w:val="single" w:sz="6" w:space="0" w:color="000000"/>
            </w:tcBorders>
          </w:tcPr>
          <w:p>
            <w:pPr>
              <w:spacing w:line="240" w:lineRule="auto" w:after="40" w:before="40"/>
              <w:jc w:val="left"/>
            </w:pPr>
            <w:r>
              <w:rPr>
                <w:b/>
                <w:i w:val="0"/>
                <w:sz w:val="18"/>
              </w:rPr>
              <w:t>Finding</w:t>
            </w:r>
          </w:p>
        </w:tc>
        <w:tc>
          <w:tcPr>
            <w:tcW w:type="dxa" w:w="2268"/>
            <w:shd w:val="clear" w:color="auto" w:fill="EDEDED"/>
            <w:tcBorders>
              <w:bottom w:val="single" w:sz="6" w:space="0" w:color="000000"/>
            </w:tcBorders>
          </w:tcPr>
          <w:p>
            <w:pPr>
              <w:spacing w:line="240" w:lineRule="auto" w:after="40" w:before="40"/>
              <w:jc w:val="left"/>
            </w:pPr>
            <w:r>
              <w:rPr>
                <w:b/>
                <w:i w:val="0"/>
                <w:sz w:val="18"/>
              </w:rPr>
              <w:t>Label</w:t>
            </w:r>
          </w:p>
        </w:tc>
      </w:tr>
      <w:tr>
        <w:trPr>
          <w:cantSplit/>
        </w:trPr>
        <w:tc>
          <w:tcPr>
            <w:tcW w:type="dxa" w:w="1871"/>
          </w:tcPr>
          <w:p>
            <w:pPr>
              <w:spacing w:line="240" w:lineRule="auto" w:after="40" w:before="40"/>
              <w:jc w:val="left"/>
            </w:pPr>
            <w:r>
              <w:rPr>
                <w:b w:val="0"/>
                <w:i w:val="0"/>
                <w:sz w:val="18"/>
              </w:rPr>
              <w:t>LIU2015-COF-FIB</w:t>
            </w:r>
          </w:p>
        </w:tc>
        <w:tc>
          <w:tcPr>
            <w:tcW w:type="dxa" w:w="4876"/>
          </w:tcPr>
          <w:p>
            <w:pPr>
              <w:spacing w:line="240" w:lineRule="auto" w:after="40" w:before="40"/>
              <w:jc w:val="left"/>
            </w:pPr>
            <w:r>
              <w:rPr>
                <w:b w:val="0"/>
                <w:i w:val="0"/>
                <w:sz w:val="18"/>
              </w:rPr>
              <w:t>Coffee: lower odds of advanced fibrosis (OR 0.73; 95% CI 0.58–0.92) and cirrhosis (OR 0.61); 16 studies, mixed liver diseases</w:t>
            </w:r>
          </w:p>
        </w:tc>
        <w:tc>
          <w:tcPr>
            <w:tcW w:type="dxa" w:w="2268"/>
          </w:tcPr>
          <w:p>
            <w:pPr>
              <w:spacing w:line="240" w:lineRule="auto" w:after="40" w:before="40"/>
              <w:jc w:val="left"/>
            </w:pPr>
            <w:r>
              <w:rPr>
                <w:b w:val="0"/>
                <w:i w:val="0"/>
                <w:sz w:val="18"/>
              </w:rPr>
              <w:t>OBSERVATIONAL ASSOCIATION</w:t>
            </w:r>
          </w:p>
        </w:tc>
      </w:tr>
      <w:tr>
        <w:trPr>
          <w:cantSplit/>
        </w:trPr>
        <w:tc>
          <w:tcPr>
            <w:tcW w:type="dxa" w:w="1871"/>
          </w:tcPr>
          <w:p>
            <w:pPr>
              <w:spacing w:line="240" w:lineRule="auto" w:after="40" w:before="40"/>
              <w:jc w:val="left"/>
            </w:pPr>
            <w:r>
              <w:rPr>
                <w:b w:val="0"/>
                <w:i w:val="0"/>
                <w:sz w:val="18"/>
              </w:rPr>
              <w:t>EBA2021-COF-FIB</w:t>
            </w:r>
          </w:p>
        </w:tc>
        <w:tc>
          <w:tcPr>
            <w:tcW w:type="dxa" w:w="4876"/>
          </w:tcPr>
          <w:p>
            <w:pPr>
              <w:spacing w:line="240" w:lineRule="auto" w:after="40" w:before="40"/>
              <w:jc w:val="left"/>
            </w:pPr>
            <w:r>
              <w:rPr>
                <w:b w:val="0"/>
                <w:i w:val="0"/>
                <w:sz w:val="18"/>
              </w:rPr>
              <w:t>Coffee in NAFLD: lower odds of significant fibrosis (RR 0.65; 95% CI 0.54–0.78); 5 studies, 4,303 participants</w:t>
            </w:r>
          </w:p>
        </w:tc>
        <w:tc>
          <w:tcPr>
            <w:tcW w:type="dxa" w:w="2268"/>
          </w:tcPr>
          <w:p>
            <w:pPr>
              <w:spacing w:line="240" w:lineRule="auto" w:after="40" w:before="40"/>
              <w:jc w:val="left"/>
            </w:pPr>
            <w:r>
              <w:rPr>
                <w:b w:val="0"/>
                <w:i w:val="0"/>
                <w:sz w:val="18"/>
              </w:rPr>
              <w:t>OBSERVATIONAL ASSOCIATION</w:t>
            </w:r>
          </w:p>
        </w:tc>
      </w:tr>
      <w:tr>
        <w:trPr>
          <w:cantSplit/>
        </w:trPr>
        <w:tc>
          <w:tcPr>
            <w:tcW w:type="dxa" w:w="1871"/>
          </w:tcPr>
          <w:p>
            <w:pPr>
              <w:spacing w:line="240" w:lineRule="auto" w:after="40" w:before="40"/>
              <w:jc w:val="left"/>
            </w:pPr>
            <w:r>
              <w:rPr>
                <w:b w:val="0"/>
                <w:i w:val="0"/>
                <w:sz w:val="18"/>
              </w:rPr>
              <w:t>EBA2021-COF-INC</w:t>
            </w:r>
          </w:p>
        </w:tc>
        <w:tc>
          <w:tcPr>
            <w:tcW w:type="dxa" w:w="4876"/>
          </w:tcPr>
          <w:p>
            <w:pPr>
              <w:spacing w:line="240" w:lineRule="auto" w:after="40" w:before="40"/>
              <w:jc w:val="left"/>
            </w:pPr>
            <w:r>
              <w:rPr>
                <w:b w:val="0"/>
                <w:i w:val="0"/>
                <w:sz w:val="18"/>
              </w:rPr>
              <w:t>Coffee: no association with NAFLD incidence (RR 0.88; 0.63–1.25) or prevalence (RR 0.88; 0.76–1.02)</w:t>
            </w:r>
          </w:p>
        </w:tc>
        <w:tc>
          <w:tcPr>
            <w:tcW w:type="dxa" w:w="2268"/>
          </w:tcPr>
          <w:p>
            <w:pPr>
              <w:spacing w:line="240" w:lineRule="auto" w:after="40" w:before="40"/>
              <w:jc w:val="left"/>
            </w:pPr>
            <w:r>
              <w:rPr>
                <w:b w:val="0"/>
                <w:i w:val="0"/>
                <w:sz w:val="18"/>
              </w:rPr>
              <w:t>OBSERVATIONAL ASSOCIATION</w:t>
            </w:r>
          </w:p>
        </w:tc>
      </w:tr>
      <w:tr>
        <w:trPr>
          <w:cantSplit/>
        </w:trPr>
        <w:tc>
          <w:tcPr>
            <w:tcW w:type="dxa" w:w="1871"/>
          </w:tcPr>
          <w:p>
            <w:pPr>
              <w:spacing w:line="240" w:lineRule="auto" w:after="40" w:before="40"/>
              <w:jc w:val="left"/>
            </w:pPr>
            <w:r>
              <w:rPr>
                <w:b w:val="0"/>
                <w:i w:val="0"/>
                <w:sz w:val="18"/>
              </w:rPr>
              <w:t>STE2026-FAST</w:t>
            </w:r>
          </w:p>
        </w:tc>
        <w:tc>
          <w:tcPr>
            <w:tcW w:type="dxa" w:w="4876"/>
          </w:tcPr>
          <w:p>
            <w:pPr>
              <w:spacing w:line="240" w:lineRule="auto" w:after="40" w:before="40"/>
              <w:jc w:val="left"/>
            </w:pPr>
            <w:r>
              <w:rPr>
                <w:b w:val="0"/>
                <w:i w:val="0"/>
                <w:sz w:val="18"/>
              </w:rPr>
              <w:t>Fasting: ALT −12.47 IU/L (6 RCTs) and liver stiffness −0.24 kPa (4 RCTs)</w:t>
            </w:r>
          </w:p>
        </w:tc>
        <w:tc>
          <w:tcPr>
            <w:tcW w:type="dxa" w:w="2268"/>
          </w:tcPr>
          <w:p>
            <w:pPr>
              <w:spacing w:line="240" w:lineRule="auto" w:after="40" w:before="40"/>
              <w:jc w:val="left"/>
            </w:pPr>
            <w:r>
              <w:rPr>
                <w:b w:val="0"/>
                <w:i w:val="0"/>
                <w:sz w:val="18"/>
              </w:rPr>
              <w:t>MODERATE</w:t>
            </w:r>
          </w:p>
        </w:tc>
      </w:tr>
      <w:tr>
        <w:trPr>
          <w:cantSplit/>
        </w:trPr>
        <w:tc>
          <w:tcPr>
            <w:tcW w:type="dxa" w:w="1871"/>
          </w:tcPr>
          <w:p>
            <w:pPr>
              <w:spacing w:line="240" w:lineRule="auto" w:after="40" w:before="40"/>
              <w:jc w:val="left"/>
            </w:pPr>
            <w:r>
              <w:rPr>
                <w:b w:val="0"/>
                <w:i w:val="0"/>
                <w:sz w:val="18"/>
              </w:rPr>
              <w:t>STE2026-LCHF</w:t>
            </w:r>
          </w:p>
        </w:tc>
        <w:tc>
          <w:tcPr>
            <w:tcW w:type="dxa" w:w="4876"/>
          </w:tcPr>
          <w:p>
            <w:pPr>
              <w:spacing w:line="240" w:lineRule="auto" w:after="40" w:before="40"/>
              <w:jc w:val="left"/>
            </w:pPr>
            <w:r>
              <w:rPr>
                <w:b w:val="0"/>
                <w:i w:val="0"/>
                <w:sz w:val="18"/>
              </w:rPr>
              <w:t>Low-carbohydrate high-fat / ketogenic diets: no significant change in ALT (6 RCTs)</w:t>
            </w:r>
          </w:p>
        </w:tc>
        <w:tc>
          <w:tcPr>
            <w:tcW w:type="dxa" w:w="2268"/>
          </w:tcPr>
          <w:p>
            <w:pPr>
              <w:spacing w:line="240" w:lineRule="auto" w:after="40" w:before="40"/>
              <w:jc w:val="left"/>
            </w:pPr>
            <w:r>
              <w:rPr>
                <w:b w:val="0"/>
                <w:i w:val="0"/>
                <w:sz w:val="18"/>
              </w:rPr>
              <w:t>WEAK / INCONCLUSIVE</w:t>
            </w:r>
          </w:p>
        </w:tc>
      </w:tr>
      <w:tr>
        <w:trPr>
          <w:cantSplit/>
        </w:trPr>
        <w:tc>
          <w:tcPr>
            <w:tcW w:type="dxa" w:w="1871"/>
          </w:tcPr>
          <w:p>
            <w:pPr>
              <w:spacing w:line="240" w:lineRule="auto" w:after="40" w:before="40"/>
              <w:jc w:val="left"/>
            </w:pPr>
            <w:r>
              <w:rPr>
                <w:b w:val="0"/>
                <w:i w:val="0"/>
                <w:sz w:val="18"/>
              </w:rPr>
              <w:t>STE2026-OMEGA3</w:t>
            </w:r>
          </w:p>
        </w:tc>
        <w:tc>
          <w:tcPr>
            <w:tcW w:type="dxa" w:w="4876"/>
          </w:tcPr>
          <w:p>
            <w:pPr>
              <w:spacing w:line="240" w:lineRule="auto" w:after="40" w:before="40"/>
              <w:jc w:val="left"/>
            </w:pPr>
            <w:r>
              <w:rPr>
                <w:b w:val="0"/>
                <w:i w:val="0"/>
                <w:sz w:val="18"/>
              </w:rPr>
              <w:t>Omega-3 supplements: no significant change in ALT (4 RCTs)</w:t>
            </w:r>
          </w:p>
        </w:tc>
        <w:tc>
          <w:tcPr>
            <w:tcW w:type="dxa" w:w="2268"/>
          </w:tcPr>
          <w:p>
            <w:pPr>
              <w:spacing w:line="240" w:lineRule="auto" w:after="40" w:before="40"/>
              <w:jc w:val="left"/>
            </w:pPr>
            <w:r>
              <w:rPr>
                <w:b w:val="0"/>
                <w:i w:val="0"/>
                <w:sz w:val="18"/>
              </w:rPr>
              <w:t>WEAK / INCONCLUSIVE</w:t>
            </w:r>
          </w:p>
        </w:tc>
      </w:tr>
    </w:tbl>
    <w:p>
      <w:pPr>
        <w:spacing w:after="200" w:line="240" w:lineRule="auto" w:before="80"/>
        <w:jc w:val="left"/>
      </w:pPr>
      <w:r>
        <w:rPr>
          <w:b w:val="0"/>
          <w:i/>
          <w:sz w:val="18"/>
        </w:rPr>
        <w:t>Sources: Liu et al., PLoS One 2015 (PMID 26556483); Ebadi et al., Nutrients 2021 (PMID 34578919); Stern et al., Eur J Nutr 2026 (PMID 41689666).</w:t>
      </w:r>
    </w:p>
    <w:p>
      <w:pPr>
        <w:pStyle w:val="Heading2"/>
      </w:pPr>
      <w:r>
        <w:t>6. Acceptability, Diversity and Seven-Day Meal Plans (§17.6, §17.12)</w:t>
      </w:r>
    </w:p>
    <w:p>
      <w:r>
        <w:rPr>
          <w:b/>
          <w:i w:val="0"/>
        </w:rPr>
        <w:t>Acceptability</w:t>
      </w:r>
      <w:r>
        <w:rPr>
          <w:b w:val="0"/>
          <w:i w:val="0"/>
        </w:rPr>
        <w:t xml:space="preserve"> is the RecipeDB rating shrunk towards the corpus mean with a pseudo-count of 20, because ratings cluster at five stars (the 25th percentile is 5.0); it matters through the number of ratings. At weight 0.1 it improved every measure, so it is now part of the default ranking. </w:t>
      </w:r>
      <w:r>
        <w:rPr>
          <w:b/>
          <w:i w:val="0"/>
        </w:rPr>
        <w:t>Diversity</w:t>
      </w:r>
      <w:r>
        <w:rPr>
          <w:b w:val="0"/>
          <w:i w:val="0"/>
        </w:rPr>
        <w:t xml:space="preserve"> re-ranking (maximal marginal relevance over ingredient sets, ignoring seasonings and pantry staples) added little, because the default top 10 is already varied, so it remains an option.</w:t>
      </w:r>
    </w:p>
    <w:p>
      <w:pPr>
        <w:pStyle w:val="Caption"/>
      </w:pPr>
      <w:r>
        <w:rPr>
          <w:b/>
        </w:rPr>
        <w:t xml:space="preserve">Table 7. </w:t>
      </w:r>
      <w:r>
        <w:t>Ranking variants on 300 held-out patients aged 12–59 (24-hour recall used).</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289"/>
        <w:gridCol w:w="1289"/>
        <w:gridCol w:w="1289"/>
        <w:gridCol w:w="1289"/>
        <w:gridCol w:w="1289"/>
        <w:gridCol w:w="1289"/>
        <w:gridCol w:w="1289"/>
      </w:tblGrid>
      <w:tr>
        <w:trPr>
          <w:tblHeader/>
          <w:cantSplit/>
        </w:trPr>
        <w:tc>
          <w:tcPr>
            <w:tcW w:type="dxa" w:w="2835"/>
            <w:shd w:val="clear" w:color="auto" w:fill="EDEDED"/>
            <w:tcBorders>
              <w:bottom w:val="single" w:sz="6" w:space="0" w:color="000000"/>
            </w:tcBorders>
          </w:tcPr>
          <w:p>
            <w:pPr>
              <w:spacing w:line="240" w:lineRule="auto" w:after="40" w:before="40"/>
              <w:jc w:val="left"/>
            </w:pPr>
            <w:r>
              <w:rPr>
                <w:b/>
                <w:i w:val="0"/>
                <w:sz w:val="18"/>
              </w:rPr>
              <w:t>Method</w:t>
            </w:r>
          </w:p>
        </w:tc>
        <w:tc>
          <w:tcPr>
            <w:tcW w:type="dxa" w:w="907"/>
            <w:shd w:val="clear" w:color="auto" w:fill="EDEDED"/>
            <w:tcBorders>
              <w:bottom w:val="single" w:sz="6" w:space="0" w:color="000000"/>
            </w:tcBorders>
          </w:tcPr>
          <w:p>
            <w:pPr>
              <w:spacing w:line="240" w:lineRule="auto" w:after="40" w:before="40"/>
              <w:jc w:val="right"/>
            </w:pPr>
            <w:r>
              <w:rPr>
                <w:b/>
                <w:i w:val="0"/>
                <w:sz w:val="18"/>
              </w:rPr>
              <w:t>Health</w:t>
            </w:r>
          </w:p>
        </w:tc>
        <w:tc>
          <w:tcPr>
            <w:tcW w:type="dxa" w:w="907"/>
            <w:shd w:val="clear" w:color="auto" w:fill="EDEDED"/>
            <w:tcBorders>
              <w:bottom w:val="single" w:sz="6" w:space="0" w:color="000000"/>
            </w:tcBorders>
          </w:tcPr>
          <w:p>
            <w:pPr>
              <w:spacing w:line="240" w:lineRule="auto" w:after="40" w:before="40"/>
              <w:jc w:val="right"/>
            </w:pPr>
            <w:r>
              <w:rPr>
                <w:b/>
                <w:i w:val="0"/>
                <w:sz w:val="18"/>
              </w:rPr>
              <w:t>Cuisine</w:t>
            </w:r>
          </w:p>
        </w:tc>
        <w:tc>
          <w:tcPr>
            <w:tcW w:type="dxa" w:w="964"/>
            <w:shd w:val="clear" w:color="auto" w:fill="EDEDED"/>
            <w:tcBorders>
              <w:bottom w:val="single" w:sz="6" w:space="0" w:color="000000"/>
            </w:tcBorders>
          </w:tcPr>
          <w:p>
            <w:pPr>
              <w:spacing w:line="240" w:lineRule="auto" w:after="40" w:before="40"/>
              <w:jc w:val="right"/>
            </w:pPr>
            <w:r>
              <w:rPr>
                <w:b/>
                <w:i w:val="0"/>
                <w:sz w:val="18"/>
              </w:rPr>
              <w:t>Feasible</w:t>
            </w:r>
          </w:p>
        </w:tc>
        <w:tc>
          <w:tcPr>
            <w:tcW w:type="dxa" w:w="964"/>
            <w:shd w:val="clear" w:color="auto" w:fill="EDEDED"/>
            <w:tcBorders>
              <w:bottom w:val="single" w:sz="6" w:space="0" w:color="000000"/>
            </w:tcBorders>
          </w:tcPr>
          <w:p>
            <w:pPr>
              <w:spacing w:line="240" w:lineRule="auto" w:after="40" w:before="40"/>
              <w:jc w:val="right"/>
            </w:pPr>
            <w:r>
              <w:rPr>
                <w:b/>
                <w:i w:val="0"/>
                <w:sz w:val="18"/>
              </w:rPr>
              <w:t>All three</w:t>
            </w:r>
          </w:p>
        </w:tc>
        <w:tc>
          <w:tcPr>
            <w:tcW w:type="dxa" w:w="1020"/>
            <w:shd w:val="clear" w:color="auto" w:fill="EDEDED"/>
            <w:tcBorders>
              <w:bottom w:val="single" w:sz="6" w:space="0" w:color="000000"/>
            </w:tcBorders>
          </w:tcPr>
          <w:p>
            <w:pPr>
              <w:spacing w:line="240" w:lineRule="auto" w:after="40" w:before="40"/>
              <w:jc w:val="right"/>
            </w:pPr>
            <w:r>
              <w:rPr>
                <w:b/>
                <w:i w:val="0"/>
                <w:sz w:val="18"/>
              </w:rPr>
              <w:t>Diversity</w:t>
            </w:r>
          </w:p>
        </w:tc>
        <w:tc>
          <w:tcPr>
            <w:tcW w:type="dxa" w:w="1247"/>
            <w:shd w:val="clear" w:color="auto" w:fill="EDEDED"/>
            <w:tcBorders>
              <w:bottom w:val="single" w:sz="6" w:space="0" w:color="000000"/>
            </w:tcBorders>
          </w:tcPr>
          <w:p>
            <w:pPr>
              <w:spacing w:line="240" w:lineRule="auto" w:after="40" w:before="40"/>
              <w:jc w:val="right"/>
            </w:pPr>
            <w:r>
              <w:rPr>
                <w:b/>
                <w:i w:val="0"/>
                <w:sz w:val="18"/>
              </w:rPr>
              <w:t>Acceptability</w:t>
            </w:r>
          </w:p>
        </w:tc>
      </w:tr>
      <w:tr>
        <w:trPr>
          <w:cantSplit/>
        </w:trPr>
        <w:tc>
          <w:tcPr>
            <w:tcW w:type="dxa" w:w="2835"/>
          </w:tcPr>
          <w:p>
            <w:pPr>
              <w:spacing w:line="240" w:lineRule="auto" w:after="40" w:before="40"/>
              <w:jc w:val="left"/>
            </w:pPr>
            <w:r>
              <w:rPr>
                <w:b w:val="0"/>
                <w:i w:val="0"/>
                <w:sz w:val="18"/>
              </w:rPr>
              <w:t>MC, health-gated (default)</w:t>
            </w:r>
          </w:p>
        </w:tc>
        <w:tc>
          <w:tcPr>
            <w:tcW w:type="dxa" w:w="907"/>
          </w:tcPr>
          <w:p>
            <w:pPr>
              <w:spacing w:line="240" w:lineRule="auto" w:after="40" w:before="40"/>
              <w:jc w:val="right"/>
            </w:pPr>
            <w:r>
              <w:rPr>
                <w:b w:val="0"/>
                <w:i w:val="0"/>
                <w:sz w:val="18"/>
              </w:rPr>
              <w:t>1.000</w:t>
            </w:r>
          </w:p>
        </w:tc>
        <w:tc>
          <w:tcPr>
            <w:tcW w:type="dxa" w:w="907"/>
          </w:tcPr>
          <w:p>
            <w:pPr>
              <w:spacing w:line="240" w:lineRule="auto" w:after="40" w:before="40"/>
              <w:jc w:val="right"/>
            </w:pPr>
            <w:r>
              <w:rPr>
                <w:b w:val="0"/>
                <w:i w:val="0"/>
                <w:sz w:val="18"/>
              </w:rPr>
              <w:t>0.998</w:t>
            </w:r>
          </w:p>
        </w:tc>
        <w:tc>
          <w:tcPr>
            <w:tcW w:type="dxa" w:w="964"/>
          </w:tcPr>
          <w:p>
            <w:pPr>
              <w:spacing w:line="240" w:lineRule="auto" w:after="40" w:before="40"/>
              <w:jc w:val="right"/>
            </w:pPr>
            <w:r>
              <w:rPr>
                <w:b w:val="0"/>
                <w:i w:val="0"/>
                <w:sz w:val="18"/>
              </w:rPr>
              <w:t>0.832</w:t>
            </w:r>
          </w:p>
        </w:tc>
        <w:tc>
          <w:tcPr>
            <w:tcW w:type="dxa" w:w="964"/>
          </w:tcPr>
          <w:p>
            <w:pPr>
              <w:spacing w:line="240" w:lineRule="auto" w:after="40" w:before="40"/>
              <w:jc w:val="right"/>
            </w:pPr>
            <w:r>
              <w:rPr>
                <w:b w:val="0"/>
                <w:i w:val="0"/>
                <w:sz w:val="18"/>
              </w:rPr>
              <w:t>0.831</w:t>
            </w:r>
          </w:p>
        </w:tc>
        <w:tc>
          <w:tcPr>
            <w:tcW w:type="dxa" w:w="1020"/>
          </w:tcPr>
          <w:p>
            <w:pPr>
              <w:spacing w:line="240" w:lineRule="auto" w:after="40" w:before="40"/>
              <w:jc w:val="right"/>
            </w:pPr>
            <w:r>
              <w:rPr>
                <w:b w:val="0"/>
                <w:i w:val="0"/>
                <w:sz w:val="18"/>
              </w:rPr>
              <w:t>0.947</w:t>
            </w:r>
          </w:p>
        </w:tc>
        <w:tc>
          <w:tcPr>
            <w:tcW w:type="dxa" w:w="1247"/>
          </w:tcPr>
          <w:p>
            <w:pPr>
              <w:spacing w:line="240" w:lineRule="auto" w:after="40" w:before="40"/>
              <w:jc w:val="right"/>
            </w:pPr>
            <w:r>
              <w:rPr>
                <w:b w:val="0"/>
                <w:i w:val="0"/>
                <w:sz w:val="18"/>
              </w:rPr>
              <w:t>88.6</w:t>
            </w:r>
          </w:p>
        </w:tc>
      </w:tr>
      <w:tr>
        <w:trPr>
          <w:cantSplit/>
        </w:trPr>
        <w:tc>
          <w:tcPr>
            <w:tcW w:type="dxa" w:w="2835"/>
          </w:tcPr>
          <w:p>
            <w:pPr>
              <w:spacing w:line="240" w:lineRule="auto" w:after="40" w:before="40"/>
              <w:jc w:val="left"/>
            </w:pPr>
            <w:r>
              <w:rPr>
                <w:b w:val="0"/>
                <w:i w:val="0"/>
                <w:sz w:val="18"/>
              </w:rPr>
              <w:t>MC, without acceptability</w:t>
            </w:r>
          </w:p>
        </w:tc>
        <w:tc>
          <w:tcPr>
            <w:tcW w:type="dxa" w:w="907"/>
          </w:tcPr>
          <w:p>
            <w:pPr>
              <w:spacing w:line="240" w:lineRule="auto" w:after="40" w:before="40"/>
              <w:jc w:val="right"/>
            </w:pPr>
            <w:r>
              <w:rPr>
                <w:b w:val="0"/>
                <w:i w:val="0"/>
                <w:sz w:val="18"/>
              </w:rPr>
              <w:t>1.000</w:t>
            </w:r>
          </w:p>
        </w:tc>
        <w:tc>
          <w:tcPr>
            <w:tcW w:type="dxa" w:w="907"/>
          </w:tcPr>
          <w:p>
            <w:pPr>
              <w:spacing w:line="240" w:lineRule="auto" w:after="40" w:before="40"/>
              <w:jc w:val="right"/>
            </w:pPr>
            <w:r>
              <w:rPr>
                <w:b w:val="0"/>
                <w:i w:val="0"/>
                <w:sz w:val="18"/>
              </w:rPr>
              <w:t>0.994</w:t>
            </w:r>
          </w:p>
        </w:tc>
        <w:tc>
          <w:tcPr>
            <w:tcW w:type="dxa" w:w="964"/>
          </w:tcPr>
          <w:p>
            <w:pPr>
              <w:spacing w:line="240" w:lineRule="auto" w:after="40" w:before="40"/>
              <w:jc w:val="right"/>
            </w:pPr>
            <w:r>
              <w:rPr>
                <w:b w:val="0"/>
                <w:i w:val="0"/>
                <w:sz w:val="18"/>
              </w:rPr>
              <w:t>0.803</w:t>
            </w:r>
          </w:p>
        </w:tc>
        <w:tc>
          <w:tcPr>
            <w:tcW w:type="dxa" w:w="964"/>
          </w:tcPr>
          <w:p>
            <w:pPr>
              <w:spacing w:line="240" w:lineRule="auto" w:after="40" w:before="40"/>
              <w:jc w:val="right"/>
            </w:pPr>
            <w:r>
              <w:rPr>
                <w:b w:val="0"/>
                <w:i w:val="0"/>
                <w:sz w:val="18"/>
              </w:rPr>
              <w:t>0.796</w:t>
            </w:r>
          </w:p>
        </w:tc>
        <w:tc>
          <w:tcPr>
            <w:tcW w:type="dxa" w:w="1020"/>
          </w:tcPr>
          <w:p>
            <w:pPr>
              <w:spacing w:line="240" w:lineRule="auto" w:after="40" w:before="40"/>
              <w:jc w:val="right"/>
            </w:pPr>
            <w:r>
              <w:rPr>
                <w:b w:val="0"/>
                <w:i w:val="0"/>
                <w:sz w:val="18"/>
              </w:rPr>
              <w:t>0.945</w:t>
            </w:r>
          </w:p>
        </w:tc>
        <w:tc>
          <w:tcPr>
            <w:tcW w:type="dxa" w:w="1247"/>
          </w:tcPr>
          <w:p>
            <w:pPr>
              <w:spacing w:line="240" w:lineRule="auto" w:after="40" w:before="40"/>
              <w:jc w:val="right"/>
            </w:pPr>
            <w:r>
              <w:rPr>
                <w:b w:val="0"/>
                <w:i w:val="0"/>
                <w:sz w:val="18"/>
              </w:rPr>
              <w:t>83.7</w:t>
            </w:r>
          </w:p>
        </w:tc>
      </w:tr>
      <w:tr>
        <w:trPr>
          <w:cantSplit/>
        </w:trPr>
        <w:tc>
          <w:tcPr>
            <w:tcW w:type="dxa" w:w="2835"/>
          </w:tcPr>
          <w:p>
            <w:pPr>
              <w:spacing w:line="240" w:lineRule="auto" w:after="40" w:before="40"/>
              <w:jc w:val="left"/>
            </w:pPr>
            <w:r>
              <w:rPr>
                <w:b w:val="0"/>
                <w:i w:val="0"/>
                <w:sz w:val="18"/>
              </w:rPr>
              <w:t>MC + diversity re-ranking (MMR)</w:t>
            </w:r>
          </w:p>
        </w:tc>
        <w:tc>
          <w:tcPr>
            <w:tcW w:type="dxa" w:w="907"/>
          </w:tcPr>
          <w:p>
            <w:pPr>
              <w:spacing w:line="240" w:lineRule="auto" w:after="40" w:before="40"/>
              <w:jc w:val="right"/>
            </w:pPr>
            <w:r>
              <w:rPr>
                <w:b w:val="0"/>
                <w:i w:val="0"/>
                <w:sz w:val="18"/>
              </w:rPr>
              <w:t>1.000</w:t>
            </w:r>
          </w:p>
        </w:tc>
        <w:tc>
          <w:tcPr>
            <w:tcW w:type="dxa" w:w="907"/>
          </w:tcPr>
          <w:p>
            <w:pPr>
              <w:spacing w:line="240" w:lineRule="auto" w:after="40" w:before="40"/>
              <w:jc w:val="right"/>
            </w:pPr>
            <w:r>
              <w:rPr>
                <w:b w:val="0"/>
                <w:i w:val="0"/>
                <w:sz w:val="18"/>
              </w:rPr>
              <w:t>0.988</w:t>
            </w:r>
          </w:p>
        </w:tc>
        <w:tc>
          <w:tcPr>
            <w:tcW w:type="dxa" w:w="964"/>
          </w:tcPr>
          <w:p>
            <w:pPr>
              <w:spacing w:line="240" w:lineRule="auto" w:after="40" w:before="40"/>
              <w:jc w:val="right"/>
            </w:pPr>
            <w:r>
              <w:rPr>
                <w:b w:val="0"/>
                <w:i w:val="0"/>
                <w:sz w:val="18"/>
              </w:rPr>
              <w:t>0.818</w:t>
            </w:r>
          </w:p>
        </w:tc>
        <w:tc>
          <w:tcPr>
            <w:tcW w:type="dxa" w:w="964"/>
          </w:tcPr>
          <w:p>
            <w:pPr>
              <w:spacing w:line="240" w:lineRule="auto" w:after="40" w:before="40"/>
              <w:jc w:val="right"/>
            </w:pPr>
            <w:r>
              <w:rPr>
                <w:b w:val="0"/>
                <w:i w:val="0"/>
                <w:sz w:val="18"/>
              </w:rPr>
              <w:t>0.806</w:t>
            </w:r>
          </w:p>
        </w:tc>
        <w:tc>
          <w:tcPr>
            <w:tcW w:type="dxa" w:w="1020"/>
          </w:tcPr>
          <w:p>
            <w:pPr>
              <w:spacing w:line="240" w:lineRule="auto" w:after="40" w:before="40"/>
              <w:jc w:val="right"/>
            </w:pPr>
            <w:r>
              <w:rPr>
                <w:b w:val="0"/>
                <w:i w:val="0"/>
                <w:sz w:val="18"/>
              </w:rPr>
              <w:t>0.956</w:t>
            </w:r>
          </w:p>
        </w:tc>
        <w:tc>
          <w:tcPr>
            <w:tcW w:type="dxa" w:w="1247"/>
          </w:tcPr>
          <w:p>
            <w:pPr>
              <w:spacing w:line="240" w:lineRule="auto" w:after="40" w:before="40"/>
              <w:jc w:val="right"/>
            </w:pPr>
            <w:r>
              <w:rPr>
                <w:b w:val="0"/>
                <w:i w:val="0"/>
                <w:sz w:val="18"/>
              </w:rPr>
              <w:t>88.7</w:t>
            </w:r>
          </w:p>
        </w:tc>
      </w:tr>
      <w:tr>
        <w:trPr>
          <w:cantSplit/>
        </w:trPr>
        <w:tc>
          <w:tcPr>
            <w:tcW w:type="dxa" w:w="2835"/>
          </w:tcPr>
          <w:p>
            <w:pPr>
              <w:spacing w:line="240" w:lineRule="auto" w:after="40" w:before="40"/>
              <w:jc w:val="left"/>
            </w:pPr>
            <w:r>
              <w:rPr>
                <w:b w:val="0"/>
                <w:i w:val="0"/>
                <w:sz w:val="18"/>
              </w:rPr>
              <w:t>MC, weighted only</w:t>
            </w:r>
          </w:p>
        </w:tc>
        <w:tc>
          <w:tcPr>
            <w:tcW w:type="dxa" w:w="907"/>
          </w:tcPr>
          <w:p>
            <w:pPr>
              <w:spacing w:line="240" w:lineRule="auto" w:after="40" w:before="40"/>
              <w:jc w:val="right"/>
            </w:pPr>
            <w:r>
              <w:rPr>
                <w:b w:val="0"/>
                <w:i w:val="0"/>
                <w:sz w:val="18"/>
              </w:rPr>
              <w:t>0.737</w:t>
            </w:r>
          </w:p>
        </w:tc>
        <w:tc>
          <w:tcPr>
            <w:tcW w:type="dxa" w:w="907"/>
          </w:tcPr>
          <w:p>
            <w:pPr>
              <w:spacing w:line="240" w:lineRule="auto" w:after="40" w:before="40"/>
              <w:jc w:val="right"/>
            </w:pPr>
            <w:r>
              <w:rPr>
                <w:b w:val="0"/>
                <w:i w:val="0"/>
                <w:sz w:val="18"/>
              </w:rPr>
              <w:t>1.000</w:t>
            </w:r>
          </w:p>
        </w:tc>
        <w:tc>
          <w:tcPr>
            <w:tcW w:type="dxa" w:w="964"/>
          </w:tcPr>
          <w:p>
            <w:pPr>
              <w:spacing w:line="240" w:lineRule="auto" w:after="40" w:before="40"/>
              <w:jc w:val="right"/>
            </w:pPr>
            <w:r>
              <w:rPr>
                <w:b w:val="0"/>
                <w:i w:val="0"/>
                <w:sz w:val="18"/>
              </w:rPr>
              <w:t>0.970</w:t>
            </w:r>
          </w:p>
        </w:tc>
        <w:tc>
          <w:tcPr>
            <w:tcW w:type="dxa" w:w="964"/>
          </w:tcPr>
          <w:p>
            <w:pPr>
              <w:spacing w:line="240" w:lineRule="auto" w:after="40" w:before="40"/>
              <w:jc w:val="right"/>
            </w:pPr>
            <w:r>
              <w:rPr>
                <w:b w:val="0"/>
                <w:i w:val="0"/>
                <w:sz w:val="18"/>
              </w:rPr>
              <w:t>0.727</w:t>
            </w:r>
          </w:p>
        </w:tc>
        <w:tc>
          <w:tcPr>
            <w:tcW w:type="dxa" w:w="1020"/>
          </w:tcPr>
          <w:p>
            <w:pPr>
              <w:spacing w:line="240" w:lineRule="auto" w:after="40" w:before="40"/>
              <w:jc w:val="right"/>
            </w:pPr>
            <w:r>
              <w:rPr>
                <w:b w:val="0"/>
                <w:i w:val="0"/>
                <w:sz w:val="18"/>
              </w:rPr>
              <w:t>0.952</w:t>
            </w:r>
          </w:p>
        </w:tc>
        <w:tc>
          <w:tcPr>
            <w:tcW w:type="dxa" w:w="1247"/>
          </w:tcPr>
          <w:p>
            <w:pPr>
              <w:spacing w:line="240" w:lineRule="auto" w:after="40" w:before="40"/>
              <w:jc w:val="right"/>
            </w:pPr>
            <w:r>
              <w:rPr>
                <w:b w:val="0"/>
                <w:i w:val="0"/>
                <w:sz w:val="18"/>
              </w:rPr>
              <w:t>91.0</w:t>
            </w:r>
          </w:p>
        </w:tc>
      </w:tr>
      <w:tr>
        <w:trPr>
          <w:cantSplit/>
        </w:trPr>
        <w:tc>
          <w:tcPr>
            <w:tcW w:type="dxa" w:w="2835"/>
          </w:tcPr>
          <w:p>
            <w:pPr>
              <w:spacing w:line="240" w:lineRule="auto" w:after="40" w:before="40"/>
              <w:jc w:val="left"/>
            </w:pPr>
            <w:r>
              <w:rPr>
                <w:b w:val="0"/>
                <w:i w:val="0"/>
                <w:sz w:val="18"/>
              </w:rPr>
              <w:t>Health score only</w:t>
            </w:r>
          </w:p>
        </w:tc>
        <w:tc>
          <w:tcPr>
            <w:tcW w:type="dxa" w:w="907"/>
          </w:tcPr>
          <w:p>
            <w:pPr>
              <w:spacing w:line="240" w:lineRule="auto" w:after="40" w:before="40"/>
              <w:jc w:val="right"/>
            </w:pPr>
            <w:r>
              <w:rPr>
                <w:b w:val="0"/>
                <w:i w:val="0"/>
                <w:sz w:val="18"/>
              </w:rPr>
              <w:t>1.000</w:t>
            </w:r>
          </w:p>
        </w:tc>
        <w:tc>
          <w:tcPr>
            <w:tcW w:type="dxa" w:w="907"/>
          </w:tcPr>
          <w:p>
            <w:pPr>
              <w:spacing w:line="240" w:lineRule="auto" w:after="40" w:before="40"/>
              <w:jc w:val="right"/>
            </w:pPr>
            <w:r>
              <w:rPr>
                <w:b w:val="0"/>
                <w:i w:val="0"/>
                <w:sz w:val="18"/>
              </w:rPr>
              <w:t>0.057</w:t>
            </w:r>
          </w:p>
        </w:tc>
        <w:tc>
          <w:tcPr>
            <w:tcW w:type="dxa" w:w="964"/>
          </w:tcPr>
          <w:p>
            <w:pPr>
              <w:spacing w:line="240" w:lineRule="auto" w:after="40" w:before="40"/>
              <w:jc w:val="right"/>
            </w:pPr>
            <w:r>
              <w:rPr>
                <w:b w:val="0"/>
                <w:i w:val="0"/>
                <w:sz w:val="18"/>
              </w:rPr>
              <w:t>0.400</w:t>
            </w:r>
          </w:p>
        </w:tc>
        <w:tc>
          <w:tcPr>
            <w:tcW w:type="dxa" w:w="964"/>
          </w:tcPr>
          <w:p>
            <w:pPr>
              <w:spacing w:line="240" w:lineRule="auto" w:after="40" w:before="40"/>
              <w:jc w:val="right"/>
            </w:pPr>
            <w:r>
              <w:rPr>
                <w:b w:val="0"/>
                <w:i w:val="0"/>
                <w:sz w:val="18"/>
              </w:rPr>
              <w:t>0.017</w:t>
            </w:r>
          </w:p>
        </w:tc>
        <w:tc>
          <w:tcPr>
            <w:tcW w:type="dxa" w:w="1020"/>
          </w:tcPr>
          <w:p>
            <w:pPr>
              <w:spacing w:line="240" w:lineRule="auto" w:after="40" w:before="40"/>
              <w:jc w:val="right"/>
            </w:pPr>
            <w:r>
              <w:rPr>
                <w:b w:val="0"/>
                <w:i w:val="0"/>
                <w:sz w:val="18"/>
              </w:rPr>
              <w:t>0.966</w:t>
            </w:r>
          </w:p>
        </w:tc>
        <w:tc>
          <w:tcPr>
            <w:tcW w:type="dxa" w:w="1247"/>
          </w:tcPr>
          <w:p>
            <w:pPr>
              <w:spacing w:line="240" w:lineRule="auto" w:after="40" w:before="40"/>
              <w:jc w:val="right"/>
            </w:pPr>
            <w:r>
              <w:rPr>
                <w:b w:val="0"/>
                <w:i w:val="0"/>
                <w:sz w:val="18"/>
              </w:rPr>
              <w:t>98.6</w:t>
            </w:r>
          </w:p>
        </w:tc>
      </w:tr>
      <w:tr>
        <w:trPr>
          <w:cantSplit/>
        </w:trPr>
        <w:tc>
          <w:tcPr>
            <w:tcW w:type="dxa" w:w="2835"/>
          </w:tcPr>
          <w:p>
            <w:pPr>
              <w:spacing w:line="240" w:lineRule="auto" w:after="40" w:before="40"/>
              <w:jc w:val="left"/>
            </w:pPr>
            <w:r>
              <w:rPr>
                <w:b w:val="0"/>
                <w:i w:val="0"/>
                <w:sz w:val="18"/>
              </w:rPr>
              <w:t>Nutrition only (non-personalised)</w:t>
            </w:r>
          </w:p>
        </w:tc>
        <w:tc>
          <w:tcPr>
            <w:tcW w:type="dxa" w:w="907"/>
          </w:tcPr>
          <w:p>
            <w:pPr>
              <w:spacing w:line="240" w:lineRule="auto" w:after="40" w:before="40"/>
              <w:jc w:val="right"/>
            </w:pPr>
            <w:r>
              <w:rPr>
                <w:b w:val="0"/>
                <w:i w:val="0"/>
                <w:sz w:val="18"/>
              </w:rPr>
              <w:t>1.000</w:t>
            </w:r>
          </w:p>
        </w:tc>
        <w:tc>
          <w:tcPr>
            <w:tcW w:type="dxa" w:w="907"/>
          </w:tcPr>
          <w:p>
            <w:pPr>
              <w:spacing w:line="240" w:lineRule="auto" w:after="40" w:before="40"/>
              <w:jc w:val="right"/>
            </w:pPr>
            <w:r>
              <w:rPr>
                <w:b w:val="0"/>
                <w:i w:val="0"/>
                <w:sz w:val="18"/>
              </w:rPr>
              <w:t>0.057</w:t>
            </w:r>
          </w:p>
        </w:tc>
        <w:tc>
          <w:tcPr>
            <w:tcW w:type="dxa" w:w="964"/>
          </w:tcPr>
          <w:p>
            <w:pPr>
              <w:spacing w:line="240" w:lineRule="auto" w:after="40" w:before="40"/>
              <w:jc w:val="right"/>
            </w:pPr>
            <w:r>
              <w:rPr>
                <w:b w:val="0"/>
                <w:i w:val="0"/>
                <w:sz w:val="18"/>
              </w:rPr>
              <w:t>0.400</w:t>
            </w:r>
          </w:p>
        </w:tc>
        <w:tc>
          <w:tcPr>
            <w:tcW w:type="dxa" w:w="964"/>
          </w:tcPr>
          <w:p>
            <w:pPr>
              <w:spacing w:line="240" w:lineRule="auto" w:after="40" w:before="40"/>
              <w:jc w:val="right"/>
            </w:pPr>
            <w:r>
              <w:rPr>
                <w:b w:val="0"/>
                <w:i w:val="0"/>
                <w:sz w:val="18"/>
              </w:rPr>
              <w:t>0.017</w:t>
            </w:r>
          </w:p>
        </w:tc>
        <w:tc>
          <w:tcPr>
            <w:tcW w:type="dxa" w:w="1020"/>
          </w:tcPr>
          <w:p>
            <w:pPr>
              <w:spacing w:line="240" w:lineRule="auto" w:after="40" w:before="40"/>
              <w:jc w:val="right"/>
            </w:pPr>
            <w:r>
              <w:rPr>
                <w:b w:val="0"/>
                <w:i w:val="0"/>
                <w:sz w:val="18"/>
              </w:rPr>
              <w:t>0.966</w:t>
            </w:r>
          </w:p>
        </w:tc>
        <w:tc>
          <w:tcPr>
            <w:tcW w:type="dxa" w:w="1247"/>
          </w:tcPr>
          <w:p>
            <w:pPr>
              <w:spacing w:line="240" w:lineRule="auto" w:after="40" w:before="40"/>
              <w:jc w:val="right"/>
            </w:pPr>
            <w:r>
              <w:rPr>
                <w:b w:val="0"/>
                <w:i w:val="0"/>
                <w:sz w:val="18"/>
              </w:rPr>
              <w:t>98.6</w:t>
            </w:r>
          </w:p>
        </w:tc>
      </w:tr>
      <w:tr>
        <w:trPr>
          <w:cantSplit/>
        </w:trPr>
        <w:tc>
          <w:tcPr>
            <w:tcW w:type="dxa" w:w="2835"/>
          </w:tcPr>
          <w:p>
            <w:pPr>
              <w:spacing w:line="240" w:lineRule="auto" w:after="40" w:before="40"/>
              <w:jc w:val="left"/>
            </w:pPr>
            <w:r>
              <w:rPr>
                <w:b w:val="0"/>
                <w:i w:val="0"/>
                <w:sz w:val="18"/>
              </w:rPr>
              <w:t>Random</w:t>
            </w:r>
          </w:p>
        </w:tc>
        <w:tc>
          <w:tcPr>
            <w:tcW w:type="dxa" w:w="907"/>
          </w:tcPr>
          <w:p>
            <w:pPr>
              <w:spacing w:line="240" w:lineRule="auto" w:after="40" w:before="40"/>
              <w:jc w:val="right"/>
            </w:pPr>
            <w:r>
              <w:rPr>
                <w:b w:val="0"/>
                <w:i w:val="0"/>
                <w:sz w:val="18"/>
              </w:rPr>
              <w:t>0.057</w:t>
            </w:r>
          </w:p>
        </w:tc>
        <w:tc>
          <w:tcPr>
            <w:tcW w:type="dxa" w:w="907"/>
          </w:tcPr>
          <w:p>
            <w:pPr>
              <w:spacing w:line="240" w:lineRule="auto" w:after="40" w:before="40"/>
              <w:jc w:val="right"/>
            </w:pPr>
            <w:r>
              <w:rPr>
                <w:b w:val="0"/>
                <w:i w:val="0"/>
                <w:sz w:val="18"/>
              </w:rPr>
              <w:t>0.053</w:t>
            </w:r>
          </w:p>
        </w:tc>
        <w:tc>
          <w:tcPr>
            <w:tcW w:type="dxa" w:w="964"/>
          </w:tcPr>
          <w:p>
            <w:pPr>
              <w:spacing w:line="240" w:lineRule="auto" w:after="40" w:before="40"/>
              <w:jc w:val="right"/>
            </w:pPr>
            <w:r>
              <w:rPr>
                <w:b w:val="0"/>
                <w:i w:val="0"/>
                <w:sz w:val="18"/>
              </w:rPr>
              <w:t>0.596</w:t>
            </w:r>
          </w:p>
        </w:tc>
        <w:tc>
          <w:tcPr>
            <w:tcW w:type="dxa" w:w="964"/>
          </w:tcPr>
          <w:p>
            <w:pPr>
              <w:spacing w:line="240" w:lineRule="auto" w:after="40" w:before="40"/>
              <w:jc w:val="right"/>
            </w:pPr>
            <w:r>
              <w:rPr>
                <w:b w:val="0"/>
                <w:i w:val="0"/>
                <w:sz w:val="18"/>
              </w:rPr>
              <w:t>0.003</w:t>
            </w:r>
          </w:p>
        </w:tc>
        <w:tc>
          <w:tcPr>
            <w:tcW w:type="dxa" w:w="1020"/>
          </w:tcPr>
          <w:p>
            <w:pPr>
              <w:spacing w:line="240" w:lineRule="auto" w:after="40" w:before="40"/>
              <w:jc w:val="right"/>
            </w:pPr>
            <w:r>
              <w:rPr>
                <w:b w:val="0"/>
                <w:i w:val="0"/>
                <w:sz w:val="18"/>
              </w:rPr>
              <w:t>0.962</w:t>
            </w:r>
          </w:p>
        </w:tc>
        <w:tc>
          <w:tcPr>
            <w:tcW w:type="dxa" w:w="1247"/>
          </w:tcPr>
          <w:p>
            <w:pPr>
              <w:spacing w:line="240" w:lineRule="auto" w:after="40" w:before="40"/>
              <w:jc w:val="right"/>
            </w:pPr>
            <w:r>
              <w:rPr>
                <w:b w:val="0"/>
                <w:i w:val="0"/>
                <w:sz w:val="18"/>
              </w:rPr>
              <w:t>80.9</w:t>
            </w:r>
          </w:p>
        </w:tc>
      </w:tr>
    </w:tbl>
    <w:p>
      <w:pPr>
        <w:spacing w:after="200" w:line="240" w:lineRule="auto" w:before="80"/>
        <w:jc w:val="left"/>
      </w:pPr>
      <w:r>
        <w:rPr>
          <w:b w:val="0"/>
          <w:i/>
          <w:sz w:val="18"/>
        </w:rPr>
        <w:t>MC: multi-criteria; the default includes acceptability (weights 0.6, 0.2, 0.2, 0.1). Shares of each top 10 meeting each criterion. Feasible: at most 60 minutes, 15 ingredients and 12 steps. Diversity: mean pairwise 1 − Jaccard of ingredient sets. Cuisine preferences are simulated because NHANES does not record them. Only the health-gated variants always meet every health reference. Weight sensitivity: median top-10 overlap with the default 0.78 over 36 weight combinations.</w:t>
      </w:r>
    </w:p>
    <w:p>
      <w:r>
        <w:rPr>
          <w:b/>
          <w:i w:val="0"/>
        </w:rPr>
        <w:t>Meal plans</w:t>
      </w:r>
      <w:r>
        <w:rPr>
          <w:b w:val="0"/>
          <w:i w:val="0"/>
        </w:rPr>
        <w:t xml:space="preserve"> give two main meals a day for seven days from recipes that meet every reference, practical recipes first. Each plan is checked for: every meal and every day meeting the references, a recipe at most twice and never on the same or consecutive days, different protein families within a day and at most three per week, and the requested cuisine. A patient may not have the ingredients, tools or taste for another cuisine, so the week is filled in three steps and stops at the first that completes it: (1) the patient's own cuisine only; (2) a favourite recipe may repeat; (3) only then, recipes from the most similar cuisines, each labelled as borrowed. Similarity is the cosine of the cuisines' ingredient profiles across the corpus, at least 0.8: American → Mexican (0.96); Canadian → Australian (0.90), European (0.90).</w:t>
      </w:r>
    </w:p>
    <w:p>
      <w:pPr>
        <w:pStyle w:val="Caption"/>
      </w:pPr>
      <w:r>
        <w:rPr>
          <w:b/>
        </w:rPr>
        <w:t xml:space="preserve">Table 8. </w:t>
      </w:r>
      <w:r>
        <w:t>Seven-day plans for the 300 patients aged 12–59.</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5669"/>
            <w:shd w:val="clear" w:color="auto" w:fill="EDEDED"/>
            <w:tcBorders>
              <w:bottom w:val="single" w:sz="6" w:space="0" w:color="000000"/>
            </w:tcBorders>
          </w:tcPr>
          <w:p>
            <w:pPr>
              <w:spacing w:line="240" w:lineRule="auto" w:after="40" w:before="40"/>
              <w:jc w:val="left"/>
            </w:pPr>
            <w:r>
              <w:rPr>
                <w:b/>
                <w:i w:val="0"/>
                <w:sz w:val="18"/>
              </w:rPr>
              <w:t>Check</w:t>
            </w:r>
          </w:p>
        </w:tc>
        <w:tc>
          <w:tcPr>
            <w:tcW w:type="dxa" w:w="2268"/>
            <w:shd w:val="clear" w:color="auto" w:fill="EDEDED"/>
            <w:tcBorders>
              <w:bottom w:val="single" w:sz="6" w:space="0" w:color="000000"/>
            </w:tcBorders>
          </w:tcPr>
          <w:p>
            <w:pPr>
              <w:spacing w:line="240" w:lineRule="auto" w:after="40" w:before="40"/>
              <w:jc w:val="right"/>
            </w:pPr>
            <w:r>
              <w:rPr>
                <w:b/>
                <w:i w:val="0"/>
                <w:sz w:val="18"/>
              </w:rPr>
              <w:t>Share of patients</w:t>
            </w:r>
          </w:p>
        </w:tc>
      </w:tr>
      <w:tr>
        <w:trPr>
          <w:cantSplit/>
        </w:trPr>
        <w:tc>
          <w:tcPr>
            <w:tcW w:type="dxa" w:w="5669"/>
          </w:tcPr>
          <w:p>
            <w:pPr>
              <w:spacing w:line="240" w:lineRule="auto" w:after="40" w:before="40"/>
              <w:jc w:val="left"/>
            </w:pPr>
            <w:r>
              <w:rPr>
                <w:b w:val="0"/>
                <w:i w:val="0"/>
                <w:sz w:val="18"/>
              </w:rPr>
              <w:t>Every meal meets the references</w:t>
            </w:r>
          </w:p>
        </w:tc>
        <w:tc>
          <w:tcPr>
            <w:tcW w:type="dxa" w:w="2268"/>
          </w:tcPr>
          <w:p>
            <w:pPr>
              <w:spacing w:line="240" w:lineRule="auto" w:after="40" w:before="40"/>
              <w:jc w:val="right"/>
            </w:pPr>
            <w:r>
              <w:rPr>
                <w:b w:val="0"/>
                <w:i w:val="0"/>
                <w:sz w:val="18"/>
              </w:rPr>
              <w:t>1.000</w:t>
            </w:r>
          </w:p>
        </w:tc>
      </w:tr>
      <w:tr>
        <w:trPr>
          <w:cantSplit/>
        </w:trPr>
        <w:tc>
          <w:tcPr>
            <w:tcW w:type="dxa" w:w="5669"/>
          </w:tcPr>
          <w:p>
            <w:pPr>
              <w:spacing w:line="240" w:lineRule="auto" w:after="40" w:before="40"/>
              <w:jc w:val="left"/>
            </w:pPr>
            <w:r>
              <w:rPr>
                <w:b w:val="0"/>
                <w:i w:val="0"/>
                <w:sz w:val="18"/>
              </w:rPr>
              <w:t>Every day meets the references</w:t>
            </w:r>
          </w:p>
        </w:tc>
        <w:tc>
          <w:tcPr>
            <w:tcW w:type="dxa" w:w="2268"/>
          </w:tcPr>
          <w:p>
            <w:pPr>
              <w:spacing w:line="240" w:lineRule="auto" w:after="40" w:before="40"/>
              <w:jc w:val="right"/>
            </w:pPr>
            <w:r>
              <w:rPr>
                <w:b w:val="0"/>
                <w:i w:val="0"/>
                <w:sz w:val="18"/>
              </w:rPr>
              <w:t>1.000</w:t>
            </w:r>
          </w:p>
        </w:tc>
      </w:tr>
      <w:tr>
        <w:trPr>
          <w:cantSplit/>
        </w:trPr>
        <w:tc>
          <w:tcPr>
            <w:tcW w:type="dxa" w:w="5669"/>
          </w:tcPr>
          <w:p>
            <w:pPr>
              <w:spacing w:line="240" w:lineRule="auto" w:after="40" w:before="40"/>
              <w:jc w:val="left"/>
            </w:pPr>
            <w:r>
              <w:rPr>
                <w:b w:val="0"/>
                <w:i w:val="0"/>
                <w:sz w:val="18"/>
              </w:rPr>
              <w:t>Repeats within limits; protein varied</w:t>
            </w:r>
          </w:p>
        </w:tc>
        <w:tc>
          <w:tcPr>
            <w:tcW w:type="dxa" w:w="2268"/>
          </w:tcPr>
          <w:p>
            <w:pPr>
              <w:spacing w:line="240" w:lineRule="auto" w:after="40" w:before="40"/>
              <w:jc w:val="right"/>
            </w:pPr>
            <w:r>
              <w:rPr>
                <w:b w:val="0"/>
                <w:i w:val="0"/>
                <w:sz w:val="18"/>
              </w:rPr>
              <w:t>1.000</w:t>
            </w:r>
          </w:p>
        </w:tc>
      </w:tr>
      <w:tr>
        <w:trPr>
          <w:cantSplit/>
        </w:trPr>
        <w:tc>
          <w:tcPr>
            <w:tcW w:type="dxa" w:w="5669"/>
          </w:tcPr>
          <w:p>
            <w:pPr>
              <w:spacing w:line="240" w:lineRule="auto" w:after="40" w:before="40"/>
              <w:jc w:val="left"/>
            </w:pPr>
            <w:r>
              <w:rPr>
                <w:b w:val="0"/>
                <w:i w:val="0"/>
                <w:sz w:val="18"/>
              </w:rPr>
              <w:t>Complete with own cuisine only (step 1)</w:t>
            </w:r>
          </w:p>
        </w:tc>
        <w:tc>
          <w:tcPr>
            <w:tcW w:type="dxa" w:w="2268"/>
          </w:tcPr>
          <w:p>
            <w:pPr>
              <w:spacing w:line="240" w:lineRule="auto" w:after="40" w:before="40"/>
              <w:jc w:val="right"/>
            </w:pPr>
            <w:r>
              <w:rPr>
                <w:b w:val="0"/>
                <w:i w:val="0"/>
                <w:sz w:val="18"/>
              </w:rPr>
              <w:t>0.583</w:t>
            </w:r>
          </w:p>
        </w:tc>
      </w:tr>
      <w:tr>
        <w:trPr>
          <w:cantSplit/>
        </w:trPr>
        <w:tc>
          <w:tcPr>
            <w:tcW w:type="dxa" w:w="5669"/>
          </w:tcPr>
          <w:p>
            <w:pPr>
              <w:spacing w:line="240" w:lineRule="auto" w:after="40" w:before="40"/>
              <w:jc w:val="left"/>
            </w:pPr>
            <w:r>
              <w:rPr>
                <w:b w:val="0"/>
                <w:i w:val="0"/>
                <w:sz w:val="18"/>
              </w:rPr>
              <w:t>Complete by step 2 (a favourite may repeat)</w:t>
            </w:r>
          </w:p>
        </w:tc>
        <w:tc>
          <w:tcPr>
            <w:tcW w:type="dxa" w:w="2268"/>
          </w:tcPr>
          <w:p>
            <w:pPr>
              <w:spacing w:line="240" w:lineRule="auto" w:after="40" w:before="40"/>
              <w:jc w:val="right"/>
            </w:pPr>
            <w:r>
              <w:rPr>
                <w:b w:val="0"/>
                <w:i w:val="0"/>
                <w:sz w:val="18"/>
              </w:rPr>
              <w:t>0.803</w:t>
            </w:r>
          </w:p>
        </w:tc>
      </w:tr>
      <w:tr>
        <w:trPr>
          <w:cantSplit/>
        </w:trPr>
        <w:tc>
          <w:tcPr>
            <w:tcW w:type="dxa" w:w="5669"/>
          </w:tcPr>
          <w:p>
            <w:pPr>
              <w:spacing w:line="240" w:lineRule="auto" w:after="40" w:before="40"/>
              <w:jc w:val="left"/>
            </w:pPr>
            <w:r>
              <w:rPr>
                <w:b w:val="0"/>
                <w:i w:val="0"/>
                <w:sz w:val="18"/>
              </w:rPr>
              <w:t>Complete by step 3 (similar cuisine allowed)</w:t>
            </w:r>
          </w:p>
        </w:tc>
        <w:tc>
          <w:tcPr>
            <w:tcW w:type="dxa" w:w="2268"/>
          </w:tcPr>
          <w:p>
            <w:pPr>
              <w:spacing w:line="240" w:lineRule="auto" w:after="40" w:before="40"/>
              <w:jc w:val="right"/>
            </w:pPr>
            <w:r>
              <w:rPr>
                <w:b w:val="0"/>
                <w:i w:val="0"/>
                <w:sz w:val="18"/>
              </w:rPr>
              <w:t>1.000</w:t>
            </w:r>
          </w:p>
        </w:tc>
      </w:tr>
    </w:tbl>
    <w:p>
      <w:pPr>
        <w:spacing w:after="200" w:line="240" w:lineRule="auto" w:before="80"/>
        <w:jc w:val="left"/>
      </w:pPr>
      <w:r>
        <w:rPr>
          <w:b w:val="0"/>
          <w:i/>
          <w:sz w:val="18"/>
        </w:rPr>
        <w:t>Asian, European and Mexican plans always complete at step 1; American plans complete at step 2 without borrowing; Canadian plans need step 3 and borrow 0.98 meals on average. Plans used 5.9 protein families and repeated 1.0 recipes on average; 81% of plan meals are within the practical limits.</w:t>
      </w:r>
    </w:p>
    <w:p>
      <w:pPr>
        <w:pStyle w:val="Caption"/>
      </w:pPr>
      <w:r>
        <w:rPr>
          <w:b/>
        </w:rPr>
        <w:t xml:space="preserve">Table 9. </w:t>
      </w:r>
      <w:r>
        <w:t>Example seven-day plan for SEQN 109349, American cuisine (completed at step 2).</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907"/>
            <w:shd w:val="clear" w:color="auto" w:fill="EDEDED"/>
            <w:tcBorders>
              <w:bottom w:val="single" w:sz="6" w:space="0" w:color="000000"/>
            </w:tcBorders>
          </w:tcPr>
          <w:p>
            <w:pPr>
              <w:spacing w:line="240" w:lineRule="auto" w:after="40" w:before="40"/>
              <w:jc w:val="left"/>
            </w:pPr>
            <w:r>
              <w:rPr>
                <w:b/>
                <w:i w:val="0"/>
                <w:sz w:val="17"/>
              </w:rPr>
              <w:t>Day</w:t>
            </w:r>
          </w:p>
        </w:tc>
        <w:tc>
          <w:tcPr>
            <w:tcW w:type="dxa" w:w="4082"/>
            <w:shd w:val="clear" w:color="auto" w:fill="EDEDED"/>
            <w:tcBorders>
              <w:bottom w:val="single" w:sz="6" w:space="0" w:color="000000"/>
            </w:tcBorders>
          </w:tcPr>
          <w:p>
            <w:pPr>
              <w:spacing w:line="240" w:lineRule="auto" w:after="40" w:before="40"/>
              <w:jc w:val="left"/>
            </w:pPr>
            <w:r>
              <w:rPr>
                <w:b/>
                <w:i w:val="0"/>
                <w:sz w:val="17"/>
              </w:rPr>
              <w:t>Meal 1</w:t>
            </w:r>
          </w:p>
        </w:tc>
        <w:tc>
          <w:tcPr>
            <w:tcW w:type="dxa" w:w="4082"/>
            <w:shd w:val="clear" w:color="auto" w:fill="EDEDED"/>
            <w:tcBorders>
              <w:bottom w:val="single" w:sz="6" w:space="0" w:color="000000"/>
            </w:tcBorders>
          </w:tcPr>
          <w:p>
            <w:pPr>
              <w:spacing w:line="240" w:lineRule="auto" w:after="40" w:before="40"/>
              <w:jc w:val="left"/>
            </w:pPr>
            <w:r>
              <w:rPr>
                <w:b/>
                <w:i w:val="0"/>
                <w:sz w:val="17"/>
              </w:rPr>
              <w:t>Meal 2</w:t>
            </w:r>
          </w:p>
        </w:tc>
      </w:tr>
      <w:tr>
        <w:trPr>
          <w:cantSplit/>
        </w:trPr>
        <w:tc>
          <w:tcPr>
            <w:tcW w:type="dxa" w:w="907"/>
          </w:tcPr>
          <w:p>
            <w:pPr>
              <w:spacing w:line="240" w:lineRule="auto" w:after="40" w:before="40"/>
              <w:jc w:val="left"/>
            </w:pPr>
            <w:r>
              <w:rPr>
                <w:b w:val="0"/>
                <w:i w:val="0"/>
                <w:sz w:val="17"/>
              </w:rPr>
              <w:t>Day 1</w:t>
            </w:r>
          </w:p>
        </w:tc>
        <w:tc>
          <w:tcPr>
            <w:tcW w:type="dxa" w:w="4082"/>
          </w:tcPr>
          <w:p>
            <w:pPr>
              <w:spacing w:line="240" w:lineRule="auto" w:after="40" w:before="40"/>
              <w:jc w:val="left"/>
            </w:pPr>
            <w:r>
              <w:rPr>
                <w:b w:val="0"/>
                <w:i w:val="0"/>
                <w:sz w:val="17"/>
              </w:rPr>
              <w:t>5 Ingredient Soup (legumes)</w:t>
            </w:r>
          </w:p>
        </w:tc>
        <w:tc>
          <w:tcPr>
            <w:tcW w:type="dxa" w:w="4082"/>
          </w:tcPr>
          <w:p>
            <w:pPr>
              <w:spacing w:line="240" w:lineRule="auto" w:after="40" w:before="40"/>
              <w:jc w:val="left"/>
            </w:pPr>
            <w:r>
              <w:rPr>
                <w:b w:val="0"/>
                <w:i w:val="0"/>
                <w:sz w:val="17"/>
              </w:rPr>
              <w:t>Chipotle Pinto Beans (pork) [repeat]</w:t>
            </w:r>
          </w:p>
        </w:tc>
      </w:tr>
      <w:tr>
        <w:trPr>
          <w:cantSplit/>
        </w:trPr>
        <w:tc>
          <w:tcPr>
            <w:tcW w:type="dxa" w:w="907"/>
          </w:tcPr>
          <w:p>
            <w:pPr>
              <w:spacing w:line="240" w:lineRule="auto" w:after="40" w:before="40"/>
              <w:jc w:val="left"/>
            </w:pPr>
            <w:r>
              <w:rPr>
                <w:b w:val="0"/>
                <w:i w:val="0"/>
                <w:sz w:val="17"/>
              </w:rPr>
              <w:t>Day 2</w:t>
            </w:r>
          </w:p>
        </w:tc>
        <w:tc>
          <w:tcPr>
            <w:tcW w:type="dxa" w:w="4082"/>
          </w:tcPr>
          <w:p>
            <w:pPr>
              <w:spacing w:line="240" w:lineRule="auto" w:after="40" w:before="40"/>
              <w:jc w:val="left"/>
            </w:pPr>
            <w:r>
              <w:rPr>
                <w:b w:val="0"/>
                <w:i w:val="0"/>
                <w:sz w:val="17"/>
              </w:rPr>
              <w:t>Veggie Tex-Mex Tortilla Wraps (legumes)</w:t>
            </w:r>
          </w:p>
        </w:tc>
        <w:tc>
          <w:tcPr>
            <w:tcW w:type="dxa" w:w="4082"/>
          </w:tcPr>
          <w:p>
            <w:pPr>
              <w:spacing w:line="240" w:lineRule="auto" w:after="40" w:before="40"/>
              <w:jc w:val="left"/>
            </w:pPr>
            <w:r>
              <w:rPr>
                <w:b w:val="0"/>
                <w:i w:val="0"/>
                <w:sz w:val="17"/>
              </w:rPr>
              <w:t>Huevos Rancheros Tostada (cheese) [repeat]</w:t>
            </w:r>
          </w:p>
        </w:tc>
      </w:tr>
      <w:tr>
        <w:trPr>
          <w:cantSplit/>
        </w:trPr>
        <w:tc>
          <w:tcPr>
            <w:tcW w:type="dxa" w:w="907"/>
          </w:tcPr>
          <w:p>
            <w:pPr>
              <w:spacing w:line="240" w:lineRule="auto" w:after="40" w:before="40"/>
              <w:jc w:val="left"/>
            </w:pPr>
            <w:r>
              <w:rPr>
                <w:b w:val="0"/>
                <w:i w:val="0"/>
                <w:sz w:val="17"/>
              </w:rPr>
              <w:t>Day 3</w:t>
            </w:r>
          </w:p>
        </w:tc>
        <w:tc>
          <w:tcPr>
            <w:tcW w:type="dxa" w:w="4082"/>
          </w:tcPr>
          <w:p>
            <w:pPr>
              <w:spacing w:line="240" w:lineRule="auto" w:after="40" w:before="40"/>
              <w:jc w:val="left"/>
            </w:pPr>
            <w:r>
              <w:rPr>
                <w:b w:val="0"/>
                <w:i w:val="0"/>
                <w:sz w:val="17"/>
              </w:rPr>
              <w:t>Black Bean and Couscous Salad (legumes)</w:t>
            </w:r>
          </w:p>
        </w:tc>
        <w:tc>
          <w:tcPr>
            <w:tcW w:type="dxa" w:w="4082"/>
          </w:tcPr>
          <w:p>
            <w:pPr>
              <w:spacing w:line="240" w:lineRule="auto" w:after="40" w:before="40"/>
              <w:jc w:val="left"/>
            </w:pPr>
            <w:r>
              <w:rPr>
                <w:b w:val="0"/>
                <w:i w:val="0"/>
                <w:sz w:val="17"/>
              </w:rPr>
              <w:t>Fiesta Taco Casserole (cheese)</w:t>
            </w:r>
          </w:p>
        </w:tc>
      </w:tr>
      <w:tr>
        <w:trPr>
          <w:cantSplit/>
        </w:trPr>
        <w:tc>
          <w:tcPr>
            <w:tcW w:type="dxa" w:w="907"/>
          </w:tcPr>
          <w:p>
            <w:pPr>
              <w:spacing w:line="240" w:lineRule="auto" w:after="40" w:before="40"/>
              <w:jc w:val="left"/>
            </w:pPr>
            <w:r>
              <w:rPr>
                <w:b w:val="0"/>
                <w:i w:val="0"/>
                <w:sz w:val="17"/>
              </w:rPr>
              <w:t>Day 4</w:t>
            </w:r>
          </w:p>
        </w:tc>
        <w:tc>
          <w:tcPr>
            <w:tcW w:type="dxa" w:w="4082"/>
          </w:tcPr>
          <w:p>
            <w:pPr>
              <w:spacing w:line="240" w:lineRule="auto" w:after="40" w:before="40"/>
              <w:jc w:val="left"/>
            </w:pPr>
            <w:r>
              <w:rPr>
                <w:b w:val="0"/>
                <w:i w:val="0"/>
                <w:sz w:val="17"/>
              </w:rPr>
              <w:t>Mexican Chicken Soup With Cilantro-Chile Cream (chicken)</w:t>
            </w:r>
          </w:p>
        </w:tc>
        <w:tc>
          <w:tcPr>
            <w:tcW w:type="dxa" w:w="4082"/>
          </w:tcPr>
          <w:p>
            <w:pPr>
              <w:spacing w:line="240" w:lineRule="auto" w:after="40" w:before="40"/>
              <w:jc w:val="left"/>
            </w:pPr>
            <w:r>
              <w:rPr>
                <w:b w:val="0"/>
                <w:i w:val="0"/>
                <w:sz w:val="17"/>
              </w:rPr>
              <w:t>Mexican Charro Beans (pork)</w:t>
            </w:r>
          </w:p>
        </w:tc>
      </w:tr>
      <w:tr>
        <w:trPr>
          <w:cantSplit/>
        </w:trPr>
        <w:tc>
          <w:tcPr>
            <w:tcW w:type="dxa" w:w="907"/>
          </w:tcPr>
          <w:p>
            <w:pPr>
              <w:spacing w:line="240" w:lineRule="auto" w:after="40" w:before="40"/>
              <w:jc w:val="left"/>
            </w:pPr>
            <w:r>
              <w:rPr>
                <w:b w:val="0"/>
                <w:i w:val="0"/>
                <w:sz w:val="17"/>
              </w:rPr>
              <w:t>Day 5</w:t>
            </w:r>
          </w:p>
        </w:tc>
        <w:tc>
          <w:tcPr>
            <w:tcW w:type="dxa" w:w="4082"/>
          </w:tcPr>
          <w:p>
            <w:pPr>
              <w:spacing w:line="240" w:lineRule="auto" w:after="40" w:before="40"/>
              <w:jc w:val="left"/>
            </w:pPr>
            <w:r>
              <w:rPr>
                <w:b w:val="0"/>
                <w:i w:val="0"/>
                <w:sz w:val="17"/>
              </w:rPr>
              <w:t>Southwest Chicken Black Bean Soup (chicken)</w:t>
            </w:r>
          </w:p>
        </w:tc>
        <w:tc>
          <w:tcPr>
            <w:tcW w:type="dxa" w:w="4082"/>
          </w:tcPr>
          <w:p>
            <w:pPr>
              <w:spacing w:line="240" w:lineRule="auto" w:after="40" w:before="40"/>
              <w:jc w:val="left"/>
            </w:pPr>
            <w:r>
              <w:rPr>
                <w:b w:val="0"/>
                <w:i w:val="0"/>
                <w:sz w:val="17"/>
              </w:rPr>
              <w:t>Ground Turkey Chili (turkey)</w:t>
            </w:r>
          </w:p>
        </w:tc>
      </w:tr>
      <w:tr>
        <w:trPr>
          <w:cantSplit/>
        </w:trPr>
        <w:tc>
          <w:tcPr>
            <w:tcW w:type="dxa" w:w="907"/>
          </w:tcPr>
          <w:p>
            <w:pPr>
              <w:spacing w:line="240" w:lineRule="auto" w:after="40" w:before="40"/>
              <w:jc w:val="left"/>
            </w:pPr>
            <w:r>
              <w:rPr>
                <w:b w:val="0"/>
                <w:i w:val="0"/>
                <w:sz w:val="17"/>
              </w:rPr>
              <w:t>Day 6</w:t>
            </w:r>
          </w:p>
        </w:tc>
        <w:tc>
          <w:tcPr>
            <w:tcW w:type="dxa" w:w="4082"/>
          </w:tcPr>
          <w:p>
            <w:pPr>
              <w:spacing w:line="240" w:lineRule="auto" w:after="40" w:before="40"/>
              <w:jc w:val="left"/>
            </w:pPr>
            <w:r>
              <w:rPr>
                <w:b w:val="0"/>
                <w:i w:val="0"/>
                <w:sz w:val="17"/>
              </w:rPr>
              <w:t>Slow Cooker Latin Chicken W/ Sweet Potatoes and Black Beans (chicken)</w:t>
            </w:r>
          </w:p>
        </w:tc>
        <w:tc>
          <w:tcPr>
            <w:tcW w:type="dxa" w:w="4082"/>
          </w:tcPr>
          <w:p>
            <w:pPr>
              <w:spacing w:line="240" w:lineRule="auto" w:after="40" w:before="40"/>
              <w:jc w:val="left"/>
            </w:pPr>
            <w:r>
              <w:rPr>
                <w:b w:val="0"/>
                <w:i w:val="0"/>
                <w:sz w:val="17"/>
              </w:rPr>
              <w:t>Crock Pot Posole (plant-based)</w:t>
            </w:r>
          </w:p>
        </w:tc>
      </w:tr>
      <w:tr>
        <w:trPr>
          <w:cantSplit/>
        </w:trPr>
        <w:tc>
          <w:tcPr>
            <w:tcW w:type="dxa" w:w="907"/>
          </w:tcPr>
          <w:p>
            <w:pPr>
              <w:spacing w:line="240" w:lineRule="auto" w:after="40" w:before="40"/>
              <w:jc w:val="left"/>
            </w:pPr>
            <w:r>
              <w:rPr>
                <w:b w:val="0"/>
                <w:i w:val="0"/>
                <w:sz w:val="17"/>
              </w:rPr>
              <w:t>Day 7</w:t>
            </w:r>
          </w:p>
        </w:tc>
        <w:tc>
          <w:tcPr>
            <w:tcW w:type="dxa" w:w="4082"/>
          </w:tcPr>
          <w:p>
            <w:pPr>
              <w:spacing w:line="240" w:lineRule="auto" w:after="40" w:before="40"/>
              <w:jc w:val="left"/>
            </w:pPr>
            <w:r>
              <w:rPr>
                <w:b w:val="0"/>
                <w:i w:val="0"/>
                <w:sz w:val="17"/>
              </w:rPr>
              <w:t>Chipotle Pinto Beans (pork) [repeat]</w:t>
            </w:r>
          </w:p>
        </w:tc>
        <w:tc>
          <w:tcPr>
            <w:tcW w:type="dxa" w:w="4082"/>
          </w:tcPr>
          <w:p>
            <w:pPr>
              <w:spacing w:line="240" w:lineRule="auto" w:after="40" w:before="40"/>
              <w:jc w:val="left"/>
            </w:pPr>
            <w:r>
              <w:rPr>
                <w:b w:val="0"/>
                <w:i w:val="0"/>
                <w:sz w:val="17"/>
              </w:rPr>
              <w:t>Huevos Rancheros Tostada (cheese) [repeat]</w:t>
            </w:r>
          </w:p>
        </w:tc>
      </w:tr>
    </w:tbl>
    <w:p>
      <w:pPr>
        <w:spacing w:after="200" w:line="240" w:lineRule="auto" w:before="80"/>
        <w:jc w:val="left"/>
      </w:pPr>
      <w:r>
        <w:rPr>
          <w:b w:val="0"/>
          <w:i/>
          <w:sz w:val="18"/>
        </w:rPr>
        <w:t>Protein family in brackets. Two favourites appear twice, never on consecutive days.</w:t>
      </w:r>
    </w:p>
    <w:p>
      <w:pPr>
        <w:pStyle w:val="Heading2"/>
      </w:pPr>
      <w:r>
        <w:t>7. Data Access Findings</w:t>
      </w:r>
    </w:p>
    <w:p>
      <w:pPr>
        <w:ind w:left="510" w:hanging="283"/>
      </w:pPr>
      <w:r>
        <w:rPr>
          <w:b w:val="0"/>
          <w:i w:val="0"/>
        </w:rPr>
        <w:t xml:space="preserve">• </w:t>
      </w:r>
      <w:r>
        <w:rPr>
          <w:b/>
          <w:i w:val="0"/>
        </w:rPr>
        <w:t>RecipeDB.</w:t>
      </w:r>
      <w:r>
        <w:rPr>
          <w:b w:val="0"/>
          <w:i w:val="0"/>
        </w:rPr>
        <w:t xml:space="preserve"> The API available to the project reports 20,000 recipes in total, and filtering by cuisine returns 19 Indian recipes — the same 20,000 already in the pipeline. Of the 9,844 scored main meals, only 565 meet every reference value and 324 of those have no specific cuisine label. Since the patient data are from the US population, US cuisines are the focus and the regional Indian expansion is now future work (§17.14).</w:t>
      </w:r>
    </w:p>
    <w:p>
      <w:pPr>
        <w:ind w:left="510" w:hanging="283"/>
      </w:pPr>
      <w:r>
        <w:rPr>
          <w:b w:val="0"/>
          <w:i w:val="0"/>
        </w:rPr>
        <w:t xml:space="preserve">• </w:t>
      </w:r>
      <w:r>
        <w:rPr>
          <w:b/>
          <w:i w:val="0"/>
        </w:rPr>
        <w:t>FPED.</w:t>
      </w:r>
      <w:r>
        <w:rPr>
          <w:b w:val="0"/>
          <w:i w:val="0"/>
        </w:rPr>
        <w:t xml:space="preserve"> USDA provides FPED only up to 2017–March 2020. For 2021–2023 it was derived from the individual-foods file (DR1IFF_L) and the 2017–2020 food-level database, validated against USDA's totals (Section 3), so added sugars and HEI-2020 are now available for both cycles.</w:t>
      </w:r>
    </w:p>
    <w:p>
      <w:pPr>
        <w:pStyle w:val="Heading2"/>
      </w:pPr>
      <w:r>
        <w:t>8. Limitations</w:t>
      </w:r>
    </w:p>
    <w:p>
      <w:pPr>
        <w:ind w:left="510" w:hanging="283"/>
      </w:pPr>
      <w:r>
        <w:rPr>
          <w:b w:val="0"/>
          <w:i w:val="0"/>
        </w:rPr>
        <w:t>• One 24-hour recall describes one day, not habitual intake; it is used only to move a priority by one level.</w:t>
      </w:r>
    </w:p>
    <w:p>
      <w:pPr>
        <w:ind w:left="510" w:hanging="283"/>
      </w:pPr>
      <w:r>
        <w:rPr>
          <w:b w:val="0"/>
          <w:i w:val="0"/>
        </w:rPr>
        <w:t>• Cuisine preferences in the evaluation are simulated; the pilot evaluation is the only test with real preferences.</w:t>
      </w:r>
    </w:p>
    <w:p>
      <w:pPr>
        <w:ind w:left="510" w:hanging="283"/>
      </w:pPr>
      <w:r>
        <w:rPr>
          <w:b w:val="0"/>
          <w:i w:val="0"/>
        </w:rPr>
        <w:t>• Scenario directions rest on evidence about dietary patterns sustained for weeks, not single recipes.</w:t>
      </w:r>
    </w:p>
    <w:p>
      <w:pPr>
        <w:ind w:left="510" w:hanging="283"/>
      </w:pPr>
      <w:r>
        <w:rPr>
          <w:b w:val="0"/>
          <w:i w:val="0"/>
        </w:rPr>
        <w:t>• Recipe sugars are total sugars, while the patient's sugar priority uses added sugars, matching the available data on each side.</w:t>
      </w:r>
    </w:p>
    <w:p>
      <w:pPr>
        <w:ind w:left="510" w:hanging="283"/>
      </w:pPr>
      <w:r>
        <w:rPr>
          <w:b w:val="0"/>
          <w:i w:val="0"/>
        </w:rPr>
        <w:t>• Derived FPED for 2021–2023 assumes each food code's 2017–2020 food-group values still apply; foods reformulated since then (for example, with less added sugar) would be slightly misestimated.</w:t>
      </w:r>
    </w:p>
    <w:p>
      <w:pPr>
        <w:ind w:left="510" w:hanging="283"/>
      </w:pPr>
      <w:r>
        <w:rPr>
          <w:b w:val="0"/>
          <w:i w:val="0"/>
        </w:rPr>
        <w:t>• The protein family is a keyword heuristic on the first protein ingredient and is sometimes wrong (for example, a chicken and feta pasta is labelled cheese).</w:t>
      </w:r>
    </w:p>
    <w:p>
      <w:pPr>
        <w:ind w:left="510" w:hanging="283"/>
      </w:pPr>
      <w:r>
        <w:rPr>
          <w:b w:val="0"/>
          <w:i w:val="0"/>
        </w:rPr>
        <w:t>• Repeating a favourite and borrowing from a similar cuisine are design choices not yet tested with users; the pilot evaluation should ask whether people would accept them.</w:t>
      </w:r>
    </w:p>
    <w:p>
      <w:pPr>
        <w:pStyle w:val="Heading2"/>
      </w:pPr>
      <w:r>
        <w:t>9. Decisions Taken This Week</w:t>
      </w:r>
    </w:p>
    <w:p>
      <w:r>
        <w:rPr>
          <w:b w:val="0"/>
          <w:i w:val="0"/>
        </w:rPr>
        <w:t>These decisions shape the results above; they are listed so that they can be confirmed or revisited.</w:t>
      </w:r>
    </w:p>
    <w:p>
      <w:pPr>
        <w:ind w:left="510" w:hanging="340"/>
      </w:pPr>
      <w:r>
        <w:rPr>
          <w:b w:val="0"/>
          <w:i w:val="0"/>
        </w:rPr>
        <w:t xml:space="preserve">1. </w:t>
      </w:r>
      <w:r>
        <w:rPr>
          <w:b/>
          <w:i w:val="0"/>
        </w:rPr>
        <w:t>Personalisation over the headline score.</w:t>
      </w:r>
      <w:r>
        <w:rPr>
          <w:b w:val="0"/>
          <w:i w:val="0"/>
        </w:rPr>
        <w:t xml:space="preserve"> The ranking now lets priority levels count inside the health gate, accepting 0.796 instead of 0.899 for the top 10 meeting all three criteria, because the 0.899 came from an engine that gave almost every patient the same list. A digital twin that ignores the patient is not personalised.</w:t>
      </w:r>
    </w:p>
    <w:p>
      <w:pPr>
        <w:ind w:left="510" w:hanging="340"/>
      </w:pPr>
      <w:r>
        <w:rPr>
          <w:b w:val="0"/>
          <w:i w:val="0"/>
        </w:rPr>
        <w:t xml:space="preserve">2. </w:t>
      </w:r>
      <w:r>
        <w:rPr>
          <w:b/>
          <w:i w:val="0"/>
        </w:rPr>
        <w:t>Acceptability in the default ranking</w:t>
      </w:r>
      <w:r>
        <w:rPr>
          <w:b w:val="0"/>
          <w:i w:val="0"/>
        </w:rPr>
        <w:t xml:space="preserve"> (weight 0.1): all three criteria 0.796 → 0.831, and recipes many people have rated well are preferred.</w:t>
      </w:r>
    </w:p>
    <w:p>
      <w:pPr>
        <w:ind w:left="510" w:hanging="340"/>
      </w:pPr>
      <w:r>
        <w:rPr>
          <w:b w:val="0"/>
          <w:i w:val="0"/>
        </w:rPr>
        <w:t xml:space="preserve">3. </w:t>
      </w:r>
      <w:r>
        <w:rPr>
          <w:b/>
          <w:i w:val="0"/>
        </w:rPr>
        <w:t>US cuisines first; Indian regional cuisines are future work.</w:t>
      </w:r>
      <w:r>
        <w:rPr>
          <w:b w:val="0"/>
          <w:i w:val="0"/>
        </w:rPr>
        <w:t xml:space="preserve"> The cohort is the US population and the available RecipeDB holds 19 Indian recipes.</w:t>
      </w:r>
    </w:p>
    <w:p>
      <w:pPr>
        <w:ind w:left="510" w:hanging="340"/>
      </w:pPr>
      <w:r>
        <w:rPr>
          <w:b w:val="0"/>
          <w:i w:val="0"/>
        </w:rPr>
        <w:t xml:space="preserve">4. </w:t>
      </w:r>
      <w:r>
        <w:rPr>
          <w:b/>
          <w:i w:val="0"/>
        </w:rPr>
        <w:t>Cuisine mixing only as a last resort.</w:t>
      </w:r>
      <w:r>
        <w:rPr>
          <w:b w:val="0"/>
          <w:i w:val="0"/>
        </w:rPr>
        <w:t xml:space="preserve"> Meal plans use the patient's own cuisine, then repeat a favourite, and only then borrow from the most similar cuisine by ingredients, labelling those meals.</w:t>
      </w:r>
    </w:p>
    <w:p>
      <w:pPr>
        <w:pStyle w:val="Heading2"/>
      </w:pPr>
      <w:r>
        <w:t>10. Next Steps (Meeting 10, Friday 30 October)</w:t>
      </w:r>
    </w:p>
    <w:p>
      <w:pPr>
        <w:ind w:left="510" w:hanging="283"/>
      </w:pPr>
      <w:r>
        <w:rPr>
          <w:b w:val="0"/>
          <w:i w:val="0"/>
        </w:rPr>
        <w:t>• Recruit the 5–10 pilot evaluators (carried over from meeting 9).</w:t>
      </w:r>
    </w:p>
    <w:p>
      <w:pPr>
        <w:ind w:left="510" w:hanging="283"/>
      </w:pPr>
      <w:r>
        <w:rPr>
          <w:b w:val="0"/>
          <w:i w:val="0"/>
        </w:rPr>
        <w:t>• Fibrosis risk (FIB-4) validated against measured liver stiffness, with the referral pathway (§17.2); MASLD/MetALD labelling and safety guardrails (§17.3).</w:t>
      </w:r>
    </w:p>
    <w:p>
      <w:pPr>
        <w:ind w:left="510" w:hanging="283"/>
      </w:pPr>
      <w:r>
        <w:rPr>
          <w:b w:val="0"/>
          <w:i w:val="0"/>
        </w:rPr>
        <w:t>• Per-patient SHAP and conformal CAP intervals (§17.4); the causal knowledge graph (§5.3).</w:t>
      </w:r>
    </w:p>
    <w:p>
      <w:pPr>
        <w:ind w:left="510" w:hanging="283"/>
      </w:pPr>
      <w:r>
        <w:rPr>
          <w:b w:val="0"/>
          <w:i w:val="0"/>
        </w:rPr>
        <w:t>• Knowledge-graph-traced recipe explanations (§7.3), grounded plain-language summaries (§17.7), and the improved cuisine and feasibility scores (§7.1).</w:t>
      </w:r>
    </w:p>
    <w:p>
      <w:pPr>
        <w:ind w:left="510" w:hanging="283"/>
      </w:pPr>
      <w:r>
        <w:rPr>
          <w:b w:val="0"/>
          <w:i w:val="0"/>
        </w:rPr>
        <w:t>• Download the NHANES III ultrasound and Linked Mortality Files and map variables (§17.9).</w:t>
      </w:r>
    </w:p>
    <w:p>
      <w:pPr>
        <w:spacing w:after="80"/>
      </w:pPr>
      <w:r>
        <w:rPr>
          <w:b/>
          <w:i w:val="0"/>
          <w:sz w:val="20"/>
        </w:rPr>
        <w:t>Reproducing these results:</w:t>
      </w:r>
      <w:r>
        <w:rPr>
          <w:b w:val="0"/>
          <w:i w:val="0"/>
          <w:sz w:val="20"/>
        </w:rPr>
        <w:t xml:space="preserve"> python -m src.build_habitual_diet --download; python -m src.evaluate_ranking (and --no-diet for the comparison run); python src/demo.py --seqn 109349 --cuisine European --plan.</w:t>
      </w:r>
    </w:p>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240" w:after="80"/>
      <w:jc w:val="left"/>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