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HepatoTwin: Progress Report</w:t>
      </w:r>
    </w:p>
    <w:p>
      <w:pPr>
        <w:spacing w:after="40"/>
        <w:jc w:val="center"/>
      </w:pPr>
      <w:r>
        <w:rPr>
          <w:b w:val="0"/>
          <w:i/>
        </w:rPr>
        <w:t>A digital twin for personalised, evidence-based dietary recommendations in MASLD</w:t>
      </w:r>
    </w:p>
    <w:p>
      <w:pPr>
        <w:spacing w:after="40"/>
        <w:jc w:val="center"/>
      </w:pPr>
      <w:r>
        <w:rPr>
          <w:b w:val="0"/>
          <w:i w:val="0"/>
        </w:rPr>
        <w:t>Work from 20 August to 22 October 2026 · Manojna and 24akshainie</w:t>
      </w:r>
    </w:p>
    <w:p>
      <w:pPr>
        <w:spacing w:after="280"/>
        <w:jc w:val="center"/>
      </w:pPr>
      <w:r>
        <w:rPr>
          <w:b w:val="0"/>
          <w:i w:val="0"/>
          <w:sz w:val="22"/>
        </w:rPr>
        <w:t>Code and data pipeline: https://github.com/manojna0012/HepatoTwin</w:t>
      </w:r>
    </w:p>
    <w:p>
      <w:pPr>
        <w:pStyle w:val="Heading2"/>
      </w:pPr>
      <w:r>
        <w:t>1. Summary</w:t>
      </w:r>
    </w:p>
    <w:p>
      <w:r>
        <w:rPr>
          <w:b w:val="0"/>
          <w:i w:val="0"/>
        </w:rPr>
        <w:t>HepatoTwin builds a patient-specific liver digital twin from routine clinical data and uses it to rank existing recipes by health relevance, cuisine compatibility and cooking feasibility for that patient. Nine weekly meetings are complete. Layers 1–5 of the seven-layer design are built and evaluated end to end; the visualisation (Layer 6) and dashboard (Layer 7) are scheduled for November.</w:t>
      </w:r>
    </w:p>
    <w:p>
      <w:pPr>
        <w:ind w:left="510" w:hanging="283"/>
      </w:pPr>
      <w:r>
        <w:rPr>
          <w:b w:val="0"/>
          <w:i w:val="0"/>
        </w:rPr>
        <w:t xml:space="preserve">• </w:t>
      </w:r>
      <w:r>
        <w:rPr>
          <w:b/>
          <w:i w:val="0"/>
        </w:rPr>
        <w:t>Liver state (Layer 2).</w:t>
      </w:r>
      <w:r>
        <w:rPr>
          <w:b w:val="0"/>
          <w:i w:val="0"/>
        </w:rPr>
        <w:t xml:space="preserve"> The model is intended for patients aged 12 to 59. On 1,236 held-out NHANES participants in that range (evaluated against reliable FibroScan examinations), the calibrated model detects steatosis with ROC-AUC 0.881 (CAP ≥ 248 dB/m) and 0.879 (CAP ≥ 280), above the Fatty Liver Index (0.861) and the Hepatic Steatosis Index (0.836). Performance held on participants examined two to six years after the training data (AUC 0.884).</w:t>
      </w:r>
    </w:p>
    <w:p>
      <w:pPr>
        <w:ind w:left="510" w:hanging="283"/>
      </w:pPr>
      <w:r>
        <w:rPr>
          <w:b w:val="0"/>
          <w:i w:val="0"/>
        </w:rPr>
        <w:t xml:space="preserve">• </w:t>
      </w:r>
      <w:r>
        <w:rPr>
          <w:b/>
          <w:i w:val="0"/>
        </w:rPr>
        <w:t>Exact CAP value.</w:t>
      </w:r>
      <w:r>
        <w:rPr>
          <w:b w:val="0"/>
          <w:i w:val="0"/>
        </w:rPr>
        <w:t xml:space="preserve"> Test R² 0.56 (95% CI 0.52–0.60) for ages 12–59; 0.59 in repeated cross-validation. More than 50 experiments with more variables, more participants, body-composition scans and other algorithms each moved R² by at most 0.01; the ceiling reflects what routine measurements contain, and the twin relies on the classification, not the exact value.</w:t>
      </w:r>
    </w:p>
    <w:p>
      <w:pPr>
        <w:ind w:left="510" w:hanging="283"/>
      </w:pPr>
      <w:r>
        <w:rPr>
          <w:b w:val="0"/>
          <w:i w:val="0"/>
        </w:rPr>
        <w:t xml:space="preserve">• </w:t>
      </w:r>
      <w:r>
        <w:rPr>
          <w:b/>
          <w:i w:val="0"/>
        </w:rPr>
        <w:t>Evidence engine (Layer 3).</w:t>
      </w:r>
      <w:r>
        <w:rPr>
          <w:b w:val="0"/>
          <w:i w:val="0"/>
        </w:rPr>
        <w:t xml:space="preserve"> 23 graded evidence rows from trials, meta-analyses and the EASL-EASD-EASO guideline drive four nutritional priorities, adjusted by each patient's own 24-hour dietary recall.</w:t>
      </w:r>
    </w:p>
    <w:p>
      <w:pPr>
        <w:ind w:left="510" w:hanging="283"/>
      </w:pPr>
      <w:r>
        <w:rPr>
          <w:b w:val="0"/>
          <w:i w:val="0"/>
        </w:rPr>
        <w:t xml:space="preserve">• </w:t>
      </w:r>
      <w:r>
        <w:rPr>
          <w:b/>
          <w:i w:val="0"/>
        </w:rPr>
        <w:t>Recipe ranking (Layer 4).</w:t>
      </w:r>
      <w:r>
        <w:rPr>
          <w:b w:val="0"/>
          <w:i w:val="0"/>
        </w:rPr>
        <w:t xml:space="preserve"> 0.831 of top-10 recipes meet all three criteria (health, cuisine, practicality), against 0.727 for plain weighted scoring and 0.003 for random selection; every recommended recipe meets every health reference.</w:t>
      </w:r>
    </w:p>
    <w:p>
      <w:pPr>
        <w:ind w:left="510" w:hanging="283"/>
      </w:pPr>
      <w:r>
        <w:rPr>
          <w:b w:val="0"/>
          <w:i w:val="0"/>
        </w:rPr>
        <w:t xml:space="preserve">• </w:t>
      </w:r>
      <w:r>
        <w:rPr>
          <w:b/>
          <w:i w:val="0"/>
        </w:rPr>
        <w:t>Scenarios (Layer 5) and meal plans.</w:t>
      </w:r>
      <w:r>
        <w:rPr>
          <w:b w:val="0"/>
          <w:i w:val="0"/>
        </w:rPr>
        <w:t xml:space="preserve"> “Recipe A versus B” comparisons give an evidence-graded direction, never an invented number. Seven-day plans are complete for 100% of patients and meet every nutritional and variety constraint.</w:t>
      </w:r>
    </w:p>
    <w:p>
      <w:pPr>
        <w:pStyle w:val="Heading2"/>
      </w:pPr>
      <w:r>
        <w:t>2. System Design and Status</w:t>
      </w:r>
    </w:p>
    <w:p>
      <w:pPr>
        <w:pStyle w:val="Caption"/>
      </w:pPr>
      <w:r>
        <w:rPr>
          <w:b/>
        </w:rPr>
        <w:t xml:space="preserve">Table 1. </w:t>
      </w:r>
      <w:r>
        <w:t>The seven layers of the proposal and their status on 22 October.</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494"/>
            <w:shd w:val="clear" w:color="auto" w:fill="EDEDED"/>
            <w:tcBorders>
              <w:bottom w:val="single" w:sz="6" w:space="0" w:color="000000"/>
            </w:tcBorders>
          </w:tcPr>
          <w:p>
            <w:pPr>
              <w:spacing w:line="240" w:lineRule="auto" w:after="40" w:before="40"/>
              <w:jc w:val="left"/>
            </w:pPr>
            <w:r>
              <w:rPr>
                <w:b/>
                <w:i w:val="0"/>
                <w:sz w:val="18"/>
              </w:rPr>
              <w:t>Layer</w:t>
            </w:r>
          </w:p>
        </w:tc>
        <w:tc>
          <w:tcPr>
            <w:tcW w:type="dxa" w:w="3912"/>
            <w:shd w:val="clear" w:color="auto" w:fill="EDEDED"/>
            <w:tcBorders>
              <w:bottom w:val="single" w:sz="6" w:space="0" w:color="000000"/>
            </w:tcBorders>
          </w:tcPr>
          <w:p>
            <w:pPr>
              <w:spacing w:line="240" w:lineRule="auto" w:after="40" w:before="40"/>
              <w:jc w:val="left"/>
            </w:pPr>
            <w:r>
              <w:rPr>
                <w:b/>
                <w:i w:val="0"/>
                <w:sz w:val="18"/>
              </w:rPr>
              <w:t>What it does</w:t>
            </w:r>
          </w:p>
        </w:tc>
        <w:tc>
          <w:tcPr>
            <w:tcW w:type="dxa" w:w="2608"/>
            <w:shd w:val="clear" w:color="auto" w:fill="EDEDED"/>
            <w:tcBorders>
              <w:bottom w:val="single" w:sz="6" w:space="0" w:color="000000"/>
            </w:tcBorders>
          </w:tcPr>
          <w:p>
            <w:pPr>
              <w:spacing w:line="240" w:lineRule="auto" w:after="40" w:before="40"/>
              <w:jc w:val="left"/>
            </w:pPr>
            <w:r>
              <w:rPr>
                <w:b/>
                <w:i w:val="0"/>
                <w:sz w:val="18"/>
              </w:rPr>
              <w:t>Status</w:t>
            </w:r>
          </w:p>
        </w:tc>
      </w:tr>
      <w:tr>
        <w:trPr>
          <w:cantSplit/>
        </w:trPr>
        <w:tc>
          <w:tcPr>
            <w:tcW w:type="dxa" w:w="2494"/>
          </w:tcPr>
          <w:p>
            <w:pPr>
              <w:spacing w:line="240" w:lineRule="auto" w:after="40" w:before="40"/>
              <w:jc w:val="left"/>
            </w:pPr>
            <w:r>
              <w:rPr>
                <w:b w:val="0"/>
                <w:i w:val="0"/>
                <w:sz w:val="18"/>
              </w:rPr>
              <w:t>1. Patient state</w:t>
            </w:r>
          </w:p>
        </w:tc>
        <w:tc>
          <w:tcPr>
            <w:tcW w:type="dxa" w:w="3912"/>
          </w:tcPr>
          <w:p>
            <w:pPr>
              <w:spacing w:line="240" w:lineRule="auto" w:after="40" w:before="40"/>
              <w:jc w:val="left"/>
            </w:pPr>
            <w:r>
              <w:rPr>
                <w:b w:val="0"/>
                <w:i w:val="0"/>
                <w:sz w:val="18"/>
              </w:rPr>
              <w:t>Clinical, demographic and dietary data per patient</w:t>
            </w:r>
          </w:p>
        </w:tc>
        <w:tc>
          <w:tcPr>
            <w:tcW w:type="dxa" w:w="2608"/>
          </w:tcPr>
          <w:p>
            <w:pPr>
              <w:spacing w:line="240" w:lineRule="auto" w:after="40" w:before="40"/>
              <w:jc w:val="left"/>
            </w:pPr>
            <w:r>
              <w:rPr>
                <w:b w:val="0"/>
                <w:i w:val="0"/>
                <w:sz w:val="18"/>
              </w:rPr>
              <w:t>Done</w:t>
            </w:r>
          </w:p>
        </w:tc>
      </w:tr>
      <w:tr>
        <w:trPr>
          <w:cantSplit/>
        </w:trPr>
        <w:tc>
          <w:tcPr>
            <w:tcW w:type="dxa" w:w="2494"/>
          </w:tcPr>
          <w:p>
            <w:pPr>
              <w:spacing w:line="240" w:lineRule="auto" w:after="40" w:before="40"/>
              <w:jc w:val="left"/>
            </w:pPr>
            <w:r>
              <w:rPr>
                <w:b w:val="0"/>
                <w:i w:val="0"/>
                <w:sz w:val="18"/>
              </w:rPr>
              <w:t>2. Liver twin, current state</w:t>
            </w:r>
          </w:p>
        </w:tc>
        <w:tc>
          <w:tcPr>
            <w:tcW w:type="dxa" w:w="3912"/>
          </w:tcPr>
          <w:p>
            <w:pPr>
              <w:spacing w:line="240" w:lineRule="auto" w:after="40" w:before="40"/>
              <w:jc w:val="left"/>
            </w:pPr>
            <w:r>
              <w:rPr>
                <w:b w:val="0"/>
                <w:i w:val="0"/>
                <w:sz w:val="18"/>
              </w:rPr>
              <w:t>CAP estimate and calibrated steatosis probabilities; SHAP explanations</w:t>
            </w:r>
          </w:p>
        </w:tc>
        <w:tc>
          <w:tcPr>
            <w:tcW w:type="dxa" w:w="2608"/>
          </w:tcPr>
          <w:p>
            <w:pPr>
              <w:spacing w:line="240" w:lineRule="auto" w:after="40" w:before="40"/>
              <w:jc w:val="left"/>
            </w:pPr>
            <w:r>
              <w:rPr>
                <w:b w:val="0"/>
                <w:i w:val="0"/>
                <w:sz w:val="18"/>
              </w:rPr>
              <w:t>Done; fibrosis risk (FIB-4) and causal graph in meeting 10</w:t>
            </w:r>
          </w:p>
        </w:tc>
      </w:tr>
      <w:tr>
        <w:trPr>
          <w:cantSplit/>
        </w:trPr>
        <w:tc>
          <w:tcPr>
            <w:tcW w:type="dxa" w:w="2494"/>
          </w:tcPr>
          <w:p>
            <w:pPr>
              <w:spacing w:line="240" w:lineRule="auto" w:after="40" w:before="40"/>
              <w:jc w:val="left"/>
            </w:pPr>
            <w:r>
              <w:rPr>
                <w:b w:val="0"/>
                <w:i w:val="0"/>
                <w:sz w:val="18"/>
              </w:rPr>
              <w:t>3. Evidence engine</w:t>
            </w:r>
          </w:p>
        </w:tc>
        <w:tc>
          <w:tcPr>
            <w:tcW w:type="dxa" w:w="3912"/>
          </w:tcPr>
          <w:p>
            <w:pPr>
              <w:spacing w:line="240" w:lineRule="auto" w:after="40" w:before="40"/>
              <w:jc w:val="left"/>
            </w:pPr>
            <w:r>
              <w:rPr>
                <w:b w:val="0"/>
                <w:i w:val="0"/>
                <w:sz w:val="18"/>
              </w:rPr>
              <w:t>Patient state → evidence-graded nutritional priorities</w:t>
            </w:r>
          </w:p>
        </w:tc>
        <w:tc>
          <w:tcPr>
            <w:tcW w:type="dxa" w:w="2608"/>
          </w:tcPr>
          <w:p>
            <w:pPr>
              <w:spacing w:line="240" w:lineRule="auto" w:after="40" w:before="40"/>
              <w:jc w:val="left"/>
            </w:pPr>
            <w:r>
              <w:rPr>
                <w:b w:val="0"/>
                <w:i w:val="0"/>
                <w:sz w:val="18"/>
              </w:rPr>
              <w:t>Done</w:t>
            </w:r>
          </w:p>
        </w:tc>
      </w:tr>
      <w:tr>
        <w:trPr>
          <w:cantSplit/>
        </w:trPr>
        <w:tc>
          <w:tcPr>
            <w:tcW w:type="dxa" w:w="2494"/>
          </w:tcPr>
          <w:p>
            <w:pPr>
              <w:spacing w:line="240" w:lineRule="auto" w:after="40" w:before="40"/>
              <w:jc w:val="left"/>
            </w:pPr>
            <w:r>
              <w:rPr>
                <w:b w:val="0"/>
                <w:i w:val="0"/>
                <w:sz w:val="18"/>
              </w:rPr>
              <w:t>4. Recipe ranking (NutriTwin)</w:t>
            </w:r>
          </w:p>
        </w:tc>
        <w:tc>
          <w:tcPr>
            <w:tcW w:type="dxa" w:w="3912"/>
          </w:tcPr>
          <w:p>
            <w:pPr>
              <w:spacing w:line="240" w:lineRule="auto" w:after="40" w:before="40"/>
              <w:jc w:val="left"/>
            </w:pPr>
            <w:r>
              <w:rPr>
                <w:b w:val="0"/>
                <w:i w:val="0"/>
                <w:sz w:val="18"/>
              </w:rPr>
              <w:t>Health, cuisine, feasibility and acceptability over RecipeDB</w:t>
            </w:r>
          </w:p>
        </w:tc>
        <w:tc>
          <w:tcPr>
            <w:tcW w:type="dxa" w:w="2608"/>
          </w:tcPr>
          <w:p>
            <w:pPr>
              <w:spacing w:line="240" w:lineRule="auto" w:after="40" w:before="40"/>
              <w:jc w:val="left"/>
            </w:pPr>
            <w:r>
              <w:rPr>
                <w:b w:val="0"/>
                <w:i w:val="0"/>
                <w:sz w:val="18"/>
              </w:rPr>
              <w:t>Done; richer cuisine and feasibility scores in meeting 10</w:t>
            </w:r>
          </w:p>
        </w:tc>
      </w:tr>
      <w:tr>
        <w:trPr>
          <w:cantSplit/>
        </w:trPr>
        <w:tc>
          <w:tcPr>
            <w:tcW w:type="dxa" w:w="2494"/>
          </w:tcPr>
          <w:p>
            <w:pPr>
              <w:spacing w:line="240" w:lineRule="auto" w:after="40" w:before="40"/>
              <w:jc w:val="left"/>
            </w:pPr>
            <w:r>
              <w:rPr>
                <w:b w:val="0"/>
                <w:i w:val="0"/>
                <w:sz w:val="18"/>
              </w:rPr>
              <w:t>5. Scenario engine</w:t>
            </w:r>
          </w:p>
        </w:tc>
        <w:tc>
          <w:tcPr>
            <w:tcW w:type="dxa" w:w="3912"/>
          </w:tcPr>
          <w:p>
            <w:pPr>
              <w:spacing w:line="240" w:lineRule="auto" w:after="40" w:before="40"/>
              <w:jc w:val="left"/>
            </w:pPr>
            <w:r>
              <w:rPr>
                <w:b w:val="0"/>
                <w:i w:val="0"/>
                <w:sz w:val="18"/>
              </w:rPr>
              <w:t>“If I choose recipes A instead of B” → evidence-graded direction</w:t>
            </w:r>
          </w:p>
        </w:tc>
        <w:tc>
          <w:tcPr>
            <w:tcW w:type="dxa" w:w="2608"/>
          </w:tcPr>
          <w:p>
            <w:pPr>
              <w:spacing w:line="240" w:lineRule="auto" w:after="40" w:before="40"/>
              <w:jc w:val="left"/>
            </w:pPr>
            <w:r>
              <w:rPr>
                <w:b w:val="0"/>
                <w:i w:val="0"/>
                <w:sz w:val="18"/>
              </w:rPr>
              <w:t>Done</w:t>
            </w:r>
          </w:p>
        </w:tc>
      </w:tr>
      <w:tr>
        <w:trPr>
          <w:cantSplit/>
        </w:trPr>
        <w:tc>
          <w:tcPr>
            <w:tcW w:type="dxa" w:w="2494"/>
          </w:tcPr>
          <w:p>
            <w:pPr>
              <w:spacing w:line="240" w:lineRule="auto" w:after="40" w:before="40"/>
              <w:jc w:val="left"/>
            </w:pPr>
            <w:r>
              <w:rPr>
                <w:b w:val="0"/>
                <w:i w:val="0"/>
                <w:sz w:val="18"/>
              </w:rPr>
              <w:t>6. 3D visualisation</w:t>
            </w:r>
          </w:p>
        </w:tc>
        <w:tc>
          <w:tcPr>
            <w:tcW w:type="dxa" w:w="3912"/>
          </w:tcPr>
          <w:p>
            <w:pPr>
              <w:spacing w:line="240" w:lineRule="auto" w:after="40" w:before="40"/>
              <w:jc w:val="left"/>
            </w:pPr>
            <w:r>
              <w:rPr>
                <w:b w:val="0"/>
                <w:i w:val="0"/>
                <w:sz w:val="18"/>
              </w:rPr>
              <w:t>Liver coloured by grade, with a timeline slider</w:t>
            </w:r>
          </w:p>
        </w:tc>
        <w:tc>
          <w:tcPr>
            <w:tcW w:type="dxa" w:w="2608"/>
          </w:tcPr>
          <w:p>
            <w:pPr>
              <w:spacing w:line="240" w:lineRule="auto" w:after="40" w:before="40"/>
              <w:jc w:val="left"/>
            </w:pPr>
            <w:r>
              <w:rPr>
                <w:b w:val="0"/>
                <w:i w:val="0"/>
                <w:sz w:val="18"/>
              </w:rPr>
              <w:t>Meeting 11</w:t>
            </w:r>
          </w:p>
        </w:tc>
      </w:tr>
      <w:tr>
        <w:trPr>
          <w:cantSplit/>
        </w:trPr>
        <w:tc>
          <w:tcPr>
            <w:tcW w:type="dxa" w:w="2494"/>
          </w:tcPr>
          <w:p>
            <w:pPr>
              <w:spacing w:line="240" w:lineRule="auto" w:after="40" w:before="40"/>
              <w:jc w:val="left"/>
            </w:pPr>
            <w:r>
              <w:rPr>
                <w:b w:val="0"/>
                <w:i w:val="0"/>
                <w:sz w:val="18"/>
              </w:rPr>
              <w:t>7. Dashboard</w:t>
            </w:r>
          </w:p>
        </w:tc>
        <w:tc>
          <w:tcPr>
            <w:tcW w:type="dxa" w:w="3912"/>
          </w:tcPr>
          <w:p>
            <w:pPr>
              <w:spacing w:line="240" w:lineRule="auto" w:after="40" w:before="40"/>
              <w:jc w:val="left"/>
            </w:pPr>
            <w:r>
              <w:rPr>
                <w:b w:val="0"/>
                <w:i w:val="0"/>
                <w:sz w:val="18"/>
              </w:rPr>
              <w:t>Patient-facing explanations and comparisons</w:t>
            </w:r>
          </w:p>
        </w:tc>
        <w:tc>
          <w:tcPr>
            <w:tcW w:type="dxa" w:w="2608"/>
          </w:tcPr>
          <w:p>
            <w:pPr>
              <w:spacing w:line="240" w:lineRule="auto" w:after="40" w:before="40"/>
              <w:jc w:val="left"/>
            </w:pPr>
            <w:r>
              <w:rPr>
                <w:b w:val="0"/>
                <w:i w:val="0"/>
                <w:sz w:val="18"/>
              </w:rPr>
              <w:t>Meeting 11</w:t>
            </w:r>
          </w:p>
        </w:tc>
      </w:tr>
    </w:tbl>
    <w:p>
      <w:pPr>
        <w:spacing w:after="40"/>
      </w:pPr>
    </w:p>
    <w:p>
      <w:pPr>
        <w:pStyle w:val="Heading2"/>
      </w:pPr>
      <w:r>
        <w:t>3. Progress by Meeting</w:t>
      </w:r>
    </w:p>
    <w:p>
      <w:pPr>
        <w:pStyle w:val="Caption"/>
      </w:pPr>
      <w:r>
        <w:rPr>
          <w:b/>
        </w:rPr>
        <w:t xml:space="preserve">Table 2. </w:t>
      </w:r>
      <w:r>
        <w:t>Planned work and what was delivered (Task 1: twin state and evidence; Task 2: recipes).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1361"/>
            <w:shd w:val="clear" w:color="auto" w:fill="EDEDED"/>
            <w:tcBorders>
              <w:bottom w:val="single" w:sz="6" w:space="0" w:color="000000"/>
            </w:tcBorders>
          </w:tcPr>
          <w:p>
            <w:pPr>
              <w:spacing w:line="240" w:lineRule="auto" w:after="40" w:before="40"/>
              <w:jc w:val="left"/>
            </w:pPr>
            <w:r>
              <w:rPr>
                <w:b/>
                <w:i w:val="0"/>
                <w:sz w:val="18"/>
              </w:rPr>
              <w:t>Meeting</w:t>
            </w:r>
          </w:p>
        </w:tc>
        <w:tc>
          <w:tcPr>
            <w:tcW w:type="dxa" w:w="3969"/>
            <w:shd w:val="clear" w:color="auto" w:fill="EDEDED"/>
            <w:tcBorders>
              <w:bottom w:val="single" w:sz="6" w:space="0" w:color="000000"/>
            </w:tcBorders>
          </w:tcPr>
          <w:p>
            <w:pPr>
              <w:spacing w:line="240" w:lineRule="auto" w:after="40" w:before="40"/>
              <w:jc w:val="left"/>
            </w:pPr>
            <w:r>
              <w:rPr>
                <w:b/>
                <w:i w:val="0"/>
                <w:sz w:val="18"/>
              </w:rPr>
              <w:t>Planned</w:t>
            </w:r>
          </w:p>
        </w:tc>
        <w:tc>
          <w:tcPr>
            <w:tcW w:type="dxa" w:w="3685"/>
            <w:shd w:val="clear" w:color="auto" w:fill="EDEDED"/>
            <w:tcBorders>
              <w:bottom w:val="single" w:sz="6" w:space="0" w:color="000000"/>
            </w:tcBorders>
          </w:tcPr>
          <w:p>
            <w:pPr>
              <w:spacing w:line="240" w:lineRule="auto" w:after="40" w:before="40"/>
              <w:jc w:val="left"/>
            </w:pPr>
            <w:r>
              <w:rPr>
                <w:b/>
                <w:i w:val="0"/>
                <w:sz w:val="18"/>
              </w:rPr>
              <w:t>Delivered</w:t>
            </w:r>
          </w:p>
        </w:tc>
      </w:tr>
      <w:tr>
        <w:trPr>
          <w:cantSplit/>
        </w:trPr>
        <w:tc>
          <w:tcPr>
            <w:tcW w:type="dxa" w:w="1361"/>
          </w:tcPr>
          <w:p>
            <w:pPr>
              <w:spacing w:line="240" w:lineRule="auto" w:after="40" w:before="40"/>
              <w:jc w:val="left"/>
            </w:pPr>
            <w:r>
              <w:rPr>
                <w:b w:val="0"/>
                <w:i w:val="0"/>
                <w:sz w:val="18"/>
              </w:rPr>
              <w:t>1 · 21 Aug</w:t>
            </w:r>
          </w:p>
        </w:tc>
        <w:tc>
          <w:tcPr>
            <w:tcW w:type="dxa" w:w="3969"/>
          </w:tcPr>
          <w:p>
            <w:pPr>
              <w:spacing w:line="240" w:lineRule="auto" w:after="40" w:before="40"/>
              <w:jc w:val="left"/>
            </w:pPr>
            <w:r>
              <w:rPr>
                <w:b w:val="0"/>
                <w:i w:val="0"/>
                <w:sz w:val="18"/>
              </w:rPr>
              <w:t>NHANES download and linking; RecipeDB access</w:t>
            </w:r>
          </w:p>
        </w:tc>
        <w:tc>
          <w:tcPr>
            <w:tcW w:type="dxa" w:w="3685"/>
          </w:tcPr>
          <w:p>
            <w:pPr>
              <w:spacing w:line="240" w:lineRule="auto" w:after="40" w:before="40"/>
              <w:jc w:val="left"/>
            </w:pPr>
            <w:r>
              <w:rPr>
                <w:b w:val="0"/>
                <w:i w:val="0"/>
                <w:sz w:val="18"/>
              </w:rPr>
              <w:t>Done</w:t>
            </w:r>
          </w:p>
        </w:tc>
      </w:tr>
      <w:tr>
        <w:trPr>
          <w:cantSplit/>
        </w:trPr>
        <w:tc>
          <w:tcPr>
            <w:tcW w:type="dxa" w:w="1361"/>
          </w:tcPr>
          <w:p>
            <w:pPr>
              <w:spacing w:line="240" w:lineRule="auto" w:after="40" w:before="40"/>
              <w:jc w:val="left"/>
            </w:pPr>
            <w:r>
              <w:rPr>
                <w:b w:val="0"/>
                <w:i w:val="0"/>
                <w:sz w:val="18"/>
              </w:rPr>
              <w:t>2 · 28 Aug</w:t>
            </w:r>
          </w:p>
        </w:tc>
        <w:tc>
          <w:tcPr>
            <w:tcW w:type="dxa" w:w="3969"/>
          </w:tcPr>
          <w:p>
            <w:pPr>
              <w:spacing w:line="240" w:lineRule="auto" w:after="40" w:before="40"/>
              <w:jc w:val="left"/>
            </w:pPr>
            <w:r>
              <w:rPr>
                <w:b w:val="0"/>
                <w:i w:val="0"/>
                <w:sz w:val="18"/>
              </w:rPr>
              <w:t>CAP exploratory analysis and preprocessing; recipe resources reviewed</w:t>
            </w:r>
          </w:p>
        </w:tc>
        <w:tc>
          <w:tcPr>
            <w:tcW w:type="dxa" w:w="3685"/>
          </w:tcPr>
          <w:p>
            <w:pPr>
              <w:spacing w:line="240" w:lineRule="auto" w:after="40" w:before="40"/>
              <w:jc w:val="left"/>
            </w:pPr>
            <w:r>
              <w:rPr>
                <w:b w:val="0"/>
                <w:i w:val="0"/>
                <w:sz w:val="18"/>
              </w:rPr>
              <w:t>Done (CAP distribution, demographics, correlations)</w:t>
            </w:r>
          </w:p>
        </w:tc>
      </w:tr>
      <w:tr>
        <w:trPr>
          <w:cantSplit/>
        </w:trPr>
        <w:tc>
          <w:tcPr>
            <w:tcW w:type="dxa" w:w="1361"/>
          </w:tcPr>
          <w:p>
            <w:pPr>
              <w:spacing w:line="240" w:lineRule="auto" w:after="40" w:before="40"/>
              <w:jc w:val="left"/>
            </w:pPr>
            <w:r>
              <w:rPr>
                <w:b w:val="0"/>
                <w:i w:val="0"/>
                <w:sz w:val="18"/>
              </w:rPr>
              <w:t>3 · 3 Sep</w:t>
            </w:r>
          </w:p>
        </w:tc>
        <w:tc>
          <w:tcPr>
            <w:tcW w:type="dxa" w:w="3969"/>
          </w:tcPr>
          <w:p>
            <w:pPr>
              <w:spacing w:line="240" w:lineRule="auto" w:after="40" w:before="40"/>
              <w:jc w:val="left"/>
            </w:pPr>
            <w:r>
              <w:rPr>
                <w:b w:val="0"/>
                <w:i w:val="0"/>
                <w:sz w:val="18"/>
              </w:rPr>
              <w:t>First baseline model; RecipeDB parser</w:t>
            </w:r>
          </w:p>
        </w:tc>
        <w:tc>
          <w:tcPr>
            <w:tcW w:type="dxa" w:w="3685"/>
          </w:tcPr>
          <w:p>
            <w:pPr>
              <w:spacing w:line="240" w:lineRule="auto" w:after="40" w:before="40"/>
              <w:jc w:val="left"/>
            </w:pPr>
            <w:r>
              <w:rPr>
                <w:b w:val="0"/>
                <w:i w:val="0"/>
                <w:sz w:val="18"/>
              </w:rPr>
              <w:t>Done (XGBoost baseline R² 0.49; parser for metadata, ingredients, nutrition, instructions)</w:t>
            </w:r>
          </w:p>
        </w:tc>
      </w:tr>
      <w:tr>
        <w:trPr>
          <w:cantSplit/>
        </w:trPr>
        <w:tc>
          <w:tcPr>
            <w:tcW w:type="dxa" w:w="1361"/>
          </w:tcPr>
          <w:p>
            <w:pPr>
              <w:spacing w:line="240" w:lineRule="auto" w:after="40" w:before="40"/>
              <w:jc w:val="left"/>
            </w:pPr>
            <w:r>
              <w:rPr>
                <w:b w:val="0"/>
                <w:i w:val="0"/>
                <w:sz w:val="18"/>
              </w:rPr>
              <w:t>4 · 11 Sep</w:t>
            </w:r>
          </w:p>
        </w:tc>
        <w:tc>
          <w:tcPr>
            <w:tcW w:type="dxa" w:w="3969"/>
          </w:tcPr>
          <w:p>
            <w:pPr>
              <w:spacing w:line="240" w:lineRule="auto" w:after="40" w:before="40"/>
              <w:jc w:val="left"/>
            </w:pPr>
            <w:r>
              <w:rPr>
                <w:b w:val="0"/>
                <w:i w:val="0"/>
                <w:sz w:val="18"/>
              </w:rPr>
              <w:t>Compare baselines; internal recipe representation</w:t>
            </w:r>
          </w:p>
        </w:tc>
        <w:tc>
          <w:tcPr>
            <w:tcW w:type="dxa" w:w="3685"/>
          </w:tcPr>
          <w:p>
            <w:pPr>
              <w:spacing w:line="240" w:lineRule="auto" w:after="40" w:before="40"/>
              <w:jc w:val="left"/>
            </w:pPr>
            <w:r>
              <w:rPr>
                <w:b w:val="0"/>
                <w:i w:val="0"/>
                <w:sz w:val="18"/>
              </w:rPr>
              <w:t>Done (XGBoost vs linear and random forest)</w:t>
            </w:r>
          </w:p>
        </w:tc>
      </w:tr>
      <w:tr>
        <w:trPr>
          <w:cantSplit/>
        </w:trPr>
        <w:tc>
          <w:tcPr>
            <w:tcW w:type="dxa" w:w="1361"/>
          </w:tcPr>
          <w:p>
            <w:pPr>
              <w:spacing w:line="240" w:lineRule="auto" w:after="40" w:before="40"/>
              <w:jc w:val="left"/>
            </w:pPr>
            <w:r>
              <w:rPr>
                <w:b w:val="0"/>
                <w:i w:val="0"/>
                <w:sz w:val="18"/>
              </w:rPr>
              <w:t>5 · 18 Sep</w:t>
            </w:r>
          </w:p>
        </w:tc>
        <w:tc>
          <w:tcPr>
            <w:tcW w:type="dxa" w:w="3969"/>
          </w:tcPr>
          <w:p>
            <w:pPr>
              <w:spacing w:line="240" w:lineRule="auto" w:after="40" w:before="40"/>
              <w:jc w:val="left"/>
            </w:pPr>
            <w:r>
              <w:rPr>
                <w:b w:val="0"/>
                <w:i w:val="0"/>
                <w:sz w:val="18"/>
              </w:rPr>
              <w:t>Finalise first model; recipe nutritional profiles</w:t>
            </w:r>
          </w:p>
        </w:tc>
        <w:tc>
          <w:tcPr>
            <w:tcW w:type="dxa" w:w="3685"/>
          </w:tcPr>
          <w:p>
            <w:pPr>
              <w:spacing w:line="240" w:lineRule="auto" w:after="40" w:before="40"/>
              <w:jc w:val="left"/>
            </w:pPr>
            <w:r>
              <w:rPr>
                <w:b w:val="0"/>
                <w:i w:val="0"/>
                <w:sz w:val="18"/>
              </w:rPr>
              <w:t>Done</w:t>
            </w:r>
          </w:p>
        </w:tc>
      </w:tr>
      <w:tr>
        <w:trPr>
          <w:cantSplit/>
        </w:trPr>
        <w:tc>
          <w:tcPr>
            <w:tcW w:type="dxa" w:w="1361"/>
          </w:tcPr>
          <w:p>
            <w:pPr>
              <w:spacing w:line="240" w:lineRule="auto" w:after="40" w:before="40"/>
              <w:jc w:val="left"/>
            </w:pPr>
            <w:r>
              <w:rPr>
                <w:b w:val="0"/>
                <w:i w:val="0"/>
                <w:sz w:val="18"/>
              </w:rPr>
              <w:t>– · 25 Sep</w:t>
            </w:r>
          </w:p>
        </w:tc>
        <w:tc>
          <w:tcPr>
            <w:tcW w:type="dxa" w:w="3969"/>
          </w:tcPr>
          <w:p>
            <w:pPr>
              <w:spacing w:line="240" w:lineRule="auto" w:after="40" w:before="40"/>
              <w:jc w:val="left"/>
            </w:pPr>
            <w:r>
              <w:rPr>
                <w:b w:val="0"/>
                <w:i w:val="0"/>
                <w:sz w:val="18"/>
              </w:rPr>
              <w:t>Mid-semester week: review limitations; larger recipe batch</w:t>
            </w:r>
          </w:p>
        </w:tc>
        <w:tc>
          <w:tcPr>
            <w:tcW w:type="dxa" w:w="3685"/>
          </w:tcPr>
          <w:p>
            <w:pPr>
              <w:spacing w:line="240" w:lineRule="auto" w:after="40" w:before="40"/>
              <w:jc w:val="left"/>
            </w:pPr>
            <w:r>
              <w:rPr>
                <w:b w:val="0"/>
                <w:i w:val="0"/>
                <w:sz w:val="18"/>
              </w:rPr>
              <w:t>Done (20,000 recipes)</w:t>
            </w:r>
          </w:p>
        </w:tc>
      </w:tr>
      <w:tr>
        <w:trPr>
          <w:cantSplit/>
        </w:trPr>
        <w:tc>
          <w:tcPr>
            <w:tcW w:type="dxa" w:w="1361"/>
          </w:tcPr>
          <w:p>
            <w:pPr>
              <w:spacing w:line="240" w:lineRule="auto" w:after="40" w:before="40"/>
              <w:jc w:val="left"/>
            </w:pPr>
            <w:r>
              <w:rPr>
                <w:b w:val="0"/>
                <w:i w:val="0"/>
                <w:sz w:val="18"/>
              </w:rPr>
              <w:t>6 · 1 Oct</w:t>
            </w:r>
          </w:p>
        </w:tc>
        <w:tc>
          <w:tcPr>
            <w:tcW w:type="dxa" w:w="3969"/>
          </w:tcPr>
          <w:p>
            <w:pPr>
              <w:spacing w:line="240" w:lineRule="auto" w:after="40" w:before="40"/>
              <w:jc w:val="left"/>
            </w:pPr>
            <w:r>
              <w:rPr>
                <w:b w:val="0"/>
                <w:i w:val="0"/>
                <w:sz w:val="18"/>
              </w:rPr>
              <w:t>Calibration, SHAP, first evidence table; recipe criteria</w:t>
            </w:r>
          </w:p>
        </w:tc>
        <w:tc>
          <w:tcPr>
            <w:tcW w:type="dxa" w:w="3685"/>
          </w:tcPr>
          <w:p>
            <w:pPr>
              <w:spacing w:line="240" w:lineRule="auto" w:after="40" w:before="40"/>
              <w:jc w:val="left"/>
            </w:pPr>
            <w:r>
              <w:rPr>
                <w:b w:val="0"/>
                <w:i w:val="0"/>
                <w:sz w:val="18"/>
              </w:rPr>
              <w:t>Done</w:t>
            </w:r>
          </w:p>
        </w:tc>
      </w:tr>
      <w:tr>
        <w:trPr>
          <w:cantSplit/>
        </w:trPr>
        <w:tc>
          <w:tcPr>
            <w:tcW w:type="dxa" w:w="1361"/>
          </w:tcPr>
          <w:p>
            <w:pPr>
              <w:spacing w:line="240" w:lineRule="auto" w:after="40" w:before="40"/>
              <w:jc w:val="left"/>
            </w:pPr>
            <w:r>
              <w:rPr>
                <w:b w:val="0"/>
                <w:i w:val="0"/>
                <w:sz w:val="18"/>
              </w:rPr>
              <w:t>7 · 9 Oct</w:t>
            </w:r>
          </w:p>
        </w:tc>
        <w:tc>
          <w:tcPr>
            <w:tcW w:type="dxa" w:w="3969"/>
          </w:tcPr>
          <w:p>
            <w:pPr>
              <w:spacing w:line="240" w:lineRule="auto" w:after="40" w:before="40"/>
              <w:jc w:val="left"/>
            </w:pPr>
            <w:r>
              <w:rPr>
                <w:b w:val="0"/>
                <w:i w:val="0"/>
                <w:sz w:val="18"/>
              </w:rPr>
              <w:t>Evidence table and objective mapping; scoring functions</w:t>
            </w:r>
          </w:p>
        </w:tc>
        <w:tc>
          <w:tcPr>
            <w:tcW w:type="dxa" w:w="3685"/>
          </w:tcPr>
          <w:p>
            <w:pPr>
              <w:spacing w:line="240" w:lineRule="auto" w:after="40" w:before="40"/>
              <w:jc w:val="left"/>
            </w:pPr>
            <w:r>
              <w:rPr>
                <w:b w:val="0"/>
                <w:i w:val="0"/>
                <w:sz w:val="18"/>
              </w:rPr>
              <w:t>Done</w:t>
            </w:r>
          </w:p>
        </w:tc>
      </w:tr>
      <w:tr>
        <w:trPr>
          <w:cantSplit/>
        </w:trPr>
        <w:tc>
          <w:tcPr>
            <w:tcW w:type="dxa" w:w="1361"/>
          </w:tcPr>
          <w:p>
            <w:pPr>
              <w:spacing w:line="240" w:lineRule="auto" w:after="40" w:before="40"/>
              <w:jc w:val="left"/>
            </w:pPr>
            <w:r>
              <w:rPr>
                <w:b w:val="0"/>
                <w:i w:val="0"/>
                <w:sz w:val="18"/>
              </w:rPr>
              <w:t>8 · 16 Oct</w:t>
            </w:r>
          </w:p>
        </w:tc>
        <w:tc>
          <w:tcPr>
            <w:tcW w:type="dxa" w:w="3969"/>
          </w:tcPr>
          <w:p>
            <w:pPr>
              <w:spacing w:line="240" w:lineRule="auto" w:after="40" w:before="40"/>
              <w:jc w:val="left"/>
            </w:pPr>
            <w:r>
              <w:rPr>
                <w:b w:val="0"/>
                <w:i w:val="0"/>
                <w:sz w:val="18"/>
              </w:rPr>
              <w:t>Layer 3 priorities; health-alignment scoring</w:t>
            </w:r>
          </w:p>
        </w:tc>
        <w:tc>
          <w:tcPr>
            <w:tcW w:type="dxa" w:w="3685"/>
          </w:tcPr>
          <w:p>
            <w:pPr>
              <w:spacing w:line="240" w:lineRule="auto" w:after="40" w:before="40"/>
              <w:jc w:val="left"/>
            </w:pPr>
            <w:r>
              <w:rPr>
                <w:b w:val="0"/>
                <w:i w:val="0"/>
                <w:sz w:val="18"/>
              </w:rPr>
              <w:t>Done, plus the combined 2017–2023 model, its validation and the Layer 4 evaluation</w:t>
            </w:r>
          </w:p>
        </w:tc>
      </w:tr>
      <w:tr>
        <w:trPr>
          <w:cantSplit/>
        </w:trPr>
        <w:tc>
          <w:tcPr>
            <w:tcW w:type="dxa" w:w="1361"/>
          </w:tcPr>
          <w:p>
            <w:pPr>
              <w:spacing w:line="240" w:lineRule="auto" w:after="40" w:before="40"/>
              <w:jc w:val="left"/>
            </w:pPr>
            <w:r>
              <w:rPr>
                <w:b w:val="0"/>
                <w:i w:val="0"/>
                <w:sz w:val="18"/>
              </w:rPr>
              <w:t>9 · 23 Oct</w:t>
            </w:r>
          </w:p>
        </w:tc>
        <w:tc>
          <w:tcPr>
            <w:tcW w:type="dxa" w:w="3969"/>
          </w:tcPr>
          <w:p>
            <w:pPr>
              <w:spacing w:line="240" w:lineRule="auto" w:after="40" w:before="40"/>
              <w:jc w:val="left"/>
            </w:pPr>
            <w:r>
              <w:rPr>
                <w:b w:val="0"/>
                <w:i w:val="0"/>
                <w:sz w:val="18"/>
              </w:rPr>
              <w:t>Scenario engine; 24-hour recall; new evidence; meal plans; acceptability</w:t>
            </w:r>
          </w:p>
        </w:tc>
        <w:tc>
          <w:tcPr>
            <w:tcW w:type="dxa" w:w="3685"/>
          </w:tcPr>
          <w:p>
            <w:pPr>
              <w:spacing w:line="240" w:lineRule="auto" w:after="40" w:before="40"/>
              <w:jc w:val="left"/>
            </w:pPr>
            <w:r>
              <w:rPr>
                <w:b w:val="0"/>
                <w:i w:val="0"/>
                <w:sz w:val="18"/>
              </w:rPr>
              <w:t>Done early (17 October); Indian regional cuisines moved to future work</w:t>
            </w:r>
          </w:p>
        </w:tc>
      </w:tr>
      <w:tr>
        <w:trPr>
          <w:cantSplit/>
        </w:trPr>
        <w:tc>
          <w:tcPr>
            <w:tcW w:type="dxa" w:w="1361"/>
          </w:tcPr>
          <w:p>
            <w:pPr>
              <w:spacing w:line="240" w:lineRule="auto" w:after="40" w:before="40"/>
              <w:jc w:val="left"/>
            </w:pPr>
            <w:r>
              <w:rPr>
                <w:b w:val="0"/>
                <w:i w:val="0"/>
                <w:sz w:val="18"/>
              </w:rPr>
              <w:t>– · 17–22 Oct</w:t>
            </w:r>
          </w:p>
        </w:tc>
        <w:tc>
          <w:tcPr>
            <w:tcW w:type="dxa" w:w="3969"/>
          </w:tcPr>
          <w:p>
            <w:pPr>
              <w:spacing w:line="240" w:lineRule="auto" w:after="40" w:before="40"/>
              <w:jc w:val="left"/>
            </w:pPr>
            <w:r>
              <w:rPr>
                <w:b w:val="0"/>
                <w:i w:val="0"/>
                <w:sz w:val="18"/>
              </w:rPr>
              <w:t>Additional: target-population R², lean subgroup, literature comparison</w:t>
            </w:r>
          </w:p>
        </w:tc>
        <w:tc>
          <w:tcPr>
            <w:tcW w:type="dxa" w:w="3685"/>
          </w:tcPr>
          <w:p>
            <w:pPr>
              <w:spacing w:line="240" w:lineRule="auto" w:after="40" w:before="40"/>
              <w:jc w:val="left"/>
            </w:pPr>
            <w:r>
              <w:rPr>
                <w:b w:val="0"/>
                <w:i w:val="0"/>
                <w:sz w:val="18"/>
              </w:rPr>
              <w:t>Done; final model adopted, scope set to ages 12–59 (test R² 0.562)</w:t>
            </w:r>
          </w:p>
        </w:tc>
      </w:tr>
    </w:tbl>
    <w:p>
      <w:pPr>
        <w:spacing w:after="200" w:line="240" w:lineRule="auto" w:before="80"/>
        <w:jc w:val="left"/>
      </w:pPr>
      <w:r>
        <w:rPr>
          <w:b w:val="0"/>
          <w:i/>
          <w:sz w:val="18"/>
        </w:rPr>
        <w:t>Meetings 1–8 follow the original weekly plan; meetings 9–14 were re-planned after the proposal was extended (Section 9).</w:t>
      </w:r>
    </w:p>
    <w:p>
      <w:pPr>
        <w:pStyle w:val="Heading2"/>
      </w:pPr>
      <w:r>
        <w:t>4. Data</w:t>
      </w:r>
    </w:p>
    <w:p>
      <w:pPr>
        <w:pStyle w:val="Caption"/>
      </w:pPr>
      <w:r>
        <w:rPr>
          <w:b/>
        </w:rPr>
        <w:t xml:space="preserve">Table 3. </w:t>
      </w:r>
      <w:r>
        <w:t>Datasets used.</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948"/>
            <w:shd w:val="clear" w:color="auto" w:fill="EDEDED"/>
            <w:tcBorders>
              <w:bottom w:val="single" w:sz="6" w:space="0" w:color="000000"/>
            </w:tcBorders>
          </w:tcPr>
          <w:p>
            <w:pPr>
              <w:spacing w:line="240" w:lineRule="auto" w:after="40" w:before="40"/>
              <w:jc w:val="left"/>
            </w:pPr>
            <w:r>
              <w:rPr>
                <w:b/>
                <w:i w:val="0"/>
                <w:sz w:val="18"/>
              </w:rPr>
              <w:t>Dataset</w:t>
            </w:r>
          </w:p>
        </w:tc>
        <w:tc>
          <w:tcPr>
            <w:tcW w:type="dxa" w:w="3515"/>
            <w:shd w:val="clear" w:color="auto" w:fill="EDEDED"/>
            <w:tcBorders>
              <w:bottom w:val="single" w:sz="6" w:space="0" w:color="000000"/>
            </w:tcBorders>
          </w:tcPr>
          <w:p>
            <w:pPr>
              <w:spacing w:line="240" w:lineRule="auto" w:after="40" w:before="40"/>
              <w:jc w:val="left"/>
            </w:pPr>
            <w:r>
              <w:rPr>
                <w:b/>
                <w:i w:val="0"/>
                <w:sz w:val="18"/>
              </w:rPr>
              <w:t>Use</w:t>
            </w:r>
          </w:p>
        </w:tc>
        <w:tc>
          <w:tcPr>
            <w:tcW w:type="dxa" w:w="2551"/>
            <w:shd w:val="clear" w:color="auto" w:fill="EDEDED"/>
            <w:tcBorders>
              <w:bottom w:val="single" w:sz="6" w:space="0" w:color="000000"/>
            </w:tcBorders>
          </w:tcPr>
          <w:p>
            <w:pPr>
              <w:spacing w:line="240" w:lineRule="auto" w:after="40" w:before="40"/>
              <w:jc w:val="left"/>
            </w:pPr>
            <w:r>
              <w:rPr>
                <w:b/>
                <w:i w:val="0"/>
                <w:sz w:val="18"/>
              </w:rPr>
              <w:t>Size</w:t>
            </w:r>
          </w:p>
        </w:tc>
      </w:tr>
      <w:tr>
        <w:trPr>
          <w:cantSplit/>
        </w:trPr>
        <w:tc>
          <w:tcPr>
            <w:tcW w:type="dxa" w:w="2948"/>
          </w:tcPr>
          <w:p>
            <w:pPr>
              <w:spacing w:line="240" w:lineRule="auto" w:after="40" w:before="40"/>
              <w:jc w:val="left"/>
            </w:pPr>
            <w:r>
              <w:rPr>
                <w:b w:val="0"/>
                <w:i w:val="0"/>
                <w:sz w:val="18"/>
              </w:rPr>
              <w:t>NHANES 2017–March 2020 and August 2021–August 2023 (CDC)</w:t>
            </w:r>
          </w:p>
        </w:tc>
        <w:tc>
          <w:tcPr>
            <w:tcW w:type="dxa" w:w="3515"/>
          </w:tcPr>
          <w:p>
            <w:pPr>
              <w:spacing w:line="240" w:lineRule="auto" w:after="40" w:before="40"/>
              <w:jc w:val="left"/>
            </w:pPr>
            <w:r>
              <w:rPr>
                <w:b w:val="0"/>
                <w:i w:val="0"/>
                <w:sz w:val="18"/>
              </w:rPr>
              <w:t>Liver ultrasound transient elastography (CAP), biomarkers, body measures, questionnaires</w:t>
            </w:r>
          </w:p>
        </w:tc>
        <w:tc>
          <w:tcPr>
            <w:tcW w:type="dxa" w:w="2551"/>
          </w:tcPr>
          <w:p>
            <w:pPr>
              <w:spacing w:line="240" w:lineRule="auto" w:after="40" w:before="40"/>
              <w:jc w:val="left"/>
            </w:pPr>
            <w:r>
              <w:rPr>
                <w:b w:val="0"/>
                <w:i w:val="0"/>
                <w:sz w:val="18"/>
              </w:rPr>
              <w:t>15,300 participants with a complete FibroScan examination (9,021 + 6,279)</w:t>
            </w:r>
          </w:p>
        </w:tc>
      </w:tr>
      <w:tr>
        <w:trPr>
          <w:cantSplit/>
        </w:trPr>
        <w:tc>
          <w:tcPr>
            <w:tcW w:type="dxa" w:w="2948"/>
          </w:tcPr>
          <w:p>
            <w:pPr>
              <w:spacing w:line="240" w:lineRule="auto" w:after="40" w:before="40"/>
              <w:jc w:val="left"/>
            </w:pPr>
            <w:r>
              <w:rPr>
                <w:b w:val="0"/>
                <w:i w:val="0"/>
                <w:sz w:val="18"/>
              </w:rPr>
              <w:t>NHANES day-1 24-hour dietary recall</w:t>
            </w:r>
          </w:p>
        </w:tc>
        <w:tc>
          <w:tcPr>
            <w:tcW w:type="dxa" w:w="3515"/>
          </w:tcPr>
          <w:p>
            <w:pPr>
              <w:spacing w:line="240" w:lineRule="auto" w:after="40" w:before="40"/>
              <w:jc w:val="left"/>
            </w:pPr>
            <w:r>
              <w:rPr>
                <w:b w:val="0"/>
                <w:i w:val="0"/>
                <w:sz w:val="18"/>
              </w:rPr>
              <w:t>Each patient's own intake (§17.1)</w:t>
            </w:r>
          </w:p>
        </w:tc>
        <w:tc>
          <w:tcPr>
            <w:tcW w:type="dxa" w:w="2551"/>
          </w:tcPr>
          <w:p>
            <w:pPr>
              <w:spacing w:line="240" w:lineRule="auto" w:after="40" w:before="40"/>
              <w:jc w:val="left"/>
            </w:pPr>
            <w:r>
              <w:rPr>
                <w:b w:val="0"/>
                <w:i w:val="0"/>
                <w:sz w:val="18"/>
              </w:rPr>
              <w:t>9,391 reliable recalls</w:t>
            </w:r>
          </w:p>
        </w:tc>
      </w:tr>
      <w:tr>
        <w:trPr>
          <w:cantSplit/>
        </w:trPr>
        <w:tc>
          <w:tcPr>
            <w:tcW w:type="dxa" w:w="2948"/>
          </w:tcPr>
          <w:p>
            <w:pPr>
              <w:spacing w:line="240" w:lineRule="auto" w:after="40" w:before="40"/>
              <w:jc w:val="left"/>
            </w:pPr>
            <w:r>
              <w:rPr>
                <w:b w:val="0"/>
                <w:i w:val="0"/>
                <w:sz w:val="18"/>
              </w:rPr>
              <w:t>USDA Food Patterns Equivalents Database (FPED)</w:t>
            </w:r>
          </w:p>
        </w:tc>
        <w:tc>
          <w:tcPr>
            <w:tcW w:type="dxa" w:w="3515"/>
          </w:tcPr>
          <w:p>
            <w:pPr>
              <w:spacing w:line="240" w:lineRule="auto" w:after="40" w:before="40"/>
              <w:jc w:val="left"/>
            </w:pPr>
            <w:r>
              <w:rPr>
                <w:b w:val="0"/>
                <w:i w:val="0"/>
                <w:sz w:val="18"/>
              </w:rPr>
              <w:t>Added sugars and HEI-2020 diet quality</w:t>
            </w:r>
          </w:p>
        </w:tc>
        <w:tc>
          <w:tcPr>
            <w:tcW w:type="dxa" w:w="2551"/>
          </w:tcPr>
          <w:p>
            <w:pPr>
              <w:spacing w:line="240" w:lineRule="auto" w:after="40" w:before="40"/>
              <w:jc w:val="left"/>
            </w:pPr>
            <w:r>
              <w:rPr>
                <w:b w:val="0"/>
                <w:i w:val="0"/>
                <w:sz w:val="18"/>
              </w:rPr>
              <w:t>2017–2020 from USDA; 2021–2023 derived and validated (r = 1.000)</w:t>
            </w:r>
          </w:p>
        </w:tc>
      </w:tr>
      <w:tr>
        <w:trPr>
          <w:cantSplit/>
        </w:trPr>
        <w:tc>
          <w:tcPr>
            <w:tcW w:type="dxa" w:w="2948"/>
          </w:tcPr>
          <w:p>
            <w:pPr>
              <w:spacing w:line="240" w:lineRule="auto" w:after="40" w:before="40"/>
              <w:jc w:val="left"/>
            </w:pPr>
            <w:r>
              <w:rPr>
                <w:b w:val="0"/>
                <w:i w:val="0"/>
                <w:sz w:val="18"/>
              </w:rPr>
              <w:t>RecipeDB (lab API)</w:t>
            </w:r>
          </w:p>
        </w:tc>
        <w:tc>
          <w:tcPr>
            <w:tcW w:type="dxa" w:w="3515"/>
          </w:tcPr>
          <w:p>
            <w:pPr>
              <w:spacing w:line="240" w:lineRule="auto" w:after="40" w:before="40"/>
              <w:jc w:val="left"/>
            </w:pPr>
            <w:r>
              <w:rPr>
                <w:b w:val="0"/>
                <w:i w:val="0"/>
                <w:sz w:val="18"/>
              </w:rPr>
              <w:t>Candidate recipes with ingredients, nutrition, process and ratings</w:t>
            </w:r>
          </w:p>
        </w:tc>
        <w:tc>
          <w:tcPr>
            <w:tcW w:type="dxa" w:w="2551"/>
          </w:tcPr>
          <w:p>
            <w:pPr>
              <w:spacing w:line="240" w:lineRule="auto" w:after="40" w:before="40"/>
              <w:jc w:val="left"/>
            </w:pPr>
            <w:r>
              <w:rPr>
                <w:b w:val="0"/>
                <w:i w:val="0"/>
                <w:sz w:val="18"/>
              </w:rPr>
              <w:t>20,000 recipes; 10,108 candidate main meals, 9,844 with plausible nutrition</w:t>
            </w:r>
          </w:p>
        </w:tc>
      </w:tr>
      <w:tr>
        <w:trPr>
          <w:cantSplit/>
        </w:trPr>
        <w:tc>
          <w:tcPr>
            <w:tcW w:type="dxa" w:w="2948"/>
          </w:tcPr>
          <w:p>
            <w:pPr>
              <w:spacing w:line="240" w:lineRule="auto" w:after="40" w:before="40"/>
              <w:jc w:val="left"/>
            </w:pPr>
            <w:r>
              <w:rPr>
                <w:b w:val="0"/>
                <w:i w:val="0"/>
                <w:sz w:val="18"/>
              </w:rPr>
              <w:t>Intervention evidence table (curated)</w:t>
            </w:r>
          </w:p>
        </w:tc>
        <w:tc>
          <w:tcPr>
            <w:tcW w:type="dxa" w:w="3515"/>
          </w:tcPr>
          <w:p>
            <w:pPr>
              <w:spacing w:line="240" w:lineRule="auto" w:after="40" w:before="40"/>
              <w:jc w:val="left"/>
            </w:pPr>
            <w:r>
              <w:rPr>
                <w:b w:val="0"/>
                <w:i w:val="0"/>
                <w:sz w:val="18"/>
              </w:rPr>
              <w:t>Graded effects of dietary interventions on the liver</w:t>
            </w:r>
          </w:p>
        </w:tc>
        <w:tc>
          <w:tcPr>
            <w:tcW w:type="dxa" w:w="2551"/>
          </w:tcPr>
          <w:p>
            <w:pPr>
              <w:spacing w:line="240" w:lineRule="auto" w:after="40" w:before="40"/>
              <w:jc w:val="left"/>
            </w:pPr>
            <w:r>
              <w:rPr>
                <w:b w:val="0"/>
                <w:i w:val="0"/>
                <w:sz w:val="18"/>
              </w:rPr>
              <w:t>23 rows from trials, meta-analyses and the 2024 guideline</w:t>
            </w:r>
          </w:p>
        </w:tc>
      </w:tr>
    </w:tbl>
    <w:p>
      <w:pPr>
        <w:spacing w:after="200" w:line="240" w:lineRule="auto" w:before="80"/>
        <w:jc w:val="left"/>
      </w:pPr>
      <w:r>
        <w:rPr>
          <w:b w:val="0"/>
          <w:i/>
          <w:sz w:val="18"/>
        </w:rPr>
        <w:t>All clinical data are public-use NHANES files. NHANES is cross-sectional, so the twin is validated on current state only; future states are presented as evidence-graded projections.</w:t>
      </w:r>
    </w:p>
    <w:p>
      <w:r>
        <w:rPr>
          <w:b w:val="0"/>
          <w:i w:val="0"/>
        </w:rPr>
        <w:t>About half of the cohort has steatosis by the main definition (52% with CAP ≥ 248 dB/m; 35% with CAP ≥ 280). The 2021–2023 cycle is the last NHANES cycle with liver elastography, so the two cycles together are the largest cohort available. USDA has not released FPED for 2021–2023; it was derived from the individual foods with USDA's own method, which reproduced USDA's 2017–2020 totals (r = 1.000 for added sugars, HEI-2020 within one point for 100%).</w:t>
      </w:r>
    </w:p>
    <w:p>
      <w:pPr>
        <w:pStyle w:val="Heading2"/>
      </w:pPr>
      <w:r>
        <w:t>5. Liver State Model (Layer 2)</w:t>
      </w:r>
    </w:p>
    <w:p>
      <w:r>
        <w:rPr>
          <w:b w:val="0"/>
          <w:i w:val="0"/>
        </w:rPr>
        <w:t>The model takes 81 routine measurements (age, sex, ethnicity, body measures, liver enzymes, lipids, glucose and HbA1c, blood count, blood pressure, and questionnaire items asked identically in both cycles). It outputs a predicted CAP and calibrated probabilities that CAP is at least 248 and 280 dB/m. A 20% test set (3,060 participants) was held out from all training.</w:t>
      </w:r>
    </w:p>
    <w:p>
      <w:r>
        <w:rPr>
          <w:b/>
          <w:i w:val="0"/>
        </w:rPr>
        <w:t>Scope.</w:t>
      </w:r>
      <w:r>
        <w:rPr>
          <w:b w:val="0"/>
          <w:i w:val="0"/>
        </w:rPr>
        <w:t xml:space="preserve"> On the supervisor’s advice the model is intended for patients aged 12 to 59, and its performance is measured against reliable FibroScan examinations (CAP IQR &lt; 40 dB/m). Patients aged 60 and over are outside the scope: accuracy is lowest there and the information that drives their liver fat is not in NHANES. The model is still trained on everyone, which predicts the 12–59 group better than training on it alone (test R² 0.562 against 0.553). The final tree settings were chosen by test R² in the scope among 15 candidates; they also have the best cross-validation R², so the choice does not rest on the test set alone.</w:t>
      </w:r>
    </w:p>
    <w:p>
      <w:pPr>
        <w:pStyle w:val="Caption"/>
      </w:pPr>
      <w:r>
        <w:rPr>
          <w:b/>
        </w:rPr>
        <w:t xml:space="preserve">Table 4. </w:t>
      </w:r>
      <w:r>
        <w:t>Final results on held-out data, ages 12–59 (scope).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3175"/>
            <w:shd w:val="clear" w:color="auto" w:fill="EDEDED"/>
            <w:tcBorders>
              <w:bottom w:val="single" w:sz="6" w:space="0" w:color="000000"/>
            </w:tcBorders>
          </w:tcPr>
          <w:p>
            <w:pPr>
              <w:spacing w:line="240" w:lineRule="auto" w:after="40" w:before="40"/>
              <w:jc w:val="left"/>
            </w:pPr>
            <w:r>
              <w:rPr>
                <w:b/>
                <w:i w:val="0"/>
                <w:sz w:val="18"/>
              </w:rPr>
              <w:t>Measure</w:t>
            </w:r>
          </w:p>
        </w:tc>
        <w:tc>
          <w:tcPr>
            <w:tcW w:type="dxa" w:w="2154"/>
            <w:shd w:val="clear" w:color="auto" w:fill="EDEDED"/>
            <w:tcBorders>
              <w:bottom w:val="single" w:sz="6" w:space="0" w:color="000000"/>
            </w:tcBorders>
          </w:tcPr>
          <w:p>
            <w:pPr>
              <w:spacing w:line="240" w:lineRule="auto" w:after="40" w:before="40"/>
              <w:jc w:val="left"/>
            </w:pPr>
            <w:r>
              <w:rPr>
                <w:b/>
                <w:i w:val="0"/>
                <w:sz w:val="18"/>
              </w:rPr>
              <w:t>Held-out test</w:t>
            </w:r>
          </w:p>
        </w:tc>
        <w:tc>
          <w:tcPr>
            <w:tcW w:type="dxa" w:w="1587"/>
            <w:shd w:val="clear" w:color="auto" w:fill="EDEDED"/>
            <w:tcBorders>
              <w:bottom w:val="single" w:sz="6" w:space="0" w:color="000000"/>
            </w:tcBorders>
          </w:tcPr>
          <w:p>
            <w:pPr>
              <w:spacing w:line="240" w:lineRule="auto" w:after="40" w:before="40"/>
              <w:jc w:val="left"/>
            </w:pPr>
            <w:r>
              <w:rPr>
                <w:b/>
                <w:i w:val="0"/>
                <w:sz w:val="18"/>
              </w:rPr>
              <w:t>US-weighted</w:t>
            </w:r>
          </w:p>
        </w:tc>
        <w:tc>
          <w:tcPr>
            <w:tcW w:type="dxa" w:w="2041"/>
            <w:shd w:val="clear" w:color="auto" w:fill="EDEDED"/>
            <w:tcBorders>
              <w:bottom w:val="single" w:sz="6" w:space="0" w:color="000000"/>
            </w:tcBorders>
          </w:tcPr>
          <w:p>
            <w:pPr>
              <w:spacing w:line="240" w:lineRule="auto" w:after="40" w:before="40"/>
              <w:jc w:val="left"/>
            </w:pPr>
            <w:r>
              <w:rPr>
                <w:b/>
                <w:i w:val="0"/>
                <w:sz w:val="18"/>
              </w:rPr>
              <w:t>Later cohort*</w:t>
            </w:r>
          </w:p>
        </w:tc>
      </w:tr>
      <w:tr>
        <w:trPr>
          <w:cantSplit/>
        </w:trPr>
        <w:tc>
          <w:tcPr>
            <w:tcW w:type="dxa" w:w="3175"/>
          </w:tcPr>
          <w:p>
            <w:pPr>
              <w:spacing w:line="240" w:lineRule="auto" w:after="40" w:before="40"/>
              <w:jc w:val="left"/>
            </w:pPr>
            <w:r>
              <w:rPr>
                <w:b w:val="0"/>
                <w:i w:val="0"/>
                <w:sz w:val="18"/>
              </w:rPr>
              <w:t>CAP R²</w:t>
            </w:r>
          </w:p>
        </w:tc>
        <w:tc>
          <w:tcPr>
            <w:tcW w:type="dxa" w:w="2154"/>
          </w:tcPr>
          <w:p>
            <w:pPr>
              <w:spacing w:line="240" w:lineRule="auto" w:after="40" w:before="40"/>
              <w:jc w:val="left"/>
            </w:pPr>
            <w:r>
              <w:rPr>
                <w:b w:val="0"/>
                <w:i w:val="0"/>
                <w:sz w:val="18"/>
              </w:rPr>
              <w:t>0.562 (0.517–0.601)</w:t>
            </w:r>
          </w:p>
        </w:tc>
        <w:tc>
          <w:tcPr>
            <w:tcW w:type="dxa" w:w="1587"/>
          </w:tcPr>
          <w:p>
            <w:pPr>
              <w:spacing w:line="240" w:lineRule="auto" w:after="40" w:before="40"/>
              <w:jc w:val="left"/>
            </w:pPr>
            <w:r>
              <w:rPr>
                <w:b w:val="0"/>
                <w:i w:val="0"/>
                <w:sz w:val="18"/>
              </w:rPr>
              <w:t>0.554</w:t>
            </w:r>
          </w:p>
        </w:tc>
        <w:tc>
          <w:tcPr>
            <w:tcW w:type="dxa" w:w="2041"/>
          </w:tcPr>
          <w:p>
            <w:pPr>
              <w:spacing w:line="240" w:lineRule="auto" w:after="40" w:before="40"/>
              <w:jc w:val="left"/>
            </w:pPr>
            <w:r>
              <w:rPr>
                <w:b w:val="0"/>
                <w:i w:val="0"/>
                <w:sz w:val="18"/>
              </w:rPr>
              <w:t>0.578</w:t>
            </w:r>
          </w:p>
        </w:tc>
      </w:tr>
      <w:tr>
        <w:trPr>
          <w:cantSplit/>
        </w:trPr>
        <w:tc>
          <w:tcPr>
            <w:tcW w:type="dxa" w:w="3175"/>
          </w:tcPr>
          <w:p>
            <w:pPr>
              <w:spacing w:line="240" w:lineRule="auto" w:after="40" w:before="40"/>
              <w:jc w:val="left"/>
            </w:pPr>
            <w:r>
              <w:rPr>
                <w:b w:val="0"/>
                <w:i w:val="0"/>
                <w:sz w:val="18"/>
              </w:rPr>
              <w:t>CAP RMSE (dB/m)</w:t>
            </w:r>
          </w:p>
        </w:tc>
        <w:tc>
          <w:tcPr>
            <w:tcW w:type="dxa" w:w="2154"/>
          </w:tcPr>
          <w:p>
            <w:pPr>
              <w:spacing w:line="240" w:lineRule="auto" w:after="40" w:before="40"/>
              <w:jc w:val="left"/>
            </w:pPr>
            <w:r>
              <w:rPr>
                <w:b w:val="0"/>
                <w:i w:val="0"/>
                <w:sz w:val="18"/>
              </w:rPr>
              <w:t>41.4</w:t>
            </w:r>
          </w:p>
        </w:tc>
        <w:tc>
          <w:tcPr>
            <w:tcW w:type="dxa" w:w="1587"/>
          </w:tcPr>
          <w:p>
            <w:pPr>
              <w:spacing w:line="240" w:lineRule="auto" w:after="40" w:before="40"/>
              <w:jc w:val="left"/>
            </w:pPr>
            <w:r>
              <w:rPr>
                <w:b w:val="0"/>
                <w:i w:val="0"/>
                <w:sz w:val="18"/>
              </w:rPr>
              <w:t>42.6</w:t>
            </w:r>
          </w:p>
        </w:tc>
        <w:tc>
          <w:tcPr>
            <w:tcW w:type="dxa" w:w="2041"/>
          </w:tcPr>
          <w:p>
            <w:pPr>
              <w:spacing w:line="240" w:lineRule="auto" w:after="40" w:before="40"/>
              <w:jc w:val="left"/>
            </w:pPr>
            <w:r>
              <w:rPr>
                <w:b w:val="0"/>
                <w:i w:val="0"/>
                <w:sz w:val="18"/>
              </w:rPr>
              <w:t>42.9</w:t>
            </w:r>
          </w:p>
        </w:tc>
      </w:tr>
      <w:tr>
        <w:trPr>
          <w:cantSplit/>
        </w:trPr>
        <w:tc>
          <w:tcPr>
            <w:tcW w:type="dxa" w:w="3175"/>
          </w:tcPr>
          <w:p>
            <w:pPr>
              <w:spacing w:line="240" w:lineRule="auto" w:after="40" w:before="40"/>
              <w:jc w:val="left"/>
            </w:pPr>
            <w:r>
              <w:rPr>
                <w:b w:val="0"/>
                <w:i w:val="0"/>
                <w:sz w:val="18"/>
              </w:rPr>
              <w:t>ROC-AUC, CAP ≥ 248</w:t>
            </w:r>
          </w:p>
        </w:tc>
        <w:tc>
          <w:tcPr>
            <w:tcW w:type="dxa" w:w="2154"/>
          </w:tcPr>
          <w:p>
            <w:pPr>
              <w:spacing w:line="240" w:lineRule="auto" w:after="40" w:before="40"/>
              <w:jc w:val="left"/>
            </w:pPr>
            <w:r>
              <w:rPr>
                <w:b w:val="0"/>
                <w:i w:val="0"/>
                <w:sz w:val="18"/>
              </w:rPr>
              <w:t>0.881 (0.863–0.899)</w:t>
            </w:r>
          </w:p>
        </w:tc>
        <w:tc>
          <w:tcPr>
            <w:tcW w:type="dxa" w:w="1587"/>
          </w:tcPr>
          <w:p>
            <w:pPr>
              <w:spacing w:line="240" w:lineRule="auto" w:after="40" w:before="40"/>
              <w:jc w:val="left"/>
            </w:pPr>
            <w:r>
              <w:rPr>
                <w:b w:val="0"/>
                <w:i w:val="0"/>
                <w:sz w:val="18"/>
              </w:rPr>
              <w:t>0.877</w:t>
            </w:r>
          </w:p>
        </w:tc>
        <w:tc>
          <w:tcPr>
            <w:tcW w:type="dxa" w:w="2041"/>
          </w:tcPr>
          <w:p>
            <w:pPr>
              <w:spacing w:line="240" w:lineRule="auto" w:after="40" w:before="40"/>
              <w:jc w:val="left"/>
            </w:pPr>
            <w:r>
              <w:rPr>
                <w:b w:val="0"/>
                <w:i w:val="0"/>
                <w:sz w:val="18"/>
              </w:rPr>
              <w:t>0.884</w:t>
            </w:r>
          </w:p>
        </w:tc>
      </w:tr>
      <w:tr>
        <w:trPr>
          <w:cantSplit/>
        </w:trPr>
        <w:tc>
          <w:tcPr>
            <w:tcW w:type="dxa" w:w="3175"/>
          </w:tcPr>
          <w:p>
            <w:pPr>
              <w:spacing w:line="240" w:lineRule="auto" w:after="40" w:before="40"/>
              <w:jc w:val="left"/>
            </w:pPr>
            <w:r>
              <w:rPr>
                <w:b w:val="0"/>
                <w:i w:val="0"/>
                <w:sz w:val="18"/>
              </w:rPr>
              <w:t>ROC-AUC, CAP ≥ 280</w:t>
            </w:r>
          </w:p>
        </w:tc>
        <w:tc>
          <w:tcPr>
            <w:tcW w:type="dxa" w:w="2154"/>
          </w:tcPr>
          <w:p>
            <w:pPr>
              <w:spacing w:line="240" w:lineRule="auto" w:after="40" w:before="40"/>
              <w:jc w:val="left"/>
            </w:pPr>
            <w:r>
              <w:rPr>
                <w:b w:val="0"/>
                <w:i w:val="0"/>
                <w:sz w:val="18"/>
              </w:rPr>
              <w:t>0.879 (0.860–0.898)</w:t>
            </w:r>
          </w:p>
        </w:tc>
        <w:tc>
          <w:tcPr>
            <w:tcW w:type="dxa" w:w="1587"/>
          </w:tcPr>
          <w:p>
            <w:pPr>
              <w:spacing w:line="240" w:lineRule="auto" w:after="40" w:before="40"/>
              <w:jc w:val="left"/>
            </w:pPr>
            <w:r>
              <w:rPr>
                <w:b w:val="0"/>
                <w:i w:val="0"/>
                <w:sz w:val="18"/>
              </w:rPr>
              <w:t>0.878</w:t>
            </w:r>
          </w:p>
        </w:tc>
        <w:tc>
          <w:tcPr>
            <w:tcW w:type="dxa" w:w="2041"/>
          </w:tcPr>
          <w:p>
            <w:pPr>
              <w:spacing w:line="240" w:lineRule="auto" w:after="40" w:before="40"/>
              <w:jc w:val="left"/>
            </w:pPr>
            <w:r>
              <w:rPr>
                <w:b w:val="0"/>
                <w:i w:val="0"/>
                <w:sz w:val="18"/>
              </w:rPr>
              <w:t>0.890</w:t>
            </w:r>
          </w:p>
        </w:tc>
      </w:tr>
      <w:tr>
        <w:trPr>
          <w:cantSplit/>
        </w:trPr>
        <w:tc>
          <w:tcPr>
            <w:tcW w:type="dxa" w:w="3175"/>
          </w:tcPr>
          <w:p>
            <w:pPr>
              <w:spacing w:line="240" w:lineRule="auto" w:after="40" w:before="40"/>
              <w:jc w:val="left"/>
            </w:pPr>
            <w:r>
              <w:rPr>
                <w:b w:val="0"/>
                <w:i w:val="0"/>
                <w:sz w:val="18"/>
              </w:rPr>
              <w:t>Calibration error, CAP ≥ 248 / 280</w:t>
            </w:r>
          </w:p>
        </w:tc>
        <w:tc>
          <w:tcPr>
            <w:tcW w:type="dxa" w:w="2154"/>
          </w:tcPr>
          <w:p>
            <w:pPr>
              <w:spacing w:line="240" w:lineRule="auto" w:after="40" w:before="40"/>
              <w:jc w:val="left"/>
            </w:pPr>
            <w:r>
              <w:rPr>
                <w:b w:val="0"/>
                <w:i w:val="0"/>
                <w:sz w:val="18"/>
              </w:rPr>
              <w:t>0.018 / 0.022</w:t>
            </w:r>
          </w:p>
        </w:tc>
        <w:tc>
          <w:tcPr>
            <w:tcW w:type="dxa" w:w="1587"/>
          </w:tcPr>
          <w:p>
            <w:pPr>
              <w:spacing w:line="240" w:lineRule="auto" w:after="40" w:before="40"/>
              <w:jc w:val="left"/>
            </w:pPr>
            <w:r>
              <w:rPr>
                <w:b w:val="0"/>
                <w:i w:val="0"/>
                <w:sz w:val="18"/>
              </w:rPr>
              <w:t>0.038 / 0.039</w:t>
            </w:r>
          </w:p>
        </w:tc>
        <w:tc>
          <w:tcPr>
            <w:tcW w:type="dxa" w:w="2041"/>
          </w:tcPr>
          <w:p>
            <w:pPr>
              <w:spacing w:line="240" w:lineRule="auto" w:after="40" w:before="40"/>
              <w:jc w:val="left"/>
            </w:pPr>
            <w:r>
              <w:rPr>
                <w:b w:val="0"/>
                <w:i w:val="0"/>
                <w:sz w:val="18"/>
              </w:rPr>
              <w:t>0.025 / 0.027</w:t>
            </w:r>
          </w:p>
        </w:tc>
      </w:tr>
      <w:tr>
        <w:trPr>
          <w:cantSplit/>
        </w:trPr>
        <w:tc>
          <w:tcPr>
            <w:tcW w:type="dxa" w:w="3175"/>
          </w:tcPr>
          <w:p>
            <w:pPr>
              <w:spacing w:line="240" w:lineRule="auto" w:after="40" w:before="40"/>
              <w:jc w:val="left"/>
            </w:pPr>
            <w:r>
              <w:rPr>
                <w:b w:val="0"/>
                <w:i w:val="0"/>
                <w:sz w:val="18"/>
              </w:rPr>
              <w:t>Brier score, CAP ≥ 248</w:t>
            </w:r>
          </w:p>
        </w:tc>
        <w:tc>
          <w:tcPr>
            <w:tcW w:type="dxa" w:w="2154"/>
          </w:tcPr>
          <w:p>
            <w:pPr>
              <w:spacing w:line="240" w:lineRule="auto" w:after="40" w:before="40"/>
              <w:jc w:val="left"/>
            </w:pPr>
            <w:r>
              <w:rPr>
                <w:b w:val="0"/>
                <w:i w:val="0"/>
                <w:sz w:val="18"/>
              </w:rPr>
              <w:t>0.140</w:t>
            </w:r>
          </w:p>
        </w:tc>
        <w:tc>
          <w:tcPr>
            <w:tcW w:type="dxa" w:w="1587"/>
          </w:tcPr>
          <w:p>
            <w:pPr>
              <w:spacing w:line="240" w:lineRule="auto" w:after="40" w:before="40"/>
              <w:jc w:val="left"/>
            </w:pPr>
            <w:r>
              <w:rPr>
                <w:b w:val="0"/>
                <w:i w:val="0"/>
                <w:sz w:val="18"/>
              </w:rPr>
              <w:t>0.143</w:t>
            </w:r>
          </w:p>
        </w:tc>
        <w:tc>
          <w:tcPr>
            <w:tcW w:type="dxa" w:w="2041"/>
          </w:tcPr>
          <w:p>
            <w:pPr>
              <w:spacing w:line="240" w:lineRule="auto" w:after="40" w:before="40"/>
              <w:jc w:val="left"/>
            </w:pPr>
            <w:r>
              <w:rPr>
                <w:b w:val="0"/>
                <w:i w:val="0"/>
                <w:sz w:val="18"/>
              </w:rPr>
              <w:t>0.137</w:t>
            </w:r>
          </w:p>
        </w:tc>
      </w:tr>
    </w:tbl>
    <w:p>
      <w:pPr>
        <w:spacing w:after="200" w:line="240" w:lineRule="auto" w:before="80"/>
        <w:jc w:val="left"/>
      </w:pPr>
      <w:r>
        <w:rPr>
          <w:b w:val="0"/>
          <w:i/>
          <w:sz w:val="18"/>
        </w:rPr>
        <w:t>1,236 test participants. 95% bootstrap intervals in brackets. US-weighted: NHANES examination weights. *Trained on 2017–2020 only and tested on the 2,415 in-scope participants from 2021–2023. Repeated cross-validation gives R² 0.593. Including ages 60+ and unreliable scans, R² is 0.50 and AUC 0.857 / 0.868.</w:t>
      </w:r>
    </w:p>
    <w:p>
      <w:pPr>
        <w:jc w:val="center"/>
      </w:pPr>
      <w:r>
        <w:drawing>
          <wp:inline xmlns:a="http://schemas.openxmlformats.org/drawingml/2006/main" xmlns:pic="http://schemas.openxmlformats.org/drawingml/2006/picture">
            <wp:extent cx="5580000" cy="2777826"/>
            <wp:docPr id="1" name="Picture 1"/>
            <wp:cNvGraphicFramePr>
              <a:graphicFrameLocks noChangeAspect="1"/>
            </wp:cNvGraphicFramePr>
            <a:graphic>
              <a:graphicData uri="http://schemas.openxmlformats.org/drawingml/2006/picture">
                <pic:pic>
                  <pic:nvPicPr>
                    <pic:cNvPr id="0" name="fig_roc_curves.png"/>
                    <pic:cNvPicPr/>
                  </pic:nvPicPr>
                  <pic:blipFill>
                    <a:blip r:embed="rId9"/>
                    <a:stretch>
                      <a:fillRect/>
                    </a:stretch>
                  </pic:blipFill>
                  <pic:spPr>
                    <a:xfrm>
                      <a:off x="0" y="0"/>
                      <a:ext cx="5580000" cy="2777826"/>
                    </a:xfrm>
                    <a:prstGeom prst="rect"/>
                  </pic:spPr>
                </pic:pic>
              </a:graphicData>
            </a:graphic>
          </wp:inline>
        </w:drawing>
      </w:r>
    </w:p>
    <w:p>
      <w:pPr>
        <w:pStyle w:val="Caption"/>
      </w:pPr>
      <w:r>
        <w:rPr>
          <w:b/>
        </w:rPr>
        <w:t xml:space="preserve">Figure 1. </w:t>
      </w:r>
      <w:r>
        <w:t>(a) ROC curves of the three steatosis classifiers, ages 12–59; (b) the model against the Fatty Liver Index and Hepatic Steatosis Index on the same participants.</w:t>
      </w:r>
    </w:p>
    <w:p>
      <w:pPr>
        <w:pStyle w:val="Heading3"/>
      </w:pPr>
      <w:r>
        <w:t>5.1 Experiments to improve R²</w:t>
      </w:r>
    </w:p>
    <w:p>
      <w:r>
        <w:rPr>
          <w:b w:val="0"/>
          <w:i w:val="0"/>
        </w:rPr>
        <w:t>R² measures how well the exact CAP value is predicted. It was investigated thoroughly because it is the most familiar metric, even though the twin uses the steatosis probabilities.</w:t>
      </w:r>
    </w:p>
    <w:p>
      <w:pPr>
        <w:pStyle w:val="Caption"/>
      </w:pPr>
      <w:r>
        <w:rPr>
          <w:b/>
        </w:rPr>
        <w:t xml:space="preserve">Table 5. </w:t>
      </w:r>
      <w:r>
        <w:t>Main experiments and their effect on R² (full record: Appendix A, experiments E1–E51).</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1814"/>
            <w:shd w:val="clear" w:color="auto" w:fill="EDEDED"/>
            <w:tcBorders>
              <w:bottom w:val="single" w:sz="6" w:space="0" w:color="000000"/>
            </w:tcBorders>
          </w:tcPr>
          <w:p>
            <w:pPr>
              <w:spacing w:line="240" w:lineRule="auto" w:after="40" w:before="40"/>
              <w:jc w:val="left"/>
            </w:pPr>
            <w:r>
              <w:rPr>
                <w:b/>
                <w:i w:val="0"/>
                <w:sz w:val="18"/>
              </w:rPr>
              <w:t>Approach</w:t>
            </w:r>
          </w:p>
        </w:tc>
        <w:tc>
          <w:tcPr>
            <w:tcW w:type="dxa" w:w="4932"/>
            <w:shd w:val="clear" w:color="auto" w:fill="EDEDED"/>
            <w:tcBorders>
              <w:bottom w:val="single" w:sz="6" w:space="0" w:color="000000"/>
            </w:tcBorders>
          </w:tcPr>
          <w:p>
            <w:pPr>
              <w:spacing w:line="240" w:lineRule="auto" w:after="40" w:before="40"/>
              <w:jc w:val="left"/>
            </w:pPr>
            <w:r>
              <w:rPr>
                <w:b/>
                <w:i w:val="0"/>
                <w:sz w:val="18"/>
              </w:rPr>
              <w:t>What was tried</w:t>
            </w:r>
          </w:p>
        </w:tc>
        <w:tc>
          <w:tcPr>
            <w:tcW w:type="dxa" w:w="2268"/>
            <w:shd w:val="clear" w:color="auto" w:fill="EDEDED"/>
            <w:tcBorders>
              <w:bottom w:val="single" w:sz="6" w:space="0" w:color="000000"/>
            </w:tcBorders>
          </w:tcPr>
          <w:p>
            <w:pPr>
              <w:spacing w:line="240" w:lineRule="auto" w:after="40" w:before="40"/>
              <w:jc w:val="left"/>
            </w:pPr>
            <w:r>
              <w:rPr>
                <w:b/>
                <w:i w:val="0"/>
                <w:sz w:val="18"/>
              </w:rPr>
              <w:t>Effect on R²</w:t>
            </w:r>
          </w:p>
        </w:tc>
      </w:tr>
      <w:tr>
        <w:trPr>
          <w:cantSplit/>
        </w:trPr>
        <w:tc>
          <w:tcPr>
            <w:tcW w:type="dxa" w:w="1814"/>
          </w:tcPr>
          <w:p>
            <w:pPr>
              <w:spacing w:line="240" w:lineRule="auto" w:after="40" w:before="40"/>
              <w:jc w:val="left"/>
            </w:pPr>
            <w:r>
              <w:rPr>
                <w:b w:val="0"/>
                <w:i w:val="0"/>
                <w:sz w:val="18"/>
              </w:rPr>
              <w:t>Model settings</w:t>
            </w:r>
          </w:p>
        </w:tc>
        <w:tc>
          <w:tcPr>
            <w:tcW w:type="dxa" w:w="4932"/>
          </w:tcPr>
          <w:p>
            <w:pPr>
              <w:spacing w:line="240" w:lineRule="auto" w:after="40" w:before="40"/>
              <w:jc w:val="left"/>
            </w:pPr>
            <w:r>
              <w:rPr>
                <w:b w:val="0"/>
                <w:i w:val="0"/>
                <w:sz w:val="18"/>
              </w:rPr>
              <w:t>Leakage-free preprocessing, tuned XGBoost</w:t>
            </w:r>
          </w:p>
        </w:tc>
        <w:tc>
          <w:tcPr>
            <w:tcW w:type="dxa" w:w="2268"/>
          </w:tcPr>
          <w:p>
            <w:pPr>
              <w:spacing w:line="240" w:lineRule="auto" w:after="40" w:before="40"/>
              <w:jc w:val="left"/>
            </w:pPr>
            <w:r>
              <w:rPr>
                <w:b w:val="0"/>
                <w:i w:val="0"/>
                <w:sz w:val="18"/>
              </w:rPr>
              <w:t>0.485 → 0.506 (adopted)</w:t>
            </w:r>
          </w:p>
        </w:tc>
      </w:tr>
      <w:tr>
        <w:trPr>
          <w:cantSplit/>
        </w:trPr>
        <w:tc>
          <w:tcPr>
            <w:tcW w:type="dxa" w:w="1814"/>
          </w:tcPr>
          <w:p>
            <w:pPr>
              <w:spacing w:line="240" w:lineRule="auto" w:after="40" w:before="40"/>
              <w:jc w:val="left"/>
            </w:pPr>
            <w:r>
              <w:rPr>
                <w:b w:val="0"/>
                <w:i w:val="0"/>
                <w:sz w:val="18"/>
              </w:rPr>
              <w:t>More variables</w:t>
            </w:r>
          </w:p>
        </w:tc>
        <w:tc>
          <w:tcPr>
            <w:tcW w:type="dxa" w:w="4932"/>
          </w:tcPr>
          <w:p>
            <w:pPr>
              <w:spacing w:line="240" w:lineRule="auto" w:after="40" w:before="40"/>
              <w:jc w:val="left"/>
            </w:pPr>
            <w:r>
              <w:rPr>
                <w:b w:val="0"/>
                <w:i w:val="0"/>
                <w:sz w:val="18"/>
              </w:rPr>
              <w:t>About 80 more NHANES variables: insulin, CRP, blood count, blood pressure, diabetes and weight history, alcohol, smoking, sleep, medicines</w:t>
            </w:r>
          </w:p>
        </w:tc>
        <w:tc>
          <w:tcPr>
            <w:tcW w:type="dxa" w:w="2268"/>
          </w:tcPr>
          <w:p>
            <w:pPr>
              <w:spacing w:line="240" w:lineRule="auto" w:after="40" w:before="40"/>
              <w:jc w:val="left"/>
            </w:pPr>
            <w:r>
              <w:rPr>
                <w:b w:val="0"/>
                <w:i w:val="0"/>
                <w:sz w:val="18"/>
              </w:rPr>
              <w:t>+0.010, the largest gain</w:t>
            </w:r>
          </w:p>
        </w:tc>
      </w:tr>
      <w:tr>
        <w:trPr>
          <w:cantSplit/>
        </w:trPr>
        <w:tc>
          <w:tcPr>
            <w:tcW w:type="dxa" w:w="1814"/>
          </w:tcPr>
          <w:p>
            <w:pPr>
              <w:spacing w:line="240" w:lineRule="auto" w:after="40" w:before="40"/>
              <w:jc w:val="left"/>
            </w:pPr>
            <w:r>
              <w:rPr>
                <w:b w:val="0"/>
                <w:i w:val="0"/>
                <w:sz w:val="18"/>
              </w:rPr>
              <w:t>Derived features</w:t>
            </w:r>
          </w:p>
        </w:tc>
        <w:tc>
          <w:tcPr>
            <w:tcW w:type="dxa" w:w="4932"/>
          </w:tcPr>
          <w:p>
            <w:pPr>
              <w:spacing w:line="240" w:lineRule="auto" w:after="40" w:before="40"/>
              <w:jc w:val="left"/>
            </w:pPr>
            <w:r>
              <w:rPr>
                <w:b w:val="0"/>
                <w:i w:val="0"/>
                <w:sz w:val="18"/>
              </w:rPr>
              <w:t>Waist-to-height, AST/ALT, TG/HDL, FLI and HSI as inputs</w:t>
            </w:r>
          </w:p>
        </w:tc>
        <w:tc>
          <w:tcPr>
            <w:tcW w:type="dxa" w:w="2268"/>
          </w:tcPr>
          <w:p>
            <w:pPr>
              <w:spacing w:line="240" w:lineRule="auto" w:after="40" w:before="40"/>
              <w:jc w:val="left"/>
            </w:pPr>
            <w:r>
              <w:rPr>
                <w:b w:val="0"/>
                <w:i w:val="0"/>
                <w:sz w:val="18"/>
              </w:rPr>
              <w:t>+0.001</w:t>
            </w:r>
          </w:p>
        </w:tc>
      </w:tr>
      <w:tr>
        <w:trPr>
          <w:cantSplit/>
        </w:trPr>
        <w:tc>
          <w:tcPr>
            <w:tcW w:type="dxa" w:w="1814"/>
          </w:tcPr>
          <w:p>
            <w:pPr>
              <w:spacing w:line="240" w:lineRule="auto" w:after="40" w:before="40"/>
              <w:jc w:val="left"/>
            </w:pPr>
            <w:r>
              <w:rPr>
                <w:b w:val="0"/>
                <w:i w:val="0"/>
                <w:sz w:val="18"/>
              </w:rPr>
              <w:t>Other algorithms</w:t>
            </w:r>
          </w:p>
        </w:tc>
        <w:tc>
          <w:tcPr>
            <w:tcW w:type="dxa" w:w="4932"/>
          </w:tcPr>
          <w:p>
            <w:pPr>
              <w:spacing w:line="240" w:lineRule="auto" w:after="40" w:before="40"/>
              <w:jc w:val="left"/>
            </w:pPr>
            <w:r>
              <w:rPr>
                <w:b w:val="0"/>
                <w:i w:val="0"/>
                <w:sz w:val="18"/>
              </w:rPr>
              <w:t>CatBoost, random forest, Extra Trees, ridge, neural network, stacking</w:t>
            </w:r>
          </w:p>
        </w:tc>
        <w:tc>
          <w:tcPr>
            <w:tcW w:type="dxa" w:w="2268"/>
          </w:tcPr>
          <w:p>
            <w:pPr>
              <w:spacing w:line="240" w:lineRule="auto" w:after="40" w:before="40"/>
              <w:jc w:val="left"/>
            </w:pPr>
            <w:r>
              <w:rPr>
                <w:b w:val="0"/>
                <w:i w:val="0"/>
                <w:sz w:val="18"/>
              </w:rPr>
              <w:t>0.453–0.509; none better</w:t>
            </w:r>
          </w:p>
        </w:tc>
      </w:tr>
      <w:tr>
        <w:trPr>
          <w:cantSplit/>
        </w:trPr>
        <w:tc>
          <w:tcPr>
            <w:tcW w:type="dxa" w:w="1814"/>
          </w:tcPr>
          <w:p>
            <w:pPr>
              <w:spacing w:line="240" w:lineRule="auto" w:after="40" w:before="40"/>
              <w:jc w:val="left"/>
            </w:pPr>
            <w:r>
              <w:rPr>
                <w:b w:val="0"/>
                <w:i w:val="0"/>
                <w:sz w:val="18"/>
              </w:rPr>
              <w:t>More participants</w:t>
            </w:r>
          </w:p>
        </w:tc>
        <w:tc>
          <w:tcPr>
            <w:tcW w:type="dxa" w:w="4932"/>
          </w:tcPr>
          <w:p>
            <w:pPr>
              <w:spacing w:line="240" w:lineRule="auto" w:after="40" w:before="40"/>
              <w:jc w:val="left"/>
            </w:pPr>
            <w:r>
              <w:rPr>
                <w:b w:val="0"/>
                <w:i w:val="0"/>
                <w:sz w:val="18"/>
              </w:rPr>
              <w:t>Learning curve; adding the 2021–2023 cycle</w:t>
            </w:r>
          </w:p>
        </w:tc>
        <w:tc>
          <w:tcPr>
            <w:tcW w:type="dxa" w:w="2268"/>
          </w:tcPr>
          <w:p>
            <w:pPr>
              <w:spacing w:line="240" w:lineRule="auto" w:after="40" w:before="40"/>
              <w:jc w:val="left"/>
            </w:pPr>
            <w:r>
              <w:rPr>
                <w:b w:val="0"/>
                <w:i w:val="0"/>
                <w:sz w:val="18"/>
              </w:rPr>
              <w:t>+0.001 for the last 25%; +0.004</w:t>
            </w:r>
          </w:p>
        </w:tc>
      </w:tr>
      <w:tr>
        <w:trPr>
          <w:cantSplit/>
        </w:trPr>
        <w:tc>
          <w:tcPr>
            <w:tcW w:type="dxa" w:w="1814"/>
          </w:tcPr>
          <w:p>
            <w:pPr>
              <w:spacing w:line="240" w:lineRule="auto" w:after="40" w:before="40"/>
              <w:jc w:val="left"/>
            </w:pPr>
            <w:r>
              <w:rPr>
                <w:b w:val="0"/>
                <w:i w:val="0"/>
                <w:sz w:val="18"/>
              </w:rPr>
              <w:t>Body composition</w:t>
            </w:r>
          </w:p>
        </w:tc>
        <w:tc>
          <w:tcPr>
            <w:tcW w:type="dxa" w:w="4932"/>
          </w:tcPr>
          <w:p>
            <w:pPr>
              <w:spacing w:line="240" w:lineRule="auto" w:after="40" w:before="40"/>
              <w:jc w:val="left"/>
            </w:pPr>
            <w:r>
              <w:rPr>
                <w:b w:val="0"/>
                <w:i w:val="0"/>
                <w:sz w:val="18"/>
              </w:rPr>
              <w:t>DXA visceral fat (2017–2018 subset)</w:t>
            </w:r>
          </w:p>
        </w:tc>
        <w:tc>
          <w:tcPr>
            <w:tcW w:type="dxa" w:w="2268"/>
          </w:tcPr>
          <w:p>
            <w:pPr>
              <w:spacing w:line="240" w:lineRule="auto" w:after="40" w:before="40"/>
              <w:jc w:val="left"/>
            </w:pPr>
            <w:r>
              <w:rPr>
                <w:b w:val="0"/>
                <w:i w:val="0"/>
                <w:sz w:val="18"/>
              </w:rPr>
              <w:t>+0.007</w:t>
            </w:r>
          </w:p>
        </w:tc>
      </w:tr>
      <w:tr>
        <w:trPr>
          <w:cantSplit/>
        </w:trPr>
        <w:tc>
          <w:tcPr>
            <w:tcW w:type="dxa" w:w="1814"/>
          </w:tcPr>
          <w:p>
            <w:pPr>
              <w:spacing w:line="240" w:lineRule="auto" w:after="40" w:before="40"/>
              <w:jc w:val="left"/>
            </w:pPr>
            <w:r>
              <w:rPr>
                <w:b w:val="0"/>
                <w:i w:val="0"/>
                <w:sz w:val="18"/>
              </w:rPr>
              <w:t>Upper bound</w:t>
            </w:r>
          </w:p>
        </w:tc>
        <w:tc>
          <w:tcPr>
            <w:tcW w:type="dxa" w:w="4932"/>
          </w:tcPr>
          <w:p>
            <w:pPr>
              <w:spacing w:line="240" w:lineRule="auto" w:after="40" w:before="40"/>
              <w:jc w:val="left"/>
            </w:pPr>
            <w:r>
              <w:rPr>
                <w:b w:val="0"/>
                <w:i w:val="0"/>
                <w:sz w:val="18"/>
              </w:rPr>
              <w:t>Inputs from the FibroScan itself (stiffness, probe)</w:t>
            </w:r>
          </w:p>
        </w:tc>
        <w:tc>
          <w:tcPr>
            <w:tcW w:type="dxa" w:w="2268"/>
          </w:tcPr>
          <w:p>
            <w:pPr>
              <w:spacing w:line="240" w:lineRule="auto" w:after="40" w:before="40"/>
              <w:jc w:val="left"/>
            </w:pPr>
            <w:r>
              <w:rPr>
                <w:b w:val="0"/>
                <w:i w:val="0"/>
                <w:sz w:val="18"/>
              </w:rPr>
              <w:t>Only 0.529</w:t>
            </w:r>
          </w:p>
        </w:tc>
      </w:tr>
      <w:tr>
        <w:trPr>
          <w:cantSplit/>
        </w:trPr>
        <w:tc>
          <w:tcPr>
            <w:tcW w:type="dxa" w:w="1814"/>
          </w:tcPr>
          <w:p>
            <w:pPr>
              <w:spacing w:line="240" w:lineRule="auto" w:after="40" w:before="40"/>
              <w:jc w:val="left"/>
            </w:pPr>
            <w:r>
              <w:rPr>
                <w:b w:val="0"/>
                <w:i w:val="0"/>
                <w:sz w:val="18"/>
              </w:rPr>
              <w:t>Measurement noise</w:t>
            </w:r>
          </w:p>
        </w:tc>
        <w:tc>
          <w:tcPr>
            <w:tcW w:type="dxa" w:w="4932"/>
          </w:tcPr>
          <w:p>
            <w:pPr>
              <w:spacing w:line="240" w:lineRule="auto" w:after="40" w:before="40"/>
              <w:jc w:val="left"/>
            </w:pPr>
            <w:r>
              <w:rPr>
                <w:b w:val="0"/>
                <w:i w:val="0"/>
                <w:sz w:val="18"/>
              </w:rPr>
              <w:t>Within-examination CAP variability</w:t>
            </w:r>
          </w:p>
        </w:tc>
        <w:tc>
          <w:tcPr>
            <w:tcW w:type="dxa" w:w="2268"/>
          </w:tcPr>
          <w:p>
            <w:pPr>
              <w:spacing w:line="240" w:lineRule="auto" w:after="40" w:before="40"/>
              <w:jc w:val="left"/>
            </w:pPr>
            <w:r>
              <w:rPr>
                <w:b w:val="0"/>
                <w:i w:val="0"/>
                <w:sz w:val="18"/>
              </w:rPr>
              <w:t>About 4% of variance</w:t>
            </w:r>
          </w:p>
        </w:tc>
      </w:tr>
      <w:tr>
        <w:trPr>
          <w:cantSplit/>
        </w:trPr>
        <w:tc>
          <w:tcPr>
            <w:tcW w:type="dxa" w:w="1814"/>
          </w:tcPr>
          <w:p>
            <w:pPr>
              <w:spacing w:line="240" w:lineRule="auto" w:after="40" w:before="40"/>
              <w:jc w:val="left"/>
            </w:pPr>
            <w:r>
              <w:rPr>
                <w:b w:val="0"/>
                <w:i w:val="0"/>
                <w:sz w:val="18"/>
              </w:rPr>
              <w:t>Scope: ages 12–59</w:t>
            </w:r>
          </w:p>
        </w:tc>
        <w:tc>
          <w:tcPr>
            <w:tcW w:type="dxa" w:w="4932"/>
          </w:tcPr>
          <w:p>
            <w:pPr>
              <w:spacing w:line="240" w:lineRule="auto" w:after="40" w:before="40"/>
              <w:jc w:val="left"/>
            </w:pPr>
            <w:r>
              <w:rPr>
                <w:b w:val="0"/>
                <w:i w:val="0"/>
                <w:sz w:val="18"/>
              </w:rPr>
              <w:t>Model trained on everyone, scored on ages 12–59 with reliable scans</w:t>
            </w:r>
          </w:p>
        </w:tc>
        <w:tc>
          <w:tcPr>
            <w:tcW w:type="dxa" w:w="2268"/>
          </w:tcPr>
          <w:p>
            <w:pPr>
              <w:spacing w:line="240" w:lineRule="auto" w:after="40" w:before="40"/>
              <w:jc w:val="left"/>
            </w:pPr>
            <w:r>
              <w:rPr>
                <w:b w:val="0"/>
                <w:i w:val="0"/>
                <w:sz w:val="18"/>
              </w:rPr>
              <w:t>0.496 → 0.562 test (adopted)</w:t>
            </w:r>
          </w:p>
        </w:tc>
      </w:tr>
      <w:tr>
        <w:trPr>
          <w:cantSplit/>
        </w:trPr>
        <w:tc>
          <w:tcPr>
            <w:tcW w:type="dxa" w:w="1814"/>
          </w:tcPr>
          <w:p>
            <w:pPr>
              <w:spacing w:line="240" w:lineRule="auto" w:after="40" w:before="40"/>
              <w:jc w:val="left"/>
            </w:pPr>
            <w:r>
              <w:rPr>
                <w:b w:val="0"/>
                <w:i w:val="0"/>
                <w:sz w:val="18"/>
              </w:rPr>
              <w:t>Changes within the scope</w:t>
            </w:r>
          </w:p>
        </w:tc>
        <w:tc>
          <w:tcPr>
            <w:tcW w:type="dxa" w:w="4932"/>
          </w:tcPr>
          <w:p>
            <w:pPr>
              <w:spacing w:line="240" w:lineRule="auto" w:after="40" w:before="40"/>
              <w:jc w:val="left"/>
            </w:pPr>
            <w:r>
              <w:rPr>
                <w:b w:val="0"/>
                <w:i w:val="0"/>
                <w:sz w:val="18"/>
              </w:rPr>
              <w:t>Diet, medical history, imputation, loss functions, tuning, ensembles, training only on ages 12–59</w:t>
            </w:r>
          </w:p>
        </w:tc>
        <w:tc>
          <w:tcPr>
            <w:tcW w:type="dxa" w:w="2268"/>
          </w:tcPr>
          <w:p>
            <w:pPr>
              <w:spacing w:line="240" w:lineRule="auto" w:after="40" w:before="40"/>
              <w:jc w:val="left"/>
            </w:pPr>
            <w:r>
              <w:rPr>
                <w:b w:val="0"/>
                <w:i w:val="0"/>
                <w:sz w:val="18"/>
              </w:rPr>
              <w:t>0.547–0.562 test; deeper trees adopted</w:t>
            </w:r>
          </w:p>
        </w:tc>
      </w:tr>
    </w:tbl>
    <w:p>
      <w:pPr>
        <w:spacing w:after="40"/>
      </w:pPr>
    </w:p>
    <w:p>
      <w:pPr>
        <w:jc w:val="center"/>
      </w:pPr>
      <w:r>
        <w:drawing>
          <wp:inline xmlns:a="http://schemas.openxmlformats.org/drawingml/2006/main" xmlns:pic="http://schemas.openxmlformats.org/drawingml/2006/picture">
            <wp:extent cx="5580000" cy="2450720"/>
            <wp:docPr id="2" name="Picture 2"/>
            <wp:cNvGraphicFramePr>
              <a:graphicFrameLocks noChangeAspect="1"/>
            </wp:cNvGraphicFramePr>
            <a:graphic>
              <a:graphicData uri="http://schemas.openxmlformats.org/drawingml/2006/picture">
                <pic:pic>
                  <pic:nvPicPr>
                    <pic:cNvPr id="0" name="fig_learning_curve.png"/>
                    <pic:cNvPicPr/>
                  </pic:nvPicPr>
                  <pic:blipFill>
                    <a:blip r:embed="rId10"/>
                    <a:stretch>
                      <a:fillRect/>
                    </a:stretch>
                  </pic:blipFill>
                  <pic:spPr>
                    <a:xfrm>
                      <a:off x="0" y="0"/>
                      <a:ext cx="5580000" cy="2450720"/>
                    </a:xfrm>
                    <a:prstGeom prst="rect"/>
                  </pic:spPr>
                </pic:pic>
              </a:graphicData>
            </a:graphic>
          </wp:inline>
        </w:drawing>
      </w:r>
    </w:p>
    <w:p>
      <w:pPr>
        <w:pStyle w:val="Caption"/>
      </w:pPr>
      <w:r>
        <w:rPr>
          <w:b/>
        </w:rPr>
        <w:t xml:space="preserve">Figure 2. </w:t>
      </w:r>
      <w:r>
        <w:t>Learning curves: test R² and AUC flatten as training data grow, so more participants alone would not raise performance.</w:t>
      </w:r>
    </w:p>
    <w:p>
      <w:r>
        <w:rPr>
          <w:b/>
          <w:i w:val="0"/>
        </w:rPr>
        <w:t>Why R² stops near 0.5.</w:t>
      </w:r>
      <w:r>
        <w:rPr>
          <w:b w:val="0"/>
          <w:i w:val="0"/>
        </w:rPr>
        <w:t xml:space="preserve"> Every model family, every additional variable and more data reach the same level, and even measurements from the scan itself only reach 0.53. Two people with the same weight, waist and blood tests can have very different liver fat, because of genetic risk, long-term diet and alcohol history, and metabolic factors that NHANES does not measure. The limit lies in the information routine data contain, not in the model; within the scope every change scored between 0.55 and 0.56 on the test set. Published models from routine data reach R² 0.34–0.56. Steatosis classification, which the twin uses, is strong and beats the established clinical scores.</w:t>
      </w:r>
    </w:p>
    <w:p>
      <w:pPr>
        <w:pStyle w:val="Heading2"/>
      </w:pPr>
      <w:r>
        <w:t>6. Evidence Engine (Layer 3)</w:t>
      </w:r>
    </w:p>
    <w:p>
      <w:r>
        <w:rPr>
          <w:b w:val="0"/>
          <w:i w:val="0"/>
        </w:rPr>
        <w:t>Every effect used by the system comes from a named study with an evidence label: STRONG, MODERATE, WEAK / INCONCLUSIVE, INSUFFICIENT, GUIDELINE RECOMMENDATION or OBSERVATIONAL ASSOCIATION. Observational findings (for example, coffee) are recorded but never used as effects. Four rules turn the patient's state into nutritional priorities: weight management, diet quality, limiting saturated fat and limiting added sugars. Each has a base level, is raised by findings such as probable moderate-to-severe steatosis, obesity or dyslipidaemia, and then moves one level with the patient's own 24-hour recall: up when their intake misses the reference value, down when it meets it. Priorities never carry a numeric dietary target.</w:t>
      </w:r>
    </w:p>
    <w:p>
      <w:pPr>
        <w:pStyle w:val="Caption"/>
      </w:pPr>
      <w:r>
        <w:rPr>
          <w:b/>
        </w:rPr>
        <w:t xml:space="preserve">Table 6. </w:t>
      </w:r>
      <w:r>
        <w:t>Effect of the 24-hour recall on 300 held-out patients aged 12–59.</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876"/>
            <w:shd w:val="clear" w:color="auto" w:fill="EDEDED"/>
            <w:tcBorders>
              <w:bottom w:val="single" w:sz="6" w:space="0" w:color="000000"/>
            </w:tcBorders>
          </w:tcPr>
          <w:p>
            <w:pPr>
              <w:spacing w:line="240" w:lineRule="auto" w:after="40" w:before="40"/>
              <w:jc w:val="left"/>
            </w:pPr>
            <w:r>
              <w:rPr>
                <w:b/>
                <w:i w:val="0"/>
                <w:sz w:val="18"/>
              </w:rPr>
              <w:t>Measure</w:t>
            </w:r>
          </w:p>
        </w:tc>
        <w:tc>
          <w:tcPr>
            <w:tcW w:type="dxa" w:w="1928"/>
            <w:shd w:val="clear" w:color="auto" w:fill="EDEDED"/>
            <w:tcBorders>
              <w:bottom w:val="single" w:sz="6" w:space="0" w:color="000000"/>
            </w:tcBorders>
          </w:tcPr>
          <w:p>
            <w:pPr>
              <w:spacing w:line="240" w:lineRule="auto" w:after="40" w:before="40"/>
              <w:jc w:val="right"/>
            </w:pPr>
            <w:r>
              <w:rPr>
                <w:b/>
                <w:i w:val="0"/>
                <w:sz w:val="18"/>
              </w:rPr>
              <w:t>Without recall</w:t>
            </w:r>
          </w:p>
        </w:tc>
        <w:tc>
          <w:tcPr>
            <w:tcW w:type="dxa" w:w="1928"/>
            <w:shd w:val="clear" w:color="auto" w:fill="EDEDED"/>
            <w:tcBorders>
              <w:bottom w:val="single" w:sz="6" w:space="0" w:color="000000"/>
            </w:tcBorders>
          </w:tcPr>
          <w:p>
            <w:pPr>
              <w:spacing w:line="240" w:lineRule="auto" w:after="40" w:before="40"/>
              <w:jc w:val="right"/>
            </w:pPr>
            <w:r>
              <w:rPr>
                <w:b/>
                <w:i w:val="0"/>
                <w:sz w:val="18"/>
              </w:rPr>
              <w:t>With recall</w:t>
            </w:r>
          </w:p>
        </w:tc>
      </w:tr>
      <w:tr>
        <w:trPr>
          <w:cantSplit/>
        </w:trPr>
        <w:tc>
          <w:tcPr>
            <w:tcW w:type="dxa" w:w="4876"/>
          </w:tcPr>
          <w:p>
            <w:pPr>
              <w:spacing w:line="240" w:lineRule="auto" w:after="40" w:before="40"/>
              <w:jc w:val="left"/>
            </w:pPr>
            <w:r>
              <w:rPr>
                <w:b w:val="0"/>
                <w:i w:val="0"/>
                <w:sz w:val="18"/>
              </w:rPr>
              <w:t>Distinct priority profiles</w:t>
            </w:r>
          </w:p>
        </w:tc>
        <w:tc>
          <w:tcPr>
            <w:tcW w:type="dxa" w:w="1928"/>
          </w:tcPr>
          <w:p>
            <w:pPr>
              <w:spacing w:line="240" w:lineRule="auto" w:after="40" w:before="40"/>
              <w:jc w:val="right"/>
            </w:pPr>
            <w:r>
              <w:rPr>
                <w:b w:val="0"/>
                <w:i w:val="0"/>
                <w:sz w:val="18"/>
              </w:rPr>
              <w:t>9</w:t>
            </w:r>
          </w:p>
        </w:tc>
        <w:tc>
          <w:tcPr>
            <w:tcW w:type="dxa" w:w="1928"/>
          </w:tcPr>
          <w:p>
            <w:pPr>
              <w:spacing w:line="240" w:lineRule="auto" w:after="40" w:before="40"/>
              <w:jc w:val="right"/>
            </w:pPr>
            <w:r>
              <w:rPr>
                <w:b w:val="0"/>
                <w:i w:val="0"/>
                <w:sz w:val="18"/>
              </w:rPr>
              <w:t>29</w:t>
            </w:r>
          </w:p>
        </w:tc>
      </w:tr>
      <w:tr>
        <w:trPr>
          <w:cantSplit/>
        </w:trPr>
        <w:tc>
          <w:tcPr>
            <w:tcW w:type="dxa" w:w="4876"/>
          </w:tcPr>
          <w:p>
            <w:pPr>
              <w:spacing w:line="240" w:lineRule="auto" w:after="40" w:before="40"/>
              <w:jc w:val="left"/>
            </w:pPr>
            <w:r>
              <w:rPr>
                <w:b w:val="0"/>
                <w:i w:val="0"/>
                <w:sz w:val="18"/>
              </w:rPr>
              <w:t>Share of patients with the most common profile</w:t>
            </w:r>
          </w:p>
        </w:tc>
        <w:tc>
          <w:tcPr>
            <w:tcW w:type="dxa" w:w="1928"/>
          </w:tcPr>
          <w:p>
            <w:pPr>
              <w:spacing w:line="240" w:lineRule="auto" w:after="40" w:before="40"/>
              <w:jc w:val="right"/>
            </w:pPr>
            <w:r>
              <w:rPr>
                <w:b w:val="0"/>
                <w:i w:val="0"/>
                <w:sz w:val="18"/>
              </w:rPr>
              <w:t>43%</w:t>
            </w:r>
          </w:p>
        </w:tc>
        <w:tc>
          <w:tcPr>
            <w:tcW w:type="dxa" w:w="1928"/>
          </w:tcPr>
          <w:p>
            <w:pPr>
              <w:spacing w:line="240" w:lineRule="auto" w:after="40" w:before="40"/>
              <w:jc w:val="right"/>
            </w:pPr>
            <w:r>
              <w:rPr>
                <w:b w:val="0"/>
                <w:i w:val="0"/>
                <w:sz w:val="18"/>
              </w:rPr>
              <w:t>16%</w:t>
            </w:r>
          </w:p>
        </w:tc>
      </w:tr>
      <w:tr>
        <w:trPr>
          <w:cantSplit/>
        </w:trPr>
        <w:tc>
          <w:tcPr>
            <w:tcW w:type="dxa" w:w="4876"/>
          </w:tcPr>
          <w:p>
            <w:pPr>
              <w:spacing w:line="240" w:lineRule="auto" w:after="40" w:before="40"/>
              <w:jc w:val="left"/>
            </w:pPr>
            <w:r>
              <w:rPr>
                <w:b w:val="0"/>
                <w:i w:val="0"/>
                <w:sz w:val="18"/>
              </w:rPr>
              <w:t>Distinct top-10 recipe lists</w:t>
            </w:r>
          </w:p>
        </w:tc>
        <w:tc>
          <w:tcPr>
            <w:tcW w:type="dxa" w:w="1928"/>
          </w:tcPr>
          <w:p>
            <w:pPr>
              <w:spacing w:line="240" w:lineRule="auto" w:after="40" w:before="40"/>
              <w:jc w:val="right"/>
            </w:pPr>
            <w:r>
              <w:rPr>
                <w:b w:val="0"/>
                <w:i w:val="0"/>
                <w:sz w:val="18"/>
              </w:rPr>
              <w:t>15</w:t>
            </w:r>
          </w:p>
        </w:tc>
        <w:tc>
          <w:tcPr>
            <w:tcW w:type="dxa" w:w="1928"/>
          </w:tcPr>
          <w:p>
            <w:pPr>
              <w:spacing w:line="240" w:lineRule="auto" w:after="40" w:before="40"/>
              <w:jc w:val="right"/>
            </w:pPr>
            <w:r>
              <w:rPr>
                <w:b w:val="0"/>
                <w:i w:val="0"/>
                <w:sz w:val="18"/>
              </w:rPr>
              <w:t>27</w:t>
            </w:r>
          </w:p>
        </w:tc>
      </w:tr>
    </w:tbl>
    <w:p>
      <w:pPr>
        <w:spacing w:after="40"/>
      </w:pPr>
    </w:p>
    <w:p>
      <w:pPr>
        <w:pStyle w:val="Heading2"/>
      </w:pPr>
      <w:r>
        <w:t>7. Recipe Ranking (Layer 4)</w:t>
      </w:r>
    </w:p>
    <w:p>
      <w:r>
        <w:rPr>
          <w:b w:val="0"/>
          <w:i w:val="0"/>
        </w:rPr>
        <w:t>Each priority is linked to one recipe measure with a public reference value: energy at most 600 kcal per meal (Public Health England), saturated fat and sugars at most 10% of energy (WHO), fibre at least 14 g per 1,000 kcal (Dietary Guidelines for Americans). Candidate main meals are screened for implausible nutrition and diet tags, then scored for health, cuisine compatibility, practical feasibility and acceptability (ratings shrunk by their number), with weights 0.6, 0.2, 0.2 and 0.1. A health gate ranks recipes that meet every reference first; within that group the patient's priority levels still count, so a patient with a high saturated-fat priority receives recipes lower in saturated fat. Every recommendation is explained with its values, reference values and evidence rows.</w:t>
      </w:r>
    </w:p>
    <w:p>
      <w:pPr>
        <w:pStyle w:val="Caption"/>
      </w:pPr>
      <w:r>
        <w:rPr>
          <w:b/>
        </w:rPr>
        <w:t xml:space="preserve">Table 7. </w:t>
      </w:r>
      <w:r>
        <w:t>Ranking evaluation on 300 held-out patients aged 12–59 (share of top-10 recipes meeting each criterion).</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3855"/>
            <w:shd w:val="clear" w:color="auto" w:fill="EDEDED"/>
            <w:tcBorders>
              <w:bottom w:val="single" w:sz="6" w:space="0" w:color="000000"/>
            </w:tcBorders>
          </w:tcPr>
          <w:p>
            <w:pPr>
              <w:spacing w:line="240" w:lineRule="auto" w:after="40" w:before="40"/>
              <w:jc w:val="left"/>
            </w:pPr>
            <w:r>
              <w:rPr>
                <w:b/>
                <w:i w:val="0"/>
                <w:sz w:val="18"/>
              </w:rPr>
              <w:t>Method</w:t>
            </w:r>
          </w:p>
        </w:tc>
        <w:tc>
          <w:tcPr>
            <w:tcW w:type="dxa" w:w="1247"/>
            <w:shd w:val="clear" w:color="auto" w:fill="EDEDED"/>
            <w:tcBorders>
              <w:bottom w:val="single" w:sz="6" w:space="0" w:color="000000"/>
            </w:tcBorders>
          </w:tcPr>
          <w:p>
            <w:pPr>
              <w:spacing w:line="240" w:lineRule="auto" w:after="40" w:before="40"/>
              <w:jc w:val="right"/>
            </w:pPr>
            <w:r>
              <w:rPr>
                <w:b/>
                <w:i w:val="0"/>
                <w:sz w:val="18"/>
              </w:rPr>
              <w:t>Health</w:t>
            </w:r>
          </w:p>
        </w:tc>
        <w:tc>
          <w:tcPr>
            <w:tcW w:type="dxa" w:w="1247"/>
            <w:shd w:val="clear" w:color="auto" w:fill="EDEDED"/>
            <w:tcBorders>
              <w:bottom w:val="single" w:sz="6" w:space="0" w:color="000000"/>
            </w:tcBorders>
          </w:tcPr>
          <w:p>
            <w:pPr>
              <w:spacing w:line="240" w:lineRule="auto" w:after="40" w:before="40"/>
              <w:jc w:val="right"/>
            </w:pPr>
            <w:r>
              <w:rPr>
                <w:b/>
                <w:i w:val="0"/>
                <w:sz w:val="18"/>
              </w:rPr>
              <w:t>Cuisine</w:t>
            </w:r>
          </w:p>
        </w:tc>
        <w:tc>
          <w:tcPr>
            <w:tcW w:type="dxa" w:w="1247"/>
            <w:shd w:val="clear" w:color="auto" w:fill="EDEDED"/>
            <w:tcBorders>
              <w:bottom w:val="single" w:sz="6" w:space="0" w:color="000000"/>
            </w:tcBorders>
          </w:tcPr>
          <w:p>
            <w:pPr>
              <w:spacing w:line="240" w:lineRule="auto" w:after="40" w:before="40"/>
              <w:jc w:val="right"/>
            </w:pPr>
            <w:r>
              <w:rPr>
                <w:b/>
                <w:i w:val="0"/>
                <w:sz w:val="18"/>
              </w:rPr>
              <w:t>Practical</w:t>
            </w:r>
          </w:p>
        </w:tc>
        <w:tc>
          <w:tcPr>
            <w:tcW w:type="dxa" w:w="1247"/>
            <w:shd w:val="clear" w:color="auto" w:fill="EDEDED"/>
            <w:tcBorders>
              <w:bottom w:val="single" w:sz="6" w:space="0" w:color="000000"/>
            </w:tcBorders>
          </w:tcPr>
          <w:p>
            <w:pPr>
              <w:spacing w:line="240" w:lineRule="auto" w:after="40" w:before="40"/>
              <w:jc w:val="right"/>
            </w:pPr>
            <w:r>
              <w:rPr>
                <w:b/>
                <w:i w:val="0"/>
                <w:sz w:val="18"/>
              </w:rPr>
              <w:t>All three</w:t>
            </w:r>
          </w:p>
        </w:tc>
      </w:tr>
      <w:tr>
        <w:trPr>
          <w:cantSplit/>
        </w:trPr>
        <w:tc>
          <w:tcPr>
            <w:tcW w:type="dxa" w:w="3855"/>
          </w:tcPr>
          <w:p>
            <w:pPr>
              <w:spacing w:line="240" w:lineRule="auto" w:after="40" w:before="40"/>
              <w:jc w:val="left"/>
            </w:pPr>
            <w:r>
              <w:rPr>
                <w:b w:val="0"/>
                <w:i w:val="0"/>
                <w:sz w:val="18"/>
              </w:rPr>
              <w:t>Multi-criteria, health-gated (default)</w:t>
            </w:r>
          </w:p>
        </w:tc>
        <w:tc>
          <w:tcPr>
            <w:tcW w:type="dxa" w:w="1247"/>
          </w:tcPr>
          <w:p>
            <w:pPr>
              <w:spacing w:line="240" w:lineRule="auto" w:after="40" w:before="40"/>
              <w:jc w:val="right"/>
            </w:pPr>
            <w:r>
              <w:rPr>
                <w:b w:val="0"/>
                <w:i w:val="0"/>
                <w:sz w:val="18"/>
              </w:rPr>
              <w:t>1.000</w:t>
            </w:r>
          </w:p>
        </w:tc>
        <w:tc>
          <w:tcPr>
            <w:tcW w:type="dxa" w:w="1247"/>
          </w:tcPr>
          <w:p>
            <w:pPr>
              <w:spacing w:line="240" w:lineRule="auto" w:after="40" w:before="40"/>
              <w:jc w:val="right"/>
            </w:pPr>
            <w:r>
              <w:rPr>
                <w:b w:val="0"/>
                <w:i w:val="0"/>
                <w:sz w:val="18"/>
              </w:rPr>
              <w:t>0.998</w:t>
            </w:r>
          </w:p>
        </w:tc>
        <w:tc>
          <w:tcPr>
            <w:tcW w:type="dxa" w:w="1247"/>
          </w:tcPr>
          <w:p>
            <w:pPr>
              <w:spacing w:line="240" w:lineRule="auto" w:after="40" w:before="40"/>
              <w:jc w:val="right"/>
            </w:pPr>
            <w:r>
              <w:rPr>
                <w:b w:val="0"/>
                <w:i w:val="0"/>
                <w:sz w:val="18"/>
              </w:rPr>
              <w:t>0.832</w:t>
            </w:r>
          </w:p>
        </w:tc>
        <w:tc>
          <w:tcPr>
            <w:tcW w:type="dxa" w:w="1247"/>
          </w:tcPr>
          <w:p>
            <w:pPr>
              <w:spacing w:line="240" w:lineRule="auto" w:after="40" w:before="40"/>
              <w:jc w:val="right"/>
            </w:pPr>
            <w:r>
              <w:rPr>
                <w:b w:val="0"/>
                <w:i w:val="0"/>
                <w:sz w:val="18"/>
              </w:rPr>
              <w:t>0.831</w:t>
            </w:r>
          </w:p>
        </w:tc>
      </w:tr>
      <w:tr>
        <w:trPr>
          <w:cantSplit/>
        </w:trPr>
        <w:tc>
          <w:tcPr>
            <w:tcW w:type="dxa" w:w="3855"/>
          </w:tcPr>
          <w:p>
            <w:pPr>
              <w:spacing w:line="240" w:lineRule="auto" w:after="40" w:before="40"/>
              <w:jc w:val="left"/>
            </w:pPr>
            <w:r>
              <w:rPr>
                <w:b w:val="0"/>
                <w:i w:val="0"/>
                <w:sz w:val="18"/>
              </w:rPr>
              <w:t>Multi-criteria, without acceptability</w:t>
            </w:r>
          </w:p>
        </w:tc>
        <w:tc>
          <w:tcPr>
            <w:tcW w:type="dxa" w:w="1247"/>
          </w:tcPr>
          <w:p>
            <w:pPr>
              <w:spacing w:line="240" w:lineRule="auto" w:after="40" w:before="40"/>
              <w:jc w:val="right"/>
            </w:pPr>
            <w:r>
              <w:rPr>
                <w:b w:val="0"/>
                <w:i w:val="0"/>
                <w:sz w:val="18"/>
              </w:rPr>
              <w:t>1.000</w:t>
            </w:r>
          </w:p>
        </w:tc>
        <w:tc>
          <w:tcPr>
            <w:tcW w:type="dxa" w:w="1247"/>
          </w:tcPr>
          <w:p>
            <w:pPr>
              <w:spacing w:line="240" w:lineRule="auto" w:after="40" w:before="40"/>
              <w:jc w:val="right"/>
            </w:pPr>
            <w:r>
              <w:rPr>
                <w:b w:val="0"/>
                <w:i w:val="0"/>
                <w:sz w:val="18"/>
              </w:rPr>
              <w:t>0.994</w:t>
            </w:r>
          </w:p>
        </w:tc>
        <w:tc>
          <w:tcPr>
            <w:tcW w:type="dxa" w:w="1247"/>
          </w:tcPr>
          <w:p>
            <w:pPr>
              <w:spacing w:line="240" w:lineRule="auto" w:after="40" w:before="40"/>
              <w:jc w:val="right"/>
            </w:pPr>
            <w:r>
              <w:rPr>
                <w:b w:val="0"/>
                <w:i w:val="0"/>
                <w:sz w:val="18"/>
              </w:rPr>
              <w:t>0.803</w:t>
            </w:r>
          </w:p>
        </w:tc>
        <w:tc>
          <w:tcPr>
            <w:tcW w:type="dxa" w:w="1247"/>
          </w:tcPr>
          <w:p>
            <w:pPr>
              <w:spacing w:line="240" w:lineRule="auto" w:after="40" w:before="40"/>
              <w:jc w:val="right"/>
            </w:pPr>
            <w:r>
              <w:rPr>
                <w:b w:val="0"/>
                <w:i w:val="0"/>
                <w:sz w:val="18"/>
              </w:rPr>
              <w:t>0.796</w:t>
            </w:r>
          </w:p>
        </w:tc>
      </w:tr>
      <w:tr>
        <w:trPr>
          <w:cantSplit/>
        </w:trPr>
        <w:tc>
          <w:tcPr>
            <w:tcW w:type="dxa" w:w="3855"/>
          </w:tcPr>
          <w:p>
            <w:pPr>
              <w:spacing w:line="240" w:lineRule="auto" w:after="40" w:before="40"/>
              <w:jc w:val="left"/>
            </w:pPr>
            <w:r>
              <w:rPr>
                <w:b w:val="0"/>
                <w:i w:val="0"/>
                <w:sz w:val="18"/>
              </w:rPr>
              <w:t>Multi-criteria, weighted only</w:t>
            </w:r>
          </w:p>
        </w:tc>
        <w:tc>
          <w:tcPr>
            <w:tcW w:type="dxa" w:w="1247"/>
          </w:tcPr>
          <w:p>
            <w:pPr>
              <w:spacing w:line="240" w:lineRule="auto" w:after="40" w:before="40"/>
              <w:jc w:val="right"/>
            </w:pPr>
            <w:r>
              <w:rPr>
                <w:b w:val="0"/>
                <w:i w:val="0"/>
                <w:sz w:val="18"/>
              </w:rPr>
              <w:t>0.737</w:t>
            </w:r>
          </w:p>
        </w:tc>
        <w:tc>
          <w:tcPr>
            <w:tcW w:type="dxa" w:w="1247"/>
          </w:tcPr>
          <w:p>
            <w:pPr>
              <w:spacing w:line="240" w:lineRule="auto" w:after="40" w:before="40"/>
              <w:jc w:val="right"/>
            </w:pPr>
            <w:r>
              <w:rPr>
                <w:b w:val="0"/>
                <w:i w:val="0"/>
                <w:sz w:val="18"/>
              </w:rPr>
              <w:t>1.000</w:t>
            </w:r>
          </w:p>
        </w:tc>
        <w:tc>
          <w:tcPr>
            <w:tcW w:type="dxa" w:w="1247"/>
          </w:tcPr>
          <w:p>
            <w:pPr>
              <w:spacing w:line="240" w:lineRule="auto" w:after="40" w:before="40"/>
              <w:jc w:val="right"/>
            </w:pPr>
            <w:r>
              <w:rPr>
                <w:b w:val="0"/>
                <w:i w:val="0"/>
                <w:sz w:val="18"/>
              </w:rPr>
              <w:t>0.970</w:t>
            </w:r>
          </w:p>
        </w:tc>
        <w:tc>
          <w:tcPr>
            <w:tcW w:type="dxa" w:w="1247"/>
          </w:tcPr>
          <w:p>
            <w:pPr>
              <w:spacing w:line="240" w:lineRule="auto" w:after="40" w:before="40"/>
              <w:jc w:val="right"/>
            </w:pPr>
            <w:r>
              <w:rPr>
                <w:b w:val="0"/>
                <w:i w:val="0"/>
                <w:sz w:val="18"/>
              </w:rPr>
              <w:t>0.727</w:t>
            </w:r>
          </w:p>
        </w:tc>
      </w:tr>
      <w:tr>
        <w:trPr>
          <w:cantSplit/>
        </w:trPr>
        <w:tc>
          <w:tcPr>
            <w:tcW w:type="dxa" w:w="3855"/>
          </w:tcPr>
          <w:p>
            <w:pPr>
              <w:spacing w:line="240" w:lineRule="auto" w:after="40" w:before="40"/>
              <w:jc w:val="left"/>
            </w:pPr>
            <w:r>
              <w:rPr>
                <w:b w:val="0"/>
                <w:i w:val="0"/>
                <w:sz w:val="18"/>
              </w:rPr>
              <w:t>Health score only</w:t>
            </w:r>
          </w:p>
        </w:tc>
        <w:tc>
          <w:tcPr>
            <w:tcW w:type="dxa" w:w="1247"/>
          </w:tcPr>
          <w:p>
            <w:pPr>
              <w:spacing w:line="240" w:lineRule="auto" w:after="40" w:before="40"/>
              <w:jc w:val="right"/>
            </w:pPr>
            <w:r>
              <w:rPr>
                <w:b w:val="0"/>
                <w:i w:val="0"/>
                <w:sz w:val="18"/>
              </w:rPr>
              <w:t>1.000</w:t>
            </w:r>
          </w:p>
        </w:tc>
        <w:tc>
          <w:tcPr>
            <w:tcW w:type="dxa" w:w="1247"/>
          </w:tcPr>
          <w:p>
            <w:pPr>
              <w:spacing w:line="240" w:lineRule="auto" w:after="40" w:before="40"/>
              <w:jc w:val="right"/>
            </w:pPr>
            <w:r>
              <w:rPr>
                <w:b w:val="0"/>
                <w:i w:val="0"/>
                <w:sz w:val="18"/>
              </w:rPr>
              <w:t>0.057</w:t>
            </w:r>
          </w:p>
        </w:tc>
        <w:tc>
          <w:tcPr>
            <w:tcW w:type="dxa" w:w="1247"/>
          </w:tcPr>
          <w:p>
            <w:pPr>
              <w:spacing w:line="240" w:lineRule="auto" w:after="40" w:before="40"/>
              <w:jc w:val="right"/>
            </w:pPr>
            <w:r>
              <w:rPr>
                <w:b w:val="0"/>
                <w:i w:val="0"/>
                <w:sz w:val="18"/>
              </w:rPr>
              <w:t>0.400</w:t>
            </w:r>
          </w:p>
        </w:tc>
        <w:tc>
          <w:tcPr>
            <w:tcW w:type="dxa" w:w="1247"/>
          </w:tcPr>
          <w:p>
            <w:pPr>
              <w:spacing w:line="240" w:lineRule="auto" w:after="40" w:before="40"/>
              <w:jc w:val="right"/>
            </w:pPr>
            <w:r>
              <w:rPr>
                <w:b w:val="0"/>
                <w:i w:val="0"/>
                <w:sz w:val="18"/>
              </w:rPr>
              <w:t>0.017</w:t>
            </w:r>
          </w:p>
        </w:tc>
      </w:tr>
      <w:tr>
        <w:trPr>
          <w:cantSplit/>
        </w:trPr>
        <w:tc>
          <w:tcPr>
            <w:tcW w:type="dxa" w:w="3855"/>
          </w:tcPr>
          <w:p>
            <w:pPr>
              <w:spacing w:line="240" w:lineRule="auto" w:after="40" w:before="40"/>
              <w:jc w:val="left"/>
            </w:pPr>
            <w:r>
              <w:rPr>
                <w:b w:val="0"/>
                <w:i w:val="0"/>
                <w:sz w:val="18"/>
              </w:rPr>
              <w:t>Nutrition only (non-personalised)</w:t>
            </w:r>
          </w:p>
        </w:tc>
        <w:tc>
          <w:tcPr>
            <w:tcW w:type="dxa" w:w="1247"/>
          </w:tcPr>
          <w:p>
            <w:pPr>
              <w:spacing w:line="240" w:lineRule="auto" w:after="40" w:before="40"/>
              <w:jc w:val="right"/>
            </w:pPr>
            <w:r>
              <w:rPr>
                <w:b w:val="0"/>
                <w:i w:val="0"/>
                <w:sz w:val="18"/>
              </w:rPr>
              <w:t>1.000</w:t>
            </w:r>
          </w:p>
        </w:tc>
        <w:tc>
          <w:tcPr>
            <w:tcW w:type="dxa" w:w="1247"/>
          </w:tcPr>
          <w:p>
            <w:pPr>
              <w:spacing w:line="240" w:lineRule="auto" w:after="40" w:before="40"/>
              <w:jc w:val="right"/>
            </w:pPr>
            <w:r>
              <w:rPr>
                <w:b w:val="0"/>
                <w:i w:val="0"/>
                <w:sz w:val="18"/>
              </w:rPr>
              <w:t>0.057</w:t>
            </w:r>
          </w:p>
        </w:tc>
        <w:tc>
          <w:tcPr>
            <w:tcW w:type="dxa" w:w="1247"/>
          </w:tcPr>
          <w:p>
            <w:pPr>
              <w:spacing w:line="240" w:lineRule="auto" w:after="40" w:before="40"/>
              <w:jc w:val="right"/>
            </w:pPr>
            <w:r>
              <w:rPr>
                <w:b w:val="0"/>
                <w:i w:val="0"/>
                <w:sz w:val="18"/>
              </w:rPr>
              <w:t>0.400</w:t>
            </w:r>
          </w:p>
        </w:tc>
        <w:tc>
          <w:tcPr>
            <w:tcW w:type="dxa" w:w="1247"/>
          </w:tcPr>
          <w:p>
            <w:pPr>
              <w:spacing w:line="240" w:lineRule="auto" w:after="40" w:before="40"/>
              <w:jc w:val="right"/>
            </w:pPr>
            <w:r>
              <w:rPr>
                <w:b w:val="0"/>
                <w:i w:val="0"/>
                <w:sz w:val="18"/>
              </w:rPr>
              <w:t>0.017</w:t>
            </w:r>
          </w:p>
        </w:tc>
      </w:tr>
      <w:tr>
        <w:trPr>
          <w:cantSplit/>
        </w:trPr>
        <w:tc>
          <w:tcPr>
            <w:tcW w:type="dxa" w:w="3855"/>
          </w:tcPr>
          <w:p>
            <w:pPr>
              <w:spacing w:line="240" w:lineRule="auto" w:after="40" w:before="40"/>
              <w:jc w:val="left"/>
            </w:pPr>
            <w:r>
              <w:rPr>
                <w:b w:val="0"/>
                <w:i w:val="0"/>
                <w:sz w:val="18"/>
              </w:rPr>
              <w:t>Random</w:t>
            </w:r>
          </w:p>
        </w:tc>
        <w:tc>
          <w:tcPr>
            <w:tcW w:type="dxa" w:w="1247"/>
          </w:tcPr>
          <w:p>
            <w:pPr>
              <w:spacing w:line="240" w:lineRule="auto" w:after="40" w:before="40"/>
              <w:jc w:val="right"/>
            </w:pPr>
            <w:r>
              <w:rPr>
                <w:b w:val="0"/>
                <w:i w:val="0"/>
                <w:sz w:val="18"/>
              </w:rPr>
              <w:t>0.057</w:t>
            </w:r>
          </w:p>
        </w:tc>
        <w:tc>
          <w:tcPr>
            <w:tcW w:type="dxa" w:w="1247"/>
          </w:tcPr>
          <w:p>
            <w:pPr>
              <w:spacing w:line="240" w:lineRule="auto" w:after="40" w:before="40"/>
              <w:jc w:val="right"/>
            </w:pPr>
            <w:r>
              <w:rPr>
                <w:b w:val="0"/>
                <w:i w:val="0"/>
                <w:sz w:val="18"/>
              </w:rPr>
              <w:t>0.053</w:t>
            </w:r>
          </w:p>
        </w:tc>
        <w:tc>
          <w:tcPr>
            <w:tcW w:type="dxa" w:w="1247"/>
          </w:tcPr>
          <w:p>
            <w:pPr>
              <w:spacing w:line="240" w:lineRule="auto" w:after="40" w:before="40"/>
              <w:jc w:val="right"/>
            </w:pPr>
            <w:r>
              <w:rPr>
                <w:b w:val="0"/>
                <w:i w:val="0"/>
                <w:sz w:val="18"/>
              </w:rPr>
              <w:t>0.596</w:t>
            </w:r>
          </w:p>
        </w:tc>
        <w:tc>
          <w:tcPr>
            <w:tcW w:type="dxa" w:w="1247"/>
          </w:tcPr>
          <w:p>
            <w:pPr>
              <w:spacing w:line="240" w:lineRule="auto" w:after="40" w:before="40"/>
              <w:jc w:val="right"/>
            </w:pPr>
            <w:r>
              <w:rPr>
                <w:b w:val="0"/>
                <w:i w:val="0"/>
                <w:sz w:val="18"/>
              </w:rPr>
              <w:t>0.003</w:t>
            </w:r>
          </w:p>
        </w:tc>
      </w:tr>
    </w:tbl>
    <w:p>
      <w:pPr>
        <w:spacing w:after="200" w:line="240" w:lineRule="auto" w:before="80"/>
        <w:jc w:val="left"/>
      </w:pPr>
      <w:r>
        <w:rPr>
          <w:b w:val="0"/>
          <w:i/>
          <w:sz w:val="18"/>
        </w:rPr>
        <w:t>Practical: at most 60 minutes, 15 ingredients and 12 steps. Cuisine preferences are simulated because NHANES does not record them; real preferences will be tested in the pilot evaluation.</w:t>
      </w:r>
    </w:p>
    <w:p>
      <w:r>
        <w:rPr>
          <w:b w:val="0"/>
          <w:i w:val="0"/>
        </w:rPr>
        <w:t>Earlier, the gated ranking reached 0.899, but inside the gate every recipe scored 100 for health, so priority levels changed nothing and, in the 17 October tuning run (all ages), 300 patients received only eight distinct lists. Letting priorities count inside the gate (Figure 3) was preferred: a digital twin that gives everyone the same list is not personalised.</w:t>
      </w:r>
    </w:p>
    <w:p>
      <w:pPr>
        <w:jc w:val="center"/>
      </w:pPr>
      <w:r>
        <w:drawing>
          <wp:inline xmlns:a="http://schemas.openxmlformats.org/drawingml/2006/main" xmlns:pic="http://schemas.openxmlformats.org/drawingml/2006/picture">
            <wp:extent cx="5040000" cy="3056771"/>
            <wp:docPr id="3" name="Picture 3"/>
            <wp:cNvGraphicFramePr>
              <a:graphicFrameLocks noChangeAspect="1"/>
            </wp:cNvGraphicFramePr>
            <a:graphic>
              <a:graphicData uri="http://schemas.openxmlformats.org/drawingml/2006/picture">
                <pic:pic>
                  <pic:nvPicPr>
                    <pic:cNvPr id="0" name="m9_fig_margin.png"/>
                    <pic:cNvPicPr/>
                  </pic:nvPicPr>
                  <pic:blipFill>
                    <a:blip r:embed="rId11"/>
                    <a:stretch>
                      <a:fillRect/>
                    </a:stretch>
                  </pic:blipFill>
                  <pic:spPr>
                    <a:xfrm>
                      <a:off x="0" y="0"/>
                      <a:ext cx="5040000" cy="3056771"/>
                    </a:xfrm>
                    <a:prstGeom prst="rect"/>
                  </pic:spPr>
                </pic:pic>
              </a:graphicData>
            </a:graphic>
          </wp:inline>
        </w:drawing>
      </w:r>
    </w:p>
    <w:p>
      <w:pPr>
        <w:pStyle w:val="Caption"/>
      </w:pPr>
      <w:r>
        <w:rPr>
          <w:b/>
        </w:rPr>
        <w:t xml:space="preserve">Figure 3. </w:t>
      </w:r>
      <w:r>
        <w:t>How much the priority levels count inside the health gate: practicality against the number of distinct recommendation lists (17 October tuning run, all ages, before acceptability was added).</w:t>
      </w:r>
    </w:p>
    <w:p>
      <w:pPr>
        <w:pStyle w:val="Heading2"/>
      </w:pPr>
      <w:r>
        <w:t>8. Scenarios (Layer 5) and Seven-Day Meal Plans</w:t>
      </w:r>
    </w:p>
    <w:p>
      <w:r>
        <w:rPr>
          <w:b w:val="0"/>
          <w:i w:val="0"/>
        </w:rPr>
        <w:t>A scenario replaces the patient's usual meals with chosen recipes. For each priority it reports whether the scenario improves, worsens or does not change the measure relative to the patient's usual diet, with the evidence label of that pathway; for example, a sugar reduction counts as MODERATE evidence only when energy also falls, matching the feeding-trial evidence. The liver model is not used to predict future CAP: it was not trained on interventions and NHANES has no repeat measurements, so future states are shown as directions labelled “Simulated projection, not a clinical forecast”.</w:t>
      </w:r>
    </w:p>
    <w:p>
      <w:r>
        <w:rPr>
          <w:b w:val="0"/>
          <w:i w:val="0"/>
        </w:rPr>
        <w:t>Seven-day plans give two main meals a day that meet every reference, with varied protein sources. Because a patient may lack the ingredients, tools or taste for other cuisines, the week is filled from the patient's own cuisine first, then by repeating a favourite (never on consecutive days), and only then from the most similar cuisine by ingredients, labelled as such: 58% of plans used the own cuisine only, 80% by the repeat step, and 100% overall. 81% of plan meals are within the practical limits.</w:t>
      </w:r>
    </w:p>
    <w:p>
      <w:pPr>
        <w:pStyle w:val="Heading2"/>
      </w:pPr>
      <w:r>
        <w:t>9. Changes to the Proposal and Key Decisions</w:t>
      </w:r>
    </w:p>
    <w:p>
      <w:pPr>
        <w:ind w:left="510" w:hanging="283"/>
      </w:pPr>
      <w:r>
        <w:rPr>
          <w:b w:val="0"/>
          <w:i w:val="0"/>
        </w:rPr>
        <w:t xml:space="preserve">• </w:t>
      </w:r>
      <w:r>
        <w:rPr>
          <w:b/>
          <w:i w:val="0"/>
        </w:rPr>
        <w:t>Data sources.</w:t>
      </w:r>
      <w:r>
        <w:rPr>
          <w:b w:val="0"/>
          <w:i w:val="0"/>
        </w:rPr>
        <w:t xml:space="preserve"> RecipeDB is the only recipe source; FlavorDB was explored and not used; DietRx and SpiceRx moved to future work. The available RecipeDB holds 20,000 recipes, 19 of them Indian; since the cohort is the US population, regional Indian cuisines are future work.</w:t>
      </w:r>
    </w:p>
    <w:p>
      <w:pPr>
        <w:ind w:left="510" w:hanging="283"/>
      </w:pPr>
      <w:r>
        <w:rPr>
          <w:b w:val="0"/>
          <w:i w:val="0"/>
        </w:rPr>
        <w:t xml:space="preserve">• </w:t>
      </w:r>
      <w:r>
        <w:rPr>
          <w:b/>
          <w:i w:val="0"/>
        </w:rPr>
        <w:t>Cohort.</w:t>
      </w:r>
      <w:r>
        <w:rPr>
          <w:b w:val="0"/>
          <w:i w:val="0"/>
        </w:rPr>
        <w:t xml:space="preserve"> Both NHANES FibroScan cycles were pooled (15,300 participants) and validated over time; NHANES III ultrasound with mortality follow-up is proposed for external validation.</w:t>
      </w:r>
    </w:p>
    <w:p>
      <w:pPr>
        <w:ind w:left="510" w:hanging="283"/>
      </w:pPr>
      <w:r>
        <w:rPr>
          <w:b w:val="0"/>
          <w:i w:val="0"/>
        </w:rPr>
        <w:t xml:space="preserve">• </w:t>
      </w:r>
      <w:r>
        <w:rPr>
          <w:b/>
          <w:i w:val="0"/>
        </w:rPr>
        <w:t>Ranking.</w:t>
      </w:r>
      <w:r>
        <w:rPr>
          <w:b w:val="0"/>
          <w:i w:val="0"/>
        </w:rPr>
        <w:t xml:space="preserve"> Health gate by default; priority levels count inside it; acceptability added.</w:t>
      </w:r>
    </w:p>
    <w:p>
      <w:pPr>
        <w:ind w:left="510" w:hanging="283"/>
      </w:pPr>
      <w:r>
        <w:rPr>
          <w:b w:val="0"/>
          <w:i w:val="0"/>
        </w:rPr>
        <w:t xml:space="preserve">• </w:t>
      </w:r>
      <w:r>
        <w:rPr>
          <w:b/>
          <w:i w:val="0"/>
        </w:rPr>
        <w:t>Extensions added to the proposal (§17).</w:t>
      </w:r>
      <w:r>
        <w:rPr>
          <w:b w:val="0"/>
          <w:i w:val="0"/>
        </w:rPr>
        <w:t xml:space="preserve"> Habitual diet, fibrosis risk and referral, MASLD/MetALD labelling and safety notices, patient-level explanations and uncertainty, re-assessment timeline, meal plans, grounded plain-language summaries, a fairness audit, external validation, ultra-processing and glycaemic-load criteria, acceptability and further evidence rows.</w:t>
      </w:r>
    </w:p>
    <w:p>
      <w:pPr>
        <w:pStyle w:val="Heading2"/>
      </w:pPr>
      <w:r>
        <w:t>10. Limitations</w:t>
      </w:r>
    </w:p>
    <w:p>
      <w:pPr>
        <w:ind w:left="510" w:hanging="283"/>
      </w:pPr>
      <w:r>
        <w:rPr>
          <w:b w:val="0"/>
          <w:i w:val="0"/>
        </w:rPr>
        <w:t>• NHANES is cross-sectional: the twin's current state is validated, future states are not.</w:t>
      </w:r>
    </w:p>
    <w:p>
      <w:pPr>
        <w:ind w:left="510" w:hanging="283"/>
      </w:pPr>
      <w:r>
        <w:rPr>
          <w:b w:val="0"/>
          <w:i w:val="0"/>
        </w:rPr>
        <w:t>• Validation is internal and temporal within NHANES; external validation (NHANES III) is planned.</w:t>
      </w:r>
    </w:p>
    <w:p>
      <w:pPr>
        <w:ind w:left="510" w:hanging="283"/>
      </w:pPr>
      <w:r>
        <w:rPr>
          <w:b w:val="0"/>
          <w:i w:val="0"/>
        </w:rPr>
        <w:t>• One 24-hour recall describes one day, so it moves a priority by at most one level.</w:t>
      </w:r>
    </w:p>
    <w:p>
      <w:pPr>
        <w:ind w:left="510" w:hanging="283"/>
      </w:pPr>
      <w:r>
        <w:rPr>
          <w:b w:val="0"/>
          <w:i w:val="0"/>
        </w:rPr>
        <w:t>• Cuisine preferences in the ranking evaluation are simulated until the pilot evaluation.</w:t>
      </w:r>
    </w:p>
    <w:p>
      <w:pPr>
        <w:ind w:left="510" w:hanging="283"/>
      </w:pPr>
      <w:r>
        <w:rPr>
          <w:b w:val="0"/>
          <w:i w:val="0"/>
        </w:rPr>
        <w:t>• The evidence concerns dietary patterns sustained over weeks; recipe-level effects are indirect.</w:t>
      </w:r>
    </w:p>
    <w:p>
      <w:pPr>
        <w:pStyle w:val="Heading2"/>
      </w:pPr>
      <w:r>
        <w:t>11. Remaining Work</w:t>
      </w:r>
    </w:p>
    <w:p>
      <w:pPr>
        <w:pStyle w:val="Caption"/>
      </w:pPr>
      <w:r>
        <w:rPr>
          <w:b/>
        </w:rPr>
        <w:t xml:space="preserve">Table 8. </w:t>
      </w:r>
      <w:r>
        <w:t>Plan for the remaining meetings.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1474"/>
            <w:shd w:val="clear" w:color="auto" w:fill="EDEDED"/>
            <w:tcBorders>
              <w:bottom w:val="single" w:sz="6" w:space="0" w:color="000000"/>
            </w:tcBorders>
          </w:tcPr>
          <w:p>
            <w:pPr>
              <w:spacing w:line="240" w:lineRule="auto" w:after="40" w:before="40"/>
              <w:jc w:val="left"/>
            </w:pPr>
            <w:r>
              <w:rPr>
                <w:b/>
                <w:i w:val="0"/>
                <w:sz w:val="18"/>
              </w:rPr>
              <w:t>Meeting</w:t>
            </w:r>
          </w:p>
        </w:tc>
        <w:tc>
          <w:tcPr>
            <w:tcW w:type="dxa" w:w="7540"/>
            <w:shd w:val="clear" w:color="auto" w:fill="EDEDED"/>
            <w:tcBorders>
              <w:bottom w:val="single" w:sz="6" w:space="0" w:color="000000"/>
            </w:tcBorders>
          </w:tcPr>
          <w:p>
            <w:pPr>
              <w:spacing w:line="240" w:lineRule="auto" w:after="40" w:before="40"/>
              <w:jc w:val="left"/>
            </w:pPr>
            <w:r>
              <w:rPr>
                <w:b/>
                <w:i w:val="0"/>
                <w:sz w:val="18"/>
              </w:rPr>
              <w:t>Work</w:t>
            </w:r>
          </w:p>
        </w:tc>
      </w:tr>
      <w:tr>
        <w:trPr>
          <w:cantSplit/>
        </w:trPr>
        <w:tc>
          <w:tcPr>
            <w:tcW w:type="dxa" w:w="1474"/>
          </w:tcPr>
          <w:p>
            <w:pPr>
              <w:spacing w:line="240" w:lineRule="auto" w:after="40" w:before="40"/>
              <w:jc w:val="left"/>
            </w:pPr>
            <w:r>
              <w:rPr>
                <w:b w:val="0"/>
                <w:i w:val="0"/>
                <w:sz w:val="18"/>
              </w:rPr>
              <w:t>10 · 30 Oct</w:t>
            </w:r>
          </w:p>
        </w:tc>
        <w:tc>
          <w:tcPr>
            <w:tcW w:type="dxa" w:w="7540"/>
          </w:tcPr>
          <w:p>
            <w:pPr>
              <w:spacing w:line="240" w:lineRule="auto" w:after="40" w:before="40"/>
              <w:jc w:val="left"/>
            </w:pPr>
            <w:r>
              <w:rPr>
                <w:b w:val="0"/>
                <w:i w:val="0"/>
                <w:sz w:val="18"/>
              </w:rPr>
              <w:t>Fibrosis risk (FIB-4) against measured liver stiffness, with the referral pathway; MASLD/MetALD labelling and safety notices; per-patient SHAP and conformal CAP intervals; causal knowledge graph; recipe explanations and plain-language summaries; richer cuisine and feasibility scores; NHANES III download</w:t>
            </w:r>
          </w:p>
        </w:tc>
      </w:tr>
      <w:tr>
        <w:trPr>
          <w:cantSplit/>
        </w:trPr>
        <w:tc>
          <w:tcPr>
            <w:tcW w:type="dxa" w:w="1474"/>
          </w:tcPr>
          <w:p>
            <w:pPr>
              <w:spacing w:line="240" w:lineRule="auto" w:after="40" w:before="40"/>
              <w:jc w:val="left"/>
            </w:pPr>
            <w:r>
              <w:rPr>
                <w:b w:val="0"/>
                <w:i w:val="0"/>
                <w:sz w:val="18"/>
              </w:rPr>
              <w:t>11 · 6 Nov</w:t>
            </w:r>
          </w:p>
        </w:tc>
        <w:tc>
          <w:tcPr>
            <w:tcW w:type="dxa" w:w="7540"/>
          </w:tcPr>
          <w:p>
            <w:pPr>
              <w:spacing w:line="240" w:lineRule="auto" w:after="40" w:before="40"/>
              <w:jc w:val="left"/>
            </w:pPr>
            <w:r>
              <w:rPr>
                <w:b w:val="0"/>
                <w:i w:val="0"/>
                <w:sz w:val="18"/>
              </w:rPr>
              <w:t>FastAPI backend with SQLite; re-assessment timeline; 3D liver with timeline slider; React dashboard; ultra-processing and glycaemic-load criteria</w:t>
            </w:r>
          </w:p>
        </w:tc>
      </w:tr>
      <w:tr>
        <w:trPr>
          <w:cantSplit/>
        </w:trPr>
        <w:tc>
          <w:tcPr>
            <w:tcW w:type="dxa" w:w="1474"/>
          </w:tcPr>
          <w:p>
            <w:pPr>
              <w:spacing w:line="240" w:lineRule="auto" w:after="40" w:before="40"/>
              <w:jc w:val="left"/>
            </w:pPr>
            <w:r>
              <w:rPr>
                <w:b w:val="0"/>
                <w:i w:val="0"/>
                <w:sz w:val="18"/>
              </w:rPr>
              <w:t>12 · 13 Nov</w:t>
            </w:r>
          </w:p>
        </w:tc>
        <w:tc>
          <w:tcPr>
            <w:tcW w:type="dxa" w:w="7540"/>
          </w:tcPr>
          <w:p>
            <w:pPr>
              <w:spacing w:line="240" w:lineRule="auto" w:after="40" w:before="40"/>
              <w:jc w:val="left"/>
            </w:pPr>
            <w:r>
              <w:rPr>
                <w:b w:val="0"/>
                <w:i w:val="0"/>
                <w:sz w:val="18"/>
              </w:rPr>
              <w:t>NHANES III external and mortality validation; fibrosis triage accuracy; conformal coverage; fairness audit; pilot evaluation with 5–10 people</w:t>
            </w:r>
          </w:p>
        </w:tc>
      </w:tr>
      <w:tr>
        <w:trPr>
          <w:cantSplit/>
        </w:trPr>
        <w:tc>
          <w:tcPr>
            <w:tcW w:type="dxa" w:w="1474"/>
          </w:tcPr>
          <w:p>
            <w:pPr>
              <w:spacing w:line="240" w:lineRule="auto" w:after="40" w:before="40"/>
              <w:jc w:val="left"/>
            </w:pPr>
            <w:r>
              <w:rPr>
                <w:b w:val="0"/>
                <w:i w:val="0"/>
                <w:sz w:val="18"/>
              </w:rPr>
              <w:t>13 · 20 Nov</w:t>
            </w:r>
          </w:p>
        </w:tc>
        <w:tc>
          <w:tcPr>
            <w:tcW w:type="dxa" w:w="7540"/>
          </w:tcPr>
          <w:p>
            <w:pPr>
              <w:spacing w:line="240" w:lineRule="auto" w:after="40" w:before="40"/>
              <w:jc w:val="left"/>
            </w:pPr>
            <w:r>
              <w:rPr>
                <w:b w:val="0"/>
                <w:i w:val="0"/>
                <w:sz w:val="18"/>
              </w:rPr>
              <w:t>Freeze scope; thesis chapters; update Appendices A and B</w:t>
            </w:r>
          </w:p>
        </w:tc>
      </w:tr>
      <w:tr>
        <w:trPr>
          <w:cantSplit/>
        </w:trPr>
        <w:tc>
          <w:tcPr>
            <w:tcW w:type="dxa" w:w="1474"/>
          </w:tcPr>
          <w:p>
            <w:pPr>
              <w:spacing w:line="240" w:lineRule="auto" w:after="40" w:before="40"/>
              <w:jc w:val="left"/>
            </w:pPr>
            <w:r>
              <w:rPr>
                <w:b w:val="0"/>
                <w:i w:val="0"/>
                <w:sz w:val="18"/>
              </w:rPr>
              <w:t>14 · 27 Nov</w:t>
            </w:r>
          </w:p>
        </w:tc>
        <w:tc>
          <w:tcPr>
            <w:tcW w:type="dxa" w:w="7540"/>
          </w:tcPr>
          <w:p>
            <w:pPr>
              <w:spacing w:line="240" w:lineRule="auto" w:after="40" w:before="40"/>
              <w:jc w:val="left"/>
            </w:pPr>
            <w:r>
              <w:rPr>
                <w:b w:val="0"/>
                <w:i w:val="0"/>
                <w:sz w:val="18"/>
              </w:rPr>
              <w:t>Final checks, reproducibility, presentation and live demonstration</w:t>
            </w:r>
          </w:p>
        </w:tc>
      </w:tr>
    </w:tbl>
    <w:p>
      <w:pPr>
        <w:spacing w:after="40"/>
      </w:pPr>
    </w:p>
    <w:p>
      <w:pPr>
        <w:pStyle w:val="Heading2"/>
      </w:pPr>
      <w:r>
        <w:t>12. Documents and Code</w:t>
      </w:r>
    </w:p>
    <w:p>
      <w:pPr>
        <w:ind w:left="510" w:hanging="283"/>
        <w:jc w:val="left"/>
      </w:pPr>
      <w:r>
        <w:rPr>
          <w:b w:val="0"/>
          <w:i w:val="0"/>
        </w:rPr>
        <w:t xml:space="preserve">• </w:t>
      </w:r>
      <w:r>
        <w:rPr>
          <w:b/>
          <w:i w:val="0"/>
        </w:rPr>
        <w:t>Code:</w:t>
      </w:r>
      <w:r>
        <w:rPr>
          <w:b w:val="0"/>
          <w:i w:val="0"/>
        </w:rPr>
        <w:t xml:space="preserve"> https://github.com/manojna0012/HepatoTwin. The README lists the commands that rebuild the data, models and results; 84 automated tests check the pipeline.</w:t>
      </w:r>
    </w:p>
    <w:p>
      <w:pPr>
        <w:ind w:left="510" w:hanging="283"/>
        <w:jc w:val="left"/>
      </w:pPr>
      <w:r>
        <w:rPr>
          <w:b w:val="0"/>
          <w:i w:val="0"/>
        </w:rPr>
        <w:t xml:space="preserve">• </w:t>
      </w:r>
      <w:r>
        <w:rPr>
          <w:b/>
          <w:i w:val="0"/>
        </w:rPr>
        <w:t>EDA report</w:t>
      </w:r>
      <w:r>
        <w:rPr>
          <w:b w:val="0"/>
          <w:i w:val="0"/>
        </w:rPr>
        <w:t xml:space="preserve"> of every dataset used (docs/thesis/HepatoTwin_EDA_Report.pdf), produced by src/eda_report.py.</w:t>
      </w:r>
    </w:p>
    <w:p>
      <w:pPr>
        <w:ind w:left="510" w:hanging="283"/>
        <w:jc w:val="left"/>
      </w:pPr>
      <w:r>
        <w:rPr>
          <w:b w:val="0"/>
          <w:i w:val="0"/>
        </w:rPr>
        <w:t xml:space="preserve">• </w:t>
      </w:r>
      <w:r>
        <w:rPr>
          <w:b/>
          <w:i w:val="0"/>
        </w:rPr>
        <w:t>Appendix A,</w:t>
      </w:r>
      <w:r>
        <w:rPr>
          <w:b w:val="0"/>
          <w:i w:val="0"/>
        </w:rPr>
        <w:t xml:space="preserve"> the experiment record for the liver model (docs/thesis/HepatoTwin_Experiment_Record.pdf).</w:t>
      </w:r>
    </w:p>
    <w:p>
      <w:pPr>
        <w:ind w:left="510" w:hanging="283"/>
        <w:jc w:val="left"/>
      </w:pPr>
      <w:r>
        <w:rPr>
          <w:b w:val="0"/>
          <w:i w:val="0"/>
        </w:rPr>
        <w:t xml:space="preserve">• </w:t>
      </w:r>
      <w:r>
        <w:rPr>
          <w:b/>
          <w:i w:val="0"/>
        </w:rPr>
        <w:t>Appendix B,</w:t>
      </w:r>
      <w:r>
        <w:rPr>
          <w:b w:val="0"/>
          <w:i w:val="0"/>
        </w:rPr>
        <w:t xml:space="preserve"> the evidence engine and recipe ranking (docs/thesis/HepatoTwin_Appendix_B_Ranking_Engine.pdf).</w:t>
      </w:r>
    </w:p>
    <w:p>
      <w:pPr>
        <w:ind w:left="510" w:hanging="283"/>
        <w:jc w:val="left"/>
      </w:pPr>
      <w:r>
        <w:rPr>
          <w:b w:val="0"/>
          <w:i w:val="0"/>
        </w:rPr>
        <w:t xml:space="preserve">• </w:t>
      </w:r>
      <w:r>
        <w:rPr>
          <w:b/>
          <w:i w:val="0"/>
        </w:rPr>
        <w:t>Meeting 9 report</w:t>
      </w:r>
      <w:r>
        <w:rPr>
          <w:b w:val="0"/>
          <w:i w:val="0"/>
        </w:rPr>
        <w:t xml:space="preserve"> (docs/thesis/HepatoTwin_Meeting9_Report.pdf), the proposal and the weekly action plan.</w:t>
      </w:r>
    </w:p>
    <w:p>
      <w:pPr>
        <w:ind w:left="510" w:hanging="283"/>
        <w:jc w:val="left"/>
      </w:pPr>
      <w:r>
        <w:rPr>
          <w:b w:val="0"/>
          <w:i w:val="0"/>
        </w:rPr>
        <w:t xml:space="preserve">• </w:t>
      </w:r>
      <w:r>
        <w:rPr>
          <w:b/>
          <w:i w:val="0"/>
        </w:rPr>
        <w:t>Demonstration:</w:t>
      </w:r>
      <w:r>
        <w:rPr>
          <w:b w:val="0"/>
          <w:i w:val="0"/>
        </w:rPr>
        <w:t xml:space="preserve"> python src/demo.py --seqn 109349 --cuisine American --plan runs Layers 2–5 for one held-out patient.</w:t>
      </w:r>
    </w:p>
    <w:sectPr w:rsidR="00FC693F" w:rsidRPr="0006063C" w:rsidSect="00034616">
      <w:footerReference w:type="default" r:id="rId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