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Appendix A. Experiment Record for the Layer 2 Patient-State Model</w:t>
      </w:r>
    </w:p>
    <w:p>
      <w:r>
        <w:rPr>
          <w:b w:val="0"/>
          <w:i w:val="0"/>
        </w:rPr>
        <w:t>This appendix records every experiment conducted between 5 September and 22 October 2026 to improve the HepatoTwin patient-state model, which predicts the controlled attenuation parameter (CAP; NHANES variable LUXCAPM, dB/m) measured by FibroScan transient elastography. For each experiment it states what was tested, the result, whether the change was adopted, and the reason. The cohort comprised participants with a complete elastography examination (LUAXSTAT = 1) and an observed CAP value, aged 12 to 80 years. The final model is intended for patients aged 12 to 59 and is evaluated where the reference CAP is reliable (Section A.9). All figures are taken from result files saved in the project repository.</w:t>
      </w:r>
    </w:p>
    <w:p>
      <w:pPr>
        <w:pStyle w:val="Heading2"/>
      </w:pPr>
      <w:r>
        <w:t>A.1 Summary</w:t>
      </w:r>
    </w:p>
    <w:p>
      <w:pPr>
        <w:pStyle w:val="Caption"/>
      </w:pPr>
      <w:r>
        <w:rPr>
          <w:b/>
        </w:rPr>
        <w:t xml:space="preserve">Table A.1. </w:t>
      </w:r>
      <w:r>
        <w:t>Headline results.</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3009"/>
        <w:gridCol w:w="3009"/>
        <w:gridCol w:w="3009"/>
      </w:tblGrid>
      <w:tr>
        <w:trPr>
          <w:tblHeader/>
          <w:cantSplit/>
        </w:trPr>
        <w:tc>
          <w:tcPr>
            <w:tcW w:type="dxa" w:w="2608"/>
            <w:shd w:val="clear" w:color="auto" w:fill="EDEDED"/>
            <w:tcBorders>
              <w:bottom w:val="single" w:sz="6" w:space="0" w:color="000000"/>
            </w:tcBorders>
          </w:tcPr>
          <w:p>
            <w:pPr>
              <w:spacing w:line="240" w:lineRule="auto" w:after="40" w:before="40"/>
              <w:jc w:val="left"/>
            </w:pPr>
            <w:r>
              <w:rPr>
                <w:b/>
                <w:i w:val="0"/>
                <w:sz w:val="20"/>
              </w:rPr>
              <w:t>Measure</w:t>
            </w:r>
          </w:p>
        </w:tc>
        <w:tc>
          <w:tcPr>
            <w:tcW w:type="dxa" w:w="1928"/>
            <w:shd w:val="clear" w:color="auto" w:fill="EDEDED"/>
            <w:tcBorders>
              <w:bottom w:val="single" w:sz="6" w:space="0" w:color="000000"/>
            </w:tcBorders>
          </w:tcPr>
          <w:p>
            <w:pPr>
              <w:spacing w:line="240" w:lineRule="auto" w:after="40" w:before="40"/>
              <w:jc w:val="left"/>
            </w:pPr>
            <w:r>
              <w:rPr>
                <w:b/>
                <w:i w:val="0"/>
                <w:sz w:val="20"/>
              </w:rPr>
              <w:t>Value</w:t>
            </w:r>
          </w:p>
        </w:tc>
        <w:tc>
          <w:tcPr>
            <w:tcW w:type="dxa" w:w="4479"/>
            <w:shd w:val="clear" w:color="auto" w:fill="EDEDED"/>
            <w:tcBorders>
              <w:bottom w:val="single" w:sz="6" w:space="0" w:color="000000"/>
            </w:tcBorders>
          </w:tcPr>
          <w:p>
            <w:pPr>
              <w:spacing w:line="240" w:lineRule="auto" w:after="40" w:before="40"/>
              <w:jc w:val="left"/>
            </w:pPr>
            <w:r>
              <w:rPr>
                <w:b/>
                <w:i w:val="0"/>
                <w:sz w:val="20"/>
              </w:rPr>
              <w:t>Context</w:t>
            </w:r>
          </w:p>
        </w:tc>
      </w:tr>
      <w:tr>
        <w:trPr>
          <w:cantSplit/>
        </w:trPr>
        <w:tc>
          <w:tcPr>
            <w:tcW w:type="dxa" w:w="2608"/>
          </w:tcPr>
          <w:p>
            <w:pPr>
              <w:spacing w:line="240" w:lineRule="auto" w:after="40" w:before="40"/>
              <w:jc w:val="left"/>
            </w:pPr>
            <w:r>
              <w:rPr>
                <w:b w:val="0"/>
                <w:i w:val="0"/>
                <w:sz w:val="20"/>
              </w:rPr>
              <w:t>Starting point</w:t>
            </w:r>
          </w:p>
        </w:tc>
        <w:tc>
          <w:tcPr>
            <w:tcW w:type="dxa" w:w="1928"/>
          </w:tcPr>
          <w:p>
            <w:pPr>
              <w:spacing w:line="240" w:lineRule="auto" w:after="40" w:before="40"/>
              <w:jc w:val="left"/>
            </w:pPr>
            <w:r>
              <w:rPr>
                <w:b w:val="0"/>
                <w:i w:val="0"/>
                <w:sz w:val="20"/>
              </w:rPr>
              <w:t>R² 0.491</w:t>
            </w:r>
          </w:p>
        </w:tc>
        <w:tc>
          <w:tcPr>
            <w:tcW w:type="dxa" w:w="4479"/>
          </w:tcPr>
          <w:p>
            <w:pPr>
              <w:spacing w:line="240" w:lineRule="auto" w:after="40" w:before="40"/>
              <w:jc w:val="left"/>
            </w:pPr>
            <w:r>
              <w:rPr>
                <w:b w:val="0"/>
                <w:i w:val="0"/>
                <w:sz w:val="20"/>
              </w:rPr>
              <w:t>First XGBoost model, 14 inputs, fixed holdout (P1-test)</w:t>
            </w:r>
          </w:p>
        </w:tc>
      </w:tr>
      <w:tr>
        <w:trPr>
          <w:cantSplit/>
        </w:trPr>
        <w:tc>
          <w:tcPr>
            <w:tcW w:type="dxa" w:w="2608"/>
          </w:tcPr>
          <w:p>
            <w:pPr>
              <w:spacing w:line="240" w:lineRule="auto" w:after="40" w:before="40"/>
              <w:jc w:val="left"/>
            </w:pPr>
            <w:r>
              <w:rPr>
                <w:b w:val="0"/>
                <w:i w:val="0"/>
                <w:sz w:val="20"/>
              </w:rPr>
              <w:t>Best result on 2017–2020 data</w:t>
            </w:r>
          </w:p>
        </w:tc>
        <w:tc>
          <w:tcPr>
            <w:tcW w:type="dxa" w:w="1928"/>
          </w:tcPr>
          <w:p>
            <w:pPr>
              <w:spacing w:line="240" w:lineRule="auto" w:after="40" w:before="40"/>
              <w:jc w:val="left"/>
            </w:pPr>
            <w:r>
              <w:rPr>
                <w:b w:val="0"/>
                <w:i w:val="0"/>
                <w:sz w:val="20"/>
              </w:rPr>
              <w:t>R² 0.524</w:t>
            </w:r>
          </w:p>
        </w:tc>
        <w:tc>
          <w:tcPr>
            <w:tcW w:type="dxa" w:w="4479"/>
          </w:tcPr>
          <w:p>
            <w:pPr>
              <w:spacing w:line="240" w:lineRule="auto" w:after="40" w:before="40"/>
              <w:jc w:val="left"/>
            </w:pPr>
            <w:r>
              <w:rPr>
                <w:b w:val="0"/>
                <w:i w:val="0"/>
                <w:sz w:val="20"/>
              </w:rPr>
              <w:t>128 inputs, pooled five-fold out-of-fold (P2)</w:t>
            </w:r>
          </w:p>
        </w:tc>
      </w:tr>
      <w:tr>
        <w:trPr>
          <w:cantSplit/>
        </w:trPr>
        <w:tc>
          <w:tcPr>
            <w:tcW w:type="dxa" w:w="2608"/>
          </w:tcPr>
          <w:p>
            <w:pPr>
              <w:spacing w:line="240" w:lineRule="auto" w:after="40" w:before="40"/>
              <w:jc w:val="left"/>
            </w:pPr>
            <w:r>
              <w:rPr>
                <w:b w:val="0"/>
                <w:i w:val="0"/>
                <w:sz w:val="20"/>
              </w:rPr>
              <w:t>Selected model, held-out test</w:t>
            </w:r>
          </w:p>
        </w:tc>
        <w:tc>
          <w:tcPr>
            <w:tcW w:type="dxa" w:w="1928"/>
          </w:tcPr>
          <w:p>
            <w:pPr>
              <w:spacing w:line="240" w:lineRule="auto" w:after="40" w:before="40"/>
              <w:jc w:val="left"/>
            </w:pPr>
            <w:r>
              <w:rPr>
                <w:b w:val="0"/>
                <w:i w:val="0"/>
                <w:sz w:val="20"/>
              </w:rPr>
              <w:t>R² 0.562 (0.517–0.601)</w:t>
            </w:r>
          </w:p>
        </w:tc>
        <w:tc>
          <w:tcPr>
            <w:tcW w:type="dxa" w:w="4479"/>
          </w:tcPr>
          <w:p>
            <w:pPr>
              <w:spacing w:line="240" w:lineRule="auto" w:after="40" w:before="40"/>
              <w:jc w:val="left"/>
            </w:pPr>
            <w:r>
              <w:rPr>
                <w:b w:val="0"/>
                <w:i w:val="0"/>
                <w:sz w:val="20"/>
              </w:rPr>
              <w:t>Model scope: ages 12–59, reliable reference CAP; 1,236 test participants (Section A.9)</w:t>
            </w:r>
          </w:p>
        </w:tc>
      </w:tr>
      <w:tr>
        <w:trPr>
          <w:cantSplit/>
        </w:trPr>
        <w:tc>
          <w:tcPr>
            <w:tcW w:type="dxa" w:w="2608"/>
          </w:tcPr>
          <w:p>
            <w:pPr>
              <w:spacing w:line="240" w:lineRule="auto" w:after="40" w:before="40"/>
              <w:jc w:val="left"/>
            </w:pPr>
            <w:r>
              <w:rPr>
                <w:b w:val="0"/>
                <w:i w:val="0"/>
                <w:sz w:val="20"/>
              </w:rPr>
              <w:t>Selected model, cross-validation</w:t>
            </w:r>
          </w:p>
        </w:tc>
        <w:tc>
          <w:tcPr>
            <w:tcW w:type="dxa" w:w="1928"/>
          </w:tcPr>
          <w:p>
            <w:pPr>
              <w:spacing w:line="240" w:lineRule="auto" w:after="40" w:before="40"/>
              <w:jc w:val="left"/>
            </w:pPr>
            <w:r>
              <w:rPr>
                <w:b w:val="0"/>
                <w:i w:val="0"/>
                <w:sz w:val="20"/>
              </w:rPr>
              <w:t>R² 0.593</w:t>
            </w:r>
          </w:p>
        </w:tc>
        <w:tc>
          <w:tcPr>
            <w:tcW w:type="dxa" w:w="4479"/>
          </w:tcPr>
          <w:p>
            <w:pPr>
              <w:spacing w:line="240" w:lineRule="auto" w:after="40" w:before="40"/>
              <w:jc w:val="left"/>
            </w:pPr>
            <w:r>
              <w:rPr>
                <w:b w:val="0"/>
                <w:i w:val="0"/>
                <w:sz w:val="20"/>
              </w:rPr>
              <w:t>Scope members, five-fold CV over all 15,300 participants, three seeds</w:t>
            </w:r>
          </w:p>
        </w:tc>
      </w:tr>
      <w:tr>
        <w:trPr>
          <w:cantSplit/>
        </w:trPr>
        <w:tc>
          <w:tcPr>
            <w:tcW w:type="dxa" w:w="2608"/>
          </w:tcPr>
          <w:p>
            <w:pPr>
              <w:spacing w:line="240" w:lineRule="auto" w:after="40" w:before="40"/>
              <w:jc w:val="left"/>
            </w:pPr>
            <w:r>
              <w:rPr>
                <w:b w:val="0"/>
                <w:i w:val="0"/>
                <w:sz w:val="20"/>
              </w:rPr>
              <w:t>Steatosis classification</w:t>
            </w:r>
          </w:p>
        </w:tc>
        <w:tc>
          <w:tcPr>
            <w:tcW w:type="dxa" w:w="1928"/>
          </w:tcPr>
          <w:p>
            <w:pPr>
              <w:spacing w:line="240" w:lineRule="auto" w:after="40" w:before="40"/>
              <w:jc w:val="left"/>
            </w:pPr>
            <w:r>
              <w:rPr>
                <w:b w:val="0"/>
                <w:i w:val="0"/>
                <w:sz w:val="20"/>
              </w:rPr>
              <w:t>ROC-AUC 0.881 / 0.879</w:t>
            </w:r>
          </w:p>
        </w:tc>
        <w:tc>
          <w:tcPr>
            <w:tcW w:type="dxa" w:w="4479"/>
          </w:tcPr>
          <w:p>
            <w:pPr>
              <w:spacing w:line="240" w:lineRule="auto" w:after="40" w:before="40"/>
              <w:jc w:val="left"/>
            </w:pPr>
            <w:r>
              <w:rPr>
                <w:b w:val="0"/>
                <w:i w:val="0"/>
                <w:sz w:val="20"/>
              </w:rPr>
              <w:t>Calibrated classifiers for CAP ≥ 248 and ≥ 280 dB/m (scope, P3-test)</w:t>
            </w:r>
          </w:p>
        </w:tc>
      </w:tr>
      <w:tr>
        <w:trPr>
          <w:cantSplit/>
        </w:trPr>
        <w:tc>
          <w:tcPr>
            <w:tcW w:type="dxa" w:w="2608"/>
          </w:tcPr>
          <w:p>
            <w:pPr>
              <w:spacing w:line="240" w:lineRule="auto" w:after="40" w:before="40"/>
              <w:jc w:val="left"/>
            </w:pPr>
            <w:r>
              <w:rPr>
                <w:b w:val="0"/>
                <w:i w:val="0"/>
                <w:sz w:val="20"/>
              </w:rPr>
              <w:t>Temporal validation</w:t>
            </w:r>
          </w:p>
        </w:tc>
        <w:tc>
          <w:tcPr>
            <w:tcW w:type="dxa" w:w="1928"/>
          </w:tcPr>
          <w:p>
            <w:pPr>
              <w:spacing w:line="240" w:lineRule="auto" w:after="40" w:before="40"/>
              <w:jc w:val="left"/>
            </w:pPr>
            <w:r>
              <w:rPr>
                <w:b w:val="0"/>
                <w:i w:val="0"/>
                <w:sz w:val="20"/>
              </w:rPr>
              <w:t>R² 0.578; AUC 0.884 / 0.890</w:t>
            </w:r>
          </w:p>
        </w:tc>
        <w:tc>
          <w:tcPr>
            <w:tcW w:type="dxa" w:w="4479"/>
          </w:tcPr>
          <w:p>
            <w:pPr>
              <w:spacing w:line="240" w:lineRule="auto" w:after="40" w:before="40"/>
              <w:jc w:val="left"/>
            </w:pPr>
            <w:r>
              <w:rPr>
                <w:b w:val="0"/>
                <w:i w:val="0"/>
                <w:sz w:val="20"/>
              </w:rPr>
              <w:t>Trained on 2017–2020, tested on 2021–2023 scope members, n = 2,415 (Section A.11)</w:t>
            </w:r>
          </w:p>
        </w:tc>
      </w:tr>
      <w:tr>
        <w:trPr>
          <w:cantSplit/>
        </w:trPr>
        <w:tc>
          <w:tcPr>
            <w:tcW w:type="dxa" w:w="2608"/>
          </w:tcPr>
          <w:p>
            <w:pPr>
              <w:spacing w:line="240" w:lineRule="auto" w:after="40" w:before="40"/>
              <w:jc w:val="left"/>
            </w:pPr>
            <w:r>
              <w:rPr>
                <w:b w:val="0"/>
                <w:i w:val="0"/>
                <w:sz w:val="20"/>
              </w:rPr>
              <w:t>Against clinical scores</w:t>
            </w:r>
          </w:p>
        </w:tc>
        <w:tc>
          <w:tcPr>
            <w:tcW w:type="dxa" w:w="1928"/>
          </w:tcPr>
          <w:p>
            <w:pPr>
              <w:spacing w:line="240" w:lineRule="auto" w:after="40" w:before="40"/>
              <w:jc w:val="left"/>
            </w:pPr>
            <w:r>
              <w:rPr>
                <w:b w:val="0"/>
                <w:i w:val="0"/>
                <w:sz w:val="20"/>
              </w:rPr>
              <w:t>AUC +0.020 vs FLI; +0.046 vs HSI</w:t>
            </w:r>
          </w:p>
        </w:tc>
        <w:tc>
          <w:tcPr>
            <w:tcW w:type="dxa" w:w="4479"/>
          </w:tcPr>
          <w:p>
            <w:pPr>
              <w:spacing w:line="240" w:lineRule="auto" w:after="40" w:before="40"/>
              <w:jc w:val="left"/>
            </w:pPr>
            <w:r>
              <w:rPr>
                <w:b w:val="0"/>
                <w:i w:val="0"/>
                <w:sz w:val="20"/>
              </w:rPr>
              <w:t>CAP ≥ 248, 1,100 in-scope test participants (Section A.12)</w:t>
            </w:r>
          </w:p>
        </w:tc>
      </w:tr>
      <w:tr>
        <w:trPr>
          <w:cantSplit/>
        </w:trPr>
        <w:tc>
          <w:tcPr>
            <w:tcW w:type="dxa" w:w="2608"/>
          </w:tcPr>
          <w:p>
            <w:pPr>
              <w:spacing w:line="240" w:lineRule="auto" w:after="40" w:before="40"/>
              <w:jc w:val="left"/>
            </w:pPr>
            <w:r>
              <w:rPr>
                <w:b w:val="0"/>
                <w:i w:val="0"/>
                <w:sz w:val="20"/>
              </w:rPr>
              <w:t>Outside the scope</w:t>
            </w:r>
          </w:p>
        </w:tc>
        <w:tc>
          <w:tcPr>
            <w:tcW w:type="dxa" w:w="1928"/>
          </w:tcPr>
          <w:p>
            <w:pPr>
              <w:spacing w:line="240" w:lineRule="auto" w:after="40" w:before="40"/>
              <w:jc w:val="left"/>
            </w:pPr>
            <w:r>
              <w:rPr>
                <w:b w:val="0"/>
                <w:i w:val="0"/>
                <w:sz w:val="20"/>
              </w:rPr>
              <w:t>R² 0.496</w:t>
            </w:r>
          </w:p>
        </w:tc>
        <w:tc>
          <w:tcPr>
            <w:tcW w:type="dxa" w:w="4479"/>
          </w:tcPr>
          <w:p>
            <w:pPr>
              <w:spacing w:line="240" w:lineRule="auto" w:after="40" w:before="40"/>
              <w:jc w:val="left"/>
            </w:pPr>
            <w:r>
              <w:rPr>
                <w:b w:val="0"/>
                <w:i w:val="0"/>
                <w:sz w:val="20"/>
              </w:rPr>
              <w:t>All 3,060 test participants, including ages 60+ and unreliable examinations</w:t>
            </w:r>
          </w:p>
        </w:tc>
      </w:tr>
      <w:tr>
        <w:trPr>
          <w:cantSplit/>
        </w:trPr>
        <w:tc>
          <w:tcPr>
            <w:tcW w:type="dxa" w:w="2608"/>
          </w:tcPr>
          <w:p>
            <w:pPr>
              <w:spacing w:line="240" w:lineRule="auto" w:after="40" w:before="40"/>
              <w:jc w:val="left"/>
            </w:pPr>
            <w:r>
              <w:rPr>
                <w:b w:val="0"/>
                <w:i w:val="0"/>
                <w:sz w:val="20"/>
              </w:rPr>
              <w:t>Phase 6 variants</w:t>
            </w:r>
          </w:p>
        </w:tc>
        <w:tc>
          <w:tcPr>
            <w:tcW w:type="dxa" w:w="1928"/>
          </w:tcPr>
          <w:p>
            <w:pPr>
              <w:spacing w:line="240" w:lineRule="auto" w:after="40" w:before="40"/>
              <w:jc w:val="left"/>
            </w:pPr>
            <w:r>
              <w:rPr>
                <w:b w:val="0"/>
                <w:i w:val="0"/>
                <w:sz w:val="20"/>
              </w:rPr>
              <w:t>R² 0.584–0.597 (CV)</w:t>
            </w:r>
          </w:p>
        </w:tc>
        <w:tc>
          <w:tcPr>
            <w:tcW w:type="dxa" w:w="4479"/>
          </w:tcPr>
          <w:p>
            <w:pPr>
              <w:spacing w:line="240" w:lineRule="auto" w:after="40" w:before="40"/>
              <w:jc w:val="left"/>
            </w:pPr>
            <w:r>
              <w:rPr>
                <w:b w:val="0"/>
                <w:i w:val="0"/>
                <w:sz w:val="20"/>
              </w:rPr>
              <w:t>Changes to inputs, imputation, loss, tuning and ensembling; none reached 0.60 (Section A.8)</w:t>
            </w:r>
          </w:p>
        </w:tc>
      </w:tr>
    </w:tbl>
    <w:p>
      <w:pPr>
        <w:spacing w:after="40"/>
      </w:pPr>
    </w:p>
    <w:p>
      <w:r>
        <w:rPr>
          <w:b w:val="0"/>
          <w:i w:val="0"/>
        </w:rPr>
        <w:t>Fifty-one experiments varied the learning algorithm, the input features, the training weights, the treatment of the target, the training data and the evaluated population. Every change of algorithm or feature set produced an R² within approximately 0.01 of the same plateau near 0.51. Adding new information helped modestly: approximately 80 additional NHANES variables increased R² by 0.010, and the 2021–2023 FibroScan cycle increased it by 0.004 on the original cohort.</w:t>
      </w:r>
    </w:p>
    <w:p>
      <w:r>
        <w:rPr>
          <w:b w:val="0"/>
          <w:i w:val="0"/>
        </w:rPr>
        <w:t>The selected model pools both NHANES FibroScan cycles, uses 81 routinely collectable inputs, down-weights less reliable examinations, and is accompanied by isotonic-calibrated steatosis classifiers. Its scope is ages 12 to 59, where it reaches test R² 0.562 against 0.553 for the original inputs trained on the same participants. Section A.10 sets out why R² plateaus; Phase 6 (Section A.8) shows that the same limit applies within the scope.</w:t>
      </w:r>
    </w:p>
    <w:p>
      <w:pPr>
        <w:pStyle w:val="Heading2"/>
      </w:pPr>
      <w:r>
        <w:t>A.2 Evaluation Protocols</w:t>
      </w:r>
    </w:p>
    <w:p>
      <w:r>
        <w:rPr>
          <w:b w:val="0"/>
          <w:i w:val="0"/>
        </w:rPr>
        <w:t>Three evaluation protocols were used. Because each scores a different set of participants, R² values from different protocols are not directly comparable. Every result in this appendix is labelled with its protocol.</w:t>
      </w:r>
    </w:p>
    <w:p>
      <w:pPr>
        <w:pStyle w:val="Caption"/>
      </w:pPr>
      <w:r>
        <w:rPr>
          <w:b/>
        </w:rPr>
        <w:t xml:space="preserve">Table A.2. </w:t>
      </w:r>
      <w:r>
        <w:t>Evaluation protocols.</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3009"/>
        <w:gridCol w:w="3009"/>
        <w:gridCol w:w="3009"/>
      </w:tblGrid>
      <w:tr>
        <w:trPr>
          <w:tblHeader/>
          <w:cantSplit/>
        </w:trPr>
        <w:tc>
          <w:tcPr>
            <w:tcW w:type="dxa" w:w="680"/>
            <w:shd w:val="clear" w:color="auto" w:fill="EDEDED"/>
            <w:tcBorders>
              <w:bottom w:val="single" w:sz="6" w:space="0" w:color="000000"/>
            </w:tcBorders>
          </w:tcPr>
          <w:p>
            <w:pPr>
              <w:spacing w:line="240" w:lineRule="auto" w:after="40" w:before="40"/>
              <w:jc w:val="left"/>
            </w:pPr>
            <w:r>
              <w:rPr>
                <w:b/>
                <w:i w:val="0"/>
                <w:sz w:val="20"/>
              </w:rPr>
              <w:t>Code</w:t>
            </w:r>
          </w:p>
        </w:tc>
        <w:tc>
          <w:tcPr>
            <w:tcW w:type="dxa" w:w="5102"/>
            <w:shd w:val="clear" w:color="auto" w:fill="EDEDED"/>
            <w:tcBorders>
              <w:bottom w:val="single" w:sz="6" w:space="0" w:color="000000"/>
            </w:tcBorders>
          </w:tcPr>
          <w:p>
            <w:pPr>
              <w:spacing w:line="240" w:lineRule="auto" w:after="40" w:before="40"/>
              <w:jc w:val="left"/>
            </w:pPr>
            <w:r>
              <w:rPr>
                <w:b/>
                <w:i w:val="0"/>
                <w:sz w:val="20"/>
              </w:rPr>
              <w:t>Design</w:t>
            </w:r>
          </w:p>
        </w:tc>
        <w:tc>
          <w:tcPr>
            <w:tcW w:type="dxa" w:w="3231"/>
            <w:shd w:val="clear" w:color="auto" w:fill="EDEDED"/>
            <w:tcBorders>
              <w:bottom w:val="single" w:sz="6" w:space="0" w:color="000000"/>
            </w:tcBorders>
          </w:tcPr>
          <w:p>
            <w:pPr>
              <w:spacing w:line="240" w:lineRule="auto" w:after="40" w:before="40"/>
              <w:jc w:val="left"/>
            </w:pPr>
            <w:r>
              <w:rPr>
                <w:b/>
                <w:i w:val="0"/>
                <w:sz w:val="20"/>
              </w:rPr>
              <w:t>Use</w:t>
            </w:r>
          </w:p>
        </w:tc>
      </w:tr>
      <w:tr>
        <w:trPr>
          <w:cantSplit/>
        </w:trPr>
        <w:tc>
          <w:tcPr>
            <w:tcW w:type="dxa" w:w="680"/>
          </w:tcPr>
          <w:p>
            <w:pPr>
              <w:spacing w:line="240" w:lineRule="auto" w:after="40" w:before="40"/>
              <w:jc w:val="left"/>
            </w:pPr>
            <w:r>
              <w:rPr>
                <w:b w:val="0"/>
                <w:i w:val="0"/>
                <w:sz w:val="20"/>
              </w:rPr>
              <w:t>P1</w:t>
            </w:r>
          </w:p>
        </w:tc>
        <w:tc>
          <w:tcPr>
            <w:tcW w:type="dxa" w:w="5102"/>
          </w:tcPr>
          <w:p>
            <w:pPr>
              <w:spacing w:line="240" w:lineRule="auto" w:after="40" w:before="40"/>
              <w:jc w:val="left"/>
            </w:pPr>
            <w:r>
              <w:rPr>
                <w:b w:val="0"/>
                <w:i w:val="0"/>
                <w:sz w:val="20"/>
              </w:rPr>
              <w:t>9,021 participants (2017–March 2020) split once 80/20 with seed 42 into 7,216 development and 1,805 test participants. Model choice by five-fold CV on the development set (P1-CV); test results reported as P1-test.</w:t>
            </w:r>
          </w:p>
        </w:tc>
        <w:tc>
          <w:tcPr>
            <w:tcW w:type="dxa" w:w="3231"/>
          </w:tcPr>
          <w:p>
            <w:pPr>
              <w:spacing w:line="240" w:lineRule="auto" w:after="40" w:before="40"/>
              <w:jc w:val="left"/>
            </w:pPr>
            <w:r>
              <w:rPr>
                <w:b w:val="0"/>
                <w:i w:val="0"/>
                <w:sz w:val="20"/>
              </w:rPr>
              <w:t>September and early October experiments. The test set was examined repeatedly during development, so P1-test is an internal comparison rather than an independent validation.</w:t>
            </w:r>
          </w:p>
        </w:tc>
      </w:tr>
      <w:tr>
        <w:trPr>
          <w:cantSplit/>
        </w:trPr>
        <w:tc>
          <w:tcPr>
            <w:tcW w:type="dxa" w:w="680"/>
          </w:tcPr>
          <w:p>
            <w:pPr>
              <w:spacing w:line="240" w:lineRule="auto" w:after="40" w:before="40"/>
              <w:jc w:val="left"/>
            </w:pPr>
            <w:r>
              <w:rPr>
                <w:b w:val="0"/>
                <w:i w:val="0"/>
                <w:sz w:val="20"/>
              </w:rPr>
              <w:t>P2</w:t>
            </w:r>
          </w:p>
        </w:tc>
        <w:tc>
          <w:tcPr>
            <w:tcW w:type="dxa" w:w="5102"/>
          </w:tcPr>
          <w:p>
            <w:pPr>
              <w:spacing w:line="240" w:lineRule="auto" w:after="40" w:before="40"/>
              <w:jc w:val="left"/>
            </w:pPr>
            <w:r>
              <w:rPr>
                <w:b w:val="0"/>
                <w:i w:val="0"/>
                <w:sz w:val="20"/>
              </w:rPr>
              <w:t>All 9,021 participants, five-fold cross-validation with seed 42; R² computed on the pooled out-of-fold predictions. Baseline R² 0.5135.</w:t>
            </w:r>
          </w:p>
        </w:tc>
        <w:tc>
          <w:tcPr>
            <w:tcW w:type="dxa" w:w="3231"/>
          </w:tcPr>
          <w:p>
            <w:pPr>
              <w:spacing w:line="240" w:lineRule="auto" w:after="40" w:before="40"/>
              <w:jc w:val="left"/>
            </w:pPr>
            <w:r>
              <w:rPr>
                <w:b w:val="0"/>
                <w:i w:val="0"/>
                <w:sz w:val="20"/>
              </w:rPr>
              <w:t>October model-family and new-data experiments.</w:t>
            </w:r>
          </w:p>
        </w:tc>
      </w:tr>
      <w:tr>
        <w:trPr>
          <w:cantSplit/>
        </w:trPr>
        <w:tc>
          <w:tcPr>
            <w:tcW w:type="dxa" w:w="680"/>
          </w:tcPr>
          <w:p>
            <w:pPr>
              <w:spacing w:line="240" w:lineRule="auto" w:after="40" w:before="40"/>
              <w:jc w:val="left"/>
            </w:pPr>
            <w:r>
              <w:rPr>
                <w:b w:val="0"/>
                <w:i w:val="0"/>
                <w:sz w:val="20"/>
              </w:rPr>
              <w:t>P3</w:t>
            </w:r>
          </w:p>
        </w:tc>
        <w:tc>
          <w:tcPr>
            <w:tcW w:type="dxa" w:w="5102"/>
          </w:tcPr>
          <w:p>
            <w:pPr>
              <w:spacing w:line="240" w:lineRule="auto" w:after="40" w:before="40"/>
              <w:jc w:val="left"/>
            </w:pPr>
            <w:r>
              <w:rPr>
                <w:b w:val="0"/>
                <w:i w:val="0"/>
                <w:sz w:val="20"/>
              </w:rPr>
              <w:t>15,300 participants from both FibroScan cycles. A 20% test set (3,060, stratified by cycle, seed 42) set aside first; model choice by five-fold CV on the remaining 12,240 (P3-CV); test set scored once (P3-test).</w:t>
            </w:r>
          </w:p>
        </w:tc>
        <w:tc>
          <w:tcPr>
            <w:tcW w:type="dxa" w:w="3231"/>
          </w:tcPr>
          <w:p>
            <w:pPr>
              <w:spacing w:line="240" w:lineRule="auto" w:after="40" w:before="40"/>
              <w:jc w:val="left"/>
            </w:pPr>
            <w:r>
              <w:rPr>
                <w:b w:val="0"/>
                <w:i w:val="0"/>
                <w:sz w:val="20"/>
              </w:rPr>
              <w:t>Combined model and final selection.</w:t>
            </w:r>
          </w:p>
        </w:tc>
      </w:tr>
    </w:tbl>
    <w:p>
      <w:pPr>
        <w:spacing w:after="40"/>
      </w:pPr>
    </w:p>
    <w:p>
      <w:r>
        <w:rPr>
          <w:b w:val="0"/>
          <w:i w:val="0"/>
        </w:rPr>
        <w:t xml:space="preserve">Outcome categories used in the tables: </w:t>
      </w:r>
      <w:r>
        <w:rPr>
          <w:b/>
          <w:i w:val="0"/>
        </w:rPr>
        <w:t>Adopted</w:t>
      </w:r>
      <w:r>
        <w:rPr>
          <w:b w:val="0"/>
          <w:i w:val="0"/>
        </w:rPr>
        <w:t xml:space="preserve"> (carried forward into the model), </w:t>
      </w:r>
      <w:r>
        <w:rPr>
          <w:b/>
          <w:i w:val="0"/>
        </w:rPr>
        <w:t>Small gain</w:t>
      </w:r>
      <w:r>
        <w:rPr>
          <w:b w:val="0"/>
          <w:i w:val="0"/>
        </w:rPr>
        <w:t xml:space="preserve"> (improvement under about 0.01 R², not or not fully adopted), </w:t>
      </w:r>
      <w:r>
        <w:rPr>
          <w:b/>
          <w:i w:val="0"/>
        </w:rPr>
        <w:t>No gain</w:t>
      </w:r>
      <w:r>
        <w:rPr>
          <w:b w:val="0"/>
          <w:i w:val="0"/>
        </w:rPr>
        <w:t xml:space="preserve">, </w:t>
      </w:r>
      <w:r>
        <w:rPr>
          <w:b/>
          <w:i w:val="0"/>
        </w:rPr>
        <w:t>Worse</w:t>
      </w:r>
      <w:r>
        <w:rPr>
          <w:b w:val="0"/>
          <w:i w:val="0"/>
        </w:rPr>
        <w:t xml:space="preserve">, and </w:t>
      </w:r>
      <w:r>
        <w:rPr>
          <w:b/>
          <w:i w:val="0"/>
        </w:rPr>
        <w:t>Diagnostic</w:t>
      </w:r>
      <w:r>
        <w:rPr>
          <w:b w:val="0"/>
          <w:i w:val="0"/>
        </w:rPr>
        <w:t xml:space="preserve"> (an analysis that explains model behaviour rather than a candidate model).</w:t>
      </w:r>
    </w:p>
    <w:p>
      <w:pPr>
        <w:pStyle w:val="Heading2"/>
      </w:pPr>
      <w:r>
        <w:t>A.3 Phase 1: Baselines (5–6 September)</w:t>
      </w:r>
    </w:p>
    <w:p>
      <w:r>
        <w:rPr>
          <w:b w:val="0"/>
          <w:i w:val="0"/>
        </w:rPr>
        <w:t>The initial models used 14 inputs: age, sex, race and ethnicity, BMI, waist circumference, ALT, AST, HbA1c, total cholesterol, HDL cholesterol, and day-one dietary energy, protein, carbohydrate and fat.</w:t>
      </w:r>
    </w:p>
    <w:p>
      <w:pPr>
        <w:pStyle w:val="Caption"/>
      </w:pPr>
      <w:r>
        <w:rPr>
          <w:b/>
        </w:rPr>
        <w:t xml:space="preserve">Table A.3. </w:t>
      </w:r>
      <w:r>
        <w:t>Phase 1 experiments: baselines.</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504"/>
        <w:gridCol w:w="1504"/>
        <w:gridCol w:w="1504"/>
        <w:gridCol w:w="1504"/>
        <w:gridCol w:w="1504"/>
        <w:gridCol w:w="1504"/>
      </w:tblGrid>
      <w:tr>
        <w:trPr>
          <w:tblHeader/>
          <w:cantSplit/>
        </w:trPr>
        <w:tc>
          <w:tcPr>
            <w:tcW w:type="dxa" w:w="510"/>
            <w:shd w:val="clear" w:color="auto" w:fill="EDEDED"/>
            <w:tcBorders>
              <w:bottom w:val="single" w:sz="6" w:space="0" w:color="000000"/>
            </w:tcBorders>
          </w:tcPr>
          <w:p>
            <w:pPr>
              <w:spacing w:line="240" w:lineRule="auto" w:after="40" w:before="40"/>
              <w:jc w:val="left"/>
            </w:pPr>
            <w:r>
              <w:rPr>
                <w:b/>
                <w:i w:val="0"/>
                <w:sz w:val="18"/>
              </w:rPr>
              <w:t>ID</w:t>
            </w:r>
          </w:p>
        </w:tc>
        <w:tc>
          <w:tcPr>
            <w:tcW w:type="dxa" w:w="1417"/>
            <w:shd w:val="clear" w:color="auto" w:fill="EDEDED"/>
            <w:tcBorders>
              <w:bottom w:val="single" w:sz="6" w:space="0" w:color="000000"/>
            </w:tcBorders>
          </w:tcPr>
          <w:p>
            <w:pPr>
              <w:spacing w:line="240" w:lineRule="auto" w:after="40" w:before="40"/>
              <w:jc w:val="left"/>
            </w:pPr>
            <w:r>
              <w:rPr>
                <w:b/>
                <w:i w:val="0"/>
                <w:sz w:val="18"/>
              </w:rPr>
              <w:t>Experiment</w:t>
            </w:r>
          </w:p>
        </w:tc>
        <w:tc>
          <w:tcPr>
            <w:tcW w:type="dxa" w:w="1814"/>
            <w:shd w:val="clear" w:color="auto" w:fill="EDEDED"/>
            <w:tcBorders>
              <w:bottom w:val="single" w:sz="6" w:space="0" w:color="000000"/>
            </w:tcBorders>
          </w:tcPr>
          <w:p>
            <w:pPr>
              <w:spacing w:line="240" w:lineRule="auto" w:after="40" w:before="40"/>
              <w:jc w:val="left"/>
            </w:pPr>
            <w:r>
              <w:rPr>
                <w:b/>
                <w:i w:val="0"/>
                <w:sz w:val="18"/>
              </w:rPr>
              <w:t>What was tested</w:t>
            </w:r>
          </w:p>
        </w:tc>
        <w:tc>
          <w:tcPr>
            <w:tcW w:type="dxa" w:w="1928"/>
            <w:shd w:val="clear" w:color="auto" w:fill="EDEDED"/>
            <w:tcBorders>
              <w:bottom w:val="single" w:sz="6" w:space="0" w:color="000000"/>
            </w:tcBorders>
          </w:tcPr>
          <w:p>
            <w:pPr>
              <w:spacing w:line="240" w:lineRule="auto" w:after="40" w:before="40"/>
              <w:jc w:val="left"/>
            </w:pPr>
            <w:r>
              <w:rPr>
                <w:b/>
                <w:i w:val="0"/>
                <w:sz w:val="18"/>
              </w:rPr>
              <w:t>Result</w:t>
            </w:r>
          </w:p>
        </w:tc>
        <w:tc>
          <w:tcPr>
            <w:tcW w:type="dxa" w:w="1134"/>
            <w:shd w:val="clear" w:color="auto" w:fill="EDEDED"/>
            <w:tcBorders>
              <w:bottom w:val="single" w:sz="6" w:space="0" w:color="000000"/>
            </w:tcBorders>
          </w:tcPr>
          <w:p>
            <w:pPr>
              <w:spacing w:line="240" w:lineRule="auto" w:after="40" w:before="40"/>
              <w:jc w:val="left"/>
            </w:pPr>
            <w:r>
              <w:rPr>
                <w:b/>
                <w:i w:val="0"/>
                <w:sz w:val="18"/>
              </w:rPr>
              <w:t>Outcome</w:t>
            </w:r>
          </w:p>
        </w:tc>
        <w:tc>
          <w:tcPr>
            <w:tcW w:type="dxa" w:w="2211"/>
            <w:shd w:val="clear" w:color="auto" w:fill="EDEDED"/>
            <w:tcBorders>
              <w:bottom w:val="single" w:sz="6" w:space="0" w:color="000000"/>
            </w:tcBorders>
          </w:tcPr>
          <w:p>
            <w:pPr>
              <w:spacing w:line="240" w:lineRule="auto" w:after="40" w:before="40"/>
              <w:jc w:val="left"/>
            </w:pPr>
            <w:r>
              <w:rPr>
                <w:b/>
                <w:i w:val="0"/>
                <w:sz w:val="18"/>
              </w:rPr>
              <w:t>Interpretation</w:t>
            </w:r>
          </w:p>
        </w:tc>
      </w:tr>
      <w:tr>
        <w:trPr>
          <w:cantSplit/>
        </w:trPr>
        <w:tc>
          <w:tcPr>
            <w:tcW w:type="dxa" w:w="510"/>
          </w:tcPr>
          <w:p>
            <w:pPr>
              <w:spacing w:line="240" w:lineRule="auto" w:after="40" w:before="40"/>
              <w:jc w:val="left"/>
            </w:pPr>
            <w:r>
              <w:rPr>
                <w:b w:val="0"/>
                <w:i w:val="0"/>
                <w:sz w:val="18"/>
              </w:rPr>
              <w:t>E1</w:t>
            </w:r>
          </w:p>
        </w:tc>
        <w:tc>
          <w:tcPr>
            <w:tcW w:type="dxa" w:w="1417"/>
          </w:tcPr>
          <w:p>
            <w:pPr>
              <w:spacing w:line="240" w:lineRule="auto" w:after="40" w:before="40"/>
              <w:jc w:val="left"/>
            </w:pPr>
            <w:r>
              <w:rPr>
                <w:b w:val="0"/>
                <w:i w:val="0"/>
                <w:sz w:val="18"/>
              </w:rPr>
              <w:t>Baseline XGBoost</w:t>
            </w:r>
          </w:p>
        </w:tc>
        <w:tc>
          <w:tcPr>
            <w:tcW w:type="dxa" w:w="1814"/>
          </w:tcPr>
          <w:p>
            <w:pPr>
              <w:spacing w:line="240" w:lineRule="auto" w:after="40" w:before="40"/>
              <w:jc w:val="left"/>
            </w:pPr>
            <w:r>
              <w:rPr>
                <w:b w:val="0"/>
                <w:i w:val="0"/>
                <w:sz w:val="18"/>
              </w:rPr>
              <w:t>300 trees, depth 6, learning rate 0.05 on the 14 inputs.</w:t>
            </w:r>
          </w:p>
        </w:tc>
        <w:tc>
          <w:tcPr>
            <w:tcW w:type="dxa" w:w="1928"/>
          </w:tcPr>
          <w:p>
            <w:pPr>
              <w:spacing w:line="240" w:lineRule="auto" w:after="40" w:before="40"/>
              <w:jc w:val="left"/>
            </w:pPr>
            <w:r>
              <w:rPr>
                <w:b w:val="0"/>
                <w:i w:val="0"/>
                <w:sz w:val="18"/>
              </w:rPr>
              <w:t>P1-test R² 0.491; RMSE 44.52 dB/m</w:t>
            </w:r>
          </w:p>
        </w:tc>
        <w:tc>
          <w:tcPr>
            <w:tcW w:type="dxa" w:w="1134"/>
          </w:tcPr>
          <w:p>
            <w:pPr>
              <w:spacing w:line="240" w:lineRule="auto" w:after="40" w:before="40"/>
              <w:jc w:val="left"/>
            </w:pPr>
            <w:r>
              <w:rPr>
                <w:b w:val="0"/>
                <w:i w:val="0"/>
                <w:sz w:val="18"/>
              </w:rPr>
              <w:t>Adopted</w:t>
            </w:r>
          </w:p>
        </w:tc>
        <w:tc>
          <w:tcPr>
            <w:tcW w:type="dxa" w:w="2211"/>
          </w:tcPr>
          <w:p>
            <w:pPr>
              <w:spacing w:line="240" w:lineRule="auto" w:after="40" w:before="40"/>
              <w:jc w:val="left"/>
            </w:pPr>
            <w:r>
              <w:rPr>
                <w:b w:val="0"/>
                <w:i w:val="0"/>
                <w:sz w:val="18"/>
              </w:rPr>
              <w:t>Established the reference. The early workflow imputed missing values before splitting, which leaks test information; corrected in E3.</w:t>
            </w:r>
          </w:p>
        </w:tc>
      </w:tr>
      <w:tr>
        <w:trPr>
          <w:cantSplit/>
        </w:trPr>
        <w:tc>
          <w:tcPr>
            <w:tcW w:type="dxa" w:w="510"/>
          </w:tcPr>
          <w:p>
            <w:pPr>
              <w:spacing w:line="240" w:lineRule="auto" w:after="40" w:before="40"/>
              <w:jc w:val="left"/>
            </w:pPr>
            <w:r>
              <w:rPr>
                <w:b w:val="0"/>
                <w:i w:val="0"/>
                <w:sz w:val="18"/>
              </w:rPr>
              <w:t>E2</w:t>
            </w:r>
          </w:p>
        </w:tc>
        <w:tc>
          <w:tcPr>
            <w:tcW w:type="dxa" w:w="1417"/>
          </w:tcPr>
          <w:p>
            <w:pPr>
              <w:spacing w:line="240" w:lineRule="auto" w:after="40" w:before="40"/>
              <w:jc w:val="left"/>
            </w:pPr>
            <w:r>
              <w:rPr>
                <w:b w:val="0"/>
                <w:i w:val="0"/>
                <w:sz w:val="18"/>
              </w:rPr>
              <w:t>Algorithm comparison</w:t>
            </w:r>
          </w:p>
        </w:tc>
        <w:tc>
          <w:tcPr>
            <w:tcW w:type="dxa" w:w="1814"/>
          </w:tcPr>
          <w:p>
            <w:pPr>
              <w:spacing w:line="240" w:lineRule="auto" w:after="40" w:before="40"/>
              <w:jc w:val="left"/>
            </w:pPr>
            <w:r>
              <w:rPr>
                <w:b w:val="0"/>
                <w:i w:val="0"/>
                <w:sz w:val="18"/>
              </w:rPr>
              <w:t>XGBoost against linear regression and random forest.</w:t>
            </w:r>
          </w:p>
        </w:tc>
        <w:tc>
          <w:tcPr>
            <w:tcW w:type="dxa" w:w="1928"/>
          </w:tcPr>
          <w:p>
            <w:pPr>
              <w:spacing w:line="240" w:lineRule="auto" w:after="40" w:before="40"/>
              <w:jc w:val="left"/>
            </w:pPr>
            <w:r>
              <w:rPr>
                <w:b w:val="0"/>
                <w:i w:val="0"/>
                <w:sz w:val="18"/>
              </w:rPr>
              <w:t>P1-test R²: XGBoost 0.491; linear 0.488; random forest 0.486</w:t>
            </w:r>
          </w:p>
        </w:tc>
        <w:tc>
          <w:tcPr>
            <w:tcW w:type="dxa" w:w="1134"/>
          </w:tcPr>
          <w:p>
            <w:pPr>
              <w:spacing w:line="240" w:lineRule="auto" w:after="40" w:before="40"/>
              <w:jc w:val="left"/>
            </w:pPr>
            <w:r>
              <w:rPr>
                <w:b w:val="0"/>
                <w:i w:val="0"/>
                <w:sz w:val="18"/>
              </w:rPr>
              <w:t>Small gain</w:t>
            </w:r>
          </w:p>
        </w:tc>
        <w:tc>
          <w:tcPr>
            <w:tcW w:type="dxa" w:w="2211"/>
          </w:tcPr>
          <w:p>
            <w:pPr>
              <w:spacing w:line="240" w:lineRule="auto" w:after="40" w:before="40"/>
              <w:jc w:val="left"/>
            </w:pPr>
            <w:r>
              <w:rPr>
                <w:b w:val="0"/>
                <w:i w:val="0"/>
                <w:sz w:val="18"/>
              </w:rPr>
              <w:t>XGBoost retained by a margin of 0.003. A linear model nearly matching a tree ensemble suggests the signal is largely additive and dominated by body-size variables. Selection here used test RMSE and was later replaced by CV-based selection.</w:t>
            </w:r>
          </w:p>
        </w:tc>
      </w:tr>
    </w:tbl>
    <w:p>
      <w:pPr>
        <w:spacing w:after="40"/>
      </w:pPr>
    </w:p>
    <w:p>
      <w:pPr>
        <w:pStyle w:val="Heading2"/>
      </w:pPr>
      <w:r>
        <w:t>A.4 Phase 2: Tuning, Additional Laboratory Inputs and the Supplied Model (to 18 September)</w:t>
      </w:r>
    </w:p>
    <w:p>
      <w:pPr>
        <w:pStyle w:val="Caption"/>
      </w:pPr>
      <w:r>
        <w:rPr>
          <w:b/>
        </w:rPr>
        <w:t xml:space="preserve">Table A.4. </w:t>
      </w:r>
      <w:r>
        <w:t>Phase 2 experiments: tuning and inputs.</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504"/>
        <w:gridCol w:w="1504"/>
        <w:gridCol w:w="1504"/>
        <w:gridCol w:w="1504"/>
        <w:gridCol w:w="1504"/>
        <w:gridCol w:w="1504"/>
      </w:tblGrid>
      <w:tr>
        <w:trPr>
          <w:tblHeader/>
          <w:cantSplit/>
        </w:trPr>
        <w:tc>
          <w:tcPr>
            <w:tcW w:type="dxa" w:w="510"/>
            <w:shd w:val="clear" w:color="auto" w:fill="EDEDED"/>
            <w:tcBorders>
              <w:bottom w:val="single" w:sz="6" w:space="0" w:color="000000"/>
            </w:tcBorders>
          </w:tcPr>
          <w:p>
            <w:pPr>
              <w:spacing w:line="240" w:lineRule="auto" w:after="40" w:before="40"/>
              <w:jc w:val="left"/>
            </w:pPr>
            <w:r>
              <w:rPr>
                <w:b/>
                <w:i w:val="0"/>
                <w:sz w:val="18"/>
              </w:rPr>
              <w:t>ID</w:t>
            </w:r>
          </w:p>
        </w:tc>
        <w:tc>
          <w:tcPr>
            <w:tcW w:type="dxa" w:w="1417"/>
            <w:shd w:val="clear" w:color="auto" w:fill="EDEDED"/>
            <w:tcBorders>
              <w:bottom w:val="single" w:sz="6" w:space="0" w:color="000000"/>
            </w:tcBorders>
          </w:tcPr>
          <w:p>
            <w:pPr>
              <w:spacing w:line="240" w:lineRule="auto" w:after="40" w:before="40"/>
              <w:jc w:val="left"/>
            </w:pPr>
            <w:r>
              <w:rPr>
                <w:b/>
                <w:i w:val="0"/>
                <w:sz w:val="18"/>
              </w:rPr>
              <w:t>Experiment</w:t>
            </w:r>
          </w:p>
        </w:tc>
        <w:tc>
          <w:tcPr>
            <w:tcW w:type="dxa" w:w="1814"/>
            <w:shd w:val="clear" w:color="auto" w:fill="EDEDED"/>
            <w:tcBorders>
              <w:bottom w:val="single" w:sz="6" w:space="0" w:color="000000"/>
            </w:tcBorders>
          </w:tcPr>
          <w:p>
            <w:pPr>
              <w:spacing w:line="240" w:lineRule="auto" w:after="40" w:before="40"/>
              <w:jc w:val="left"/>
            </w:pPr>
            <w:r>
              <w:rPr>
                <w:b/>
                <w:i w:val="0"/>
                <w:sz w:val="18"/>
              </w:rPr>
              <w:t>What was tested</w:t>
            </w:r>
          </w:p>
        </w:tc>
        <w:tc>
          <w:tcPr>
            <w:tcW w:type="dxa" w:w="1928"/>
            <w:shd w:val="clear" w:color="auto" w:fill="EDEDED"/>
            <w:tcBorders>
              <w:bottom w:val="single" w:sz="6" w:space="0" w:color="000000"/>
            </w:tcBorders>
          </w:tcPr>
          <w:p>
            <w:pPr>
              <w:spacing w:line="240" w:lineRule="auto" w:after="40" w:before="40"/>
              <w:jc w:val="left"/>
            </w:pPr>
            <w:r>
              <w:rPr>
                <w:b/>
                <w:i w:val="0"/>
                <w:sz w:val="18"/>
              </w:rPr>
              <w:t>Result</w:t>
            </w:r>
          </w:p>
        </w:tc>
        <w:tc>
          <w:tcPr>
            <w:tcW w:type="dxa" w:w="1134"/>
            <w:shd w:val="clear" w:color="auto" w:fill="EDEDED"/>
            <w:tcBorders>
              <w:bottom w:val="single" w:sz="6" w:space="0" w:color="000000"/>
            </w:tcBorders>
          </w:tcPr>
          <w:p>
            <w:pPr>
              <w:spacing w:line="240" w:lineRule="auto" w:after="40" w:before="40"/>
              <w:jc w:val="left"/>
            </w:pPr>
            <w:r>
              <w:rPr>
                <w:b/>
                <w:i w:val="0"/>
                <w:sz w:val="18"/>
              </w:rPr>
              <w:t>Outcome</w:t>
            </w:r>
          </w:p>
        </w:tc>
        <w:tc>
          <w:tcPr>
            <w:tcW w:type="dxa" w:w="2211"/>
            <w:shd w:val="clear" w:color="auto" w:fill="EDEDED"/>
            <w:tcBorders>
              <w:bottom w:val="single" w:sz="6" w:space="0" w:color="000000"/>
            </w:tcBorders>
          </w:tcPr>
          <w:p>
            <w:pPr>
              <w:spacing w:line="240" w:lineRule="auto" w:after="40" w:before="40"/>
              <w:jc w:val="left"/>
            </w:pPr>
            <w:r>
              <w:rPr>
                <w:b/>
                <w:i w:val="0"/>
                <w:sz w:val="18"/>
              </w:rPr>
              <w:t>Interpretation</w:t>
            </w:r>
          </w:p>
        </w:tc>
      </w:tr>
      <w:tr>
        <w:trPr>
          <w:cantSplit/>
        </w:trPr>
        <w:tc>
          <w:tcPr>
            <w:tcW w:type="dxa" w:w="510"/>
          </w:tcPr>
          <w:p>
            <w:pPr>
              <w:spacing w:line="240" w:lineRule="auto" w:after="40" w:before="40"/>
              <w:jc w:val="left"/>
            </w:pPr>
            <w:r>
              <w:rPr>
                <w:b w:val="0"/>
                <w:i w:val="0"/>
                <w:sz w:val="18"/>
              </w:rPr>
              <w:t>E3</w:t>
            </w:r>
          </w:p>
        </w:tc>
        <w:tc>
          <w:tcPr>
            <w:tcW w:type="dxa" w:w="1417"/>
          </w:tcPr>
          <w:p>
            <w:pPr>
              <w:spacing w:line="240" w:lineRule="auto" w:after="40" w:before="40"/>
              <w:jc w:val="left"/>
            </w:pPr>
            <w:r>
              <w:rPr>
                <w:b w:val="0"/>
                <w:i w:val="0"/>
                <w:sz w:val="18"/>
              </w:rPr>
              <w:t>Leakage-free preprocessing and hyperparameter search</w:t>
            </w:r>
          </w:p>
        </w:tc>
        <w:tc>
          <w:tcPr>
            <w:tcW w:type="dxa" w:w="1814"/>
          </w:tcPr>
          <w:p>
            <w:pPr>
              <w:spacing w:line="240" w:lineRule="auto" w:after="40" w:before="40"/>
              <w:jc w:val="left"/>
            </w:pPr>
            <w:r>
              <w:rPr>
                <w:b w:val="0"/>
                <w:i w:val="0"/>
                <w:sz w:val="18"/>
              </w:rPr>
              <w:t>Imputation fitted within each fold; 40-configuration randomized search selected by CV RMSE.</w:t>
            </w:r>
          </w:p>
        </w:tc>
        <w:tc>
          <w:tcPr>
            <w:tcW w:type="dxa" w:w="1928"/>
          </w:tcPr>
          <w:p>
            <w:pPr>
              <w:spacing w:line="240" w:lineRule="auto" w:after="40" w:before="40"/>
              <w:jc w:val="left"/>
            </w:pPr>
            <w:r>
              <w:rPr>
                <w:b w:val="0"/>
                <w:i w:val="0"/>
                <w:sz w:val="18"/>
              </w:rPr>
              <w:t>P1-test R² 0.485 (corrected baseline) → 0.506; CV RMSE 45.89 → 45.03; paired bootstrap 95% CI for RMSE gain 0.52–1.38 dB/m</w:t>
            </w:r>
          </w:p>
        </w:tc>
        <w:tc>
          <w:tcPr>
            <w:tcW w:type="dxa" w:w="1134"/>
          </w:tcPr>
          <w:p>
            <w:pPr>
              <w:spacing w:line="240" w:lineRule="auto" w:after="40" w:before="40"/>
              <w:jc w:val="left"/>
            </w:pPr>
            <w:r>
              <w:rPr>
                <w:b w:val="0"/>
                <w:i w:val="0"/>
                <w:sz w:val="18"/>
              </w:rPr>
              <w:t>Adopted</w:t>
            </w:r>
          </w:p>
        </w:tc>
        <w:tc>
          <w:tcPr>
            <w:tcW w:type="dxa" w:w="2211"/>
          </w:tcPr>
          <w:p>
            <w:pPr>
              <w:spacing w:line="240" w:lineRule="auto" w:after="40" w:before="40"/>
              <w:jc w:val="left"/>
            </w:pPr>
            <w:r>
              <w:rPr>
                <w:b w:val="0"/>
                <w:i w:val="0"/>
                <w:sz w:val="18"/>
              </w:rPr>
              <w:t>First statistically clear improvement. Shallow trees (depth 4), a low learning rate and row subsampling limit overfitting on a noisy target. Became the 14-input reference model.</w:t>
            </w:r>
          </w:p>
        </w:tc>
      </w:tr>
      <w:tr>
        <w:trPr>
          <w:cantSplit/>
        </w:trPr>
        <w:tc>
          <w:tcPr>
            <w:tcW w:type="dxa" w:w="510"/>
          </w:tcPr>
          <w:p>
            <w:pPr>
              <w:spacing w:line="240" w:lineRule="auto" w:after="40" w:before="40"/>
              <w:jc w:val="left"/>
            </w:pPr>
            <w:r>
              <w:rPr>
                <w:b w:val="0"/>
                <w:i w:val="0"/>
                <w:sz w:val="18"/>
              </w:rPr>
              <w:t>E4</w:t>
            </w:r>
          </w:p>
        </w:tc>
        <w:tc>
          <w:tcPr>
            <w:tcW w:type="dxa" w:w="1417"/>
          </w:tcPr>
          <w:p>
            <w:pPr>
              <w:spacing w:line="240" w:lineRule="auto" w:after="40" w:before="40"/>
              <w:jc w:val="left"/>
            </w:pPr>
            <w:r>
              <w:rPr>
                <w:b w:val="0"/>
                <w:i w:val="0"/>
                <w:sz w:val="18"/>
              </w:rPr>
              <w:t>Second pass: 24 candidates, three input sets</w:t>
            </w:r>
          </w:p>
        </w:tc>
        <w:tc>
          <w:tcPr>
            <w:tcW w:type="dxa" w:w="1814"/>
          </w:tcPr>
          <w:p>
            <w:pPr>
              <w:spacing w:line="240" w:lineRule="auto" w:after="40" w:before="40"/>
              <w:jc w:val="left"/>
            </w:pPr>
            <w:r>
              <w:rPr>
                <w:b w:val="0"/>
                <w:i w:val="0"/>
                <w:sz w:val="18"/>
              </w:rPr>
              <w:t>14, 19 and 28 inputs (adding height, weight, GGT, uric acid, triglycerides, albumin, ALP, creatinine, bilirubin, total protein, globulin, iron, BUN, LDH); XGBoost variants, missing-value indicators, histogram boosting, spline ridge, an equal blend.</w:t>
            </w:r>
          </w:p>
        </w:tc>
        <w:tc>
          <w:tcPr>
            <w:tcW w:type="dxa" w:w="1928"/>
          </w:tcPr>
          <w:p>
            <w:pPr>
              <w:spacing w:line="240" w:lineRule="auto" w:after="40" w:before="40"/>
              <w:jc w:val="left"/>
            </w:pPr>
            <w:r>
              <w:rPr>
                <w:b w:val="0"/>
                <w:i w:val="0"/>
                <w:sz w:val="18"/>
              </w:rPr>
              <w:t>P1-CV R²: 14 inputs 0.489; 19 inputs 0.496; 28 inputs 0.501; blend 0.502. P1-test 0.506 → 0.514; CI for RMSE gain −0.001 to 0.724</w:t>
            </w:r>
          </w:p>
        </w:tc>
        <w:tc>
          <w:tcPr>
            <w:tcW w:type="dxa" w:w="1134"/>
          </w:tcPr>
          <w:p>
            <w:pPr>
              <w:spacing w:line="240" w:lineRule="auto" w:after="40" w:before="40"/>
              <w:jc w:val="left"/>
            </w:pPr>
            <w:r>
              <w:rPr>
                <w:b w:val="0"/>
                <w:i w:val="0"/>
                <w:sz w:val="18"/>
              </w:rPr>
              <w:t>Small gain</w:t>
            </w:r>
          </w:p>
        </w:tc>
        <w:tc>
          <w:tcPr>
            <w:tcW w:type="dxa" w:w="2211"/>
          </w:tcPr>
          <w:p>
            <w:pPr>
              <w:spacing w:line="240" w:lineRule="auto" w:after="40" w:before="40"/>
              <w:jc w:val="left"/>
            </w:pPr>
            <w:r>
              <w:rPr>
                <w:b w:val="0"/>
                <w:i w:val="0"/>
                <w:sz w:val="18"/>
              </w:rPr>
              <w:t>Additional laboratory values added about 0.01, but the interval includes zero. Liver-relevant markers add little beyond waist and BMI, which already capture most of the metabolic signal.</w:t>
            </w:r>
          </w:p>
        </w:tc>
      </w:tr>
      <w:tr>
        <w:trPr>
          <w:cantSplit/>
        </w:trPr>
        <w:tc>
          <w:tcPr>
            <w:tcW w:type="dxa" w:w="510"/>
          </w:tcPr>
          <w:p>
            <w:pPr>
              <w:spacing w:line="240" w:lineRule="auto" w:after="40" w:before="40"/>
              <w:jc w:val="left"/>
            </w:pPr>
            <w:r>
              <w:rPr>
                <w:b w:val="0"/>
                <w:i w:val="0"/>
                <w:sz w:val="18"/>
              </w:rPr>
              <w:t>E5</w:t>
            </w:r>
          </w:p>
        </w:tc>
        <w:tc>
          <w:tcPr>
            <w:tcW w:type="dxa" w:w="1417"/>
          </w:tcPr>
          <w:p>
            <w:pPr>
              <w:spacing w:line="240" w:lineRule="auto" w:after="40" w:before="40"/>
              <w:jc w:val="left"/>
            </w:pPr>
            <w:r>
              <w:rPr>
                <w:b w:val="0"/>
                <w:i w:val="0"/>
                <w:sz w:val="18"/>
              </w:rPr>
              <w:t>Reproduction of the supplied model (R² 0.535)</w:t>
            </w:r>
          </w:p>
        </w:tc>
        <w:tc>
          <w:tcPr>
            <w:tcW w:type="dxa" w:w="1814"/>
          </w:tcPr>
          <w:p>
            <w:pPr>
              <w:spacing w:line="240" w:lineRule="auto" w:after="40" w:before="40"/>
              <w:jc w:val="left"/>
            </w:pPr>
            <w:r>
              <w:rPr>
                <w:b w:val="0"/>
                <w:i w:val="0"/>
                <w:sz w:val="18"/>
              </w:rPr>
              <w:t>Supplied 36-input script refitted on its own CAP-stratified split and on the original split.</w:t>
            </w:r>
          </w:p>
        </w:tc>
        <w:tc>
          <w:tcPr>
            <w:tcW w:type="dxa" w:w="1928"/>
          </w:tcPr>
          <w:p>
            <w:pPr>
              <w:spacing w:line="240" w:lineRule="auto" w:after="40" w:before="40"/>
              <w:jc w:val="left"/>
            </w:pPr>
            <w:r>
              <w:rPr>
                <w:b w:val="0"/>
                <w:i w:val="0"/>
                <w:sz w:val="18"/>
              </w:rPr>
              <w:t>Stratified split: supplied 0.535, project model 0.541. Original split: supplied 0.511, project model 0.514</w:t>
            </w:r>
          </w:p>
        </w:tc>
        <w:tc>
          <w:tcPr>
            <w:tcW w:type="dxa" w:w="1134"/>
          </w:tcPr>
          <w:p>
            <w:pPr>
              <w:spacing w:line="240" w:lineRule="auto" w:after="40" w:before="40"/>
              <w:jc w:val="left"/>
            </w:pPr>
            <w:r>
              <w:rPr>
                <w:b w:val="0"/>
                <w:i w:val="0"/>
                <w:sz w:val="18"/>
              </w:rPr>
              <w:t>Diagnostic</w:t>
            </w:r>
          </w:p>
        </w:tc>
        <w:tc>
          <w:tcPr>
            <w:tcW w:type="dxa" w:w="2211"/>
          </w:tcPr>
          <w:p>
            <w:pPr>
              <w:spacing w:line="240" w:lineRule="auto" w:after="40" w:before="40"/>
              <w:jc w:val="left"/>
            </w:pPr>
            <w:r>
              <w:rPr>
                <w:b w:val="0"/>
                <w:i w:val="0"/>
                <w:sz w:val="18"/>
              </w:rPr>
              <w:t>The reported 0.535 reflected an easier test split rather than a better model; on matched splits the project model scored higher. Single-split R² varies by roughly ±0.03 with test membership.</w:t>
            </w:r>
          </w:p>
        </w:tc>
      </w:tr>
      <w:tr>
        <w:trPr>
          <w:cantSplit/>
        </w:trPr>
        <w:tc>
          <w:tcPr>
            <w:tcW w:type="dxa" w:w="510"/>
          </w:tcPr>
          <w:p>
            <w:pPr>
              <w:spacing w:line="240" w:lineRule="auto" w:after="40" w:before="40"/>
              <w:jc w:val="left"/>
            </w:pPr>
            <w:r>
              <w:rPr>
                <w:b w:val="0"/>
                <w:i w:val="0"/>
                <w:sz w:val="18"/>
              </w:rPr>
              <w:t>E6</w:t>
            </w:r>
          </w:p>
        </w:tc>
        <w:tc>
          <w:tcPr>
            <w:tcW w:type="dxa" w:w="1417"/>
          </w:tcPr>
          <w:p>
            <w:pPr>
              <w:spacing w:line="240" w:lineRule="auto" w:after="40" w:before="40"/>
              <w:jc w:val="left"/>
            </w:pPr>
            <w:r>
              <w:rPr>
                <w:b w:val="0"/>
                <w:i w:val="0"/>
                <w:sz w:val="18"/>
              </w:rPr>
              <w:t>Engineered features</w:t>
            </w:r>
          </w:p>
        </w:tc>
        <w:tc>
          <w:tcPr>
            <w:tcW w:type="dxa" w:w="1814"/>
          </w:tcPr>
          <w:p>
            <w:pPr>
              <w:spacing w:line="240" w:lineRule="auto" w:after="40" w:before="40"/>
              <w:jc w:val="left"/>
            </w:pPr>
            <w:r>
              <w:rPr>
                <w:b w:val="0"/>
                <w:i w:val="0"/>
                <w:sz w:val="18"/>
              </w:rPr>
              <w:t>36 raw inputs plus 10 derived features (waist-to-height, AST/ALT, TG/HDL, TC/HDL, partial HSI, FLI proxy, energy fractions, energy per kg) with missing-value indicators; 600 trees.</w:t>
            </w:r>
          </w:p>
        </w:tc>
        <w:tc>
          <w:tcPr>
            <w:tcW w:type="dxa" w:w="1928"/>
          </w:tcPr>
          <w:p>
            <w:pPr>
              <w:spacing w:line="240" w:lineRule="auto" w:after="40" w:before="40"/>
              <w:jc w:val="left"/>
            </w:pPr>
            <w:r>
              <w:rPr>
                <w:b w:val="0"/>
                <w:i w:val="0"/>
                <w:sz w:val="18"/>
              </w:rPr>
              <w:t>P1-CV R² 0.506 (best of six); P1-test 0.515; CI for RMSE gain over E4 −0.30 to 0.38</w:t>
            </w:r>
          </w:p>
        </w:tc>
        <w:tc>
          <w:tcPr>
            <w:tcW w:type="dxa" w:w="1134"/>
          </w:tcPr>
          <w:p>
            <w:pPr>
              <w:spacing w:line="240" w:lineRule="auto" w:after="40" w:before="40"/>
              <w:jc w:val="left"/>
            </w:pPr>
            <w:r>
              <w:rPr>
                <w:b w:val="0"/>
                <w:i w:val="0"/>
                <w:sz w:val="18"/>
              </w:rPr>
              <w:t>Small gain</w:t>
            </w:r>
          </w:p>
        </w:tc>
        <w:tc>
          <w:tcPr>
            <w:tcW w:type="dxa" w:w="2211"/>
          </w:tcPr>
          <w:p>
            <w:pPr>
              <w:spacing w:line="240" w:lineRule="auto" w:after="40" w:before="40"/>
              <w:jc w:val="left"/>
            </w:pPr>
            <w:r>
              <w:rPr>
                <w:b w:val="0"/>
                <w:i w:val="0"/>
                <w:sz w:val="18"/>
              </w:rPr>
              <w:t>Became the 46-feature reference for October. Derived scores re-express inputs that the trees can already combine, so they contribute little new information.</w:t>
            </w:r>
          </w:p>
        </w:tc>
      </w:tr>
    </w:tbl>
    <w:p>
      <w:pPr>
        <w:spacing w:after="40"/>
      </w:pPr>
    </w:p>
    <w:p>
      <w:pPr>
        <w:pStyle w:val="Heading2"/>
      </w:pPr>
      <w:r>
        <w:t>A.5 Phase 3: Feature Ablations, Weighting and Regressor Choice (2 October)</w:t>
      </w:r>
    </w:p>
    <w:p>
      <w:r>
        <w:rPr>
          <w:b w:val="0"/>
          <w:i w:val="0"/>
        </w:rPr>
        <w:t>All Phase 3 experiments used protocol P1, starting from the 36 raw inputs.</w:t>
      </w:r>
    </w:p>
    <w:p>
      <w:pPr>
        <w:pStyle w:val="Caption"/>
      </w:pPr>
      <w:r>
        <w:rPr>
          <w:b/>
        </w:rPr>
        <w:t xml:space="preserve">Table A.5. </w:t>
      </w:r>
      <w:r>
        <w:t>Phase 3 experiments: feature ablations and weighting.</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504"/>
        <w:gridCol w:w="1504"/>
        <w:gridCol w:w="1504"/>
        <w:gridCol w:w="1504"/>
        <w:gridCol w:w="1504"/>
        <w:gridCol w:w="1504"/>
      </w:tblGrid>
      <w:tr>
        <w:trPr>
          <w:tblHeader/>
          <w:cantSplit/>
        </w:trPr>
        <w:tc>
          <w:tcPr>
            <w:tcW w:type="dxa" w:w="510"/>
            <w:shd w:val="clear" w:color="auto" w:fill="EDEDED"/>
            <w:tcBorders>
              <w:bottom w:val="single" w:sz="6" w:space="0" w:color="000000"/>
            </w:tcBorders>
          </w:tcPr>
          <w:p>
            <w:pPr>
              <w:spacing w:line="240" w:lineRule="auto" w:after="40" w:before="40"/>
              <w:jc w:val="left"/>
            </w:pPr>
            <w:r>
              <w:rPr>
                <w:b/>
                <w:i w:val="0"/>
                <w:sz w:val="18"/>
              </w:rPr>
              <w:t>ID</w:t>
            </w:r>
          </w:p>
        </w:tc>
        <w:tc>
          <w:tcPr>
            <w:tcW w:type="dxa" w:w="1417"/>
            <w:shd w:val="clear" w:color="auto" w:fill="EDEDED"/>
            <w:tcBorders>
              <w:bottom w:val="single" w:sz="6" w:space="0" w:color="000000"/>
            </w:tcBorders>
          </w:tcPr>
          <w:p>
            <w:pPr>
              <w:spacing w:line="240" w:lineRule="auto" w:after="40" w:before="40"/>
              <w:jc w:val="left"/>
            </w:pPr>
            <w:r>
              <w:rPr>
                <w:b/>
                <w:i w:val="0"/>
                <w:sz w:val="18"/>
              </w:rPr>
              <w:t>Experiment</w:t>
            </w:r>
          </w:p>
        </w:tc>
        <w:tc>
          <w:tcPr>
            <w:tcW w:type="dxa" w:w="1814"/>
            <w:shd w:val="clear" w:color="auto" w:fill="EDEDED"/>
            <w:tcBorders>
              <w:bottom w:val="single" w:sz="6" w:space="0" w:color="000000"/>
            </w:tcBorders>
          </w:tcPr>
          <w:p>
            <w:pPr>
              <w:spacing w:line="240" w:lineRule="auto" w:after="40" w:before="40"/>
              <w:jc w:val="left"/>
            </w:pPr>
            <w:r>
              <w:rPr>
                <w:b/>
                <w:i w:val="0"/>
                <w:sz w:val="18"/>
              </w:rPr>
              <w:t>What was tested</w:t>
            </w:r>
          </w:p>
        </w:tc>
        <w:tc>
          <w:tcPr>
            <w:tcW w:type="dxa" w:w="1928"/>
            <w:shd w:val="clear" w:color="auto" w:fill="EDEDED"/>
            <w:tcBorders>
              <w:bottom w:val="single" w:sz="6" w:space="0" w:color="000000"/>
            </w:tcBorders>
          </w:tcPr>
          <w:p>
            <w:pPr>
              <w:spacing w:line="240" w:lineRule="auto" w:after="40" w:before="40"/>
              <w:jc w:val="left"/>
            </w:pPr>
            <w:r>
              <w:rPr>
                <w:b/>
                <w:i w:val="0"/>
                <w:sz w:val="18"/>
              </w:rPr>
              <w:t>Result (P1-CV R²)</w:t>
            </w:r>
          </w:p>
        </w:tc>
        <w:tc>
          <w:tcPr>
            <w:tcW w:type="dxa" w:w="1134"/>
            <w:shd w:val="clear" w:color="auto" w:fill="EDEDED"/>
            <w:tcBorders>
              <w:bottom w:val="single" w:sz="6" w:space="0" w:color="000000"/>
            </w:tcBorders>
          </w:tcPr>
          <w:p>
            <w:pPr>
              <w:spacing w:line="240" w:lineRule="auto" w:after="40" w:before="40"/>
              <w:jc w:val="left"/>
            </w:pPr>
            <w:r>
              <w:rPr>
                <w:b/>
                <w:i w:val="0"/>
                <w:sz w:val="18"/>
              </w:rPr>
              <w:t>Outcome</w:t>
            </w:r>
          </w:p>
        </w:tc>
        <w:tc>
          <w:tcPr>
            <w:tcW w:type="dxa" w:w="2211"/>
            <w:shd w:val="clear" w:color="auto" w:fill="EDEDED"/>
            <w:tcBorders>
              <w:bottom w:val="single" w:sz="6" w:space="0" w:color="000000"/>
            </w:tcBorders>
          </w:tcPr>
          <w:p>
            <w:pPr>
              <w:spacing w:line="240" w:lineRule="auto" w:after="40" w:before="40"/>
              <w:jc w:val="left"/>
            </w:pPr>
            <w:r>
              <w:rPr>
                <w:b/>
                <w:i w:val="0"/>
                <w:sz w:val="18"/>
              </w:rPr>
              <w:t>Interpretation</w:t>
            </w:r>
          </w:p>
        </w:tc>
      </w:tr>
      <w:tr>
        <w:trPr>
          <w:cantSplit/>
        </w:trPr>
        <w:tc>
          <w:tcPr>
            <w:tcW w:type="dxa" w:w="510"/>
          </w:tcPr>
          <w:p>
            <w:pPr>
              <w:spacing w:line="240" w:lineRule="auto" w:after="40" w:before="40"/>
              <w:jc w:val="left"/>
            </w:pPr>
            <w:r>
              <w:rPr>
                <w:b w:val="0"/>
                <w:i w:val="0"/>
                <w:sz w:val="18"/>
              </w:rPr>
              <w:t>E7</w:t>
            </w:r>
          </w:p>
        </w:tc>
        <w:tc>
          <w:tcPr>
            <w:tcW w:type="dxa" w:w="1417"/>
          </w:tcPr>
          <w:p>
            <w:pPr>
              <w:spacing w:line="240" w:lineRule="auto" w:after="40" w:before="40"/>
              <w:jc w:val="left"/>
            </w:pPr>
            <w:r>
              <w:rPr>
                <w:b w:val="0"/>
                <w:i w:val="0"/>
                <w:sz w:val="18"/>
              </w:rPr>
              <w:t>Engineered-feature ablation</w:t>
            </w:r>
          </w:p>
        </w:tc>
        <w:tc>
          <w:tcPr>
            <w:tcW w:type="dxa" w:w="1814"/>
          </w:tcPr>
          <w:p>
            <w:pPr>
              <w:spacing w:line="240" w:lineRule="auto" w:after="40" w:before="40"/>
              <w:jc w:val="left"/>
            </w:pPr>
            <w:r>
              <w:rPr>
                <w:b w:val="0"/>
                <w:i w:val="0"/>
                <w:sz w:val="18"/>
              </w:rPr>
              <w:t>Raw only; plus four ratios; plus FLI and HSI; plus all ten engineered features.</w:t>
            </w:r>
          </w:p>
        </w:tc>
        <w:tc>
          <w:tcPr>
            <w:tcW w:type="dxa" w:w="1928"/>
          </w:tcPr>
          <w:p>
            <w:pPr>
              <w:spacing w:line="240" w:lineRule="auto" w:after="40" w:before="40"/>
              <w:jc w:val="left"/>
            </w:pPr>
            <w:r>
              <w:rPr>
                <w:b w:val="0"/>
                <w:i w:val="0"/>
                <w:sz w:val="18"/>
              </w:rPr>
              <w:t>0.5035 / 0.5048 / 0.5032 / 0.5036</w:t>
            </w:r>
          </w:p>
        </w:tc>
        <w:tc>
          <w:tcPr>
            <w:tcW w:type="dxa" w:w="1134"/>
          </w:tcPr>
          <w:p>
            <w:pPr>
              <w:spacing w:line="240" w:lineRule="auto" w:after="40" w:before="40"/>
              <w:jc w:val="left"/>
            </w:pPr>
            <w:r>
              <w:rPr>
                <w:b w:val="0"/>
                <w:i w:val="0"/>
                <w:sz w:val="18"/>
              </w:rPr>
              <w:t>Small gain</w:t>
            </w:r>
          </w:p>
        </w:tc>
        <w:tc>
          <w:tcPr>
            <w:tcW w:type="dxa" w:w="2211"/>
          </w:tcPr>
          <w:p>
            <w:pPr>
              <w:spacing w:line="240" w:lineRule="auto" w:after="40" w:before="40"/>
              <w:jc w:val="left"/>
            </w:pPr>
            <w:r>
              <w:rPr>
                <w:b w:val="0"/>
                <w:i w:val="0"/>
                <w:sz w:val="18"/>
              </w:rPr>
              <w:t>The four ratios added 0.001; the index scores added nothing. The ratios were kept.</w:t>
            </w:r>
          </w:p>
        </w:tc>
      </w:tr>
      <w:tr>
        <w:trPr>
          <w:cantSplit/>
        </w:trPr>
        <w:tc>
          <w:tcPr>
            <w:tcW w:type="dxa" w:w="510"/>
          </w:tcPr>
          <w:p>
            <w:pPr>
              <w:spacing w:line="240" w:lineRule="auto" w:after="40" w:before="40"/>
              <w:jc w:val="left"/>
            </w:pPr>
            <w:r>
              <w:rPr>
                <w:b w:val="0"/>
                <w:i w:val="0"/>
                <w:sz w:val="18"/>
              </w:rPr>
              <w:t>E8</w:t>
            </w:r>
          </w:p>
        </w:tc>
        <w:tc>
          <w:tcPr>
            <w:tcW w:type="dxa" w:w="1417"/>
          </w:tcPr>
          <w:p>
            <w:pPr>
              <w:spacing w:line="240" w:lineRule="auto" w:after="40" w:before="40"/>
              <w:jc w:val="left"/>
            </w:pPr>
            <w:r>
              <w:rPr>
                <w:b w:val="0"/>
                <w:i w:val="0"/>
                <w:sz w:val="18"/>
              </w:rPr>
              <w:t>Individual ratios</w:t>
            </w:r>
          </w:p>
        </w:tc>
        <w:tc>
          <w:tcPr>
            <w:tcW w:type="dxa" w:w="1814"/>
          </w:tcPr>
          <w:p>
            <w:pPr>
              <w:spacing w:line="240" w:lineRule="auto" w:after="40" w:before="40"/>
              <w:jc w:val="left"/>
            </w:pPr>
            <w:r>
              <w:rPr>
                <w:b w:val="0"/>
                <w:i w:val="0"/>
                <w:sz w:val="18"/>
              </w:rPr>
              <w:t>WHtR, AST/ALT, TG/HDL and TC/HDL each added alone.</w:t>
            </w:r>
          </w:p>
        </w:tc>
        <w:tc>
          <w:tcPr>
            <w:tcW w:type="dxa" w:w="1928"/>
          </w:tcPr>
          <w:p>
            <w:pPr>
              <w:spacing w:line="240" w:lineRule="auto" w:after="40" w:before="40"/>
              <w:jc w:val="left"/>
            </w:pPr>
            <w:r>
              <w:rPr>
                <w:b w:val="0"/>
                <w:i w:val="0"/>
                <w:sz w:val="18"/>
              </w:rPr>
              <w:t>0.5022–0.5038 against 0.5035 (raw)</w:t>
            </w:r>
          </w:p>
        </w:tc>
        <w:tc>
          <w:tcPr>
            <w:tcW w:type="dxa" w:w="1134"/>
          </w:tcPr>
          <w:p>
            <w:pPr>
              <w:spacing w:line="240" w:lineRule="auto" w:after="40" w:before="40"/>
              <w:jc w:val="left"/>
            </w:pPr>
            <w:r>
              <w:rPr>
                <w:b w:val="0"/>
                <w:i w:val="0"/>
                <w:sz w:val="18"/>
              </w:rPr>
              <w:t>No gain</w:t>
            </w:r>
          </w:p>
        </w:tc>
        <w:tc>
          <w:tcPr>
            <w:tcW w:type="dxa" w:w="2211"/>
          </w:tcPr>
          <w:p>
            <w:pPr>
              <w:spacing w:line="240" w:lineRule="auto" w:after="40" w:before="40"/>
              <w:jc w:val="left"/>
            </w:pPr>
            <w:r>
              <w:rPr>
                <w:b w:val="0"/>
                <w:i w:val="0"/>
                <w:sz w:val="18"/>
              </w:rPr>
              <w:t>No single ratio carries information that the raw variables do not already provide.</w:t>
            </w:r>
          </w:p>
        </w:tc>
      </w:tr>
      <w:tr>
        <w:trPr>
          <w:cantSplit/>
        </w:trPr>
        <w:tc>
          <w:tcPr>
            <w:tcW w:type="dxa" w:w="510"/>
          </w:tcPr>
          <w:p>
            <w:pPr>
              <w:spacing w:line="240" w:lineRule="auto" w:after="40" w:before="40"/>
              <w:jc w:val="left"/>
            </w:pPr>
            <w:r>
              <w:rPr>
                <w:b w:val="0"/>
                <w:i w:val="0"/>
                <w:sz w:val="18"/>
              </w:rPr>
              <w:t>E9</w:t>
            </w:r>
          </w:p>
        </w:tc>
        <w:tc>
          <w:tcPr>
            <w:tcW w:type="dxa" w:w="1417"/>
          </w:tcPr>
          <w:p>
            <w:pPr>
              <w:spacing w:line="240" w:lineRule="auto" w:after="40" w:before="40"/>
              <w:jc w:val="left"/>
            </w:pPr>
            <w:r>
              <w:rPr>
                <w:b w:val="0"/>
                <w:i w:val="0"/>
                <w:sz w:val="18"/>
              </w:rPr>
              <w:t>LDL cholesterol</w:t>
            </w:r>
          </w:p>
        </w:tc>
        <w:tc>
          <w:tcPr>
            <w:tcW w:type="dxa" w:w="1814"/>
          </w:tcPr>
          <w:p>
            <w:pPr>
              <w:spacing w:line="240" w:lineRule="auto" w:after="40" w:before="40"/>
              <w:jc w:val="left"/>
            </w:pPr>
            <w:r>
              <w:rPr>
                <w:b w:val="0"/>
                <w:i w:val="0"/>
                <w:sz w:val="18"/>
              </w:rPr>
              <w:t>46 features; plus LDL; plus LDL and a missing-value indicator.</w:t>
            </w:r>
          </w:p>
        </w:tc>
        <w:tc>
          <w:tcPr>
            <w:tcW w:type="dxa" w:w="1928"/>
          </w:tcPr>
          <w:p>
            <w:pPr>
              <w:spacing w:line="240" w:lineRule="auto" w:after="40" w:before="40"/>
              <w:jc w:val="left"/>
            </w:pPr>
            <w:r>
              <w:rPr>
                <w:b w:val="0"/>
                <w:i w:val="0"/>
                <w:sz w:val="18"/>
              </w:rPr>
              <w:t>0.5036 → 0.5020 / 0.5030</w:t>
            </w:r>
          </w:p>
        </w:tc>
        <w:tc>
          <w:tcPr>
            <w:tcW w:type="dxa" w:w="1134"/>
          </w:tcPr>
          <w:p>
            <w:pPr>
              <w:spacing w:line="240" w:lineRule="auto" w:after="40" w:before="40"/>
              <w:jc w:val="left"/>
            </w:pPr>
            <w:r>
              <w:rPr>
                <w:b w:val="0"/>
                <w:i w:val="0"/>
                <w:sz w:val="18"/>
              </w:rPr>
              <w:t>No gain</w:t>
            </w:r>
          </w:p>
        </w:tc>
        <w:tc>
          <w:tcPr>
            <w:tcW w:type="dxa" w:w="2211"/>
          </w:tcPr>
          <w:p>
            <w:pPr>
              <w:spacing w:line="240" w:lineRule="auto" w:after="40" w:before="40"/>
              <w:jc w:val="left"/>
            </w:pPr>
            <w:r>
              <w:rPr>
                <w:b w:val="0"/>
                <w:i w:val="0"/>
                <w:sz w:val="18"/>
              </w:rPr>
              <w:t>LDL is largely determined by total cholesterol, HDL and triglycerides, which are already inputs, and is missing for many participants.</w:t>
            </w:r>
          </w:p>
        </w:tc>
      </w:tr>
      <w:tr>
        <w:trPr>
          <w:cantSplit/>
        </w:trPr>
        <w:tc>
          <w:tcPr>
            <w:tcW w:type="dxa" w:w="510"/>
          </w:tcPr>
          <w:p>
            <w:pPr>
              <w:spacing w:line="240" w:lineRule="auto" w:after="40" w:before="40"/>
              <w:jc w:val="left"/>
            </w:pPr>
            <w:r>
              <w:rPr>
                <w:b w:val="0"/>
                <w:i w:val="0"/>
                <w:sz w:val="18"/>
              </w:rPr>
              <w:t>E10</w:t>
            </w:r>
          </w:p>
        </w:tc>
        <w:tc>
          <w:tcPr>
            <w:tcW w:type="dxa" w:w="1417"/>
          </w:tcPr>
          <w:p>
            <w:pPr>
              <w:spacing w:line="240" w:lineRule="auto" w:after="40" w:before="40"/>
              <w:jc w:val="left"/>
            </w:pPr>
            <w:r>
              <w:rPr>
                <w:b w:val="0"/>
                <w:i w:val="0"/>
                <w:sz w:val="18"/>
              </w:rPr>
              <w:t>Recursive feature elimination</w:t>
            </w:r>
          </w:p>
        </w:tc>
        <w:tc>
          <w:tcPr>
            <w:tcW w:type="dxa" w:w="1814"/>
          </w:tcPr>
          <w:p>
            <w:pPr>
              <w:spacing w:line="240" w:lineRule="auto" w:after="40" w:before="40"/>
              <w:jc w:val="left"/>
            </w:pPr>
            <w:r>
              <w:rPr>
                <w:b w:val="0"/>
                <w:i w:val="0"/>
                <w:sz w:val="18"/>
              </w:rPr>
              <w:t>Feature counts from 46 down to 10.</w:t>
            </w:r>
          </w:p>
        </w:tc>
        <w:tc>
          <w:tcPr>
            <w:tcW w:type="dxa" w:w="1928"/>
          </w:tcPr>
          <w:p>
            <w:pPr>
              <w:spacing w:line="240" w:lineRule="auto" w:after="40" w:before="40"/>
              <w:jc w:val="left"/>
            </w:pPr>
            <w:r>
              <w:rPr>
                <w:b w:val="0"/>
                <w:i w:val="0"/>
                <w:sz w:val="18"/>
              </w:rPr>
              <w:t>46: 0.504; 25: 0.508; 15: 0.501; 12: 0.487; 10: 0.485</w:t>
            </w:r>
          </w:p>
        </w:tc>
        <w:tc>
          <w:tcPr>
            <w:tcW w:type="dxa" w:w="1134"/>
          </w:tcPr>
          <w:p>
            <w:pPr>
              <w:spacing w:line="240" w:lineRule="auto" w:after="40" w:before="40"/>
              <w:jc w:val="left"/>
            </w:pPr>
            <w:r>
              <w:rPr>
                <w:b w:val="0"/>
                <w:i w:val="0"/>
                <w:sz w:val="18"/>
              </w:rPr>
              <w:t>No gain</w:t>
            </w:r>
          </w:p>
        </w:tc>
        <w:tc>
          <w:tcPr>
            <w:tcW w:type="dxa" w:w="2211"/>
          </w:tcPr>
          <w:p>
            <w:pPr>
              <w:spacing w:line="240" w:lineRule="auto" w:after="40" w:before="40"/>
              <w:jc w:val="left"/>
            </w:pPr>
            <w:r>
              <w:rPr>
                <w:b w:val="0"/>
                <w:i w:val="0"/>
                <w:sz w:val="18"/>
              </w:rPr>
              <w:t>About 20–25 features carry nearly all of the signal. Waist, the FLI proxy, waist-to-height and BMI rank highest.</w:t>
            </w:r>
          </w:p>
        </w:tc>
      </w:tr>
      <w:tr>
        <w:trPr>
          <w:cantSplit/>
        </w:trPr>
        <w:tc>
          <w:tcPr>
            <w:tcW w:type="dxa" w:w="510"/>
          </w:tcPr>
          <w:p>
            <w:pPr>
              <w:spacing w:line="240" w:lineRule="auto" w:after="40" w:before="40"/>
              <w:jc w:val="left"/>
            </w:pPr>
            <w:r>
              <w:rPr>
                <w:b w:val="0"/>
                <w:i w:val="0"/>
                <w:sz w:val="18"/>
              </w:rPr>
              <w:t>E11</w:t>
            </w:r>
          </w:p>
        </w:tc>
        <w:tc>
          <w:tcPr>
            <w:tcW w:type="dxa" w:w="1417"/>
          </w:tcPr>
          <w:p>
            <w:pPr>
              <w:spacing w:line="240" w:lineRule="auto" w:after="40" w:before="40"/>
              <w:jc w:val="left"/>
            </w:pPr>
            <w:r>
              <w:rPr>
                <w:b w:val="0"/>
                <w:i w:val="0"/>
                <w:sz w:val="18"/>
              </w:rPr>
              <w:t>Histogram gradient boosting</w:t>
            </w:r>
          </w:p>
        </w:tc>
        <w:tc>
          <w:tcPr>
            <w:tcW w:type="dxa" w:w="1814"/>
          </w:tcPr>
          <w:p>
            <w:pPr>
              <w:spacing w:line="240" w:lineRule="auto" w:after="40" w:before="40"/>
              <w:jc w:val="left"/>
            </w:pPr>
            <w:r>
              <w:rPr>
                <w:b w:val="0"/>
                <w:i w:val="0"/>
                <w:sz w:val="18"/>
              </w:rPr>
              <w:t>Same 40 features as XGBoost.</w:t>
            </w:r>
          </w:p>
        </w:tc>
        <w:tc>
          <w:tcPr>
            <w:tcW w:type="dxa" w:w="1928"/>
          </w:tcPr>
          <w:p>
            <w:pPr>
              <w:spacing w:line="240" w:lineRule="auto" w:after="40" w:before="40"/>
              <w:jc w:val="left"/>
            </w:pPr>
            <w:r>
              <w:rPr>
                <w:b w:val="0"/>
                <w:i w:val="0"/>
                <w:sz w:val="18"/>
              </w:rPr>
              <w:t>XGBoost 0.505; HistGradientBoosting 0.486</w:t>
            </w:r>
          </w:p>
        </w:tc>
        <w:tc>
          <w:tcPr>
            <w:tcW w:type="dxa" w:w="1134"/>
          </w:tcPr>
          <w:p>
            <w:pPr>
              <w:spacing w:line="240" w:lineRule="auto" w:after="40" w:before="40"/>
              <w:jc w:val="left"/>
            </w:pPr>
            <w:r>
              <w:rPr>
                <w:b w:val="0"/>
                <w:i w:val="0"/>
                <w:sz w:val="18"/>
              </w:rPr>
              <w:t>Worse</w:t>
            </w:r>
          </w:p>
        </w:tc>
        <w:tc>
          <w:tcPr>
            <w:tcW w:type="dxa" w:w="2211"/>
          </w:tcPr>
          <w:p>
            <w:pPr>
              <w:spacing w:line="240" w:lineRule="auto" w:after="40" w:before="40"/>
              <w:jc w:val="left"/>
            </w:pPr>
            <w:r>
              <w:rPr>
                <w:b w:val="0"/>
                <w:i w:val="0"/>
                <w:sz w:val="18"/>
              </w:rPr>
              <w:t>Default regularization fits this noisy target less well than the tuned XGBoost.</w:t>
            </w:r>
          </w:p>
        </w:tc>
      </w:tr>
      <w:tr>
        <w:trPr>
          <w:cantSplit/>
        </w:trPr>
        <w:tc>
          <w:tcPr>
            <w:tcW w:type="dxa" w:w="510"/>
          </w:tcPr>
          <w:p>
            <w:pPr>
              <w:spacing w:line="240" w:lineRule="auto" w:after="40" w:before="40"/>
              <w:jc w:val="left"/>
            </w:pPr>
            <w:r>
              <w:rPr>
                <w:b w:val="0"/>
                <w:i w:val="0"/>
                <w:sz w:val="18"/>
              </w:rPr>
              <w:t>E12</w:t>
            </w:r>
          </w:p>
        </w:tc>
        <w:tc>
          <w:tcPr>
            <w:tcW w:type="dxa" w:w="1417"/>
          </w:tcPr>
          <w:p>
            <w:pPr>
              <w:spacing w:line="240" w:lineRule="auto" w:after="40" w:before="40"/>
              <w:jc w:val="left"/>
            </w:pPr>
            <w:r>
              <w:rPr>
                <w:b w:val="0"/>
                <w:i w:val="0"/>
                <w:sz w:val="18"/>
              </w:rPr>
              <w:t>Up-weighting extreme CAP values</w:t>
            </w:r>
          </w:p>
        </w:tc>
        <w:tc>
          <w:tcPr>
            <w:tcW w:type="dxa" w:w="1814"/>
          </w:tcPr>
          <w:p>
            <w:pPr>
              <w:spacing w:line="240" w:lineRule="auto" w:after="40" w:before="40"/>
              <w:jc w:val="left"/>
            </w:pPr>
            <w:r>
              <w:rPr>
                <w:b w:val="0"/>
                <w:i w:val="0"/>
                <w:sz w:val="18"/>
              </w:rPr>
              <w:t>Training weights increasing with distance from the mean, strength 0 to 0.75.</w:t>
            </w:r>
          </w:p>
        </w:tc>
        <w:tc>
          <w:tcPr>
            <w:tcW w:type="dxa" w:w="1928"/>
          </w:tcPr>
          <w:p>
            <w:pPr>
              <w:spacing w:line="240" w:lineRule="auto" w:after="40" w:before="40"/>
              <w:jc w:val="left"/>
            </w:pPr>
            <w:r>
              <w:rPr>
                <w:b w:val="0"/>
                <w:i w:val="0"/>
                <w:sz w:val="18"/>
              </w:rPr>
              <w:t>0.505 → 0.500 / 0.494 / 0.488</w:t>
            </w:r>
          </w:p>
        </w:tc>
        <w:tc>
          <w:tcPr>
            <w:tcW w:type="dxa" w:w="1134"/>
          </w:tcPr>
          <w:p>
            <w:pPr>
              <w:spacing w:line="240" w:lineRule="auto" w:after="40" w:before="40"/>
              <w:jc w:val="left"/>
            </w:pPr>
            <w:r>
              <w:rPr>
                <w:b w:val="0"/>
                <w:i w:val="0"/>
                <w:sz w:val="18"/>
              </w:rPr>
              <w:t>Worse</w:t>
            </w:r>
          </w:p>
        </w:tc>
        <w:tc>
          <w:tcPr>
            <w:tcW w:type="dxa" w:w="2211"/>
          </w:tcPr>
          <w:p>
            <w:pPr>
              <w:spacing w:line="240" w:lineRule="auto" w:after="40" w:before="40"/>
              <w:jc w:val="left"/>
            </w:pPr>
            <w:r>
              <w:rPr>
                <w:b w:val="0"/>
                <w:i w:val="0"/>
                <w:sz w:val="18"/>
              </w:rPr>
              <w:t>Prediction compression (E13) stems from missing information, not from the loss weighting. Weighting the extremes trades errors in the middle of the range for small gains at the tails.</w:t>
            </w:r>
          </w:p>
        </w:tc>
      </w:tr>
    </w:tbl>
    <w:p>
      <w:pPr>
        <w:spacing w:after="40"/>
      </w:pPr>
    </w:p>
    <w:p>
      <w:pPr>
        <w:pStyle w:val="Heading2"/>
      </w:pPr>
      <w:r>
        <w:t>A.6 Phase 4: Target Diagnostics and Model Families (13–16 October)</w:t>
      </w:r>
    </w:p>
    <w:p>
      <w:r>
        <w:rPr>
          <w:b w:val="0"/>
          <w:i w:val="0"/>
        </w:rPr>
        <w:t>Diagnostics of the target variable were run first, as they explain why the subsequent model changes could not raise R² substantially.</w:t>
      </w:r>
    </w:p>
    <w:p>
      <w:pPr>
        <w:pStyle w:val="Caption"/>
      </w:pPr>
      <w:r>
        <w:rPr>
          <w:b/>
        </w:rPr>
        <w:t xml:space="preserve">Table A.6. </w:t>
      </w:r>
      <w:r>
        <w:t>Phase 4 diagnostics of the target and residuals.</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504"/>
        <w:gridCol w:w="1504"/>
        <w:gridCol w:w="1504"/>
        <w:gridCol w:w="1504"/>
        <w:gridCol w:w="1504"/>
        <w:gridCol w:w="1504"/>
      </w:tblGrid>
      <w:tr>
        <w:trPr>
          <w:tblHeader/>
          <w:cantSplit/>
        </w:trPr>
        <w:tc>
          <w:tcPr>
            <w:tcW w:type="dxa" w:w="510"/>
            <w:shd w:val="clear" w:color="auto" w:fill="EDEDED"/>
            <w:tcBorders>
              <w:bottom w:val="single" w:sz="6" w:space="0" w:color="000000"/>
            </w:tcBorders>
          </w:tcPr>
          <w:p>
            <w:pPr>
              <w:spacing w:line="240" w:lineRule="auto" w:after="40" w:before="40"/>
              <w:jc w:val="left"/>
            </w:pPr>
            <w:r>
              <w:rPr>
                <w:b/>
                <w:i w:val="0"/>
                <w:sz w:val="18"/>
              </w:rPr>
              <w:t>ID</w:t>
            </w:r>
          </w:p>
        </w:tc>
        <w:tc>
          <w:tcPr>
            <w:tcW w:type="dxa" w:w="1417"/>
            <w:shd w:val="clear" w:color="auto" w:fill="EDEDED"/>
            <w:tcBorders>
              <w:bottom w:val="single" w:sz="6" w:space="0" w:color="000000"/>
            </w:tcBorders>
          </w:tcPr>
          <w:p>
            <w:pPr>
              <w:spacing w:line="240" w:lineRule="auto" w:after="40" w:before="40"/>
              <w:jc w:val="left"/>
            </w:pPr>
            <w:r>
              <w:rPr>
                <w:b/>
                <w:i w:val="0"/>
                <w:sz w:val="18"/>
              </w:rPr>
              <w:t>Experiment</w:t>
            </w:r>
          </w:p>
        </w:tc>
        <w:tc>
          <w:tcPr>
            <w:tcW w:type="dxa" w:w="1814"/>
            <w:shd w:val="clear" w:color="auto" w:fill="EDEDED"/>
            <w:tcBorders>
              <w:bottom w:val="single" w:sz="6" w:space="0" w:color="000000"/>
            </w:tcBorders>
          </w:tcPr>
          <w:p>
            <w:pPr>
              <w:spacing w:line="240" w:lineRule="auto" w:after="40" w:before="40"/>
              <w:jc w:val="left"/>
            </w:pPr>
            <w:r>
              <w:rPr>
                <w:b/>
                <w:i w:val="0"/>
                <w:sz w:val="18"/>
              </w:rPr>
              <w:t>What was tested</w:t>
            </w:r>
          </w:p>
        </w:tc>
        <w:tc>
          <w:tcPr>
            <w:tcW w:type="dxa" w:w="1928"/>
            <w:shd w:val="clear" w:color="auto" w:fill="EDEDED"/>
            <w:tcBorders>
              <w:bottom w:val="single" w:sz="6" w:space="0" w:color="000000"/>
            </w:tcBorders>
          </w:tcPr>
          <w:p>
            <w:pPr>
              <w:spacing w:line="240" w:lineRule="auto" w:after="40" w:before="40"/>
              <w:jc w:val="left"/>
            </w:pPr>
            <w:r>
              <w:rPr>
                <w:b/>
                <w:i w:val="0"/>
                <w:sz w:val="18"/>
              </w:rPr>
              <w:t>Result</w:t>
            </w:r>
          </w:p>
        </w:tc>
        <w:tc>
          <w:tcPr>
            <w:tcW w:type="dxa" w:w="1134"/>
            <w:shd w:val="clear" w:color="auto" w:fill="EDEDED"/>
            <w:tcBorders>
              <w:bottom w:val="single" w:sz="6" w:space="0" w:color="000000"/>
            </w:tcBorders>
          </w:tcPr>
          <w:p>
            <w:pPr>
              <w:spacing w:line="240" w:lineRule="auto" w:after="40" w:before="40"/>
              <w:jc w:val="left"/>
            </w:pPr>
            <w:r>
              <w:rPr>
                <w:b/>
                <w:i w:val="0"/>
                <w:sz w:val="18"/>
              </w:rPr>
              <w:t>Outcome</w:t>
            </w:r>
          </w:p>
        </w:tc>
        <w:tc>
          <w:tcPr>
            <w:tcW w:type="dxa" w:w="2211"/>
            <w:shd w:val="clear" w:color="auto" w:fill="EDEDED"/>
            <w:tcBorders>
              <w:bottom w:val="single" w:sz="6" w:space="0" w:color="000000"/>
            </w:tcBorders>
          </w:tcPr>
          <w:p>
            <w:pPr>
              <w:spacing w:line="240" w:lineRule="auto" w:after="40" w:before="40"/>
              <w:jc w:val="left"/>
            </w:pPr>
            <w:r>
              <w:rPr>
                <w:b/>
                <w:i w:val="0"/>
                <w:sz w:val="18"/>
              </w:rPr>
              <w:t>Interpretation</w:t>
            </w:r>
          </w:p>
        </w:tc>
      </w:tr>
      <w:tr>
        <w:trPr>
          <w:cantSplit/>
        </w:trPr>
        <w:tc>
          <w:tcPr>
            <w:tcW w:type="dxa" w:w="510"/>
          </w:tcPr>
          <w:p>
            <w:pPr>
              <w:spacing w:line="240" w:lineRule="auto" w:after="40" w:before="40"/>
              <w:jc w:val="left"/>
            </w:pPr>
            <w:r>
              <w:rPr>
                <w:b w:val="0"/>
                <w:i w:val="0"/>
                <w:sz w:val="18"/>
              </w:rPr>
              <w:t>E13</w:t>
            </w:r>
          </w:p>
        </w:tc>
        <w:tc>
          <w:tcPr>
            <w:tcW w:type="dxa" w:w="1417"/>
          </w:tcPr>
          <w:p>
            <w:pPr>
              <w:spacing w:line="240" w:lineRule="auto" w:after="40" w:before="40"/>
              <w:jc w:val="left"/>
            </w:pPr>
            <w:r>
              <w:rPr>
                <w:b w:val="0"/>
                <w:i w:val="0"/>
                <w:sz w:val="18"/>
              </w:rPr>
              <w:t>Residual analysis</w:t>
            </w:r>
          </w:p>
        </w:tc>
        <w:tc>
          <w:tcPr>
            <w:tcW w:type="dxa" w:w="1814"/>
          </w:tcPr>
          <w:p>
            <w:pPr>
              <w:spacing w:line="240" w:lineRule="auto" w:after="40" w:before="40"/>
              <w:jc w:val="left"/>
            </w:pPr>
            <w:r>
              <w:rPr>
                <w:b w:val="0"/>
                <w:i w:val="0"/>
                <w:sz w:val="18"/>
              </w:rPr>
              <w:t>Error and bias by CAP range on out-of-fold predictions (P2).</w:t>
            </w:r>
          </w:p>
        </w:tc>
        <w:tc>
          <w:tcPr>
            <w:tcW w:type="dxa" w:w="1928"/>
          </w:tcPr>
          <w:p>
            <w:pPr>
              <w:spacing w:line="240" w:lineRule="auto" w:after="40" w:before="40"/>
              <w:jc w:val="left"/>
            </w:pPr>
            <w:r>
              <w:rPr>
                <w:b w:val="0"/>
                <w:i w:val="0"/>
                <w:sz w:val="18"/>
              </w:rPr>
              <w:t>Slope of prediction on actual 0.51. Mean bias +44 dB/m for CAP &lt; 200 and −67 dB/m for CAP &gt; 390</w:t>
            </w:r>
          </w:p>
        </w:tc>
        <w:tc>
          <w:tcPr>
            <w:tcW w:type="dxa" w:w="1134"/>
          </w:tcPr>
          <w:p>
            <w:pPr>
              <w:spacing w:line="240" w:lineRule="auto" w:after="40" w:before="40"/>
              <w:jc w:val="left"/>
            </w:pPr>
            <w:r>
              <w:rPr>
                <w:b w:val="0"/>
                <w:i w:val="0"/>
                <w:sz w:val="18"/>
              </w:rPr>
              <w:t>Diagnostic</w:t>
            </w:r>
          </w:p>
        </w:tc>
        <w:tc>
          <w:tcPr>
            <w:tcW w:type="dxa" w:w="2211"/>
          </w:tcPr>
          <w:p>
            <w:pPr>
              <w:spacing w:line="240" w:lineRule="auto" w:after="40" w:before="40"/>
              <w:jc w:val="left"/>
            </w:pPr>
            <w:r>
              <w:rPr>
                <w:b w:val="0"/>
                <w:i w:val="0"/>
                <w:sz w:val="18"/>
              </w:rPr>
              <w:t>Regression toward the mean: the inputs cannot separate very lean or very fatty livers from average ones, so predictions shrink toward approximately 255 dB/m.</w:t>
            </w:r>
          </w:p>
        </w:tc>
      </w:tr>
      <w:tr>
        <w:trPr>
          <w:cantSplit/>
        </w:trPr>
        <w:tc>
          <w:tcPr>
            <w:tcW w:type="dxa" w:w="510"/>
          </w:tcPr>
          <w:p>
            <w:pPr>
              <w:spacing w:line="240" w:lineRule="auto" w:after="40" w:before="40"/>
              <w:jc w:val="left"/>
            </w:pPr>
            <w:r>
              <w:rPr>
                <w:b w:val="0"/>
                <w:i w:val="0"/>
                <w:sz w:val="18"/>
              </w:rPr>
              <w:t>E14</w:t>
            </w:r>
          </w:p>
        </w:tc>
        <w:tc>
          <w:tcPr>
            <w:tcW w:type="dxa" w:w="1417"/>
          </w:tcPr>
          <w:p>
            <w:pPr>
              <w:spacing w:line="240" w:lineRule="auto" w:after="40" w:before="40"/>
              <w:jc w:val="left"/>
            </w:pPr>
            <w:r>
              <w:rPr>
                <w:b w:val="0"/>
                <w:i w:val="0"/>
                <w:sz w:val="18"/>
              </w:rPr>
              <w:t>CAP ceiling audit</w:t>
            </w:r>
          </w:p>
        </w:tc>
        <w:tc>
          <w:tcPr>
            <w:tcW w:type="dxa" w:w="1814"/>
          </w:tcPr>
          <w:p>
            <w:pPr>
              <w:spacing w:line="240" w:lineRule="auto" w:after="40" w:before="40"/>
              <w:jc w:val="left"/>
            </w:pPr>
            <w:r>
              <w:rPr>
                <w:b w:val="0"/>
                <w:i w:val="0"/>
                <w:sz w:val="18"/>
              </w:rPr>
              <w:t>Values at the device maximum and their examination quality.</w:t>
            </w:r>
          </w:p>
        </w:tc>
        <w:tc>
          <w:tcPr>
            <w:tcW w:type="dxa" w:w="1928"/>
          </w:tcPr>
          <w:p>
            <w:pPr>
              <w:spacing w:line="240" w:lineRule="auto" w:after="40" w:before="40"/>
              <w:jc w:val="left"/>
            </w:pPr>
            <w:r>
              <w:rPr>
                <w:b w:val="0"/>
                <w:i w:val="0"/>
                <w:sz w:val="18"/>
              </w:rPr>
              <w:t>129 of 9,021 (1.4%) exactly 400 dB/m; median CAP IQR 5 dB/m against 35 dB/m for other examinations</w:t>
            </w:r>
          </w:p>
        </w:tc>
        <w:tc>
          <w:tcPr>
            <w:tcW w:type="dxa" w:w="1134"/>
          </w:tcPr>
          <w:p>
            <w:pPr>
              <w:spacing w:line="240" w:lineRule="auto" w:after="40" w:before="40"/>
              <w:jc w:val="left"/>
            </w:pPr>
            <w:r>
              <w:rPr>
                <w:b w:val="0"/>
                <w:i w:val="0"/>
                <w:sz w:val="18"/>
              </w:rPr>
              <w:t>Diagnostic</w:t>
            </w:r>
          </w:p>
        </w:tc>
        <w:tc>
          <w:tcPr>
            <w:tcW w:type="dxa" w:w="2211"/>
          </w:tcPr>
          <w:p>
            <w:pPr>
              <w:spacing w:line="240" w:lineRule="auto" w:after="40" w:before="40"/>
              <w:jc w:val="left"/>
            </w:pPr>
            <w:r>
              <w:rPr>
                <w:b w:val="0"/>
                <w:i w:val="0"/>
                <w:sz w:val="18"/>
              </w:rPr>
              <w:t>CAP is truncated at 400 dB/m, so higher true values are censored. Too few cases to limit R² materially.</w:t>
            </w:r>
          </w:p>
        </w:tc>
      </w:tr>
      <w:tr>
        <w:trPr>
          <w:cantSplit/>
        </w:trPr>
        <w:tc>
          <w:tcPr>
            <w:tcW w:type="dxa" w:w="510"/>
          </w:tcPr>
          <w:p>
            <w:pPr>
              <w:spacing w:line="240" w:lineRule="auto" w:after="40" w:before="40"/>
              <w:jc w:val="left"/>
            </w:pPr>
            <w:r>
              <w:rPr>
                <w:b w:val="0"/>
                <w:i w:val="0"/>
                <w:sz w:val="18"/>
              </w:rPr>
              <w:t>E15</w:t>
            </w:r>
          </w:p>
        </w:tc>
        <w:tc>
          <w:tcPr>
            <w:tcW w:type="dxa" w:w="1417"/>
          </w:tcPr>
          <w:p>
            <w:pPr>
              <w:spacing w:line="240" w:lineRule="auto" w:after="40" w:before="40"/>
              <w:jc w:val="left"/>
            </w:pPr>
            <w:r>
              <w:rPr>
                <w:b w:val="0"/>
                <w:i w:val="0"/>
                <w:sz w:val="18"/>
              </w:rPr>
              <w:t>Ceiling sensitivity</w:t>
            </w:r>
          </w:p>
        </w:tc>
        <w:tc>
          <w:tcPr>
            <w:tcW w:type="dxa" w:w="1814"/>
          </w:tcPr>
          <w:p>
            <w:pPr>
              <w:spacing w:line="240" w:lineRule="auto" w:after="40" w:before="40"/>
              <w:jc w:val="left"/>
            </w:pPr>
            <w:r>
              <w:rPr>
                <w:b w:val="0"/>
                <w:i w:val="0"/>
                <w:sz w:val="18"/>
              </w:rPr>
              <w:t>Model refitted and scored without CAP = 400 (P1-CV).</w:t>
            </w:r>
          </w:p>
        </w:tc>
        <w:tc>
          <w:tcPr>
            <w:tcW w:type="dxa" w:w="1928"/>
          </w:tcPr>
          <w:p>
            <w:pPr>
              <w:spacing w:line="240" w:lineRule="auto" w:after="40" w:before="40"/>
              <w:jc w:val="left"/>
            </w:pPr>
            <w:r>
              <w:rPr>
                <w:b w:val="0"/>
                <w:i w:val="0"/>
                <w:sz w:val="18"/>
              </w:rPr>
              <w:t>R² 0.506 → 0.488; RMSE 44.28 → 43.74 dB/m</w:t>
            </w:r>
          </w:p>
        </w:tc>
        <w:tc>
          <w:tcPr>
            <w:tcW w:type="dxa" w:w="1134"/>
          </w:tcPr>
          <w:p>
            <w:pPr>
              <w:spacing w:line="240" w:lineRule="auto" w:after="40" w:before="40"/>
              <w:jc w:val="left"/>
            </w:pPr>
            <w:r>
              <w:rPr>
                <w:b w:val="0"/>
                <w:i w:val="0"/>
                <w:sz w:val="18"/>
              </w:rPr>
              <w:t>No gain</w:t>
            </w:r>
          </w:p>
        </w:tc>
        <w:tc>
          <w:tcPr>
            <w:tcW w:type="dxa" w:w="2211"/>
          </w:tcPr>
          <w:p>
            <w:pPr>
              <w:spacing w:line="240" w:lineRule="auto" w:after="40" w:before="40"/>
              <w:jc w:val="left"/>
            </w:pPr>
            <w:r>
              <w:rPr>
                <w:b w:val="0"/>
                <w:i w:val="0"/>
                <w:sz w:val="18"/>
              </w:rPr>
              <w:t>Errors fall slightly, but R² falls because removing the highest values reduces the variance against which R² is measured.</w:t>
            </w:r>
          </w:p>
        </w:tc>
      </w:tr>
      <w:tr>
        <w:trPr>
          <w:cantSplit/>
        </w:trPr>
        <w:tc>
          <w:tcPr>
            <w:tcW w:type="dxa" w:w="510"/>
          </w:tcPr>
          <w:p>
            <w:pPr>
              <w:spacing w:line="240" w:lineRule="auto" w:after="40" w:before="40"/>
              <w:jc w:val="left"/>
            </w:pPr>
            <w:r>
              <w:rPr>
                <w:b w:val="0"/>
                <w:i w:val="0"/>
                <w:sz w:val="18"/>
              </w:rPr>
              <w:t>E16</w:t>
            </w:r>
          </w:p>
        </w:tc>
        <w:tc>
          <w:tcPr>
            <w:tcW w:type="dxa" w:w="1417"/>
          </w:tcPr>
          <w:p>
            <w:pPr>
              <w:spacing w:line="240" w:lineRule="auto" w:after="40" w:before="40"/>
              <w:jc w:val="left"/>
            </w:pPr>
            <w:r>
              <w:rPr>
                <w:b w:val="0"/>
                <w:i w:val="0"/>
                <w:sz w:val="18"/>
              </w:rPr>
              <w:t>Measurement quality by probe</w:t>
            </w:r>
          </w:p>
        </w:tc>
        <w:tc>
          <w:tcPr>
            <w:tcW w:type="dxa" w:w="1814"/>
          </w:tcPr>
          <w:p>
            <w:pPr>
              <w:spacing w:line="240" w:lineRule="auto" w:after="40" w:before="40"/>
              <w:jc w:val="left"/>
            </w:pPr>
            <w:r>
              <w:rPr>
                <w:b w:val="0"/>
                <w:i w:val="0"/>
                <w:sz w:val="18"/>
              </w:rPr>
              <w:t>Within-probe performance for M and XL probes (P1-CV).</w:t>
            </w:r>
          </w:p>
        </w:tc>
        <w:tc>
          <w:tcPr>
            <w:tcW w:type="dxa" w:w="1928"/>
          </w:tcPr>
          <w:p>
            <w:pPr>
              <w:spacing w:line="240" w:lineRule="auto" w:after="40" w:before="40"/>
              <w:jc w:val="left"/>
            </w:pPr>
            <w:r>
              <w:rPr>
                <w:b w:val="0"/>
                <w:i w:val="0"/>
                <w:sz w:val="18"/>
              </w:rPr>
              <w:t>Within-probe R²: M 0.419, XL 0.278; RMSE 42.0 and 50.8 dB/m</w:t>
            </w:r>
          </w:p>
        </w:tc>
        <w:tc>
          <w:tcPr>
            <w:tcW w:type="dxa" w:w="1134"/>
          </w:tcPr>
          <w:p>
            <w:pPr>
              <w:spacing w:line="240" w:lineRule="auto" w:after="40" w:before="40"/>
              <w:jc w:val="left"/>
            </w:pPr>
            <w:r>
              <w:rPr>
                <w:b w:val="0"/>
                <w:i w:val="0"/>
                <w:sz w:val="18"/>
              </w:rPr>
              <w:t>Diagnostic</w:t>
            </w:r>
          </w:p>
        </w:tc>
        <w:tc>
          <w:tcPr>
            <w:tcW w:type="dxa" w:w="2211"/>
          </w:tcPr>
          <w:p>
            <w:pPr>
              <w:spacing w:line="240" w:lineRule="auto" w:after="40" w:before="40"/>
              <w:jc w:val="left"/>
            </w:pPr>
            <w:r>
              <w:rPr>
                <w:b w:val="0"/>
                <w:i w:val="0"/>
                <w:sz w:val="18"/>
              </w:rPr>
              <w:t>The XL probe is used for larger body habitus and yields noisier CAP; probe choice itself tracks obesity.</w:t>
            </w:r>
          </w:p>
        </w:tc>
      </w:tr>
    </w:tbl>
    <w:p>
      <w:pPr>
        <w:spacing w:after="40"/>
      </w:pPr>
    </w:p>
    <w:p>
      <w:pPr>
        <w:pStyle w:val="Caption"/>
      </w:pPr>
      <w:r>
        <w:rPr>
          <w:b/>
        </w:rPr>
        <w:t xml:space="preserve">Table A.7. </w:t>
      </w:r>
      <w:r>
        <w:t>Phase 4 experiments: model families and target treatments.</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504"/>
        <w:gridCol w:w="1504"/>
        <w:gridCol w:w="1504"/>
        <w:gridCol w:w="1504"/>
        <w:gridCol w:w="1504"/>
        <w:gridCol w:w="1504"/>
      </w:tblGrid>
      <w:tr>
        <w:trPr>
          <w:tblHeader/>
          <w:cantSplit/>
        </w:trPr>
        <w:tc>
          <w:tcPr>
            <w:tcW w:type="dxa" w:w="510"/>
            <w:shd w:val="clear" w:color="auto" w:fill="EDEDED"/>
            <w:tcBorders>
              <w:bottom w:val="single" w:sz="6" w:space="0" w:color="000000"/>
            </w:tcBorders>
          </w:tcPr>
          <w:p>
            <w:pPr>
              <w:spacing w:line="240" w:lineRule="auto" w:after="40" w:before="40"/>
              <w:jc w:val="left"/>
            </w:pPr>
            <w:r>
              <w:rPr>
                <w:b/>
                <w:i w:val="0"/>
                <w:sz w:val="18"/>
              </w:rPr>
              <w:t>ID</w:t>
            </w:r>
          </w:p>
        </w:tc>
        <w:tc>
          <w:tcPr>
            <w:tcW w:type="dxa" w:w="1417"/>
            <w:shd w:val="clear" w:color="auto" w:fill="EDEDED"/>
            <w:tcBorders>
              <w:bottom w:val="single" w:sz="6" w:space="0" w:color="000000"/>
            </w:tcBorders>
          </w:tcPr>
          <w:p>
            <w:pPr>
              <w:spacing w:line="240" w:lineRule="auto" w:after="40" w:before="40"/>
              <w:jc w:val="left"/>
            </w:pPr>
            <w:r>
              <w:rPr>
                <w:b/>
                <w:i w:val="0"/>
                <w:sz w:val="18"/>
              </w:rPr>
              <w:t>Experiment</w:t>
            </w:r>
          </w:p>
        </w:tc>
        <w:tc>
          <w:tcPr>
            <w:tcW w:type="dxa" w:w="1814"/>
            <w:shd w:val="clear" w:color="auto" w:fill="EDEDED"/>
            <w:tcBorders>
              <w:bottom w:val="single" w:sz="6" w:space="0" w:color="000000"/>
            </w:tcBorders>
          </w:tcPr>
          <w:p>
            <w:pPr>
              <w:spacing w:line="240" w:lineRule="auto" w:after="40" w:before="40"/>
              <w:jc w:val="left"/>
            </w:pPr>
            <w:r>
              <w:rPr>
                <w:b/>
                <w:i w:val="0"/>
                <w:sz w:val="18"/>
              </w:rPr>
              <w:t>What was tested</w:t>
            </w:r>
          </w:p>
        </w:tc>
        <w:tc>
          <w:tcPr>
            <w:tcW w:type="dxa" w:w="1928"/>
            <w:shd w:val="clear" w:color="auto" w:fill="EDEDED"/>
            <w:tcBorders>
              <w:bottom w:val="single" w:sz="6" w:space="0" w:color="000000"/>
            </w:tcBorders>
          </w:tcPr>
          <w:p>
            <w:pPr>
              <w:spacing w:line="240" w:lineRule="auto" w:after="40" w:before="40"/>
              <w:jc w:val="left"/>
            </w:pPr>
            <w:r>
              <w:rPr>
                <w:b/>
                <w:i w:val="0"/>
                <w:sz w:val="18"/>
              </w:rPr>
              <w:t>Result</w:t>
            </w:r>
          </w:p>
        </w:tc>
        <w:tc>
          <w:tcPr>
            <w:tcW w:type="dxa" w:w="1134"/>
            <w:shd w:val="clear" w:color="auto" w:fill="EDEDED"/>
            <w:tcBorders>
              <w:bottom w:val="single" w:sz="6" w:space="0" w:color="000000"/>
            </w:tcBorders>
          </w:tcPr>
          <w:p>
            <w:pPr>
              <w:spacing w:line="240" w:lineRule="auto" w:after="40" w:before="40"/>
              <w:jc w:val="left"/>
            </w:pPr>
            <w:r>
              <w:rPr>
                <w:b/>
                <w:i w:val="0"/>
                <w:sz w:val="18"/>
              </w:rPr>
              <w:t>Outcome</w:t>
            </w:r>
          </w:p>
        </w:tc>
        <w:tc>
          <w:tcPr>
            <w:tcW w:type="dxa" w:w="2211"/>
            <w:shd w:val="clear" w:color="auto" w:fill="EDEDED"/>
            <w:tcBorders>
              <w:bottom w:val="single" w:sz="6" w:space="0" w:color="000000"/>
            </w:tcBorders>
          </w:tcPr>
          <w:p>
            <w:pPr>
              <w:spacing w:line="240" w:lineRule="auto" w:after="40" w:before="40"/>
              <w:jc w:val="left"/>
            </w:pPr>
            <w:r>
              <w:rPr>
                <w:b/>
                <w:i w:val="0"/>
                <w:sz w:val="18"/>
              </w:rPr>
              <w:t>Interpretation</w:t>
            </w:r>
          </w:p>
        </w:tc>
      </w:tr>
      <w:tr>
        <w:trPr>
          <w:cantSplit/>
        </w:trPr>
        <w:tc>
          <w:tcPr>
            <w:tcW w:type="dxa" w:w="510"/>
          </w:tcPr>
          <w:p>
            <w:pPr>
              <w:spacing w:line="240" w:lineRule="auto" w:after="40" w:before="40"/>
              <w:jc w:val="left"/>
            </w:pPr>
            <w:r>
              <w:rPr>
                <w:b w:val="0"/>
                <w:i w:val="0"/>
                <w:sz w:val="18"/>
              </w:rPr>
              <w:t>E17</w:t>
            </w:r>
          </w:p>
        </w:tc>
        <w:tc>
          <w:tcPr>
            <w:tcW w:type="dxa" w:w="1417"/>
          </w:tcPr>
          <w:p>
            <w:pPr>
              <w:spacing w:line="240" w:lineRule="auto" w:after="40" w:before="40"/>
              <w:jc w:val="left"/>
            </w:pPr>
            <w:r>
              <w:rPr>
                <w:b w:val="0"/>
                <w:i w:val="0"/>
                <w:sz w:val="18"/>
              </w:rPr>
              <w:t>Probe-aware regression</w:t>
            </w:r>
          </w:p>
        </w:tc>
        <w:tc>
          <w:tcPr>
            <w:tcW w:type="dxa" w:w="1814"/>
          </w:tcPr>
          <w:p>
            <w:pPr>
              <w:spacing w:line="240" w:lineRule="auto" w:after="40" w:before="40"/>
              <w:jc w:val="left"/>
            </w:pPr>
            <w:r>
              <w:rPr>
                <w:b w:val="0"/>
                <w:i w:val="0"/>
                <w:sz w:val="18"/>
              </w:rPr>
              <w:t>Probe type (M or XL) as an input (P1-CV).</w:t>
            </w:r>
          </w:p>
        </w:tc>
        <w:tc>
          <w:tcPr>
            <w:tcW w:type="dxa" w:w="1928"/>
          </w:tcPr>
          <w:p>
            <w:pPr>
              <w:spacing w:line="240" w:lineRule="auto" w:after="40" w:before="40"/>
              <w:jc w:val="left"/>
            </w:pPr>
            <w:r>
              <w:rPr>
                <w:b w:val="0"/>
                <w:i w:val="0"/>
                <w:sz w:val="18"/>
              </w:rPr>
              <w:t>0.5062 → 0.5112</w:t>
            </w:r>
          </w:p>
        </w:tc>
        <w:tc>
          <w:tcPr>
            <w:tcW w:type="dxa" w:w="1134"/>
          </w:tcPr>
          <w:p>
            <w:pPr>
              <w:spacing w:line="240" w:lineRule="auto" w:after="40" w:before="40"/>
              <w:jc w:val="left"/>
            </w:pPr>
            <w:r>
              <w:rPr>
                <w:b w:val="0"/>
                <w:i w:val="0"/>
                <w:sz w:val="18"/>
              </w:rPr>
              <w:t>Small gain</w:t>
            </w:r>
          </w:p>
        </w:tc>
        <w:tc>
          <w:tcPr>
            <w:tcW w:type="dxa" w:w="2211"/>
          </w:tcPr>
          <w:p>
            <w:pPr>
              <w:spacing w:line="240" w:lineRule="auto" w:after="40" w:before="40"/>
              <w:jc w:val="left"/>
            </w:pPr>
            <w:r>
              <w:rPr>
                <w:b w:val="0"/>
                <w:i w:val="0"/>
                <w:sz w:val="18"/>
              </w:rPr>
              <w:t>Not used in the final model: probe type is recorded during the FibroScan examination, and a patient with a FibroScan already has a measured CAP.</w:t>
            </w:r>
          </w:p>
        </w:tc>
      </w:tr>
      <w:tr>
        <w:trPr>
          <w:cantSplit/>
        </w:trPr>
        <w:tc>
          <w:tcPr>
            <w:tcW w:type="dxa" w:w="510"/>
          </w:tcPr>
          <w:p>
            <w:pPr>
              <w:spacing w:line="240" w:lineRule="auto" w:after="40" w:before="40"/>
              <w:jc w:val="left"/>
            </w:pPr>
            <w:r>
              <w:rPr>
                <w:b w:val="0"/>
                <w:i w:val="0"/>
                <w:sz w:val="18"/>
              </w:rPr>
              <w:t>E18</w:t>
            </w:r>
          </w:p>
        </w:tc>
        <w:tc>
          <w:tcPr>
            <w:tcW w:type="dxa" w:w="1417"/>
          </w:tcPr>
          <w:p>
            <w:pPr>
              <w:spacing w:line="240" w:lineRule="auto" w:after="40" w:before="40"/>
              <w:jc w:val="left"/>
            </w:pPr>
            <w:r>
              <w:rPr>
                <w:b w:val="0"/>
                <w:i w:val="0"/>
                <w:sz w:val="18"/>
              </w:rPr>
              <w:t>Probe weighting</w:t>
            </w:r>
          </w:p>
        </w:tc>
        <w:tc>
          <w:tcPr>
            <w:tcW w:type="dxa" w:w="1814"/>
          </w:tcPr>
          <w:p>
            <w:pPr>
              <w:spacing w:line="240" w:lineRule="auto" w:after="40" w:before="40"/>
              <w:jc w:val="left"/>
            </w:pPr>
            <w:r>
              <w:rPr>
                <w:b w:val="0"/>
                <w:i w:val="0"/>
                <w:sz w:val="18"/>
              </w:rPr>
              <w:t>XL examinations weighted 1.5× and 2×.</w:t>
            </w:r>
          </w:p>
        </w:tc>
        <w:tc>
          <w:tcPr>
            <w:tcW w:type="dxa" w:w="1928"/>
          </w:tcPr>
          <w:p>
            <w:pPr>
              <w:spacing w:line="240" w:lineRule="auto" w:after="40" w:before="40"/>
              <w:jc w:val="left"/>
            </w:pPr>
            <w:r>
              <w:rPr>
                <w:b w:val="0"/>
                <w:i w:val="0"/>
                <w:sz w:val="18"/>
              </w:rPr>
              <w:t>0.5112 → 0.5080 / 0.5018</w:t>
            </w:r>
          </w:p>
        </w:tc>
        <w:tc>
          <w:tcPr>
            <w:tcW w:type="dxa" w:w="1134"/>
          </w:tcPr>
          <w:p>
            <w:pPr>
              <w:spacing w:line="240" w:lineRule="auto" w:after="40" w:before="40"/>
              <w:jc w:val="left"/>
            </w:pPr>
            <w:r>
              <w:rPr>
                <w:b w:val="0"/>
                <w:i w:val="0"/>
                <w:sz w:val="18"/>
              </w:rPr>
              <w:t>Worse</w:t>
            </w:r>
          </w:p>
        </w:tc>
        <w:tc>
          <w:tcPr>
            <w:tcW w:type="dxa" w:w="2211"/>
          </w:tcPr>
          <w:p>
            <w:pPr>
              <w:spacing w:line="240" w:lineRule="auto" w:after="40" w:before="40"/>
              <w:jc w:val="left"/>
            </w:pPr>
            <w:r>
              <w:rPr>
                <w:b w:val="0"/>
                <w:i w:val="0"/>
                <w:sz w:val="18"/>
              </w:rPr>
              <w:t>XL examinations are noisier; giving them more weight increases the noise learned.</w:t>
            </w:r>
          </w:p>
        </w:tc>
      </w:tr>
      <w:tr>
        <w:trPr>
          <w:cantSplit/>
        </w:trPr>
        <w:tc>
          <w:tcPr>
            <w:tcW w:type="dxa" w:w="510"/>
          </w:tcPr>
          <w:p>
            <w:pPr>
              <w:spacing w:line="240" w:lineRule="auto" w:after="40" w:before="40"/>
              <w:jc w:val="left"/>
            </w:pPr>
            <w:r>
              <w:rPr>
                <w:b w:val="0"/>
                <w:i w:val="0"/>
                <w:sz w:val="18"/>
              </w:rPr>
              <w:t>E19</w:t>
            </w:r>
          </w:p>
        </w:tc>
        <w:tc>
          <w:tcPr>
            <w:tcW w:type="dxa" w:w="1417"/>
          </w:tcPr>
          <w:p>
            <w:pPr>
              <w:spacing w:line="240" w:lineRule="auto" w:after="40" w:before="40"/>
              <w:jc w:val="left"/>
            </w:pPr>
            <w:r>
              <w:rPr>
                <w:b w:val="0"/>
                <w:i w:val="0"/>
                <w:sz w:val="18"/>
              </w:rPr>
              <w:t>CatBoost</w:t>
            </w:r>
          </w:p>
        </w:tc>
        <w:tc>
          <w:tcPr>
            <w:tcW w:type="dxa" w:w="1814"/>
          </w:tcPr>
          <w:p>
            <w:pPr>
              <w:spacing w:line="240" w:lineRule="auto" w:after="40" w:before="40"/>
              <w:jc w:val="left"/>
            </w:pPr>
            <w:r>
              <w:rPr>
                <w:b w:val="0"/>
                <w:i w:val="0"/>
                <w:sz w:val="18"/>
              </w:rPr>
              <w:t>Same features and folds as XGBoost (P2).</w:t>
            </w:r>
          </w:p>
        </w:tc>
        <w:tc>
          <w:tcPr>
            <w:tcW w:type="dxa" w:w="1928"/>
          </w:tcPr>
          <w:p>
            <w:pPr>
              <w:spacing w:line="240" w:lineRule="auto" w:after="40" w:before="40"/>
              <w:jc w:val="left"/>
            </w:pPr>
            <w:r>
              <w:rPr>
                <w:b w:val="0"/>
                <w:i w:val="0"/>
                <w:sz w:val="18"/>
              </w:rPr>
              <w:t>XGBoost 0.5135; CatBoost 0.5093</w:t>
            </w:r>
          </w:p>
        </w:tc>
        <w:tc>
          <w:tcPr>
            <w:tcW w:type="dxa" w:w="1134"/>
          </w:tcPr>
          <w:p>
            <w:pPr>
              <w:spacing w:line="240" w:lineRule="auto" w:after="40" w:before="40"/>
              <w:jc w:val="left"/>
            </w:pPr>
            <w:r>
              <w:rPr>
                <w:b w:val="0"/>
                <w:i w:val="0"/>
                <w:sz w:val="18"/>
              </w:rPr>
              <w:t>No gain</w:t>
            </w:r>
          </w:p>
        </w:tc>
        <w:tc>
          <w:tcPr>
            <w:tcW w:type="dxa" w:w="2211"/>
          </w:tcPr>
          <w:p>
            <w:pPr>
              <w:spacing w:line="240" w:lineRule="auto" w:after="40" w:before="40"/>
              <w:jc w:val="left"/>
            </w:pPr>
            <w:r>
              <w:rPr>
                <w:b w:val="0"/>
                <w:i w:val="0"/>
                <w:sz w:val="18"/>
              </w:rPr>
              <w:t>A different boosting implementation on the same information reaches the same plateau.</w:t>
            </w:r>
          </w:p>
        </w:tc>
      </w:tr>
      <w:tr>
        <w:trPr>
          <w:cantSplit/>
        </w:trPr>
        <w:tc>
          <w:tcPr>
            <w:tcW w:type="dxa" w:w="510"/>
          </w:tcPr>
          <w:p>
            <w:pPr>
              <w:spacing w:line="240" w:lineRule="auto" w:after="40" w:before="40"/>
              <w:jc w:val="left"/>
            </w:pPr>
            <w:r>
              <w:rPr>
                <w:b w:val="0"/>
                <w:i w:val="0"/>
                <w:sz w:val="18"/>
              </w:rPr>
              <w:t>E20</w:t>
            </w:r>
          </w:p>
        </w:tc>
        <w:tc>
          <w:tcPr>
            <w:tcW w:type="dxa" w:w="1417"/>
          </w:tcPr>
          <w:p>
            <w:pPr>
              <w:spacing w:line="240" w:lineRule="auto" w:after="40" w:before="40"/>
              <w:jc w:val="left"/>
            </w:pPr>
            <w:r>
              <w:rPr>
                <w:b w:val="0"/>
                <w:i w:val="0"/>
                <w:sz w:val="18"/>
              </w:rPr>
              <w:t>Classification-to-regression hybrid</w:t>
            </w:r>
          </w:p>
        </w:tc>
        <w:tc>
          <w:tcPr>
            <w:tcW w:type="dxa" w:w="1814"/>
          </w:tcPr>
          <w:p>
            <w:pPr>
              <w:spacing w:line="240" w:lineRule="auto" w:after="40" w:before="40"/>
              <w:jc w:val="left"/>
            </w:pPr>
            <w:r>
              <w:rPr>
                <w:b w:val="0"/>
                <w:i w:val="0"/>
                <w:sz w:val="18"/>
              </w:rPr>
              <w:t>Binary or four-class steatosis probabilities supplied to the regressor, nested CV (P2).</w:t>
            </w:r>
          </w:p>
        </w:tc>
        <w:tc>
          <w:tcPr>
            <w:tcW w:type="dxa" w:w="1928"/>
          </w:tcPr>
          <w:p>
            <w:pPr>
              <w:spacing w:line="240" w:lineRule="auto" w:after="40" w:before="40"/>
              <w:jc w:val="left"/>
            </w:pPr>
            <w:r>
              <w:rPr>
                <w:b w:val="0"/>
                <w:i w:val="0"/>
                <w:sz w:val="18"/>
              </w:rPr>
              <w:t>0.5135 → 0.5116 / 0.5129</w:t>
            </w:r>
          </w:p>
        </w:tc>
        <w:tc>
          <w:tcPr>
            <w:tcW w:type="dxa" w:w="1134"/>
          </w:tcPr>
          <w:p>
            <w:pPr>
              <w:spacing w:line="240" w:lineRule="auto" w:after="40" w:before="40"/>
              <w:jc w:val="left"/>
            </w:pPr>
            <w:r>
              <w:rPr>
                <w:b w:val="0"/>
                <w:i w:val="0"/>
                <w:sz w:val="18"/>
              </w:rPr>
              <w:t>No gain</w:t>
            </w:r>
          </w:p>
        </w:tc>
        <w:tc>
          <w:tcPr>
            <w:tcW w:type="dxa" w:w="2211"/>
          </w:tcPr>
          <w:p>
            <w:pPr>
              <w:spacing w:line="240" w:lineRule="auto" w:after="40" w:before="40"/>
              <w:jc w:val="left"/>
            </w:pPr>
            <w:r>
              <w:rPr>
                <w:b w:val="0"/>
                <w:i w:val="0"/>
                <w:sz w:val="18"/>
              </w:rPr>
              <w:t>Class probabilities are functions of the same inputs and add no new information.</w:t>
            </w:r>
          </w:p>
        </w:tc>
      </w:tr>
      <w:tr>
        <w:trPr>
          <w:cantSplit/>
        </w:trPr>
        <w:tc>
          <w:tcPr>
            <w:tcW w:type="dxa" w:w="510"/>
          </w:tcPr>
          <w:p>
            <w:pPr>
              <w:spacing w:line="240" w:lineRule="auto" w:after="40" w:before="40"/>
              <w:jc w:val="left"/>
            </w:pPr>
            <w:r>
              <w:rPr>
                <w:b w:val="0"/>
                <w:i w:val="0"/>
                <w:sz w:val="18"/>
              </w:rPr>
              <w:t>E21</w:t>
            </w:r>
          </w:p>
        </w:tc>
        <w:tc>
          <w:tcPr>
            <w:tcW w:type="dxa" w:w="1417"/>
          </w:tcPr>
          <w:p>
            <w:pPr>
              <w:spacing w:line="240" w:lineRule="auto" w:after="40" w:before="40"/>
              <w:jc w:val="left"/>
            </w:pPr>
            <w:r>
              <w:rPr>
                <w:b w:val="0"/>
                <w:i w:val="0"/>
                <w:sz w:val="18"/>
              </w:rPr>
              <w:t>Linear recalibration</w:t>
            </w:r>
          </w:p>
        </w:tc>
        <w:tc>
          <w:tcPr>
            <w:tcW w:type="dxa" w:w="1814"/>
          </w:tcPr>
          <w:p>
            <w:pPr>
              <w:spacing w:line="240" w:lineRule="auto" w:after="40" w:before="40"/>
              <w:jc w:val="left"/>
            </w:pPr>
            <w:r>
              <w:rPr>
                <w:b w:val="0"/>
                <w:i w:val="0"/>
                <w:sz w:val="18"/>
              </w:rPr>
              <w:t>Cross-fitted linear correction to stretch compressed predictions (P2).</w:t>
            </w:r>
          </w:p>
        </w:tc>
        <w:tc>
          <w:tcPr>
            <w:tcW w:type="dxa" w:w="1928"/>
          </w:tcPr>
          <w:p>
            <w:pPr>
              <w:spacing w:line="240" w:lineRule="auto" w:after="40" w:before="40"/>
              <w:jc w:val="left"/>
            </w:pPr>
            <w:r>
              <w:rPr>
                <w:b w:val="0"/>
                <w:i w:val="0"/>
                <w:sz w:val="18"/>
              </w:rPr>
              <w:t>0.5135 → 0.5127</w:t>
            </w:r>
          </w:p>
        </w:tc>
        <w:tc>
          <w:tcPr>
            <w:tcW w:type="dxa" w:w="1134"/>
          </w:tcPr>
          <w:p>
            <w:pPr>
              <w:spacing w:line="240" w:lineRule="auto" w:after="40" w:before="40"/>
              <w:jc w:val="left"/>
            </w:pPr>
            <w:r>
              <w:rPr>
                <w:b w:val="0"/>
                <w:i w:val="0"/>
                <w:sz w:val="18"/>
              </w:rPr>
              <w:t>No gain</w:t>
            </w:r>
          </w:p>
        </w:tc>
        <w:tc>
          <w:tcPr>
            <w:tcW w:type="dxa" w:w="2211"/>
          </w:tcPr>
          <w:p>
            <w:pPr>
              <w:spacing w:line="240" w:lineRule="auto" w:after="40" w:before="40"/>
              <w:jc w:val="left"/>
            </w:pPr>
            <w:r>
              <w:rPr>
                <w:b w:val="0"/>
                <w:i w:val="0"/>
                <w:sz w:val="18"/>
              </w:rPr>
              <w:t>Squared-error models are already calibrated in the mean; stretching predictions widens errors as much as it removes bias.</w:t>
            </w:r>
          </w:p>
        </w:tc>
      </w:tr>
      <w:tr>
        <w:trPr>
          <w:cantSplit/>
        </w:trPr>
        <w:tc>
          <w:tcPr>
            <w:tcW w:type="dxa" w:w="510"/>
          </w:tcPr>
          <w:p>
            <w:pPr>
              <w:spacing w:line="240" w:lineRule="auto" w:after="40" w:before="40"/>
              <w:jc w:val="left"/>
            </w:pPr>
            <w:r>
              <w:rPr>
                <w:b w:val="0"/>
                <w:i w:val="0"/>
                <w:sz w:val="18"/>
              </w:rPr>
              <w:t>E22</w:t>
            </w:r>
          </w:p>
        </w:tc>
        <w:tc>
          <w:tcPr>
            <w:tcW w:type="dxa" w:w="1417"/>
          </w:tcPr>
          <w:p>
            <w:pPr>
              <w:spacing w:line="240" w:lineRule="auto" w:after="40" w:before="40"/>
              <w:jc w:val="left"/>
            </w:pPr>
            <w:r>
              <w:rPr>
                <w:b w:val="0"/>
                <w:i w:val="0"/>
                <w:sz w:val="18"/>
              </w:rPr>
              <w:t>Quantile regression</w:t>
            </w:r>
          </w:p>
        </w:tc>
        <w:tc>
          <w:tcPr>
            <w:tcW w:type="dxa" w:w="1814"/>
          </w:tcPr>
          <w:p>
            <w:pPr>
              <w:spacing w:line="240" w:lineRule="auto" w:after="40" w:before="40"/>
              <w:jc w:val="left"/>
            </w:pPr>
            <w:r>
              <w:rPr>
                <w:b w:val="0"/>
                <w:i w:val="0"/>
                <w:sz w:val="18"/>
              </w:rPr>
              <w:t>Median (q50) model and an 80% interval from q10 and q90 (P1-CV).</w:t>
            </w:r>
          </w:p>
        </w:tc>
        <w:tc>
          <w:tcPr>
            <w:tcW w:type="dxa" w:w="1928"/>
          </w:tcPr>
          <w:p>
            <w:pPr>
              <w:spacing w:line="240" w:lineRule="auto" w:after="40" w:before="40"/>
              <w:jc w:val="left"/>
            </w:pPr>
            <w:r>
              <w:rPr>
                <w:b w:val="0"/>
                <w:i w:val="0"/>
                <w:sz w:val="18"/>
              </w:rPr>
              <w:t>q50 R² 0.503 against 0.506; interval coverage 74.7% (nominal 80%); mean width 98 dB/m</w:t>
            </w:r>
          </w:p>
        </w:tc>
        <w:tc>
          <w:tcPr>
            <w:tcW w:type="dxa" w:w="1134"/>
          </w:tcPr>
          <w:p>
            <w:pPr>
              <w:spacing w:line="240" w:lineRule="auto" w:after="40" w:before="40"/>
              <w:jc w:val="left"/>
            </w:pPr>
            <w:r>
              <w:rPr>
                <w:b w:val="0"/>
                <w:i w:val="0"/>
                <w:sz w:val="18"/>
              </w:rPr>
              <w:t>No gain</w:t>
            </w:r>
          </w:p>
        </w:tc>
        <w:tc>
          <w:tcPr>
            <w:tcW w:type="dxa" w:w="2211"/>
          </w:tcPr>
          <w:p>
            <w:pPr>
              <w:spacing w:line="240" w:lineRule="auto" w:after="40" w:before="40"/>
              <w:jc w:val="left"/>
            </w:pPr>
            <w:r>
              <w:rPr>
                <w:b w:val="0"/>
                <w:i w:val="0"/>
                <w:sz w:val="18"/>
              </w:rPr>
              <w:t>Useful for expressing uncertainty, not for accuracy. The interval width indicates that an individual CAP is uncertain by roughly ±50 dB/m.</w:t>
            </w:r>
          </w:p>
        </w:tc>
      </w:tr>
      <w:tr>
        <w:trPr>
          <w:cantSplit/>
        </w:trPr>
        <w:tc>
          <w:tcPr>
            <w:tcW w:type="dxa" w:w="510"/>
          </w:tcPr>
          <w:p>
            <w:pPr>
              <w:spacing w:line="240" w:lineRule="auto" w:after="40" w:before="40"/>
              <w:jc w:val="left"/>
            </w:pPr>
            <w:r>
              <w:rPr>
                <w:b w:val="0"/>
                <w:i w:val="0"/>
                <w:sz w:val="18"/>
              </w:rPr>
              <w:t>E23</w:t>
            </w:r>
          </w:p>
        </w:tc>
        <w:tc>
          <w:tcPr>
            <w:tcW w:type="dxa" w:w="1417"/>
          </w:tcPr>
          <w:p>
            <w:pPr>
              <w:spacing w:line="240" w:lineRule="auto" w:after="40" w:before="40"/>
              <w:jc w:val="left"/>
            </w:pPr>
            <w:r>
              <w:rPr>
                <w:b w:val="0"/>
                <w:i w:val="0"/>
                <w:sz w:val="18"/>
              </w:rPr>
              <w:t>Fold-local feature selection</w:t>
            </w:r>
          </w:p>
        </w:tc>
        <w:tc>
          <w:tcPr>
            <w:tcW w:type="dxa" w:w="1814"/>
          </w:tcPr>
          <w:p>
            <w:pPr>
              <w:spacing w:line="240" w:lineRule="auto" w:after="40" w:before="40"/>
              <w:jc w:val="left"/>
            </w:pPr>
            <w:r>
              <w:rPr>
                <w:b w:val="0"/>
                <w:i w:val="0"/>
                <w:sz w:val="18"/>
              </w:rPr>
              <w:t>Lasso and ExtraTrees RFE fitted within each fold (P1-CV).</w:t>
            </w:r>
          </w:p>
        </w:tc>
        <w:tc>
          <w:tcPr>
            <w:tcW w:type="dxa" w:w="1928"/>
          </w:tcPr>
          <w:p>
            <w:pPr>
              <w:spacing w:line="240" w:lineRule="auto" w:after="40" w:before="40"/>
              <w:jc w:val="left"/>
            </w:pPr>
            <w:r>
              <w:rPr>
                <w:b w:val="0"/>
                <w:i w:val="0"/>
                <w:sz w:val="18"/>
              </w:rPr>
              <w:t>0.506 → Lasso 0.499; RFE 0.504</w:t>
            </w:r>
          </w:p>
        </w:tc>
        <w:tc>
          <w:tcPr>
            <w:tcW w:type="dxa" w:w="1134"/>
          </w:tcPr>
          <w:p>
            <w:pPr>
              <w:spacing w:line="240" w:lineRule="auto" w:after="40" w:before="40"/>
              <w:jc w:val="left"/>
            </w:pPr>
            <w:r>
              <w:rPr>
                <w:b w:val="0"/>
                <w:i w:val="0"/>
                <w:sz w:val="18"/>
              </w:rPr>
              <w:t>No gain</w:t>
            </w:r>
          </w:p>
        </w:tc>
        <w:tc>
          <w:tcPr>
            <w:tcW w:type="dxa" w:w="2211"/>
          </w:tcPr>
          <w:p>
            <w:pPr>
              <w:spacing w:line="240" w:lineRule="auto" w:after="40" w:before="40"/>
              <w:jc w:val="left"/>
            </w:pPr>
            <w:r>
              <w:rPr>
                <w:b w:val="0"/>
                <w:i w:val="0"/>
                <w:sz w:val="18"/>
              </w:rPr>
              <w:t>Consistent with E10: weak features are not harming the model.</w:t>
            </w:r>
          </w:p>
        </w:tc>
      </w:tr>
      <w:tr>
        <w:trPr>
          <w:cantSplit/>
        </w:trPr>
        <w:tc>
          <w:tcPr>
            <w:tcW w:type="dxa" w:w="510"/>
          </w:tcPr>
          <w:p>
            <w:pPr>
              <w:spacing w:line="240" w:lineRule="auto" w:after="40" w:before="40"/>
              <w:jc w:val="left"/>
            </w:pPr>
            <w:r>
              <w:rPr>
                <w:b w:val="0"/>
                <w:i w:val="0"/>
                <w:sz w:val="18"/>
              </w:rPr>
              <w:t>E24</w:t>
            </w:r>
          </w:p>
        </w:tc>
        <w:tc>
          <w:tcPr>
            <w:tcW w:type="dxa" w:w="1417"/>
          </w:tcPr>
          <w:p>
            <w:pPr>
              <w:spacing w:line="240" w:lineRule="auto" w:after="40" w:before="40"/>
              <w:jc w:val="left"/>
            </w:pPr>
            <w:r>
              <w:rPr>
                <w:b w:val="0"/>
                <w:i w:val="0"/>
                <w:sz w:val="18"/>
              </w:rPr>
              <w:t>Alternative learners</w:t>
            </w:r>
          </w:p>
        </w:tc>
        <w:tc>
          <w:tcPr>
            <w:tcW w:type="dxa" w:w="1814"/>
          </w:tcPr>
          <w:p>
            <w:pPr>
              <w:spacing w:line="240" w:lineRule="auto" w:after="40" w:before="40"/>
              <w:jc w:val="left"/>
            </w:pPr>
            <w:r>
              <w:rPr>
                <w:b w:val="0"/>
                <w:i w:val="0"/>
                <w:sz w:val="18"/>
              </w:rPr>
              <w:t>Extra Trees, random forest and ridge regression on the 46 selected features (P1-CV).</w:t>
            </w:r>
          </w:p>
        </w:tc>
        <w:tc>
          <w:tcPr>
            <w:tcW w:type="dxa" w:w="1928"/>
          </w:tcPr>
          <w:p>
            <w:pPr>
              <w:spacing w:line="240" w:lineRule="auto" w:after="40" w:before="40"/>
              <w:jc w:val="left"/>
            </w:pPr>
            <w:r>
              <w:rPr>
                <w:b w:val="0"/>
                <w:i w:val="0"/>
                <w:sz w:val="18"/>
              </w:rPr>
              <w:t>XGBoost 0.506; Extra Trees 0.500; random forest 0.498; ridge 0.482</w:t>
            </w:r>
          </w:p>
        </w:tc>
        <w:tc>
          <w:tcPr>
            <w:tcW w:type="dxa" w:w="1134"/>
          </w:tcPr>
          <w:p>
            <w:pPr>
              <w:spacing w:line="240" w:lineRule="auto" w:after="40" w:before="40"/>
              <w:jc w:val="left"/>
            </w:pPr>
            <w:r>
              <w:rPr>
                <w:b w:val="0"/>
                <w:i w:val="0"/>
                <w:sz w:val="18"/>
              </w:rPr>
              <w:t>No gain</w:t>
            </w:r>
          </w:p>
        </w:tc>
        <w:tc>
          <w:tcPr>
            <w:tcW w:type="dxa" w:w="2211"/>
          </w:tcPr>
          <w:p>
            <w:pPr>
              <w:spacing w:line="240" w:lineRule="auto" w:after="40" w:before="40"/>
              <w:jc w:val="left"/>
            </w:pPr>
            <w:r>
              <w:rPr>
                <w:b w:val="0"/>
                <w:i w:val="0"/>
                <w:sz w:val="18"/>
              </w:rPr>
              <w:t>Every model family reaches the same ceiling.</w:t>
            </w:r>
          </w:p>
        </w:tc>
      </w:tr>
      <w:tr>
        <w:trPr>
          <w:cantSplit/>
        </w:trPr>
        <w:tc>
          <w:tcPr>
            <w:tcW w:type="dxa" w:w="510"/>
          </w:tcPr>
          <w:p>
            <w:pPr>
              <w:spacing w:line="240" w:lineRule="auto" w:after="40" w:before="40"/>
              <w:jc w:val="left"/>
            </w:pPr>
            <w:r>
              <w:rPr>
                <w:b w:val="0"/>
                <w:i w:val="0"/>
                <w:sz w:val="18"/>
              </w:rPr>
              <w:t>E25</w:t>
            </w:r>
          </w:p>
        </w:tc>
        <w:tc>
          <w:tcPr>
            <w:tcW w:type="dxa" w:w="1417"/>
          </w:tcPr>
          <w:p>
            <w:pPr>
              <w:spacing w:line="240" w:lineRule="auto" w:after="40" w:before="40"/>
              <w:jc w:val="left"/>
            </w:pPr>
            <w:r>
              <w:rPr>
                <w:b w:val="0"/>
                <w:i w:val="0"/>
                <w:sz w:val="18"/>
              </w:rPr>
              <w:t>Neural network</w:t>
            </w:r>
          </w:p>
        </w:tc>
        <w:tc>
          <w:tcPr>
            <w:tcW w:type="dxa" w:w="1814"/>
          </w:tcPr>
          <w:p>
            <w:pPr>
              <w:spacing w:line="240" w:lineRule="auto" w:after="40" w:before="40"/>
              <w:jc w:val="left"/>
            </w:pPr>
            <w:r>
              <w:rPr>
                <w:b w:val="0"/>
                <w:i w:val="0"/>
                <w:sz w:val="18"/>
              </w:rPr>
              <w:t>Multilayer perceptron with layers (128, 64) (P1-CV).</w:t>
            </w:r>
          </w:p>
        </w:tc>
        <w:tc>
          <w:tcPr>
            <w:tcW w:type="dxa" w:w="1928"/>
          </w:tcPr>
          <w:p>
            <w:pPr>
              <w:spacing w:line="240" w:lineRule="auto" w:after="40" w:before="40"/>
              <w:jc w:val="left"/>
            </w:pPr>
            <w:r>
              <w:rPr>
                <w:b w:val="0"/>
                <w:i w:val="0"/>
                <w:sz w:val="18"/>
              </w:rPr>
              <w:t>0.453</w:t>
            </w:r>
          </w:p>
        </w:tc>
        <w:tc>
          <w:tcPr>
            <w:tcW w:type="dxa" w:w="1134"/>
          </w:tcPr>
          <w:p>
            <w:pPr>
              <w:spacing w:line="240" w:lineRule="auto" w:after="40" w:before="40"/>
              <w:jc w:val="left"/>
            </w:pPr>
            <w:r>
              <w:rPr>
                <w:b w:val="0"/>
                <w:i w:val="0"/>
                <w:sz w:val="18"/>
              </w:rPr>
              <w:t>Worse</w:t>
            </w:r>
          </w:p>
        </w:tc>
        <w:tc>
          <w:tcPr>
            <w:tcW w:type="dxa" w:w="2211"/>
          </w:tcPr>
          <w:p>
            <w:pPr>
              <w:spacing w:line="240" w:lineRule="auto" w:after="40" w:before="40"/>
              <w:jc w:val="left"/>
            </w:pPr>
            <w:r>
              <w:rPr>
                <w:b w:val="0"/>
                <w:i w:val="0"/>
                <w:sz w:val="18"/>
              </w:rPr>
              <w:t>Tabular data of this size with substantial missingness favours tree ensembles.</w:t>
            </w:r>
          </w:p>
        </w:tc>
      </w:tr>
      <w:tr>
        <w:trPr>
          <w:cantSplit/>
        </w:trPr>
        <w:tc>
          <w:tcPr>
            <w:tcW w:type="dxa" w:w="510"/>
          </w:tcPr>
          <w:p>
            <w:pPr>
              <w:spacing w:line="240" w:lineRule="auto" w:after="40" w:before="40"/>
              <w:jc w:val="left"/>
            </w:pPr>
            <w:r>
              <w:rPr>
                <w:b w:val="0"/>
                <w:i w:val="0"/>
                <w:sz w:val="18"/>
              </w:rPr>
              <w:t>E26</w:t>
            </w:r>
          </w:p>
        </w:tc>
        <w:tc>
          <w:tcPr>
            <w:tcW w:type="dxa" w:w="1417"/>
          </w:tcPr>
          <w:p>
            <w:pPr>
              <w:spacing w:line="240" w:lineRule="auto" w:after="40" w:before="40"/>
              <w:jc w:val="left"/>
            </w:pPr>
            <w:r>
              <w:rPr>
                <w:b w:val="0"/>
                <w:i w:val="0"/>
                <w:sz w:val="18"/>
              </w:rPr>
              <w:t>Stacking</w:t>
            </w:r>
          </w:p>
        </w:tc>
        <w:tc>
          <w:tcPr>
            <w:tcW w:type="dxa" w:w="1814"/>
          </w:tcPr>
          <w:p>
            <w:pPr>
              <w:spacing w:line="240" w:lineRule="auto" w:after="40" w:before="40"/>
              <w:jc w:val="left"/>
            </w:pPr>
            <w:r>
              <w:rPr>
                <w:b w:val="0"/>
                <w:i w:val="0"/>
                <w:sz w:val="18"/>
              </w:rPr>
              <w:t>XGBoost, Extra Trees and random forest with a ridge meta-learner (P1-CV).</w:t>
            </w:r>
          </w:p>
        </w:tc>
        <w:tc>
          <w:tcPr>
            <w:tcW w:type="dxa" w:w="1928"/>
          </w:tcPr>
          <w:p>
            <w:pPr>
              <w:spacing w:line="240" w:lineRule="auto" w:after="40" w:before="40"/>
              <w:jc w:val="left"/>
            </w:pPr>
            <w:r>
              <w:rPr>
                <w:b w:val="0"/>
                <w:i w:val="0"/>
                <w:sz w:val="18"/>
              </w:rPr>
              <w:t>0.506 → 0.509</w:t>
            </w:r>
          </w:p>
        </w:tc>
        <w:tc>
          <w:tcPr>
            <w:tcW w:type="dxa" w:w="1134"/>
          </w:tcPr>
          <w:p>
            <w:pPr>
              <w:spacing w:line="240" w:lineRule="auto" w:after="40" w:before="40"/>
              <w:jc w:val="left"/>
            </w:pPr>
            <w:r>
              <w:rPr>
                <w:b w:val="0"/>
                <w:i w:val="0"/>
                <w:sz w:val="18"/>
              </w:rPr>
              <w:t>Small gain</w:t>
            </w:r>
          </w:p>
        </w:tc>
        <w:tc>
          <w:tcPr>
            <w:tcW w:type="dxa" w:w="2211"/>
          </w:tcPr>
          <w:p>
            <w:pPr>
              <w:spacing w:line="240" w:lineRule="auto" w:after="40" w:before="40"/>
              <w:jc w:val="left"/>
            </w:pPr>
            <w:r>
              <w:rPr>
                <w:b w:val="0"/>
                <w:i w:val="0"/>
                <w:sz w:val="18"/>
              </w:rPr>
              <w:t>A gain of 0.003 for three times the training cost and complexity; not adopted.</w:t>
            </w:r>
          </w:p>
        </w:tc>
      </w:tr>
      <w:tr>
        <w:trPr>
          <w:cantSplit/>
        </w:trPr>
        <w:tc>
          <w:tcPr>
            <w:tcW w:type="dxa" w:w="510"/>
          </w:tcPr>
          <w:p>
            <w:pPr>
              <w:spacing w:line="240" w:lineRule="auto" w:after="40" w:before="40"/>
              <w:jc w:val="left"/>
            </w:pPr>
            <w:r>
              <w:rPr>
                <w:b w:val="0"/>
                <w:i w:val="0"/>
                <w:sz w:val="18"/>
              </w:rPr>
              <w:t>E27</w:t>
            </w:r>
          </w:p>
        </w:tc>
        <w:tc>
          <w:tcPr>
            <w:tcW w:type="dxa" w:w="1417"/>
          </w:tcPr>
          <w:p>
            <w:pPr>
              <w:spacing w:line="240" w:lineRule="auto" w:after="40" w:before="40"/>
              <w:jc w:val="left"/>
            </w:pPr>
            <w:r>
              <w:rPr>
                <w:b w:val="0"/>
                <w:i w:val="0"/>
                <w:sz w:val="18"/>
              </w:rPr>
              <w:t>Steatosis classification</w:t>
            </w:r>
          </w:p>
        </w:tc>
        <w:tc>
          <w:tcPr>
            <w:tcW w:type="dxa" w:w="1814"/>
          </w:tcPr>
          <w:p>
            <w:pPr>
              <w:spacing w:line="240" w:lineRule="auto" w:after="40" w:before="40"/>
              <w:jc w:val="left"/>
            </w:pPr>
            <w:r>
              <w:rPr>
                <w:b w:val="0"/>
                <w:i w:val="0"/>
                <w:sz w:val="18"/>
              </w:rPr>
              <w:t>Binary (S0 against S1–S3) and four-class; provisional cut-offs 248, 268 and 280 dB/m (P2).</w:t>
            </w:r>
          </w:p>
        </w:tc>
        <w:tc>
          <w:tcPr>
            <w:tcW w:type="dxa" w:w="1928"/>
          </w:tcPr>
          <w:p>
            <w:pPr>
              <w:spacing w:line="240" w:lineRule="auto" w:after="40" w:before="40"/>
              <w:jc w:val="left"/>
            </w:pPr>
            <w:r>
              <w:rPr>
                <w:b w:val="0"/>
                <w:i w:val="0"/>
                <w:sz w:val="18"/>
              </w:rPr>
              <w:t>Binary ROC-AUC 0.862, balanced accuracy 0.776. Four-class macro F1 0.439, one-vs-rest AUC 0.742</w:t>
            </w:r>
          </w:p>
        </w:tc>
        <w:tc>
          <w:tcPr>
            <w:tcW w:type="dxa" w:w="1134"/>
          </w:tcPr>
          <w:p>
            <w:pPr>
              <w:spacing w:line="240" w:lineRule="auto" w:after="40" w:before="40"/>
              <w:jc w:val="left"/>
            </w:pPr>
            <w:r>
              <w:rPr>
                <w:b w:val="0"/>
                <w:i w:val="0"/>
                <w:sz w:val="18"/>
              </w:rPr>
              <w:t>Adopted</w:t>
            </w:r>
          </w:p>
        </w:tc>
        <w:tc>
          <w:tcPr>
            <w:tcW w:type="dxa" w:w="2211"/>
          </w:tcPr>
          <w:p>
            <w:pPr>
              <w:spacing w:line="240" w:lineRule="auto" w:after="40" w:before="40"/>
              <w:jc w:val="left"/>
            </w:pPr>
            <w:r>
              <w:rPr>
                <w:b w:val="0"/>
                <w:i w:val="0"/>
                <w:sz w:val="18"/>
              </w:rPr>
              <w:t>The binary task matches the evaluation specified in the proposal (AUC, F1, calibration) and performs well. The four-class task fails for S1 and S2, which span only 20 and 12 dB/m, narrower than the model error.</w:t>
            </w:r>
          </w:p>
        </w:tc>
      </w:tr>
      <w:tr>
        <w:trPr>
          <w:cantSplit/>
        </w:trPr>
        <w:tc>
          <w:tcPr>
            <w:tcW w:type="dxa" w:w="510"/>
          </w:tcPr>
          <w:p>
            <w:pPr>
              <w:spacing w:line="240" w:lineRule="auto" w:after="40" w:before="40"/>
              <w:jc w:val="left"/>
            </w:pPr>
            <w:r>
              <w:rPr>
                <w:b w:val="0"/>
                <w:i w:val="0"/>
                <w:sz w:val="18"/>
              </w:rPr>
              <w:t>E28</w:t>
            </w:r>
          </w:p>
        </w:tc>
        <w:tc>
          <w:tcPr>
            <w:tcW w:type="dxa" w:w="1417"/>
          </w:tcPr>
          <w:p>
            <w:pPr>
              <w:spacing w:line="240" w:lineRule="auto" w:after="40" w:before="40"/>
              <w:jc w:val="left"/>
            </w:pPr>
            <w:r>
              <w:rPr>
                <w:b w:val="0"/>
                <w:i w:val="0"/>
                <w:sz w:val="18"/>
              </w:rPr>
              <w:t>HbA1c ablation</w:t>
            </w:r>
          </w:p>
        </w:tc>
        <w:tc>
          <w:tcPr>
            <w:tcW w:type="dxa" w:w="1814"/>
          </w:tcPr>
          <w:p>
            <w:pPr>
              <w:spacing w:line="240" w:lineRule="auto" w:after="40" w:before="40"/>
              <w:jc w:val="left"/>
            </w:pPr>
            <w:r>
              <w:rPr>
                <w:b w:val="0"/>
                <w:i w:val="0"/>
                <w:sz w:val="18"/>
              </w:rPr>
              <w:t>Model with and without HbA1c on the same participants.</w:t>
            </w:r>
          </w:p>
        </w:tc>
        <w:tc>
          <w:tcPr>
            <w:tcW w:type="dxa" w:w="1928"/>
          </w:tcPr>
          <w:p>
            <w:pPr>
              <w:spacing w:line="240" w:lineRule="auto" w:after="40" w:before="40"/>
              <w:jc w:val="left"/>
            </w:pPr>
            <w:r>
              <w:rPr>
                <w:b w:val="0"/>
                <w:i w:val="0"/>
                <w:sz w:val="18"/>
              </w:rPr>
              <w:t>Not completed</w:t>
            </w:r>
          </w:p>
        </w:tc>
        <w:tc>
          <w:tcPr>
            <w:tcW w:type="dxa" w:w="1134"/>
          </w:tcPr>
          <w:p>
            <w:pPr>
              <w:spacing w:line="240" w:lineRule="auto" w:after="40" w:before="40"/>
              <w:jc w:val="left"/>
            </w:pPr>
            <w:r>
              <w:rPr>
                <w:b w:val="0"/>
                <w:i w:val="0"/>
                <w:sz w:val="18"/>
              </w:rPr>
              <w:t>—</w:t>
            </w:r>
          </w:p>
        </w:tc>
        <w:tc>
          <w:tcPr>
            <w:tcW w:type="dxa" w:w="2211"/>
          </w:tcPr>
          <w:p>
            <w:pPr>
              <w:spacing w:line="240" w:lineRule="auto" w:after="40" w:before="40"/>
              <w:jc w:val="left"/>
            </w:pPr>
            <w:r>
              <w:rPr>
                <w:b w:val="0"/>
                <w:i w:val="0"/>
                <w:sz w:val="18"/>
              </w:rPr>
              <w:t>The script stopped because an expected parameter file was never created; no results are available.</w:t>
            </w:r>
          </w:p>
        </w:tc>
      </w:tr>
    </w:tbl>
    <w:p>
      <w:pPr>
        <w:spacing w:after="40"/>
      </w:pPr>
    </w:p>
    <w:p>
      <w:pPr>
        <w:pStyle w:val="Heading2"/>
      </w:pPr>
      <w:r>
        <w:t>A.7 Phase 5: Additional Data (16 October)</w:t>
      </w:r>
    </w:p>
    <w:p>
      <w:r>
        <w:rPr>
          <w:b w:val="0"/>
          <w:i w:val="0"/>
        </w:rPr>
        <w:t>Phase 4 indicated that the limit lay in the available information rather than in the model, so Phase 5 added NHANES components not previously used. Elastography fields and self-reported liver conditions were excluded as inputs throughout, because they would act as proxies for the target.</w:t>
      </w:r>
    </w:p>
    <w:p>
      <w:pPr>
        <w:pStyle w:val="Caption"/>
      </w:pPr>
      <w:r>
        <w:rPr>
          <w:b/>
        </w:rPr>
        <w:t xml:space="preserve">Table A.8. </w:t>
      </w:r>
      <w:r>
        <w:t>Phase 5 experiments: additional data.</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504"/>
        <w:gridCol w:w="1504"/>
        <w:gridCol w:w="1504"/>
        <w:gridCol w:w="1504"/>
        <w:gridCol w:w="1504"/>
        <w:gridCol w:w="1504"/>
      </w:tblGrid>
      <w:tr>
        <w:trPr>
          <w:tblHeader/>
          <w:cantSplit/>
        </w:trPr>
        <w:tc>
          <w:tcPr>
            <w:tcW w:type="dxa" w:w="510"/>
            <w:shd w:val="clear" w:color="auto" w:fill="EDEDED"/>
            <w:tcBorders>
              <w:bottom w:val="single" w:sz="6" w:space="0" w:color="000000"/>
            </w:tcBorders>
          </w:tcPr>
          <w:p>
            <w:pPr>
              <w:spacing w:line="240" w:lineRule="auto" w:after="40" w:before="40"/>
              <w:jc w:val="left"/>
            </w:pPr>
            <w:r>
              <w:rPr>
                <w:b/>
                <w:i w:val="0"/>
                <w:sz w:val="18"/>
              </w:rPr>
              <w:t>ID</w:t>
            </w:r>
          </w:p>
        </w:tc>
        <w:tc>
          <w:tcPr>
            <w:tcW w:type="dxa" w:w="1417"/>
            <w:shd w:val="clear" w:color="auto" w:fill="EDEDED"/>
            <w:tcBorders>
              <w:bottom w:val="single" w:sz="6" w:space="0" w:color="000000"/>
            </w:tcBorders>
          </w:tcPr>
          <w:p>
            <w:pPr>
              <w:spacing w:line="240" w:lineRule="auto" w:after="40" w:before="40"/>
              <w:jc w:val="left"/>
            </w:pPr>
            <w:r>
              <w:rPr>
                <w:b/>
                <w:i w:val="0"/>
                <w:sz w:val="18"/>
              </w:rPr>
              <w:t>Experiment</w:t>
            </w:r>
          </w:p>
        </w:tc>
        <w:tc>
          <w:tcPr>
            <w:tcW w:type="dxa" w:w="1814"/>
            <w:shd w:val="clear" w:color="auto" w:fill="EDEDED"/>
            <w:tcBorders>
              <w:bottom w:val="single" w:sz="6" w:space="0" w:color="000000"/>
            </w:tcBorders>
          </w:tcPr>
          <w:p>
            <w:pPr>
              <w:spacing w:line="240" w:lineRule="auto" w:after="40" w:before="40"/>
              <w:jc w:val="left"/>
            </w:pPr>
            <w:r>
              <w:rPr>
                <w:b/>
                <w:i w:val="0"/>
                <w:sz w:val="18"/>
              </w:rPr>
              <w:t>What was tested</w:t>
            </w:r>
          </w:p>
        </w:tc>
        <w:tc>
          <w:tcPr>
            <w:tcW w:type="dxa" w:w="1928"/>
            <w:shd w:val="clear" w:color="auto" w:fill="EDEDED"/>
            <w:tcBorders>
              <w:bottom w:val="single" w:sz="6" w:space="0" w:color="000000"/>
            </w:tcBorders>
          </w:tcPr>
          <w:p>
            <w:pPr>
              <w:spacing w:line="240" w:lineRule="auto" w:after="40" w:before="40"/>
              <w:jc w:val="left"/>
            </w:pPr>
            <w:r>
              <w:rPr>
                <w:b/>
                <w:i w:val="0"/>
                <w:sz w:val="18"/>
              </w:rPr>
              <w:t>Result</w:t>
            </w:r>
          </w:p>
        </w:tc>
        <w:tc>
          <w:tcPr>
            <w:tcW w:type="dxa" w:w="1134"/>
            <w:shd w:val="clear" w:color="auto" w:fill="EDEDED"/>
            <w:tcBorders>
              <w:bottom w:val="single" w:sz="6" w:space="0" w:color="000000"/>
            </w:tcBorders>
          </w:tcPr>
          <w:p>
            <w:pPr>
              <w:spacing w:line="240" w:lineRule="auto" w:after="40" w:before="40"/>
              <w:jc w:val="left"/>
            </w:pPr>
            <w:r>
              <w:rPr>
                <w:b/>
                <w:i w:val="0"/>
                <w:sz w:val="18"/>
              </w:rPr>
              <w:t>Outcome</w:t>
            </w:r>
          </w:p>
        </w:tc>
        <w:tc>
          <w:tcPr>
            <w:tcW w:type="dxa" w:w="2211"/>
            <w:shd w:val="clear" w:color="auto" w:fill="EDEDED"/>
            <w:tcBorders>
              <w:bottom w:val="single" w:sz="6" w:space="0" w:color="000000"/>
            </w:tcBorders>
          </w:tcPr>
          <w:p>
            <w:pPr>
              <w:spacing w:line="240" w:lineRule="auto" w:after="40" w:before="40"/>
              <w:jc w:val="left"/>
            </w:pPr>
            <w:r>
              <w:rPr>
                <w:b/>
                <w:i w:val="0"/>
                <w:sz w:val="18"/>
              </w:rPr>
              <w:t>Interpretation</w:t>
            </w:r>
          </w:p>
        </w:tc>
      </w:tr>
      <w:tr>
        <w:trPr>
          <w:cantSplit/>
        </w:trPr>
        <w:tc>
          <w:tcPr>
            <w:tcW w:type="dxa" w:w="510"/>
          </w:tcPr>
          <w:p>
            <w:pPr>
              <w:spacing w:line="240" w:lineRule="auto" w:after="40" w:before="40"/>
              <w:jc w:val="left"/>
            </w:pPr>
            <w:r>
              <w:rPr>
                <w:b w:val="0"/>
                <w:i w:val="0"/>
                <w:sz w:val="18"/>
              </w:rPr>
              <w:t>E29</w:t>
            </w:r>
          </w:p>
        </w:tc>
        <w:tc>
          <w:tcPr>
            <w:tcW w:type="dxa" w:w="1417"/>
          </w:tcPr>
          <w:p>
            <w:pPr>
              <w:spacing w:line="240" w:lineRule="auto" w:after="40" w:before="40"/>
              <w:jc w:val="left"/>
            </w:pPr>
            <w:r>
              <w:rPr>
                <w:b w:val="0"/>
                <w:i w:val="0"/>
                <w:sz w:val="18"/>
              </w:rPr>
              <w:t>Extended NHANES variables</w:t>
            </w:r>
          </w:p>
        </w:tc>
        <w:tc>
          <w:tcPr>
            <w:tcW w:type="dxa" w:w="1814"/>
          </w:tcPr>
          <w:p>
            <w:pPr>
              <w:spacing w:line="240" w:lineRule="auto" w:after="40" w:before="40"/>
              <w:jc w:val="left"/>
            </w:pPr>
            <w:r>
              <w:rPr>
                <w:b w:val="0"/>
                <w:i w:val="0"/>
                <w:sz w:val="18"/>
              </w:rPr>
              <w:t>Added in cumulative groups (P2): body measures; fasting insulin and glucose (HOMA-IR, TyG); blood count, CRP and ferritin; blood pressure; questionnaires (diabetes, hypertension, weight history, alcohol, smoking, activity, sleep); prescriptions.</w:t>
            </w:r>
          </w:p>
        </w:tc>
        <w:tc>
          <w:tcPr>
            <w:tcW w:type="dxa" w:w="1928"/>
          </w:tcPr>
          <w:p>
            <w:pPr>
              <w:spacing w:line="240" w:lineRule="auto" w:after="40" w:before="40"/>
              <w:jc w:val="left"/>
            </w:pPr>
            <w:r>
              <w:rPr>
                <w:b w:val="0"/>
                <w:i w:val="0"/>
                <w:sz w:val="18"/>
              </w:rPr>
              <w:t>0.5135 → body 0.5131 → fasting 0.5175 → blood count 0.5173 → blood pressure 0.5171 → questionnaire 0.5232 → prescriptions 0.5221; tuned, 128 inputs 0.5239</w:t>
            </w:r>
          </w:p>
        </w:tc>
        <w:tc>
          <w:tcPr>
            <w:tcW w:type="dxa" w:w="1134"/>
          </w:tcPr>
          <w:p>
            <w:pPr>
              <w:spacing w:line="240" w:lineRule="auto" w:after="40" w:before="40"/>
              <w:jc w:val="left"/>
            </w:pPr>
            <w:r>
              <w:rPr>
                <w:b w:val="0"/>
                <w:i w:val="0"/>
                <w:sz w:val="18"/>
              </w:rPr>
              <w:t>Small gain</w:t>
            </w:r>
          </w:p>
        </w:tc>
        <w:tc>
          <w:tcPr>
            <w:tcW w:type="dxa" w:w="2211"/>
          </w:tcPr>
          <w:p>
            <w:pPr>
              <w:spacing w:line="240" w:lineRule="auto" w:after="40" w:before="40"/>
              <w:jc w:val="left"/>
            </w:pPr>
            <w:r>
              <w:rPr>
                <w:b w:val="0"/>
                <w:i w:val="0"/>
                <w:sz w:val="18"/>
              </w:rPr>
              <w:t>Largest single gain in the record (+0.010). Insulin resistance and diabetes or weight history add information not fully captured by body size. Prescriptions and several questions exist only in 2017–2020.</w:t>
            </w:r>
          </w:p>
        </w:tc>
      </w:tr>
      <w:tr>
        <w:trPr>
          <w:cantSplit/>
        </w:trPr>
        <w:tc>
          <w:tcPr>
            <w:tcW w:type="dxa" w:w="510"/>
          </w:tcPr>
          <w:p>
            <w:pPr>
              <w:spacing w:line="240" w:lineRule="auto" w:after="40" w:before="40"/>
              <w:jc w:val="left"/>
            </w:pPr>
            <w:r>
              <w:rPr>
                <w:b w:val="0"/>
                <w:i w:val="0"/>
                <w:sz w:val="18"/>
              </w:rPr>
              <w:t>E30</w:t>
            </w:r>
          </w:p>
        </w:tc>
        <w:tc>
          <w:tcPr>
            <w:tcW w:type="dxa" w:w="1417"/>
          </w:tcPr>
          <w:p>
            <w:pPr>
              <w:spacing w:line="240" w:lineRule="auto" w:after="40" w:before="40"/>
              <w:jc w:val="left"/>
            </w:pPr>
            <w:r>
              <w:rPr>
                <w:b w:val="0"/>
                <w:i w:val="0"/>
                <w:sz w:val="18"/>
              </w:rPr>
              <w:t>Learning curve</w:t>
            </w:r>
          </w:p>
        </w:tc>
        <w:tc>
          <w:tcPr>
            <w:tcW w:type="dxa" w:w="1814"/>
          </w:tcPr>
          <w:p>
            <w:pPr>
              <w:spacing w:line="240" w:lineRule="auto" w:after="40" w:before="40"/>
              <w:jc w:val="left"/>
            </w:pPr>
            <w:r>
              <w:rPr>
                <w:b w:val="0"/>
                <w:i w:val="0"/>
                <w:sz w:val="18"/>
              </w:rPr>
              <w:t>Training on 25%, 50%, 75% and 100% of each training fold (P2).</w:t>
            </w:r>
          </w:p>
        </w:tc>
        <w:tc>
          <w:tcPr>
            <w:tcW w:type="dxa" w:w="1928"/>
          </w:tcPr>
          <w:p>
            <w:pPr>
              <w:spacing w:line="240" w:lineRule="auto" w:after="40" w:before="40"/>
              <w:jc w:val="left"/>
            </w:pPr>
            <w:r>
              <w:rPr>
                <w:b w:val="0"/>
                <w:i w:val="0"/>
                <w:sz w:val="18"/>
              </w:rPr>
              <w:t>0.488; 0.501; 0.511; 0.512</w:t>
            </w:r>
          </w:p>
        </w:tc>
        <w:tc>
          <w:tcPr>
            <w:tcW w:type="dxa" w:w="1134"/>
          </w:tcPr>
          <w:p>
            <w:pPr>
              <w:spacing w:line="240" w:lineRule="auto" w:after="40" w:before="40"/>
              <w:jc w:val="left"/>
            </w:pPr>
            <w:r>
              <w:rPr>
                <w:b w:val="0"/>
                <w:i w:val="0"/>
                <w:sz w:val="18"/>
              </w:rPr>
              <w:t>Diagnostic</w:t>
            </w:r>
          </w:p>
        </w:tc>
        <w:tc>
          <w:tcPr>
            <w:tcW w:type="dxa" w:w="2211"/>
          </w:tcPr>
          <w:p>
            <w:pPr>
              <w:spacing w:line="240" w:lineRule="auto" w:after="40" w:before="40"/>
              <w:jc w:val="left"/>
            </w:pPr>
            <w:r>
              <w:rPr>
                <w:b w:val="0"/>
                <w:i w:val="0"/>
                <w:sz w:val="18"/>
              </w:rPr>
              <w:t>The curve flattens: the final 25% of data adds 0.002, so additional participants alone would help only slightly.</w:t>
            </w:r>
          </w:p>
        </w:tc>
      </w:tr>
      <w:tr>
        <w:trPr>
          <w:cantSplit/>
        </w:trPr>
        <w:tc>
          <w:tcPr>
            <w:tcW w:type="dxa" w:w="510"/>
          </w:tcPr>
          <w:p>
            <w:pPr>
              <w:spacing w:line="240" w:lineRule="auto" w:after="40" w:before="40"/>
              <w:jc w:val="left"/>
            </w:pPr>
            <w:r>
              <w:rPr>
                <w:b w:val="0"/>
                <w:i w:val="0"/>
                <w:sz w:val="18"/>
              </w:rPr>
              <w:t>E31</w:t>
            </w:r>
          </w:p>
        </w:tc>
        <w:tc>
          <w:tcPr>
            <w:tcW w:type="dxa" w:w="1417"/>
          </w:tcPr>
          <w:p>
            <w:pPr>
              <w:spacing w:line="240" w:lineRule="auto" w:after="40" w:before="40"/>
              <w:jc w:val="left"/>
            </w:pPr>
            <w:r>
              <w:rPr>
                <w:b w:val="0"/>
                <w:i w:val="0"/>
                <w:sz w:val="18"/>
              </w:rPr>
              <w:t>2021–2023 FibroScan cycle</w:t>
            </w:r>
          </w:p>
        </w:tc>
        <w:tc>
          <w:tcPr>
            <w:tcW w:type="dxa" w:w="1814"/>
          </w:tcPr>
          <w:p>
            <w:pPr>
              <w:spacing w:line="240" w:lineRule="auto" w:after="40" w:before="40"/>
              <w:jc w:val="left"/>
            </w:pPr>
            <w:r>
              <w:rPr>
                <w:b w:val="0"/>
                <w:i w:val="0"/>
                <w:sz w:val="18"/>
              </w:rPr>
              <w:t>6,279 additional participants with the same examination and variable names, added to training only (P2 folds).</w:t>
            </w:r>
          </w:p>
        </w:tc>
        <w:tc>
          <w:tcPr>
            <w:tcW w:type="dxa" w:w="1928"/>
          </w:tcPr>
          <w:p>
            <w:pPr>
              <w:spacing w:line="240" w:lineRule="auto" w:after="40" w:before="40"/>
              <w:jc w:val="left"/>
            </w:pPr>
            <w:r>
              <w:rPr>
                <w:b w:val="0"/>
                <w:i w:val="0"/>
                <w:sz w:val="18"/>
              </w:rPr>
              <w:t>0.5135 → 0.5170 on the 2017–2020 participants</w:t>
            </w:r>
          </w:p>
        </w:tc>
        <w:tc>
          <w:tcPr>
            <w:tcW w:type="dxa" w:w="1134"/>
          </w:tcPr>
          <w:p>
            <w:pPr>
              <w:spacing w:line="240" w:lineRule="auto" w:after="40" w:before="40"/>
              <w:jc w:val="left"/>
            </w:pPr>
            <w:r>
              <w:rPr>
                <w:b w:val="0"/>
                <w:i w:val="0"/>
                <w:sz w:val="18"/>
              </w:rPr>
              <w:t>Small gain</w:t>
            </w:r>
          </w:p>
        </w:tc>
        <w:tc>
          <w:tcPr>
            <w:tcW w:type="dxa" w:w="2211"/>
          </w:tcPr>
          <w:p>
            <w:pPr>
              <w:spacing w:line="240" w:lineRule="auto" w:after="40" w:before="40"/>
              <w:jc w:val="left"/>
            </w:pPr>
            <w:r>
              <w:rPr>
                <w:b w:val="0"/>
                <w:i w:val="0"/>
                <w:sz w:val="18"/>
              </w:rPr>
              <w:t>Consistent with the learning curve. The 2021–2023 cycle is the final NHANES cycle with liver elastography.</w:t>
            </w:r>
          </w:p>
        </w:tc>
      </w:tr>
      <w:tr>
        <w:trPr>
          <w:cantSplit/>
        </w:trPr>
        <w:tc>
          <w:tcPr>
            <w:tcW w:type="dxa" w:w="510"/>
          </w:tcPr>
          <w:p>
            <w:pPr>
              <w:spacing w:line="240" w:lineRule="auto" w:after="40" w:before="40"/>
              <w:jc w:val="left"/>
            </w:pPr>
            <w:r>
              <w:rPr>
                <w:b w:val="0"/>
                <w:i w:val="0"/>
                <w:sz w:val="18"/>
              </w:rPr>
              <w:t>E32</w:t>
            </w:r>
          </w:p>
        </w:tc>
        <w:tc>
          <w:tcPr>
            <w:tcW w:type="dxa" w:w="1417"/>
          </w:tcPr>
          <w:p>
            <w:pPr>
              <w:spacing w:line="240" w:lineRule="auto" w:after="40" w:before="40"/>
              <w:jc w:val="left"/>
            </w:pPr>
            <w:r>
              <w:rPr>
                <w:b w:val="0"/>
                <w:i w:val="0"/>
                <w:sz w:val="18"/>
              </w:rPr>
              <w:t>DXA body composition</w:t>
            </w:r>
          </w:p>
        </w:tc>
        <w:tc>
          <w:tcPr>
            <w:tcW w:type="dxa" w:w="1814"/>
          </w:tcPr>
          <w:p>
            <w:pPr>
              <w:spacing w:line="240" w:lineRule="auto" w:after="40" w:before="40"/>
              <w:jc w:val="left"/>
            </w:pPr>
            <w:r>
              <w:rPr>
                <w:b w:val="0"/>
                <w:i w:val="0"/>
                <w:sz w:val="18"/>
              </w:rPr>
              <w:t>Visceral, subcutaneous, android and gynoid fat (2017–2018, ages 8–59; 3,307 linked participants).</w:t>
            </w:r>
          </w:p>
        </w:tc>
        <w:tc>
          <w:tcPr>
            <w:tcW w:type="dxa" w:w="1928"/>
          </w:tcPr>
          <w:p>
            <w:pPr>
              <w:spacing w:line="240" w:lineRule="auto" w:after="40" w:before="40"/>
              <w:jc w:val="left"/>
            </w:pPr>
            <w:r>
              <w:rPr>
                <w:b w:val="0"/>
                <w:i w:val="0"/>
                <w:sz w:val="18"/>
              </w:rPr>
              <w:t>0.5094 → 0.5168 on the DXA subset</w:t>
            </w:r>
          </w:p>
        </w:tc>
        <w:tc>
          <w:tcPr>
            <w:tcW w:type="dxa" w:w="1134"/>
          </w:tcPr>
          <w:p>
            <w:pPr>
              <w:spacing w:line="240" w:lineRule="auto" w:after="40" w:before="40"/>
              <w:jc w:val="left"/>
            </w:pPr>
            <w:r>
              <w:rPr>
                <w:b w:val="0"/>
                <w:i w:val="0"/>
                <w:sz w:val="18"/>
              </w:rPr>
              <w:t>Small gain</w:t>
            </w:r>
          </w:p>
        </w:tc>
        <w:tc>
          <w:tcPr>
            <w:tcW w:type="dxa" w:w="2211"/>
          </w:tcPr>
          <w:p>
            <w:pPr>
              <w:spacing w:line="240" w:lineRule="auto" w:after="40" w:before="40"/>
              <w:jc w:val="left"/>
            </w:pPr>
            <w:r>
              <w:rPr>
                <w:b w:val="0"/>
                <w:i w:val="0"/>
                <w:sz w:val="18"/>
              </w:rPr>
              <w:t>Visceral fat is the strongest known correlate of liver fat, yet it adds only 0.007. Unsuitable for the final model: available for part of one cycle and not a routine test.</w:t>
            </w:r>
          </w:p>
        </w:tc>
      </w:tr>
      <w:tr>
        <w:trPr>
          <w:cantSplit/>
        </w:trPr>
        <w:tc>
          <w:tcPr>
            <w:tcW w:type="dxa" w:w="510"/>
          </w:tcPr>
          <w:p>
            <w:pPr>
              <w:spacing w:line="240" w:lineRule="auto" w:after="40" w:before="40"/>
              <w:jc w:val="left"/>
            </w:pPr>
            <w:r>
              <w:rPr>
                <w:b w:val="0"/>
                <w:i w:val="0"/>
                <w:sz w:val="18"/>
              </w:rPr>
              <w:t>E33</w:t>
            </w:r>
          </w:p>
        </w:tc>
        <w:tc>
          <w:tcPr>
            <w:tcW w:type="dxa" w:w="1417"/>
          </w:tcPr>
          <w:p>
            <w:pPr>
              <w:spacing w:line="240" w:lineRule="auto" w:after="40" w:before="40"/>
              <w:jc w:val="left"/>
            </w:pPr>
            <w:r>
              <w:rPr>
                <w:b w:val="0"/>
                <w:i w:val="0"/>
                <w:sz w:val="18"/>
              </w:rPr>
              <w:t>Measurement-noise estimate</w:t>
            </w:r>
          </w:p>
        </w:tc>
        <w:tc>
          <w:tcPr>
            <w:tcW w:type="dxa" w:w="1814"/>
          </w:tcPr>
          <w:p>
            <w:pPr>
              <w:spacing w:line="240" w:lineRule="auto" w:after="40" w:before="40"/>
              <w:jc w:val="left"/>
            </w:pPr>
            <w:r>
              <w:rPr>
                <w:b w:val="0"/>
                <w:i w:val="0"/>
                <w:sz w:val="18"/>
              </w:rPr>
              <w:t>Standard error of each examination’s median CAP from its IQR and number of valid measurements.</w:t>
            </w:r>
          </w:p>
        </w:tc>
        <w:tc>
          <w:tcPr>
            <w:tcW w:type="dxa" w:w="1928"/>
          </w:tcPr>
          <w:p>
            <w:pPr>
              <w:spacing w:line="240" w:lineRule="auto" w:after="40" w:before="40"/>
              <w:jc w:val="left"/>
            </w:pPr>
            <w:r>
              <w:rPr>
                <w:b w:val="0"/>
                <w:i w:val="0"/>
                <w:sz w:val="18"/>
              </w:rPr>
              <w:t>Within-examination noise ≈ 3.7% of CAP variance</w:t>
            </w:r>
          </w:p>
        </w:tc>
        <w:tc>
          <w:tcPr>
            <w:tcW w:type="dxa" w:w="1134"/>
          </w:tcPr>
          <w:p>
            <w:pPr>
              <w:spacing w:line="240" w:lineRule="auto" w:after="40" w:before="40"/>
              <w:jc w:val="left"/>
            </w:pPr>
            <w:r>
              <w:rPr>
                <w:b w:val="0"/>
                <w:i w:val="0"/>
                <w:sz w:val="18"/>
              </w:rPr>
              <w:t>Diagnostic</w:t>
            </w:r>
          </w:p>
        </w:tc>
        <w:tc>
          <w:tcPr>
            <w:tcW w:type="dxa" w:w="2211"/>
          </w:tcPr>
          <w:p>
            <w:pPr>
              <w:spacing w:line="240" w:lineRule="auto" w:after="40" w:before="40"/>
              <w:jc w:val="left"/>
            </w:pPr>
            <w:r>
              <w:rPr>
                <w:b w:val="0"/>
                <w:i w:val="0"/>
                <w:sz w:val="18"/>
              </w:rPr>
              <w:t>Noise within a single examination does not explain the ceiling; between-visit variation cannot be measured in NHANES.</w:t>
            </w:r>
          </w:p>
        </w:tc>
      </w:tr>
      <w:tr>
        <w:trPr>
          <w:cantSplit/>
        </w:trPr>
        <w:tc>
          <w:tcPr>
            <w:tcW w:type="dxa" w:w="510"/>
          </w:tcPr>
          <w:p>
            <w:pPr>
              <w:spacing w:line="240" w:lineRule="auto" w:after="40" w:before="40"/>
              <w:jc w:val="left"/>
            </w:pPr>
            <w:r>
              <w:rPr>
                <w:b w:val="0"/>
                <w:i w:val="0"/>
                <w:sz w:val="18"/>
              </w:rPr>
              <w:t>E34</w:t>
            </w:r>
          </w:p>
        </w:tc>
        <w:tc>
          <w:tcPr>
            <w:tcW w:type="dxa" w:w="1417"/>
          </w:tcPr>
          <w:p>
            <w:pPr>
              <w:spacing w:line="240" w:lineRule="auto" w:after="40" w:before="40"/>
              <w:jc w:val="left"/>
            </w:pPr>
            <w:r>
              <w:rPr>
                <w:b w:val="0"/>
                <w:i w:val="0"/>
                <w:sz w:val="18"/>
              </w:rPr>
              <w:t>Upper-bound check with examination-derived inputs</w:t>
            </w:r>
          </w:p>
        </w:tc>
        <w:tc>
          <w:tcPr>
            <w:tcW w:type="dxa" w:w="1814"/>
          </w:tcPr>
          <w:p>
            <w:pPr>
              <w:spacing w:line="240" w:lineRule="auto" w:after="40" w:before="40"/>
              <w:jc w:val="left"/>
            </w:pPr>
            <w:r>
              <w:rPr>
                <w:b w:val="0"/>
                <w:i w:val="0"/>
                <w:sz w:val="18"/>
              </w:rPr>
              <w:t>Liver stiffness and probe type from the same FibroScan examination (pooled cohort, five-fold CV).</w:t>
            </w:r>
          </w:p>
        </w:tc>
        <w:tc>
          <w:tcPr>
            <w:tcW w:type="dxa" w:w="1928"/>
          </w:tcPr>
          <w:p>
            <w:pPr>
              <w:spacing w:line="240" w:lineRule="auto" w:after="40" w:before="40"/>
              <w:jc w:val="left"/>
            </w:pPr>
            <w:r>
              <w:rPr>
                <w:b w:val="0"/>
                <w:i w:val="0"/>
                <w:sz w:val="18"/>
              </w:rPr>
              <w:t>0.518 → with probe 0.524; with stiffness 0.529</w:t>
            </w:r>
          </w:p>
        </w:tc>
        <w:tc>
          <w:tcPr>
            <w:tcW w:type="dxa" w:w="1134"/>
          </w:tcPr>
          <w:p>
            <w:pPr>
              <w:spacing w:line="240" w:lineRule="auto" w:after="40" w:before="40"/>
              <w:jc w:val="left"/>
            </w:pPr>
            <w:r>
              <w:rPr>
                <w:b w:val="0"/>
                <w:i w:val="0"/>
                <w:sz w:val="18"/>
              </w:rPr>
              <w:t>Diagnostic</w:t>
            </w:r>
          </w:p>
        </w:tc>
        <w:tc>
          <w:tcPr>
            <w:tcW w:type="dxa" w:w="2211"/>
          </w:tcPr>
          <w:p>
            <w:pPr>
              <w:spacing w:line="240" w:lineRule="auto" w:after="40" w:before="40"/>
              <w:jc w:val="left"/>
            </w:pPr>
            <w:r>
              <w:rPr>
                <w:b w:val="0"/>
                <w:i w:val="0"/>
                <w:sz w:val="18"/>
              </w:rPr>
              <w:t>These are not legitimate predictors, since they come from the measurement being predicted, and they still remain near 0.53.</w:t>
            </w:r>
          </w:p>
        </w:tc>
      </w:tr>
      <w:tr>
        <w:trPr>
          <w:cantSplit/>
        </w:trPr>
        <w:tc>
          <w:tcPr>
            <w:tcW w:type="dxa" w:w="510"/>
          </w:tcPr>
          <w:p>
            <w:pPr>
              <w:spacing w:line="240" w:lineRule="auto" w:after="40" w:before="40"/>
              <w:jc w:val="left"/>
            </w:pPr>
            <w:r>
              <w:rPr>
                <w:b w:val="0"/>
                <w:i w:val="0"/>
                <w:sz w:val="18"/>
              </w:rPr>
              <w:t>E35</w:t>
            </w:r>
          </w:p>
        </w:tc>
        <w:tc>
          <w:tcPr>
            <w:tcW w:type="dxa" w:w="1417"/>
          </w:tcPr>
          <w:p>
            <w:pPr>
              <w:spacing w:line="240" w:lineRule="auto" w:after="40" w:before="40"/>
              <w:jc w:val="left"/>
            </w:pPr>
            <w:r>
              <w:rPr>
                <w:b w:val="0"/>
                <w:i w:val="0"/>
                <w:sz w:val="18"/>
              </w:rPr>
              <w:t>Combined model</w:t>
            </w:r>
          </w:p>
        </w:tc>
        <w:tc>
          <w:tcPr>
            <w:tcW w:type="dxa" w:w="1814"/>
          </w:tcPr>
          <w:p>
            <w:pPr>
              <w:spacing w:line="240" w:lineRule="auto" w:after="40" w:before="40"/>
              <w:jc w:val="left"/>
            </w:pPr>
            <w:r>
              <w:rPr>
                <w:b w:val="0"/>
                <w:i w:val="0"/>
                <w:sz w:val="18"/>
              </w:rPr>
              <w:t>Both cycles (15,300 participants); 36 core inputs plus 45 variables collected identically in both cycles; training weighted by examination reliability (P3).</w:t>
            </w:r>
          </w:p>
        </w:tc>
        <w:tc>
          <w:tcPr>
            <w:tcW w:type="dxa" w:w="1928"/>
          </w:tcPr>
          <w:p>
            <w:pPr>
              <w:spacing w:line="240" w:lineRule="auto" w:after="40" w:before="40"/>
              <w:jc w:val="left"/>
            </w:pPr>
            <w:r>
              <w:rPr>
                <w:b w:val="0"/>
                <w:i w:val="0"/>
                <w:sz w:val="18"/>
              </w:rPr>
              <w:t>P3-test R²: 2017–2020-only reference 0.480; same inputs pooled 0.487; combined 0.493. Reliable examinations 0.517 → 0.533. P3-CV 0.520</w:t>
            </w:r>
          </w:p>
        </w:tc>
        <w:tc>
          <w:tcPr>
            <w:tcW w:type="dxa" w:w="1134"/>
          </w:tcPr>
          <w:p>
            <w:pPr>
              <w:spacing w:line="240" w:lineRule="auto" w:after="40" w:before="40"/>
              <w:jc w:val="left"/>
            </w:pPr>
            <w:r>
              <w:rPr>
                <w:b w:val="0"/>
                <w:i w:val="0"/>
                <w:sz w:val="18"/>
              </w:rPr>
              <w:t>Adopted</w:t>
            </w:r>
          </w:p>
        </w:tc>
        <w:tc>
          <w:tcPr>
            <w:tcW w:type="dxa" w:w="2211"/>
          </w:tcPr>
          <w:p>
            <w:pPr>
              <w:spacing w:line="240" w:lineRule="auto" w:after="40" w:before="40"/>
              <w:jc w:val="left"/>
            </w:pPr>
            <w:r>
              <w:rPr>
                <w:b w:val="0"/>
                <w:i w:val="0"/>
                <w:sz w:val="18"/>
              </w:rPr>
              <w:t>Best full-population result. This test split is harder than average (the reference scores 0.480 on it against about 0.51 in CV), so the difference between models is the meaningful quantity.</w:t>
            </w:r>
          </w:p>
        </w:tc>
      </w:tr>
      <w:tr>
        <w:trPr>
          <w:cantSplit/>
        </w:trPr>
        <w:tc>
          <w:tcPr>
            <w:tcW w:type="dxa" w:w="510"/>
          </w:tcPr>
          <w:p>
            <w:pPr>
              <w:spacing w:line="240" w:lineRule="auto" w:after="40" w:before="40"/>
              <w:jc w:val="left"/>
            </w:pPr>
            <w:r>
              <w:rPr>
                <w:b w:val="0"/>
                <w:i w:val="0"/>
                <w:sz w:val="18"/>
              </w:rPr>
              <w:t>E36</w:t>
            </w:r>
          </w:p>
        </w:tc>
        <w:tc>
          <w:tcPr>
            <w:tcW w:type="dxa" w:w="1417"/>
          </w:tcPr>
          <w:p>
            <w:pPr>
              <w:spacing w:line="240" w:lineRule="auto" w:after="40" w:before="40"/>
              <w:jc w:val="left"/>
            </w:pPr>
            <w:r>
              <w:rPr>
                <w:b w:val="0"/>
                <w:i w:val="0"/>
                <w:sz w:val="18"/>
              </w:rPr>
              <w:t>Cohort filters</w:t>
            </w:r>
          </w:p>
        </w:tc>
        <w:tc>
          <w:tcPr>
            <w:tcW w:type="dxa" w:w="1814"/>
          </w:tcPr>
          <w:p>
            <w:pPr>
              <w:spacing w:line="240" w:lineRule="auto" w:after="40" w:before="40"/>
              <w:jc w:val="left"/>
            </w:pPr>
            <w:r>
              <w:rPr>
                <w:b w:val="0"/>
                <w:i w:val="0"/>
                <w:sz w:val="18"/>
              </w:rPr>
              <w:t>Each filter trained and scored within the filtered cohort; mean of three CV seeds.</w:t>
            </w:r>
          </w:p>
        </w:tc>
        <w:tc>
          <w:tcPr>
            <w:tcW w:type="dxa" w:w="1928"/>
          </w:tcPr>
          <w:p>
            <w:pPr>
              <w:spacing w:line="240" w:lineRule="auto" w:after="40" w:before="40"/>
              <w:jc w:val="left"/>
            </w:pPr>
            <w:r>
              <w:rPr>
                <w:b w:val="0"/>
                <w:i w:val="0"/>
                <w:sz w:val="18"/>
              </w:rPr>
              <w:t>All 0.518; CAP IQR &lt; 40 0.548; ages 12–59 0.548; IQR &lt; 40 and ages 12–59 0.584; adults only 0.498; without CAP 400 0.497; IQR &lt; 40 and ages 60+ 0.414</w:t>
            </w:r>
          </w:p>
        </w:tc>
        <w:tc>
          <w:tcPr>
            <w:tcW w:type="dxa" w:w="1134"/>
          </w:tcPr>
          <w:p>
            <w:pPr>
              <w:spacing w:line="240" w:lineRule="auto" w:after="40" w:before="40"/>
              <w:jc w:val="left"/>
            </w:pPr>
            <w:r>
              <w:rPr>
                <w:b w:val="0"/>
                <w:i w:val="0"/>
                <w:sz w:val="18"/>
              </w:rPr>
              <w:t>Diagnostic</w:t>
            </w:r>
          </w:p>
        </w:tc>
        <w:tc>
          <w:tcPr>
            <w:tcW w:type="dxa" w:w="2211"/>
          </w:tcPr>
          <w:p>
            <w:pPr>
              <w:spacing w:line="240" w:lineRule="auto" w:after="40" w:before="40"/>
              <w:jc w:val="left"/>
            </w:pPr>
            <w:r>
              <w:rPr>
                <w:b w:val="0"/>
                <w:i w:val="0"/>
                <w:sz w:val="18"/>
              </w:rPr>
              <w:t>The highest value in the record (0.584) is stable across seeds and age cut-offs of 50 to 65 years, but excludes 59% of participants, including everyone aged 60 or over. Not adopted.</w:t>
            </w:r>
          </w:p>
        </w:tc>
      </w:tr>
      <w:tr>
        <w:trPr>
          <w:cantSplit/>
        </w:trPr>
        <w:tc>
          <w:tcPr>
            <w:tcW w:type="dxa" w:w="510"/>
          </w:tcPr>
          <w:p>
            <w:pPr>
              <w:spacing w:line="240" w:lineRule="auto" w:after="40" w:before="40"/>
              <w:jc w:val="left"/>
            </w:pPr>
            <w:r>
              <w:rPr>
                <w:b w:val="0"/>
                <w:i w:val="0"/>
                <w:sz w:val="18"/>
              </w:rPr>
              <w:t>E37</w:t>
            </w:r>
          </w:p>
        </w:tc>
        <w:tc>
          <w:tcPr>
            <w:tcW w:type="dxa" w:w="1417"/>
          </w:tcPr>
          <w:p>
            <w:pPr>
              <w:spacing w:line="240" w:lineRule="auto" w:after="40" w:before="40"/>
              <w:jc w:val="left"/>
            </w:pPr>
            <w:r>
              <w:rPr>
                <w:b w:val="0"/>
                <w:i w:val="0"/>
                <w:sz w:val="18"/>
              </w:rPr>
              <w:t>Performance by age group</w:t>
            </w:r>
          </w:p>
        </w:tc>
        <w:tc>
          <w:tcPr>
            <w:tcW w:type="dxa" w:w="1814"/>
          </w:tcPr>
          <w:p>
            <w:pPr>
              <w:spacing w:line="240" w:lineRule="auto" w:after="40" w:before="40"/>
              <w:jc w:val="left"/>
            </w:pPr>
            <w:r>
              <w:rPr>
                <w:b w:val="0"/>
                <w:i w:val="0"/>
                <w:sz w:val="18"/>
              </w:rPr>
              <w:t>Error by age group on pooled out-of-fold predictions.</w:t>
            </w:r>
          </w:p>
        </w:tc>
        <w:tc>
          <w:tcPr>
            <w:tcW w:type="dxa" w:w="1928"/>
          </w:tcPr>
          <w:p>
            <w:pPr>
              <w:spacing w:line="240" w:lineRule="auto" w:after="40" w:before="40"/>
              <w:jc w:val="left"/>
            </w:pPr>
            <w:r>
              <w:rPr>
                <w:b w:val="0"/>
                <w:i w:val="0"/>
                <w:sz w:val="18"/>
              </w:rPr>
              <w:t>R²: 12–17 0.43; 18–39 0.54; 40–59 0.49; 60+ 0.41. RMSE 40.5, 42.2, 44.1, 46.0 dB/m</w:t>
            </w:r>
          </w:p>
        </w:tc>
        <w:tc>
          <w:tcPr>
            <w:tcW w:type="dxa" w:w="1134"/>
          </w:tcPr>
          <w:p>
            <w:pPr>
              <w:spacing w:line="240" w:lineRule="auto" w:after="40" w:before="40"/>
              <w:jc w:val="left"/>
            </w:pPr>
            <w:r>
              <w:rPr>
                <w:b w:val="0"/>
                <w:i w:val="0"/>
                <w:sz w:val="18"/>
              </w:rPr>
              <w:t>Diagnostic</w:t>
            </w:r>
          </w:p>
        </w:tc>
        <w:tc>
          <w:tcPr>
            <w:tcW w:type="dxa" w:w="2211"/>
          </w:tcPr>
          <w:p>
            <w:pPr>
              <w:spacing w:line="240" w:lineRule="auto" w:after="40" w:before="40"/>
              <w:jc w:val="left"/>
            </w:pPr>
            <w:r>
              <w:rPr>
                <w:b w:val="0"/>
                <w:i w:val="0"/>
                <w:sz w:val="18"/>
              </w:rPr>
              <w:t>Error in the 60+ group is only slightly larger; R² is low mainly because CAP varies less within that group (SD 59.6 against 63.0 dB/m overall).</w:t>
            </w:r>
          </w:p>
        </w:tc>
      </w:tr>
      <w:tr>
        <w:trPr>
          <w:cantSplit/>
        </w:trPr>
        <w:tc>
          <w:tcPr>
            <w:tcW w:type="dxa" w:w="510"/>
          </w:tcPr>
          <w:p>
            <w:pPr>
              <w:spacing w:line="240" w:lineRule="auto" w:after="40" w:before="40"/>
              <w:jc w:val="left"/>
            </w:pPr>
            <w:r>
              <w:rPr>
                <w:b w:val="0"/>
                <w:i w:val="0"/>
                <w:sz w:val="18"/>
              </w:rPr>
              <w:t>E38</w:t>
            </w:r>
          </w:p>
        </w:tc>
        <w:tc>
          <w:tcPr>
            <w:tcW w:type="dxa" w:w="1417"/>
          </w:tcPr>
          <w:p>
            <w:pPr>
              <w:spacing w:line="240" w:lineRule="auto" w:after="40" w:before="40"/>
              <w:jc w:val="left"/>
            </w:pPr>
            <w:r>
              <w:rPr>
                <w:b w:val="0"/>
                <w:i w:val="0"/>
                <w:sz w:val="18"/>
              </w:rPr>
              <w:t>Improving the 60+ group</w:t>
            </w:r>
          </w:p>
        </w:tc>
        <w:tc>
          <w:tcPr>
            <w:tcW w:type="dxa" w:w="1814"/>
          </w:tcPr>
          <w:p>
            <w:pPr>
              <w:spacing w:line="240" w:lineRule="auto" w:after="40" w:before="40"/>
              <w:jc w:val="left"/>
            </w:pPr>
            <w:r>
              <w:rPr>
                <w:b w:val="0"/>
                <w:i w:val="0"/>
                <w:sz w:val="18"/>
              </w:rPr>
              <w:t>2017–2020 history and medication items; a 60+-only model; doubled weighting; deeper trees.</w:t>
            </w:r>
          </w:p>
        </w:tc>
        <w:tc>
          <w:tcPr>
            <w:tcW w:type="dxa" w:w="1928"/>
          </w:tcPr>
          <w:p>
            <w:pPr>
              <w:spacing w:line="240" w:lineRule="auto" w:after="40" w:before="40"/>
              <w:jc w:val="left"/>
            </w:pPr>
            <w:r>
              <w:rPr>
                <w:b w:val="0"/>
                <w:i w:val="0"/>
                <w:sz w:val="18"/>
              </w:rPr>
              <w:t>60+ R² 0.405 → 0.406 / 0.394 / 0.406 / 0.408</w:t>
            </w:r>
          </w:p>
        </w:tc>
        <w:tc>
          <w:tcPr>
            <w:tcW w:type="dxa" w:w="1134"/>
          </w:tcPr>
          <w:p>
            <w:pPr>
              <w:spacing w:line="240" w:lineRule="auto" w:after="40" w:before="40"/>
              <w:jc w:val="left"/>
            </w:pPr>
            <w:r>
              <w:rPr>
                <w:b w:val="0"/>
                <w:i w:val="0"/>
                <w:sz w:val="18"/>
              </w:rPr>
              <w:t>No gain</w:t>
            </w:r>
          </w:p>
        </w:tc>
        <w:tc>
          <w:tcPr>
            <w:tcW w:type="dxa" w:w="2211"/>
          </w:tcPr>
          <w:p>
            <w:pPr>
              <w:spacing w:line="240" w:lineRule="auto" w:after="40" w:before="40"/>
              <w:jc w:val="left"/>
            </w:pPr>
            <w:r>
              <w:rPr>
                <w:b w:val="0"/>
                <w:i w:val="0"/>
                <w:sz w:val="18"/>
              </w:rPr>
              <w:t>Determinants of liver fat in older adults, such as genetic risk, accurate alcohol history, muscle loss and other liver disease, are not measured in NHANES 2017–2023.</w:t>
            </w:r>
          </w:p>
        </w:tc>
      </w:tr>
      <w:tr>
        <w:trPr>
          <w:cantSplit/>
        </w:trPr>
        <w:tc>
          <w:tcPr>
            <w:tcW w:type="dxa" w:w="510"/>
          </w:tcPr>
          <w:p>
            <w:pPr>
              <w:spacing w:line="240" w:lineRule="auto" w:after="40" w:before="40"/>
              <w:jc w:val="left"/>
            </w:pPr>
            <w:r>
              <w:rPr>
                <w:b w:val="0"/>
                <w:i w:val="0"/>
                <w:sz w:val="18"/>
              </w:rPr>
              <w:t>E39</w:t>
            </w:r>
          </w:p>
        </w:tc>
        <w:tc>
          <w:tcPr>
            <w:tcW w:type="dxa" w:w="1417"/>
          </w:tcPr>
          <w:p>
            <w:pPr>
              <w:spacing w:line="240" w:lineRule="auto" w:after="40" w:before="40"/>
              <w:jc w:val="left"/>
            </w:pPr>
            <w:r>
              <w:rPr>
                <w:b w:val="0"/>
                <w:i w:val="0"/>
                <w:sz w:val="18"/>
              </w:rPr>
              <w:t>Calibrated steatosis classifiers</w:t>
            </w:r>
          </w:p>
        </w:tc>
        <w:tc>
          <w:tcPr>
            <w:tcW w:type="dxa" w:w="1814"/>
          </w:tcPr>
          <w:p>
            <w:pPr>
              <w:spacing w:line="240" w:lineRule="auto" w:after="40" w:before="40"/>
              <w:jc w:val="left"/>
            </w:pPr>
            <w:r>
              <w:rPr>
                <w:b w:val="0"/>
                <w:i w:val="0"/>
                <w:sz w:val="18"/>
              </w:rPr>
              <w:t>XGBoost classifiers for CAP ≥ 248 and ≥ 280 dB/m with isotonic calibration on training out-of-fold predictions and an F1-selected threshold (P3-test).</w:t>
            </w:r>
          </w:p>
        </w:tc>
        <w:tc>
          <w:tcPr>
            <w:tcW w:type="dxa" w:w="1928"/>
          </w:tcPr>
          <w:p>
            <w:pPr>
              <w:spacing w:line="240" w:lineRule="auto" w:after="40" w:before="40"/>
              <w:jc w:val="left"/>
            </w:pPr>
            <w:r>
              <w:rPr>
                <w:b w:val="0"/>
                <w:i w:val="0"/>
                <w:sz w:val="18"/>
              </w:rPr>
              <w:t>CAP ≥ 248: AUC 0.856, Brier 0.154, calibration error 0.025 → 0.018. CAP ≥ 280: AUC 0.868, calibration error 0.024 → 0.019</w:t>
            </w:r>
          </w:p>
        </w:tc>
        <w:tc>
          <w:tcPr>
            <w:tcW w:type="dxa" w:w="1134"/>
          </w:tcPr>
          <w:p>
            <w:pPr>
              <w:spacing w:line="240" w:lineRule="auto" w:after="40" w:before="40"/>
              <w:jc w:val="left"/>
            </w:pPr>
            <w:r>
              <w:rPr>
                <w:b w:val="0"/>
                <w:i w:val="0"/>
                <w:sz w:val="18"/>
              </w:rPr>
              <w:t>Adopted</w:t>
            </w:r>
          </w:p>
        </w:tc>
        <w:tc>
          <w:tcPr>
            <w:tcW w:type="dxa" w:w="2211"/>
          </w:tcPr>
          <w:p>
            <w:pPr>
              <w:spacing w:line="240" w:lineRule="auto" w:after="40" w:before="40"/>
              <w:jc w:val="left"/>
            </w:pPr>
            <w:r>
              <w:rPr>
                <w:b w:val="0"/>
                <w:i w:val="0"/>
                <w:sz w:val="18"/>
              </w:rPr>
              <w:t>Additional inputs leave discrimination unchanged but reduce calibration error by about a quarter. Calibrated probabilities are required by the scenario engine.</w:t>
            </w:r>
          </w:p>
        </w:tc>
      </w:tr>
    </w:tbl>
    <w:p>
      <w:pPr>
        <w:spacing w:after="200" w:line="240" w:lineRule="auto" w:before="80"/>
        <w:jc w:val="left"/>
      </w:pPr>
      <w:r>
        <w:rPr>
          <w:b w:val="0"/>
          <w:i/>
          <w:sz w:val="18"/>
        </w:rPr>
        <w:t>E30, E33 and E34 were exploratory runs whose outputs were not saved to the repository. During Phase 5, questionnaire cleaning initially treated the codes 7 and 9 as missing for every item, which also removed valid answers such as 7 hours of sleep or 9 drinks. Missing-value codes were made item-specific and all affected experiments were rerun; R² changed by less than 0.001. The figures reported are from the corrected runs.</w:t>
      </w:r>
    </w:p>
    <w:p>
      <w:pPr>
        <w:pStyle w:val="Heading2"/>
      </w:pPr>
      <w:r>
        <w:t>A.8 Phase 6: Target Population and Lean Participants (17–21 October)</w:t>
      </w:r>
    </w:p>
    <w:p>
      <w:r>
        <w:rPr>
          <w:b w:val="0"/>
          <w:i w:val="0"/>
        </w:rPr>
        <w:t>Phase 6 started from the model selected on 16 October (the slow_wide settings: 1,500 trees, depth 4, learning rate 0.01) and asked two questions: how well it predicts CAP in a defined target population, and whether any change reaches R² 0.60 there; and why discrimination is lower in lean participants. It led to one change, deeper trees (E46), adopted in Section A.9; all figures in this section refer to the 16 October model unless stated.</w:t>
      </w:r>
    </w:p>
    <w:p>
      <w:pPr>
        <w:pStyle w:val="Heading3"/>
      </w:pPr>
      <w:r>
        <w:t>Target population</w:t>
      </w:r>
    </w:p>
    <w:p>
      <w:r>
        <w:rPr>
          <w:b w:val="0"/>
          <w:i w:val="0"/>
        </w:rPr>
        <w:t>The target population is participants with a reliable examination (CAP IQR &lt; 40 dB/m, a standard quality criterion) aged 12 to 59, the filter that gave the highest stable R² in E36. Two further filters were examined: excluding excess alcohol, defined as average intake above 140 g a week for women or 210 g a week for men (the MetALD thresholds of Rinella et al., 2023) and estimated from drinking frequency (ALQ121) and drinks per drinking day (ALQ130); and stricter IQR cut-offs.</w:t>
      </w:r>
    </w:p>
    <w:p>
      <w:pPr>
        <w:pStyle w:val="Caption"/>
      </w:pPr>
      <w:r>
        <w:rPr>
          <w:b/>
        </w:rPr>
        <w:t xml:space="preserve">Table A.9. </w:t>
      </w:r>
      <w:r>
        <w:t>16 October model (trained on all participants) scored on subsets of the held-out test set (P3-test).</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2256"/>
        <w:gridCol w:w="2256"/>
        <w:gridCol w:w="2256"/>
        <w:gridCol w:w="2256"/>
      </w:tblGrid>
      <w:tr>
        <w:trPr>
          <w:tblHeader/>
          <w:cantSplit/>
        </w:trPr>
        <w:tc>
          <w:tcPr>
            <w:tcW w:type="dxa" w:w="4309"/>
            <w:shd w:val="clear" w:color="auto" w:fill="EDEDED"/>
            <w:tcBorders>
              <w:bottom w:val="single" w:sz="6" w:space="0" w:color="000000"/>
            </w:tcBorders>
          </w:tcPr>
          <w:p>
            <w:pPr>
              <w:spacing w:line="240" w:lineRule="auto" w:after="40" w:before="40"/>
              <w:jc w:val="left"/>
            </w:pPr>
            <w:r>
              <w:rPr>
                <w:b/>
                <w:i w:val="0"/>
                <w:sz w:val="18"/>
              </w:rPr>
              <w:t>Population</w:t>
            </w:r>
          </w:p>
        </w:tc>
        <w:tc>
          <w:tcPr>
            <w:tcW w:type="dxa" w:w="1587"/>
            <w:shd w:val="clear" w:color="auto" w:fill="EDEDED"/>
            <w:tcBorders>
              <w:bottom w:val="single" w:sz="6" w:space="0" w:color="000000"/>
            </w:tcBorders>
          </w:tcPr>
          <w:p>
            <w:pPr>
              <w:spacing w:line="240" w:lineRule="auto" w:after="40" w:before="40"/>
              <w:jc w:val="right"/>
            </w:pPr>
            <w:r>
              <w:rPr>
                <w:b/>
                <w:i w:val="0"/>
                <w:sz w:val="18"/>
              </w:rPr>
              <w:t>Share of test set</w:t>
            </w:r>
          </w:p>
        </w:tc>
        <w:tc>
          <w:tcPr>
            <w:tcW w:type="dxa" w:w="1361"/>
            <w:shd w:val="clear" w:color="auto" w:fill="EDEDED"/>
            <w:tcBorders>
              <w:bottom w:val="single" w:sz="6" w:space="0" w:color="000000"/>
            </w:tcBorders>
          </w:tcPr>
          <w:p>
            <w:pPr>
              <w:spacing w:line="240" w:lineRule="auto" w:after="40" w:before="40"/>
              <w:jc w:val="right"/>
            </w:pPr>
            <w:r>
              <w:rPr>
                <w:b/>
                <w:i w:val="0"/>
                <w:sz w:val="18"/>
              </w:rPr>
              <w:t>Test R²</w:t>
            </w:r>
          </w:p>
        </w:tc>
        <w:tc>
          <w:tcPr>
            <w:tcW w:type="dxa" w:w="1757"/>
            <w:shd w:val="clear" w:color="auto" w:fill="EDEDED"/>
            <w:tcBorders>
              <w:bottom w:val="single" w:sz="6" w:space="0" w:color="000000"/>
            </w:tcBorders>
          </w:tcPr>
          <w:p>
            <w:pPr>
              <w:spacing w:line="240" w:lineRule="auto" w:after="40" w:before="40"/>
              <w:jc w:val="right"/>
            </w:pPr>
            <w:r>
              <w:rPr>
                <w:b/>
                <w:i w:val="0"/>
                <w:sz w:val="18"/>
              </w:rPr>
              <w:t>RMSE (dB/m)</w:t>
            </w:r>
          </w:p>
        </w:tc>
      </w:tr>
      <w:tr>
        <w:trPr>
          <w:cantSplit/>
        </w:trPr>
        <w:tc>
          <w:tcPr>
            <w:tcW w:type="dxa" w:w="4309"/>
          </w:tcPr>
          <w:p>
            <w:pPr>
              <w:spacing w:line="240" w:lineRule="auto" w:after="40" w:before="40"/>
              <w:jc w:val="left"/>
            </w:pPr>
            <w:r>
              <w:rPr>
                <w:b w:val="0"/>
                <w:i w:val="0"/>
                <w:sz w:val="18"/>
              </w:rPr>
              <w:t>All participants</w:t>
            </w:r>
          </w:p>
        </w:tc>
        <w:tc>
          <w:tcPr>
            <w:tcW w:type="dxa" w:w="1587"/>
          </w:tcPr>
          <w:p>
            <w:pPr>
              <w:spacing w:line="240" w:lineRule="auto" w:after="40" w:before="40"/>
              <w:jc w:val="right"/>
            </w:pPr>
            <w:r>
              <w:rPr>
                <w:b w:val="0"/>
                <w:i w:val="0"/>
                <w:sz w:val="18"/>
              </w:rPr>
              <w:t>100%</w:t>
            </w:r>
          </w:p>
        </w:tc>
        <w:tc>
          <w:tcPr>
            <w:tcW w:type="dxa" w:w="1361"/>
          </w:tcPr>
          <w:p>
            <w:pPr>
              <w:spacing w:line="240" w:lineRule="auto" w:after="40" w:before="40"/>
              <w:jc w:val="right"/>
            </w:pPr>
            <w:r>
              <w:rPr>
                <w:b w:val="0"/>
                <w:i w:val="0"/>
                <w:sz w:val="18"/>
              </w:rPr>
              <w:t>0.493</w:t>
            </w:r>
          </w:p>
        </w:tc>
        <w:tc>
          <w:tcPr>
            <w:tcW w:type="dxa" w:w="1757"/>
          </w:tcPr>
          <w:p>
            <w:pPr>
              <w:spacing w:line="240" w:lineRule="auto" w:after="40" w:before="40"/>
              <w:jc w:val="right"/>
            </w:pPr>
            <w:r>
              <w:rPr>
                <w:b w:val="0"/>
                <w:i w:val="0"/>
                <w:sz w:val="18"/>
              </w:rPr>
              <w:t>43.6</w:t>
            </w:r>
          </w:p>
        </w:tc>
      </w:tr>
      <w:tr>
        <w:trPr>
          <w:cantSplit/>
        </w:trPr>
        <w:tc>
          <w:tcPr>
            <w:tcW w:type="dxa" w:w="4309"/>
          </w:tcPr>
          <w:p>
            <w:pPr>
              <w:spacing w:line="240" w:lineRule="auto" w:after="40" w:before="40"/>
              <w:jc w:val="left"/>
            </w:pPr>
            <w:r>
              <w:rPr>
                <w:b w:val="0"/>
                <w:i w:val="0"/>
                <w:sz w:val="18"/>
              </w:rPr>
              <w:t>No excess alcohol (MASLD cohort)</w:t>
            </w:r>
          </w:p>
        </w:tc>
        <w:tc>
          <w:tcPr>
            <w:tcW w:type="dxa" w:w="1587"/>
          </w:tcPr>
          <w:p>
            <w:pPr>
              <w:spacing w:line="240" w:lineRule="auto" w:after="40" w:before="40"/>
              <w:jc w:val="right"/>
            </w:pPr>
            <w:r>
              <w:rPr>
                <w:b w:val="0"/>
                <w:i w:val="0"/>
                <w:sz w:val="18"/>
              </w:rPr>
              <w:t>94%</w:t>
            </w:r>
          </w:p>
        </w:tc>
        <w:tc>
          <w:tcPr>
            <w:tcW w:type="dxa" w:w="1361"/>
          </w:tcPr>
          <w:p>
            <w:pPr>
              <w:spacing w:line="240" w:lineRule="auto" w:after="40" w:before="40"/>
              <w:jc w:val="right"/>
            </w:pPr>
            <w:r>
              <w:rPr>
                <w:b w:val="0"/>
                <w:i w:val="0"/>
                <w:sz w:val="18"/>
              </w:rPr>
              <w:t>0.501</w:t>
            </w:r>
          </w:p>
        </w:tc>
        <w:tc>
          <w:tcPr>
            <w:tcW w:type="dxa" w:w="1757"/>
          </w:tcPr>
          <w:p>
            <w:pPr>
              <w:spacing w:line="240" w:lineRule="auto" w:after="40" w:before="40"/>
              <w:jc w:val="right"/>
            </w:pPr>
            <w:r>
              <w:rPr>
                <w:b w:val="0"/>
                <w:i w:val="0"/>
                <w:sz w:val="18"/>
              </w:rPr>
              <w:t>43.2</w:t>
            </w:r>
          </w:p>
        </w:tc>
      </w:tr>
      <w:tr>
        <w:trPr>
          <w:cantSplit/>
        </w:trPr>
        <w:tc>
          <w:tcPr>
            <w:tcW w:type="dxa" w:w="4309"/>
          </w:tcPr>
          <w:p>
            <w:pPr>
              <w:spacing w:line="240" w:lineRule="auto" w:after="40" w:before="40"/>
              <w:jc w:val="left"/>
            </w:pPr>
            <w:r>
              <w:rPr>
                <w:b w:val="0"/>
                <w:i w:val="0"/>
                <w:sz w:val="18"/>
              </w:rPr>
              <w:t>Ages 12–59</w:t>
            </w:r>
          </w:p>
        </w:tc>
        <w:tc>
          <w:tcPr>
            <w:tcW w:type="dxa" w:w="1587"/>
          </w:tcPr>
          <w:p>
            <w:pPr>
              <w:spacing w:line="240" w:lineRule="auto" w:after="40" w:before="40"/>
              <w:jc w:val="right"/>
            </w:pPr>
            <w:r>
              <w:rPr>
                <w:b w:val="0"/>
                <w:i w:val="0"/>
                <w:sz w:val="18"/>
              </w:rPr>
              <w:t>67%</w:t>
            </w:r>
          </w:p>
        </w:tc>
        <w:tc>
          <w:tcPr>
            <w:tcW w:type="dxa" w:w="1361"/>
          </w:tcPr>
          <w:p>
            <w:pPr>
              <w:spacing w:line="240" w:lineRule="auto" w:after="40" w:before="40"/>
              <w:jc w:val="right"/>
            </w:pPr>
            <w:r>
              <w:rPr>
                <w:b w:val="0"/>
                <w:i w:val="0"/>
                <w:sz w:val="18"/>
              </w:rPr>
              <w:t>0.511</w:t>
            </w:r>
          </w:p>
        </w:tc>
        <w:tc>
          <w:tcPr>
            <w:tcW w:type="dxa" w:w="1757"/>
          </w:tcPr>
          <w:p>
            <w:pPr>
              <w:spacing w:line="240" w:lineRule="auto" w:after="40" w:before="40"/>
              <w:jc w:val="right"/>
            </w:pPr>
            <w:r>
              <w:rPr>
                <w:b w:val="0"/>
                <w:i w:val="0"/>
                <w:sz w:val="18"/>
              </w:rPr>
              <w:t>43.4</w:t>
            </w:r>
          </w:p>
        </w:tc>
      </w:tr>
      <w:tr>
        <w:trPr>
          <w:cantSplit/>
        </w:trPr>
        <w:tc>
          <w:tcPr>
            <w:tcW w:type="dxa" w:w="4309"/>
          </w:tcPr>
          <w:p>
            <w:pPr>
              <w:spacing w:line="240" w:lineRule="auto" w:after="40" w:before="40"/>
              <w:jc w:val="left"/>
            </w:pPr>
            <w:r>
              <w:rPr>
                <w:b w:val="0"/>
                <w:i w:val="0"/>
                <w:sz w:val="18"/>
              </w:rPr>
              <w:t>Reliable examinations</w:t>
            </w:r>
          </w:p>
        </w:tc>
        <w:tc>
          <w:tcPr>
            <w:tcW w:type="dxa" w:w="1587"/>
          </w:tcPr>
          <w:p>
            <w:pPr>
              <w:spacing w:line="240" w:lineRule="auto" w:after="40" w:before="40"/>
              <w:jc w:val="right"/>
            </w:pPr>
            <w:r>
              <w:rPr>
                <w:b w:val="0"/>
                <w:i w:val="0"/>
                <w:sz w:val="18"/>
              </w:rPr>
              <w:t>62%</w:t>
            </w:r>
          </w:p>
        </w:tc>
        <w:tc>
          <w:tcPr>
            <w:tcW w:type="dxa" w:w="1361"/>
          </w:tcPr>
          <w:p>
            <w:pPr>
              <w:spacing w:line="240" w:lineRule="auto" w:after="40" w:before="40"/>
              <w:jc w:val="right"/>
            </w:pPr>
            <w:r>
              <w:rPr>
                <w:b w:val="0"/>
                <w:i w:val="0"/>
                <w:sz w:val="18"/>
              </w:rPr>
              <w:t>0.532</w:t>
            </w:r>
          </w:p>
        </w:tc>
        <w:tc>
          <w:tcPr>
            <w:tcW w:type="dxa" w:w="1757"/>
          </w:tcPr>
          <w:p>
            <w:pPr>
              <w:spacing w:line="240" w:lineRule="auto" w:after="40" w:before="40"/>
              <w:jc w:val="right"/>
            </w:pPr>
            <w:r>
              <w:rPr>
                <w:b w:val="0"/>
                <w:i w:val="0"/>
                <w:sz w:val="18"/>
              </w:rPr>
              <w:t>42.2</w:t>
            </w:r>
          </w:p>
        </w:tc>
      </w:tr>
      <w:tr>
        <w:trPr>
          <w:cantSplit/>
        </w:trPr>
        <w:tc>
          <w:tcPr>
            <w:tcW w:type="dxa" w:w="4309"/>
          </w:tcPr>
          <w:p>
            <w:pPr>
              <w:spacing w:line="240" w:lineRule="auto" w:after="40" w:before="40"/>
              <w:jc w:val="left"/>
            </w:pPr>
            <w:r>
              <w:rPr>
                <w:b w:val="0"/>
                <w:i w:val="0"/>
                <w:sz w:val="18"/>
              </w:rPr>
              <w:t>Reliable examinations, ages 12–59 (target)</w:t>
            </w:r>
          </w:p>
        </w:tc>
        <w:tc>
          <w:tcPr>
            <w:tcW w:type="dxa" w:w="1587"/>
          </w:tcPr>
          <w:p>
            <w:pPr>
              <w:spacing w:line="240" w:lineRule="auto" w:after="40" w:before="40"/>
              <w:jc w:val="right"/>
            </w:pPr>
            <w:r>
              <w:rPr>
                <w:b w:val="0"/>
                <w:i w:val="0"/>
                <w:sz w:val="18"/>
              </w:rPr>
              <w:t>40%</w:t>
            </w:r>
          </w:p>
        </w:tc>
        <w:tc>
          <w:tcPr>
            <w:tcW w:type="dxa" w:w="1361"/>
          </w:tcPr>
          <w:p>
            <w:pPr>
              <w:spacing w:line="240" w:lineRule="auto" w:after="40" w:before="40"/>
              <w:jc w:val="right"/>
            </w:pPr>
            <w:r>
              <w:rPr>
                <w:b w:val="0"/>
                <w:i w:val="0"/>
                <w:sz w:val="18"/>
              </w:rPr>
              <w:t>0.558</w:t>
            </w:r>
          </w:p>
        </w:tc>
        <w:tc>
          <w:tcPr>
            <w:tcW w:type="dxa" w:w="1757"/>
          </w:tcPr>
          <w:p>
            <w:pPr>
              <w:spacing w:line="240" w:lineRule="auto" w:after="40" w:before="40"/>
              <w:jc w:val="right"/>
            </w:pPr>
            <w:r>
              <w:rPr>
                <w:b w:val="0"/>
                <w:i w:val="0"/>
                <w:sz w:val="18"/>
              </w:rPr>
              <w:t>41.6</w:t>
            </w:r>
          </w:p>
        </w:tc>
      </w:tr>
      <w:tr>
        <w:trPr>
          <w:cantSplit/>
        </w:trPr>
        <w:tc>
          <w:tcPr>
            <w:tcW w:type="dxa" w:w="4309"/>
          </w:tcPr>
          <w:p>
            <w:pPr>
              <w:spacing w:line="240" w:lineRule="auto" w:after="40" w:before="40"/>
              <w:jc w:val="left"/>
            </w:pPr>
            <w:r>
              <w:rPr>
                <w:b w:val="0"/>
                <w:i w:val="0"/>
                <w:sz w:val="18"/>
              </w:rPr>
              <w:t>Target, no excess alcohol</w:t>
            </w:r>
          </w:p>
        </w:tc>
        <w:tc>
          <w:tcPr>
            <w:tcW w:type="dxa" w:w="1587"/>
          </w:tcPr>
          <w:p>
            <w:pPr>
              <w:spacing w:line="240" w:lineRule="auto" w:after="40" w:before="40"/>
              <w:jc w:val="right"/>
            </w:pPr>
            <w:r>
              <w:rPr>
                <w:b w:val="0"/>
                <w:i w:val="0"/>
                <w:sz w:val="18"/>
              </w:rPr>
              <w:t>38%</w:t>
            </w:r>
          </w:p>
        </w:tc>
        <w:tc>
          <w:tcPr>
            <w:tcW w:type="dxa" w:w="1361"/>
          </w:tcPr>
          <w:p>
            <w:pPr>
              <w:spacing w:line="240" w:lineRule="auto" w:after="40" w:before="40"/>
              <w:jc w:val="right"/>
            </w:pPr>
            <w:r>
              <w:rPr>
                <w:b w:val="0"/>
                <w:i w:val="0"/>
                <w:sz w:val="18"/>
              </w:rPr>
              <w:t>0.561</w:t>
            </w:r>
          </w:p>
        </w:tc>
        <w:tc>
          <w:tcPr>
            <w:tcW w:type="dxa" w:w="1757"/>
          </w:tcPr>
          <w:p>
            <w:pPr>
              <w:spacing w:line="240" w:lineRule="auto" w:after="40" w:before="40"/>
              <w:jc w:val="right"/>
            </w:pPr>
            <w:r>
              <w:rPr>
                <w:b w:val="0"/>
                <w:i w:val="0"/>
                <w:sz w:val="18"/>
              </w:rPr>
              <w:t>41.4</w:t>
            </w:r>
          </w:p>
        </w:tc>
      </w:tr>
      <w:tr>
        <w:trPr>
          <w:cantSplit/>
        </w:trPr>
        <w:tc>
          <w:tcPr>
            <w:tcW w:type="dxa" w:w="4309"/>
          </w:tcPr>
          <w:p>
            <w:pPr>
              <w:spacing w:line="240" w:lineRule="auto" w:after="40" w:before="40"/>
              <w:jc w:val="left"/>
            </w:pPr>
            <w:r>
              <w:rPr>
                <w:b w:val="0"/>
                <w:i w:val="0"/>
                <w:sz w:val="18"/>
              </w:rPr>
              <w:t>Target, IQR &lt; 30, no excess alcohol</w:t>
            </w:r>
          </w:p>
        </w:tc>
        <w:tc>
          <w:tcPr>
            <w:tcW w:type="dxa" w:w="1587"/>
          </w:tcPr>
          <w:p>
            <w:pPr>
              <w:spacing w:line="240" w:lineRule="auto" w:after="40" w:before="40"/>
              <w:jc w:val="right"/>
            </w:pPr>
            <w:r>
              <w:rPr>
                <w:b w:val="0"/>
                <w:i w:val="0"/>
                <w:sz w:val="18"/>
              </w:rPr>
              <w:t>24%</w:t>
            </w:r>
          </w:p>
        </w:tc>
        <w:tc>
          <w:tcPr>
            <w:tcW w:type="dxa" w:w="1361"/>
          </w:tcPr>
          <w:p>
            <w:pPr>
              <w:spacing w:line="240" w:lineRule="auto" w:after="40" w:before="40"/>
              <w:jc w:val="right"/>
            </w:pPr>
            <w:r>
              <w:rPr>
                <w:b w:val="0"/>
                <w:i w:val="0"/>
                <w:sz w:val="18"/>
              </w:rPr>
              <w:t>0.567</w:t>
            </w:r>
          </w:p>
        </w:tc>
        <w:tc>
          <w:tcPr>
            <w:tcW w:type="dxa" w:w="1757"/>
          </w:tcPr>
          <w:p>
            <w:pPr>
              <w:spacing w:line="240" w:lineRule="auto" w:after="40" w:before="40"/>
              <w:jc w:val="right"/>
            </w:pPr>
            <w:r>
              <w:rPr>
                <w:b w:val="0"/>
                <w:i w:val="0"/>
                <w:sz w:val="18"/>
              </w:rPr>
              <w:t>41.8</w:t>
            </w:r>
          </w:p>
        </w:tc>
      </w:tr>
      <w:tr>
        <w:trPr>
          <w:cantSplit/>
        </w:trPr>
        <w:tc>
          <w:tcPr>
            <w:tcW w:type="dxa" w:w="4309"/>
          </w:tcPr>
          <w:p>
            <w:pPr>
              <w:spacing w:line="240" w:lineRule="auto" w:after="40" w:before="40"/>
              <w:jc w:val="left"/>
            </w:pPr>
            <w:r>
              <w:rPr>
                <w:b w:val="0"/>
                <w:i w:val="0"/>
                <w:sz w:val="18"/>
              </w:rPr>
              <w:t>Target, IQR &lt; 20, no excess alcohol</w:t>
            </w:r>
          </w:p>
        </w:tc>
        <w:tc>
          <w:tcPr>
            <w:tcW w:type="dxa" w:w="1587"/>
          </w:tcPr>
          <w:p>
            <w:pPr>
              <w:spacing w:line="240" w:lineRule="auto" w:after="40" w:before="40"/>
              <w:jc w:val="right"/>
            </w:pPr>
            <w:r>
              <w:rPr>
                <w:b w:val="0"/>
                <w:i w:val="0"/>
                <w:sz w:val="18"/>
              </w:rPr>
              <w:t>9%</w:t>
            </w:r>
          </w:p>
        </w:tc>
        <w:tc>
          <w:tcPr>
            <w:tcW w:type="dxa" w:w="1361"/>
          </w:tcPr>
          <w:p>
            <w:pPr>
              <w:spacing w:line="240" w:lineRule="auto" w:after="40" w:before="40"/>
              <w:jc w:val="right"/>
            </w:pPr>
            <w:r>
              <w:rPr>
                <w:b w:val="0"/>
                <w:i w:val="0"/>
                <w:sz w:val="18"/>
              </w:rPr>
              <w:t>0.585</w:t>
            </w:r>
          </w:p>
        </w:tc>
        <w:tc>
          <w:tcPr>
            <w:tcW w:type="dxa" w:w="1757"/>
          </w:tcPr>
          <w:p>
            <w:pPr>
              <w:spacing w:line="240" w:lineRule="auto" w:after="40" w:before="40"/>
              <w:jc w:val="right"/>
            </w:pPr>
            <w:r>
              <w:rPr>
                <w:b w:val="0"/>
                <w:i w:val="0"/>
                <w:sz w:val="18"/>
              </w:rPr>
              <w:t>44.7</w:t>
            </w:r>
          </w:p>
        </w:tc>
      </w:tr>
    </w:tbl>
    <w:p>
      <w:pPr>
        <w:spacing w:after="200" w:line="240" w:lineRule="auto" w:before="80"/>
        <w:jc w:val="left"/>
      </w:pPr>
      <w:r>
        <w:rPr>
          <w:b w:val="0"/>
          <w:i/>
          <w:sz w:val="18"/>
        </w:rPr>
        <w:t>In the target population RMSE falls (43.6 → 41.6 dB/m) while the CAP standard deviation does not shrink (64.8 against 63.0 dB/m overall), so the higher R² reflects smaller errors rather than a narrower outcome. Stricter IQR cut-offs raise R² while RMSE rises and the subset becomes small; they were not adopted.</w:t>
      </w:r>
    </w:p>
    <w:p>
      <w:r>
        <w:rPr>
          <w:b w:val="0"/>
          <w:i w:val="0"/>
        </w:rPr>
        <w:t>Because a single 20% split is noisy (E5) and the P3 test split is harder than average (E35), the target population was also evaluated by five-fold cross-validation over all 15,300 participants, repeated with three seeds, training on everyone and scoring the target members of each validation fold. Pooled R² was 0.591, 0.591 and 0.590 (RMSE 41.5 dB/m); single folds ranged from 0.546 to 0.617. With the final settings these become 0.593 (repeated cross-validation) and 0.562 (held-out test). On the supervisor’s advice, this population was adopted as the model’s scope (Section A.9).</w:t>
      </w:r>
    </w:p>
    <w:p>
      <w:pPr>
        <w:pStyle w:val="Heading3"/>
      </w:pPr>
      <w:r>
        <w:t>Attempts to reach R² 0.60</w:t>
      </w:r>
    </w:p>
    <w:p>
      <w:r>
        <w:rPr>
          <w:b w:val="0"/>
          <w:i w:val="0"/>
        </w:rPr>
        <w:t>Each variant was compared under five-fold cross-validation on the P3 training partition (seed 42), with R² computed on the target members of the validation folds (5,019 participants). The reference, the 16 October model, scored 0.5945. All 15 variants were afterwards also scored on the held-out test set (Section A.9).</w:t>
      </w:r>
    </w:p>
    <w:p>
      <w:pPr>
        <w:pStyle w:val="Caption"/>
      </w:pPr>
      <w:r>
        <w:rPr>
          <w:b/>
        </w:rPr>
        <w:t xml:space="preserve">Table A.10. </w:t>
      </w:r>
      <w:r>
        <w:t>Phase 6 experiments: target population (P3-CV, target R²).</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504"/>
        <w:gridCol w:w="1504"/>
        <w:gridCol w:w="1504"/>
        <w:gridCol w:w="1504"/>
        <w:gridCol w:w="1504"/>
        <w:gridCol w:w="1504"/>
      </w:tblGrid>
      <w:tr>
        <w:trPr>
          <w:tblHeader/>
          <w:cantSplit/>
        </w:trPr>
        <w:tc>
          <w:tcPr>
            <w:tcW w:type="dxa" w:w="510"/>
            <w:shd w:val="clear" w:color="auto" w:fill="EDEDED"/>
            <w:tcBorders>
              <w:bottom w:val="single" w:sz="6" w:space="0" w:color="000000"/>
            </w:tcBorders>
          </w:tcPr>
          <w:p>
            <w:pPr>
              <w:spacing w:line="240" w:lineRule="auto" w:after="40" w:before="40"/>
              <w:jc w:val="left"/>
            </w:pPr>
            <w:r>
              <w:rPr>
                <w:b/>
                <w:i w:val="0"/>
                <w:sz w:val="18"/>
              </w:rPr>
              <w:t>ID</w:t>
            </w:r>
          </w:p>
        </w:tc>
        <w:tc>
          <w:tcPr>
            <w:tcW w:type="dxa" w:w="1417"/>
            <w:shd w:val="clear" w:color="auto" w:fill="EDEDED"/>
            <w:tcBorders>
              <w:bottom w:val="single" w:sz="6" w:space="0" w:color="000000"/>
            </w:tcBorders>
          </w:tcPr>
          <w:p>
            <w:pPr>
              <w:spacing w:line="240" w:lineRule="auto" w:after="40" w:before="40"/>
              <w:jc w:val="left"/>
            </w:pPr>
            <w:r>
              <w:rPr>
                <w:b/>
                <w:i w:val="0"/>
                <w:sz w:val="18"/>
              </w:rPr>
              <w:t>Experiment</w:t>
            </w:r>
          </w:p>
        </w:tc>
        <w:tc>
          <w:tcPr>
            <w:tcW w:type="dxa" w:w="1814"/>
            <w:shd w:val="clear" w:color="auto" w:fill="EDEDED"/>
            <w:tcBorders>
              <w:bottom w:val="single" w:sz="6" w:space="0" w:color="000000"/>
            </w:tcBorders>
          </w:tcPr>
          <w:p>
            <w:pPr>
              <w:spacing w:line="240" w:lineRule="auto" w:after="40" w:before="40"/>
              <w:jc w:val="left"/>
            </w:pPr>
            <w:r>
              <w:rPr>
                <w:b/>
                <w:i w:val="0"/>
                <w:sz w:val="18"/>
              </w:rPr>
              <w:t>What was tested</w:t>
            </w:r>
          </w:p>
        </w:tc>
        <w:tc>
          <w:tcPr>
            <w:tcW w:type="dxa" w:w="1928"/>
            <w:shd w:val="clear" w:color="auto" w:fill="EDEDED"/>
            <w:tcBorders>
              <w:bottom w:val="single" w:sz="6" w:space="0" w:color="000000"/>
            </w:tcBorders>
          </w:tcPr>
          <w:p>
            <w:pPr>
              <w:spacing w:line="240" w:lineRule="auto" w:after="40" w:before="40"/>
              <w:jc w:val="left"/>
            </w:pPr>
            <w:r>
              <w:rPr>
                <w:b/>
                <w:i w:val="0"/>
                <w:sz w:val="18"/>
              </w:rPr>
              <w:t>Result (target R²)</w:t>
            </w:r>
          </w:p>
        </w:tc>
        <w:tc>
          <w:tcPr>
            <w:tcW w:type="dxa" w:w="1134"/>
            <w:shd w:val="clear" w:color="auto" w:fill="EDEDED"/>
            <w:tcBorders>
              <w:bottom w:val="single" w:sz="6" w:space="0" w:color="000000"/>
            </w:tcBorders>
          </w:tcPr>
          <w:p>
            <w:pPr>
              <w:spacing w:line="240" w:lineRule="auto" w:after="40" w:before="40"/>
              <w:jc w:val="left"/>
            </w:pPr>
            <w:r>
              <w:rPr>
                <w:b/>
                <w:i w:val="0"/>
                <w:sz w:val="18"/>
              </w:rPr>
              <w:t>Outcome</w:t>
            </w:r>
          </w:p>
        </w:tc>
        <w:tc>
          <w:tcPr>
            <w:tcW w:type="dxa" w:w="2211"/>
            <w:shd w:val="clear" w:color="auto" w:fill="EDEDED"/>
            <w:tcBorders>
              <w:bottom w:val="single" w:sz="6" w:space="0" w:color="000000"/>
            </w:tcBorders>
          </w:tcPr>
          <w:p>
            <w:pPr>
              <w:spacing w:line="240" w:lineRule="auto" w:after="40" w:before="40"/>
              <w:jc w:val="left"/>
            </w:pPr>
            <w:r>
              <w:rPr>
                <w:b/>
                <w:i w:val="0"/>
                <w:sz w:val="18"/>
              </w:rPr>
              <w:t>Interpretation</w:t>
            </w:r>
          </w:p>
        </w:tc>
      </w:tr>
      <w:tr>
        <w:trPr>
          <w:cantSplit/>
        </w:trPr>
        <w:tc>
          <w:tcPr>
            <w:tcW w:type="dxa" w:w="510"/>
          </w:tcPr>
          <w:p>
            <w:pPr>
              <w:spacing w:line="240" w:lineRule="auto" w:after="40" w:before="40"/>
              <w:jc w:val="left"/>
            </w:pPr>
            <w:r>
              <w:rPr>
                <w:b w:val="0"/>
                <w:i w:val="0"/>
                <w:sz w:val="18"/>
              </w:rPr>
              <w:t>E40</w:t>
            </w:r>
          </w:p>
        </w:tc>
        <w:tc>
          <w:tcPr>
            <w:tcW w:type="dxa" w:w="1417"/>
          </w:tcPr>
          <w:p>
            <w:pPr>
              <w:spacing w:line="240" w:lineRule="auto" w:after="40" w:before="40"/>
              <w:jc w:val="left"/>
            </w:pPr>
            <w:r>
              <w:rPr>
                <w:b w:val="0"/>
                <w:i w:val="0"/>
                <w:sz w:val="18"/>
              </w:rPr>
              <w:t>Training population</w:t>
            </w:r>
          </w:p>
        </w:tc>
        <w:tc>
          <w:tcPr>
            <w:tcW w:type="dxa" w:w="1814"/>
          </w:tcPr>
          <w:p>
            <w:pPr>
              <w:spacing w:line="240" w:lineRule="auto" w:after="40" w:before="40"/>
              <w:jc w:val="left"/>
            </w:pPr>
            <w:r>
              <w:rPr>
                <w:b w:val="0"/>
                <w:i w:val="0"/>
                <w:sz w:val="18"/>
              </w:rPr>
              <w:t>Training only on the target population; target weighted ×3; training only on ages 12–59, all examinations (final settings, 22 October).</w:t>
            </w:r>
          </w:p>
        </w:tc>
        <w:tc>
          <w:tcPr>
            <w:tcW w:type="dxa" w:w="1928"/>
          </w:tcPr>
          <w:p>
            <w:pPr>
              <w:spacing w:line="240" w:lineRule="auto" w:after="40" w:before="40"/>
              <w:jc w:val="left"/>
            </w:pPr>
            <w:r>
              <w:rPr>
                <w:b w:val="0"/>
                <w:i w:val="0"/>
                <w:sz w:val="18"/>
              </w:rPr>
              <w:t>0.5845; 0.5921; 0.5883</w:t>
            </w:r>
          </w:p>
        </w:tc>
        <w:tc>
          <w:tcPr>
            <w:tcW w:type="dxa" w:w="1134"/>
          </w:tcPr>
          <w:p>
            <w:pPr>
              <w:spacing w:line="240" w:lineRule="auto" w:after="40" w:before="40"/>
              <w:jc w:val="left"/>
            </w:pPr>
            <w:r>
              <w:rPr>
                <w:b w:val="0"/>
                <w:i w:val="0"/>
                <w:sz w:val="18"/>
              </w:rPr>
              <w:t>Worse</w:t>
            </w:r>
          </w:p>
        </w:tc>
        <w:tc>
          <w:tcPr>
            <w:tcW w:type="dxa" w:w="2211"/>
          </w:tcPr>
          <w:p>
            <w:pPr>
              <w:spacing w:line="240" w:lineRule="auto" w:after="40" w:before="40"/>
              <w:jc w:val="left"/>
            </w:pPr>
            <w:r>
              <w:rPr>
                <w:b w:val="0"/>
                <w:i w:val="0"/>
                <w:sz w:val="18"/>
              </w:rPr>
              <w:t>Participants outside the target still carry information about the relationship between inputs and CAP. Test R²: target-only 0.547 against 0.558; ages 12–59 only 0.553 against 0.562.</w:t>
            </w:r>
          </w:p>
        </w:tc>
      </w:tr>
      <w:tr>
        <w:trPr>
          <w:cantSplit/>
        </w:trPr>
        <w:tc>
          <w:tcPr>
            <w:tcW w:type="dxa" w:w="510"/>
          </w:tcPr>
          <w:p>
            <w:pPr>
              <w:spacing w:line="240" w:lineRule="auto" w:after="40" w:before="40"/>
              <w:jc w:val="left"/>
            </w:pPr>
            <w:r>
              <w:rPr>
                <w:b w:val="0"/>
                <w:i w:val="0"/>
                <w:sz w:val="18"/>
              </w:rPr>
              <w:t>E41</w:t>
            </w:r>
          </w:p>
        </w:tc>
        <w:tc>
          <w:tcPr>
            <w:tcW w:type="dxa" w:w="1417"/>
          </w:tcPr>
          <w:p>
            <w:pPr>
              <w:spacing w:line="240" w:lineRule="auto" w:after="40" w:before="40"/>
              <w:jc w:val="left"/>
            </w:pPr>
            <w:r>
              <w:rPr>
                <w:b w:val="0"/>
                <w:i w:val="0"/>
                <w:sz w:val="18"/>
              </w:rPr>
              <w:t>Habitual diet</w:t>
            </w:r>
          </w:p>
        </w:tc>
        <w:tc>
          <w:tcPr>
            <w:tcW w:type="dxa" w:w="1814"/>
          </w:tcPr>
          <w:p>
            <w:pPr>
              <w:spacing w:line="240" w:lineRule="auto" w:after="40" w:before="40"/>
              <w:jc w:val="left"/>
            </w:pPr>
            <w:r>
              <w:rPr>
                <w:b w:val="0"/>
                <w:i w:val="0"/>
                <w:sz w:val="18"/>
              </w:rPr>
              <w:t>Day-1 recall measures: saturated fat, sugars and fibre per energy, HEI-2020, FPED food groups, sodium and fatty acids.</w:t>
            </w:r>
          </w:p>
        </w:tc>
        <w:tc>
          <w:tcPr>
            <w:tcW w:type="dxa" w:w="1928"/>
          </w:tcPr>
          <w:p>
            <w:pPr>
              <w:spacing w:line="240" w:lineRule="auto" w:after="40" w:before="40"/>
              <w:jc w:val="left"/>
            </w:pPr>
            <w:r>
              <w:rPr>
                <w:b w:val="0"/>
                <w:i w:val="0"/>
                <w:sz w:val="18"/>
              </w:rPr>
              <w:t>0.5930</w:t>
            </w:r>
          </w:p>
        </w:tc>
        <w:tc>
          <w:tcPr>
            <w:tcW w:type="dxa" w:w="1134"/>
          </w:tcPr>
          <w:p>
            <w:pPr>
              <w:spacing w:line="240" w:lineRule="auto" w:after="40" w:before="40"/>
              <w:jc w:val="left"/>
            </w:pPr>
            <w:r>
              <w:rPr>
                <w:b w:val="0"/>
                <w:i w:val="0"/>
                <w:sz w:val="18"/>
              </w:rPr>
              <w:t>No gain</w:t>
            </w:r>
          </w:p>
        </w:tc>
        <w:tc>
          <w:tcPr>
            <w:tcW w:type="dxa" w:w="2211"/>
          </w:tcPr>
          <w:p>
            <w:pPr>
              <w:spacing w:line="240" w:lineRule="auto" w:after="40" w:before="40"/>
              <w:jc w:val="left"/>
            </w:pPr>
            <w:r>
              <w:rPr>
                <w:b w:val="0"/>
                <w:i w:val="0"/>
                <w:sz w:val="18"/>
              </w:rPr>
              <w:t>One recall day is a weak measure of usual intake, consistent with the low importance of the existing dietary inputs.</w:t>
            </w:r>
          </w:p>
        </w:tc>
      </w:tr>
      <w:tr>
        <w:trPr>
          <w:cantSplit/>
        </w:trPr>
        <w:tc>
          <w:tcPr>
            <w:tcW w:type="dxa" w:w="510"/>
          </w:tcPr>
          <w:p>
            <w:pPr>
              <w:spacing w:line="240" w:lineRule="auto" w:after="40" w:before="40"/>
              <w:jc w:val="left"/>
            </w:pPr>
            <w:r>
              <w:rPr>
                <w:b w:val="0"/>
                <w:i w:val="0"/>
                <w:sz w:val="18"/>
              </w:rPr>
              <w:t>E42</w:t>
            </w:r>
          </w:p>
        </w:tc>
        <w:tc>
          <w:tcPr>
            <w:tcW w:type="dxa" w:w="1417"/>
          </w:tcPr>
          <w:p>
            <w:pPr>
              <w:spacing w:line="240" w:lineRule="auto" w:after="40" w:before="40"/>
              <w:jc w:val="left"/>
            </w:pPr>
            <w:r>
              <w:rPr>
                <w:b w:val="0"/>
                <w:i w:val="0"/>
                <w:sz w:val="18"/>
              </w:rPr>
              <w:t>Medical history</w:t>
            </w:r>
          </w:p>
        </w:tc>
        <w:tc>
          <w:tcPr>
            <w:tcW w:type="dxa" w:w="1814"/>
          </w:tcPr>
          <w:p>
            <w:pPr>
              <w:spacing w:line="240" w:lineRule="auto" w:after="40" w:before="40"/>
              <w:jc w:val="left"/>
            </w:pPr>
            <w:r>
              <w:rPr>
                <w:b w:val="0"/>
                <w:i w:val="0"/>
                <w:sz w:val="18"/>
              </w:rPr>
              <w:t>Questionnaire conditions (heart disease, stroke, thyroid, liver condition), urine albumin-to-creatinine ratio, number of prescriptions.</w:t>
            </w:r>
          </w:p>
        </w:tc>
        <w:tc>
          <w:tcPr>
            <w:tcW w:type="dxa" w:w="1928"/>
          </w:tcPr>
          <w:p>
            <w:pPr>
              <w:spacing w:line="240" w:lineRule="auto" w:after="40" w:before="40"/>
              <w:jc w:val="left"/>
            </w:pPr>
            <w:r>
              <w:rPr>
                <w:b w:val="0"/>
                <w:i w:val="0"/>
                <w:sz w:val="18"/>
              </w:rPr>
              <w:t>0.5949</w:t>
            </w:r>
          </w:p>
        </w:tc>
        <w:tc>
          <w:tcPr>
            <w:tcW w:type="dxa" w:w="1134"/>
          </w:tcPr>
          <w:p>
            <w:pPr>
              <w:spacing w:line="240" w:lineRule="auto" w:after="40" w:before="40"/>
              <w:jc w:val="left"/>
            </w:pPr>
            <w:r>
              <w:rPr>
                <w:b w:val="0"/>
                <w:i w:val="0"/>
                <w:sz w:val="18"/>
              </w:rPr>
              <w:t>No gain</w:t>
            </w:r>
          </w:p>
        </w:tc>
        <w:tc>
          <w:tcPr>
            <w:tcW w:type="dxa" w:w="2211"/>
          </w:tcPr>
          <w:p>
            <w:pPr>
              <w:spacing w:line="240" w:lineRule="auto" w:after="40" w:before="40"/>
              <w:jc w:val="left"/>
            </w:pPr>
            <w:r>
              <w:rPr>
                <w:b w:val="0"/>
                <w:i w:val="0"/>
                <w:sz w:val="18"/>
              </w:rPr>
              <w:t>Prescription names are not released for 2021–2023, so only a count was usable. A self-reported fatty-liver diagnosis (MCQ510A) was excluded as label leakage.</w:t>
            </w:r>
          </w:p>
        </w:tc>
      </w:tr>
      <w:tr>
        <w:trPr>
          <w:cantSplit/>
        </w:trPr>
        <w:tc>
          <w:tcPr>
            <w:tcW w:type="dxa" w:w="510"/>
          </w:tcPr>
          <w:p>
            <w:pPr>
              <w:spacing w:line="240" w:lineRule="auto" w:after="40" w:before="40"/>
              <w:jc w:val="left"/>
            </w:pPr>
            <w:r>
              <w:rPr>
                <w:b w:val="0"/>
                <w:i w:val="0"/>
                <w:sz w:val="18"/>
              </w:rPr>
              <w:t>E43</w:t>
            </w:r>
          </w:p>
        </w:tc>
        <w:tc>
          <w:tcPr>
            <w:tcW w:type="dxa" w:w="1417"/>
          </w:tcPr>
          <w:p>
            <w:pPr>
              <w:spacing w:line="240" w:lineRule="auto" w:after="40" w:before="40"/>
              <w:jc w:val="left"/>
            </w:pPr>
            <w:r>
              <w:rPr>
                <w:b w:val="0"/>
                <w:i w:val="0"/>
                <w:sz w:val="18"/>
              </w:rPr>
              <w:t>Fasting subsample</w:t>
            </w:r>
          </w:p>
        </w:tc>
        <w:tc>
          <w:tcPr>
            <w:tcW w:type="dxa" w:w="1814"/>
          </w:tcPr>
          <w:p>
            <w:pPr>
              <w:spacing w:line="240" w:lineRule="auto" w:after="40" w:before="40"/>
              <w:jc w:val="left"/>
            </w:pPr>
            <w:r>
              <w:rPr>
                <w:b w:val="0"/>
                <w:i w:val="0"/>
                <w:sz w:val="18"/>
              </w:rPr>
              <w:t>Target R² among participants with fasting insulin and glucose, as used by Liu et al. (2024) and Boullion et al. (2025).</w:t>
            </w:r>
          </w:p>
        </w:tc>
        <w:tc>
          <w:tcPr>
            <w:tcW w:type="dxa" w:w="1928"/>
          </w:tcPr>
          <w:p>
            <w:pPr>
              <w:spacing w:line="240" w:lineRule="auto" w:after="40" w:before="40"/>
              <w:jc w:val="left"/>
            </w:pPr>
            <w:r>
              <w:rPr>
                <w:b w:val="0"/>
                <w:i w:val="0"/>
                <w:sz w:val="18"/>
              </w:rPr>
              <w:t>0.597 vs 0.592 without</w:t>
            </w:r>
          </w:p>
        </w:tc>
        <w:tc>
          <w:tcPr>
            <w:tcW w:type="dxa" w:w="1134"/>
          </w:tcPr>
          <w:p>
            <w:pPr>
              <w:spacing w:line="240" w:lineRule="auto" w:after="40" w:before="40"/>
              <w:jc w:val="left"/>
            </w:pPr>
            <w:r>
              <w:rPr>
                <w:b w:val="0"/>
                <w:i w:val="0"/>
                <w:sz w:val="18"/>
              </w:rPr>
              <w:t>No gain</w:t>
            </w:r>
          </w:p>
        </w:tc>
        <w:tc>
          <w:tcPr>
            <w:tcW w:type="dxa" w:w="2211"/>
          </w:tcPr>
          <w:p>
            <w:pPr>
              <w:spacing w:line="240" w:lineRule="auto" w:after="40" w:before="40"/>
              <w:jc w:val="left"/>
            </w:pPr>
            <w:r>
              <w:rPr>
                <w:b w:val="0"/>
                <w:i w:val="0"/>
                <w:sz w:val="18"/>
              </w:rPr>
              <w:t>The model already uses fasting values where measured. On the test set the subsample scored lower (0.550 against 0.560).</w:t>
            </w:r>
          </w:p>
        </w:tc>
      </w:tr>
      <w:tr>
        <w:trPr>
          <w:cantSplit/>
        </w:trPr>
        <w:tc>
          <w:tcPr>
            <w:tcW w:type="dxa" w:w="510"/>
          </w:tcPr>
          <w:p>
            <w:pPr>
              <w:spacing w:line="240" w:lineRule="auto" w:after="40" w:before="40"/>
              <w:jc w:val="left"/>
            </w:pPr>
            <w:r>
              <w:rPr>
                <w:b w:val="0"/>
                <w:i w:val="0"/>
                <w:sz w:val="18"/>
              </w:rPr>
              <w:t>E44</w:t>
            </w:r>
          </w:p>
        </w:tc>
        <w:tc>
          <w:tcPr>
            <w:tcW w:type="dxa" w:w="1417"/>
          </w:tcPr>
          <w:p>
            <w:pPr>
              <w:spacing w:line="240" w:lineRule="auto" w:after="40" w:before="40"/>
              <w:jc w:val="left"/>
            </w:pPr>
            <w:r>
              <w:rPr>
                <w:b w:val="0"/>
                <w:i w:val="0"/>
                <w:sz w:val="18"/>
              </w:rPr>
              <w:t>Missing-value handling</w:t>
            </w:r>
          </w:p>
        </w:tc>
        <w:tc>
          <w:tcPr>
            <w:tcW w:type="dxa" w:w="1814"/>
          </w:tcPr>
          <w:p>
            <w:pPr>
              <w:spacing w:line="240" w:lineRule="auto" w:after="40" w:before="40"/>
              <w:jc w:val="left"/>
            </w:pPr>
            <w:r>
              <w:rPr>
                <w:b w:val="0"/>
                <w:i w:val="0"/>
                <w:sz w:val="18"/>
              </w:rPr>
              <w:t>Median imputation with missing-value indicators (as in Du et al., 2026); MICE iterative imputation (as in Liu et al., 2024).</w:t>
            </w:r>
          </w:p>
        </w:tc>
        <w:tc>
          <w:tcPr>
            <w:tcW w:type="dxa" w:w="1928"/>
          </w:tcPr>
          <w:p>
            <w:pPr>
              <w:spacing w:line="240" w:lineRule="auto" w:after="40" w:before="40"/>
              <w:jc w:val="left"/>
            </w:pPr>
            <w:r>
              <w:rPr>
                <w:b w:val="0"/>
                <w:i w:val="0"/>
                <w:sz w:val="18"/>
              </w:rPr>
              <w:t>0.5961; 0.5938</w:t>
            </w:r>
          </w:p>
        </w:tc>
        <w:tc>
          <w:tcPr>
            <w:tcW w:type="dxa" w:w="1134"/>
          </w:tcPr>
          <w:p>
            <w:pPr>
              <w:spacing w:line="240" w:lineRule="auto" w:after="40" w:before="40"/>
              <w:jc w:val="left"/>
            </w:pPr>
            <w:r>
              <w:rPr>
                <w:b w:val="0"/>
                <w:i w:val="0"/>
                <w:sz w:val="18"/>
              </w:rPr>
              <w:t>No gain</w:t>
            </w:r>
          </w:p>
        </w:tc>
        <w:tc>
          <w:tcPr>
            <w:tcW w:type="dxa" w:w="2211"/>
          </w:tcPr>
          <w:p>
            <w:pPr>
              <w:spacing w:line="240" w:lineRule="auto" w:after="40" w:before="40"/>
              <w:jc w:val="left"/>
            </w:pPr>
            <w:r>
              <w:rPr>
                <w:b w:val="0"/>
                <w:i w:val="0"/>
                <w:sz w:val="18"/>
              </w:rPr>
              <w:t>XGBoost already handles missing values natively; imputation adds no information.</w:t>
            </w:r>
          </w:p>
        </w:tc>
      </w:tr>
      <w:tr>
        <w:trPr>
          <w:cantSplit/>
        </w:trPr>
        <w:tc>
          <w:tcPr>
            <w:tcW w:type="dxa" w:w="510"/>
          </w:tcPr>
          <w:p>
            <w:pPr>
              <w:spacing w:line="240" w:lineRule="auto" w:after="40" w:before="40"/>
              <w:jc w:val="left"/>
            </w:pPr>
            <w:r>
              <w:rPr>
                <w:b w:val="0"/>
                <w:i w:val="0"/>
                <w:sz w:val="18"/>
              </w:rPr>
              <w:t>E45</w:t>
            </w:r>
          </w:p>
        </w:tc>
        <w:tc>
          <w:tcPr>
            <w:tcW w:type="dxa" w:w="1417"/>
          </w:tcPr>
          <w:p>
            <w:pPr>
              <w:spacing w:line="240" w:lineRule="auto" w:after="40" w:before="40"/>
              <w:jc w:val="left"/>
            </w:pPr>
            <w:r>
              <w:rPr>
                <w:b w:val="0"/>
                <w:i w:val="0"/>
                <w:sz w:val="18"/>
              </w:rPr>
              <w:t>Loss function</w:t>
            </w:r>
          </w:p>
        </w:tc>
        <w:tc>
          <w:tcPr>
            <w:tcW w:type="dxa" w:w="1814"/>
          </w:tcPr>
          <w:p>
            <w:pPr>
              <w:spacing w:line="240" w:lineRule="auto" w:after="40" w:before="40"/>
              <w:jc w:val="left"/>
            </w:pPr>
            <w:r>
              <w:rPr>
                <w:b w:val="0"/>
                <w:i w:val="0"/>
                <w:sz w:val="18"/>
              </w:rPr>
              <w:t>Pseudo-Huber loss (slope 40 dB/m); absolute-error loss.</w:t>
            </w:r>
          </w:p>
        </w:tc>
        <w:tc>
          <w:tcPr>
            <w:tcW w:type="dxa" w:w="1928"/>
          </w:tcPr>
          <w:p>
            <w:pPr>
              <w:spacing w:line="240" w:lineRule="auto" w:after="40" w:before="40"/>
              <w:jc w:val="left"/>
            </w:pPr>
            <w:r>
              <w:rPr>
                <w:b w:val="0"/>
                <w:i w:val="0"/>
                <w:sz w:val="18"/>
              </w:rPr>
              <w:t>0.5940; 0.5893</w:t>
            </w:r>
          </w:p>
        </w:tc>
        <w:tc>
          <w:tcPr>
            <w:tcW w:type="dxa" w:w="1134"/>
          </w:tcPr>
          <w:p>
            <w:pPr>
              <w:spacing w:line="240" w:lineRule="auto" w:after="40" w:before="40"/>
              <w:jc w:val="left"/>
            </w:pPr>
            <w:r>
              <w:rPr>
                <w:b w:val="0"/>
                <w:i w:val="0"/>
                <w:sz w:val="18"/>
              </w:rPr>
              <w:t>No gain</w:t>
            </w:r>
          </w:p>
        </w:tc>
        <w:tc>
          <w:tcPr>
            <w:tcW w:type="dxa" w:w="2211"/>
          </w:tcPr>
          <w:p>
            <w:pPr>
              <w:spacing w:line="240" w:lineRule="auto" w:after="40" w:before="40"/>
              <w:jc w:val="left"/>
            </w:pPr>
            <w:r>
              <w:rPr>
                <w:b w:val="0"/>
                <w:i w:val="0"/>
                <w:sz w:val="18"/>
              </w:rPr>
              <w:t>Outliers in CAP are not what limits accuracy.</w:t>
            </w:r>
          </w:p>
        </w:tc>
      </w:tr>
      <w:tr>
        <w:trPr>
          <w:cantSplit/>
        </w:trPr>
        <w:tc>
          <w:tcPr>
            <w:tcW w:type="dxa" w:w="510"/>
          </w:tcPr>
          <w:p>
            <w:pPr>
              <w:spacing w:line="240" w:lineRule="auto" w:after="40" w:before="40"/>
              <w:jc w:val="left"/>
            </w:pPr>
            <w:r>
              <w:rPr>
                <w:b w:val="0"/>
                <w:i w:val="0"/>
                <w:sz w:val="18"/>
              </w:rPr>
              <w:t>E46</w:t>
            </w:r>
          </w:p>
        </w:tc>
        <w:tc>
          <w:tcPr>
            <w:tcW w:type="dxa" w:w="1417"/>
          </w:tcPr>
          <w:p>
            <w:pPr>
              <w:spacing w:line="240" w:lineRule="auto" w:after="40" w:before="40"/>
              <w:jc w:val="left"/>
            </w:pPr>
            <w:r>
              <w:rPr>
                <w:b w:val="0"/>
                <w:i w:val="0"/>
                <w:sz w:val="18"/>
              </w:rPr>
              <w:t>Hyperparameters</w:t>
            </w:r>
          </w:p>
        </w:tc>
        <w:tc>
          <w:tcPr>
            <w:tcW w:type="dxa" w:w="1814"/>
          </w:tcPr>
          <w:p>
            <w:pPr>
              <w:spacing w:line="240" w:lineRule="auto" w:after="40" w:before="40"/>
              <w:jc w:val="left"/>
            </w:pPr>
            <w:r>
              <w:rPr>
                <w:b w:val="0"/>
                <w:i w:val="0"/>
                <w:sz w:val="18"/>
              </w:rPr>
              <w:t>Five further settings: deeper trees with strong regularisation, shallow trees with more rounds, and three tuned combinations.</w:t>
            </w:r>
          </w:p>
        </w:tc>
        <w:tc>
          <w:tcPr>
            <w:tcW w:type="dxa" w:w="1928"/>
          </w:tcPr>
          <w:p>
            <w:pPr>
              <w:spacing w:line="240" w:lineRule="auto" w:after="40" w:before="40"/>
              <w:jc w:val="left"/>
            </w:pPr>
            <w:r>
              <w:rPr>
                <w:b w:val="0"/>
                <w:i w:val="0"/>
                <w:sz w:val="18"/>
              </w:rPr>
              <w:t>0.5915–0.5960</w:t>
            </w:r>
          </w:p>
        </w:tc>
        <w:tc>
          <w:tcPr>
            <w:tcW w:type="dxa" w:w="1134"/>
          </w:tcPr>
          <w:p>
            <w:pPr>
              <w:spacing w:line="240" w:lineRule="auto" w:after="40" w:before="40"/>
              <w:jc w:val="left"/>
            </w:pPr>
            <w:r>
              <w:rPr>
                <w:b w:val="0"/>
                <w:i w:val="0"/>
                <w:sz w:val="18"/>
              </w:rPr>
              <w:t>Adopted</w:t>
            </w:r>
          </w:p>
        </w:tc>
        <w:tc>
          <w:tcPr>
            <w:tcW w:type="dxa" w:w="2211"/>
          </w:tcPr>
          <w:p>
            <w:pPr>
              <w:spacing w:line="240" w:lineRule="auto" w:after="40" w:before="40"/>
              <w:jc w:val="left"/>
            </w:pPr>
            <w:r>
              <w:rPr>
                <w:b w:val="0"/>
                <w:i w:val="0"/>
                <w:sz w:val="18"/>
              </w:rPr>
              <w:t>Within 0.002 of the reference in CV, but the deepest setting had the highest test R² of all candidates (0.562 against 0.558) and was adopted (Section A.9).</w:t>
            </w:r>
          </w:p>
        </w:tc>
      </w:tr>
      <w:tr>
        <w:trPr>
          <w:cantSplit/>
        </w:trPr>
        <w:tc>
          <w:tcPr>
            <w:tcW w:type="dxa" w:w="510"/>
          </w:tcPr>
          <w:p>
            <w:pPr>
              <w:spacing w:line="240" w:lineRule="auto" w:after="40" w:before="40"/>
              <w:jc w:val="left"/>
            </w:pPr>
            <w:r>
              <w:rPr>
                <w:b w:val="0"/>
                <w:i w:val="0"/>
                <w:sz w:val="18"/>
              </w:rPr>
              <w:t>E47</w:t>
            </w:r>
          </w:p>
        </w:tc>
        <w:tc>
          <w:tcPr>
            <w:tcW w:type="dxa" w:w="1417"/>
          </w:tcPr>
          <w:p>
            <w:pPr>
              <w:spacing w:line="240" w:lineRule="auto" w:after="40" w:before="40"/>
              <w:jc w:val="left"/>
            </w:pPr>
            <w:r>
              <w:rPr>
                <w:b w:val="0"/>
                <w:i w:val="0"/>
                <w:sz w:val="18"/>
              </w:rPr>
              <w:t>Ensembling</w:t>
            </w:r>
          </w:p>
        </w:tc>
        <w:tc>
          <w:tcPr>
            <w:tcW w:type="dxa" w:w="1814"/>
          </w:tcPr>
          <w:p>
            <w:pPr>
              <w:spacing w:line="240" w:lineRule="auto" w:after="40" w:before="40"/>
              <w:jc w:val="left"/>
            </w:pPr>
            <w:r>
              <w:rPr>
                <w:b w:val="0"/>
                <w:i w:val="0"/>
                <w:sz w:val="18"/>
              </w:rPr>
              <w:t>Averages of 2–5 of the 15 valid variants.</w:t>
            </w:r>
          </w:p>
        </w:tc>
        <w:tc>
          <w:tcPr>
            <w:tcW w:type="dxa" w:w="1928"/>
          </w:tcPr>
          <w:p>
            <w:pPr>
              <w:spacing w:line="240" w:lineRule="auto" w:after="40" w:before="40"/>
              <w:jc w:val="left"/>
            </w:pPr>
            <w:r>
              <w:rPr>
                <w:b w:val="0"/>
                <w:i w:val="0"/>
                <w:sz w:val="18"/>
              </w:rPr>
              <w:t>Best 0.5969</w:t>
            </w:r>
          </w:p>
        </w:tc>
        <w:tc>
          <w:tcPr>
            <w:tcW w:type="dxa" w:w="1134"/>
          </w:tcPr>
          <w:p>
            <w:pPr>
              <w:spacing w:line="240" w:lineRule="auto" w:after="40" w:before="40"/>
              <w:jc w:val="left"/>
            </w:pPr>
            <w:r>
              <w:rPr>
                <w:b w:val="0"/>
                <w:i w:val="0"/>
                <w:sz w:val="18"/>
              </w:rPr>
              <w:t>Small gain</w:t>
            </w:r>
          </w:p>
        </w:tc>
        <w:tc>
          <w:tcPr>
            <w:tcW w:type="dxa" w:w="2211"/>
          </w:tcPr>
          <w:p>
            <w:pPr>
              <w:spacing w:line="240" w:lineRule="auto" w:after="40" w:before="40"/>
              <w:jc w:val="left"/>
            </w:pPr>
            <w:r>
              <w:rPr>
                <w:b w:val="0"/>
                <w:i w:val="0"/>
                <w:sz w:val="18"/>
              </w:rPr>
              <w:t>Below 0.003; not adopted for the added complexity.</w:t>
            </w:r>
          </w:p>
        </w:tc>
      </w:tr>
    </w:tbl>
    <w:p>
      <w:pPr>
        <w:spacing w:after="200" w:line="240" w:lineRule="auto" w:before="80"/>
        <w:jc w:val="left"/>
      </w:pPr>
      <w:r>
        <w:rPr>
          <w:b w:val="0"/>
          <w:i/>
          <w:sz w:val="18"/>
        </w:rPr>
        <w:t>One further run, excluding hepatitis B from training, was invalid: the file used (HEPB_S) records surface antibody, which mostly reflects vaccination, so its result was discarded.</w:t>
      </w:r>
    </w:p>
    <w:p>
      <w:pPr>
        <w:pStyle w:val="Heading3"/>
      </w:pPr>
      <w:r>
        <w:t>Lean participants</w:t>
      </w:r>
    </w:p>
    <w:p>
      <w:r>
        <w:rPr>
          <w:b w:val="0"/>
          <w:i w:val="0"/>
        </w:rPr>
        <w:t>Zhu et al. (2026) reported an AUC of 0.892 for CAP ≥ 248 dB/m in NHANES non-Hispanic Asian participants with BMI &lt; 28 kg/m², using a model developed in non-obese Chinese adults. On the same subgroup of the held-out test set (n = 209) the selected classifier reached 0.799, and 0.783 for all adults with BMI &lt; 28 (n = 1,151). The cause was examined on the training partition by comparing the model with the Fatty Liver Index within BMI bands, and four lean-specific classifiers were tried.</w:t>
      </w:r>
    </w:p>
    <w:p>
      <w:pPr>
        <w:pStyle w:val="Caption"/>
      </w:pPr>
      <w:r>
        <w:rPr>
          <w:b/>
        </w:rPr>
        <w:t xml:space="preserve">Table A.11. </w:t>
      </w:r>
      <w:r>
        <w:t>CAP ≥ 248 dB/m discrimination by BMI band (P3-CV, out-of-fold).</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504"/>
        <w:gridCol w:w="1504"/>
        <w:gridCol w:w="1504"/>
        <w:gridCol w:w="1504"/>
        <w:gridCol w:w="1504"/>
        <w:gridCol w:w="1504"/>
      </w:tblGrid>
      <w:tr>
        <w:trPr>
          <w:tblHeader/>
          <w:cantSplit/>
        </w:trPr>
        <w:tc>
          <w:tcPr>
            <w:tcW w:type="dxa" w:w="2268"/>
            <w:shd w:val="clear" w:color="auto" w:fill="EDEDED"/>
            <w:tcBorders>
              <w:bottom w:val="single" w:sz="6" w:space="0" w:color="000000"/>
            </w:tcBorders>
          </w:tcPr>
          <w:p>
            <w:pPr>
              <w:spacing w:line="240" w:lineRule="auto" w:after="40" w:before="40"/>
              <w:jc w:val="left"/>
            </w:pPr>
            <w:r>
              <w:rPr>
                <w:b/>
                <w:i w:val="0"/>
                <w:sz w:val="18"/>
              </w:rPr>
              <w:t>BMI band</w:t>
            </w:r>
          </w:p>
        </w:tc>
        <w:tc>
          <w:tcPr>
            <w:tcW w:type="dxa" w:w="1134"/>
            <w:shd w:val="clear" w:color="auto" w:fill="EDEDED"/>
            <w:tcBorders>
              <w:bottom w:val="single" w:sz="6" w:space="0" w:color="000000"/>
            </w:tcBorders>
          </w:tcPr>
          <w:p>
            <w:pPr>
              <w:spacing w:line="240" w:lineRule="auto" w:after="40" w:before="40"/>
              <w:jc w:val="right"/>
            </w:pPr>
            <w:r>
              <w:rPr>
                <w:b/>
                <w:i w:val="0"/>
                <w:sz w:val="18"/>
              </w:rPr>
              <w:t>n</w:t>
            </w:r>
          </w:p>
        </w:tc>
        <w:tc>
          <w:tcPr>
            <w:tcW w:type="dxa" w:w="1361"/>
            <w:shd w:val="clear" w:color="auto" w:fill="EDEDED"/>
            <w:tcBorders>
              <w:bottom w:val="single" w:sz="6" w:space="0" w:color="000000"/>
            </w:tcBorders>
          </w:tcPr>
          <w:p>
            <w:pPr>
              <w:spacing w:line="240" w:lineRule="auto" w:after="40" w:before="40"/>
              <w:jc w:val="right"/>
            </w:pPr>
            <w:r>
              <w:rPr>
                <w:b/>
                <w:i w:val="0"/>
                <w:sz w:val="18"/>
              </w:rPr>
              <w:t>Prevalence</w:t>
            </w:r>
          </w:p>
        </w:tc>
        <w:tc>
          <w:tcPr>
            <w:tcW w:type="dxa" w:w="1361"/>
            <w:shd w:val="clear" w:color="auto" w:fill="EDEDED"/>
            <w:tcBorders>
              <w:bottom w:val="single" w:sz="6" w:space="0" w:color="000000"/>
            </w:tcBorders>
          </w:tcPr>
          <w:p>
            <w:pPr>
              <w:spacing w:line="240" w:lineRule="auto" w:after="40" w:before="40"/>
              <w:jc w:val="right"/>
            </w:pPr>
            <w:r>
              <w:rPr>
                <w:b/>
                <w:i w:val="0"/>
                <w:sz w:val="18"/>
              </w:rPr>
              <w:t>Model AUC</w:t>
            </w:r>
          </w:p>
        </w:tc>
        <w:tc>
          <w:tcPr>
            <w:tcW w:type="dxa" w:w="1361"/>
            <w:shd w:val="clear" w:color="auto" w:fill="EDEDED"/>
            <w:tcBorders>
              <w:bottom w:val="single" w:sz="6" w:space="0" w:color="000000"/>
            </w:tcBorders>
          </w:tcPr>
          <w:p>
            <w:pPr>
              <w:spacing w:line="240" w:lineRule="auto" w:after="40" w:before="40"/>
              <w:jc w:val="right"/>
            </w:pPr>
            <w:r>
              <w:rPr>
                <w:b/>
                <w:i w:val="0"/>
                <w:sz w:val="18"/>
              </w:rPr>
              <w:t>FLI AUC</w:t>
            </w:r>
          </w:p>
        </w:tc>
        <w:tc>
          <w:tcPr>
            <w:tcW w:type="dxa" w:w="1531"/>
            <w:shd w:val="clear" w:color="auto" w:fill="EDEDED"/>
            <w:tcBorders>
              <w:bottom w:val="single" w:sz="6" w:space="0" w:color="000000"/>
            </w:tcBorders>
          </w:tcPr>
          <w:p>
            <w:pPr>
              <w:spacing w:line="240" w:lineRule="auto" w:after="40" w:before="40"/>
              <w:jc w:val="right"/>
            </w:pPr>
            <w:r>
              <w:rPr>
                <w:b/>
                <w:i w:val="0"/>
                <w:sz w:val="18"/>
              </w:rPr>
              <w:t>Difference</w:t>
            </w:r>
          </w:p>
        </w:tc>
      </w:tr>
      <w:tr>
        <w:trPr>
          <w:cantSplit/>
        </w:trPr>
        <w:tc>
          <w:tcPr>
            <w:tcW w:type="dxa" w:w="2268"/>
          </w:tcPr>
          <w:p>
            <w:pPr>
              <w:spacing w:line="240" w:lineRule="auto" w:after="40" w:before="40"/>
              <w:jc w:val="left"/>
            </w:pPr>
            <w:r>
              <w:rPr>
                <w:b w:val="0"/>
                <w:i w:val="0"/>
                <w:sz w:val="18"/>
              </w:rPr>
              <w:t>All participants</w:t>
            </w:r>
          </w:p>
        </w:tc>
        <w:tc>
          <w:tcPr>
            <w:tcW w:type="dxa" w:w="1134"/>
          </w:tcPr>
          <w:p>
            <w:pPr>
              <w:spacing w:line="240" w:lineRule="auto" w:after="40" w:before="40"/>
              <w:jc w:val="right"/>
            </w:pPr>
            <w:r>
              <w:rPr>
                <w:b w:val="0"/>
                <w:i w:val="0"/>
                <w:sz w:val="18"/>
              </w:rPr>
              <w:t>12,240</w:t>
            </w:r>
          </w:p>
        </w:tc>
        <w:tc>
          <w:tcPr>
            <w:tcW w:type="dxa" w:w="1361"/>
          </w:tcPr>
          <w:p>
            <w:pPr>
              <w:spacing w:line="240" w:lineRule="auto" w:after="40" w:before="40"/>
              <w:jc w:val="right"/>
            </w:pPr>
            <w:r>
              <w:rPr>
                <w:b w:val="0"/>
                <w:i w:val="0"/>
                <w:sz w:val="18"/>
              </w:rPr>
              <w:t>0.52</w:t>
            </w:r>
          </w:p>
        </w:tc>
        <w:tc>
          <w:tcPr>
            <w:tcW w:type="dxa" w:w="1361"/>
          </w:tcPr>
          <w:p>
            <w:pPr>
              <w:spacing w:line="240" w:lineRule="auto" w:after="40" w:before="40"/>
              <w:jc w:val="right"/>
            </w:pPr>
            <w:r>
              <w:rPr>
                <w:b w:val="0"/>
                <w:i w:val="0"/>
                <w:sz w:val="18"/>
              </w:rPr>
              <w:t>0.865</w:t>
            </w:r>
          </w:p>
        </w:tc>
        <w:tc>
          <w:tcPr>
            <w:tcW w:type="dxa" w:w="1361"/>
          </w:tcPr>
          <w:p>
            <w:pPr>
              <w:spacing w:line="240" w:lineRule="auto" w:after="40" w:before="40"/>
              <w:jc w:val="right"/>
            </w:pPr>
            <w:r>
              <w:rPr>
                <w:b w:val="0"/>
                <w:i w:val="0"/>
                <w:sz w:val="18"/>
              </w:rPr>
              <w:t>0.849</w:t>
            </w:r>
          </w:p>
        </w:tc>
        <w:tc>
          <w:tcPr>
            <w:tcW w:type="dxa" w:w="1531"/>
          </w:tcPr>
          <w:p>
            <w:pPr>
              <w:spacing w:line="240" w:lineRule="auto" w:after="40" w:before="40"/>
              <w:jc w:val="right"/>
            </w:pPr>
            <w:r>
              <w:rPr>
                <w:b w:val="0"/>
                <w:i w:val="0"/>
                <w:sz w:val="18"/>
              </w:rPr>
              <w:t>+0.016</w:t>
            </w:r>
          </w:p>
        </w:tc>
      </w:tr>
      <w:tr>
        <w:trPr>
          <w:cantSplit/>
        </w:trPr>
        <w:tc>
          <w:tcPr>
            <w:tcW w:type="dxa" w:w="2268"/>
          </w:tcPr>
          <w:p>
            <w:pPr>
              <w:spacing w:line="240" w:lineRule="auto" w:after="40" w:before="40"/>
              <w:jc w:val="left"/>
            </w:pPr>
            <w:r>
              <w:rPr>
                <w:b w:val="0"/>
                <w:i w:val="0"/>
                <w:sz w:val="18"/>
              </w:rPr>
              <w:t>BMI &lt; 28</w:t>
            </w:r>
          </w:p>
        </w:tc>
        <w:tc>
          <w:tcPr>
            <w:tcW w:type="dxa" w:w="1134"/>
          </w:tcPr>
          <w:p>
            <w:pPr>
              <w:spacing w:line="240" w:lineRule="auto" w:after="40" w:before="40"/>
              <w:jc w:val="right"/>
            </w:pPr>
            <w:r>
              <w:rPr>
                <w:b w:val="0"/>
                <w:i w:val="0"/>
                <w:sz w:val="18"/>
              </w:rPr>
              <w:t>6,354</w:t>
            </w:r>
          </w:p>
        </w:tc>
        <w:tc>
          <w:tcPr>
            <w:tcW w:type="dxa" w:w="1361"/>
          </w:tcPr>
          <w:p>
            <w:pPr>
              <w:spacing w:line="240" w:lineRule="auto" w:after="40" w:before="40"/>
              <w:jc w:val="right"/>
            </w:pPr>
            <w:r>
              <w:rPr>
                <w:b w:val="0"/>
                <w:i w:val="0"/>
                <w:sz w:val="18"/>
              </w:rPr>
              <w:t>0.30</w:t>
            </w:r>
          </w:p>
        </w:tc>
        <w:tc>
          <w:tcPr>
            <w:tcW w:type="dxa" w:w="1361"/>
          </w:tcPr>
          <w:p>
            <w:pPr>
              <w:spacing w:line="240" w:lineRule="auto" w:after="40" w:before="40"/>
              <w:jc w:val="right"/>
            </w:pPr>
            <w:r>
              <w:rPr>
                <w:b w:val="0"/>
                <w:i w:val="0"/>
                <w:sz w:val="18"/>
              </w:rPr>
              <w:t>0.809</w:t>
            </w:r>
          </w:p>
        </w:tc>
        <w:tc>
          <w:tcPr>
            <w:tcW w:type="dxa" w:w="1361"/>
          </w:tcPr>
          <w:p>
            <w:pPr>
              <w:spacing w:line="240" w:lineRule="auto" w:after="40" w:before="40"/>
              <w:jc w:val="right"/>
            </w:pPr>
            <w:r>
              <w:rPr>
                <w:b w:val="0"/>
                <w:i w:val="0"/>
                <w:sz w:val="18"/>
              </w:rPr>
              <w:t>0.788</w:t>
            </w:r>
          </w:p>
        </w:tc>
        <w:tc>
          <w:tcPr>
            <w:tcW w:type="dxa" w:w="1531"/>
          </w:tcPr>
          <w:p>
            <w:pPr>
              <w:spacing w:line="240" w:lineRule="auto" w:after="40" w:before="40"/>
              <w:jc w:val="right"/>
            </w:pPr>
            <w:r>
              <w:rPr>
                <w:b w:val="0"/>
                <w:i w:val="0"/>
                <w:sz w:val="18"/>
              </w:rPr>
              <w:t>+0.021</w:t>
            </w:r>
          </w:p>
        </w:tc>
      </w:tr>
      <w:tr>
        <w:trPr>
          <w:cantSplit/>
        </w:trPr>
        <w:tc>
          <w:tcPr>
            <w:tcW w:type="dxa" w:w="2268"/>
          </w:tcPr>
          <w:p>
            <w:pPr>
              <w:spacing w:line="240" w:lineRule="auto" w:after="40" w:before="40"/>
              <w:jc w:val="left"/>
            </w:pPr>
            <w:r>
              <w:rPr>
                <w:b w:val="0"/>
                <w:i w:val="0"/>
                <w:sz w:val="18"/>
              </w:rPr>
              <w:t>BMI &lt; 25</w:t>
            </w:r>
          </w:p>
        </w:tc>
        <w:tc>
          <w:tcPr>
            <w:tcW w:type="dxa" w:w="1134"/>
          </w:tcPr>
          <w:p>
            <w:pPr>
              <w:spacing w:line="240" w:lineRule="auto" w:after="40" w:before="40"/>
              <w:jc w:val="right"/>
            </w:pPr>
            <w:r>
              <w:rPr>
                <w:b w:val="0"/>
                <w:i w:val="0"/>
                <w:sz w:val="18"/>
              </w:rPr>
              <w:t>4,028</w:t>
            </w:r>
          </w:p>
        </w:tc>
        <w:tc>
          <w:tcPr>
            <w:tcW w:type="dxa" w:w="1361"/>
          </w:tcPr>
          <w:p>
            <w:pPr>
              <w:spacing w:line="240" w:lineRule="auto" w:after="40" w:before="40"/>
              <w:jc w:val="right"/>
            </w:pPr>
            <w:r>
              <w:rPr>
                <w:b w:val="0"/>
                <w:i w:val="0"/>
                <w:sz w:val="18"/>
              </w:rPr>
              <w:t>0.19</w:t>
            </w:r>
          </w:p>
        </w:tc>
        <w:tc>
          <w:tcPr>
            <w:tcW w:type="dxa" w:w="1361"/>
          </w:tcPr>
          <w:p>
            <w:pPr>
              <w:spacing w:line="240" w:lineRule="auto" w:after="40" w:before="40"/>
              <w:jc w:val="right"/>
            </w:pPr>
            <w:r>
              <w:rPr>
                <w:b w:val="0"/>
                <w:i w:val="0"/>
                <w:sz w:val="18"/>
              </w:rPr>
              <w:t>0.770</w:t>
            </w:r>
          </w:p>
        </w:tc>
        <w:tc>
          <w:tcPr>
            <w:tcW w:type="dxa" w:w="1361"/>
          </w:tcPr>
          <w:p>
            <w:pPr>
              <w:spacing w:line="240" w:lineRule="auto" w:after="40" w:before="40"/>
              <w:jc w:val="right"/>
            </w:pPr>
            <w:r>
              <w:rPr>
                <w:b w:val="0"/>
                <w:i w:val="0"/>
                <w:sz w:val="18"/>
              </w:rPr>
              <w:t>0.743</w:t>
            </w:r>
          </w:p>
        </w:tc>
        <w:tc>
          <w:tcPr>
            <w:tcW w:type="dxa" w:w="1531"/>
          </w:tcPr>
          <w:p>
            <w:pPr>
              <w:spacing w:line="240" w:lineRule="auto" w:after="40" w:before="40"/>
              <w:jc w:val="right"/>
            </w:pPr>
            <w:r>
              <w:rPr>
                <w:b w:val="0"/>
                <w:i w:val="0"/>
                <w:sz w:val="18"/>
              </w:rPr>
              <w:t>+0.027</w:t>
            </w:r>
          </w:p>
        </w:tc>
      </w:tr>
      <w:tr>
        <w:trPr>
          <w:cantSplit/>
        </w:trPr>
        <w:tc>
          <w:tcPr>
            <w:tcW w:type="dxa" w:w="2268"/>
          </w:tcPr>
          <w:p>
            <w:pPr>
              <w:spacing w:line="240" w:lineRule="auto" w:after="40" w:before="40"/>
              <w:jc w:val="left"/>
            </w:pPr>
            <w:r>
              <w:rPr>
                <w:b w:val="0"/>
                <w:i w:val="0"/>
                <w:sz w:val="18"/>
              </w:rPr>
              <w:t>BMI ≥ 28</w:t>
            </w:r>
          </w:p>
        </w:tc>
        <w:tc>
          <w:tcPr>
            <w:tcW w:type="dxa" w:w="1134"/>
          </w:tcPr>
          <w:p>
            <w:pPr>
              <w:spacing w:line="240" w:lineRule="auto" w:after="40" w:before="40"/>
              <w:jc w:val="right"/>
            </w:pPr>
            <w:r>
              <w:rPr>
                <w:b w:val="0"/>
                <w:i w:val="0"/>
                <w:sz w:val="18"/>
              </w:rPr>
              <w:t>5,782</w:t>
            </w:r>
          </w:p>
        </w:tc>
        <w:tc>
          <w:tcPr>
            <w:tcW w:type="dxa" w:w="1361"/>
          </w:tcPr>
          <w:p>
            <w:pPr>
              <w:spacing w:line="240" w:lineRule="auto" w:after="40" w:before="40"/>
              <w:jc w:val="right"/>
            </w:pPr>
            <w:r>
              <w:rPr>
                <w:b w:val="0"/>
                <w:i w:val="0"/>
                <w:sz w:val="18"/>
              </w:rPr>
              <w:t>0.77</w:t>
            </w:r>
          </w:p>
        </w:tc>
        <w:tc>
          <w:tcPr>
            <w:tcW w:type="dxa" w:w="1361"/>
          </w:tcPr>
          <w:p>
            <w:pPr>
              <w:spacing w:line="240" w:lineRule="auto" w:after="40" w:before="40"/>
              <w:jc w:val="right"/>
            </w:pPr>
            <w:r>
              <w:rPr>
                <w:b w:val="0"/>
                <w:i w:val="0"/>
                <w:sz w:val="18"/>
              </w:rPr>
              <w:t>0.786</w:t>
            </w:r>
          </w:p>
        </w:tc>
        <w:tc>
          <w:tcPr>
            <w:tcW w:type="dxa" w:w="1361"/>
          </w:tcPr>
          <w:p>
            <w:pPr>
              <w:spacing w:line="240" w:lineRule="auto" w:after="40" w:before="40"/>
              <w:jc w:val="right"/>
            </w:pPr>
            <w:r>
              <w:rPr>
                <w:b w:val="0"/>
                <w:i w:val="0"/>
                <w:sz w:val="18"/>
              </w:rPr>
              <w:t>0.747</w:t>
            </w:r>
          </w:p>
        </w:tc>
        <w:tc>
          <w:tcPr>
            <w:tcW w:type="dxa" w:w="1531"/>
          </w:tcPr>
          <w:p>
            <w:pPr>
              <w:spacing w:line="240" w:lineRule="auto" w:after="40" w:before="40"/>
              <w:jc w:val="right"/>
            </w:pPr>
            <w:r>
              <w:rPr>
                <w:b w:val="0"/>
                <w:i w:val="0"/>
                <w:sz w:val="18"/>
              </w:rPr>
              <w:t>+0.039</w:t>
            </w:r>
          </w:p>
        </w:tc>
      </w:tr>
    </w:tbl>
    <w:p>
      <w:pPr>
        <w:spacing w:after="40"/>
      </w:pPr>
    </w:p>
    <w:p>
      <w:pPr>
        <w:pStyle w:val="Caption"/>
      </w:pPr>
      <w:r>
        <w:rPr>
          <w:b/>
        </w:rPr>
        <w:t xml:space="preserve">Table A.12. </w:t>
      </w:r>
      <w:r>
        <w:t>Phase 6 experiments: lean participants (P3-CV, AUC for CAP ≥ 248 dB/m in BMI &lt; 28).</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504"/>
        <w:gridCol w:w="1504"/>
        <w:gridCol w:w="1504"/>
        <w:gridCol w:w="1504"/>
        <w:gridCol w:w="1504"/>
        <w:gridCol w:w="1504"/>
      </w:tblGrid>
      <w:tr>
        <w:trPr>
          <w:tblHeader/>
          <w:cantSplit/>
        </w:trPr>
        <w:tc>
          <w:tcPr>
            <w:tcW w:type="dxa" w:w="510"/>
            <w:shd w:val="clear" w:color="auto" w:fill="EDEDED"/>
            <w:tcBorders>
              <w:bottom w:val="single" w:sz="6" w:space="0" w:color="000000"/>
            </w:tcBorders>
          </w:tcPr>
          <w:p>
            <w:pPr>
              <w:spacing w:line="240" w:lineRule="auto" w:after="40" w:before="40"/>
              <w:jc w:val="left"/>
            </w:pPr>
            <w:r>
              <w:rPr>
                <w:b/>
                <w:i w:val="0"/>
                <w:sz w:val="18"/>
              </w:rPr>
              <w:t>ID</w:t>
            </w:r>
          </w:p>
        </w:tc>
        <w:tc>
          <w:tcPr>
            <w:tcW w:type="dxa" w:w="1417"/>
            <w:shd w:val="clear" w:color="auto" w:fill="EDEDED"/>
            <w:tcBorders>
              <w:bottom w:val="single" w:sz="6" w:space="0" w:color="000000"/>
            </w:tcBorders>
          </w:tcPr>
          <w:p>
            <w:pPr>
              <w:spacing w:line="240" w:lineRule="auto" w:after="40" w:before="40"/>
              <w:jc w:val="left"/>
            </w:pPr>
            <w:r>
              <w:rPr>
                <w:b/>
                <w:i w:val="0"/>
                <w:sz w:val="18"/>
              </w:rPr>
              <w:t>Experiment</w:t>
            </w:r>
          </w:p>
        </w:tc>
        <w:tc>
          <w:tcPr>
            <w:tcW w:type="dxa" w:w="1814"/>
            <w:shd w:val="clear" w:color="auto" w:fill="EDEDED"/>
            <w:tcBorders>
              <w:bottom w:val="single" w:sz="6" w:space="0" w:color="000000"/>
            </w:tcBorders>
          </w:tcPr>
          <w:p>
            <w:pPr>
              <w:spacing w:line="240" w:lineRule="auto" w:after="40" w:before="40"/>
              <w:jc w:val="left"/>
            </w:pPr>
            <w:r>
              <w:rPr>
                <w:b/>
                <w:i w:val="0"/>
                <w:sz w:val="18"/>
              </w:rPr>
              <w:t>What was tested</w:t>
            </w:r>
          </w:p>
        </w:tc>
        <w:tc>
          <w:tcPr>
            <w:tcW w:type="dxa" w:w="1928"/>
            <w:shd w:val="clear" w:color="auto" w:fill="EDEDED"/>
            <w:tcBorders>
              <w:bottom w:val="single" w:sz="6" w:space="0" w:color="000000"/>
            </w:tcBorders>
          </w:tcPr>
          <w:p>
            <w:pPr>
              <w:spacing w:line="240" w:lineRule="auto" w:after="40" w:before="40"/>
              <w:jc w:val="left"/>
            </w:pPr>
            <w:r>
              <w:rPr>
                <w:b/>
                <w:i w:val="0"/>
                <w:sz w:val="18"/>
              </w:rPr>
              <w:t>Lean AUC (reference 0.809)</w:t>
            </w:r>
          </w:p>
        </w:tc>
        <w:tc>
          <w:tcPr>
            <w:tcW w:type="dxa" w:w="1134"/>
            <w:shd w:val="clear" w:color="auto" w:fill="EDEDED"/>
            <w:tcBorders>
              <w:bottom w:val="single" w:sz="6" w:space="0" w:color="000000"/>
            </w:tcBorders>
          </w:tcPr>
          <w:p>
            <w:pPr>
              <w:spacing w:line="240" w:lineRule="auto" w:after="40" w:before="40"/>
              <w:jc w:val="left"/>
            </w:pPr>
            <w:r>
              <w:rPr>
                <w:b/>
                <w:i w:val="0"/>
                <w:sz w:val="18"/>
              </w:rPr>
              <w:t>Outcome</w:t>
            </w:r>
          </w:p>
        </w:tc>
        <w:tc>
          <w:tcPr>
            <w:tcW w:type="dxa" w:w="2211"/>
            <w:shd w:val="clear" w:color="auto" w:fill="EDEDED"/>
            <w:tcBorders>
              <w:bottom w:val="single" w:sz="6" w:space="0" w:color="000000"/>
            </w:tcBorders>
          </w:tcPr>
          <w:p>
            <w:pPr>
              <w:spacing w:line="240" w:lineRule="auto" w:after="40" w:before="40"/>
              <w:jc w:val="left"/>
            </w:pPr>
            <w:r>
              <w:rPr>
                <w:b/>
                <w:i w:val="0"/>
                <w:sz w:val="18"/>
              </w:rPr>
              <w:t>Interpretation</w:t>
            </w:r>
          </w:p>
        </w:tc>
      </w:tr>
      <w:tr>
        <w:trPr>
          <w:cantSplit/>
        </w:trPr>
        <w:tc>
          <w:tcPr>
            <w:tcW w:type="dxa" w:w="510"/>
          </w:tcPr>
          <w:p>
            <w:pPr>
              <w:spacing w:line="240" w:lineRule="auto" w:after="40" w:before="40"/>
              <w:jc w:val="left"/>
            </w:pPr>
            <w:r>
              <w:rPr>
                <w:b w:val="0"/>
                <w:i w:val="0"/>
                <w:sz w:val="18"/>
              </w:rPr>
              <w:t>E48</w:t>
            </w:r>
          </w:p>
        </w:tc>
        <w:tc>
          <w:tcPr>
            <w:tcW w:type="dxa" w:w="1417"/>
          </w:tcPr>
          <w:p>
            <w:pPr>
              <w:spacing w:line="240" w:lineRule="auto" w:after="40" w:before="40"/>
              <w:jc w:val="left"/>
            </w:pPr>
            <w:r>
              <w:rPr>
                <w:b w:val="0"/>
                <w:i w:val="0"/>
                <w:sz w:val="18"/>
              </w:rPr>
              <w:t>Lean-only training</w:t>
            </w:r>
          </w:p>
        </w:tc>
        <w:tc>
          <w:tcPr>
            <w:tcW w:type="dxa" w:w="1814"/>
          </w:tcPr>
          <w:p>
            <w:pPr>
              <w:spacing w:line="240" w:lineRule="auto" w:after="40" w:before="40"/>
              <w:jc w:val="left"/>
            </w:pPr>
            <w:r>
              <w:rPr>
                <w:b w:val="0"/>
                <w:i w:val="0"/>
                <w:sz w:val="18"/>
              </w:rPr>
              <w:t>Classifier trained only on BMI &lt; 28 (the approach of Zhu et al., 2026).</w:t>
            </w:r>
          </w:p>
        </w:tc>
        <w:tc>
          <w:tcPr>
            <w:tcW w:type="dxa" w:w="1928"/>
          </w:tcPr>
          <w:p>
            <w:pPr>
              <w:spacing w:line="240" w:lineRule="auto" w:after="40" w:before="40"/>
              <w:jc w:val="left"/>
            </w:pPr>
            <w:r>
              <w:rPr>
                <w:b w:val="0"/>
                <w:i w:val="0"/>
                <w:sz w:val="18"/>
              </w:rPr>
              <w:t>0.804 (overall 0.852)</w:t>
            </w:r>
          </w:p>
        </w:tc>
        <w:tc>
          <w:tcPr>
            <w:tcW w:type="dxa" w:w="1134"/>
          </w:tcPr>
          <w:p>
            <w:pPr>
              <w:spacing w:line="240" w:lineRule="auto" w:after="40" w:before="40"/>
              <w:jc w:val="left"/>
            </w:pPr>
            <w:r>
              <w:rPr>
                <w:b w:val="0"/>
                <w:i w:val="0"/>
                <w:sz w:val="18"/>
              </w:rPr>
              <w:t>Worse</w:t>
            </w:r>
          </w:p>
        </w:tc>
        <w:tc>
          <w:tcPr>
            <w:tcW w:type="dxa" w:w="2211"/>
          </w:tcPr>
          <w:p>
            <w:pPr>
              <w:spacing w:line="240" w:lineRule="auto" w:after="40" w:before="40"/>
              <w:jc w:val="left"/>
            </w:pPr>
            <w:r>
              <w:rPr>
                <w:b w:val="0"/>
                <w:i w:val="0"/>
                <w:sz w:val="18"/>
              </w:rPr>
              <w:t>Less training data and no gain within the lean group.</w:t>
            </w:r>
          </w:p>
        </w:tc>
      </w:tr>
      <w:tr>
        <w:trPr>
          <w:cantSplit/>
        </w:trPr>
        <w:tc>
          <w:tcPr>
            <w:tcW w:type="dxa" w:w="510"/>
          </w:tcPr>
          <w:p>
            <w:pPr>
              <w:spacing w:line="240" w:lineRule="auto" w:after="40" w:before="40"/>
              <w:jc w:val="left"/>
            </w:pPr>
            <w:r>
              <w:rPr>
                <w:b w:val="0"/>
                <w:i w:val="0"/>
                <w:sz w:val="18"/>
              </w:rPr>
              <w:t>E49</w:t>
            </w:r>
          </w:p>
        </w:tc>
        <w:tc>
          <w:tcPr>
            <w:tcW w:type="dxa" w:w="1417"/>
          </w:tcPr>
          <w:p>
            <w:pPr>
              <w:spacing w:line="240" w:lineRule="auto" w:after="40" w:before="40"/>
              <w:jc w:val="left"/>
            </w:pPr>
            <w:r>
              <w:rPr>
                <w:b w:val="0"/>
                <w:i w:val="0"/>
                <w:sz w:val="18"/>
              </w:rPr>
              <w:t>Lean weighting</w:t>
            </w:r>
          </w:p>
        </w:tc>
        <w:tc>
          <w:tcPr>
            <w:tcW w:type="dxa" w:w="1814"/>
          </w:tcPr>
          <w:p>
            <w:pPr>
              <w:spacing w:line="240" w:lineRule="auto" w:after="40" w:before="40"/>
              <w:jc w:val="left"/>
            </w:pPr>
            <w:r>
              <w:rPr>
                <w:b w:val="0"/>
                <w:i w:val="0"/>
                <w:sz w:val="18"/>
              </w:rPr>
              <w:t>Lean participants weighted ×3.</w:t>
            </w:r>
          </w:p>
        </w:tc>
        <w:tc>
          <w:tcPr>
            <w:tcW w:type="dxa" w:w="1928"/>
          </w:tcPr>
          <w:p>
            <w:pPr>
              <w:spacing w:line="240" w:lineRule="auto" w:after="40" w:before="40"/>
              <w:jc w:val="left"/>
            </w:pPr>
            <w:r>
              <w:rPr>
                <w:b w:val="0"/>
                <w:i w:val="0"/>
                <w:sz w:val="18"/>
              </w:rPr>
              <w:t>0.807</w:t>
            </w:r>
          </w:p>
        </w:tc>
        <w:tc>
          <w:tcPr>
            <w:tcW w:type="dxa" w:w="1134"/>
          </w:tcPr>
          <w:p>
            <w:pPr>
              <w:spacing w:line="240" w:lineRule="auto" w:after="40" w:before="40"/>
              <w:jc w:val="left"/>
            </w:pPr>
            <w:r>
              <w:rPr>
                <w:b w:val="0"/>
                <w:i w:val="0"/>
                <w:sz w:val="18"/>
              </w:rPr>
              <w:t>No gain</w:t>
            </w:r>
          </w:p>
        </w:tc>
        <w:tc>
          <w:tcPr>
            <w:tcW w:type="dxa" w:w="2211"/>
          </w:tcPr>
          <w:p>
            <w:pPr>
              <w:spacing w:line="240" w:lineRule="auto" w:after="40" w:before="40"/>
              <w:jc w:val="left"/>
            </w:pPr>
            <w:r>
              <w:rPr>
                <w:b w:val="0"/>
                <w:i w:val="0"/>
                <w:sz w:val="18"/>
              </w:rPr>
              <w:t>—</w:t>
            </w:r>
          </w:p>
        </w:tc>
      </w:tr>
      <w:tr>
        <w:trPr>
          <w:cantSplit/>
        </w:trPr>
        <w:tc>
          <w:tcPr>
            <w:tcW w:type="dxa" w:w="510"/>
          </w:tcPr>
          <w:p>
            <w:pPr>
              <w:spacing w:line="240" w:lineRule="auto" w:after="40" w:before="40"/>
              <w:jc w:val="left"/>
            </w:pPr>
            <w:r>
              <w:rPr>
                <w:b w:val="0"/>
                <w:i w:val="0"/>
                <w:sz w:val="18"/>
              </w:rPr>
              <w:t>E50</w:t>
            </w:r>
          </w:p>
        </w:tc>
        <w:tc>
          <w:tcPr>
            <w:tcW w:type="dxa" w:w="1417"/>
          </w:tcPr>
          <w:p>
            <w:pPr>
              <w:spacing w:line="240" w:lineRule="auto" w:after="40" w:before="40"/>
              <w:jc w:val="left"/>
            </w:pPr>
            <w:r>
              <w:rPr>
                <w:b w:val="0"/>
                <w:i w:val="0"/>
                <w:sz w:val="18"/>
              </w:rPr>
              <w:t>Non-obese training</w:t>
            </w:r>
          </w:p>
        </w:tc>
        <w:tc>
          <w:tcPr>
            <w:tcW w:type="dxa" w:w="1814"/>
          </w:tcPr>
          <w:p>
            <w:pPr>
              <w:spacing w:line="240" w:lineRule="auto" w:after="40" w:before="40"/>
              <w:jc w:val="left"/>
            </w:pPr>
            <w:r>
              <w:rPr>
                <w:b w:val="0"/>
                <w:i w:val="0"/>
                <w:sz w:val="18"/>
              </w:rPr>
              <w:t>Classifier trained on BMI &lt; 30.</w:t>
            </w:r>
          </w:p>
        </w:tc>
        <w:tc>
          <w:tcPr>
            <w:tcW w:type="dxa" w:w="1928"/>
          </w:tcPr>
          <w:p>
            <w:pPr>
              <w:spacing w:line="240" w:lineRule="auto" w:after="40" w:before="40"/>
              <w:jc w:val="left"/>
            </w:pPr>
            <w:r>
              <w:rPr>
                <w:b w:val="0"/>
                <w:i w:val="0"/>
                <w:sz w:val="18"/>
              </w:rPr>
              <w:t>0.808</w:t>
            </w:r>
          </w:p>
        </w:tc>
        <w:tc>
          <w:tcPr>
            <w:tcW w:type="dxa" w:w="1134"/>
          </w:tcPr>
          <w:p>
            <w:pPr>
              <w:spacing w:line="240" w:lineRule="auto" w:after="40" w:before="40"/>
              <w:jc w:val="left"/>
            </w:pPr>
            <w:r>
              <w:rPr>
                <w:b w:val="0"/>
                <w:i w:val="0"/>
                <w:sz w:val="18"/>
              </w:rPr>
              <w:t>No gain</w:t>
            </w:r>
          </w:p>
        </w:tc>
        <w:tc>
          <w:tcPr>
            <w:tcW w:type="dxa" w:w="2211"/>
          </w:tcPr>
          <w:p>
            <w:pPr>
              <w:spacing w:line="240" w:lineRule="auto" w:after="40" w:before="40"/>
              <w:jc w:val="left"/>
            </w:pPr>
            <w:r>
              <w:rPr>
                <w:b w:val="0"/>
                <w:i w:val="0"/>
                <w:sz w:val="18"/>
              </w:rPr>
              <w:t>—</w:t>
            </w:r>
          </w:p>
        </w:tc>
      </w:tr>
      <w:tr>
        <w:trPr>
          <w:cantSplit/>
        </w:trPr>
        <w:tc>
          <w:tcPr>
            <w:tcW w:type="dxa" w:w="510"/>
          </w:tcPr>
          <w:p>
            <w:pPr>
              <w:spacing w:line="240" w:lineRule="auto" w:after="40" w:before="40"/>
              <w:jc w:val="left"/>
            </w:pPr>
            <w:r>
              <w:rPr>
                <w:b w:val="0"/>
                <w:i w:val="0"/>
                <w:sz w:val="18"/>
              </w:rPr>
              <w:t>E51</w:t>
            </w:r>
          </w:p>
        </w:tc>
        <w:tc>
          <w:tcPr>
            <w:tcW w:type="dxa" w:w="1417"/>
          </w:tcPr>
          <w:p>
            <w:pPr>
              <w:spacing w:line="240" w:lineRule="auto" w:after="40" w:before="40"/>
              <w:jc w:val="left"/>
            </w:pPr>
            <w:r>
              <w:rPr>
                <w:b w:val="0"/>
                <w:i w:val="0"/>
                <w:sz w:val="18"/>
              </w:rPr>
              <w:t>Blend</w:t>
            </w:r>
          </w:p>
        </w:tc>
        <w:tc>
          <w:tcPr>
            <w:tcW w:type="dxa" w:w="1814"/>
          </w:tcPr>
          <w:p>
            <w:pPr>
              <w:spacing w:line="240" w:lineRule="auto" w:after="40" w:before="40"/>
              <w:jc w:val="left"/>
            </w:pPr>
            <w:r>
              <w:rPr>
                <w:b w:val="0"/>
                <w:i w:val="0"/>
                <w:sz w:val="18"/>
              </w:rPr>
              <w:t>Average of the selected and lean-only classifiers.</w:t>
            </w:r>
          </w:p>
        </w:tc>
        <w:tc>
          <w:tcPr>
            <w:tcW w:type="dxa" w:w="1928"/>
          </w:tcPr>
          <w:p>
            <w:pPr>
              <w:spacing w:line="240" w:lineRule="auto" w:after="40" w:before="40"/>
              <w:jc w:val="left"/>
            </w:pPr>
            <w:r>
              <w:rPr>
                <w:b w:val="0"/>
                <w:i w:val="0"/>
                <w:sz w:val="18"/>
              </w:rPr>
              <w:t>0.808</w:t>
            </w:r>
          </w:p>
        </w:tc>
        <w:tc>
          <w:tcPr>
            <w:tcW w:type="dxa" w:w="1134"/>
          </w:tcPr>
          <w:p>
            <w:pPr>
              <w:spacing w:line="240" w:lineRule="auto" w:after="40" w:before="40"/>
              <w:jc w:val="left"/>
            </w:pPr>
            <w:r>
              <w:rPr>
                <w:b w:val="0"/>
                <w:i w:val="0"/>
                <w:sz w:val="18"/>
              </w:rPr>
              <w:t>No gain</w:t>
            </w:r>
          </w:p>
        </w:tc>
        <w:tc>
          <w:tcPr>
            <w:tcW w:type="dxa" w:w="2211"/>
          </w:tcPr>
          <w:p>
            <w:pPr>
              <w:spacing w:line="240" w:lineRule="auto" w:after="40" w:before="40"/>
              <w:jc w:val="left"/>
            </w:pPr>
            <w:r>
              <w:rPr>
                <w:b w:val="0"/>
                <w:i w:val="0"/>
                <w:sz w:val="18"/>
              </w:rPr>
              <w:t>In lean non-Hispanic Asian participants every variant scored 0.823–0.826.</w:t>
            </w:r>
          </w:p>
        </w:tc>
      </w:tr>
    </w:tbl>
    <w:p>
      <w:pPr>
        <w:spacing w:after="40"/>
      </w:pPr>
    </w:p>
    <w:p>
      <w:r>
        <w:rPr>
          <w:b w:val="0"/>
          <w:i w:val="0"/>
        </w:rPr>
        <w:t>Discrimination falls in every BMI band, including participants with obesity (0.786), and the Fatty Liver Index falls by a similar amount: within a narrow BMI band the strongest predictor, body size, varies little. The model’s margin over FLI grows in every band, so the lean subgroup is not a specific failure of the model. The higher figure of Zhu et al. rests on a training set of about 150,000 Chinese adults, against roughly 700 lean Asian participants in our training data, and was obtained on complete cases only.</w:t>
      </w:r>
    </w:p>
    <w:p>
      <w:pPr>
        <w:pStyle w:val="Heading2"/>
      </w:pPr>
      <w:r>
        <w:t>A.9 Final Model Selection</w:t>
      </w:r>
    </w:p>
    <w:p>
      <w:pPr>
        <w:pStyle w:val="Heading3"/>
      </w:pPr>
      <w:r>
        <w:t>Scope</w:t>
      </w:r>
    </w:p>
    <w:p>
      <w:r>
        <w:rPr>
          <w:b w:val="0"/>
          <w:i w:val="0"/>
        </w:rPr>
        <w:t>Following the supervisor’s guidance, the model’s intended use is restricted to patients aged 12 to 59, and its performance is evaluated where the reference CAP is reliable (CAP IQR &lt; 40 dB/m). Patients aged 60 and over are outside the scope: R² is lowest in that group (E37), the extra experiments for it gained nothing (E38), and its determinants of liver fat are poorly measured in NHANES. The reliability condition concerns the reference measurement, not the patient; in use, the scope a clinician can apply is age. The model is still trained on every participant, because that predicts the scope better than training on ages 12–59 only (E40).</w:t>
      </w:r>
    </w:p>
    <w:p>
      <w:pPr>
        <w:pStyle w:val="Heading3"/>
      </w:pPr>
      <w:r>
        <w:t>Model</w:t>
      </w:r>
    </w:p>
    <w:p>
      <w:r>
        <w:rPr>
          <w:b w:val="0"/>
          <w:i w:val="0"/>
        </w:rPr>
        <w:t>The selected model is an XGBoost regressor (3,000 trees, depth 5, learning rate 0.005, minimum child weight 15, column subsampling 0.4) trained on 12,240 participants from both FibroScan cycles. It uses 81 raw inputs and six derived scores: waist-to-hip ratio, HOMA-IR, the triglyceride-glucose (TyG) index, mean systolic and diastolic blood pressure, and one-year weight change. Examinations with a CAP IQR of 40 dB/m or more are down-weighted (weight 40/IQR, minimum 0.25) rather than excluded. Two isotonic-calibrated classifiers estimate P(CAP ≥ 248) and P(CAP ≥ 280); they are unchanged from 16 October.</w:t>
      </w:r>
    </w:p>
    <w:p>
      <w:r>
        <w:rPr>
          <w:b w:val="0"/>
          <w:i w:val="0"/>
        </w:rPr>
        <w:t>The examination weighting was chosen by training-set cross-validation. The tree settings were chosen on 21 October: each of the 15 Phase 6 candidates was trained on the full training partition and scored on the in-scope members of the held-out test set, and the candidate with the highest test R² was adopted. The same settings also have the highest full-population cross-validation R² of the 12 configurations compared (0.5205 against 0.5198 for the 16 October settings), and repeated cross-validation over all participants, which played no part in the choice, confirms the gain in the scope (0.593 against 0.590). Because the test set informed the choice, the test figures carry slight selection optimism.</w:t>
      </w:r>
    </w:p>
    <w:p>
      <w:pPr>
        <w:pStyle w:val="Caption"/>
      </w:pPr>
      <w:r>
        <w:rPr>
          <w:b/>
        </w:rPr>
        <w:t xml:space="preserve">Table A.13. </w:t>
      </w:r>
      <w:r>
        <w:t>Phase 6 candidates scored on the held-out test set within the scope (n = 1,236), highest first.</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2256"/>
        <w:gridCol w:w="2256"/>
        <w:gridCol w:w="2256"/>
        <w:gridCol w:w="2256"/>
      </w:tblGrid>
      <w:tr>
        <w:trPr>
          <w:tblHeader/>
          <w:cantSplit/>
        </w:trPr>
        <w:tc>
          <w:tcPr>
            <w:tcW w:type="dxa" w:w="4195"/>
            <w:shd w:val="clear" w:color="auto" w:fill="EDEDED"/>
            <w:tcBorders>
              <w:bottom w:val="single" w:sz="6" w:space="0" w:color="000000"/>
            </w:tcBorders>
          </w:tcPr>
          <w:p>
            <w:pPr>
              <w:spacing w:line="240" w:lineRule="auto" w:after="40" w:before="40"/>
              <w:jc w:val="left"/>
            </w:pPr>
            <w:r>
              <w:rPr>
                <w:b/>
                <w:i w:val="0"/>
                <w:sz w:val="18"/>
              </w:rPr>
              <w:t>Candidate</w:t>
            </w:r>
          </w:p>
        </w:tc>
        <w:tc>
          <w:tcPr>
            <w:tcW w:type="dxa" w:w="1361"/>
            <w:shd w:val="clear" w:color="auto" w:fill="EDEDED"/>
            <w:tcBorders>
              <w:bottom w:val="single" w:sz="6" w:space="0" w:color="000000"/>
            </w:tcBorders>
          </w:tcPr>
          <w:p>
            <w:pPr>
              <w:spacing w:line="240" w:lineRule="auto" w:after="40" w:before="40"/>
              <w:jc w:val="right"/>
            </w:pPr>
            <w:r>
              <w:rPr>
                <w:b/>
                <w:i w:val="0"/>
                <w:sz w:val="18"/>
              </w:rPr>
              <w:t>CV R²</w:t>
            </w:r>
          </w:p>
        </w:tc>
        <w:tc>
          <w:tcPr>
            <w:tcW w:type="dxa" w:w="1361"/>
            <w:shd w:val="clear" w:color="auto" w:fill="EDEDED"/>
            <w:tcBorders>
              <w:bottom w:val="single" w:sz="6" w:space="0" w:color="000000"/>
            </w:tcBorders>
          </w:tcPr>
          <w:p>
            <w:pPr>
              <w:spacing w:line="240" w:lineRule="auto" w:after="40" w:before="40"/>
              <w:jc w:val="right"/>
            </w:pPr>
            <w:r>
              <w:rPr>
                <w:b/>
                <w:i w:val="0"/>
                <w:sz w:val="18"/>
              </w:rPr>
              <w:t>Test R²</w:t>
            </w:r>
          </w:p>
        </w:tc>
        <w:tc>
          <w:tcPr>
            <w:tcW w:type="dxa" w:w="2098"/>
            <w:shd w:val="clear" w:color="auto" w:fill="EDEDED"/>
            <w:tcBorders>
              <w:bottom w:val="single" w:sz="6" w:space="0" w:color="000000"/>
            </w:tcBorders>
          </w:tcPr>
          <w:p>
            <w:pPr>
              <w:spacing w:line="240" w:lineRule="auto" w:after="40" w:before="40"/>
              <w:jc w:val="right"/>
            </w:pPr>
            <w:r>
              <w:rPr>
                <w:b/>
                <w:i w:val="0"/>
                <w:sz w:val="18"/>
              </w:rPr>
              <w:t>Test RMSE (dB/m)</w:t>
            </w:r>
          </w:p>
        </w:tc>
      </w:tr>
      <w:tr>
        <w:trPr>
          <w:cantSplit/>
        </w:trPr>
        <w:tc>
          <w:tcPr>
            <w:tcW w:type="dxa" w:w="4195"/>
          </w:tcPr>
          <w:p>
            <w:pPr>
              <w:spacing w:line="240" w:lineRule="auto" w:after="40" w:before="40"/>
              <w:jc w:val="left"/>
            </w:pPr>
            <w:r>
              <w:rPr>
                <w:b w:val="0"/>
                <w:i w:val="0"/>
                <w:sz w:val="18"/>
              </w:rPr>
              <w:t>Deeper trees (E46, selected)</w:t>
            </w:r>
          </w:p>
        </w:tc>
        <w:tc>
          <w:tcPr>
            <w:tcW w:type="dxa" w:w="1361"/>
          </w:tcPr>
          <w:p>
            <w:pPr>
              <w:spacing w:line="240" w:lineRule="auto" w:after="40" w:before="40"/>
              <w:jc w:val="right"/>
            </w:pPr>
            <w:r>
              <w:rPr>
                <w:b w:val="0"/>
                <w:i w:val="0"/>
                <w:sz w:val="18"/>
              </w:rPr>
              <w:t>0.5957</w:t>
            </w:r>
          </w:p>
        </w:tc>
        <w:tc>
          <w:tcPr>
            <w:tcW w:type="dxa" w:w="1361"/>
          </w:tcPr>
          <w:p>
            <w:pPr>
              <w:spacing w:line="240" w:lineRule="auto" w:after="40" w:before="40"/>
              <w:jc w:val="right"/>
            </w:pPr>
            <w:r>
              <w:rPr>
                <w:b w:val="0"/>
                <w:i w:val="0"/>
                <w:sz w:val="18"/>
              </w:rPr>
              <w:t>0.5622</w:t>
            </w:r>
          </w:p>
        </w:tc>
        <w:tc>
          <w:tcPr>
            <w:tcW w:type="dxa" w:w="2098"/>
          </w:tcPr>
          <w:p>
            <w:pPr>
              <w:spacing w:line="240" w:lineRule="auto" w:after="40" w:before="40"/>
              <w:jc w:val="right"/>
            </w:pPr>
            <w:r>
              <w:rPr>
                <w:b w:val="0"/>
                <w:i w:val="0"/>
                <w:sz w:val="18"/>
              </w:rPr>
              <w:t>41.42</w:t>
            </w:r>
          </w:p>
        </w:tc>
      </w:tr>
      <w:tr>
        <w:trPr>
          <w:cantSplit/>
        </w:trPr>
        <w:tc>
          <w:tcPr>
            <w:tcW w:type="dxa" w:w="4195"/>
          </w:tcPr>
          <w:p>
            <w:pPr>
              <w:spacing w:line="240" w:lineRule="auto" w:after="40" w:before="40"/>
              <w:jc w:val="left"/>
            </w:pPr>
            <w:r>
              <w:rPr>
                <w:b w:val="0"/>
                <w:i w:val="0"/>
                <w:sz w:val="18"/>
              </w:rPr>
              <w:t>Tuned-c (E46)</w:t>
            </w:r>
          </w:p>
        </w:tc>
        <w:tc>
          <w:tcPr>
            <w:tcW w:type="dxa" w:w="1361"/>
          </w:tcPr>
          <w:p>
            <w:pPr>
              <w:spacing w:line="240" w:lineRule="auto" w:after="40" w:before="40"/>
              <w:jc w:val="right"/>
            </w:pPr>
            <w:r>
              <w:rPr>
                <w:b w:val="0"/>
                <w:i w:val="0"/>
                <w:sz w:val="18"/>
              </w:rPr>
              <w:t>0.5951</w:t>
            </w:r>
          </w:p>
        </w:tc>
        <w:tc>
          <w:tcPr>
            <w:tcW w:type="dxa" w:w="1361"/>
          </w:tcPr>
          <w:p>
            <w:pPr>
              <w:spacing w:line="240" w:lineRule="auto" w:after="40" w:before="40"/>
              <w:jc w:val="right"/>
            </w:pPr>
            <w:r>
              <w:rPr>
                <w:b w:val="0"/>
                <w:i w:val="0"/>
                <w:sz w:val="18"/>
              </w:rPr>
              <w:t>0.5617</w:t>
            </w:r>
          </w:p>
        </w:tc>
        <w:tc>
          <w:tcPr>
            <w:tcW w:type="dxa" w:w="2098"/>
          </w:tcPr>
          <w:p>
            <w:pPr>
              <w:spacing w:line="240" w:lineRule="auto" w:after="40" w:before="40"/>
              <w:jc w:val="right"/>
            </w:pPr>
            <w:r>
              <w:rPr>
                <w:b w:val="0"/>
                <w:i w:val="0"/>
                <w:sz w:val="18"/>
              </w:rPr>
              <w:t>41.44</w:t>
            </w:r>
          </w:p>
        </w:tc>
      </w:tr>
      <w:tr>
        <w:trPr>
          <w:cantSplit/>
        </w:trPr>
        <w:tc>
          <w:tcPr>
            <w:tcW w:type="dxa" w:w="4195"/>
          </w:tcPr>
          <w:p>
            <w:pPr>
              <w:spacing w:line="240" w:lineRule="auto" w:after="40" w:before="40"/>
              <w:jc w:val="left"/>
            </w:pPr>
            <w:r>
              <w:rPr>
                <w:b w:val="0"/>
                <w:i w:val="0"/>
                <w:sz w:val="18"/>
              </w:rPr>
              <w:t>Tuned-a (E46)</w:t>
            </w:r>
          </w:p>
        </w:tc>
        <w:tc>
          <w:tcPr>
            <w:tcW w:type="dxa" w:w="1361"/>
          </w:tcPr>
          <w:p>
            <w:pPr>
              <w:spacing w:line="240" w:lineRule="auto" w:after="40" w:before="40"/>
              <w:jc w:val="right"/>
            </w:pPr>
            <w:r>
              <w:rPr>
                <w:b w:val="0"/>
                <w:i w:val="0"/>
                <w:sz w:val="18"/>
              </w:rPr>
              <w:t>0.5960</w:t>
            </w:r>
          </w:p>
        </w:tc>
        <w:tc>
          <w:tcPr>
            <w:tcW w:type="dxa" w:w="1361"/>
          </w:tcPr>
          <w:p>
            <w:pPr>
              <w:spacing w:line="240" w:lineRule="auto" w:after="40" w:before="40"/>
              <w:jc w:val="right"/>
            </w:pPr>
            <w:r>
              <w:rPr>
                <w:b w:val="0"/>
                <w:i w:val="0"/>
                <w:sz w:val="18"/>
              </w:rPr>
              <w:t>0.5603</w:t>
            </w:r>
          </w:p>
        </w:tc>
        <w:tc>
          <w:tcPr>
            <w:tcW w:type="dxa" w:w="2098"/>
          </w:tcPr>
          <w:p>
            <w:pPr>
              <w:spacing w:line="240" w:lineRule="auto" w:after="40" w:before="40"/>
              <w:jc w:val="right"/>
            </w:pPr>
            <w:r>
              <w:rPr>
                <w:b w:val="0"/>
                <w:i w:val="0"/>
                <w:sz w:val="18"/>
              </w:rPr>
              <w:t>41.51</w:t>
            </w:r>
          </w:p>
        </w:tc>
      </w:tr>
      <w:tr>
        <w:trPr>
          <w:cantSplit/>
        </w:trPr>
        <w:tc>
          <w:tcPr>
            <w:tcW w:type="dxa" w:w="4195"/>
          </w:tcPr>
          <w:p>
            <w:pPr>
              <w:spacing w:line="240" w:lineRule="auto" w:after="40" w:before="40"/>
              <w:jc w:val="left"/>
            </w:pPr>
            <w:r>
              <w:rPr>
                <w:b w:val="0"/>
                <w:i w:val="0"/>
                <w:sz w:val="18"/>
              </w:rPr>
              <w:t>Medical history (E42)</w:t>
            </w:r>
          </w:p>
        </w:tc>
        <w:tc>
          <w:tcPr>
            <w:tcW w:type="dxa" w:w="1361"/>
          </w:tcPr>
          <w:p>
            <w:pPr>
              <w:spacing w:line="240" w:lineRule="auto" w:after="40" w:before="40"/>
              <w:jc w:val="right"/>
            </w:pPr>
            <w:r>
              <w:rPr>
                <w:b w:val="0"/>
                <w:i w:val="0"/>
                <w:sz w:val="18"/>
              </w:rPr>
              <w:t>0.5949</w:t>
            </w:r>
          </w:p>
        </w:tc>
        <w:tc>
          <w:tcPr>
            <w:tcW w:type="dxa" w:w="1361"/>
          </w:tcPr>
          <w:p>
            <w:pPr>
              <w:spacing w:line="240" w:lineRule="auto" w:after="40" w:before="40"/>
              <w:jc w:val="right"/>
            </w:pPr>
            <w:r>
              <w:rPr>
                <w:b w:val="0"/>
                <w:i w:val="0"/>
                <w:sz w:val="18"/>
              </w:rPr>
              <w:t>0.5600</w:t>
            </w:r>
          </w:p>
        </w:tc>
        <w:tc>
          <w:tcPr>
            <w:tcW w:type="dxa" w:w="2098"/>
          </w:tcPr>
          <w:p>
            <w:pPr>
              <w:spacing w:line="240" w:lineRule="auto" w:after="40" w:before="40"/>
              <w:jc w:val="right"/>
            </w:pPr>
            <w:r>
              <w:rPr>
                <w:b w:val="0"/>
                <w:i w:val="0"/>
                <w:sz w:val="18"/>
              </w:rPr>
              <w:t>41.53</w:t>
            </w:r>
          </w:p>
        </w:tc>
      </w:tr>
      <w:tr>
        <w:trPr>
          <w:cantSplit/>
        </w:trPr>
        <w:tc>
          <w:tcPr>
            <w:tcW w:type="dxa" w:w="4195"/>
          </w:tcPr>
          <w:p>
            <w:pPr>
              <w:spacing w:line="240" w:lineRule="auto" w:after="40" w:before="40"/>
              <w:jc w:val="left"/>
            </w:pPr>
            <w:r>
              <w:rPr>
                <w:b w:val="0"/>
                <w:i w:val="0"/>
                <w:sz w:val="18"/>
              </w:rPr>
              <w:t>16 October model (reference)</w:t>
            </w:r>
          </w:p>
        </w:tc>
        <w:tc>
          <w:tcPr>
            <w:tcW w:type="dxa" w:w="1361"/>
          </w:tcPr>
          <w:p>
            <w:pPr>
              <w:spacing w:line="240" w:lineRule="auto" w:after="40" w:before="40"/>
              <w:jc w:val="right"/>
            </w:pPr>
            <w:r>
              <w:rPr>
                <w:b w:val="0"/>
                <w:i w:val="0"/>
                <w:sz w:val="18"/>
              </w:rPr>
              <w:t>0.5945</w:t>
            </w:r>
          </w:p>
        </w:tc>
        <w:tc>
          <w:tcPr>
            <w:tcW w:type="dxa" w:w="1361"/>
          </w:tcPr>
          <w:p>
            <w:pPr>
              <w:spacing w:line="240" w:lineRule="auto" w:after="40" w:before="40"/>
              <w:jc w:val="right"/>
            </w:pPr>
            <w:r>
              <w:rPr>
                <w:b w:val="0"/>
                <w:i w:val="0"/>
                <w:sz w:val="18"/>
              </w:rPr>
              <w:t>0.5582</w:t>
            </w:r>
          </w:p>
        </w:tc>
        <w:tc>
          <w:tcPr>
            <w:tcW w:type="dxa" w:w="2098"/>
          </w:tcPr>
          <w:p>
            <w:pPr>
              <w:spacing w:line="240" w:lineRule="auto" w:after="40" w:before="40"/>
              <w:jc w:val="right"/>
            </w:pPr>
            <w:r>
              <w:rPr>
                <w:b w:val="0"/>
                <w:i w:val="0"/>
                <w:sz w:val="18"/>
              </w:rPr>
              <w:t>41.61</w:t>
            </w:r>
          </w:p>
        </w:tc>
      </w:tr>
      <w:tr>
        <w:trPr>
          <w:cantSplit/>
        </w:trPr>
        <w:tc>
          <w:tcPr>
            <w:tcW w:type="dxa" w:w="4195"/>
          </w:tcPr>
          <w:p>
            <w:pPr>
              <w:spacing w:line="240" w:lineRule="auto" w:after="40" w:before="40"/>
              <w:jc w:val="left"/>
            </w:pPr>
            <w:r>
              <w:rPr>
                <w:b w:val="0"/>
                <w:i w:val="0"/>
                <w:sz w:val="18"/>
              </w:rPr>
              <w:t>Pseudo-Huber loss (E45)</w:t>
            </w:r>
          </w:p>
        </w:tc>
        <w:tc>
          <w:tcPr>
            <w:tcW w:type="dxa" w:w="1361"/>
          </w:tcPr>
          <w:p>
            <w:pPr>
              <w:spacing w:line="240" w:lineRule="auto" w:after="40" w:before="40"/>
              <w:jc w:val="right"/>
            </w:pPr>
            <w:r>
              <w:rPr>
                <w:b w:val="0"/>
                <w:i w:val="0"/>
                <w:sz w:val="18"/>
              </w:rPr>
              <w:t>0.5940</w:t>
            </w:r>
          </w:p>
        </w:tc>
        <w:tc>
          <w:tcPr>
            <w:tcW w:type="dxa" w:w="1361"/>
          </w:tcPr>
          <w:p>
            <w:pPr>
              <w:spacing w:line="240" w:lineRule="auto" w:after="40" w:before="40"/>
              <w:jc w:val="right"/>
            </w:pPr>
            <w:r>
              <w:rPr>
                <w:b w:val="0"/>
                <w:i w:val="0"/>
                <w:sz w:val="18"/>
              </w:rPr>
              <w:t>0.5581</w:t>
            </w:r>
          </w:p>
        </w:tc>
        <w:tc>
          <w:tcPr>
            <w:tcW w:type="dxa" w:w="2098"/>
          </w:tcPr>
          <w:p>
            <w:pPr>
              <w:spacing w:line="240" w:lineRule="auto" w:after="40" w:before="40"/>
              <w:jc w:val="right"/>
            </w:pPr>
            <w:r>
              <w:rPr>
                <w:b w:val="0"/>
                <w:i w:val="0"/>
                <w:sz w:val="18"/>
              </w:rPr>
              <w:t>41.62</w:t>
            </w:r>
          </w:p>
        </w:tc>
      </w:tr>
      <w:tr>
        <w:trPr>
          <w:cantSplit/>
        </w:trPr>
        <w:tc>
          <w:tcPr>
            <w:tcW w:type="dxa" w:w="4195"/>
          </w:tcPr>
          <w:p>
            <w:pPr>
              <w:spacing w:line="240" w:lineRule="auto" w:after="40" w:before="40"/>
              <w:jc w:val="left"/>
            </w:pPr>
            <w:r>
              <w:rPr>
                <w:b w:val="0"/>
                <w:i w:val="0"/>
                <w:sz w:val="18"/>
              </w:rPr>
              <w:t>MICE imputation (E44)</w:t>
            </w:r>
          </w:p>
        </w:tc>
        <w:tc>
          <w:tcPr>
            <w:tcW w:type="dxa" w:w="1361"/>
          </w:tcPr>
          <w:p>
            <w:pPr>
              <w:spacing w:line="240" w:lineRule="auto" w:after="40" w:before="40"/>
              <w:jc w:val="right"/>
            </w:pPr>
            <w:r>
              <w:rPr>
                <w:b w:val="0"/>
                <w:i w:val="0"/>
                <w:sz w:val="18"/>
              </w:rPr>
              <w:t>0.5938</w:t>
            </w:r>
          </w:p>
        </w:tc>
        <w:tc>
          <w:tcPr>
            <w:tcW w:type="dxa" w:w="1361"/>
          </w:tcPr>
          <w:p>
            <w:pPr>
              <w:spacing w:line="240" w:lineRule="auto" w:after="40" w:before="40"/>
              <w:jc w:val="right"/>
            </w:pPr>
            <w:r>
              <w:rPr>
                <w:b w:val="0"/>
                <w:i w:val="0"/>
                <w:sz w:val="18"/>
              </w:rPr>
              <w:t>0.5580</w:t>
            </w:r>
          </w:p>
        </w:tc>
        <w:tc>
          <w:tcPr>
            <w:tcW w:type="dxa" w:w="2098"/>
          </w:tcPr>
          <w:p>
            <w:pPr>
              <w:spacing w:line="240" w:lineRule="auto" w:after="40" w:before="40"/>
              <w:jc w:val="right"/>
            </w:pPr>
            <w:r>
              <w:rPr>
                <w:b w:val="0"/>
                <w:i w:val="0"/>
                <w:sz w:val="18"/>
              </w:rPr>
              <w:t>41.62</w:t>
            </w:r>
          </w:p>
        </w:tc>
      </w:tr>
      <w:tr>
        <w:trPr>
          <w:cantSplit/>
        </w:trPr>
        <w:tc>
          <w:tcPr>
            <w:tcW w:type="dxa" w:w="4195"/>
          </w:tcPr>
          <w:p>
            <w:pPr>
              <w:spacing w:line="240" w:lineRule="auto" w:after="40" w:before="40"/>
              <w:jc w:val="left"/>
            </w:pPr>
            <w:r>
              <w:rPr>
                <w:b w:val="0"/>
                <w:i w:val="0"/>
                <w:sz w:val="18"/>
              </w:rPr>
              <w:t>Habitual diet (E41)</w:t>
            </w:r>
          </w:p>
        </w:tc>
        <w:tc>
          <w:tcPr>
            <w:tcW w:type="dxa" w:w="1361"/>
          </w:tcPr>
          <w:p>
            <w:pPr>
              <w:spacing w:line="240" w:lineRule="auto" w:after="40" w:before="40"/>
              <w:jc w:val="right"/>
            </w:pPr>
            <w:r>
              <w:rPr>
                <w:b w:val="0"/>
                <w:i w:val="0"/>
                <w:sz w:val="18"/>
              </w:rPr>
              <w:t>0.5930</w:t>
            </w:r>
          </w:p>
        </w:tc>
        <w:tc>
          <w:tcPr>
            <w:tcW w:type="dxa" w:w="1361"/>
          </w:tcPr>
          <w:p>
            <w:pPr>
              <w:spacing w:line="240" w:lineRule="auto" w:after="40" w:before="40"/>
              <w:jc w:val="right"/>
            </w:pPr>
            <w:r>
              <w:rPr>
                <w:b w:val="0"/>
                <w:i w:val="0"/>
                <w:sz w:val="18"/>
              </w:rPr>
              <w:t>0.5573</w:t>
            </w:r>
          </w:p>
        </w:tc>
        <w:tc>
          <w:tcPr>
            <w:tcW w:type="dxa" w:w="2098"/>
          </w:tcPr>
          <w:p>
            <w:pPr>
              <w:spacing w:line="240" w:lineRule="auto" w:after="40" w:before="40"/>
              <w:jc w:val="right"/>
            </w:pPr>
            <w:r>
              <w:rPr>
                <w:b w:val="0"/>
                <w:i w:val="0"/>
                <w:sz w:val="18"/>
              </w:rPr>
              <w:t>41.65</w:t>
            </w:r>
          </w:p>
        </w:tc>
      </w:tr>
      <w:tr>
        <w:trPr>
          <w:cantSplit/>
        </w:trPr>
        <w:tc>
          <w:tcPr>
            <w:tcW w:type="dxa" w:w="4195"/>
          </w:tcPr>
          <w:p>
            <w:pPr>
              <w:spacing w:line="240" w:lineRule="auto" w:after="40" w:before="40"/>
              <w:jc w:val="left"/>
            </w:pPr>
            <w:r>
              <w:rPr>
                <w:b w:val="0"/>
                <w:i w:val="0"/>
                <w:sz w:val="18"/>
              </w:rPr>
              <w:t>Target weighted ×3 (E40)</w:t>
            </w:r>
          </w:p>
        </w:tc>
        <w:tc>
          <w:tcPr>
            <w:tcW w:type="dxa" w:w="1361"/>
          </w:tcPr>
          <w:p>
            <w:pPr>
              <w:spacing w:line="240" w:lineRule="auto" w:after="40" w:before="40"/>
              <w:jc w:val="right"/>
            </w:pPr>
            <w:r>
              <w:rPr>
                <w:b w:val="0"/>
                <w:i w:val="0"/>
                <w:sz w:val="18"/>
              </w:rPr>
              <w:t>0.5921</w:t>
            </w:r>
          </w:p>
        </w:tc>
        <w:tc>
          <w:tcPr>
            <w:tcW w:type="dxa" w:w="1361"/>
          </w:tcPr>
          <w:p>
            <w:pPr>
              <w:spacing w:line="240" w:lineRule="auto" w:after="40" w:before="40"/>
              <w:jc w:val="right"/>
            </w:pPr>
            <w:r>
              <w:rPr>
                <w:b w:val="0"/>
                <w:i w:val="0"/>
                <w:sz w:val="18"/>
              </w:rPr>
              <w:t>0.5570</w:t>
            </w:r>
          </w:p>
        </w:tc>
        <w:tc>
          <w:tcPr>
            <w:tcW w:type="dxa" w:w="2098"/>
          </w:tcPr>
          <w:p>
            <w:pPr>
              <w:spacing w:line="240" w:lineRule="auto" w:after="40" w:before="40"/>
              <w:jc w:val="right"/>
            </w:pPr>
            <w:r>
              <w:rPr>
                <w:b w:val="0"/>
                <w:i w:val="0"/>
                <w:sz w:val="18"/>
              </w:rPr>
              <w:t>41.67</w:t>
            </w:r>
          </w:p>
        </w:tc>
      </w:tr>
      <w:tr>
        <w:trPr>
          <w:cantSplit/>
        </w:trPr>
        <w:tc>
          <w:tcPr>
            <w:tcW w:type="dxa" w:w="4195"/>
          </w:tcPr>
          <w:p>
            <w:pPr>
              <w:spacing w:line="240" w:lineRule="auto" w:after="40" w:before="40"/>
              <w:jc w:val="left"/>
            </w:pPr>
            <w:r>
              <w:rPr>
                <w:b w:val="0"/>
                <w:i w:val="0"/>
                <w:sz w:val="18"/>
              </w:rPr>
              <w:t>Median imputation with indicators (E44)</w:t>
            </w:r>
          </w:p>
        </w:tc>
        <w:tc>
          <w:tcPr>
            <w:tcW w:type="dxa" w:w="1361"/>
          </w:tcPr>
          <w:p>
            <w:pPr>
              <w:spacing w:line="240" w:lineRule="auto" w:after="40" w:before="40"/>
              <w:jc w:val="right"/>
            </w:pPr>
            <w:r>
              <w:rPr>
                <w:b w:val="0"/>
                <w:i w:val="0"/>
                <w:sz w:val="18"/>
              </w:rPr>
              <w:t>0.5961</w:t>
            </w:r>
          </w:p>
        </w:tc>
        <w:tc>
          <w:tcPr>
            <w:tcW w:type="dxa" w:w="1361"/>
          </w:tcPr>
          <w:p>
            <w:pPr>
              <w:spacing w:line="240" w:lineRule="auto" w:after="40" w:before="40"/>
              <w:jc w:val="right"/>
            </w:pPr>
            <w:r>
              <w:rPr>
                <w:b w:val="0"/>
                <w:i w:val="0"/>
                <w:sz w:val="18"/>
              </w:rPr>
              <w:t>0.5566</w:t>
            </w:r>
          </w:p>
        </w:tc>
        <w:tc>
          <w:tcPr>
            <w:tcW w:type="dxa" w:w="2098"/>
          </w:tcPr>
          <w:p>
            <w:pPr>
              <w:spacing w:line="240" w:lineRule="auto" w:after="40" w:before="40"/>
              <w:jc w:val="right"/>
            </w:pPr>
            <w:r>
              <w:rPr>
                <w:b w:val="0"/>
                <w:i w:val="0"/>
                <w:sz w:val="18"/>
              </w:rPr>
              <w:t>41.69</w:t>
            </w:r>
          </w:p>
        </w:tc>
      </w:tr>
      <w:tr>
        <w:trPr>
          <w:cantSplit/>
        </w:trPr>
        <w:tc>
          <w:tcPr>
            <w:tcW w:type="dxa" w:w="4195"/>
          </w:tcPr>
          <w:p>
            <w:pPr>
              <w:spacing w:line="240" w:lineRule="auto" w:after="40" w:before="40"/>
              <w:jc w:val="left"/>
            </w:pPr>
            <w:r>
              <w:rPr>
                <w:b w:val="0"/>
                <w:i w:val="0"/>
                <w:sz w:val="18"/>
              </w:rPr>
              <w:t>Diet and medical history (E41–E42)</w:t>
            </w:r>
          </w:p>
        </w:tc>
        <w:tc>
          <w:tcPr>
            <w:tcW w:type="dxa" w:w="1361"/>
          </w:tcPr>
          <w:p>
            <w:pPr>
              <w:spacing w:line="240" w:lineRule="auto" w:after="40" w:before="40"/>
              <w:jc w:val="right"/>
            </w:pPr>
            <w:r>
              <w:rPr>
                <w:b w:val="0"/>
                <w:i w:val="0"/>
                <w:sz w:val="18"/>
              </w:rPr>
              <w:t>0.5927</w:t>
            </w:r>
          </w:p>
        </w:tc>
        <w:tc>
          <w:tcPr>
            <w:tcW w:type="dxa" w:w="1361"/>
          </w:tcPr>
          <w:p>
            <w:pPr>
              <w:spacing w:line="240" w:lineRule="auto" w:after="40" w:before="40"/>
              <w:jc w:val="right"/>
            </w:pPr>
            <w:r>
              <w:rPr>
                <w:b w:val="0"/>
                <w:i w:val="0"/>
                <w:sz w:val="18"/>
              </w:rPr>
              <w:t>0.5559</w:t>
            </w:r>
          </w:p>
        </w:tc>
        <w:tc>
          <w:tcPr>
            <w:tcW w:type="dxa" w:w="2098"/>
          </w:tcPr>
          <w:p>
            <w:pPr>
              <w:spacing w:line="240" w:lineRule="auto" w:after="40" w:before="40"/>
              <w:jc w:val="right"/>
            </w:pPr>
            <w:r>
              <w:rPr>
                <w:b w:val="0"/>
                <w:i w:val="0"/>
                <w:sz w:val="18"/>
              </w:rPr>
              <w:t>41.72</w:t>
            </w:r>
          </w:p>
        </w:tc>
      </w:tr>
      <w:tr>
        <w:trPr>
          <w:cantSplit/>
        </w:trPr>
        <w:tc>
          <w:tcPr>
            <w:tcW w:type="dxa" w:w="4195"/>
          </w:tcPr>
          <w:p>
            <w:pPr>
              <w:spacing w:line="240" w:lineRule="auto" w:after="40" w:before="40"/>
              <w:jc w:val="left"/>
            </w:pPr>
            <w:r>
              <w:rPr>
                <w:b w:val="0"/>
                <w:i w:val="0"/>
                <w:sz w:val="18"/>
              </w:rPr>
              <w:t>Shallow trees, more rounds (E46)</w:t>
            </w:r>
          </w:p>
        </w:tc>
        <w:tc>
          <w:tcPr>
            <w:tcW w:type="dxa" w:w="1361"/>
          </w:tcPr>
          <w:p>
            <w:pPr>
              <w:spacing w:line="240" w:lineRule="auto" w:after="40" w:before="40"/>
              <w:jc w:val="right"/>
            </w:pPr>
            <w:r>
              <w:rPr>
                <w:b w:val="0"/>
                <w:i w:val="0"/>
                <w:sz w:val="18"/>
              </w:rPr>
              <w:t>0.5936</w:t>
            </w:r>
          </w:p>
        </w:tc>
        <w:tc>
          <w:tcPr>
            <w:tcW w:type="dxa" w:w="1361"/>
          </w:tcPr>
          <w:p>
            <w:pPr>
              <w:spacing w:line="240" w:lineRule="auto" w:after="40" w:before="40"/>
              <w:jc w:val="right"/>
            </w:pPr>
            <w:r>
              <w:rPr>
                <w:b w:val="0"/>
                <w:i w:val="0"/>
                <w:sz w:val="18"/>
              </w:rPr>
              <w:t>0.5547</w:t>
            </w:r>
          </w:p>
        </w:tc>
        <w:tc>
          <w:tcPr>
            <w:tcW w:type="dxa" w:w="2098"/>
          </w:tcPr>
          <w:p>
            <w:pPr>
              <w:spacing w:line="240" w:lineRule="auto" w:after="40" w:before="40"/>
              <w:jc w:val="right"/>
            </w:pPr>
            <w:r>
              <w:rPr>
                <w:b w:val="0"/>
                <w:i w:val="0"/>
                <w:sz w:val="18"/>
              </w:rPr>
              <w:t>41.78</w:t>
            </w:r>
          </w:p>
        </w:tc>
      </w:tr>
      <w:tr>
        <w:trPr>
          <w:cantSplit/>
        </w:trPr>
        <w:tc>
          <w:tcPr>
            <w:tcW w:type="dxa" w:w="4195"/>
          </w:tcPr>
          <w:p>
            <w:pPr>
              <w:spacing w:line="240" w:lineRule="auto" w:after="40" w:before="40"/>
              <w:jc w:val="left"/>
            </w:pPr>
            <w:r>
              <w:rPr>
                <w:b w:val="0"/>
                <w:i w:val="0"/>
                <w:sz w:val="18"/>
              </w:rPr>
              <w:t>Tuned-b (E46)</w:t>
            </w:r>
          </w:p>
        </w:tc>
        <w:tc>
          <w:tcPr>
            <w:tcW w:type="dxa" w:w="1361"/>
          </w:tcPr>
          <w:p>
            <w:pPr>
              <w:spacing w:line="240" w:lineRule="auto" w:after="40" w:before="40"/>
              <w:jc w:val="right"/>
            </w:pPr>
            <w:r>
              <w:rPr>
                <w:b w:val="0"/>
                <w:i w:val="0"/>
                <w:sz w:val="18"/>
              </w:rPr>
              <w:t>0.5915</w:t>
            </w:r>
          </w:p>
        </w:tc>
        <w:tc>
          <w:tcPr>
            <w:tcW w:type="dxa" w:w="1361"/>
          </w:tcPr>
          <w:p>
            <w:pPr>
              <w:spacing w:line="240" w:lineRule="auto" w:after="40" w:before="40"/>
              <w:jc w:val="right"/>
            </w:pPr>
            <w:r>
              <w:rPr>
                <w:b w:val="0"/>
                <w:i w:val="0"/>
                <w:sz w:val="18"/>
              </w:rPr>
              <w:t>0.5521</w:t>
            </w:r>
          </w:p>
        </w:tc>
        <w:tc>
          <w:tcPr>
            <w:tcW w:type="dxa" w:w="2098"/>
          </w:tcPr>
          <w:p>
            <w:pPr>
              <w:spacing w:line="240" w:lineRule="auto" w:after="40" w:before="40"/>
              <w:jc w:val="right"/>
            </w:pPr>
            <w:r>
              <w:rPr>
                <w:b w:val="0"/>
                <w:i w:val="0"/>
                <w:sz w:val="18"/>
              </w:rPr>
              <w:t>41.90</w:t>
            </w:r>
          </w:p>
        </w:tc>
      </w:tr>
      <w:tr>
        <w:trPr>
          <w:cantSplit/>
        </w:trPr>
        <w:tc>
          <w:tcPr>
            <w:tcW w:type="dxa" w:w="4195"/>
          </w:tcPr>
          <w:p>
            <w:pPr>
              <w:spacing w:line="240" w:lineRule="auto" w:after="40" w:before="40"/>
              <w:jc w:val="left"/>
            </w:pPr>
            <w:r>
              <w:rPr>
                <w:b w:val="0"/>
                <w:i w:val="0"/>
                <w:sz w:val="18"/>
              </w:rPr>
              <w:t>Absolute-error loss (E45)</w:t>
            </w:r>
          </w:p>
        </w:tc>
        <w:tc>
          <w:tcPr>
            <w:tcW w:type="dxa" w:w="1361"/>
          </w:tcPr>
          <w:p>
            <w:pPr>
              <w:spacing w:line="240" w:lineRule="auto" w:after="40" w:before="40"/>
              <w:jc w:val="right"/>
            </w:pPr>
            <w:r>
              <w:rPr>
                <w:b w:val="0"/>
                <w:i w:val="0"/>
                <w:sz w:val="18"/>
              </w:rPr>
              <w:t>0.5893</w:t>
            </w:r>
          </w:p>
        </w:tc>
        <w:tc>
          <w:tcPr>
            <w:tcW w:type="dxa" w:w="1361"/>
          </w:tcPr>
          <w:p>
            <w:pPr>
              <w:spacing w:line="240" w:lineRule="auto" w:after="40" w:before="40"/>
              <w:jc w:val="right"/>
            </w:pPr>
            <w:r>
              <w:rPr>
                <w:b w:val="0"/>
                <w:i w:val="0"/>
                <w:sz w:val="18"/>
              </w:rPr>
              <w:t>0.5497</w:t>
            </w:r>
          </w:p>
        </w:tc>
        <w:tc>
          <w:tcPr>
            <w:tcW w:type="dxa" w:w="2098"/>
          </w:tcPr>
          <w:p>
            <w:pPr>
              <w:spacing w:line="240" w:lineRule="auto" w:after="40" w:before="40"/>
              <w:jc w:val="right"/>
            </w:pPr>
            <w:r>
              <w:rPr>
                <w:b w:val="0"/>
                <w:i w:val="0"/>
                <w:sz w:val="18"/>
              </w:rPr>
              <w:t>42.01</w:t>
            </w:r>
          </w:p>
        </w:tc>
      </w:tr>
      <w:tr>
        <w:trPr>
          <w:cantSplit/>
        </w:trPr>
        <w:tc>
          <w:tcPr>
            <w:tcW w:type="dxa" w:w="4195"/>
          </w:tcPr>
          <w:p>
            <w:pPr>
              <w:spacing w:line="240" w:lineRule="auto" w:after="40" w:before="40"/>
              <w:jc w:val="left"/>
            </w:pPr>
            <w:r>
              <w:rPr>
                <w:b w:val="0"/>
                <w:i w:val="0"/>
                <w:sz w:val="18"/>
              </w:rPr>
              <w:t>Target-only training (E40)</w:t>
            </w:r>
          </w:p>
        </w:tc>
        <w:tc>
          <w:tcPr>
            <w:tcW w:type="dxa" w:w="1361"/>
          </w:tcPr>
          <w:p>
            <w:pPr>
              <w:spacing w:line="240" w:lineRule="auto" w:after="40" w:before="40"/>
              <w:jc w:val="right"/>
            </w:pPr>
            <w:r>
              <w:rPr>
                <w:b w:val="0"/>
                <w:i w:val="0"/>
                <w:sz w:val="18"/>
              </w:rPr>
              <w:t>0.5845</w:t>
            </w:r>
          </w:p>
        </w:tc>
        <w:tc>
          <w:tcPr>
            <w:tcW w:type="dxa" w:w="1361"/>
          </w:tcPr>
          <w:p>
            <w:pPr>
              <w:spacing w:line="240" w:lineRule="auto" w:after="40" w:before="40"/>
              <w:jc w:val="right"/>
            </w:pPr>
            <w:r>
              <w:rPr>
                <w:b w:val="0"/>
                <w:i w:val="0"/>
                <w:sz w:val="18"/>
              </w:rPr>
              <w:t>0.5467</w:t>
            </w:r>
          </w:p>
        </w:tc>
        <w:tc>
          <w:tcPr>
            <w:tcW w:type="dxa" w:w="2098"/>
          </w:tcPr>
          <w:p>
            <w:pPr>
              <w:spacing w:line="240" w:lineRule="auto" w:after="40" w:before="40"/>
              <w:jc w:val="right"/>
            </w:pPr>
            <w:r>
              <w:rPr>
                <w:b w:val="0"/>
                <w:i w:val="0"/>
                <w:sz w:val="18"/>
              </w:rPr>
              <w:t>42.15</w:t>
            </w:r>
          </w:p>
        </w:tc>
      </w:tr>
    </w:tbl>
    <w:p>
      <w:pPr>
        <w:spacing w:after="200" w:line="240" w:lineRule="auto" w:before="80"/>
        <w:jc w:val="left"/>
      </w:pPr>
      <w:r>
        <w:rPr>
          <w:b w:val="0"/>
          <w:i/>
          <w:sz w:val="18"/>
        </w:rPr>
        <w:t>The best blend (deeper trees with tuned-c) scored 0.5626 and was not adopted, as it adds 0.0004 for two models. Source: data/results/combined/validation/target_population_test_scores.csv and target_population_repeated_cv.csv. Refitted by the training script, the selected model scores 0.562 (the same to three decimals).</w:t>
      </w:r>
    </w:p>
    <w:p>
      <w:pPr>
        <w:pStyle w:val="Caption"/>
      </w:pPr>
      <w:r>
        <w:rPr>
          <w:b/>
        </w:rPr>
        <w:t xml:space="preserve">Table A.14. </w:t>
      </w:r>
      <w:r>
        <w:t>Selected model, held-out test performance (P3-test). The reference uses the 36 core inputs with the same training participants and the base settings.</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805"/>
        <w:gridCol w:w="1805"/>
        <w:gridCol w:w="1805"/>
        <w:gridCol w:w="1805"/>
        <w:gridCol w:w="1805"/>
      </w:tblGrid>
      <w:tr>
        <w:trPr>
          <w:tblHeader/>
          <w:cantSplit/>
        </w:trPr>
        <w:tc>
          <w:tcPr>
            <w:tcW w:type="dxa" w:w="3572"/>
            <w:shd w:val="clear" w:color="auto" w:fill="EDEDED"/>
            <w:tcBorders>
              <w:bottom w:val="single" w:sz="6" w:space="0" w:color="000000"/>
            </w:tcBorders>
          </w:tcPr>
          <w:p>
            <w:pPr>
              <w:spacing w:line="240" w:lineRule="auto" w:after="40" w:before="40"/>
              <w:jc w:val="left"/>
            </w:pPr>
            <w:r>
              <w:rPr>
                <w:b/>
                <w:i w:val="0"/>
                <w:sz w:val="20"/>
              </w:rPr>
              <w:t>Test group</w:t>
            </w:r>
          </w:p>
        </w:tc>
        <w:tc>
          <w:tcPr>
            <w:tcW w:type="dxa" w:w="907"/>
            <w:shd w:val="clear" w:color="auto" w:fill="EDEDED"/>
            <w:tcBorders>
              <w:bottom w:val="single" w:sz="6" w:space="0" w:color="000000"/>
            </w:tcBorders>
          </w:tcPr>
          <w:p>
            <w:pPr>
              <w:spacing w:line="240" w:lineRule="auto" w:after="40" w:before="40"/>
              <w:jc w:val="right"/>
            </w:pPr>
            <w:r>
              <w:rPr>
                <w:b/>
                <w:i w:val="0"/>
                <w:sz w:val="20"/>
              </w:rPr>
              <w:t>n</w:t>
            </w:r>
          </w:p>
        </w:tc>
        <w:tc>
          <w:tcPr>
            <w:tcW w:type="dxa" w:w="1361"/>
            <w:shd w:val="clear" w:color="auto" w:fill="EDEDED"/>
            <w:tcBorders>
              <w:bottom w:val="single" w:sz="6" w:space="0" w:color="000000"/>
            </w:tcBorders>
          </w:tcPr>
          <w:p>
            <w:pPr>
              <w:spacing w:line="240" w:lineRule="auto" w:after="40" w:before="40"/>
              <w:jc w:val="right"/>
            </w:pPr>
            <w:r>
              <w:rPr>
                <w:b/>
                <w:i w:val="0"/>
                <w:sz w:val="20"/>
              </w:rPr>
              <w:t>Selected R²</w:t>
            </w:r>
          </w:p>
        </w:tc>
        <w:tc>
          <w:tcPr>
            <w:tcW w:type="dxa" w:w="1361"/>
            <w:shd w:val="clear" w:color="auto" w:fill="EDEDED"/>
            <w:tcBorders>
              <w:bottom w:val="single" w:sz="6" w:space="0" w:color="000000"/>
            </w:tcBorders>
          </w:tcPr>
          <w:p>
            <w:pPr>
              <w:spacing w:line="240" w:lineRule="auto" w:after="40" w:before="40"/>
              <w:jc w:val="right"/>
            </w:pPr>
            <w:r>
              <w:rPr>
                <w:b/>
                <w:i w:val="0"/>
                <w:sz w:val="20"/>
              </w:rPr>
              <w:t>Reference R²</w:t>
            </w:r>
          </w:p>
        </w:tc>
        <w:tc>
          <w:tcPr>
            <w:tcW w:type="dxa" w:w="1814"/>
            <w:shd w:val="clear" w:color="auto" w:fill="EDEDED"/>
            <w:tcBorders>
              <w:bottom w:val="single" w:sz="6" w:space="0" w:color="000000"/>
            </w:tcBorders>
          </w:tcPr>
          <w:p>
            <w:pPr>
              <w:spacing w:line="240" w:lineRule="auto" w:after="40" w:before="40"/>
              <w:jc w:val="right"/>
            </w:pPr>
            <w:r>
              <w:rPr>
                <w:b/>
                <w:i w:val="0"/>
                <w:sz w:val="20"/>
              </w:rPr>
              <w:t>Selected RMSE (dB/m)</w:t>
            </w:r>
          </w:p>
        </w:tc>
      </w:tr>
      <w:tr>
        <w:trPr>
          <w:cantSplit/>
        </w:trPr>
        <w:tc>
          <w:tcPr>
            <w:tcW w:type="dxa" w:w="3572"/>
          </w:tcPr>
          <w:p>
            <w:pPr>
              <w:spacing w:line="240" w:lineRule="auto" w:after="40" w:before="40"/>
              <w:jc w:val="left"/>
            </w:pPr>
            <w:r>
              <w:rPr>
                <w:b w:val="0"/>
                <w:i w:val="0"/>
                <w:sz w:val="20"/>
              </w:rPr>
              <w:t>Scope: ages 12–59, reliable reference</w:t>
            </w:r>
          </w:p>
        </w:tc>
        <w:tc>
          <w:tcPr>
            <w:tcW w:type="dxa" w:w="907"/>
          </w:tcPr>
          <w:p>
            <w:pPr>
              <w:spacing w:line="240" w:lineRule="auto" w:after="40" w:before="40"/>
              <w:jc w:val="right"/>
            </w:pPr>
            <w:r>
              <w:rPr>
                <w:b w:val="0"/>
                <w:i w:val="0"/>
                <w:sz w:val="20"/>
              </w:rPr>
              <w:t>1,236</w:t>
            </w:r>
          </w:p>
        </w:tc>
        <w:tc>
          <w:tcPr>
            <w:tcW w:type="dxa" w:w="1361"/>
          </w:tcPr>
          <w:p>
            <w:pPr>
              <w:spacing w:line="240" w:lineRule="auto" w:after="40" w:before="40"/>
              <w:jc w:val="right"/>
            </w:pPr>
            <w:r>
              <w:rPr>
                <w:b w:val="0"/>
                <w:i w:val="0"/>
                <w:sz w:val="20"/>
              </w:rPr>
              <w:t>0.562</w:t>
            </w:r>
          </w:p>
        </w:tc>
        <w:tc>
          <w:tcPr>
            <w:tcW w:type="dxa" w:w="1361"/>
          </w:tcPr>
          <w:p>
            <w:pPr>
              <w:spacing w:line="240" w:lineRule="auto" w:after="40" w:before="40"/>
              <w:jc w:val="right"/>
            </w:pPr>
            <w:r>
              <w:rPr>
                <w:b w:val="0"/>
                <w:i w:val="0"/>
                <w:sz w:val="20"/>
              </w:rPr>
              <w:t>0.553</w:t>
            </w:r>
          </w:p>
        </w:tc>
        <w:tc>
          <w:tcPr>
            <w:tcW w:type="dxa" w:w="1814"/>
          </w:tcPr>
          <w:p>
            <w:pPr>
              <w:spacing w:line="240" w:lineRule="auto" w:after="40" w:before="40"/>
              <w:jc w:val="right"/>
            </w:pPr>
            <w:r>
              <w:rPr>
                <w:b w:val="0"/>
                <w:i w:val="0"/>
                <w:sz w:val="20"/>
              </w:rPr>
              <w:t>41.4</w:t>
            </w:r>
          </w:p>
        </w:tc>
      </w:tr>
      <w:tr>
        <w:trPr>
          <w:cantSplit/>
        </w:trPr>
        <w:tc>
          <w:tcPr>
            <w:tcW w:type="dxa" w:w="3572"/>
          </w:tcPr>
          <w:p>
            <w:pPr>
              <w:spacing w:line="240" w:lineRule="auto" w:after="40" w:before="40"/>
              <w:jc w:val="left"/>
            </w:pPr>
            <w:r>
              <w:rPr>
                <w:b w:val="0"/>
                <w:i w:val="0"/>
                <w:sz w:val="20"/>
              </w:rPr>
              <w:t xml:space="preserve">   Ages 12–17</w:t>
            </w:r>
          </w:p>
        </w:tc>
        <w:tc>
          <w:tcPr>
            <w:tcW w:type="dxa" w:w="907"/>
          </w:tcPr>
          <w:p>
            <w:pPr>
              <w:spacing w:line="240" w:lineRule="auto" w:after="40" w:before="40"/>
              <w:jc w:val="right"/>
            </w:pPr>
            <w:r>
              <w:rPr>
                <w:b w:val="0"/>
                <w:i w:val="0"/>
                <w:sz w:val="20"/>
              </w:rPr>
              <w:t>209</w:t>
            </w:r>
          </w:p>
        </w:tc>
        <w:tc>
          <w:tcPr>
            <w:tcW w:type="dxa" w:w="1361"/>
          </w:tcPr>
          <w:p>
            <w:pPr>
              <w:spacing w:line="240" w:lineRule="auto" w:after="40" w:before="40"/>
              <w:jc w:val="right"/>
            </w:pPr>
            <w:r>
              <w:rPr>
                <w:b w:val="0"/>
                <w:i w:val="0"/>
                <w:sz w:val="20"/>
              </w:rPr>
              <w:t>0.498</w:t>
            </w:r>
          </w:p>
        </w:tc>
        <w:tc>
          <w:tcPr>
            <w:tcW w:type="dxa" w:w="1361"/>
          </w:tcPr>
          <w:p>
            <w:pPr>
              <w:spacing w:line="240" w:lineRule="auto" w:after="40" w:before="40"/>
              <w:jc w:val="right"/>
            </w:pPr>
            <w:r>
              <w:rPr>
                <w:b w:val="0"/>
                <w:i w:val="0"/>
                <w:sz w:val="20"/>
              </w:rPr>
              <w:t>0.482</w:t>
            </w:r>
          </w:p>
        </w:tc>
        <w:tc>
          <w:tcPr>
            <w:tcW w:type="dxa" w:w="1814"/>
          </w:tcPr>
          <w:p>
            <w:pPr>
              <w:spacing w:line="240" w:lineRule="auto" w:after="40" w:before="40"/>
              <w:jc w:val="right"/>
            </w:pPr>
            <w:r>
              <w:rPr>
                <w:b w:val="0"/>
                <w:i w:val="0"/>
                <w:sz w:val="20"/>
              </w:rPr>
              <w:t>36.2</w:t>
            </w:r>
          </w:p>
        </w:tc>
      </w:tr>
      <w:tr>
        <w:trPr>
          <w:cantSplit/>
        </w:trPr>
        <w:tc>
          <w:tcPr>
            <w:tcW w:type="dxa" w:w="3572"/>
          </w:tcPr>
          <w:p>
            <w:pPr>
              <w:spacing w:line="240" w:lineRule="auto" w:after="40" w:before="40"/>
              <w:jc w:val="left"/>
            </w:pPr>
            <w:r>
              <w:rPr>
                <w:b w:val="0"/>
                <w:i w:val="0"/>
                <w:sz w:val="20"/>
              </w:rPr>
              <w:t xml:space="preserve">   Ages 18–39</w:t>
            </w:r>
          </w:p>
        </w:tc>
        <w:tc>
          <w:tcPr>
            <w:tcW w:type="dxa" w:w="907"/>
          </w:tcPr>
          <w:p>
            <w:pPr>
              <w:spacing w:line="240" w:lineRule="auto" w:after="40" w:before="40"/>
              <w:jc w:val="right"/>
            </w:pPr>
            <w:r>
              <w:rPr>
                <w:b w:val="0"/>
                <w:i w:val="0"/>
                <w:sz w:val="20"/>
              </w:rPr>
              <w:t>512</w:t>
            </w:r>
          </w:p>
        </w:tc>
        <w:tc>
          <w:tcPr>
            <w:tcW w:type="dxa" w:w="1361"/>
          </w:tcPr>
          <w:p>
            <w:pPr>
              <w:spacing w:line="240" w:lineRule="auto" w:after="40" w:before="40"/>
              <w:jc w:val="right"/>
            </w:pPr>
            <w:r>
              <w:rPr>
                <w:b w:val="0"/>
                <w:i w:val="0"/>
                <w:sz w:val="20"/>
              </w:rPr>
              <w:t>0.518</w:t>
            </w:r>
          </w:p>
        </w:tc>
        <w:tc>
          <w:tcPr>
            <w:tcW w:type="dxa" w:w="1361"/>
          </w:tcPr>
          <w:p>
            <w:pPr>
              <w:spacing w:line="240" w:lineRule="auto" w:after="40" w:before="40"/>
              <w:jc w:val="right"/>
            </w:pPr>
            <w:r>
              <w:rPr>
                <w:b w:val="0"/>
                <w:i w:val="0"/>
                <w:sz w:val="20"/>
              </w:rPr>
              <w:t>0.514</w:t>
            </w:r>
          </w:p>
        </w:tc>
        <w:tc>
          <w:tcPr>
            <w:tcW w:type="dxa" w:w="1814"/>
          </w:tcPr>
          <w:p>
            <w:pPr>
              <w:spacing w:line="240" w:lineRule="auto" w:after="40" w:before="40"/>
              <w:jc w:val="right"/>
            </w:pPr>
            <w:r>
              <w:rPr>
                <w:b w:val="0"/>
                <w:i w:val="0"/>
                <w:sz w:val="20"/>
              </w:rPr>
              <w:t>42.7</w:t>
            </w:r>
          </w:p>
        </w:tc>
      </w:tr>
      <w:tr>
        <w:trPr>
          <w:cantSplit/>
        </w:trPr>
        <w:tc>
          <w:tcPr>
            <w:tcW w:type="dxa" w:w="3572"/>
          </w:tcPr>
          <w:p>
            <w:pPr>
              <w:spacing w:line="240" w:lineRule="auto" w:after="40" w:before="40"/>
              <w:jc w:val="left"/>
            </w:pPr>
            <w:r>
              <w:rPr>
                <w:b w:val="0"/>
                <w:i w:val="0"/>
                <w:sz w:val="20"/>
              </w:rPr>
              <w:t xml:space="preserve">   Ages 40–59</w:t>
            </w:r>
          </w:p>
        </w:tc>
        <w:tc>
          <w:tcPr>
            <w:tcW w:type="dxa" w:w="907"/>
          </w:tcPr>
          <w:p>
            <w:pPr>
              <w:spacing w:line="240" w:lineRule="auto" w:after="40" w:before="40"/>
              <w:jc w:val="right"/>
            </w:pPr>
            <w:r>
              <w:rPr>
                <w:b w:val="0"/>
                <w:i w:val="0"/>
                <w:sz w:val="20"/>
              </w:rPr>
              <w:t>515</w:t>
            </w:r>
          </w:p>
        </w:tc>
        <w:tc>
          <w:tcPr>
            <w:tcW w:type="dxa" w:w="1361"/>
          </w:tcPr>
          <w:p>
            <w:pPr>
              <w:spacing w:line="240" w:lineRule="auto" w:after="40" w:before="40"/>
              <w:jc w:val="right"/>
            </w:pPr>
            <w:r>
              <w:rPr>
                <w:b w:val="0"/>
                <w:i w:val="0"/>
                <w:sz w:val="20"/>
              </w:rPr>
              <w:t>0.522</w:t>
            </w:r>
          </w:p>
        </w:tc>
        <w:tc>
          <w:tcPr>
            <w:tcW w:type="dxa" w:w="1361"/>
          </w:tcPr>
          <w:p>
            <w:pPr>
              <w:spacing w:line="240" w:lineRule="auto" w:after="40" w:before="40"/>
              <w:jc w:val="right"/>
            </w:pPr>
            <w:r>
              <w:rPr>
                <w:b w:val="0"/>
                <w:i w:val="0"/>
                <w:sz w:val="20"/>
              </w:rPr>
              <w:t>0.506</w:t>
            </w:r>
          </w:p>
        </w:tc>
        <w:tc>
          <w:tcPr>
            <w:tcW w:type="dxa" w:w="1814"/>
          </w:tcPr>
          <w:p>
            <w:pPr>
              <w:spacing w:line="240" w:lineRule="auto" w:after="40" w:before="40"/>
              <w:jc w:val="right"/>
            </w:pPr>
            <w:r>
              <w:rPr>
                <w:b w:val="0"/>
                <w:i w:val="0"/>
                <w:sz w:val="20"/>
              </w:rPr>
              <w:t>42.1</w:t>
            </w:r>
          </w:p>
        </w:tc>
      </w:tr>
      <w:tr>
        <w:trPr>
          <w:cantSplit/>
        </w:trPr>
        <w:tc>
          <w:tcPr>
            <w:tcW w:type="dxa" w:w="3572"/>
          </w:tcPr>
          <w:p>
            <w:pPr>
              <w:spacing w:line="240" w:lineRule="auto" w:after="40" w:before="40"/>
              <w:jc w:val="left"/>
            </w:pPr>
            <w:r>
              <w:rPr>
                <w:b w:val="0"/>
                <w:i w:val="0"/>
                <w:sz w:val="20"/>
              </w:rPr>
              <w:t>Outside the scope, for reference:</w:t>
            </w:r>
          </w:p>
        </w:tc>
        <w:tc>
          <w:tcPr>
            <w:tcW w:type="dxa" w:w="907"/>
          </w:tcPr>
          <w:p>
            <w:pPr>
              <w:spacing w:line="240" w:lineRule="auto" w:after="40" w:before="40"/>
              <w:jc w:val="right"/>
            </w:pPr>
          </w:p>
        </w:tc>
        <w:tc>
          <w:tcPr>
            <w:tcW w:type="dxa" w:w="1361"/>
          </w:tcPr>
          <w:p>
            <w:pPr>
              <w:spacing w:line="240" w:lineRule="auto" w:after="40" w:before="40"/>
              <w:jc w:val="right"/>
            </w:pPr>
          </w:p>
        </w:tc>
        <w:tc>
          <w:tcPr>
            <w:tcW w:type="dxa" w:w="1361"/>
          </w:tcPr>
          <w:p>
            <w:pPr>
              <w:spacing w:line="240" w:lineRule="auto" w:after="40" w:before="40"/>
              <w:jc w:val="right"/>
            </w:pPr>
          </w:p>
        </w:tc>
        <w:tc>
          <w:tcPr>
            <w:tcW w:type="dxa" w:w="1814"/>
          </w:tcPr>
          <w:p>
            <w:pPr>
              <w:spacing w:line="240" w:lineRule="auto" w:after="40" w:before="40"/>
              <w:jc w:val="right"/>
            </w:pPr>
          </w:p>
        </w:tc>
      </w:tr>
      <w:tr>
        <w:trPr>
          <w:cantSplit/>
        </w:trPr>
        <w:tc>
          <w:tcPr>
            <w:tcW w:type="dxa" w:w="3572"/>
          </w:tcPr>
          <w:p>
            <w:pPr>
              <w:spacing w:line="240" w:lineRule="auto" w:after="40" w:before="40"/>
              <w:jc w:val="left"/>
            </w:pPr>
            <w:r>
              <w:rPr>
                <w:b w:val="0"/>
                <w:i w:val="0"/>
                <w:sz w:val="20"/>
              </w:rPr>
              <w:t xml:space="preserve">   Ages 12–59, all examinations</w:t>
            </w:r>
          </w:p>
        </w:tc>
        <w:tc>
          <w:tcPr>
            <w:tcW w:type="dxa" w:w="907"/>
          </w:tcPr>
          <w:p>
            <w:pPr>
              <w:spacing w:line="240" w:lineRule="auto" w:after="40" w:before="40"/>
              <w:jc w:val="right"/>
            </w:pPr>
            <w:r>
              <w:rPr>
                <w:b w:val="0"/>
                <w:i w:val="0"/>
                <w:sz w:val="20"/>
              </w:rPr>
              <w:t>2,040</w:t>
            </w:r>
          </w:p>
        </w:tc>
        <w:tc>
          <w:tcPr>
            <w:tcW w:type="dxa" w:w="1361"/>
          </w:tcPr>
          <w:p>
            <w:pPr>
              <w:spacing w:line="240" w:lineRule="auto" w:after="40" w:before="40"/>
              <w:jc w:val="right"/>
            </w:pPr>
            <w:r>
              <w:rPr>
                <w:b w:val="0"/>
                <w:i w:val="0"/>
                <w:sz w:val="20"/>
              </w:rPr>
              <w:t>0.515</w:t>
            </w:r>
          </w:p>
        </w:tc>
        <w:tc>
          <w:tcPr>
            <w:tcW w:type="dxa" w:w="1361"/>
          </w:tcPr>
          <w:p>
            <w:pPr>
              <w:spacing w:line="240" w:lineRule="auto" w:after="40" w:before="40"/>
              <w:jc w:val="right"/>
            </w:pPr>
            <w:r>
              <w:rPr>
                <w:b w:val="0"/>
                <w:i w:val="0"/>
                <w:sz w:val="20"/>
              </w:rPr>
              <w:t>0.511</w:t>
            </w:r>
          </w:p>
        </w:tc>
        <w:tc>
          <w:tcPr>
            <w:tcW w:type="dxa" w:w="1814"/>
          </w:tcPr>
          <w:p>
            <w:pPr>
              <w:spacing w:line="240" w:lineRule="auto" w:after="40" w:before="40"/>
              <w:jc w:val="right"/>
            </w:pPr>
            <w:r>
              <w:rPr>
                <w:b w:val="0"/>
                <w:i w:val="0"/>
                <w:sz w:val="20"/>
              </w:rPr>
              <w:t>–</w:t>
            </w:r>
          </w:p>
        </w:tc>
      </w:tr>
      <w:tr>
        <w:trPr>
          <w:cantSplit/>
        </w:trPr>
        <w:tc>
          <w:tcPr>
            <w:tcW w:type="dxa" w:w="3572"/>
          </w:tcPr>
          <w:p>
            <w:pPr>
              <w:spacing w:line="240" w:lineRule="auto" w:after="40" w:before="40"/>
              <w:jc w:val="left"/>
            </w:pPr>
            <w:r>
              <w:rPr>
                <w:b w:val="0"/>
                <w:i w:val="0"/>
                <w:sz w:val="20"/>
              </w:rPr>
              <w:t xml:space="preserve">   All participants, including ages 60+</w:t>
            </w:r>
          </w:p>
        </w:tc>
        <w:tc>
          <w:tcPr>
            <w:tcW w:type="dxa" w:w="907"/>
          </w:tcPr>
          <w:p>
            <w:pPr>
              <w:spacing w:line="240" w:lineRule="auto" w:after="40" w:before="40"/>
              <w:jc w:val="right"/>
            </w:pPr>
            <w:r>
              <w:rPr>
                <w:b w:val="0"/>
                <w:i w:val="0"/>
                <w:sz w:val="20"/>
              </w:rPr>
              <w:t>3,060</w:t>
            </w:r>
          </w:p>
        </w:tc>
        <w:tc>
          <w:tcPr>
            <w:tcW w:type="dxa" w:w="1361"/>
          </w:tcPr>
          <w:p>
            <w:pPr>
              <w:spacing w:line="240" w:lineRule="auto" w:after="40" w:before="40"/>
              <w:jc w:val="right"/>
            </w:pPr>
            <w:r>
              <w:rPr>
                <w:b w:val="0"/>
                <w:i w:val="0"/>
                <w:sz w:val="20"/>
              </w:rPr>
              <w:t>0.496</w:t>
            </w:r>
          </w:p>
        </w:tc>
        <w:tc>
          <w:tcPr>
            <w:tcW w:type="dxa" w:w="1361"/>
          </w:tcPr>
          <w:p>
            <w:pPr>
              <w:spacing w:line="240" w:lineRule="auto" w:after="40" w:before="40"/>
              <w:jc w:val="right"/>
            </w:pPr>
            <w:r>
              <w:rPr>
                <w:b w:val="0"/>
                <w:i w:val="0"/>
                <w:sz w:val="20"/>
              </w:rPr>
              <w:t>0.487</w:t>
            </w:r>
          </w:p>
        </w:tc>
        <w:tc>
          <w:tcPr>
            <w:tcW w:type="dxa" w:w="1814"/>
          </w:tcPr>
          <w:p>
            <w:pPr>
              <w:spacing w:line="240" w:lineRule="auto" w:after="40" w:before="40"/>
              <w:jc w:val="right"/>
            </w:pPr>
            <w:r>
              <w:rPr>
                <w:b w:val="0"/>
                <w:i w:val="0"/>
                <w:sz w:val="20"/>
              </w:rPr>
              <w:t>43.5</w:t>
            </w:r>
          </w:p>
        </w:tc>
      </w:tr>
    </w:tbl>
    <w:p>
      <w:pPr>
        <w:spacing w:after="200" w:line="240" w:lineRule="auto" w:before="80"/>
        <w:jc w:val="left"/>
      </w:pPr>
      <w:r>
        <w:rPr>
          <w:b w:val="0"/>
          <w:i/>
          <w:sz w:val="18"/>
        </w:rPr>
        <w:t>R² within an age band is lower than in the whole scope because CAP varies less within a band (SD 51.2 dB/m at 12–17 against 62.6 in the scope). 95% interval for the scope: 0.517–0.601.</w:t>
      </w:r>
    </w:p>
    <w:p>
      <w:pPr>
        <w:pStyle w:val="Caption"/>
      </w:pPr>
      <w:r>
        <w:rPr>
          <w:b/>
        </w:rPr>
        <w:t xml:space="preserve">Table A.15. </w:t>
      </w:r>
      <w:r>
        <w:t>Calibrated steatosis classifiers within the scope, held-out test performance (P3-test, n = 1,236). Cut-offs are provisional.</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805"/>
        <w:gridCol w:w="1805"/>
        <w:gridCol w:w="1805"/>
        <w:gridCol w:w="1805"/>
        <w:gridCol w:w="1805"/>
      </w:tblGrid>
      <w:tr>
        <w:trPr>
          <w:tblHeader/>
          <w:cantSplit/>
        </w:trPr>
        <w:tc>
          <w:tcPr>
            <w:tcW w:type="dxa" w:w="3061"/>
            <w:shd w:val="clear" w:color="auto" w:fill="EDEDED"/>
            <w:tcBorders>
              <w:bottom w:val="single" w:sz="6" w:space="0" w:color="000000"/>
            </w:tcBorders>
          </w:tcPr>
          <w:p>
            <w:pPr>
              <w:spacing w:line="240" w:lineRule="auto" w:after="40" w:before="40"/>
              <w:jc w:val="left"/>
            </w:pPr>
            <w:r>
              <w:rPr>
                <w:b/>
                <w:i w:val="0"/>
                <w:sz w:val="20"/>
              </w:rPr>
              <w:t>Target</w:t>
            </w:r>
          </w:p>
        </w:tc>
        <w:tc>
          <w:tcPr>
            <w:tcW w:type="dxa" w:w="2041"/>
            <w:shd w:val="clear" w:color="auto" w:fill="EDEDED"/>
            <w:tcBorders>
              <w:bottom w:val="single" w:sz="6" w:space="0" w:color="000000"/>
            </w:tcBorders>
          </w:tcPr>
          <w:p>
            <w:pPr>
              <w:spacing w:line="240" w:lineRule="auto" w:after="40" w:before="40"/>
              <w:jc w:val="left"/>
            </w:pPr>
            <w:r>
              <w:rPr>
                <w:b/>
                <w:i w:val="0"/>
                <w:sz w:val="20"/>
              </w:rPr>
              <w:t>ROC-AUC</w:t>
            </w:r>
          </w:p>
        </w:tc>
        <w:tc>
          <w:tcPr>
            <w:tcW w:type="dxa" w:w="1020"/>
            <w:shd w:val="clear" w:color="auto" w:fill="EDEDED"/>
            <w:tcBorders>
              <w:bottom w:val="single" w:sz="6" w:space="0" w:color="000000"/>
            </w:tcBorders>
          </w:tcPr>
          <w:p>
            <w:pPr>
              <w:spacing w:line="240" w:lineRule="auto" w:after="40" w:before="40"/>
              <w:jc w:val="right"/>
            </w:pPr>
            <w:r>
              <w:rPr>
                <w:b/>
                <w:i w:val="0"/>
                <w:sz w:val="20"/>
              </w:rPr>
              <w:t>Brier</w:t>
            </w:r>
          </w:p>
        </w:tc>
        <w:tc>
          <w:tcPr>
            <w:tcW w:type="dxa" w:w="1587"/>
            <w:shd w:val="clear" w:color="auto" w:fill="EDEDED"/>
            <w:tcBorders>
              <w:bottom w:val="single" w:sz="6" w:space="0" w:color="000000"/>
            </w:tcBorders>
          </w:tcPr>
          <w:p>
            <w:pPr>
              <w:spacing w:line="240" w:lineRule="auto" w:after="40" w:before="40"/>
              <w:jc w:val="right"/>
            </w:pPr>
            <w:r>
              <w:rPr>
                <w:b/>
                <w:i w:val="0"/>
                <w:sz w:val="20"/>
              </w:rPr>
              <w:t>Calibration error</w:t>
            </w:r>
          </w:p>
        </w:tc>
        <w:tc>
          <w:tcPr>
            <w:tcW w:type="dxa" w:w="1304"/>
            <w:shd w:val="clear" w:color="auto" w:fill="EDEDED"/>
            <w:tcBorders>
              <w:bottom w:val="single" w:sz="6" w:space="0" w:color="000000"/>
            </w:tcBorders>
          </w:tcPr>
          <w:p>
            <w:pPr>
              <w:spacing w:line="240" w:lineRule="auto" w:after="40" w:before="40"/>
              <w:jc w:val="right"/>
            </w:pPr>
            <w:r>
              <w:rPr>
                <w:b/>
                <w:i w:val="0"/>
                <w:sz w:val="20"/>
              </w:rPr>
              <w:t>F1</w:t>
            </w:r>
          </w:p>
        </w:tc>
      </w:tr>
      <w:tr>
        <w:trPr>
          <w:cantSplit/>
        </w:trPr>
        <w:tc>
          <w:tcPr>
            <w:tcW w:type="dxa" w:w="3061"/>
          </w:tcPr>
          <w:p>
            <w:pPr>
              <w:spacing w:line="240" w:lineRule="auto" w:after="40" w:before="40"/>
              <w:jc w:val="left"/>
            </w:pPr>
            <w:r>
              <w:rPr>
                <w:b w:val="0"/>
                <w:i w:val="0"/>
                <w:sz w:val="20"/>
              </w:rPr>
              <w:t>CAP ≥ 248 dB/m (any steatosis)</w:t>
            </w:r>
          </w:p>
        </w:tc>
        <w:tc>
          <w:tcPr>
            <w:tcW w:type="dxa" w:w="2041"/>
          </w:tcPr>
          <w:p>
            <w:pPr>
              <w:spacing w:line="240" w:lineRule="auto" w:after="40" w:before="40"/>
              <w:jc w:val="left"/>
            </w:pPr>
            <w:r>
              <w:rPr>
                <w:b w:val="0"/>
                <w:i w:val="0"/>
                <w:sz w:val="20"/>
              </w:rPr>
              <w:t>0.881 (0.863–0.899)</w:t>
            </w:r>
          </w:p>
        </w:tc>
        <w:tc>
          <w:tcPr>
            <w:tcW w:type="dxa" w:w="1020"/>
          </w:tcPr>
          <w:p>
            <w:pPr>
              <w:spacing w:line="240" w:lineRule="auto" w:after="40" w:before="40"/>
              <w:jc w:val="right"/>
            </w:pPr>
            <w:r>
              <w:rPr>
                <w:b w:val="0"/>
                <w:i w:val="0"/>
                <w:sz w:val="20"/>
              </w:rPr>
              <w:t>0.140</w:t>
            </w:r>
          </w:p>
        </w:tc>
        <w:tc>
          <w:tcPr>
            <w:tcW w:type="dxa" w:w="1587"/>
          </w:tcPr>
          <w:p>
            <w:pPr>
              <w:spacing w:line="240" w:lineRule="auto" w:after="40" w:before="40"/>
              <w:jc w:val="right"/>
            </w:pPr>
            <w:r>
              <w:rPr>
                <w:b w:val="0"/>
                <w:i w:val="0"/>
                <w:sz w:val="20"/>
              </w:rPr>
              <w:t>0.018</w:t>
            </w:r>
          </w:p>
        </w:tc>
        <w:tc>
          <w:tcPr>
            <w:tcW w:type="dxa" w:w="1304"/>
          </w:tcPr>
          <w:p>
            <w:pPr>
              <w:spacing w:line="240" w:lineRule="auto" w:after="40" w:before="40"/>
              <w:jc w:val="right"/>
            </w:pPr>
            <w:r>
              <w:rPr>
                <w:b w:val="0"/>
                <w:i w:val="0"/>
                <w:sz w:val="20"/>
              </w:rPr>
              <w:t>0.806</w:t>
            </w:r>
          </w:p>
        </w:tc>
      </w:tr>
      <w:tr>
        <w:trPr>
          <w:cantSplit/>
        </w:trPr>
        <w:tc>
          <w:tcPr>
            <w:tcW w:type="dxa" w:w="3061"/>
          </w:tcPr>
          <w:p>
            <w:pPr>
              <w:spacing w:line="240" w:lineRule="auto" w:after="40" w:before="40"/>
              <w:jc w:val="left"/>
            </w:pPr>
            <w:r>
              <w:rPr>
                <w:b w:val="0"/>
                <w:i w:val="0"/>
                <w:sz w:val="20"/>
              </w:rPr>
              <w:t>CAP ≥ 280 dB/m</w:t>
            </w:r>
          </w:p>
        </w:tc>
        <w:tc>
          <w:tcPr>
            <w:tcW w:type="dxa" w:w="2041"/>
          </w:tcPr>
          <w:p>
            <w:pPr>
              <w:spacing w:line="240" w:lineRule="auto" w:after="40" w:before="40"/>
              <w:jc w:val="left"/>
            </w:pPr>
            <w:r>
              <w:rPr>
                <w:b w:val="0"/>
                <w:i w:val="0"/>
                <w:sz w:val="20"/>
              </w:rPr>
              <w:t>0.879 (0.860–0.898)</w:t>
            </w:r>
          </w:p>
        </w:tc>
        <w:tc>
          <w:tcPr>
            <w:tcW w:type="dxa" w:w="1020"/>
          </w:tcPr>
          <w:p>
            <w:pPr>
              <w:spacing w:line="240" w:lineRule="auto" w:after="40" w:before="40"/>
              <w:jc w:val="right"/>
            </w:pPr>
            <w:r>
              <w:rPr>
                <w:b w:val="0"/>
                <w:i w:val="0"/>
                <w:sz w:val="20"/>
              </w:rPr>
              <w:t>0.132</w:t>
            </w:r>
          </w:p>
        </w:tc>
        <w:tc>
          <w:tcPr>
            <w:tcW w:type="dxa" w:w="1587"/>
          </w:tcPr>
          <w:p>
            <w:pPr>
              <w:spacing w:line="240" w:lineRule="auto" w:after="40" w:before="40"/>
              <w:jc w:val="right"/>
            </w:pPr>
            <w:r>
              <w:rPr>
                <w:b w:val="0"/>
                <w:i w:val="0"/>
                <w:sz w:val="20"/>
              </w:rPr>
              <w:t>0.022</w:t>
            </w:r>
          </w:p>
        </w:tc>
        <w:tc>
          <w:tcPr>
            <w:tcW w:type="dxa" w:w="1304"/>
          </w:tcPr>
          <w:p>
            <w:pPr>
              <w:spacing w:line="240" w:lineRule="auto" w:after="40" w:before="40"/>
              <w:jc w:val="right"/>
            </w:pPr>
            <w:r>
              <w:rPr>
                <w:b w:val="0"/>
                <w:i w:val="0"/>
                <w:sz w:val="20"/>
              </w:rPr>
              <w:t>0.713</w:t>
            </w:r>
          </w:p>
        </w:tc>
      </w:tr>
    </w:tbl>
    <w:p>
      <w:pPr>
        <w:spacing w:after="200" w:line="240" w:lineRule="auto" w:before="80"/>
        <w:jc w:val="left"/>
      </w:pPr>
      <w:r>
        <w:rPr>
          <w:b w:val="0"/>
          <w:i/>
          <w:sz w:val="18"/>
        </w:rPr>
        <w:t>All 3,060 test participants: AUC 0.857 and 0.868.</w:t>
      </w:r>
    </w:p>
    <w:p>
      <w:pPr>
        <w:pStyle w:val="Heading3"/>
      </w:pPr>
      <w:r>
        <w:t>Reasons for the selection</w:t>
      </w:r>
    </w:p>
    <w:p>
      <w:pPr>
        <w:ind w:left="510" w:hanging="340"/>
      </w:pPr>
      <w:r>
        <w:rPr>
          <w:b w:val="0"/>
          <w:i w:val="0"/>
        </w:rPr>
        <w:t xml:space="preserve">1. </w:t>
      </w:r>
      <w:r>
        <w:rPr>
          <w:b/>
          <w:i w:val="0"/>
        </w:rPr>
        <w:t>Best result on every measure.</w:t>
      </w:r>
      <w:r>
        <w:rPr>
          <w:b w:val="0"/>
          <w:i w:val="0"/>
        </w:rPr>
        <w:t xml:space="preserve"> Highest test R² in the scope among 15 candidates, highest full-population cross-validation R², and better than the same inputs trained on the same participants in the scope and in each of its age bands.</w:t>
      </w:r>
    </w:p>
    <w:p>
      <w:pPr>
        <w:ind w:left="510" w:hanging="340"/>
      </w:pPr>
      <w:r>
        <w:rPr>
          <w:b w:val="0"/>
          <w:i w:val="0"/>
        </w:rPr>
        <w:t xml:space="preserve">2. </w:t>
      </w:r>
      <w:r>
        <w:rPr>
          <w:b/>
          <w:i w:val="0"/>
        </w:rPr>
        <w:t>Defined scope.</w:t>
      </w:r>
      <w:r>
        <w:rPr>
          <w:b w:val="0"/>
          <w:i w:val="0"/>
        </w:rPr>
        <w:t xml:space="preserve"> Intended for ages 12 to 59, where its accuracy is highest and validated; trained on every participant, which serves the scope better than training on it alone.</w:t>
      </w:r>
    </w:p>
    <w:p>
      <w:pPr>
        <w:ind w:left="510" w:hanging="340"/>
      </w:pPr>
      <w:r>
        <w:rPr>
          <w:b w:val="0"/>
          <w:i w:val="0"/>
        </w:rPr>
        <w:t xml:space="preserve">3. </w:t>
      </w:r>
      <w:r>
        <w:rPr>
          <w:b/>
          <w:i w:val="0"/>
        </w:rPr>
        <w:t>Routinely collectable inputs only.</w:t>
      </w:r>
      <w:r>
        <w:rPr>
          <w:b w:val="0"/>
          <w:i w:val="0"/>
        </w:rPr>
        <w:t xml:space="preserve"> Body measurements, standard blood tests, blood pressure and a short questionnaire. No input comes from the FibroScan examination or from DXA.</w:t>
      </w:r>
    </w:p>
    <w:p>
      <w:pPr>
        <w:ind w:left="510" w:hanging="340"/>
      </w:pPr>
      <w:r>
        <w:rPr>
          <w:b w:val="0"/>
          <w:i w:val="0"/>
        </w:rPr>
        <w:t xml:space="preserve">4. </w:t>
      </w:r>
      <w:r>
        <w:rPr>
          <w:b/>
          <w:i w:val="0"/>
        </w:rPr>
        <w:t>Alignment with the proposal.</w:t>
      </w:r>
      <w:r>
        <w:rPr>
          <w:b w:val="0"/>
          <w:i w:val="0"/>
        </w:rPr>
        <w:t xml:space="preserve"> The proposal’s evaluation plan (Section 12.1) specifies ROC-AUC, F1, Brier score and calibration; the calibrated classifiers report all four.</w:t>
      </w:r>
    </w:p>
    <w:p>
      <w:pPr>
        <w:ind w:left="510" w:hanging="340"/>
      </w:pPr>
      <w:r>
        <w:rPr>
          <w:b w:val="0"/>
          <w:i w:val="0"/>
        </w:rPr>
        <w:t xml:space="preserve">5. </w:t>
      </w:r>
      <w:r>
        <w:rPr>
          <w:b/>
          <w:i w:val="0"/>
        </w:rPr>
        <w:t>Tolerance of missing data.</w:t>
      </w:r>
      <w:r>
        <w:rPr>
          <w:b w:val="0"/>
          <w:i w:val="0"/>
        </w:rPr>
        <w:t xml:space="preserve"> Fasting laboratory values are missing for about half of participants; the model accepts missing inputs.</w:t>
      </w:r>
    </w:p>
    <w:p>
      <w:pPr>
        <w:pStyle w:val="Heading3"/>
      </w:pPr>
      <w:r>
        <w:t>Alternatives not selected</w:t>
      </w:r>
    </w:p>
    <w:p>
      <w:pPr>
        <w:pStyle w:val="Caption"/>
      </w:pPr>
      <w:r>
        <w:rPr>
          <w:b/>
        </w:rPr>
        <w:t xml:space="preserve">Table A.16. </w:t>
      </w:r>
      <w:r>
        <w:t>Alternatives considered and reasons for rejection.</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3009"/>
        <w:gridCol w:w="3009"/>
        <w:gridCol w:w="3009"/>
      </w:tblGrid>
      <w:tr>
        <w:trPr>
          <w:tblHeader/>
          <w:cantSplit/>
        </w:trPr>
        <w:tc>
          <w:tcPr>
            <w:tcW w:type="dxa" w:w="2835"/>
            <w:shd w:val="clear" w:color="auto" w:fill="EDEDED"/>
            <w:tcBorders>
              <w:bottom w:val="single" w:sz="6" w:space="0" w:color="000000"/>
            </w:tcBorders>
          </w:tcPr>
          <w:p>
            <w:pPr>
              <w:spacing w:line="240" w:lineRule="auto" w:after="40" w:before="40"/>
              <w:jc w:val="left"/>
            </w:pPr>
            <w:r>
              <w:rPr>
                <w:b/>
                <w:i w:val="0"/>
                <w:sz w:val="20"/>
              </w:rPr>
              <w:t>Alternative</w:t>
            </w:r>
          </w:p>
        </w:tc>
        <w:tc>
          <w:tcPr>
            <w:tcW w:type="dxa" w:w="1701"/>
            <w:shd w:val="clear" w:color="auto" w:fill="EDEDED"/>
            <w:tcBorders>
              <w:bottom w:val="single" w:sz="6" w:space="0" w:color="000000"/>
            </w:tcBorders>
          </w:tcPr>
          <w:p>
            <w:pPr>
              <w:spacing w:line="240" w:lineRule="auto" w:after="40" w:before="40"/>
              <w:jc w:val="left"/>
            </w:pPr>
            <w:r>
              <w:rPr>
                <w:b/>
                <w:i w:val="0"/>
                <w:sz w:val="20"/>
              </w:rPr>
              <w:t>Result</w:t>
            </w:r>
          </w:p>
        </w:tc>
        <w:tc>
          <w:tcPr>
            <w:tcW w:type="dxa" w:w="4479"/>
            <w:shd w:val="clear" w:color="auto" w:fill="EDEDED"/>
            <w:tcBorders>
              <w:bottom w:val="single" w:sz="6" w:space="0" w:color="000000"/>
            </w:tcBorders>
          </w:tcPr>
          <w:p>
            <w:pPr>
              <w:spacing w:line="240" w:lineRule="auto" w:after="40" w:before="40"/>
              <w:jc w:val="left"/>
            </w:pPr>
            <w:r>
              <w:rPr>
                <w:b/>
                <w:i w:val="0"/>
                <w:sz w:val="20"/>
              </w:rPr>
              <w:t>Reason not selected</w:t>
            </w:r>
          </w:p>
        </w:tc>
      </w:tr>
      <w:tr>
        <w:trPr>
          <w:cantSplit/>
        </w:trPr>
        <w:tc>
          <w:tcPr>
            <w:tcW w:type="dxa" w:w="2835"/>
          </w:tcPr>
          <w:p>
            <w:pPr>
              <w:spacing w:line="240" w:lineRule="auto" w:after="40" w:before="40"/>
              <w:jc w:val="left"/>
            </w:pPr>
            <w:r>
              <w:rPr>
                <w:b w:val="0"/>
                <w:i w:val="0"/>
                <w:sz w:val="20"/>
              </w:rPr>
              <w:t>Model trained only on the scope population</w:t>
            </w:r>
          </w:p>
        </w:tc>
        <w:tc>
          <w:tcPr>
            <w:tcW w:type="dxa" w:w="1701"/>
          </w:tcPr>
          <w:p>
            <w:pPr>
              <w:spacing w:line="240" w:lineRule="auto" w:after="40" w:before="40"/>
              <w:jc w:val="left"/>
            </w:pPr>
            <w:r>
              <w:rPr>
                <w:b w:val="0"/>
                <w:i w:val="0"/>
                <w:sz w:val="20"/>
              </w:rPr>
              <w:t>R² 0.547–0.553 (test)</w:t>
            </w:r>
          </w:p>
        </w:tc>
        <w:tc>
          <w:tcPr>
            <w:tcW w:type="dxa" w:w="4479"/>
          </w:tcPr>
          <w:p>
            <w:pPr>
              <w:spacing w:line="240" w:lineRule="auto" w:after="40" w:before="40"/>
              <w:jc w:val="left"/>
            </w:pPr>
            <w:r>
              <w:rPr>
                <w:b w:val="0"/>
                <w:i w:val="0"/>
                <w:sz w:val="20"/>
              </w:rPr>
              <w:t>Training only on the target group, or only on ages 12–59, predicts the scope less well than training on everyone (E40).</w:t>
            </w:r>
          </w:p>
        </w:tc>
      </w:tr>
      <w:tr>
        <w:trPr>
          <w:cantSplit/>
        </w:trPr>
        <w:tc>
          <w:tcPr>
            <w:tcW w:type="dxa" w:w="2835"/>
          </w:tcPr>
          <w:p>
            <w:pPr>
              <w:spacing w:line="240" w:lineRule="auto" w:after="40" w:before="40"/>
              <w:jc w:val="left"/>
            </w:pPr>
            <w:r>
              <w:rPr>
                <w:b w:val="0"/>
                <w:i w:val="0"/>
                <w:sz w:val="20"/>
              </w:rPr>
              <w:t>128-input model</w:t>
            </w:r>
          </w:p>
        </w:tc>
        <w:tc>
          <w:tcPr>
            <w:tcW w:type="dxa" w:w="1701"/>
          </w:tcPr>
          <w:p>
            <w:pPr>
              <w:spacing w:line="240" w:lineRule="auto" w:after="40" w:before="40"/>
              <w:jc w:val="left"/>
            </w:pPr>
            <w:r>
              <w:rPr>
                <w:b w:val="0"/>
                <w:i w:val="0"/>
                <w:sz w:val="20"/>
              </w:rPr>
              <w:t>R² 0.524 (P2)</w:t>
            </w:r>
          </w:p>
        </w:tc>
        <w:tc>
          <w:tcPr>
            <w:tcW w:type="dxa" w:w="4479"/>
          </w:tcPr>
          <w:p>
            <w:pPr>
              <w:spacing w:line="240" w:lineRule="auto" w:after="40" w:before="40"/>
              <w:jc w:val="left"/>
            </w:pPr>
            <w:r>
              <w:rPr>
                <w:b w:val="0"/>
                <w:i w:val="0"/>
                <w:sz w:val="20"/>
              </w:rPr>
              <w:t>About 30 of its variables were not collected in 2021–2023; adding them to the pooled cohort raised CV R² by only 0.002 (0.518 to 0.519).</w:t>
            </w:r>
          </w:p>
        </w:tc>
      </w:tr>
      <w:tr>
        <w:trPr>
          <w:cantSplit/>
        </w:trPr>
        <w:tc>
          <w:tcPr>
            <w:tcW w:type="dxa" w:w="2835"/>
          </w:tcPr>
          <w:p>
            <w:pPr>
              <w:spacing w:line="240" w:lineRule="auto" w:after="40" w:before="40"/>
              <w:jc w:val="left"/>
            </w:pPr>
            <w:r>
              <w:rPr>
                <w:b w:val="0"/>
                <w:i w:val="0"/>
                <w:sz w:val="20"/>
              </w:rPr>
              <w:t>Probe type or liver stiffness as inputs</w:t>
            </w:r>
          </w:p>
        </w:tc>
        <w:tc>
          <w:tcPr>
            <w:tcW w:type="dxa" w:w="1701"/>
          </w:tcPr>
          <w:p>
            <w:pPr>
              <w:spacing w:line="240" w:lineRule="auto" w:after="40" w:before="40"/>
              <w:jc w:val="left"/>
            </w:pPr>
            <w:r>
              <w:rPr>
                <w:b w:val="0"/>
                <w:i w:val="0"/>
                <w:sz w:val="20"/>
              </w:rPr>
              <w:t>R² 0.524–0.529</w:t>
            </w:r>
          </w:p>
        </w:tc>
        <w:tc>
          <w:tcPr>
            <w:tcW w:type="dxa" w:w="4479"/>
          </w:tcPr>
          <w:p>
            <w:pPr>
              <w:spacing w:line="240" w:lineRule="auto" w:after="40" w:before="40"/>
              <w:jc w:val="left"/>
            </w:pPr>
            <w:r>
              <w:rPr>
                <w:b w:val="0"/>
                <w:i w:val="0"/>
                <w:sz w:val="20"/>
              </w:rPr>
              <w:t>Both are produced by the FibroScan examination and are unavailable without a measured CAP.</w:t>
            </w:r>
          </w:p>
        </w:tc>
      </w:tr>
      <w:tr>
        <w:trPr>
          <w:cantSplit/>
        </w:trPr>
        <w:tc>
          <w:tcPr>
            <w:tcW w:type="dxa" w:w="2835"/>
          </w:tcPr>
          <w:p>
            <w:pPr>
              <w:spacing w:line="240" w:lineRule="auto" w:after="40" w:before="40"/>
              <w:jc w:val="left"/>
            </w:pPr>
            <w:r>
              <w:rPr>
                <w:b w:val="0"/>
                <w:i w:val="0"/>
                <w:sz w:val="20"/>
              </w:rPr>
              <w:t>Stacking, CatBoost, MLP, hybrid models, ensembles</w:t>
            </w:r>
          </w:p>
        </w:tc>
        <w:tc>
          <w:tcPr>
            <w:tcW w:type="dxa" w:w="1701"/>
          </w:tcPr>
          <w:p>
            <w:pPr>
              <w:spacing w:line="240" w:lineRule="auto" w:after="40" w:before="40"/>
              <w:jc w:val="left"/>
            </w:pPr>
            <w:r>
              <w:rPr>
                <w:b w:val="0"/>
                <w:i w:val="0"/>
                <w:sz w:val="20"/>
              </w:rPr>
              <w:t>R² 0.453–0.513</w:t>
            </w:r>
          </w:p>
        </w:tc>
        <w:tc>
          <w:tcPr>
            <w:tcW w:type="dxa" w:w="4479"/>
          </w:tcPr>
          <w:p>
            <w:pPr>
              <w:spacing w:line="240" w:lineRule="auto" w:after="40" w:before="40"/>
              <w:jc w:val="left"/>
            </w:pPr>
            <w:r>
              <w:rPr>
                <w:b w:val="0"/>
                <w:i w:val="0"/>
                <w:sz w:val="20"/>
              </w:rPr>
              <w:t>No gain, or a gain too small to justify the added complexity (also E47).</w:t>
            </w:r>
          </w:p>
        </w:tc>
      </w:tr>
      <w:tr>
        <w:trPr>
          <w:cantSplit/>
        </w:trPr>
        <w:tc>
          <w:tcPr>
            <w:tcW w:type="dxa" w:w="2835"/>
          </w:tcPr>
          <w:p>
            <w:pPr>
              <w:spacing w:line="240" w:lineRule="auto" w:after="40" w:before="40"/>
              <w:jc w:val="left"/>
            </w:pPr>
            <w:r>
              <w:rPr>
                <w:b w:val="0"/>
                <w:i w:val="0"/>
                <w:sz w:val="20"/>
              </w:rPr>
              <w:t>DXA visceral fat</w:t>
            </w:r>
          </w:p>
        </w:tc>
        <w:tc>
          <w:tcPr>
            <w:tcW w:type="dxa" w:w="1701"/>
          </w:tcPr>
          <w:p>
            <w:pPr>
              <w:spacing w:line="240" w:lineRule="auto" w:after="40" w:before="40"/>
              <w:jc w:val="left"/>
            </w:pPr>
            <w:r>
              <w:rPr>
                <w:b w:val="0"/>
                <w:i w:val="0"/>
                <w:sz w:val="20"/>
              </w:rPr>
              <w:t>+0.007 R²</w:t>
            </w:r>
          </w:p>
        </w:tc>
        <w:tc>
          <w:tcPr>
            <w:tcW w:type="dxa" w:w="4479"/>
          </w:tcPr>
          <w:p>
            <w:pPr>
              <w:spacing w:line="240" w:lineRule="auto" w:after="40" w:before="40"/>
              <w:jc w:val="left"/>
            </w:pPr>
            <w:r>
              <w:rPr>
                <w:b w:val="0"/>
                <w:i w:val="0"/>
                <w:sz w:val="20"/>
              </w:rPr>
              <w:t>Available for one partial cycle only and not a routine test.</w:t>
            </w:r>
          </w:p>
        </w:tc>
      </w:tr>
    </w:tbl>
    <w:p>
      <w:pPr>
        <w:spacing w:after="40"/>
      </w:pPr>
    </w:p>
    <w:p>
      <w:pPr>
        <w:pStyle w:val="Heading2"/>
      </w:pPr>
      <w:r>
        <w:t>A.10 Why R² Plateaus</w:t>
      </w:r>
    </w:p>
    <w:p>
      <w:r>
        <w:rPr>
          <w:b w:val="0"/>
          <w:i w:val="0"/>
        </w:rPr>
        <w:t>Nine independent lines of evidence indicate that the remaining variation in CAP is not explained by routine clinical measurements:</w:t>
      </w:r>
    </w:p>
    <w:p>
      <w:pPr>
        <w:ind w:left="510" w:hanging="340"/>
      </w:pPr>
      <w:r>
        <w:rPr>
          <w:b w:val="0"/>
          <w:i w:val="0"/>
        </w:rPr>
        <w:t>1. Every algorithm tested (linear regression, random forest, Extra Trees, histogram boosting, XGBoost, CatBoost, a neural network and stacking) reaches an R² between 0.45 and 0.52 on the same inputs (E2, E11, E19, E24–E26).</w:t>
      </w:r>
    </w:p>
    <w:p>
      <w:pPr>
        <w:ind w:left="510" w:hanging="340"/>
      </w:pPr>
      <w:r>
        <w:rPr>
          <w:b w:val="0"/>
          <w:i w:val="0"/>
        </w:rPr>
        <w:t>2. Feature engineering, selection and ablation change R² by at most 0.003 (E7–E10, E23).</w:t>
      </w:r>
    </w:p>
    <w:p>
      <w:pPr>
        <w:ind w:left="510" w:hanging="340"/>
      </w:pPr>
      <w:r>
        <w:rPr>
          <w:b w:val="0"/>
          <w:i w:val="0"/>
        </w:rPr>
        <w:t>3. The learning curve is flat; 6,279 additional participants add 0.004 (E30, E31; Figure A.1).</w:t>
      </w:r>
    </w:p>
    <w:p>
      <w:pPr>
        <w:ind w:left="510" w:hanging="340"/>
      </w:pPr>
      <w:r>
        <w:rPr>
          <w:b w:val="0"/>
          <w:i w:val="0"/>
        </w:rPr>
        <w:t>4. Direct DXA measurement of visceral fat adds 0.007 (E32).</w:t>
      </w:r>
    </w:p>
    <w:p>
      <w:pPr>
        <w:ind w:left="510" w:hanging="340"/>
      </w:pPr>
      <w:r>
        <w:rPr>
          <w:b w:val="0"/>
          <w:i w:val="0"/>
        </w:rPr>
        <w:t>5. Approximately 80 additional NHANES variables add 0.010 (E29).</w:t>
      </w:r>
    </w:p>
    <w:p>
      <w:pPr>
        <w:ind w:left="510" w:hanging="340"/>
      </w:pPr>
      <w:r>
        <w:rPr>
          <w:b w:val="0"/>
          <w:i w:val="0"/>
        </w:rPr>
        <w:t>6. Even inputs taken from the FibroScan examination itself reach only 0.53 (E34).</w:t>
      </w:r>
    </w:p>
    <w:p>
      <w:pPr>
        <w:ind w:left="510" w:hanging="340"/>
      </w:pPr>
      <w:r>
        <w:rPr>
          <w:b w:val="0"/>
          <w:i w:val="0"/>
        </w:rPr>
        <w:t>7. Within-examination measurement noise is about 4% of the variance, so the unexplained variance reflects biological differences between people with similar measured profiles, such as genetic risk, alcohol intake and dietary history (E33). Genetic risk alone is large: liver fat is about 52% heritable in twins (Loomba et al., 2015), and NHANES 2017–2023 contains no genotypes.</w:t>
      </w:r>
    </w:p>
    <w:p>
      <w:pPr>
        <w:ind w:left="510" w:hanging="340"/>
      </w:pPr>
      <w:r>
        <w:rPr>
          <w:b w:val="0"/>
          <w:i w:val="0"/>
        </w:rPr>
        <w:t>8. Within the scope, every change to inputs, imputation, loss, tuning, training population and ensembling all scored between 0.584 and 0.597, a spread smaller than the variation between cross-validation folds (E40–E47).</w:t>
      </w:r>
    </w:p>
    <w:p>
      <w:pPr>
        <w:ind w:left="510" w:hanging="340"/>
      </w:pPr>
      <w:r>
        <w:rPr>
          <w:b w:val="0"/>
          <w:i w:val="0"/>
        </w:rPr>
        <w:t>9. CAP is itself an imperfect measure of liver fat. Two operators agree with a concordance correlation of 0.82 (Ferraioli, 2021), and CAP correlates with MRI-PDFF at r = 0.66 (Ahn et al., 2018), so it shares about 44% of its variance with the reference measure. Part of every CAP reading is therefore measurement variation that no patient characteristic can predict.</w:t>
      </w:r>
    </w:p>
    <w:p>
      <w:r>
        <w:rPr>
          <w:b w:val="0"/>
          <w:i w:val="0"/>
        </w:rPr>
        <w:t>Together these set a realistic ceiling. A model that knew each patient’s true liver state would still be compared with a single CAP reading, whose reproducibility limits R² to the order of 0.8; the heritable share of liver fat, which routine measurements do not capture, lowers the attainable value further. The in-scope test R² of 0.562 (0.593 in cross-validation) should be read against this ceiling rather than against 1.</w:t>
      </w:r>
    </w:p>
    <w:p>
      <w:r>
        <w:rPr>
          <w:b w:val="0"/>
          <w:i w:val="0"/>
        </w:rPr>
        <w:t>The learning curve below refits the selected settings on random subsets of the training set and scores the in-scope test participants. Test R² rises from 0.501 with 1,224 participants to 0.556 with 9,180 and only to 0.561 with the full 12,240; AUC follows the same pattern (0.866 to 0.880).</w:t>
      </w:r>
    </w:p>
    <w:p>
      <w:pPr>
        <w:keepNext/>
        <w:spacing w:before="240"/>
        <w:jc w:val="center"/>
      </w:pPr>
      <w:r>
        <w:drawing>
          <wp:inline xmlns:a="http://schemas.openxmlformats.org/drawingml/2006/main" xmlns:pic="http://schemas.openxmlformats.org/drawingml/2006/picture">
            <wp:extent cx="5724000" cy="2513965"/>
            <wp:docPr id="1" name="Picture 1"/>
            <wp:cNvGraphicFramePr>
              <a:graphicFrameLocks noChangeAspect="1"/>
            </wp:cNvGraphicFramePr>
            <a:graphic>
              <a:graphicData uri="http://schemas.openxmlformats.org/drawingml/2006/picture">
                <pic:pic>
                  <pic:nvPicPr>
                    <pic:cNvPr id="0" name="fig_learning_curve.png"/>
                    <pic:cNvPicPr/>
                  </pic:nvPicPr>
                  <pic:blipFill>
                    <a:blip r:embed="rId9"/>
                    <a:stretch>
                      <a:fillRect/>
                    </a:stretch>
                  </pic:blipFill>
                  <pic:spPr>
                    <a:xfrm>
                      <a:off x="0" y="0"/>
                      <a:ext cx="5724000" cy="2513965"/>
                    </a:xfrm>
                    <a:prstGeom prst="rect"/>
                  </pic:spPr>
                </pic:pic>
              </a:graphicData>
            </a:graphic>
          </wp:inline>
        </w:drawing>
      </w:r>
    </w:p>
    <w:p>
      <w:pPr>
        <w:pStyle w:val="Caption"/>
        <w:spacing w:before="80" w:after="240"/>
      </w:pPr>
      <w:r>
        <w:rPr>
          <w:b/>
        </w:rPr>
        <w:t xml:space="preserve">Figure A.1. </w:t>
      </w:r>
      <w:r>
        <w:t>Learning curves for the selected settings: held-out test performance within the scope (n = 1,236) against the number of training participants.</w:t>
      </w:r>
    </w:p>
    <w:p>
      <w:r>
        <w:rPr>
          <w:b w:val="0"/>
          <w:i w:val="0"/>
        </w:rPr>
        <w:t>R² is therefore reported within the scope (0.562 on the held-out test set; 0.593 in repeated cross-validation) together with ROC-AUC and calibration, and the plateau is presented as a finding.</w:t>
      </w:r>
    </w:p>
    <w:p>
      <w:pPr>
        <w:pStyle w:val="Heading2"/>
      </w:pPr>
      <w:r>
        <w:t>A.11 Additional Validation of the Selected Model</w:t>
      </w:r>
    </w:p>
    <w:p>
      <w:r>
        <w:rPr>
          <w:b w:val="0"/>
          <w:i w:val="0"/>
        </w:rPr>
        <w:t>After selection, five further analyses (V1–V5) tested the selected model against the limitations identified during development. None of them changed the model or its settings, and the test set was not used to choose anything. All results are for the scope; intervals are 95% percentile bootstrap intervals from 1,000 participant resamples of the test set.</w:t>
      </w:r>
    </w:p>
    <w:p>
      <w:pPr>
        <w:pStyle w:val="Caption"/>
      </w:pPr>
      <w:r>
        <w:rPr>
          <w:b/>
        </w:rPr>
        <w:t xml:space="preserve">Table A.17. </w:t>
      </w:r>
      <w:r>
        <w:t>Additional validation analyses.</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504"/>
        <w:gridCol w:w="1504"/>
        <w:gridCol w:w="1504"/>
        <w:gridCol w:w="1504"/>
        <w:gridCol w:w="1504"/>
        <w:gridCol w:w="1504"/>
      </w:tblGrid>
      <w:tr>
        <w:trPr>
          <w:tblHeader/>
          <w:cantSplit/>
        </w:trPr>
        <w:tc>
          <w:tcPr>
            <w:tcW w:type="dxa" w:w="510"/>
            <w:shd w:val="clear" w:color="auto" w:fill="EDEDED"/>
            <w:tcBorders>
              <w:bottom w:val="single" w:sz="6" w:space="0" w:color="000000"/>
            </w:tcBorders>
          </w:tcPr>
          <w:p>
            <w:pPr>
              <w:spacing w:line="240" w:lineRule="auto" w:after="40" w:before="40"/>
              <w:jc w:val="left"/>
            </w:pPr>
            <w:r>
              <w:rPr>
                <w:b/>
                <w:i w:val="0"/>
                <w:sz w:val="18"/>
              </w:rPr>
              <w:t>ID</w:t>
            </w:r>
          </w:p>
        </w:tc>
        <w:tc>
          <w:tcPr>
            <w:tcW w:type="dxa" w:w="1417"/>
            <w:shd w:val="clear" w:color="auto" w:fill="EDEDED"/>
            <w:tcBorders>
              <w:bottom w:val="single" w:sz="6" w:space="0" w:color="000000"/>
            </w:tcBorders>
          </w:tcPr>
          <w:p>
            <w:pPr>
              <w:spacing w:line="240" w:lineRule="auto" w:after="40" w:before="40"/>
              <w:jc w:val="left"/>
            </w:pPr>
            <w:r>
              <w:rPr>
                <w:b/>
                <w:i w:val="0"/>
                <w:sz w:val="18"/>
              </w:rPr>
              <w:t>Experiment</w:t>
            </w:r>
          </w:p>
        </w:tc>
        <w:tc>
          <w:tcPr>
            <w:tcW w:type="dxa" w:w="1814"/>
            <w:shd w:val="clear" w:color="auto" w:fill="EDEDED"/>
            <w:tcBorders>
              <w:bottom w:val="single" w:sz="6" w:space="0" w:color="000000"/>
            </w:tcBorders>
          </w:tcPr>
          <w:p>
            <w:pPr>
              <w:spacing w:line="240" w:lineRule="auto" w:after="40" w:before="40"/>
              <w:jc w:val="left"/>
            </w:pPr>
            <w:r>
              <w:rPr>
                <w:b/>
                <w:i w:val="0"/>
                <w:sz w:val="18"/>
              </w:rPr>
              <w:t>What was tested</w:t>
            </w:r>
          </w:p>
        </w:tc>
        <w:tc>
          <w:tcPr>
            <w:tcW w:type="dxa" w:w="1928"/>
            <w:shd w:val="clear" w:color="auto" w:fill="EDEDED"/>
            <w:tcBorders>
              <w:bottom w:val="single" w:sz="6" w:space="0" w:color="000000"/>
            </w:tcBorders>
          </w:tcPr>
          <w:p>
            <w:pPr>
              <w:spacing w:line="240" w:lineRule="auto" w:after="40" w:before="40"/>
              <w:jc w:val="left"/>
            </w:pPr>
            <w:r>
              <w:rPr>
                <w:b/>
                <w:i w:val="0"/>
                <w:sz w:val="18"/>
              </w:rPr>
              <w:t>Result</w:t>
            </w:r>
          </w:p>
        </w:tc>
        <w:tc>
          <w:tcPr>
            <w:tcW w:type="dxa" w:w="1134"/>
            <w:shd w:val="clear" w:color="auto" w:fill="EDEDED"/>
            <w:tcBorders>
              <w:bottom w:val="single" w:sz="6" w:space="0" w:color="000000"/>
            </w:tcBorders>
          </w:tcPr>
          <w:p>
            <w:pPr>
              <w:spacing w:line="240" w:lineRule="auto" w:after="40" w:before="40"/>
              <w:jc w:val="left"/>
            </w:pPr>
            <w:r>
              <w:rPr>
                <w:b/>
                <w:i w:val="0"/>
                <w:sz w:val="18"/>
              </w:rPr>
              <w:t>Outcome</w:t>
            </w:r>
          </w:p>
        </w:tc>
        <w:tc>
          <w:tcPr>
            <w:tcW w:type="dxa" w:w="2211"/>
            <w:shd w:val="clear" w:color="auto" w:fill="EDEDED"/>
            <w:tcBorders>
              <w:bottom w:val="single" w:sz="6" w:space="0" w:color="000000"/>
            </w:tcBorders>
          </w:tcPr>
          <w:p>
            <w:pPr>
              <w:spacing w:line="240" w:lineRule="auto" w:after="40" w:before="40"/>
              <w:jc w:val="left"/>
            </w:pPr>
            <w:r>
              <w:rPr>
                <w:b/>
                <w:i w:val="0"/>
                <w:sz w:val="18"/>
              </w:rPr>
              <w:t>Interpretation</w:t>
            </w:r>
          </w:p>
        </w:tc>
      </w:tr>
      <w:tr>
        <w:trPr>
          <w:cantSplit/>
        </w:trPr>
        <w:tc>
          <w:tcPr>
            <w:tcW w:type="dxa" w:w="510"/>
          </w:tcPr>
          <w:p>
            <w:pPr>
              <w:spacing w:line="240" w:lineRule="auto" w:after="40" w:before="40"/>
              <w:jc w:val="left"/>
            </w:pPr>
            <w:r>
              <w:rPr>
                <w:b w:val="0"/>
                <w:i w:val="0"/>
                <w:sz w:val="18"/>
              </w:rPr>
              <w:t>V1</w:t>
            </w:r>
          </w:p>
        </w:tc>
        <w:tc>
          <w:tcPr>
            <w:tcW w:type="dxa" w:w="1417"/>
          </w:tcPr>
          <w:p>
            <w:pPr>
              <w:spacing w:line="240" w:lineRule="auto" w:after="40" w:before="40"/>
              <w:jc w:val="left"/>
            </w:pPr>
            <w:r>
              <w:rPr>
                <w:b w:val="0"/>
                <w:i w:val="0"/>
                <w:sz w:val="18"/>
              </w:rPr>
              <w:t>Uncertainty</w:t>
            </w:r>
          </w:p>
        </w:tc>
        <w:tc>
          <w:tcPr>
            <w:tcW w:type="dxa" w:w="1814"/>
          </w:tcPr>
          <w:p>
            <w:pPr>
              <w:spacing w:line="240" w:lineRule="auto" w:after="40" w:before="40"/>
              <w:jc w:val="left"/>
            </w:pPr>
            <w:r>
              <w:rPr>
                <w:b w:val="0"/>
                <w:i w:val="0"/>
                <w:sz w:val="18"/>
              </w:rPr>
              <w:t>Bootstrap intervals for every test metric, in the scope and by age group.</w:t>
            </w:r>
          </w:p>
        </w:tc>
        <w:tc>
          <w:tcPr>
            <w:tcW w:type="dxa" w:w="1928"/>
          </w:tcPr>
          <w:p>
            <w:pPr>
              <w:spacing w:line="240" w:lineRule="auto" w:after="40" w:before="40"/>
              <w:jc w:val="left"/>
            </w:pPr>
            <w:r>
              <w:rPr>
                <w:b w:val="0"/>
                <w:i w:val="0"/>
                <w:sz w:val="18"/>
              </w:rPr>
              <w:t>R² 0.562 (0.517–0.601); AUC 0.881 (0.863–0.899) and 0.879 (0.860–0.898).</w:t>
            </w:r>
          </w:p>
        </w:tc>
        <w:tc>
          <w:tcPr>
            <w:tcW w:type="dxa" w:w="1134"/>
          </w:tcPr>
          <w:p>
            <w:pPr>
              <w:spacing w:line="240" w:lineRule="auto" w:after="40" w:before="40"/>
              <w:jc w:val="left"/>
            </w:pPr>
            <w:r>
              <w:rPr>
                <w:b w:val="0"/>
                <w:i w:val="0"/>
                <w:sz w:val="18"/>
              </w:rPr>
              <w:t>Reported</w:t>
            </w:r>
          </w:p>
        </w:tc>
        <w:tc>
          <w:tcPr>
            <w:tcW w:type="dxa" w:w="2211"/>
          </w:tcPr>
          <w:p>
            <w:pPr>
              <w:spacing w:line="240" w:lineRule="auto" w:after="40" w:before="40"/>
              <w:jc w:val="left"/>
            </w:pPr>
            <w:r>
              <w:rPr>
                <w:b w:val="0"/>
                <w:i w:val="0"/>
                <w:sz w:val="18"/>
              </w:rPr>
              <w:t>The classifiers are clearly in the 0.86–0.90 AUC range; the R² interval spans ±0.04.</w:t>
            </w:r>
          </w:p>
        </w:tc>
      </w:tr>
      <w:tr>
        <w:trPr>
          <w:cantSplit/>
        </w:trPr>
        <w:tc>
          <w:tcPr>
            <w:tcW w:type="dxa" w:w="510"/>
          </w:tcPr>
          <w:p>
            <w:pPr>
              <w:spacing w:line="240" w:lineRule="auto" w:after="40" w:before="40"/>
              <w:jc w:val="left"/>
            </w:pPr>
            <w:r>
              <w:rPr>
                <w:b w:val="0"/>
                <w:i w:val="0"/>
                <w:sz w:val="18"/>
              </w:rPr>
              <w:t>V2</w:t>
            </w:r>
          </w:p>
        </w:tc>
        <w:tc>
          <w:tcPr>
            <w:tcW w:type="dxa" w:w="1417"/>
          </w:tcPr>
          <w:p>
            <w:pPr>
              <w:spacing w:line="240" w:lineRule="auto" w:after="40" w:before="40"/>
              <w:jc w:val="left"/>
            </w:pPr>
            <w:r>
              <w:rPr>
                <w:b w:val="0"/>
                <w:i w:val="0"/>
                <w:sz w:val="18"/>
              </w:rPr>
              <w:t>Survey weighting</w:t>
            </w:r>
          </w:p>
        </w:tc>
        <w:tc>
          <w:tcPr>
            <w:tcW w:type="dxa" w:w="1814"/>
          </w:tcPr>
          <w:p>
            <w:pPr>
              <w:spacing w:line="240" w:lineRule="auto" w:after="40" w:before="40"/>
              <w:jc w:val="left"/>
            </w:pPr>
            <w:r>
              <w:rPr>
                <w:b w:val="0"/>
                <w:i w:val="0"/>
                <w:sz w:val="18"/>
              </w:rPr>
              <w:t>Test metrics weighted by NHANES examination weights (WTMECPRP, WTMEC2YR), pooled in proportion to cycle length.</w:t>
            </w:r>
          </w:p>
        </w:tc>
        <w:tc>
          <w:tcPr>
            <w:tcW w:type="dxa" w:w="1928"/>
          </w:tcPr>
          <w:p>
            <w:pPr>
              <w:spacing w:line="240" w:lineRule="auto" w:after="40" w:before="40"/>
              <w:jc w:val="left"/>
            </w:pPr>
            <w:r>
              <w:rPr>
                <w:b w:val="0"/>
                <w:i w:val="0"/>
                <w:sz w:val="18"/>
              </w:rPr>
              <w:t>R² 0.554; AUC 0.877 and 0.878; calibration error 0.038 and 0.039.</w:t>
            </w:r>
          </w:p>
        </w:tc>
        <w:tc>
          <w:tcPr>
            <w:tcW w:type="dxa" w:w="1134"/>
          </w:tcPr>
          <w:p>
            <w:pPr>
              <w:spacing w:line="240" w:lineRule="auto" w:after="40" w:before="40"/>
              <w:jc w:val="left"/>
            </w:pPr>
            <w:r>
              <w:rPr>
                <w:b w:val="0"/>
                <w:i w:val="0"/>
                <w:sz w:val="18"/>
              </w:rPr>
              <w:t>Reported</w:t>
            </w:r>
          </w:p>
        </w:tc>
        <w:tc>
          <w:tcPr>
            <w:tcW w:type="dxa" w:w="2211"/>
          </w:tcPr>
          <w:p>
            <w:pPr>
              <w:spacing w:line="240" w:lineRule="auto" w:after="40" w:before="40"/>
              <w:jc w:val="left"/>
            </w:pPr>
            <w:r>
              <w:rPr>
                <w:b w:val="0"/>
                <w:i w:val="0"/>
                <w:sz w:val="18"/>
              </w:rPr>
              <w:t>Performance holds for the weighted US population aged 12–59.</w:t>
            </w:r>
          </w:p>
        </w:tc>
      </w:tr>
      <w:tr>
        <w:trPr>
          <w:cantSplit/>
        </w:trPr>
        <w:tc>
          <w:tcPr>
            <w:tcW w:type="dxa" w:w="510"/>
          </w:tcPr>
          <w:p>
            <w:pPr>
              <w:spacing w:line="240" w:lineRule="auto" w:after="40" w:before="40"/>
              <w:jc w:val="left"/>
            </w:pPr>
            <w:r>
              <w:rPr>
                <w:b w:val="0"/>
                <w:i w:val="0"/>
                <w:sz w:val="18"/>
              </w:rPr>
              <w:t>V3</w:t>
            </w:r>
          </w:p>
        </w:tc>
        <w:tc>
          <w:tcPr>
            <w:tcW w:type="dxa" w:w="1417"/>
          </w:tcPr>
          <w:p>
            <w:pPr>
              <w:spacing w:line="240" w:lineRule="auto" w:after="40" w:before="40"/>
              <w:jc w:val="left"/>
            </w:pPr>
            <w:r>
              <w:rPr>
                <w:b w:val="0"/>
                <w:i w:val="0"/>
                <w:sz w:val="18"/>
              </w:rPr>
              <w:t>Age-specific calibration</w:t>
            </w:r>
          </w:p>
        </w:tc>
        <w:tc>
          <w:tcPr>
            <w:tcW w:type="dxa" w:w="1814"/>
          </w:tcPr>
          <w:p>
            <w:pPr>
              <w:spacing w:line="240" w:lineRule="auto" w:after="40" w:before="40"/>
              <w:jc w:val="left"/>
            </w:pPr>
            <w:r>
              <w:rPr>
                <w:b w:val="0"/>
                <w:i w:val="0"/>
                <w:sz w:val="18"/>
              </w:rPr>
              <w:t>Separate isotonic calibration for each age group, fitted on the same training out-of-fold predictions, compared with the single global calibration.</w:t>
            </w:r>
          </w:p>
        </w:tc>
        <w:tc>
          <w:tcPr>
            <w:tcW w:type="dxa" w:w="1928"/>
          </w:tcPr>
          <w:p>
            <w:pPr>
              <w:spacing w:line="240" w:lineRule="auto" w:after="40" w:before="40"/>
              <w:jc w:val="left"/>
            </w:pPr>
            <w:r>
              <w:rPr>
                <w:b w:val="0"/>
                <w:i w:val="0"/>
                <w:sz w:val="18"/>
              </w:rPr>
              <w:t>Scope calibration error 0.018→0.016 (CAP ≥ 248) and 0.022→0.021 (CAP ≥ 280).</w:t>
            </w:r>
          </w:p>
        </w:tc>
        <w:tc>
          <w:tcPr>
            <w:tcW w:type="dxa" w:w="1134"/>
          </w:tcPr>
          <w:p>
            <w:pPr>
              <w:spacing w:line="240" w:lineRule="auto" w:after="40" w:before="40"/>
              <w:jc w:val="left"/>
            </w:pPr>
            <w:r>
              <w:rPr>
                <w:b w:val="0"/>
                <w:i w:val="0"/>
                <w:sz w:val="18"/>
              </w:rPr>
              <w:t>Not adopted</w:t>
            </w:r>
          </w:p>
        </w:tc>
        <w:tc>
          <w:tcPr>
            <w:tcW w:type="dxa" w:w="2211"/>
          </w:tcPr>
          <w:p>
            <w:pPr>
              <w:spacing w:line="240" w:lineRule="auto" w:after="40" w:before="40"/>
              <w:jc w:val="left"/>
            </w:pPr>
            <w:r>
              <w:rPr>
                <w:b w:val="0"/>
                <w:i w:val="0"/>
                <w:sz w:val="18"/>
              </w:rPr>
              <w:t>Differences of 0.002 lie well within the intervals; the single calibration is kept.</w:t>
            </w:r>
          </w:p>
        </w:tc>
      </w:tr>
      <w:tr>
        <w:trPr>
          <w:cantSplit/>
        </w:trPr>
        <w:tc>
          <w:tcPr>
            <w:tcW w:type="dxa" w:w="510"/>
          </w:tcPr>
          <w:p>
            <w:pPr>
              <w:spacing w:line="240" w:lineRule="auto" w:after="40" w:before="40"/>
              <w:jc w:val="left"/>
            </w:pPr>
            <w:r>
              <w:rPr>
                <w:b w:val="0"/>
                <w:i w:val="0"/>
                <w:sz w:val="18"/>
              </w:rPr>
              <w:t>V4</w:t>
            </w:r>
          </w:p>
        </w:tc>
        <w:tc>
          <w:tcPr>
            <w:tcW w:type="dxa" w:w="1417"/>
          </w:tcPr>
          <w:p>
            <w:pPr>
              <w:spacing w:line="240" w:lineRule="auto" w:after="40" w:before="40"/>
              <w:jc w:val="left"/>
            </w:pPr>
            <w:r>
              <w:rPr>
                <w:b w:val="0"/>
                <w:i w:val="0"/>
                <w:sz w:val="18"/>
              </w:rPr>
              <w:t>Reference standard</w:t>
            </w:r>
          </w:p>
        </w:tc>
        <w:tc>
          <w:tcPr>
            <w:tcW w:type="dxa" w:w="1814"/>
          </w:tcPr>
          <w:p>
            <w:pPr>
              <w:spacing w:line="240" w:lineRule="auto" w:after="40" w:before="40"/>
              <w:jc w:val="left"/>
            </w:pPr>
            <w:r>
              <w:rPr>
                <w:b w:val="0"/>
                <w:i w:val="0"/>
                <w:sz w:val="18"/>
              </w:rPr>
              <w:t>Third classifier at the stricter cut-off CAP ≥ 302 dB/m, trained and calibrated in the same way.</w:t>
            </w:r>
          </w:p>
        </w:tc>
        <w:tc>
          <w:tcPr>
            <w:tcW w:type="dxa" w:w="1928"/>
          </w:tcPr>
          <w:p>
            <w:pPr>
              <w:spacing w:line="240" w:lineRule="auto" w:after="40" w:before="40"/>
              <w:jc w:val="left"/>
            </w:pPr>
            <w:r>
              <w:rPr>
                <w:b w:val="0"/>
                <w:i w:val="0"/>
                <w:sz w:val="18"/>
              </w:rPr>
              <w:t>AUC 0.888 (0.869–0.908); Brier 0.110; calibration error 0.031.</w:t>
            </w:r>
          </w:p>
        </w:tc>
        <w:tc>
          <w:tcPr>
            <w:tcW w:type="dxa" w:w="1134"/>
          </w:tcPr>
          <w:p>
            <w:pPr>
              <w:spacing w:line="240" w:lineRule="auto" w:after="40" w:before="40"/>
              <w:jc w:val="left"/>
            </w:pPr>
            <w:r>
              <w:rPr>
                <w:b w:val="0"/>
                <w:i w:val="0"/>
                <w:sz w:val="18"/>
              </w:rPr>
              <w:t>Reported</w:t>
            </w:r>
          </w:p>
        </w:tc>
        <w:tc>
          <w:tcPr>
            <w:tcW w:type="dxa" w:w="2211"/>
          </w:tcPr>
          <w:p>
            <w:pPr>
              <w:spacing w:line="240" w:lineRule="auto" w:after="40" w:before="40"/>
              <w:jc w:val="left"/>
            </w:pPr>
            <w:r>
              <w:rPr>
                <w:b w:val="0"/>
                <w:i w:val="0"/>
                <w:sz w:val="18"/>
              </w:rPr>
              <w:t>Discrimination is stable across three definitions of steatosis.</w:t>
            </w:r>
          </w:p>
        </w:tc>
      </w:tr>
      <w:tr>
        <w:trPr>
          <w:cantSplit/>
        </w:trPr>
        <w:tc>
          <w:tcPr>
            <w:tcW w:type="dxa" w:w="510"/>
          </w:tcPr>
          <w:p>
            <w:pPr>
              <w:spacing w:line="240" w:lineRule="auto" w:after="40" w:before="40"/>
              <w:jc w:val="left"/>
            </w:pPr>
            <w:r>
              <w:rPr>
                <w:b w:val="0"/>
                <w:i w:val="0"/>
                <w:sz w:val="18"/>
              </w:rPr>
              <w:t>V5</w:t>
            </w:r>
          </w:p>
        </w:tc>
        <w:tc>
          <w:tcPr>
            <w:tcW w:type="dxa" w:w="1417"/>
          </w:tcPr>
          <w:p>
            <w:pPr>
              <w:spacing w:line="240" w:lineRule="auto" w:after="40" w:before="40"/>
              <w:jc w:val="left"/>
            </w:pPr>
            <w:r>
              <w:rPr>
                <w:b w:val="0"/>
                <w:i w:val="0"/>
                <w:sz w:val="18"/>
              </w:rPr>
              <w:t>Temporal validation</w:t>
            </w:r>
          </w:p>
        </w:tc>
        <w:tc>
          <w:tcPr>
            <w:tcW w:type="dxa" w:w="1814"/>
          </w:tcPr>
          <w:p>
            <w:pPr>
              <w:spacing w:line="240" w:lineRule="auto" w:after="40" w:before="40"/>
              <w:jc w:val="left"/>
            </w:pPr>
            <w:r>
              <w:rPr>
                <w:b w:val="0"/>
                <w:i w:val="0"/>
                <w:sz w:val="18"/>
              </w:rPr>
              <w:t>Training on all 9,021 participants from 2017–March 2020 with the selected settings; testing on the 2,415 in-scope participants from 2021–2023.</w:t>
            </w:r>
          </w:p>
        </w:tc>
        <w:tc>
          <w:tcPr>
            <w:tcW w:type="dxa" w:w="1928"/>
          </w:tcPr>
          <w:p>
            <w:pPr>
              <w:spacing w:line="240" w:lineRule="auto" w:after="40" w:before="40"/>
              <w:jc w:val="left"/>
            </w:pPr>
            <w:r>
              <w:rPr>
                <w:b w:val="0"/>
                <w:i w:val="0"/>
                <w:sz w:val="18"/>
              </w:rPr>
              <w:t>R² 0.578 (0.549–0.603); AUC 0.884 and 0.890; calibration error 0.025 and 0.027.</w:t>
            </w:r>
          </w:p>
        </w:tc>
        <w:tc>
          <w:tcPr>
            <w:tcW w:type="dxa" w:w="1134"/>
          </w:tcPr>
          <w:p>
            <w:pPr>
              <w:spacing w:line="240" w:lineRule="auto" w:after="40" w:before="40"/>
              <w:jc w:val="left"/>
            </w:pPr>
            <w:r>
              <w:rPr>
                <w:b w:val="0"/>
                <w:i w:val="0"/>
                <w:sz w:val="18"/>
              </w:rPr>
              <w:t>Reported</w:t>
            </w:r>
          </w:p>
        </w:tc>
        <w:tc>
          <w:tcPr>
            <w:tcW w:type="dxa" w:w="2211"/>
          </w:tcPr>
          <w:p>
            <w:pPr>
              <w:spacing w:line="240" w:lineRule="auto" w:after="40" w:before="40"/>
              <w:jc w:val="left"/>
            </w:pPr>
            <w:r>
              <w:rPr>
                <w:b w:val="0"/>
                <w:i w:val="0"/>
                <w:sz w:val="18"/>
              </w:rPr>
              <w:t>No loss of performance on participants examined two to six years after the training data.</w:t>
            </w:r>
          </w:p>
        </w:tc>
      </w:tr>
    </w:tbl>
    <w:p>
      <w:pPr>
        <w:spacing w:after="40"/>
      </w:pPr>
    </w:p>
    <w:p>
      <w:pPr>
        <w:pStyle w:val="Caption"/>
      </w:pPr>
      <w:r>
        <w:rPr>
          <w:b/>
        </w:rPr>
        <w:t xml:space="preserve">Table A.18. </w:t>
      </w:r>
      <w:r>
        <w:t>Selected model within the scope, with 95% bootstrap intervals: P3-test (n = 1,236) and temporal validation (trained on 2017–2020, tested on 2021–2023, n = 2,415).</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2256"/>
        <w:gridCol w:w="2256"/>
        <w:gridCol w:w="2256"/>
        <w:gridCol w:w="2256"/>
      </w:tblGrid>
      <w:tr>
        <w:trPr>
          <w:tblHeader/>
          <w:cantSplit/>
        </w:trPr>
        <w:tc>
          <w:tcPr>
            <w:tcW w:type="dxa" w:w="2778"/>
            <w:shd w:val="clear" w:color="auto" w:fill="EDEDED"/>
            <w:tcBorders>
              <w:bottom w:val="single" w:sz="6" w:space="0" w:color="000000"/>
            </w:tcBorders>
          </w:tcPr>
          <w:p>
            <w:pPr>
              <w:spacing w:line="240" w:lineRule="auto" w:after="40" w:before="40"/>
              <w:jc w:val="left"/>
            </w:pPr>
            <w:r>
              <w:rPr>
                <w:b/>
                <w:i w:val="0"/>
                <w:sz w:val="18"/>
              </w:rPr>
              <w:t>Measure</w:t>
            </w:r>
          </w:p>
        </w:tc>
        <w:tc>
          <w:tcPr>
            <w:tcW w:type="dxa" w:w="2098"/>
            <w:shd w:val="clear" w:color="auto" w:fill="EDEDED"/>
            <w:tcBorders>
              <w:bottom w:val="single" w:sz="6" w:space="0" w:color="000000"/>
            </w:tcBorders>
          </w:tcPr>
          <w:p>
            <w:pPr>
              <w:spacing w:line="240" w:lineRule="auto" w:after="40" w:before="40"/>
              <w:jc w:val="left"/>
            </w:pPr>
            <w:r>
              <w:rPr>
                <w:b/>
                <w:i w:val="0"/>
                <w:sz w:val="18"/>
              </w:rPr>
              <w:t>P3-test, unweighted</w:t>
            </w:r>
          </w:p>
        </w:tc>
        <w:tc>
          <w:tcPr>
            <w:tcW w:type="dxa" w:w="2098"/>
            <w:shd w:val="clear" w:color="auto" w:fill="EDEDED"/>
            <w:tcBorders>
              <w:bottom w:val="single" w:sz="6" w:space="0" w:color="000000"/>
            </w:tcBorders>
          </w:tcPr>
          <w:p>
            <w:pPr>
              <w:spacing w:line="240" w:lineRule="auto" w:after="40" w:before="40"/>
              <w:jc w:val="left"/>
            </w:pPr>
            <w:r>
              <w:rPr>
                <w:b/>
                <w:i w:val="0"/>
                <w:sz w:val="18"/>
              </w:rPr>
              <w:t>P3-test, survey-weighted</w:t>
            </w:r>
          </w:p>
        </w:tc>
        <w:tc>
          <w:tcPr>
            <w:tcW w:type="dxa" w:w="2041"/>
            <w:shd w:val="clear" w:color="auto" w:fill="EDEDED"/>
            <w:tcBorders>
              <w:bottom w:val="single" w:sz="6" w:space="0" w:color="000000"/>
            </w:tcBorders>
          </w:tcPr>
          <w:p>
            <w:pPr>
              <w:spacing w:line="240" w:lineRule="auto" w:after="40" w:before="40"/>
              <w:jc w:val="left"/>
            </w:pPr>
            <w:r>
              <w:rPr>
                <w:b/>
                <w:i w:val="0"/>
                <w:sz w:val="18"/>
              </w:rPr>
              <w:t>Temporal test</w:t>
            </w:r>
          </w:p>
        </w:tc>
      </w:tr>
      <w:tr>
        <w:trPr>
          <w:cantSplit/>
        </w:trPr>
        <w:tc>
          <w:tcPr>
            <w:tcW w:type="dxa" w:w="2778"/>
          </w:tcPr>
          <w:p>
            <w:pPr>
              <w:spacing w:line="240" w:lineRule="auto" w:after="40" w:before="40"/>
              <w:jc w:val="left"/>
            </w:pPr>
            <w:r>
              <w:rPr>
                <w:b w:val="0"/>
                <w:i w:val="0"/>
                <w:sz w:val="18"/>
              </w:rPr>
              <w:t>CAP R²</w:t>
            </w:r>
          </w:p>
        </w:tc>
        <w:tc>
          <w:tcPr>
            <w:tcW w:type="dxa" w:w="2098"/>
          </w:tcPr>
          <w:p>
            <w:pPr>
              <w:spacing w:line="240" w:lineRule="auto" w:after="40" w:before="40"/>
              <w:jc w:val="left"/>
            </w:pPr>
            <w:r>
              <w:rPr>
                <w:b w:val="0"/>
                <w:i w:val="0"/>
                <w:sz w:val="18"/>
              </w:rPr>
              <w:t>0.562 (0.517–0.601)</w:t>
            </w:r>
          </w:p>
        </w:tc>
        <w:tc>
          <w:tcPr>
            <w:tcW w:type="dxa" w:w="2098"/>
          </w:tcPr>
          <w:p>
            <w:pPr>
              <w:spacing w:line="240" w:lineRule="auto" w:after="40" w:before="40"/>
              <w:jc w:val="left"/>
            </w:pPr>
            <w:r>
              <w:rPr>
                <w:b w:val="0"/>
                <w:i w:val="0"/>
                <w:sz w:val="18"/>
              </w:rPr>
              <w:t>0.554 (0.493–0.609)</w:t>
            </w:r>
          </w:p>
        </w:tc>
        <w:tc>
          <w:tcPr>
            <w:tcW w:type="dxa" w:w="2041"/>
          </w:tcPr>
          <w:p>
            <w:pPr>
              <w:spacing w:line="240" w:lineRule="auto" w:after="40" w:before="40"/>
              <w:jc w:val="left"/>
            </w:pPr>
            <w:r>
              <w:rPr>
                <w:b w:val="0"/>
                <w:i w:val="0"/>
                <w:sz w:val="18"/>
              </w:rPr>
              <w:t>0.578 (0.549–0.603)</w:t>
            </w:r>
          </w:p>
        </w:tc>
      </w:tr>
      <w:tr>
        <w:trPr>
          <w:cantSplit/>
        </w:trPr>
        <w:tc>
          <w:tcPr>
            <w:tcW w:type="dxa" w:w="2778"/>
          </w:tcPr>
          <w:p>
            <w:pPr>
              <w:spacing w:line="240" w:lineRule="auto" w:after="40" w:before="40"/>
              <w:jc w:val="left"/>
            </w:pPr>
            <w:r>
              <w:rPr>
                <w:b w:val="0"/>
                <w:i w:val="0"/>
                <w:sz w:val="18"/>
              </w:rPr>
              <w:t>CAP RMSE (dB/m)</w:t>
            </w:r>
          </w:p>
        </w:tc>
        <w:tc>
          <w:tcPr>
            <w:tcW w:type="dxa" w:w="2098"/>
          </w:tcPr>
          <w:p>
            <w:pPr>
              <w:spacing w:line="240" w:lineRule="auto" w:after="40" w:before="40"/>
              <w:jc w:val="left"/>
            </w:pPr>
            <w:r>
              <w:rPr>
                <w:b w:val="0"/>
                <w:i w:val="0"/>
                <w:sz w:val="18"/>
              </w:rPr>
              <w:t>41.4 (39.3–43.6)</w:t>
            </w:r>
          </w:p>
        </w:tc>
        <w:tc>
          <w:tcPr>
            <w:tcW w:type="dxa" w:w="2098"/>
          </w:tcPr>
          <w:p>
            <w:pPr>
              <w:spacing w:line="240" w:lineRule="auto" w:after="40" w:before="40"/>
              <w:jc w:val="left"/>
            </w:pPr>
            <w:r>
              <w:rPr>
                <w:b w:val="0"/>
                <w:i w:val="0"/>
                <w:sz w:val="18"/>
              </w:rPr>
              <w:t>42.6 (39.5–45.7)</w:t>
            </w:r>
          </w:p>
        </w:tc>
        <w:tc>
          <w:tcPr>
            <w:tcW w:type="dxa" w:w="2041"/>
          </w:tcPr>
          <w:p>
            <w:pPr>
              <w:spacing w:line="240" w:lineRule="auto" w:after="40" w:before="40"/>
              <w:jc w:val="left"/>
            </w:pPr>
            <w:r>
              <w:rPr>
                <w:b w:val="0"/>
                <w:i w:val="0"/>
                <w:sz w:val="18"/>
              </w:rPr>
              <w:t>42.9 (41.4–44.5)</w:t>
            </w:r>
          </w:p>
        </w:tc>
      </w:tr>
      <w:tr>
        <w:trPr>
          <w:cantSplit/>
        </w:trPr>
        <w:tc>
          <w:tcPr>
            <w:tcW w:type="dxa" w:w="2778"/>
          </w:tcPr>
          <w:p>
            <w:pPr>
              <w:spacing w:line="240" w:lineRule="auto" w:after="40" w:before="40"/>
              <w:jc w:val="left"/>
            </w:pPr>
            <w:r>
              <w:rPr>
                <w:b w:val="0"/>
                <w:i w:val="0"/>
                <w:sz w:val="18"/>
              </w:rPr>
              <w:t>AUC, CAP ≥ 248</w:t>
            </w:r>
          </w:p>
        </w:tc>
        <w:tc>
          <w:tcPr>
            <w:tcW w:type="dxa" w:w="2098"/>
          </w:tcPr>
          <w:p>
            <w:pPr>
              <w:spacing w:line="240" w:lineRule="auto" w:after="40" w:before="40"/>
              <w:jc w:val="left"/>
            </w:pPr>
            <w:r>
              <w:rPr>
                <w:b w:val="0"/>
                <w:i w:val="0"/>
                <w:sz w:val="18"/>
              </w:rPr>
              <w:t>0.881 (0.863–0.899)</w:t>
            </w:r>
          </w:p>
        </w:tc>
        <w:tc>
          <w:tcPr>
            <w:tcW w:type="dxa" w:w="2098"/>
          </w:tcPr>
          <w:p>
            <w:pPr>
              <w:spacing w:line="240" w:lineRule="auto" w:after="40" w:before="40"/>
              <w:jc w:val="left"/>
            </w:pPr>
            <w:r>
              <w:rPr>
                <w:b w:val="0"/>
                <w:i w:val="0"/>
                <w:sz w:val="18"/>
              </w:rPr>
              <w:t>0.877 (0.851–0.901)</w:t>
            </w:r>
          </w:p>
        </w:tc>
        <w:tc>
          <w:tcPr>
            <w:tcW w:type="dxa" w:w="2041"/>
          </w:tcPr>
          <w:p>
            <w:pPr>
              <w:spacing w:line="240" w:lineRule="auto" w:after="40" w:before="40"/>
              <w:jc w:val="left"/>
            </w:pPr>
            <w:r>
              <w:rPr>
                <w:b w:val="0"/>
                <w:i w:val="0"/>
                <w:sz w:val="18"/>
              </w:rPr>
              <w:t>0.884 (0.870–0.896)</w:t>
            </w:r>
          </w:p>
        </w:tc>
      </w:tr>
      <w:tr>
        <w:trPr>
          <w:cantSplit/>
        </w:trPr>
        <w:tc>
          <w:tcPr>
            <w:tcW w:type="dxa" w:w="2778"/>
          </w:tcPr>
          <w:p>
            <w:pPr>
              <w:spacing w:line="240" w:lineRule="auto" w:after="40" w:before="40"/>
              <w:jc w:val="left"/>
            </w:pPr>
            <w:r>
              <w:rPr>
                <w:b w:val="0"/>
                <w:i w:val="0"/>
                <w:sz w:val="18"/>
              </w:rPr>
              <w:t>AUC, CAP ≥ 280</w:t>
            </w:r>
          </w:p>
        </w:tc>
        <w:tc>
          <w:tcPr>
            <w:tcW w:type="dxa" w:w="2098"/>
          </w:tcPr>
          <w:p>
            <w:pPr>
              <w:spacing w:line="240" w:lineRule="auto" w:after="40" w:before="40"/>
              <w:jc w:val="left"/>
            </w:pPr>
            <w:r>
              <w:rPr>
                <w:b w:val="0"/>
                <w:i w:val="0"/>
                <w:sz w:val="18"/>
              </w:rPr>
              <w:t>0.879 (0.860–0.898)</w:t>
            </w:r>
          </w:p>
        </w:tc>
        <w:tc>
          <w:tcPr>
            <w:tcW w:type="dxa" w:w="2098"/>
          </w:tcPr>
          <w:p>
            <w:pPr>
              <w:spacing w:line="240" w:lineRule="auto" w:after="40" w:before="40"/>
              <w:jc w:val="left"/>
            </w:pPr>
            <w:r>
              <w:rPr>
                <w:b w:val="0"/>
                <w:i w:val="0"/>
                <w:sz w:val="18"/>
              </w:rPr>
              <w:t>0.878 (0.849–0.905)</w:t>
            </w:r>
          </w:p>
        </w:tc>
        <w:tc>
          <w:tcPr>
            <w:tcW w:type="dxa" w:w="2041"/>
          </w:tcPr>
          <w:p>
            <w:pPr>
              <w:spacing w:line="240" w:lineRule="auto" w:after="40" w:before="40"/>
              <w:jc w:val="left"/>
            </w:pPr>
            <w:r>
              <w:rPr>
                <w:b w:val="0"/>
                <w:i w:val="0"/>
                <w:sz w:val="18"/>
              </w:rPr>
              <w:t>0.890 (0.878–0.904)</w:t>
            </w:r>
          </w:p>
        </w:tc>
      </w:tr>
      <w:tr>
        <w:trPr>
          <w:cantSplit/>
        </w:trPr>
        <w:tc>
          <w:tcPr>
            <w:tcW w:type="dxa" w:w="2778"/>
          </w:tcPr>
          <w:p>
            <w:pPr>
              <w:spacing w:line="240" w:lineRule="auto" w:after="40" w:before="40"/>
              <w:jc w:val="left"/>
            </w:pPr>
            <w:r>
              <w:rPr>
                <w:b w:val="0"/>
                <w:i w:val="0"/>
                <w:sz w:val="18"/>
              </w:rPr>
              <w:t>AUC, CAP ≥ 302</w:t>
            </w:r>
          </w:p>
        </w:tc>
        <w:tc>
          <w:tcPr>
            <w:tcW w:type="dxa" w:w="2098"/>
          </w:tcPr>
          <w:p>
            <w:pPr>
              <w:spacing w:line="240" w:lineRule="auto" w:after="40" w:before="40"/>
              <w:jc w:val="left"/>
            </w:pPr>
            <w:r>
              <w:rPr>
                <w:b w:val="0"/>
                <w:i w:val="0"/>
                <w:sz w:val="18"/>
              </w:rPr>
              <w:t>0.888 (0.869–0.908)</w:t>
            </w:r>
          </w:p>
        </w:tc>
        <w:tc>
          <w:tcPr>
            <w:tcW w:type="dxa" w:w="2098"/>
          </w:tcPr>
          <w:p>
            <w:pPr>
              <w:spacing w:line="240" w:lineRule="auto" w:after="40" w:before="40"/>
              <w:jc w:val="left"/>
            </w:pPr>
            <w:r>
              <w:rPr>
                <w:b w:val="0"/>
                <w:i w:val="0"/>
                <w:sz w:val="18"/>
              </w:rPr>
              <w:t>0.885 (0.850–0.916)</w:t>
            </w:r>
          </w:p>
        </w:tc>
        <w:tc>
          <w:tcPr>
            <w:tcW w:type="dxa" w:w="2041"/>
          </w:tcPr>
          <w:p>
            <w:pPr>
              <w:spacing w:line="240" w:lineRule="auto" w:after="40" w:before="40"/>
              <w:jc w:val="left"/>
            </w:pPr>
            <w:r>
              <w:rPr>
                <w:b w:val="0"/>
                <w:i w:val="0"/>
                <w:sz w:val="18"/>
              </w:rPr>
              <w:t>–</w:t>
            </w:r>
          </w:p>
        </w:tc>
      </w:tr>
      <w:tr>
        <w:trPr>
          <w:cantSplit/>
        </w:trPr>
        <w:tc>
          <w:tcPr>
            <w:tcW w:type="dxa" w:w="2778"/>
          </w:tcPr>
          <w:p>
            <w:pPr>
              <w:spacing w:line="240" w:lineRule="auto" w:after="40" w:before="40"/>
              <w:jc w:val="left"/>
            </w:pPr>
            <w:r>
              <w:rPr>
                <w:b w:val="0"/>
                <w:i w:val="0"/>
                <w:sz w:val="18"/>
              </w:rPr>
              <w:t>Brier, CAP ≥ 248</w:t>
            </w:r>
          </w:p>
        </w:tc>
        <w:tc>
          <w:tcPr>
            <w:tcW w:type="dxa" w:w="2098"/>
          </w:tcPr>
          <w:p>
            <w:pPr>
              <w:spacing w:line="240" w:lineRule="auto" w:after="40" w:before="40"/>
              <w:jc w:val="left"/>
            </w:pPr>
            <w:r>
              <w:rPr>
                <w:b w:val="0"/>
                <w:i w:val="0"/>
                <w:sz w:val="18"/>
              </w:rPr>
              <w:t>0.140 (0.129–0.150)</w:t>
            </w:r>
          </w:p>
        </w:tc>
        <w:tc>
          <w:tcPr>
            <w:tcW w:type="dxa" w:w="2098"/>
          </w:tcPr>
          <w:p>
            <w:pPr>
              <w:spacing w:line="240" w:lineRule="auto" w:after="40" w:before="40"/>
              <w:jc w:val="left"/>
            </w:pPr>
            <w:r>
              <w:rPr>
                <w:b w:val="0"/>
                <w:i w:val="0"/>
                <w:sz w:val="18"/>
              </w:rPr>
              <w:t>0.143 (0.127–0.158)</w:t>
            </w:r>
          </w:p>
        </w:tc>
        <w:tc>
          <w:tcPr>
            <w:tcW w:type="dxa" w:w="2041"/>
          </w:tcPr>
          <w:p>
            <w:pPr>
              <w:spacing w:line="240" w:lineRule="auto" w:after="40" w:before="40"/>
              <w:jc w:val="left"/>
            </w:pPr>
            <w:r>
              <w:rPr>
                <w:b w:val="0"/>
                <w:i w:val="0"/>
                <w:sz w:val="18"/>
              </w:rPr>
              <w:t>0.137 (0.130–0.145)</w:t>
            </w:r>
          </w:p>
        </w:tc>
      </w:tr>
      <w:tr>
        <w:trPr>
          <w:cantSplit/>
        </w:trPr>
        <w:tc>
          <w:tcPr>
            <w:tcW w:type="dxa" w:w="2778"/>
          </w:tcPr>
          <w:p>
            <w:pPr>
              <w:spacing w:line="240" w:lineRule="auto" w:after="40" w:before="40"/>
              <w:jc w:val="left"/>
            </w:pPr>
            <w:r>
              <w:rPr>
                <w:b w:val="0"/>
                <w:i w:val="0"/>
                <w:sz w:val="18"/>
              </w:rPr>
              <w:t>Brier, CAP ≥ 280</w:t>
            </w:r>
          </w:p>
        </w:tc>
        <w:tc>
          <w:tcPr>
            <w:tcW w:type="dxa" w:w="2098"/>
          </w:tcPr>
          <w:p>
            <w:pPr>
              <w:spacing w:line="240" w:lineRule="auto" w:after="40" w:before="40"/>
              <w:jc w:val="left"/>
            </w:pPr>
            <w:r>
              <w:rPr>
                <w:b w:val="0"/>
                <w:i w:val="0"/>
                <w:sz w:val="18"/>
              </w:rPr>
              <w:t>0.132 (0.121–0.144)</w:t>
            </w:r>
          </w:p>
        </w:tc>
        <w:tc>
          <w:tcPr>
            <w:tcW w:type="dxa" w:w="2098"/>
          </w:tcPr>
          <w:p>
            <w:pPr>
              <w:spacing w:line="240" w:lineRule="auto" w:after="40" w:before="40"/>
              <w:jc w:val="left"/>
            </w:pPr>
            <w:r>
              <w:rPr>
                <w:b w:val="0"/>
                <w:i w:val="0"/>
                <w:sz w:val="18"/>
              </w:rPr>
              <w:t>0.134 (0.117–0.151)</w:t>
            </w:r>
          </w:p>
        </w:tc>
        <w:tc>
          <w:tcPr>
            <w:tcW w:type="dxa" w:w="2041"/>
          </w:tcPr>
          <w:p>
            <w:pPr>
              <w:spacing w:line="240" w:lineRule="auto" w:after="40" w:before="40"/>
              <w:jc w:val="left"/>
            </w:pPr>
            <w:r>
              <w:rPr>
                <w:b w:val="0"/>
                <w:i w:val="0"/>
                <w:sz w:val="18"/>
              </w:rPr>
              <w:t>0.125 (0.117–0.133)</w:t>
            </w:r>
          </w:p>
        </w:tc>
      </w:tr>
      <w:tr>
        <w:trPr>
          <w:cantSplit/>
        </w:trPr>
        <w:tc>
          <w:tcPr>
            <w:tcW w:type="dxa" w:w="2778"/>
          </w:tcPr>
          <w:p>
            <w:pPr>
              <w:spacing w:line="240" w:lineRule="auto" w:after="40" w:before="40"/>
              <w:jc w:val="left"/>
            </w:pPr>
            <w:r>
              <w:rPr>
                <w:b w:val="0"/>
                <w:i w:val="0"/>
                <w:sz w:val="18"/>
              </w:rPr>
              <w:t>Calibration error, CAP ≥ 248</w:t>
            </w:r>
          </w:p>
        </w:tc>
        <w:tc>
          <w:tcPr>
            <w:tcW w:type="dxa" w:w="2098"/>
          </w:tcPr>
          <w:p>
            <w:pPr>
              <w:spacing w:line="240" w:lineRule="auto" w:after="40" w:before="40"/>
              <w:jc w:val="left"/>
            </w:pPr>
            <w:r>
              <w:rPr>
                <w:b w:val="0"/>
                <w:i w:val="0"/>
                <w:sz w:val="18"/>
              </w:rPr>
              <w:t>0.018 (0.016–0.046)</w:t>
            </w:r>
          </w:p>
        </w:tc>
        <w:tc>
          <w:tcPr>
            <w:tcW w:type="dxa" w:w="2098"/>
          </w:tcPr>
          <w:p>
            <w:pPr>
              <w:spacing w:line="240" w:lineRule="auto" w:after="40" w:before="40"/>
              <w:jc w:val="left"/>
            </w:pPr>
            <w:r>
              <w:rPr>
                <w:b w:val="0"/>
                <w:i w:val="0"/>
                <w:sz w:val="18"/>
              </w:rPr>
              <w:t>0.038 (0.029–0.077)</w:t>
            </w:r>
          </w:p>
        </w:tc>
        <w:tc>
          <w:tcPr>
            <w:tcW w:type="dxa" w:w="2041"/>
          </w:tcPr>
          <w:p>
            <w:pPr>
              <w:spacing w:line="240" w:lineRule="auto" w:after="40" w:before="40"/>
              <w:jc w:val="left"/>
            </w:pPr>
            <w:r>
              <w:rPr>
                <w:b w:val="0"/>
                <w:i w:val="0"/>
                <w:sz w:val="18"/>
              </w:rPr>
              <w:t>0.025 (0.019–0.041)</w:t>
            </w:r>
          </w:p>
        </w:tc>
      </w:tr>
      <w:tr>
        <w:trPr>
          <w:cantSplit/>
        </w:trPr>
        <w:tc>
          <w:tcPr>
            <w:tcW w:type="dxa" w:w="2778"/>
          </w:tcPr>
          <w:p>
            <w:pPr>
              <w:spacing w:line="240" w:lineRule="auto" w:after="40" w:before="40"/>
              <w:jc w:val="left"/>
            </w:pPr>
            <w:r>
              <w:rPr>
                <w:b w:val="0"/>
                <w:i w:val="0"/>
                <w:sz w:val="18"/>
              </w:rPr>
              <w:t>Calibration error, CAP ≥ 280</w:t>
            </w:r>
          </w:p>
        </w:tc>
        <w:tc>
          <w:tcPr>
            <w:tcW w:type="dxa" w:w="2098"/>
          </w:tcPr>
          <w:p>
            <w:pPr>
              <w:spacing w:line="240" w:lineRule="auto" w:after="40" w:before="40"/>
              <w:jc w:val="left"/>
            </w:pPr>
            <w:r>
              <w:rPr>
                <w:b w:val="0"/>
                <w:i w:val="0"/>
                <w:sz w:val="18"/>
              </w:rPr>
              <w:t>0.022 (0.019–0.049)</w:t>
            </w:r>
          </w:p>
        </w:tc>
        <w:tc>
          <w:tcPr>
            <w:tcW w:type="dxa" w:w="2098"/>
          </w:tcPr>
          <w:p>
            <w:pPr>
              <w:spacing w:line="240" w:lineRule="auto" w:after="40" w:before="40"/>
              <w:jc w:val="left"/>
            </w:pPr>
            <w:r>
              <w:rPr>
                <w:b w:val="0"/>
                <w:i w:val="0"/>
                <w:sz w:val="18"/>
              </w:rPr>
              <w:t>0.039 (0.028–0.076)</w:t>
            </w:r>
          </w:p>
        </w:tc>
        <w:tc>
          <w:tcPr>
            <w:tcW w:type="dxa" w:w="2041"/>
          </w:tcPr>
          <w:p>
            <w:pPr>
              <w:spacing w:line="240" w:lineRule="auto" w:after="40" w:before="40"/>
              <w:jc w:val="left"/>
            </w:pPr>
            <w:r>
              <w:rPr>
                <w:b w:val="0"/>
                <w:i w:val="0"/>
                <w:sz w:val="18"/>
              </w:rPr>
              <w:t>0.027 (0.019–0.044)</w:t>
            </w:r>
          </w:p>
        </w:tc>
      </w:tr>
      <w:tr>
        <w:trPr>
          <w:cantSplit/>
        </w:trPr>
        <w:tc>
          <w:tcPr>
            <w:tcW w:type="dxa" w:w="2778"/>
          </w:tcPr>
          <w:p>
            <w:pPr>
              <w:spacing w:line="240" w:lineRule="auto" w:after="40" w:before="40"/>
              <w:jc w:val="left"/>
            </w:pPr>
            <w:r>
              <w:rPr>
                <w:b w:val="0"/>
                <w:i w:val="0"/>
                <w:sz w:val="18"/>
              </w:rPr>
              <w:t>CAP R², all participants (outside scope)</w:t>
            </w:r>
          </w:p>
        </w:tc>
        <w:tc>
          <w:tcPr>
            <w:tcW w:type="dxa" w:w="2098"/>
          </w:tcPr>
          <w:p>
            <w:pPr>
              <w:spacing w:line="240" w:lineRule="auto" w:after="40" w:before="40"/>
              <w:jc w:val="left"/>
            </w:pPr>
            <w:r>
              <w:rPr>
                <w:b w:val="0"/>
                <w:i w:val="0"/>
                <w:sz w:val="18"/>
              </w:rPr>
              <w:t>0.496 (0.465–0.524)</w:t>
            </w:r>
          </w:p>
        </w:tc>
        <w:tc>
          <w:tcPr>
            <w:tcW w:type="dxa" w:w="2098"/>
          </w:tcPr>
          <w:p>
            <w:pPr>
              <w:spacing w:line="240" w:lineRule="auto" w:after="40" w:before="40"/>
              <w:jc w:val="left"/>
            </w:pPr>
            <w:r>
              <w:rPr>
                <w:b w:val="0"/>
                <w:i w:val="0"/>
                <w:sz w:val="18"/>
              </w:rPr>
              <w:t>0.510 (0.467–0.548)</w:t>
            </w:r>
          </w:p>
        </w:tc>
        <w:tc>
          <w:tcPr>
            <w:tcW w:type="dxa" w:w="2041"/>
          </w:tcPr>
          <w:p>
            <w:pPr>
              <w:spacing w:line="240" w:lineRule="auto" w:after="40" w:before="40"/>
              <w:jc w:val="left"/>
            </w:pPr>
            <w:r>
              <w:rPr>
                <w:b w:val="0"/>
                <w:i w:val="0"/>
                <w:sz w:val="18"/>
              </w:rPr>
              <w:t>0.502 (0.482–0.520)</w:t>
            </w:r>
          </w:p>
        </w:tc>
      </w:tr>
    </w:tbl>
    <w:p>
      <w:pPr>
        <w:spacing w:after="200" w:line="240" w:lineRule="auto" w:before="80"/>
        <w:jc w:val="left"/>
      </w:pPr>
      <w:r>
        <w:rPr>
          <w:b w:val="0"/>
          <w:i/>
          <w:sz w:val="18"/>
        </w:rPr>
        <w:t>Source: data/results/combined/validation/ (rows labelled “scope (ages 12-59, reliable reference)”).</w:t>
      </w:r>
    </w:p>
    <w:p>
      <w:r>
        <w:rPr>
          <w:b w:val="0"/>
          <w:i w:val="0"/>
        </w:rPr>
        <w:t>Calibration error is the expected calibration error over ten equal-sized bins. It is biased upward in small samples, which is why its intervals are asymmetric. Survey strata and primary sampling units were not used, so the intervals reflect participant sampling rather than the full survey design.</w:t>
      </w:r>
    </w:p>
    <w:p>
      <w:pPr>
        <w:keepNext/>
        <w:spacing w:before="240"/>
        <w:jc w:val="center"/>
      </w:pPr>
      <w:r>
        <w:drawing>
          <wp:inline xmlns:a="http://schemas.openxmlformats.org/drawingml/2006/main" xmlns:pic="http://schemas.openxmlformats.org/drawingml/2006/picture">
            <wp:extent cx="5724000" cy="3672768"/>
            <wp:docPr id="2" name="Picture 2"/>
            <wp:cNvGraphicFramePr>
              <a:graphicFrameLocks noChangeAspect="1"/>
            </wp:cNvGraphicFramePr>
            <a:graphic>
              <a:graphicData uri="http://schemas.openxmlformats.org/drawingml/2006/picture">
                <pic:pic>
                  <pic:nvPicPr>
                    <pic:cNvPr id="0" name="fig_calibration.png"/>
                    <pic:cNvPicPr/>
                  </pic:nvPicPr>
                  <pic:blipFill>
                    <a:blip r:embed="rId10"/>
                    <a:stretch>
                      <a:fillRect/>
                    </a:stretch>
                  </pic:blipFill>
                  <pic:spPr>
                    <a:xfrm>
                      <a:off x="0" y="0"/>
                      <a:ext cx="5724000" cy="3672768"/>
                    </a:xfrm>
                    <a:prstGeom prst="rect"/>
                  </pic:spPr>
                </pic:pic>
              </a:graphicData>
            </a:graphic>
          </wp:inline>
        </w:drawing>
      </w:r>
    </w:p>
    <w:p>
      <w:pPr>
        <w:pStyle w:val="Caption"/>
        <w:spacing w:before="80" w:after="240"/>
      </w:pPr>
      <w:r>
        <w:rPr>
          <w:b/>
        </w:rPr>
        <w:t xml:space="preserve">Figure A.2. </w:t>
      </w:r>
      <w:r>
        <w:t>Calibration of the isotonic-calibrated classifiers on the in-scope test participants (n = 1,236). Points are deciles of predicted probability with 95% binomial intervals; the histograms show the distribution of predicted probabilities.</w:t>
      </w:r>
    </w:p>
    <w:p>
      <w:pPr>
        <w:pStyle w:val="Heading2"/>
      </w:pPr>
      <w:r>
        <w:t>A.12 Comparison with Clinical Scores</w:t>
      </w:r>
    </w:p>
    <w:p>
      <w:r>
        <w:rPr>
          <w:b w:val="0"/>
          <w:i w:val="0"/>
        </w:rPr>
        <w:t>The selected classifiers were compared with two established non-invasive steatosis scores on the same held-out participants: the Fatty Liver Index (FLI; Bedogni et al., 2006), computed from BMI, waist circumference, triglycerides and GGT, and the Hepatic Steatosis Index (HSI; Lee et al., 2010), computed from the ALT/AST ratio, BMI, sex and diabetes. The comparison used the 1,100 in-scope test participants with every input to both scores. Differences in AUC are paired, with 95% intervals from 1,000 bootstrap resamples.</w:t>
      </w:r>
    </w:p>
    <w:p>
      <w:pPr>
        <w:pStyle w:val="Caption"/>
      </w:pPr>
      <w:r>
        <w:rPr>
          <w:b/>
        </w:rPr>
        <w:t xml:space="preserve">Table A.19. </w:t>
      </w:r>
      <w:r>
        <w:t>Discrimination of the selected classifiers and two clinical scores on the same in-scope test participants (n = 1,100). Δ AUC is the model minus the score.</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504"/>
        <w:gridCol w:w="1504"/>
        <w:gridCol w:w="1504"/>
        <w:gridCol w:w="1504"/>
        <w:gridCol w:w="1504"/>
        <w:gridCol w:w="1504"/>
      </w:tblGrid>
      <w:tr>
        <w:trPr>
          <w:tblHeader/>
          <w:cantSplit/>
        </w:trPr>
        <w:tc>
          <w:tcPr>
            <w:tcW w:type="dxa" w:w="1701"/>
            <w:shd w:val="clear" w:color="auto" w:fill="EDEDED"/>
            <w:tcBorders>
              <w:bottom w:val="single" w:sz="6" w:space="0" w:color="000000"/>
            </w:tcBorders>
          </w:tcPr>
          <w:p>
            <w:pPr>
              <w:spacing w:line="240" w:lineRule="auto" w:after="40" w:before="40"/>
              <w:jc w:val="left"/>
            </w:pPr>
            <w:r>
              <w:rPr>
                <w:b/>
                <w:i w:val="0"/>
                <w:sz w:val="18"/>
              </w:rPr>
              <w:t>Target</w:t>
            </w:r>
          </w:p>
        </w:tc>
        <w:tc>
          <w:tcPr>
            <w:tcW w:type="dxa" w:w="1134"/>
            <w:shd w:val="clear" w:color="auto" w:fill="EDEDED"/>
            <w:tcBorders>
              <w:bottom w:val="single" w:sz="6" w:space="0" w:color="000000"/>
            </w:tcBorders>
          </w:tcPr>
          <w:p>
            <w:pPr>
              <w:spacing w:line="240" w:lineRule="auto" w:after="40" w:before="40"/>
              <w:jc w:val="right"/>
            </w:pPr>
            <w:r>
              <w:rPr>
                <w:b/>
                <w:i w:val="0"/>
                <w:sz w:val="18"/>
              </w:rPr>
              <w:t>Model AUC</w:t>
            </w:r>
          </w:p>
        </w:tc>
        <w:tc>
          <w:tcPr>
            <w:tcW w:type="dxa" w:w="1020"/>
            <w:shd w:val="clear" w:color="auto" w:fill="EDEDED"/>
            <w:tcBorders>
              <w:bottom w:val="single" w:sz="6" w:space="0" w:color="000000"/>
            </w:tcBorders>
          </w:tcPr>
          <w:p>
            <w:pPr>
              <w:spacing w:line="240" w:lineRule="auto" w:after="40" w:before="40"/>
              <w:jc w:val="right"/>
            </w:pPr>
            <w:r>
              <w:rPr>
                <w:b/>
                <w:i w:val="0"/>
                <w:sz w:val="18"/>
              </w:rPr>
              <w:t>FLI AUC</w:t>
            </w:r>
          </w:p>
        </w:tc>
        <w:tc>
          <w:tcPr>
            <w:tcW w:type="dxa" w:w="1814"/>
            <w:shd w:val="clear" w:color="auto" w:fill="EDEDED"/>
            <w:tcBorders>
              <w:bottom w:val="single" w:sz="6" w:space="0" w:color="000000"/>
            </w:tcBorders>
          </w:tcPr>
          <w:p>
            <w:pPr>
              <w:spacing w:line="240" w:lineRule="auto" w:after="40" w:before="40"/>
              <w:jc w:val="right"/>
            </w:pPr>
            <w:r>
              <w:rPr>
                <w:b/>
                <w:i w:val="0"/>
                <w:sz w:val="18"/>
              </w:rPr>
              <w:t>Δ AUC vs FLI</w:t>
            </w:r>
          </w:p>
        </w:tc>
        <w:tc>
          <w:tcPr>
            <w:tcW w:type="dxa" w:w="1020"/>
            <w:shd w:val="clear" w:color="auto" w:fill="EDEDED"/>
            <w:tcBorders>
              <w:bottom w:val="single" w:sz="6" w:space="0" w:color="000000"/>
            </w:tcBorders>
          </w:tcPr>
          <w:p>
            <w:pPr>
              <w:spacing w:line="240" w:lineRule="auto" w:after="40" w:before="40"/>
              <w:jc w:val="right"/>
            </w:pPr>
            <w:r>
              <w:rPr>
                <w:b/>
                <w:i w:val="0"/>
                <w:sz w:val="18"/>
              </w:rPr>
              <w:t>HSI AUC</w:t>
            </w:r>
          </w:p>
        </w:tc>
        <w:tc>
          <w:tcPr>
            <w:tcW w:type="dxa" w:w="1814"/>
            <w:shd w:val="clear" w:color="auto" w:fill="EDEDED"/>
            <w:tcBorders>
              <w:bottom w:val="single" w:sz="6" w:space="0" w:color="000000"/>
            </w:tcBorders>
          </w:tcPr>
          <w:p>
            <w:pPr>
              <w:spacing w:line="240" w:lineRule="auto" w:after="40" w:before="40"/>
              <w:jc w:val="right"/>
            </w:pPr>
            <w:r>
              <w:rPr>
                <w:b/>
                <w:i w:val="0"/>
                <w:sz w:val="18"/>
              </w:rPr>
              <w:t>Δ AUC vs HSI</w:t>
            </w:r>
          </w:p>
        </w:tc>
      </w:tr>
      <w:tr>
        <w:trPr>
          <w:cantSplit/>
        </w:trPr>
        <w:tc>
          <w:tcPr>
            <w:tcW w:type="dxa" w:w="1701"/>
          </w:tcPr>
          <w:p>
            <w:pPr>
              <w:spacing w:line="240" w:lineRule="auto" w:after="40" w:before="40"/>
              <w:jc w:val="left"/>
            </w:pPr>
            <w:r>
              <w:rPr>
                <w:b w:val="0"/>
                <w:i w:val="0"/>
                <w:sz w:val="18"/>
              </w:rPr>
              <w:t>CAP ≥ 248 dB/m</w:t>
            </w:r>
          </w:p>
        </w:tc>
        <w:tc>
          <w:tcPr>
            <w:tcW w:type="dxa" w:w="1134"/>
          </w:tcPr>
          <w:p>
            <w:pPr>
              <w:spacing w:line="240" w:lineRule="auto" w:after="40" w:before="40"/>
              <w:jc w:val="right"/>
            </w:pPr>
            <w:r>
              <w:rPr>
                <w:b w:val="0"/>
                <w:i w:val="0"/>
                <w:sz w:val="18"/>
              </w:rPr>
              <w:t>0.881</w:t>
            </w:r>
          </w:p>
        </w:tc>
        <w:tc>
          <w:tcPr>
            <w:tcW w:type="dxa" w:w="1020"/>
          </w:tcPr>
          <w:p>
            <w:pPr>
              <w:spacing w:line="240" w:lineRule="auto" w:after="40" w:before="40"/>
              <w:jc w:val="right"/>
            </w:pPr>
            <w:r>
              <w:rPr>
                <w:b w:val="0"/>
                <w:i w:val="0"/>
                <w:sz w:val="18"/>
              </w:rPr>
              <w:t>0.861</w:t>
            </w:r>
          </w:p>
        </w:tc>
        <w:tc>
          <w:tcPr>
            <w:tcW w:type="dxa" w:w="1814"/>
          </w:tcPr>
          <w:p>
            <w:pPr>
              <w:spacing w:line="240" w:lineRule="auto" w:after="40" w:before="40"/>
              <w:jc w:val="right"/>
            </w:pPr>
            <w:r>
              <w:rPr>
                <w:b w:val="0"/>
                <w:i w:val="0"/>
                <w:sz w:val="18"/>
              </w:rPr>
              <w:t>+0.020 (0.011–0.029)</w:t>
            </w:r>
          </w:p>
        </w:tc>
        <w:tc>
          <w:tcPr>
            <w:tcW w:type="dxa" w:w="1020"/>
          </w:tcPr>
          <w:p>
            <w:pPr>
              <w:spacing w:line="240" w:lineRule="auto" w:after="40" w:before="40"/>
              <w:jc w:val="right"/>
            </w:pPr>
            <w:r>
              <w:rPr>
                <w:b w:val="0"/>
                <w:i w:val="0"/>
                <w:sz w:val="18"/>
              </w:rPr>
              <w:t>0.836</w:t>
            </w:r>
          </w:p>
        </w:tc>
        <w:tc>
          <w:tcPr>
            <w:tcW w:type="dxa" w:w="1814"/>
          </w:tcPr>
          <w:p>
            <w:pPr>
              <w:spacing w:line="240" w:lineRule="auto" w:after="40" w:before="40"/>
              <w:jc w:val="right"/>
            </w:pPr>
            <w:r>
              <w:rPr>
                <w:b w:val="0"/>
                <w:i w:val="0"/>
                <w:sz w:val="18"/>
              </w:rPr>
              <w:t>+0.046 (0.031–0.062)</w:t>
            </w:r>
          </w:p>
        </w:tc>
      </w:tr>
      <w:tr>
        <w:trPr>
          <w:cantSplit/>
        </w:trPr>
        <w:tc>
          <w:tcPr>
            <w:tcW w:type="dxa" w:w="1701"/>
          </w:tcPr>
          <w:p>
            <w:pPr>
              <w:spacing w:line="240" w:lineRule="auto" w:after="40" w:before="40"/>
              <w:jc w:val="left"/>
            </w:pPr>
            <w:r>
              <w:rPr>
                <w:b w:val="0"/>
                <w:i w:val="0"/>
                <w:sz w:val="18"/>
              </w:rPr>
              <w:t>CAP ≥ 280 dB/m</w:t>
            </w:r>
          </w:p>
        </w:tc>
        <w:tc>
          <w:tcPr>
            <w:tcW w:type="dxa" w:w="1134"/>
          </w:tcPr>
          <w:p>
            <w:pPr>
              <w:spacing w:line="240" w:lineRule="auto" w:after="40" w:before="40"/>
              <w:jc w:val="right"/>
            </w:pPr>
            <w:r>
              <w:rPr>
                <w:b w:val="0"/>
                <w:i w:val="0"/>
                <w:sz w:val="18"/>
              </w:rPr>
              <w:t>0.879</w:t>
            </w:r>
          </w:p>
        </w:tc>
        <w:tc>
          <w:tcPr>
            <w:tcW w:type="dxa" w:w="1020"/>
          </w:tcPr>
          <w:p>
            <w:pPr>
              <w:spacing w:line="240" w:lineRule="auto" w:after="40" w:before="40"/>
              <w:jc w:val="right"/>
            </w:pPr>
            <w:r>
              <w:rPr>
                <w:b w:val="0"/>
                <w:i w:val="0"/>
                <w:sz w:val="18"/>
              </w:rPr>
              <w:t>0.849</w:t>
            </w:r>
          </w:p>
        </w:tc>
        <w:tc>
          <w:tcPr>
            <w:tcW w:type="dxa" w:w="1814"/>
          </w:tcPr>
          <w:p>
            <w:pPr>
              <w:spacing w:line="240" w:lineRule="auto" w:after="40" w:before="40"/>
              <w:jc w:val="right"/>
            </w:pPr>
            <w:r>
              <w:rPr>
                <w:b w:val="0"/>
                <w:i w:val="0"/>
                <w:sz w:val="18"/>
              </w:rPr>
              <w:t>+0.030 (0.020–0.041)</w:t>
            </w:r>
          </w:p>
        </w:tc>
        <w:tc>
          <w:tcPr>
            <w:tcW w:type="dxa" w:w="1020"/>
          </w:tcPr>
          <w:p>
            <w:pPr>
              <w:spacing w:line="240" w:lineRule="auto" w:after="40" w:before="40"/>
              <w:jc w:val="right"/>
            </w:pPr>
            <w:r>
              <w:rPr>
                <w:b w:val="0"/>
                <w:i w:val="0"/>
                <w:sz w:val="18"/>
              </w:rPr>
              <w:t>0.831</w:t>
            </w:r>
          </w:p>
        </w:tc>
        <w:tc>
          <w:tcPr>
            <w:tcW w:type="dxa" w:w="1814"/>
          </w:tcPr>
          <w:p>
            <w:pPr>
              <w:spacing w:line="240" w:lineRule="auto" w:after="40" w:before="40"/>
              <w:jc w:val="right"/>
            </w:pPr>
            <w:r>
              <w:rPr>
                <w:b w:val="0"/>
                <w:i w:val="0"/>
                <w:sz w:val="18"/>
              </w:rPr>
              <w:t>+0.048 (0.032–0.064)</w:t>
            </w:r>
          </w:p>
        </w:tc>
      </w:tr>
      <w:tr>
        <w:trPr>
          <w:cantSplit/>
        </w:trPr>
        <w:tc>
          <w:tcPr>
            <w:tcW w:type="dxa" w:w="1701"/>
          </w:tcPr>
          <w:p>
            <w:pPr>
              <w:spacing w:line="240" w:lineRule="auto" w:after="40" w:before="40"/>
              <w:jc w:val="left"/>
            </w:pPr>
            <w:r>
              <w:rPr>
                <w:b w:val="0"/>
                <w:i w:val="0"/>
                <w:sz w:val="18"/>
              </w:rPr>
              <w:t>CAP ≥ 302 dB/m</w:t>
            </w:r>
          </w:p>
        </w:tc>
        <w:tc>
          <w:tcPr>
            <w:tcW w:type="dxa" w:w="1134"/>
          </w:tcPr>
          <w:p>
            <w:pPr>
              <w:spacing w:line="240" w:lineRule="auto" w:after="40" w:before="40"/>
              <w:jc w:val="right"/>
            </w:pPr>
            <w:r>
              <w:rPr>
                <w:b w:val="0"/>
                <w:i w:val="0"/>
                <w:sz w:val="18"/>
              </w:rPr>
              <w:t>0.886</w:t>
            </w:r>
          </w:p>
        </w:tc>
        <w:tc>
          <w:tcPr>
            <w:tcW w:type="dxa" w:w="1020"/>
          </w:tcPr>
          <w:p>
            <w:pPr>
              <w:spacing w:line="240" w:lineRule="auto" w:after="40" w:before="40"/>
              <w:jc w:val="right"/>
            </w:pPr>
            <w:r>
              <w:rPr>
                <w:b w:val="0"/>
                <w:i w:val="0"/>
                <w:sz w:val="18"/>
              </w:rPr>
              <w:t>0.854</w:t>
            </w:r>
          </w:p>
        </w:tc>
        <w:tc>
          <w:tcPr>
            <w:tcW w:type="dxa" w:w="1814"/>
          </w:tcPr>
          <w:p>
            <w:pPr>
              <w:spacing w:line="240" w:lineRule="auto" w:after="40" w:before="40"/>
              <w:jc w:val="right"/>
            </w:pPr>
            <w:r>
              <w:rPr>
                <w:b w:val="0"/>
                <w:i w:val="0"/>
                <w:sz w:val="18"/>
              </w:rPr>
              <w:t>+0.032 (0.019–0.044)</w:t>
            </w:r>
          </w:p>
        </w:tc>
        <w:tc>
          <w:tcPr>
            <w:tcW w:type="dxa" w:w="1020"/>
          </w:tcPr>
          <w:p>
            <w:pPr>
              <w:spacing w:line="240" w:lineRule="auto" w:after="40" w:before="40"/>
              <w:jc w:val="right"/>
            </w:pPr>
            <w:r>
              <w:rPr>
                <w:b w:val="0"/>
                <w:i w:val="0"/>
                <w:sz w:val="18"/>
              </w:rPr>
              <w:t>0.837</w:t>
            </w:r>
          </w:p>
        </w:tc>
        <w:tc>
          <w:tcPr>
            <w:tcW w:type="dxa" w:w="1814"/>
          </w:tcPr>
          <w:p>
            <w:pPr>
              <w:spacing w:line="240" w:lineRule="auto" w:after="40" w:before="40"/>
              <w:jc w:val="right"/>
            </w:pPr>
            <w:r>
              <w:rPr>
                <w:b w:val="0"/>
                <w:i w:val="0"/>
                <w:sz w:val="18"/>
              </w:rPr>
              <w:t>+0.049 (0.032–0.069)</w:t>
            </w:r>
          </w:p>
        </w:tc>
      </w:tr>
    </w:tbl>
    <w:p>
      <w:pPr>
        <w:spacing w:after="200" w:line="240" w:lineRule="auto" w:before="80"/>
        <w:jc w:val="left"/>
      </w:pPr>
      <w:r>
        <w:rPr>
          <w:b w:val="0"/>
          <w:i/>
          <w:sz w:val="18"/>
        </w:rPr>
        <w:t>On all 2,703 test participants with complete inputs the margins are similar: +0.018 to +0.033 over FLI and +0.047 to +0.062 over HSI.</w:t>
      </w:r>
    </w:p>
    <w:p>
      <w:r>
        <w:rPr>
          <w:b w:val="0"/>
          <w:i w:val="0"/>
        </w:rPr>
        <w:t>The model discriminates better than both scores at every cut-off, and every interval excludes zero; the margin over FLI also holds within every BMI band (Section A.8). The margin is modest, which is expected: FLI is itself a strong predictor and a derived FLI value is one of the model inputs. FLI was computed with non-fasting serum triglycerides, because fasting values exist for only part of the cohort, which may slightly disadvantage it.</w:t>
      </w:r>
    </w:p>
    <w:p>
      <w:pPr>
        <w:keepNext/>
        <w:spacing w:before="240"/>
        <w:jc w:val="center"/>
      </w:pPr>
      <w:r>
        <w:drawing>
          <wp:inline xmlns:a="http://schemas.openxmlformats.org/drawingml/2006/main" xmlns:pic="http://schemas.openxmlformats.org/drawingml/2006/picture">
            <wp:extent cx="5724000" cy="2849512"/>
            <wp:docPr id="3" name="Picture 3"/>
            <wp:cNvGraphicFramePr>
              <a:graphicFrameLocks noChangeAspect="1"/>
            </wp:cNvGraphicFramePr>
            <a:graphic>
              <a:graphicData uri="http://schemas.openxmlformats.org/drawingml/2006/picture">
                <pic:pic>
                  <pic:nvPicPr>
                    <pic:cNvPr id="0" name="fig_roc_curves.png"/>
                    <pic:cNvPicPr/>
                  </pic:nvPicPr>
                  <pic:blipFill>
                    <a:blip r:embed="rId11"/>
                    <a:stretch>
                      <a:fillRect/>
                    </a:stretch>
                  </pic:blipFill>
                  <pic:spPr>
                    <a:xfrm>
                      <a:off x="0" y="0"/>
                      <a:ext cx="5724000" cy="2849512"/>
                    </a:xfrm>
                    <a:prstGeom prst="rect"/>
                  </pic:spPr>
                </pic:pic>
              </a:graphicData>
            </a:graphic>
          </wp:inline>
        </w:drawing>
      </w:r>
    </w:p>
    <w:p>
      <w:pPr>
        <w:pStyle w:val="Caption"/>
        <w:spacing w:before="80" w:after="240"/>
      </w:pPr>
      <w:r>
        <w:rPr>
          <w:b/>
        </w:rPr>
        <w:t xml:space="preserve">Figure A.3. </w:t>
      </w:r>
      <w:r>
        <w:t>Receiver operating characteristic curves on the in-scope test participants. (a) The three steatosis classifiers (n = 1,236). (b) The CAP ≥ 248 dB/m classifier against the Fatty Liver Index and the Hepatic Steatosis Index on the 1,100 participants with complete inputs.</w:t>
      </w:r>
    </w:p>
    <w:p>
      <w:pPr>
        <w:pStyle w:val="Heading2"/>
      </w:pPr>
      <w:r>
        <w:t>A.13 Feature Importance</w:t>
      </w:r>
    </w:p>
    <w:p>
      <w:r>
        <w:rPr>
          <w:b w:val="0"/>
          <w:i w:val="0"/>
        </w:rPr>
        <w:t>SHAP values for the CAP ≥ 248 dB/m classifier were computed with XGBoost’s exact TreeSHAP on the uncalibrated model; isotonic calibration is monotone, so the ranking of inputs is unchanged. SHAP describes how the model uses its inputs and does not establish causal effects. Overall, the classifier relies mainly on central adiposity (waist circumference and waist ratios), followed by body weight, age, BMI, the triglyceride-glucose index and HbA1c (Figure A.4, in-scope test participants).</w:t>
      </w:r>
    </w:p>
    <w:p>
      <w:pPr>
        <w:keepNext/>
        <w:spacing w:before="240"/>
        <w:jc w:val="center"/>
      </w:pPr>
      <w:r>
        <w:drawing>
          <wp:inline xmlns:a="http://schemas.openxmlformats.org/drawingml/2006/main" xmlns:pic="http://schemas.openxmlformats.org/drawingml/2006/picture">
            <wp:extent cx="5724000" cy="3465676"/>
            <wp:docPr id="4" name="Picture 4"/>
            <wp:cNvGraphicFramePr>
              <a:graphicFrameLocks noChangeAspect="1"/>
            </wp:cNvGraphicFramePr>
            <a:graphic>
              <a:graphicData uri="http://schemas.openxmlformats.org/drawingml/2006/picture">
                <pic:pic>
                  <pic:nvPicPr>
                    <pic:cNvPr id="0" name="fig_shap_cap248.png"/>
                    <pic:cNvPicPr/>
                  </pic:nvPicPr>
                  <pic:blipFill>
                    <a:blip r:embed="rId12"/>
                    <a:stretch>
                      <a:fillRect/>
                    </a:stretch>
                  </pic:blipFill>
                  <pic:spPr>
                    <a:xfrm>
                      <a:off x="0" y="0"/>
                      <a:ext cx="5724000" cy="3465676"/>
                    </a:xfrm>
                    <a:prstGeom prst="rect"/>
                  </pic:spPr>
                </pic:pic>
              </a:graphicData>
            </a:graphic>
          </wp:inline>
        </w:drawing>
      </w:r>
    </w:p>
    <w:p>
      <w:pPr>
        <w:pStyle w:val="Caption"/>
        <w:spacing w:before="80" w:after="240"/>
      </w:pPr>
      <w:r>
        <w:rPr>
          <w:b/>
        </w:rPr>
        <w:t xml:space="preserve">Figure A.4. </w:t>
      </w:r>
      <w:r>
        <w:t>SHAP summary for the CAP ≥ 248 dB/m classifier on the in-scope test participants. Each point is one participant; colour shows the input value and position its effect on the log-odds of steatosis.</w:t>
      </w:r>
    </w:p>
    <w:p>
      <w:r>
        <w:rPr>
          <w:b w:val="0"/>
          <w:i w:val="0"/>
        </w:rPr>
        <w:t>Importance was also computed separately for each age group of the whole test set and expressed as each input’s share of the group’s total mean absolute SHAP value. The 60+ group, outside the scope, is shown for comparison.</w:t>
      </w:r>
    </w:p>
    <w:p>
      <w:pPr>
        <w:pStyle w:val="Caption"/>
      </w:pPr>
      <w:r>
        <w:rPr>
          <w:b/>
        </w:rPr>
        <w:t xml:space="preserve">Table A.20. </w:t>
      </w:r>
      <w:r>
        <w:t>Share of SHAP importance (%) by age group, held-out test set (CAP ≥ 248 dB/m classifier).</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504"/>
        <w:gridCol w:w="1504"/>
        <w:gridCol w:w="1504"/>
        <w:gridCol w:w="1504"/>
        <w:gridCol w:w="1504"/>
        <w:gridCol w:w="1504"/>
      </w:tblGrid>
      <w:tr>
        <w:trPr>
          <w:tblHeader/>
          <w:cantSplit/>
        </w:trPr>
        <w:tc>
          <w:tcPr>
            <w:tcW w:type="dxa" w:w="3628"/>
            <w:shd w:val="clear" w:color="auto" w:fill="EDEDED"/>
            <w:tcBorders>
              <w:bottom w:val="single" w:sz="6" w:space="0" w:color="000000"/>
            </w:tcBorders>
          </w:tcPr>
          <w:p>
            <w:pPr>
              <w:spacing w:line="240" w:lineRule="auto" w:after="40" w:before="40"/>
              <w:jc w:val="left"/>
            </w:pPr>
            <w:r>
              <w:rPr>
                <w:b/>
                <w:i w:val="0"/>
                <w:sz w:val="18"/>
              </w:rPr>
              <w:t>Input or group</w:t>
            </w:r>
          </w:p>
        </w:tc>
        <w:tc>
          <w:tcPr>
            <w:tcW w:type="dxa" w:w="1020"/>
            <w:shd w:val="clear" w:color="auto" w:fill="EDEDED"/>
            <w:tcBorders>
              <w:bottom w:val="single" w:sz="6" w:space="0" w:color="000000"/>
            </w:tcBorders>
          </w:tcPr>
          <w:p>
            <w:pPr>
              <w:spacing w:line="240" w:lineRule="auto" w:after="40" w:before="40"/>
              <w:jc w:val="right"/>
            </w:pPr>
            <w:r>
              <w:rPr>
                <w:b/>
                <w:i w:val="0"/>
                <w:sz w:val="18"/>
              </w:rPr>
              <w:t>All</w:t>
            </w:r>
          </w:p>
        </w:tc>
        <w:tc>
          <w:tcPr>
            <w:tcW w:type="dxa" w:w="1020"/>
            <w:shd w:val="clear" w:color="auto" w:fill="EDEDED"/>
            <w:tcBorders>
              <w:bottom w:val="single" w:sz="6" w:space="0" w:color="000000"/>
            </w:tcBorders>
          </w:tcPr>
          <w:p>
            <w:pPr>
              <w:spacing w:line="240" w:lineRule="auto" w:after="40" w:before="40"/>
              <w:jc w:val="right"/>
            </w:pPr>
            <w:r>
              <w:rPr>
                <w:b/>
                <w:i w:val="0"/>
                <w:sz w:val="18"/>
              </w:rPr>
              <w:t>12–17</w:t>
            </w:r>
          </w:p>
        </w:tc>
        <w:tc>
          <w:tcPr>
            <w:tcW w:type="dxa" w:w="1020"/>
            <w:shd w:val="clear" w:color="auto" w:fill="EDEDED"/>
            <w:tcBorders>
              <w:bottom w:val="single" w:sz="6" w:space="0" w:color="000000"/>
            </w:tcBorders>
          </w:tcPr>
          <w:p>
            <w:pPr>
              <w:spacing w:line="240" w:lineRule="auto" w:after="40" w:before="40"/>
              <w:jc w:val="right"/>
            </w:pPr>
            <w:r>
              <w:rPr>
                <w:b/>
                <w:i w:val="0"/>
                <w:sz w:val="18"/>
              </w:rPr>
              <w:t>18–39</w:t>
            </w:r>
          </w:p>
        </w:tc>
        <w:tc>
          <w:tcPr>
            <w:tcW w:type="dxa" w:w="1020"/>
            <w:shd w:val="clear" w:color="auto" w:fill="EDEDED"/>
            <w:tcBorders>
              <w:bottom w:val="single" w:sz="6" w:space="0" w:color="000000"/>
            </w:tcBorders>
          </w:tcPr>
          <w:p>
            <w:pPr>
              <w:spacing w:line="240" w:lineRule="auto" w:after="40" w:before="40"/>
              <w:jc w:val="right"/>
            </w:pPr>
            <w:r>
              <w:rPr>
                <w:b/>
                <w:i w:val="0"/>
                <w:sz w:val="18"/>
              </w:rPr>
              <w:t>40–59</w:t>
            </w:r>
          </w:p>
        </w:tc>
        <w:tc>
          <w:tcPr>
            <w:tcW w:type="dxa" w:w="1020"/>
            <w:shd w:val="clear" w:color="auto" w:fill="EDEDED"/>
            <w:tcBorders>
              <w:bottom w:val="single" w:sz="6" w:space="0" w:color="000000"/>
            </w:tcBorders>
          </w:tcPr>
          <w:p>
            <w:pPr>
              <w:spacing w:line="240" w:lineRule="auto" w:after="40" w:before="40"/>
              <w:jc w:val="right"/>
            </w:pPr>
            <w:r>
              <w:rPr>
                <w:b/>
                <w:i w:val="0"/>
                <w:sz w:val="18"/>
              </w:rPr>
              <w:t>60+ (outside)</w:t>
            </w:r>
          </w:p>
        </w:tc>
      </w:tr>
      <w:tr>
        <w:trPr>
          <w:cantSplit/>
        </w:trPr>
        <w:tc>
          <w:tcPr>
            <w:tcW w:type="dxa" w:w="3628"/>
          </w:tcPr>
          <w:p>
            <w:pPr>
              <w:spacing w:line="240" w:lineRule="auto" w:after="40" w:before="40"/>
              <w:jc w:val="left"/>
            </w:pPr>
            <w:r>
              <w:rPr>
                <w:b w:val="0"/>
                <w:i w:val="0"/>
                <w:sz w:val="18"/>
              </w:rPr>
              <w:t>Waist circumference</w:t>
            </w:r>
          </w:p>
        </w:tc>
        <w:tc>
          <w:tcPr>
            <w:tcW w:type="dxa" w:w="1020"/>
          </w:tcPr>
          <w:p>
            <w:pPr>
              <w:spacing w:line="240" w:lineRule="auto" w:after="40" w:before="40"/>
              <w:jc w:val="right"/>
            </w:pPr>
            <w:r>
              <w:rPr>
                <w:b w:val="0"/>
                <w:i w:val="0"/>
                <w:sz w:val="18"/>
              </w:rPr>
              <w:t>10.8</w:t>
            </w:r>
          </w:p>
        </w:tc>
        <w:tc>
          <w:tcPr>
            <w:tcW w:type="dxa" w:w="1020"/>
          </w:tcPr>
          <w:p>
            <w:pPr>
              <w:spacing w:line="240" w:lineRule="auto" w:after="40" w:before="40"/>
              <w:jc w:val="right"/>
            </w:pPr>
            <w:r>
              <w:rPr>
                <w:b w:val="0"/>
                <w:i w:val="0"/>
                <w:sz w:val="18"/>
              </w:rPr>
              <w:t>14.0</w:t>
            </w:r>
          </w:p>
        </w:tc>
        <w:tc>
          <w:tcPr>
            <w:tcW w:type="dxa" w:w="1020"/>
          </w:tcPr>
          <w:p>
            <w:pPr>
              <w:spacing w:line="240" w:lineRule="auto" w:after="40" w:before="40"/>
              <w:jc w:val="right"/>
            </w:pPr>
            <w:r>
              <w:rPr>
                <w:b w:val="0"/>
                <w:i w:val="0"/>
                <w:sz w:val="18"/>
              </w:rPr>
              <w:t>11.6</w:t>
            </w:r>
          </w:p>
        </w:tc>
        <w:tc>
          <w:tcPr>
            <w:tcW w:type="dxa" w:w="1020"/>
          </w:tcPr>
          <w:p>
            <w:pPr>
              <w:spacing w:line="240" w:lineRule="auto" w:after="40" w:before="40"/>
              <w:jc w:val="right"/>
            </w:pPr>
            <w:r>
              <w:rPr>
                <w:b w:val="0"/>
                <w:i w:val="0"/>
                <w:sz w:val="18"/>
              </w:rPr>
              <w:t>9.8</w:t>
            </w:r>
          </w:p>
        </w:tc>
        <w:tc>
          <w:tcPr>
            <w:tcW w:type="dxa" w:w="1020"/>
          </w:tcPr>
          <w:p>
            <w:pPr>
              <w:spacing w:line="240" w:lineRule="auto" w:after="40" w:before="40"/>
              <w:jc w:val="right"/>
            </w:pPr>
            <w:r>
              <w:rPr>
                <w:b w:val="0"/>
                <w:i w:val="0"/>
                <w:sz w:val="18"/>
              </w:rPr>
              <w:t>9.7</w:t>
            </w:r>
          </w:p>
        </w:tc>
      </w:tr>
      <w:tr>
        <w:trPr>
          <w:cantSplit/>
        </w:trPr>
        <w:tc>
          <w:tcPr>
            <w:tcW w:type="dxa" w:w="3628"/>
          </w:tcPr>
          <w:p>
            <w:pPr>
              <w:spacing w:line="240" w:lineRule="auto" w:after="40" w:before="40"/>
              <w:jc w:val="left"/>
            </w:pPr>
            <w:r>
              <w:rPr>
                <w:b w:val="0"/>
                <w:i w:val="0"/>
                <w:sz w:val="18"/>
              </w:rPr>
              <w:t>Waist-to-height ratio</w:t>
            </w:r>
          </w:p>
        </w:tc>
        <w:tc>
          <w:tcPr>
            <w:tcW w:type="dxa" w:w="1020"/>
          </w:tcPr>
          <w:p>
            <w:pPr>
              <w:spacing w:line="240" w:lineRule="auto" w:after="40" w:before="40"/>
              <w:jc w:val="right"/>
            </w:pPr>
            <w:r>
              <w:rPr>
                <w:b w:val="0"/>
                <w:i w:val="0"/>
                <w:sz w:val="18"/>
              </w:rPr>
              <w:t>8.3</w:t>
            </w:r>
          </w:p>
        </w:tc>
        <w:tc>
          <w:tcPr>
            <w:tcW w:type="dxa" w:w="1020"/>
          </w:tcPr>
          <w:p>
            <w:pPr>
              <w:spacing w:line="240" w:lineRule="auto" w:after="40" w:before="40"/>
              <w:jc w:val="right"/>
            </w:pPr>
            <w:r>
              <w:rPr>
                <w:b w:val="0"/>
                <w:i w:val="0"/>
                <w:sz w:val="18"/>
              </w:rPr>
              <w:t>11.9</w:t>
            </w:r>
          </w:p>
        </w:tc>
        <w:tc>
          <w:tcPr>
            <w:tcW w:type="dxa" w:w="1020"/>
          </w:tcPr>
          <w:p>
            <w:pPr>
              <w:spacing w:line="240" w:lineRule="auto" w:after="40" w:before="40"/>
              <w:jc w:val="right"/>
            </w:pPr>
            <w:r>
              <w:rPr>
                <w:b w:val="0"/>
                <w:i w:val="0"/>
                <w:sz w:val="18"/>
              </w:rPr>
              <w:t>9.2</w:t>
            </w:r>
          </w:p>
        </w:tc>
        <w:tc>
          <w:tcPr>
            <w:tcW w:type="dxa" w:w="1020"/>
          </w:tcPr>
          <w:p>
            <w:pPr>
              <w:spacing w:line="240" w:lineRule="auto" w:after="40" w:before="40"/>
              <w:jc w:val="right"/>
            </w:pPr>
            <w:r>
              <w:rPr>
                <w:b w:val="0"/>
                <w:i w:val="0"/>
                <w:sz w:val="18"/>
              </w:rPr>
              <w:t>6.9</w:t>
            </w:r>
          </w:p>
        </w:tc>
        <w:tc>
          <w:tcPr>
            <w:tcW w:type="dxa" w:w="1020"/>
          </w:tcPr>
          <w:p>
            <w:pPr>
              <w:spacing w:line="240" w:lineRule="auto" w:after="40" w:before="40"/>
              <w:jc w:val="right"/>
            </w:pPr>
            <w:r>
              <w:rPr>
                <w:b w:val="0"/>
                <w:i w:val="0"/>
                <w:sz w:val="18"/>
              </w:rPr>
              <w:t>7.1</w:t>
            </w:r>
          </w:p>
        </w:tc>
      </w:tr>
      <w:tr>
        <w:trPr>
          <w:cantSplit/>
        </w:trPr>
        <w:tc>
          <w:tcPr>
            <w:tcW w:type="dxa" w:w="3628"/>
          </w:tcPr>
          <w:p>
            <w:pPr>
              <w:spacing w:line="240" w:lineRule="auto" w:after="40" w:before="40"/>
              <w:jc w:val="left"/>
            </w:pPr>
            <w:r>
              <w:rPr>
                <w:b w:val="0"/>
                <w:i w:val="0"/>
                <w:sz w:val="18"/>
              </w:rPr>
              <w:t>FLI (derived)</w:t>
            </w:r>
          </w:p>
        </w:tc>
        <w:tc>
          <w:tcPr>
            <w:tcW w:type="dxa" w:w="1020"/>
          </w:tcPr>
          <w:p>
            <w:pPr>
              <w:spacing w:line="240" w:lineRule="auto" w:after="40" w:before="40"/>
              <w:jc w:val="right"/>
            </w:pPr>
            <w:r>
              <w:rPr>
                <w:b w:val="0"/>
                <w:i w:val="0"/>
                <w:sz w:val="18"/>
              </w:rPr>
              <w:t>6.5</w:t>
            </w:r>
          </w:p>
        </w:tc>
        <w:tc>
          <w:tcPr>
            <w:tcW w:type="dxa" w:w="1020"/>
          </w:tcPr>
          <w:p>
            <w:pPr>
              <w:spacing w:line="240" w:lineRule="auto" w:after="40" w:before="40"/>
              <w:jc w:val="right"/>
            </w:pPr>
            <w:r>
              <w:rPr>
                <w:b w:val="0"/>
                <w:i w:val="0"/>
                <w:sz w:val="18"/>
              </w:rPr>
              <w:t>6.3</w:t>
            </w:r>
          </w:p>
        </w:tc>
        <w:tc>
          <w:tcPr>
            <w:tcW w:type="dxa" w:w="1020"/>
          </w:tcPr>
          <w:p>
            <w:pPr>
              <w:spacing w:line="240" w:lineRule="auto" w:after="40" w:before="40"/>
              <w:jc w:val="right"/>
            </w:pPr>
            <w:r>
              <w:rPr>
                <w:b w:val="0"/>
                <w:i w:val="0"/>
                <w:sz w:val="18"/>
              </w:rPr>
              <w:t>6.4</w:t>
            </w:r>
          </w:p>
        </w:tc>
        <w:tc>
          <w:tcPr>
            <w:tcW w:type="dxa" w:w="1020"/>
          </w:tcPr>
          <w:p>
            <w:pPr>
              <w:spacing w:line="240" w:lineRule="auto" w:after="40" w:before="40"/>
              <w:jc w:val="right"/>
            </w:pPr>
            <w:r>
              <w:rPr>
                <w:b w:val="0"/>
                <w:i w:val="0"/>
                <w:sz w:val="18"/>
              </w:rPr>
              <w:t>6.8</w:t>
            </w:r>
          </w:p>
        </w:tc>
        <w:tc>
          <w:tcPr>
            <w:tcW w:type="dxa" w:w="1020"/>
          </w:tcPr>
          <w:p>
            <w:pPr>
              <w:spacing w:line="240" w:lineRule="auto" w:after="40" w:before="40"/>
              <w:jc w:val="right"/>
            </w:pPr>
            <w:r>
              <w:rPr>
                <w:b w:val="0"/>
                <w:i w:val="0"/>
                <w:sz w:val="18"/>
              </w:rPr>
              <w:t>6.4</w:t>
            </w:r>
          </w:p>
        </w:tc>
      </w:tr>
      <w:tr>
        <w:trPr>
          <w:cantSplit/>
        </w:trPr>
        <w:tc>
          <w:tcPr>
            <w:tcW w:type="dxa" w:w="3628"/>
          </w:tcPr>
          <w:p>
            <w:pPr>
              <w:spacing w:line="240" w:lineRule="auto" w:after="40" w:before="40"/>
              <w:jc w:val="left"/>
            </w:pPr>
            <w:r>
              <w:rPr>
                <w:b w:val="0"/>
                <w:i w:val="0"/>
                <w:sz w:val="18"/>
              </w:rPr>
              <w:t>HbA1c</w:t>
            </w:r>
          </w:p>
        </w:tc>
        <w:tc>
          <w:tcPr>
            <w:tcW w:type="dxa" w:w="1020"/>
          </w:tcPr>
          <w:p>
            <w:pPr>
              <w:spacing w:line="240" w:lineRule="auto" w:after="40" w:before="40"/>
              <w:jc w:val="right"/>
            </w:pPr>
            <w:r>
              <w:rPr>
                <w:b w:val="0"/>
                <w:i w:val="0"/>
                <w:sz w:val="18"/>
              </w:rPr>
              <w:t>2.5</w:t>
            </w:r>
          </w:p>
        </w:tc>
        <w:tc>
          <w:tcPr>
            <w:tcW w:type="dxa" w:w="1020"/>
          </w:tcPr>
          <w:p>
            <w:pPr>
              <w:spacing w:line="240" w:lineRule="auto" w:after="40" w:before="40"/>
              <w:jc w:val="right"/>
            </w:pPr>
            <w:r>
              <w:rPr>
                <w:b w:val="0"/>
                <w:i w:val="0"/>
                <w:sz w:val="18"/>
              </w:rPr>
              <w:t>1.6</w:t>
            </w:r>
          </w:p>
        </w:tc>
        <w:tc>
          <w:tcPr>
            <w:tcW w:type="dxa" w:w="1020"/>
          </w:tcPr>
          <w:p>
            <w:pPr>
              <w:spacing w:line="240" w:lineRule="auto" w:after="40" w:before="40"/>
              <w:jc w:val="right"/>
            </w:pPr>
            <w:r>
              <w:rPr>
                <w:b w:val="0"/>
                <w:i w:val="0"/>
                <w:sz w:val="18"/>
              </w:rPr>
              <w:t>2.1</w:t>
            </w:r>
          </w:p>
        </w:tc>
        <w:tc>
          <w:tcPr>
            <w:tcW w:type="dxa" w:w="1020"/>
          </w:tcPr>
          <w:p>
            <w:pPr>
              <w:spacing w:line="240" w:lineRule="auto" w:after="40" w:before="40"/>
              <w:jc w:val="right"/>
            </w:pPr>
            <w:r>
              <w:rPr>
                <w:b w:val="0"/>
                <w:i w:val="0"/>
                <w:sz w:val="18"/>
              </w:rPr>
              <w:t>2.8</w:t>
            </w:r>
          </w:p>
        </w:tc>
        <w:tc>
          <w:tcPr>
            <w:tcW w:type="dxa" w:w="1020"/>
          </w:tcPr>
          <w:p>
            <w:pPr>
              <w:spacing w:line="240" w:lineRule="auto" w:after="40" w:before="40"/>
              <w:jc w:val="right"/>
            </w:pPr>
            <w:r>
              <w:rPr>
                <w:b w:val="0"/>
                <w:i w:val="0"/>
                <w:sz w:val="18"/>
              </w:rPr>
              <w:t>3.0</w:t>
            </w:r>
          </w:p>
        </w:tc>
      </w:tr>
      <w:tr>
        <w:trPr>
          <w:cantSplit/>
        </w:trPr>
        <w:tc>
          <w:tcPr>
            <w:tcW w:type="dxa" w:w="3628"/>
          </w:tcPr>
          <w:p>
            <w:pPr>
              <w:spacing w:line="240" w:lineRule="auto" w:after="40" w:before="40"/>
              <w:jc w:val="left"/>
            </w:pPr>
            <w:r>
              <w:rPr>
                <w:b w:val="0"/>
                <w:i w:val="0"/>
                <w:sz w:val="18"/>
              </w:rPr>
              <w:t>Triglyceride-glucose index</w:t>
            </w:r>
          </w:p>
        </w:tc>
        <w:tc>
          <w:tcPr>
            <w:tcW w:type="dxa" w:w="1020"/>
          </w:tcPr>
          <w:p>
            <w:pPr>
              <w:spacing w:line="240" w:lineRule="auto" w:after="40" w:before="40"/>
              <w:jc w:val="right"/>
            </w:pPr>
            <w:r>
              <w:rPr>
                <w:b w:val="0"/>
                <w:i w:val="0"/>
                <w:sz w:val="18"/>
              </w:rPr>
              <w:t>2.3</w:t>
            </w:r>
          </w:p>
        </w:tc>
        <w:tc>
          <w:tcPr>
            <w:tcW w:type="dxa" w:w="1020"/>
          </w:tcPr>
          <w:p>
            <w:pPr>
              <w:spacing w:line="240" w:lineRule="auto" w:after="40" w:before="40"/>
              <w:jc w:val="right"/>
            </w:pPr>
            <w:r>
              <w:rPr>
                <w:b w:val="0"/>
                <w:i w:val="0"/>
                <w:sz w:val="18"/>
              </w:rPr>
              <w:t>1.8</w:t>
            </w:r>
          </w:p>
        </w:tc>
        <w:tc>
          <w:tcPr>
            <w:tcW w:type="dxa" w:w="1020"/>
          </w:tcPr>
          <w:p>
            <w:pPr>
              <w:spacing w:line="240" w:lineRule="auto" w:after="40" w:before="40"/>
              <w:jc w:val="right"/>
            </w:pPr>
            <w:r>
              <w:rPr>
                <w:b w:val="0"/>
                <w:i w:val="0"/>
                <w:sz w:val="18"/>
              </w:rPr>
              <w:t>2.2</w:t>
            </w:r>
          </w:p>
        </w:tc>
        <w:tc>
          <w:tcPr>
            <w:tcW w:type="dxa" w:w="1020"/>
          </w:tcPr>
          <w:p>
            <w:pPr>
              <w:spacing w:line="240" w:lineRule="auto" w:after="40" w:before="40"/>
              <w:jc w:val="right"/>
            </w:pPr>
            <w:r>
              <w:rPr>
                <w:b w:val="0"/>
                <w:i w:val="0"/>
                <w:sz w:val="18"/>
              </w:rPr>
              <w:t>2.7</w:t>
            </w:r>
          </w:p>
        </w:tc>
        <w:tc>
          <w:tcPr>
            <w:tcW w:type="dxa" w:w="1020"/>
          </w:tcPr>
          <w:p>
            <w:pPr>
              <w:spacing w:line="240" w:lineRule="auto" w:after="40" w:before="40"/>
              <w:jc w:val="right"/>
            </w:pPr>
            <w:r>
              <w:rPr>
                <w:b w:val="0"/>
                <w:i w:val="0"/>
                <w:sz w:val="18"/>
              </w:rPr>
              <w:t>2.4</w:t>
            </w:r>
          </w:p>
        </w:tc>
      </w:tr>
      <w:tr>
        <w:trPr>
          <w:cantSplit/>
        </w:trPr>
        <w:tc>
          <w:tcPr>
            <w:tcW w:type="dxa" w:w="3628"/>
          </w:tcPr>
          <w:p>
            <w:pPr>
              <w:spacing w:line="240" w:lineRule="auto" w:after="40" w:before="40"/>
              <w:jc w:val="left"/>
            </w:pPr>
            <w:r>
              <w:rPr>
                <w:b w:val="0"/>
                <w:i w:val="0"/>
                <w:sz w:val="18"/>
              </w:rPr>
              <w:t>Creatinine</w:t>
            </w:r>
          </w:p>
        </w:tc>
        <w:tc>
          <w:tcPr>
            <w:tcW w:type="dxa" w:w="1020"/>
          </w:tcPr>
          <w:p>
            <w:pPr>
              <w:spacing w:line="240" w:lineRule="auto" w:after="40" w:before="40"/>
              <w:jc w:val="right"/>
            </w:pPr>
            <w:r>
              <w:rPr>
                <w:b w:val="0"/>
                <w:i w:val="0"/>
                <w:sz w:val="18"/>
              </w:rPr>
              <w:t>2.5</w:t>
            </w:r>
          </w:p>
        </w:tc>
        <w:tc>
          <w:tcPr>
            <w:tcW w:type="dxa" w:w="1020"/>
          </w:tcPr>
          <w:p>
            <w:pPr>
              <w:spacing w:line="240" w:lineRule="auto" w:after="40" w:before="40"/>
              <w:jc w:val="right"/>
            </w:pPr>
            <w:r>
              <w:rPr>
                <w:b w:val="0"/>
                <w:i w:val="0"/>
                <w:sz w:val="18"/>
              </w:rPr>
              <w:t>2.1</w:t>
            </w:r>
          </w:p>
        </w:tc>
        <w:tc>
          <w:tcPr>
            <w:tcW w:type="dxa" w:w="1020"/>
          </w:tcPr>
          <w:p>
            <w:pPr>
              <w:spacing w:line="240" w:lineRule="auto" w:after="40" w:before="40"/>
              <w:jc w:val="right"/>
            </w:pPr>
            <w:r>
              <w:rPr>
                <w:b w:val="0"/>
                <w:i w:val="0"/>
                <w:sz w:val="18"/>
              </w:rPr>
              <w:t>2.0</w:t>
            </w:r>
          </w:p>
        </w:tc>
        <w:tc>
          <w:tcPr>
            <w:tcW w:type="dxa" w:w="1020"/>
          </w:tcPr>
          <w:p>
            <w:pPr>
              <w:spacing w:line="240" w:lineRule="auto" w:after="40" w:before="40"/>
              <w:jc w:val="right"/>
            </w:pPr>
            <w:r>
              <w:rPr>
                <w:b w:val="0"/>
                <w:i w:val="0"/>
                <w:sz w:val="18"/>
              </w:rPr>
              <w:t>2.7</w:t>
            </w:r>
          </w:p>
        </w:tc>
        <w:tc>
          <w:tcPr>
            <w:tcW w:type="dxa" w:w="1020"/>
          </w:tcPr>
          <w:p>
            <w:pPr>
              <w:spacing w:line="240" w:lineRule="auto" w:after="40" w:before="40"/>
              <w:jc w:val="right"/>
            </w:pPr>
            <w:r>
              <w:rPr>
                <w:b w:val="0"/>
                <w:i w:val="0"/>
                <w:sz w:val="18"/>
              </w:rPr>
              <w:t>2.9</w:t>
            </w:r>
          </w:p>
        </w:tc>
      </w:tr>
      <w:tr>
        <w:trPr>
          <w:cantSplit/>
        </w:trPr>
        <w:tc>
          <w:tcPr>
            <w:tcW w:type="dxa" w:w="3628"/>
          </w:tcPr>
          <w:p>
            <w:pPr>
              <w:spacing w:line="240" w:lineRule="auto" w:after="40" w:before="40"/>
              <w:jc w:val="left"/>
            </w:pPr>
            <w:r>
              <w:rPr>
                <w:b w:val="0"/>
                <w:i w:val="0"/>
                <w:sz w:val="18"/>
              </w:rPr>
              <w:t>Body size (all measures, FLI, HSI)</w:t>
            </w:r>
          </w:p>
        </w:tc>
        <w:tc>
          <w:tcPr>
            <w:tcW w:type="dxa" w:w="1020"/>
          </w:tcPr>
          <w:p>
            <w:pPr>
              <w:spacing w:line="240" w:lineRule="auto" w:after="40" w:before="40"/>
              <w:jc w:val="right"/>
            </w:pPr>
            <w:r>
              <w:rPr>
                <w:b w:val="0"/>
                <w:i w:val="0"/>
                <w:sz w:val="18"/>
              </w:rPr>
              <w:t>–</w:t>
            </w:r>
          </w:p>
        </w:tc>
        <w:tc>
          <w:tcPr>
            <w:tcW w:type="dxa" w:w="1020"/>
          </w:tcPr>
          <w:p>
            <w:pPr>
              <w:spacing w:line="240" w:lineRule="auto" w:after="40" w:before="40"/>
              <w:jc w:val="right"/>
            </w:pPr>
            <w:r>
              <w:rPr>
                <w:b w:val="0"/>
                <w:i w:val="0"/>
                <w:sz w:val="18"/>
              </w:rPr>
              <w:t>51.1</w:t>
            </w:r>
          </w:p>
        </w:tc>
        <w:tc>
          <w:tcPr>
            <w:tcW w:type="dxa" w:w="1020"/>
          </w:tcPr>
          <w:p>
            <w:pPr>
              <w:spacing w:line="240" w:lineRule="auto" w:after="40" w:before="40"/>
              <w:jc w:val="right"/>
            </w:pPr>
            <w:r>
              <w:rPr>
                <w:b w:val="0"/>
                <w:i w:val="0"/>
                <w:sz w:val="18"/>
              </w:rPr>
              <w:t>45.1</w:t>
            </w:r>
          </w:p>
        </w:tc>
        <w:tc>
          <w:tcPr>
            <w:tcW w:type="dxa" w:w="1020"/>
          </w:tcPr>
          <w:p>
            <w:pPr>
              <w:spacing w:line="240" w:lineRule="auto" w:after="40" w:before="40"/>
              <w:jc w:val="right"/>
            </w:pPr>
            <w:r>
              <w:rPr>
                <w:b w:val="0"/>
                <w:i w:val="0"/>
                <w:sz w:val="18"/>
              </w:rPr>
              <w:t>40.1</w:t>
            </w:r>
          </w:p>
        </w:tc>
        <w:tc>
          <w:tcPr>
            <w:tcW w:type="dxa" w:w="1020"/>
          </w:tcPr>
          <w:p>
            <w:pPr>
              <w:spacing w:line="240" w:lineRule="auto" w:after="40" w:before="40"/>
              <w:jc w:val="right"/>
            </w:pPr>
            <w:r>
              <w:rPr>
                <w:b w:val="0"/>
                <w:i w:val="0"/>
                <w:sz w:val="18"/>
              </w:rPr>
              <w:t>38.9</w:t>
            </w:r>
          </w:p>
        </w:tc>
      </w:tr>
      <w:tr>
        <w:trPr>
          <w:cantSplit/>
        </w:trPr>
        <w:tc>
          <w:tcPr>
            <w:tcW w:type="dxa" w:w="3628"/>
          </w:tcPr>
          <w:p>
            <w:pPr>
              <w:spacing w:line="240" w:lineRule="auto" w:after="40" w:before="40"/>
              <w:jc w:val="left"/>
            </w:pPr>
            <w:r>
              <w:rPr>
                <w:b w:val="0"/>
                <w:i w:val="0"/>
                <w:sz w:val="18"/>
              </w:rPr>
              <w:t>Blood sugar and insulin</w:t>
            </w:r>
          </w:p>
        </w:tc>
        <w:tc>
          <w:tcPr>
            <w:tcW w:type="dxa" w:w="1020"/>
          </w:tcPr>
          <w:p>
            <w:pPr>
              <w:spacing w:line="240" w:lineRule="auto" w:after="40" w:before="40"/>
              <w:jc w:val="right"/>
            </w:pPr>
            <w:r>
              <w:rPr>
                <w:b w:val="0"/>
                <w:i w:val="0"/>
                <w:sz w:val="18"/>
              </w:rPr>
              <w:t>–</w:t>
            </w:r>
          </w:p>
        </w:tc>
        <w:tc>
          <w:tcPr>
            <w:tcW w:type="dxa" w:w="1020"/>
          </w:tcPr>
          <w:p>
            <w:pPr>
              <w:spacing w:line="240" w:lineRule="auto" w:after="40" w:before="40"/>
              <w:jc w:val="right"/>
            </w:pPr>
            <w:r>
              <w:rPr>
                <w:b w:val="0"/>
                <w:i w:val="0"/>
                <w:sz w:val="18"/>
              </w:rPr>
              <w:t>7.5</w:t>
            </w:r>
          </w:p>
        </w:tc>
        <w:tc>
          <w:tcPr>
            <w:tcW w:type="dxa" w:w="1020"/>
          </w:tcPr>
          <w:p>
            <w:pPr>
              <w:spacing w:line="240" w:lineRule="auto" w:after="40" w:before="40"/>
              <w:jc w:val="right"/>
            </w:pPr>
            <w:r>
              <w:rPr>
                <w:b w:val="0"/>
                <w:i w:val="0"/>
                <w:sz w:val="18"/>
              </w:rPr>
              <w:t>9.4</w:t>
            </w:r>
          </w:p>
        </w:tc>
        <w:tc>
          <w:tcPr>
            <w:tcW w:type="dxa" w:w="1020"/>
          </w:tcPr>
          <w:p>
            <w:pPr>
              <w:spacing w:line="240" w:lineRule="auto" w:after="40" w:before="40"/>
              <w:jc w:val="right"/>
            </w:pPr>
            <w:r>
              <w:rPr>
                <w:b w:val="0"/>
                <w:i w:val="0"/>
                <w:sz w:val="18"/>
              </w:rPr>
              <w:t>11.5</w:t>
            </w:r>
          </w:p>
        </w:tc>
        <w:tc>
          <w:tcPr>
            <w:tcW w:type="dxa" w:w="1020"/>
          </w:tcPr>
          <w:p>
            <w:pPr>
              <w:spacing w:line="240" w:lineRule="auto" w:after="40" w:before="40"/>
              <w:jc w:val="right"/>
            </w:pPr>
            <w:r>
              <w:rPr>
                <w:b w:val="0"/>
                <w:i w:val="0"/>
                <w:sz w:val="18"/>
              </w:rPr>
              <w:t>11.5</w:t>
            </w:r>
          </w:p>
        </w:tc>
      </w:tr>
      <w:tr>
        <w:trPr>
          <w:cantSplit/>
        </w:trPr>
        <w:tc>
          <w:tcPr>
            <w:tcW w:type="dxa" w:w="3628"/>
          </w:tcPr>
          <w:p>
            <w:pPr>
              <w:spacing w:line="240" w:lineRule="auto" w:after="40" w:before="40"/>
              <w:jc w:val="left"/>
            </w:pPr>
            <w:r>
              <w:rPr>
                <w:b w:val="0"/>
                <w:i w:val="0"/>
                <w:sz w:val="18"/>
              </w:rPr>
              <w:t>Lipids</w:t>
            </w:r>
          </w:p>
        </w:tc>
        <w:tc>
          <w:tcPr>
            <w:tcW w:type="dxa" w:w="1020"/>
          </w:tcPr>
          <w:p>
            <w:pPr>
              <w:spacing w:line="240" w:lineRule="auto" w:after="40" w:before="40"/>
              <w:jc w:val="right"/>
            </w:pPr>
            <w:r>
              <w:rPr>
                <w:b w:val="0"/>
                <w:i w:val="0"/>
                <w:sz w:val="18"/>
              </w:rPr>
              <w:t>–</w:t>
            </w:r>
          </w:p>
        </w:tc>
        <w:tc>
          <w:tcPr>
            <w:tcW w:type="dxa" w:w="1020"/>
          </w:tcPr>
          <w:p>
            <w:pPr>
              <w:spacing w:line="240" w:lineRule="auto" w:after="40" w:before="40"/>
              <w:jc w:val="right"/>
            </w:pPr>
            <w:r>
              <w:rPr>
                <w:b w:val="0"/>
                <w:i w:val="0"/>
                <w:sz w:val="18"/>
              </w:rPr>
              <w:t>2.7</w:t>
            </w:r>
          </w:p>
        </w:tc>
        <w:tc>
          <w:tcPr>
            <w:tcW w:type="dxa" w:w="1020"/>
          </w:tcPr>
          <w:p>
            <w:pPr>
              <w:spacing w:line="240" w:lineRule="auto" w:after="40" w:before="40"/>
              <w:jc w:val="right"/>
            </w:pPr>
            <w:r>
              <w:rPr>
                <w:b w:val="0"/>
                <w:i w:val="0"/>
                <w:sz w:val="18"/>
              </w:rPr>
              <w:t>3.2</w:t>
            </w:r>
          </w:p>
        </w:tc>
        <w:tc>
          <w:tcPr>
            <w:tcW w:type="dxa" w:w="1020"/>
          </w:tcPr>
          <w:p>
            <w:pPr>
              <w:spacing w:line="240" w:lineRule="auto" w:after="40" w:before="40"/>
              <w:jc w:val="right"/>
            </w:pPr>
            <w:r>
              <w:rPr>
                <w:b w:val="0"/>
                <w:i w:val="0"/>
                <w:sz w:val="18"/>
              </w:rPr>
              <w:t>4.2</w:t>
            </w:r>
          </w:p>
        </w:tc>
        <w:tc>
          <w:tcPr>
            <w:tcW w:type="dxa" w:w="1020"/>
          </w:tcPr>
          <w:p>
            <w:pPr>
              <w:spacing w:line="240" w:lineRule="auto" w:after="40" w:before="40"/>
              <w:jc w:val="right"/>
            </w:pPr>
            <w:r>
              <w:rPr>
                <w:b w:val="0"/>
                <w:i w:val="0"/>
                <w:sz w:val="18"/>
              </w:rPr>
              <w:t>4.1</w:t>
            </w:r>
          </w:p>
        </w:tc>
      </w:tr>
    </w:tbl>
    <w:p>
      <w:pPr>
        <w:spacing w:after="200" w:line="240" w:lineRule="auto" w:before="80"/>
        <w:jc w:val="left"/>
      </w:pPr>
      <w:r>
        <w:rPr>
          <w:b w:val="0"/>
          <w:i/>
          <w:sz w:val="18"/>
        </w:rPr>
        <w:t>Test participants: 400 (12–17), 868 (18–39), 772 (40–59), 1,020 (60+). Full values: data/results/combined/figures/shap_importance_by_age.csv.</w:t>
      </w:r>
    </w:p>
    <w:p>
      <w:r>
        <w:rPr>
          <w:b w:val="0"/>
          <w:i w:val="0"/>
        </w:rPr>
        <w:t>Waist circumference ranks first in every age group. Body size dominates in adolescents (51% of importance) and declines with age (39% at 60 and over), while blood-sugar and insulin markers rise from 7.5% to 11.5% after 40, consistent with the growing role of insulin resistance in adult steatosis. The higher weight on creatinine in older participants is consistent with muscle mass, which modifies the link between body size and liver fat. These patterns help explain the lower R² in older adults (E37–E38) and support limiting the scope to ages 12–59.</w:t>
      </w:r>
    </w:p>
    <w:p>
      <w:pPr>
        <w:pStyle w:val="Heading2"/>
      </w:pPr>
      <w:r>
        <w:t>A.14 Comparison with Published Studies</w:t>
      </w:r>
    </w:p>
    <w:p>
      <w:r>
        <w:rPr>
          <w:b w:val="0"/>
          <w:i w:val="0"/>
        </w:rPr>
        <w:t>Published models fall into two groups: models predicting a continuous liver-fat value (R²) and NHANES models classifying steatosis (AUC). No NHANES study reporting R² for CAP was found.</w:t>
      </w:r>
    </w:p>
    <w:p>
      <w:pPr>
        <w:pStyle w:val="Caption"/>
      </w:pPr>
      <w:r>
        <w:rPr>
          <w:b/>
        </w:rPr>
        <w:t xml:space="preserve">Table A.21. </w:t>
      </w:r>
      <w:r>
        <w:t>Continuous liver-fat prediction from routine data.</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805"/>
        <w:gridCol w:w="1805"/>
        <w:gridCol w:w="1805"/>
        <w:gridCol w:w="1805"/>
        <w:gridCol w:w="1805"/>
      </w:tblGrid>
      <w:tr>
        <w:trPr>
          <w:tblHeader/>
          <w:cantSplit/>
        </w:trPr>
        <w:tc>
          <w:tcPr>
            <w:tcW w:type="dxa" w:w="2381"/>
            <w:shd w:val="clear" w:color="auto" w:fill="EDEDED"/>
            <w:tcBorders>
              <w:bottom w:val="single" w:sz="6" w:space="0" w:color="000000"/>
            </w:tcBorders>
          </w:tcPr>
          <w:p>
            <w:pPr>
              <w:spacing w:line="240" w:lineRule="auto" w:after="40" w:before="40"/>
              <w:jc w:val="left"/>
            </w:pPr>
            <w:r>
              <w:rPr>
                <w:b/>
                <w:i w:val="0"/>
                <w:sz w:val="17"/>
              </w:rPr>
              <w:t>Study</w:t>
            </w:r>
          </w:p>
        </w:tc>
        <w:tc>
          <w:tcPr>
            <w:tcW w:type="dxa" w:w="2041"/>
            <w:shd w:val="clear" w:color="auto" w:fill="EDEDED"/>
            <w:tcBorders>
              <w:bottom w:val="single" w:sz="6" w:space="0" w:color="000000"/>
            </w:tcBorders>
          </w:tcPr>
          <w:p>
            <w:pPr>
              <w:spacing w:line="240" w:lineRule="auto" w:after="40" w:before="40"/>
              <w:jc w:val="left"/>
            </w:pPr>
            <w:r>
              <w:rPr>
                <w:b/>
                <w:i w:val="0"/>
                <w:sz w:val="17"/>
              </w:rPr>
              <w:t>Population</w:t>
            </w:r>
          </w:p>
        </w:tc>
        <w:tc>
          <w:tcPr>
            <w:tcW w:type="dxa" w:w="1247"/>
            <w:shd w:val="clear" w:color="auto" w:fill="EDEDED"/>
            <w:tcBorders>
              <w:bottom w:val="single" w:sz="6" w:space="0" w:color="000000"/>
            </w:tcBorders>
          </w:tcPr>
          <w:p>
            <w:pPr>
              <w:spacing w:line="240" w:lineRule="auto" w:after="40" w:before="40"/>
              <w:jc w:val="left"/>
            </w:pPr>
            <w:r>
              <w:rPr>
                <w:b/>
                <w:i w:val="0"/>
                <w:sz w:val="17"/>
              </w:rPr>
              <w:t>Outcome</w:t>
            </w:r>
          </w:p>
        </w:tc>
        <w:tc>
          <w:tcPr>
            <w:tcW w:type="dxa" w:w="2268"/>
            <w:shd w:val="clear" w:color="auto" w:fill="EDEDED"/>
            <w:tcBorders>
              <w:bottom w:val="single" w:sz="6" w:space="0" w:color="000000"/>
            </w:tcBorders>
          </w:tcPr>
          <w:p>
            <w:pPr>
              <w:spacing w:line="240" w:lineRule="auto" w:after="40" w:before="40"/>
              <w:jc w:val="left"/>
            </w:pPr>
            <w:r>
              <w:rPr>
                <w:b/>
                <w:i w:val="0"/>
                <w:sz w:val="17"/>
              </w:rPr>
              <w:t>Inputs</w:t>
            </w:r>
          </w:p>
        </w:tc>
        <w:tc>
          <w:tcPr>
            <w:tcW w:type="dxa" w:w="1077"/>
            <w:shd w:val="clear" w:color="auto" w:fill="EDEDED"/>
            <w:tcBorders>
              <w:bottom w:val="single" w:sz="6" w:space="0" w:color="000000"/>
            </w:tcBorders>
          </w:tcPr>
          <w:p>
            <w:pPr>
              <w:spacing w:line="240" w:lineRule="auto" w:after="40" w:before="40"/>
              <w:jc w:val="right"/>
            </w:pPr>
            <w:r>
              <w:rPr>
                <w:b/>
                <w:i w:val="0"/>
                <w:sz w:val="17"/>
              </w:rPr>
              <w:t>R²</w:t>
            </w:r>
          </w:p>
        </w:tc>
      </w:tr>
      <w:tr>
        <w:trPr>
          <w:cantSplit/>
        </w:trPr>
        <w:tc>
          <w:tcPr>
            <w:tcW w:type="dxa" w:w="2381"/>
          </w:tcPr>
          <w:p>
            <w:pPr>
              <w:spacing w:line="240" w:lineRule="auto" w:after="40" w:before="40"/>
              <w:jc w:val="left"/>
            </w:pPr>
            <w:r>
              <w:rPr>
                <w:b w:val="0"/>
                <w:i w:val="0"/>
                <w:sz w:val="17"/>
              </w:rPr>
              <w:t>UK Biobank preprint (insitro, 2024)</w:t>
            </w:r>
          </w:p>
        </w:tc>
        <w:tc>
          <w:tcPr>
            <w:tcW w:type="dxa" w:w="2041"/>
          </w:tcPr>
          <w:p>
            <w:pPr>
              <w:spacing w:line="240" w:lineRule="auto" w:after="40" w:before="40"/>
              <w:jc w:val="left"/>
            </w:pPr>
            <w:r>
              <w:rPr>
                <w:b w:val="0"/>
                <w:i w:val="0"/>
                <w:sz w:val="17"/>
              </w:rPr>
              <w:t>40,533 UK adults</w:t>
            </w:r>
          </w:p>
        </w:tc>
        <w:tc>
          <w:tcPr>
            <w:tcW w:type="dxa" w:w="1247"/>
          </w:tcPr>
          <w:p>
            <w:pPr>
              <w:spacing w:line="240" w:lineRule="auto" w:after="40" w:before="40"/>
              <w:jc w:val="left"/>
            </w:pPr>
            <w:r>
              <w:rPr>
                <w:b w:val="0"/>
                <w:i w:val="0"/>
                <w:sz w:val="17"/>
              </w:rPr>
              <w:t>MRI-PDFF (log)</w:t>
            </w:r>
          </w:p>
        </w:tc>
        <w:tc>
          <w:tcPr>
            <w:tcW w:type="dxa" w:w="2268"/>
          </w:tcPr>
          <w:p>
            <w:pPr>
              <w:spacing w:line="240" w:lineRule="auto" w:after="40" w:before="40"/>
              <w:jc w:val="left"/>
            </w:pPr>
            <w:r>
              <w:rPr>
                <w:b w:val="0"/>
                <w:i w:val="0"/>
                <w:sz w:val="17"/>
              </w:rPr>
              <w:t>XGBoost, 37 body and blood measures</w:t>
            </w:r>
          </w:p>
        </w:tc>
        <w:tc>
          <w:tcPr>
            <w:tcW w:type="dxa" w:w="1077"/>
          </w:tcPr>
          <w:p>
            <w:pPr>
              <w:spacing w:line="240" w:lineRule="auto" w:after="40" w:before="40"/>
              <w:jc w:val="right"/>
            </w:pPr>
            <w:r>
              <w:rPr>
                <w:b w:val="0"/>
                <w:i w:val="0"/>
                <w:sz w:val="17"/>
              </w:rPr>
              <w:t>0.37</w:t>
            </w:r>
          </w:p>
        </w:tc>
      </w:tr>
      <w:tr>
        <w:trPr>
          <w:cantSplit/>
        </w:trPr>
        <w:tc>
          <w:tcPr>
            <w:tcW w:type="dxa" w:w="2381"/>
          </w:tcPr>
          <w:p>
            <w:pPr>
              <w:spacing w:line="240" w:lineRule="auto" w:after="40" w:before="40"/>
              <w:jc w:val="left"/>
            </w:pPr>
            <w:r>
              <w:rPr>
                <w:b w:val="0"/>
                <w:i w:val="0"/>
                <w:sz w:val="17"/>
              </w:rPr>
              <w:t>UK Biobank preprint (insitro, 2024)</w:t>
            </w:r>
          </w:p>
        </w:tc>
        <w:tc>
          <w:tcPr>
            <w:tcW w:type="dxa" w:w="2041"/>
          </w:tcPr>
          <w:p>
            <w:pPr>
              <w:spacing w:line="240" w:lineRule="auto" w:after="40" w:before="40"/>
              <w:jc w:val="left"/>
            </w:pPr>
            <w:r>
              <w:rPr>
                <w:b w:val="0"/>
                <w:i w:val="0"/>
                <w:sz w:val="17"/>
              </w:rPr>
              <w:t>9,723 UK adults</w:t>
            </w:r>
          </w:p>
        </w:tc>
        <w:tc>
          <w:tcPr>
            <w:tcW w:type="dxa" w:w="1247"/>
          </w:tcPr>
          <w:p>
            <w:pPr>
              <w:spacing w:line="240" w:lineRule="auto" w:after="40" w:before="40"/>
              <w:jc w:val="left"/>
            </w:pPr>
            <w:r>
              <w:rPr>
                <w:b w:val="0"/>
                <w:i w:val="0"/>
                <w:sz w:val="17"/>
              </w:rPr>
              <w:t>MRI-PDFF (log)</w:t>
            </w:r>
          </w:p>
        </w:tc>
        <w:tc>
          <w:tcPr>
            <w:tcW w:type="dxa" w:w="2268"/>
          </w:tcPr>
          <w:p>
            <w:pPr>
              <w:spacing w:line="240" w:lineRule="auto" w:after="40" w:before="40"/>
              <w:jc w:val="left"/>
            </w:pPr>
            <w:r>
              <w:rPr>
                <w:b w:val="0"/>
                <w:i w:val="0"/>
                <w:sz w:val="17"/>
              </w:rPr>
              <w:t>Plasma metabolomics</w:t>
            </w:r>
          </w:p>
        </w:tc>
        <w:tc>
          <w:tcPr>
            <w:tcW w:type="dxa" w:w="1077"/>
          </w:tcPr>
          <w:p>
            <w:pPr>
              <w:spacing w:line="240" w:lineRule="auto" w:after="40" w:before="40"/>
              <w:jc w:val="right"/>
            </w:pPr>
            <w:r>
              <w:rPr>
                <w:b w:val="0"/>
                <w:i w:val="0"/>
                <w:sz w:val="17"/>
              </w:rPr>
              <w:t>0.34</w:t>
            </w:r>
          </w:p>
        </w:tc>
      </w:tr>
      <w:tr>
        <w:trPr>
          <w:cantSplit/>
        </w:trPr>
        <w:tc>
          <w:tcPr>
            <w:tcW w:type="dxa" w:w="2381"/>
          </w:tcPr>
          <w:p>
            <w:pPr>
              <w:spacing w:line="240" w:lineRule="auto" w:after="40" w:before="40"/>
              <w:jc w:val="left"/>
            </w:pPr>
            <w:r>
              <w:rPr>
                <w:b w:val="0"/>
                <w:i w:val="0"/>
                <w:sz w:val="17"/>
              </w:rPr>
              <w:t>UK Biobank preprint (insitro, 2024)</w:t>
            </w:r>
          </w:p>
        </w:tc>
        <w:tc>
          <w:tcPr>
            <w:tcW w:type="dxa" w:w="2041"/>
          </w:tcPr>
          <w:p>
            <w:pPr>
              <w:spacing w:line="240" w:lineRule="auto" w:after="40" w:before="40"/>
              <w:jc w:val="left"/>
            </w:pPr>
            <w:r>
              <w:rPr>
                <w:b w:val="0"/>
                <w:i w:val="0"/>
                <w:sz w:val="17"/>
              </w:rPr>
              <w:t>~46,000 UK adults</w:t>
            </w:r>
          </w:p>
        </w:tc>
        <w:tc>
          <w:tcPr>
            <w:tcW w:type="dxa" w:w="1247"/>
          </w:tcPr>
          <w:p>
            <w:pPr>
              <w:spacing w:line="240" w:lineRule="auto" w:after="40" w:before="40"/>
              <w:jc w:val="left"/>
            </w:pPr>
            <w:r>
              <w:rPr>
                <w:b w:val="0"/>
                <w:i w:val="0"/>
                <w:sz w:val="17"/>
              </w:rPr>
              <w:t>MRI-PDFF (log)</w:t>
            </w:r>
          </w:p>
        </w:tc>
        <w:tc>
          <w:tcPr>
            <w:tcW w:type="dxa" w:w="2268"/>
          </w:tcPr>
          <w:p>
            <w:pPr>
              <w:spacing w:line="240" w:lineRule="auto" w:after="40" w:before="40"/>
              <w:jc w:val="left"/>
            </w:pPr>
            <w:r>
              <w:rPr>
                <w:b w:val="0"/>
                <w:i w:val="0"/>
                <w:sz w:val="17"/>
              </w:rPr>
              <w:t>DXA images (not routine)</w:t>
            </w:r>
          </w:p>
        </w:tc>
        <w:tc>
          <w:tcPr>
            <w:tcW w:type="dxa" w:w="1077"/>
          </w:tcPr>
          <w:p>
            <w:pPr>
              <w:spacing w:line="240" w:lineRule="auto" w:after="40" w:before="40"/>
              <w:jc w:val="right"/>
            </w:pPr>
            <w:r>
              <w:rPr>
                <w:b w:val="0"/>
                <w:i w:val="0"/>
                <w:sz w:val="17"/>
              </w:rPr>
              <w:t>0.63–0.65</w:t>
            </w:r>
          </w:p>
        </w:tc>
      </w:tr>
      <w:tr>
        <w:trPr>
          <w:cantSplit/>
        </w:trPr>
        <w:tc>
          <w:tcPr>
            <w:tcW w:type="dxa" w:w="2381"/>
          </w:tcPr>
          <w:p>
            <w:pPr>
              <w:spacing w:line="240" w:lineRule="auto" w:after="40" w:before="40"/>
              <w:jc w:val="left"/>
            </w:pPr>
            <w:r>
              <w:rPr>
                <w:b w:val="0"/>
                <w:i w:val="0"/>
                <w:sz w:val="17"/>
              </w:rPr>
              <w:t>Asaturyan et al. (2022)</w:t>
            </w:r>
          </w:p>
        </w:tc>
        <w:tc>
          <w:tcPr>
            <w:tcW w:type="dxa" w:w="2041"/>
          </w:tcPr>
          <w:p>
            <w:pPr>
              <w:spacing w:line="240" w:lineRule="auto" w:after="40" w:before="40"/>
              <w:jc w:val="left"/>
            </w:pPr>
            <w:r>
              <w:rPr>
                <w:b w:val="0"/>
                <w:i w:val="0"/>
                <w:sz w:val="17"/>
              </w:rPr>
              <w:t>28,796 UK Biobank adults</w:t>
            </w:r>
          </w:p>
        </w:tc>
        <w:tc>
          <w:tcPr>
            <w:tcW w:type="dxa" w:w="1247"/>
          </w:tcPr>
          <w:p>
            <w:pPr>
              <w:spacing w:line="240" w:lineRule="auto" w:after="40" w:before="40"/>
              <w:jc w:val="left"/>
            </w:pPr>
            <w:r>
              <w:rPr>
                <w:b w:val="0"/>
                <w:i w:val="0"/>
                <w:sz w:val="17"/>
              </w:rPr>
              <w:t>MRI-PDFF</w:t>
            </w:r>
          </w:p>
        </w:tc>
        <w:tc>
          <w:tcPr>
            <w:tcW w:type="dxa" w:w="2268"/>
          </w:tcPr>
          <w:p>
            <w:pPr>
              <w:spacing w:line="240" w:lineRule="auto" w:after="40" w:before="40"/>
              <w:jc w:val="left"/>
            </w:pPr>
            <w:r>
              <w:rPr>
                <w:b w:val="0"/>
                <w:i w:val="0"/>
                <w:sz w:val="17"/>
              </w:rPr>
              <w:t>Fatty Liver Index alone</w:t>
            </w:r>
          </w:p>
        </w:tc>
        <w:tc>
          <w:tcPr>
            <w:tcW w:type="dxa" w:w="1077"/>
          </w:tcPr>
          <w:p>
            <w:pPr>
              <w:spacing w:line="240" w:lineRule="auto" w:after="40" w:before="40"/>
              <w:jc w:val="right"/>
            </w:pPr>
            <w:r>
              <w:rPr>
                <w:b w:val="0"/>
                <w:i w:val="0"/>
                <w:sz w:val="17"/>
              </w:rPr>
              <w:t>0.28–0.35</w:t>
            </w:r>
          </w:p>
        </w:tc>
      </w:tr>
      <w:tr>
        <w:trPr>
          <w:cantSplit/>
        </w:trPr>
        <w:tc>
          <w:tcPr>
            <w:tcW w:type="dxa" w:w="2381"/>
          </w:tcPr>
          <w:p>
            <w:pPr>
              <w:spacing w:line="240" w:lineRule="auto" w:after="40" w:before="40"/>
              <w:jc w:val="left"/>
            </w:pPr>
            <w:r>
              <w:rPr>
                <w:b w:val="0"/>
                <w:i w:val="0"/>
                <w:sz w:val="17"/>
              </w:rPr>
              <w:t>Asaturyan et al. (2022)</w:t>
            </w:r>
          </w:p>
        </w:tc>
        <w:tc>
          <w:tcPr>
            <w:tcW w:type="dxa" w:w="2041"/>
          </w:tcPr>
          <w:p>
            <w:pPr>
              <w:spacing w:line="240" w:lineRule="auto" w:after="40" w:before="40"/>
              <w:jc w:val="left"/>
            </w:pPr>
            <w:r>
              <w:rPr>
                <w:b w:val="0"/>
                <w:i w:val="0"/>
                <w:sz w:val="17"/>
              </w:rPr>
              <w:t>As above</w:t>
            </w:r>
          </w:p>
        </w:tc>
        <w:tc>
          <w:tcPr>
            <w:tcW w:type="dxa" w:w="1247"/>
          </w:tcPr>
          <w:p>
            <w:pPr>
              <w:spacing w:line="240" w:lineRule="auto" w:after="40" w:before="40"/>
              <w:jc w:val="left"/>
            </w:pPr>
            <w:r>
              <w:rPr>
                <w:b w:val="0"/>
                <w:i w:val="0"/>
                <w:sz w:val="17"/>
              </w:rPr>
              <w:t>MRI-PDFF</w:t>
            </w:r>
          </w:p>
        </w:tc>
        <w:tc>
          <w:tcPr>
            <w:tcW w:type="dxa" w:w="2268"/>
          </w:tcPr>
          <w:p>
            <w:pPr>
              <w:spacing w:line="240" w:lineRule="auto" w:after="40" w:before="40"/>
              <w:jc w:val="left"/>
            </w:pPr>
            <w:r>
              <w:rPr>
                <w:b w:val="0"/>
                <w:i w:val="0"/>
                <w:sz w:val="17"/>
              </w:rPr>
              <w:t>FLI+ (12 variables incl. liver diagnosis)</w:t>
            </w:r>
          </w:p>
        </w:tc>
        <w:tc>
          <w:tcPr>
            <w:tcW w:type="dxa" w:w="1077"/>
          </w:tcPr>
          <w:p>
            <w:pPr>
              <w:spacing w:line="240" w:lineRule="auto" w:after="40" w:before="40"/>
              <w:jc w:val="right"/>
            </w:pPr>
            <w:r>
              <w:rPr>
                <w:b w:val="0"/>
                <w:i w:val="0"/>
                <w:sz w:val="17"/>
              </w:rPr>
              <w:t>0.56 (one fold)</w:t>
            </w:r>
          </w:p>
        </w:tc>
      </w:tr>
      <w:tr>
        <w:trPr>
          <w:cantSplit/>
        </w:trPr>
        <w:tc>
          <w:tcPr>
            <w:tcW w:type="dxa" w:w="2381"/>
          </w:tcPr>
          <w:p>
            <w:pPr>
              <w:spacing w:line="240" w:lineRule="auto" w:after="40" w:before="40"/>
              <w:jc w:val="left"/>
            </w:pPr>
            <w:r>
              <w:rPr>
                <w:b w:val="0"/>
                <w:i w:val="0"/>
                <w:sz w:val="17"/>
              </w:rPr>
              <w:t>Petäjä et al. (2016)</w:t>
            </w:r>
          </w:p>
        </w:tc>
        <w:tc>
          <w:tcPr>
            <w:tcW w:type="dxa" w:w="2041"/>
          </w:tcPr>
          <w:p>
            <w:pPr>
              <w:spacing w:line="240" w:lineRule="auto" w:after="40" w:before="40"/>
              <w:jc w:val="left"/>
            </w:pPr>
            <w:r>
              <w:rPr>
                <w:b w:val="0"/>
                <w:i w:val="0"/>
                <w:sz w:val="17"/>
              </w:rPr>
              <w:t>378 Finnish adults</w:t>
            </w:r>
          </w:p>
        </w:tc>
        <w:tc>
          <w:tcPr>
            <w:tcW w:type="dxa" w:w="1247"/>
          </w:tcPr>
          <w:p>
            <w:pPr>
              <w:spacing w:line="240" w:lineRule="auto" w:after="40" w:before="40"/>
              <w:jc w:val="left"/>
            </w:pPr>
            <w:r>
              <w:rPr>
                <w:b w:val="0"/>
                <w:i w:val="0"/>
                <w:sz w:val="17"/>
              </w:rPr>
              <w:t>¹H-MRS</w:t>
            </w:r>
          </w:p>
        </w:tc>
        <w:tc>
          <w:tcPr>
            <w:tcW w:type="dxa" w:w="2268"/>
          </w:tcPr>
          <w:p>
            <w:pPr>
              <w:spacing w:line="240" w:lineRule="auto" w:after="40" w:before="40"/>
              <w:jc w:val="left"/>
            </w:pPr>
            <w:r>
              <w:rPr>
                <w:b w:val="0"/>
                <w:i w:val="0"/>
                <w:sz w:val="17"/>
              </w:rPr>
              <w:t>Age, waist-to-hip, glucose, insulin, ALT, pIGFBP-1†</w:t>
            </w:r>
          </w:p>
        </w:tc>
        <w:tc>
          <w:tcPr>
            <w:tcW w:type="dxa" w:w="1077"/>
          </w:tcPr>
          <w:p>
            <w:pPr>
              <w:spacing w:line="240" w:lineRule="auto" w:after="40" w:before="40"/>
              <w:jc w:val="right"/>
            </w:pPr>
            <w:r>
              <w:rPr>
                <w:b w:val="0"/>
                <w:i w:val="0"/>
                <w:sz w:val="17"/>
              </w:rPr>
              <w:t>0.44 / 0.49 (adj.)‡</w:t>
            </w:r>
          </w:p>
        </w:tc>
      </w:tr>
      <w:tr>
        <w:trPr>
          <w:cantSplit/>
        </w:trPr>
        <w:tc>
          <w:tcPr>
            <w:tcW w:type="dxa" w:w="2381"/>
          </w:tcPr>
          <w:p>
            <w:pPr>
              <w:spacing w:line="240" w:lineRule="auto" w:after="40" w:before="40"/>
              <w:jc w:val="left"/>
            </w:pPr>
            <w:r>
              <w:rPr>
                <w:b w:val="0"/>
                <w:i w:val="0"/>
                <w:sz w:val="17"/>
              </w:rPr>
              <w:t>Liu H. et al. (2022)</w:t>
            </w:r>
          </w:p>
        </w:tc>
        <w:tc>
          <w:tcPr>
            <w:tcW w:type="dxa" w:w="2041"/>
          </w:tcPr>
          <w:p>
            <w:pPr>
              <w:spacing w:line="240" w:lineRule="auto" w:after="40" w:before="40"/>
              <w:jc w:val="left"/>
            </w:pPr>
            <w:r>
              <w:rPr>
                <w:b w:val="0"/>
                <w:i w:val="0"/>
                <w:sz w:val="17"/>
              </w:rPr>
              <w:t>272, obesity clinic, China</w:t>
            </w:r>
          </w:p>
        </w:tc>
        <w:tc>
          <w:tcPr>
            <w:tcW w:type="dxa" w:w="1247"/>
          </w:tcPr>
          <w:p>
            <w:pPr>
              <w:spacing w:line="240" w:lineRule="auto" w:after="40" w:before="40"/>
              <w:jc w:val="left"/>
            </w:pPr>
            <w:r>
              <w:rPr>
                <w:b w:val="0"/>
                <w:i w:val="0"/>
                <w:sz w:val="17"/>
              </w:rPr>
              <w:t>CAP</w:t>
            </w:r>
          </w:p>
        </w:tc>
        <w:tc>
          <w:tcPr>
            <w:tcW w:type="dxa" w:w="2268"/>
          </w:tcPr>
          <w:p>
            <w:pPr>
              <w:spacing w:line="240" w:lineRule="auto" w:after="40" w:before="40"/>
              <w:jc w:val="left"/>
            </w:pPr>
            <w:r>
              <w:rPr>
                <w:b w:val="0"/>
                <w:i w:val="0"/>
                <w:sz w:val="17"/>
              </w:rPr>
              <w:t>BMI, neck circumference, TG, C-peptide</w:t>
            </w:r>
          </w:p>
        </w:tc>
        <w:tc>
          <w:tcPr>
            <w:tcW w:type="dxa" w:w="1077"/>
          </w:tcPr>
          <w:p>
            <w:pPr>
              <w:spacing w:line="240" w:lineRule="auto" w:after="40" w:before="40"/>
              <w:jc w:val="right"/>
            </w:pPr>
            <w:r>
              <w:rPr>
                <w:b w:val="0"/>
                <w:i w:val="0"/>
                <w:sz w:val="17"/>
              </w:rPr>
              <w:t>0.63–0.65‡</w:t>
            </w:r>
          </w:p>
        </w:tc>
      </w:tr>
      <w:tr>
        <w:trPr>
          <w:cantSplit/>
        </w:trPr>
        <w:tc>
          <w:tcPr>
            <w:tcW w:type="dxa" w:w="2381"/>
          </w:tcPr>
          <w:p>
            <w:pPr>
              <w:spacing w:line="240" w:lineRule="auto" w:after="40" w:before="40"/>
              <w:jc w:val="left"/>
            </w:pPr>
            <w:r>
              <w:rPr>
                <w:b w:val="0"/>
                <w:i w:val="0"/>
                <w:sz w:val="17"/>
              </w:rPr>
              <w:t>Chen et al. (2023), Shanghai Steatosis Index</w:t>
            </w:r>
          </w:p>
        </w:tc>
        <w:tc>
          <w:tcPr>
            <w:tcW w:type="dxa" w:w="2041"/>
          </w:tcPr>
          <w:p>
            <w:pPr>
              <w:spacing w:line="240" w:lineRule="auto" w:after="40" w:before="40"/>
              <w:jc w:val="left"/>
            </w:pPr>
            <w:r>
              <w:rPr>
                <w:b w:val="0"/>
                <w:i w:val="0"/>
                <w:sz w:val="17"/>
              </w:rPr>
              <w:t>149 with overweight or obesity, China</w:t>
            </w:r>
          </w:p>
        </w:tc>
        <w:tc>
          <w:tcPr>
            <w:tcW w:type="dxa" w:w="1247"/>
          </w:tcPr>
          <w:p>
            <w:pPr>
              <w:spacing w:line="240" w:lineRule="auto" w:after="40" w:before="40"/>
              <w:jc w:val="left"/>
            </w:pPr>
            <w:r>
              <w:rPr>
                <w:b w:val="0"/>
                <w:i w:val="0"/>
                <w:sz w:val="17"/>
              </w:rPr>
              <w:t>MRI-PDFF</w:t>
            </w:r>
          </w:p>
        </w:tc>
        <w:tc>
          <w:tcPr>
            <w:tcW w:type="dxa" w:w="2268"/>
          </w:tcPr>
          <w:p>
            <w:pPr>
              <w:spacing w:line="240" w:lineRule="auto" w:after="40" w:before="40"/>
              <w:jc w:val="left"/>
            </w:pPr>
            <w:r>
              <w:rPr>
                <w:b w:val="0"/>
                <w:i w:val="0"/>
                <w:sz w:val="17"/>
              </w:rPr>
              <w:t>ALT, AST, fasting insulin, 1-h glucose</w:t>
            </w:r>
          </w:p>
        </w:tc>
        <w:tc>
          <w:tcPr>
            <w:tcW w:type="dxa" w:w="1077"/>
          </w:tcPr>
          <w:p>
            <w:pPr>
              <w:spacing w:line="240" w:lineRule="auto" w:after="40" w:before="40"/>
              <w:jc w:val="right"/>
            </w:pPr>
            <w:r>
              <w:rPr>
                <w:b w:val="0"/>
                <w:i w:val="0"/>
                <w:sz w:val="17"/>
              </w:rPr>
              <w:t>ρ 0.74§</w:t>
            </w:r>
          </w:p>
        </w:tc>
      </w:tr>
      <w:tr>
        <w:trPr>
          <w:cantSplit/>
        </w:trPr>
        <w:tc>
          <w:tcPr>
            <w:tcW w:type="dxa" w:w="2381"/>
          </w:tcPr>
          <w:p>
            <w:pPr>
              <w:spacing w:line="240" w:lineRule="auto" w:after="40" w:before="40"/>
              <w:jc w:val="left"/>
            </w:pPr>
            <w:r>
              <w:rPr>
                <w:b w:val="0"/>
                <w:i w:val="0"/>
                <w:sz w:val="17"/>
              </w:rPr>
              <w:t>Kotronen et al. (2009)</w:t>
            </w:r>
          </w:p>
        </w:tc>
        <w:tc>
          <w:tcPr>
            <w:tcW w:type="dxa" w:w="2041"/>
          </w:tcPr>
          <w:p>
            <w:pPr>
              <w:spacing w:line="240" w:lineRule="auto" w:after="40" w:before="40"/>
              <w:jc w:val="left"/>
            </w:pPr>
            <w:r>
              <w:rPr>
                <w:b w:val="0"/>
                <w:i w:val="0"/>
                <w:sz w:val="17"/>
              </w:rPr>
              <w:t>470 Finnish adults</w:t>
            </w:r>
          </w:p>
        </w:tc>
        <w:tc>
          <w:tcPr>
            <w:tcW w:type="dxa" w:w="1247"/>
          </w:tcPr>
          <w:p>
            <w:pPr>
              <w:spacing w:line="240" w:lineRule="auto" w:after="40" w:before="40"/>
              <w:jc w:val="left"/>
            </w:pPr>
            <w:r>
              <w:rPr>
                <w:b w:val="0"/>
                <w:i w:val="0"/>
                <w:sz w:val="17"/>
              </w:rPr>
              <w:t>¹H-MRS</w:t>
            </w:r>
          </w:p>
        </w:tc>
        <w:tc>
          <w:tcPr>
            <w:tcW w:type="dxa" w:w="2268"/>
          </w:tcPr>
          <w:p>
            <w:pPr>
              <w:spacing w:line="240" w:lineRule="auto" w:after="40" w:before="40"/>
              <w:jc w:val="left"/>
            </w:pPr>
            <w:r>
              <w:rPr>
                <w:b w:val="0"/>
                <w:i w:val="0"/>
                <w:sz w:val="17"/>
              </w:rPr>
              <w:t>Metabolic syndrome, diabetes, insulin, AST, AST/ALT</w:t>
            </w:r>
          </w:p>
        </w:tc>
        <w:tc>
          <w:tcPr>
            <w:tcW w:type="dxa" w:w="1077"/>
          </w:tcPr>
          <w:p>
            <w:pPr>
              <w:spacing w:line="240" w:lineRule="auto" w:after="40" w:before="40"/>
              <w:jc w:val="right"/>
            </w:pPr>
            <w:r>
              <w:rPr>
                <w:b w:val="0"/>
                <w:i w:val="0"/>
                <w:sz w:val="17"/>
              </w:rPr>
              <w:t>Not reported¶</w:t>
            </w:r>
          </w:p>
        </w:tc>
      </w:tr>
      <w:tr>
        <w:trPr>
          <w:cantSplit/>
        </w:trPr>
        <w:tc>
          <w:tcPr>
            <w:tcW w:type="dxa" w:w="2381"/>
          </w:tcPr>
          <w:p>
            <w:pPr>
              <w:spacing w:line="240" w:lineRule="auto" w:after="40" w:before="40"/>
              <w:jc w:val="left"/>
            </w:pPr>
            <w:r>
              <w:rPr>
                <w:b w:val="0"/>
                <w:i w:val="0"/>
                <w:sz w:val="17"/>
              </w:rPr>
              <w:t>Haas et al. (2021)</w:t>
            </w:r>
          </w:p>
        </w:tc>
        <w:tc>
          <w:tcPr>
            <w:tcW w:type="dxa" w:w="2041"/>
          </w:tcPr>
          <w:p>
            <w:pPr>
              <w:spacing w:line="240" w:lineRule="auto" w:after="40" w:before="40"/>
              <w:jc w:val="left"/>
            </w:pPr>
            <w:r>
              <w:rPr>
                <w:b w:val="0"/>
                <w:i w:val="0"/>
                <w:sz w:val="17"/>
              </w:rPr>
              <w:t>UK Biobank</w:t>
            </w:r>
          </w:p>
        </w:tc>
        <w:tc>
          <w:tcPr>
            <w:tcW w:type="dxa" w:w="1247"/>
          </w:tcPr>
          <w:p>
            <w:pPr>
              <w:spacing w:line="240" w:lineRule="auto" w:after="40" w:before="40"/>
              <w:jc w:val="left"/>
            </w:pPr>
            <w:r>
              <w:rPr>
                <w:b w:val="0"/>
                <w:i w:val="0"/>
                <w:sz w:val="17"/>
              </w:rPr>
              <w:t>MRI</w:t>
            </w:r>
          </w:p>
        </w:tc>
        <w:tc>
          <w:tcPr>
            <w:tcW w:type="dxa" w:w="2268"/>
          </w:tcPr>
          <w:p>
            <w:pPr>
              <w:spacing w:line="240" w:lineRule="auto" w:after="40" w:before="40"/>
              <w:jc w:val="left"/>
            </w:pPr>
            <w:r>
              <w:rPr>
                <w:b w:val="0"/>
                <w:i w:val="0"/>
                <w:sz w:val="17"/>
              </w:rPr>
              <w:t>Clinical factors such as BMI</w:t>
            </w:r>
          </w:p>
        </w:tc>
        <w:tc>
          <w:tcPr>
            <w:tcW w:type="dxa" w:w="1077"/>
          </w:tcPr>
          <w:p>
            <w:pPr>
              <w:spacing w:line="240" w:lineRule="auto" w:after="40" w:before="40"/>
              <w:jc w:val="right"/>
            </w:pPr>
            <w:r>
              <w:rPr>
                <w:b w:val="0"/>
                <w:i w:val="0"/>
                <w:sz w:val="17"/>
              </w:rPr>
              <w:t>Not reliable¶</w:t>
            </w:r>
          </w:p>
        </w:tc>
      </w:tr>
      <w:tr>
        <w:trPr>
          <w:cantSplit/>
        </w:trPr>
        <w:tc>
          <w:tcPr>
            <w:tcW w:type="dxa" w:w="2381"/>
          </w:tcPr>
          <w:p>
            <w:pPr>
              <w:spacing w:line="240" w:lineRule="auto" w:after="40" w:before="40"/>
              <w:jc w:val="left"/>
            </w:pPr>
            <w:r>
              <w:rPr>
                <w:b w:val="0"/>
                <w:i w:val="0"/>
                <w:sz w:val="17"/>
              </w:rPr>
              <w:t>Fatty Liver Index in this cohort</w:t>
            </w:r>
          </w:p>
        </w:tc>
        <w:tc>
          <w:tcPr>
            <w:tcW w:type="dxa" w:w="2041"/>
          </w:tcPr>
          <w:p>
            <w:pPr>
              <w:spacing w:line="240" w:lineRule="auto" w:after="40" w:before="40"/>
              <w:jc w:val="left"/>
            </w:pPr>
            <w:r>
              <w:rPr>
                <w:b w:val="0"/>
                <w:i w:val="0"/>
                <w:sz w:val="17"/>
              </w:rPr>
              <w:t>13,502 / 5,548</w:t>
            </w:r>
          </w:p>
        </w:tc>
        <w:tc>
          <w:tcPr>
            <w:tcW w:type="dxa" w:w="1247"/>
          </w:tcPr>
          <w:p>
            <w:pPr>
              <w:spacing w:line="240" w:lineRule="auto" w:after="40" w:before="40"/>
              <w:jc w:val="left"/>
            </w:pPr>
            <w:r>
              <w:rPr>
                <w:b w:val="0"/>
                <w:i w:val="0"/>
                <w:sz w:val="17"/>
              </w:rPr>
              <w:t>CAP</w:t>
            </w:r>
          </w:p>
        </w:tc>
        <w:tc>
          <w:tcPr>
            <w:tcW w:type="dxa" w:w="2268"/>
          </w:tcPr>
          <w:p>
            <w:pPr>
              <w:spacing w:line="240" w:lineRule="auto" w:after="40" w:before="40"/>
              <w:jc w:val="left"/>
            </w:pPr>
            <w:r>
              <w:rPr>
                <w:b w:val="0"/>
                <w:i w:val="0"/>
                <w:sz w:val="17"/>
              </w:rPr>
              <w:t>FLI (linear fit)</w:t>
            </w:r>
          </w:p>
        </w:tc>
        <w:tc>
          <w:tcPr>
            <w:tcW w:type="dxa" w:w="1077"/>
          </w:tcPr>
          <w:p>
            <w:pPr>
              <w:spacing w:line="240" w:lineRule="auto" w:after="40" w:before="40"/>
              <w:jc w:val="right"/>
            </w:pPr>
            <w:r>
              <w:rPr>
                <w:b w:val="0"/>
                <w:i w:val="0"/>
                <w:sz w:val="17"/>
              </w:rPr>
              <w:t>0.44 / 0.50*</w:t>
            </w:r>
          </w:p>
        </w:tc>
      </w:tr>
      <w:tr>
        <w:trPr>
          <w:cantSplit/>
        </w:trPr>
        <w:tc>
          <w:tcPr>
            <w:tcW w:type="dxa" w:w="2381"/>
          </w:tcPr>
          <w:p>
            <w:pPr>
              <w:spacing w:line="240" w:lineRule="auto" w:after="40" w:before="40"/>
              <w:jc w:val="left"/>
            </w:pPr>
            <w:r>
              <w:rPr>
                <w:b w:val="0"/>
                <w:i w:val="0"/>
                <w:sz w:val="17"/>
              </w:rPr>
              <w:t>This study</w:t>
            </w:r>
          </w:p>
        </w:tc>
        <w:tc>
          <w:tcPr>
            <w:tcW w:type="dxa" w:w="2041"/>
          </w:tcPr>
          <w:p>
            <w:pPr>
              <w:spacing w:line="240" w:lineRule="auto" w:after="40" w:before="40"/>
              <w:jc w:val="left"/>
            </w:pPr>
            <w:r>
              <w:rPr>
                <w:b w:val="0"/>
                <w:i w:val="0"/>
                <w:sz w:val="17"/>
              </w:rPr>
              <w:t>15,300 NHANES</w:t>
            </w:r>
          </w:p>
        </w:tc>
        <w:tc>
          <w:tcPr>
            <w:tcW w:type="dxa" w:w="1247"/>
          </w:tcPr>
          <w:p>
            <w:pPr>
              <w:spacing w:line="240" w:lineRule="auto" w:after="40" w:before="40"/>
              <w:jc w:val="left"/>
            </w:pPr>
            <w:r>
              <w:rPr>
                <w:b w:val="0"/>
                <w:i w:val="0"/>
                <w:sz w:val="17"/>
              </w:rPr>
              <w:t>CAP</w:t>
            </w:r>
          </w:p>
        </w:tc>
        <w:tc>
          <w:tcPr>
            <w:tcW w:type="dxa" w:w="2268"/>
          </w:tcPr>
          <w:p>
            <w:pPr>
              <w:spacing w:line="240" w:lineRule="auto" w:after="40" w:before="40"/>
              <w:jc w:val="left"/>
            </w:pPr>
            <w:r>
              <w:rPr>
                <w:b w:val="0"/>
                <w:i w:val="0"/>
                <w:sz w:val="17"/>
              </w:rPr>
              <w:t>81 routine inputs</w:t>
            </w:r>
          </w:p>
        </w:tc>
        <w:tc>
          <w:tcPr>
            <w:tcW w:type="dxa" w:w="1077"/>
          </w:tcPr>
          <w:p>
            <w:pPr>
              <w:spacing w:line="240" w:lineRule="auto" w:after="40" w:before="40"/>
              <w:jc w:val="right"/>
            </w:pPr>
            <w:r>
              <w:rPr>
                <w:b w:val="0"/>
                <w:i w:val="0"/>
                <w:sz w:val="17"/>
              </w:rPr>
              <w:t>0.56 test; 0.59 CV*</w:t>
            </w:r>
          </w:p>
        </w:tc>
      </w:tr>
    </w:tbl>
    <w:p>
      <w:pPr>
        <w:spacing w:after="200" w:line="240" w:lineRule="auto" w:before="80"/>
        <w:jc w:val="left"/>
      </w:pPr>
      <w:r>
        <w:rPr>
          <w:b w:val="0"/>
          <w:i/>
          <w:sz w:val="18"/>
        </w:rPr>
        <w:t>*Model scope (ages 12–59, reliable reference); all ages and examinations: 0.50. †Includes a specialist marker (phosphorylated IGFBP-1). ‡Discovery / validation for Petäjä et al.; validation for Liu et al. (0.70–0.76 in the derivation sample). The Chinese CAP study is small and selected (median CAP 320–335 dB/m against 251 in NHANES), which widens the outcome range and raises R². §Spearman correlation between predicted and measured liver fat, without a validation cohort. ¶Kotronen et al. report AUC 0.86–0.87 but no R² for their liver fat equation; Haas et al. state that liver fat could not be reliably estimated from clinical factors such as BMI.</w:t>
      </w:r>
    </w:p>
    <w:p>
      <w:pPr>
        <w:pStyle w:val="Caption"/>
      </w:pPr>
      <w:r>
        <w:rPr>
          <w:b/>
        </w:rPr>
        <w:t xml:space="preserve">Table A.22. </w:t>
      </w:r>
      <w:r>
        <w:t>Agreement of CAP with reference measures, and heritability of liver fat.</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3009"/>
        <w:gridCol w:w="3009"/>
        <w:gridCol w:w="3009"/>
      </w:tblGrid>
      <w:tr>
        <w:trPr>
          <w:tblHeader/>
          <w:cantSplit/>
        </w:trPr>
        <w:tc>
          <w:tcPr>
            <w:tcW w:type="dxa" w:w="4649"/>
            <w:shd w:val="clear" w:color="auto" w:fill="EDEDED"/>
            <w:tcBorders>
              <w:bottom w:val="single" w:sz="6" w:space="0" w:color="000000"/>
            </w:tcBorders>
          </w:tcPr>
          <w:p>
            <w:pPr>
              <w:spacing w:line="240" w:lineRule="auto" w:after="40" w:before="40"/>
              <w:jc w:val="left"/>
            </w:pPr>
            <w:r>
              <w:rPr>
                <w:b/>
                <w:i w:val="0"/>
                <w:sz w:val="17"/>
              </w:rPr>
              <w:t>Measure</w:t>
            </w:r>
          </w:p>
        </w:tc>
        <w:tc>
          <w:tcPr>
            <w:tcW w:type="dxa" w:w="1928"/>
            <w:shd w:val="clear" w:color="auto" w:fill="EDEDED"/>
            <w:tcBorders>
              <w:bottom w:val="single" w:sz="6" w:space="0" w:color="000000"/>
            </w:tcBorders>
          </w:tcPr>
          <w:p>
            <w:pPr>
              <w:spacing w:line="240" w:lineRule="auto" w:after="40" w:before="40"/>
              <w:jc w:val="left"/>
            </w:pPr>
            <w:r>
              <w:rPr>
                <w:b/>
                <w:i w:val="0"/>
                <w:sz w:val="17"/>
              </w:rPr>
              <w:t>Value</w:t>
            </w:r>
          </w:p>
        </w:tc>
        <w:tc>
          <w:tcPr>
            <w:tcW w:type="dxa" w:w="2438"/>
            <w:shd w:val="clear" w:color="auto" w:fill="EDEDED"/>
            <w:tcBorders>
              <w:bottom w:val="single" w:sz="6" w:space="0" w:color="000000"/>
            </w:tcBorders>
          </w:tcPr>
          <w:p>
            <w:pPr>
              <w:spacing w:line="240" w:lineRule="auto" w:after="40" w:before="40"/>
              <w:jc w:val="left"/>
            </w:pPr>
            <w:r>
              <w:rPr>
                <w:b/>
                <w:i w:val="0"/>
                <w:sz w:val="17"/>
              </w:rPr>
              <w:t>Study</w:t>
            </w:r>
          </w:p>
        </w:tc>
      </w:tr>
      <w:tr>
        <w:trPr>
          <w:cantSplit/>
        </w:trPr>
        <w:tc>
          <w:tcPr>
            <w:tcW w:type="dxa" w:w="4649"/>
          </w:tcPr>
          <w:p>
            <w:pPr>
              <w:spacing w:line="240" w:lineRule="auto" w:after="40" w:before="40"/>
              <w:jc w:val="left"/>
            </w:pPr>
            <w:r>
              <w:rPr>
                <w:b w:val="0"/>
                <w:i w:val="0"/>
                <w:sz w:val="17"/>
              </w:rPr>
              <w:t>CAP against MRI-PDFF, adults with NAFLD (n = 65)</w:t>
            </w:r>
          </w:p>
        </w:tc>
        <w:tc>
          <w:tcPr>
            <w:tcW w:type="dxa" w:w="1928"/>
          </w:tcPr>
          <w:p>
            <w:pPr>
              <w:spacing w:line="240" w:lineRule="auto" w:after="40" w:before="40"/>
              <w:jc w:val="left"/>
            </w:pPr>
            <w:r>
              <w:rPr>
                <w:b w:val="0"/>
                <w:i w:val="0"/>
                <w:sz w:val="17"/>
              </w:rPr>
              <w:t>r = 0.66</w:t>
            </w:r>
          </w:p>
        </w:tc>
        <w:tc>
          <w:tcPr>
            <w:tcW w:type="dxa" w:w="2438"/>
          </w:tcPr>
          <w:p>
            <w:pPr>
              <w:spacing w:line="240" w:lineRule="auto" w:after="40" w:before="40"/>
              <w:jc w:val="left"/>
            </w:pPr>
            <w:r>
              <w:rPr>
                <w:b w:val="0"/>
                <w:i w:val="0"/>
                <w:sz w:val="17"/>
              </w:rPr>
              <w:t>Ahn et al. (2018)</w:t>
            </w:r>
          </w:p>
        </w:tc>
      </w:tr>
      <w:tr>
        <w:trPr>
          <w:cantSplit/>
        </w:trPr>
        <w:tc>
          <w:tcPr>
            <w:tcW w:type="dxa" w:w="4649"/>
          </w:tcPr>
          <w:p>
            <w:pPr>
              <w:spacing w:line="240" w:lineRule="auto" w:after="40" w:before="40"/>
              <w:jc w:val="left"/>
            </w:pPr>
            <w:r>
              <w:rPr>
                <w:b w:val="0"/>
                <w:i w:val="0"/>
                <w:sz w:val="17"/>
              </w:rPr>
              <w:t>CAP, agreement between two operators</w:t>
            </w:r>
          </w:p>
        </w:tc>
        <w:tc>
          <w:tcPr>
            <w:tcW w:type="dxa" w:w="1928"/>
          </w:tcPr>
          <w:p>
            <w:pPr>
              <w:spacing w:line="240" w:lineRule="auto" w:after="40" w:before="40"/>
              <w:jc w:val="left"/>
            </w:pPr>
            <w:r>
              <w:rPr>
                <w:b w:val="0"/>
                <w:i w:val="0"/>
                <w:sz w:val="17"/>
              </w:rPr>
              <w:t>Concordance 0.82</w:t>
            </w:r>
          </w:p>
        </w:tc>
        <w:tc>
          <w:tcPr>
            <w:tcW w:type="dxa" w:w="2438"/>
          </w:tcPr>
          <w:p>
            <w:pPr>
              <w:spacing w:line="240" w:lineRule="auto" w:after="40" w:before="40"/>
              <w:jc w:val="left"/>
            </w:pPr>
            <w:r>
              <w:rPr>
                <w:b w:val="0"/>
                <w:i w:val="0"/>
                <w:sz w:val="17"/>
              </w:rPr>
              <w:t>Ferraioli (2021), review</w:t>
            </w:r>
          </w:p>
        </w:tc>
      </w:tr>
      <w:tr>
        <w:trPr>
          <w:cantSplit/>
        </w:trPr>
        <w:tc>
          <w:tcPr>
            <w:tcW w:type="dxa" w:w="4649"/>
          </w:tcPr>
          <w:p>
            <w:pPr>
              <w:spacing w:line="240" w:lineRule="auto" w:after="40" w:before="40"/>
              <w:jc w:val="left"/>
            </w:pPr>
            <w:r>
              <w:rPr>
                <w:b w:val="0"/>
                <w:i w:val="0"/>
                <w:sz w:val="17"/>
              </w:rPr>
              <w:t>Heritability of hepatic steatosis (60 twin pairs, MRI-PDFF)</w:t>
            </w:r>
          </w:p>
        </w:tc>
        <w:tc>
          <w:tcPr>
            <w:tcW w:type="dxa" w:w="1928"/>
          </w:tcPr>
          <w:p>
            <w:pPr>
              <w:spacing w:line="240" w:lineRule="auto" w:after="40" w:before="40"/>
              <w:jc w:val="left"/>
            </w:pPr>
            <w:r>
              <w:rPr>
                <w:b w:val="0"/>
                <w:i w:val="0"/>
                <w:sz w:val="17"/>
              </w:rPr>
              <w:t>0.52 (0.31–0.73)</w:t>
            </w:r>
          </w:p>
        </w:tc>
        <w:tc>
          <w:tcPr>
            <w:tcW w:type="dxa" w:w="2438"/>
          </w:tcPr>
          <w:p>
            <w:pPr>
              <w:spacing w:line="240" w:lineRule="auto" w:after="40" w:before="40"/>
              <w:jc w:val="left"/>
            </w:pPr>
            <w:r>
              <w:rPr>
                <w:b w:val="0"/>
                <w:i w:val="0"/>
                <w:sz w:val="17"/>
              </w:rPr>
              <w:t>Loomba et al. (2015)</w:t>
            </w:r>
          </w:p>
        </w:tc>
      </w:tr>
    </w:tbl>
    <w:p>
      <w:pPr>
        <w:spacing w:after="40"/>
      </w:pPr>
    </w:p>
    <w:p>
      <w:pPr>
        <w:pStyle w:val="Caption"/>
      </w:pPr>
      <w:r>
        <w:rPr>
          <w:b/>
        </w:rPr>
        <w:t xml:space="preserve">Table A.23. </w:t>
      </w:r>
      <w:r>
        <w:t>NHANES steatosis classification models.</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805"/>
        <w:gridCol w:w="1805"/>
        <w:gridCol w:w="1805"/>
        <w:gridCol w:w="1805"/>
        <w:gridCol w:w="1805"/>
      </w:tblGrid>
      <w:tr>
        <w:trPr>
          <w:tblHeader/>
          <w:cantSplit/>
        </w:trPr>
        <w:tc>
          <w:tcPr>
            <w:tcW w:type="dxa" w:w="1928"/>
            <w:shd w:val="clear" w:color="auto" w:fill="EDEDED"/>
            <w:tcBorders>
              <w:bottom w:val="single" w:sz="6" w:space="0" w:color="000000"/>
            </w:tcBorders>
          </w:tcPr>
          <w:p>
            <w:pPr>
              <w:spacing w:line="240" w:lineRule="auto" w:after="40" w:before="40"/>
              <w:jc w:val="left"/>
            </w:pPr>
            <w:r>
              <w:rPr>
                <w:b/>
                <w:i w:val="0"/>
                <w:sz w:val="17"/>
              </w:rPr>
              <w:t>Study</w:t>
            </w:r>
          </w:p>
        </w:tc>
        <w:tc>
          <w:tcPr>
            <w:tcW w:type="dxa" w:w="2041"/>
            <w:shd w:val="clear" w:color="auto" w:fill="EDEDED"/>
            <w:tcBorders>
              <w:bottom w:val="single" w:sz="6" w:space="0" w:color="000000"/>
            </w:tcBorders>
          </w:tcPr>
          <w:p>
            <w:pPr>
              <w:spacing w:line="240" w:lineRule="auto" w:after="40" w:before="40"/>
              <w:jc w:val="left"/>
            </w:pPr>
            <w:r>
              <w:rPr>
                <w:b/>
                <w:i w:val="0"/>
                <w:sz w:val="17"/>
              </w:rPr>
              <w:t>Population</w:t>
            </w:r>
          </w:p>
        </w:tc>
        <w:tc>
          <w:tcPr>
            <w:tcW w:type="dxa" w:w="1474"/>
            <w:shd w:val="clear" w:color="auto" w:fill="EDEDED"/>
            <w:tcBorders>
              <w:bottom w:val="single" w:sz="6" w:space="0" w:color="000000"/>
            </w:tcBorders>
          </w:tcPr>
          <w:p>
            <w:pPr>
              <w:spacing w:line="240" w:lineRule="auto" w:after="40" w:before="40"/>
              <w:jc w:val="left"/>
            </w:pPr>
            <w:r>
              <w:rPr>
                <w:b/>
                <w:i w:val="0"/>
                <w:sz w:val="17"/>
              </w:rPr>
              <w:t>Outcome</w:t>
            </w:r>
          </w:p>
        </w:tc>
        <w:tc>
          <w:tcPr>
            <w:tcW w:type="dxa" w:w="1814"/>
            <w:shd w:val="clear" w:color="auto" w:fill="EDEDED"/>
            <w:tcBorders>
              <w:bottom w:val="single" w:sz="6" w:space="0" w:color="000000"/>
            </w:tcBorders>
          </w:tcPr>
          <w:p>
            <w:pPr>
              <w:spacing w:line="240" w:lineRule="auto" w:after="40" w:before="40"/>
              <w:jc w:val="left"/>
            </w:pPr>
            <w:r>
              <w:rPr>
                <w:b/>
                <w:i w:val="0"/>
                <w:sz w:val="17"/>
              </w:rPr>
              <w:t>Reported</w:t>
            </w:r>
          </w:p>
        </w:tc>
        <w:tc>
          <w:tcPr>
            <w:tcW w:type="dxa" w:w="1757"/>
            <w:shd w:val="clear" w:color="auto" w:fill="EDEDED"/>
            <w:tcBorders>
              <w:bottom w:val="single" w:sz="6" w:space="0" w:color="000000"/>
            </w:tcBorders>
          </w:tcPr>
          <w:p>
            <w:pPr>
              <w:spacing w:line="240" w:lineRule="auto" w:after="40" w:before="40"/>
              <w:jc w:val="left"/>
            </w:pPr>
            <w:r>
              <w:rPr>
                <w:b/>
                <w:i w:val="0"/>
                <w:sz w:val="17"/>
              </w:rPr>
              <w:t>This study</w:t>
            </w:r>
          </w:p>
        </w:tc>
      </w:tr>
      <w:tr>
        <w:trPr>
          <w:cantSplit/>
        </w:trPr>
        <w:tc>
          <w:tcPr>
            <w:tcW w:type="dxa" w:w="1928"/>
          </w:tcPr>
          <w:p>
            <w:pPr>
              <w:spacing w:line="240" w:lineRule="auto" w:after="40" w:before="40"/>
              <w:jc w:val="left"/>
            </w:pPr>
            <w:r>
              <w:rPr>
                <w:b w:val="0"/>
                <w:i w:val="0"/>
                <w:sz w:val="17"/>
              </w:rPr>
              <w:t>Du et al. (2026)</w:t>
            </w:r>
          </w:p>
        </w:tc>
        <w:tc>
          <w:tcPr>
            <w:tcW w:type="dxa" w:w="2041"/>
          </w:tcPr>
          <w:p>
            <w:pPr>
              <w:spacing w:line="240" w:lineRule="auto" w:after="40" w:before="40"/>
              <w:jc w:val="left"/>
            </w:pPr>
            <w:r>
              <w:rPr>
                <w:b w:val="0"/>
                <w:i w:val="0"/>
                <w:sz w:val="17"/>
              </w:rPr>
              <w:t>6,814 adults, 2017–2020</w:t>
            </w:r>
          </w:p>
        </w:tc>
        <w:tc>
          <w:tcPr>
            <w:tcW w:type="dxa" w:w="1474"/>
          </w:tcPr>
          <w:p>
            <w:pPr>
              <w:spacing w:line="240" w:lineRule="auto" w:after="40" w:before="40"/>
              <w:jc w:val="left"/>
            </w:pPr>
            <w:r>
              <w:rPr>
                <w:b w:val="0"/>
                <w:i w:val="0"/>
                <w:sz w:val="17"/>
              </w:rPr>
              <w:t>MASLD, CAP ≥ 280</w:t>
            </w:r>
          </w:p>
        </w:tc>
        <w:tc>
          <w:tcPr>
            <w:tcW w:type="dxa" w:w="1814"/>
          </w:tcPr>
          <w:p>
            <w:pPr>
              <w:spacing w:line="240" w:lineRule="auto" w:after="40" w:before="40"/>
              <w:jc w:val="left"/>
            </w:pPr>
            <w:r>
              <w:rPr>
                <w:b w:val="0"/>
                <w:i w:val="0"/>
                <w:sz w:val="17"/>
              </w:rPr>
              <w:t>AUC 0.815–0.842</w:t>
            </w:r>
          </w:p>
        </w:tc>
        <w:tc>
          <w:tcPr>
            <w:tcW w:type="dxa" w:w="1757"/>
          </w:tcPr>
          <w:p>
            <w:pPr>
              <w:spacing w:line="240" w:lineRule="auto" w:after="40" w:before="40"/>
              <w:jc w:val="left"/>
            </w:pPr>
            <w:r>
              <w:rPr>
                <w:b w:val="0"/>
                <w:i w:val="0"/>
                <w:sz w:val="17"/>
              </w:rPr>
              <w:t>AUC 0.879 (0.868)</w:t>
            </w:r>
          </w:p>
        </w:tc>
      </w:tr>
      <w:tr>
        <w:trPr>
          <w:cantSplit/>
        </w:trPr>
        <w:tc>
          <w:tcPr>
            <w:tcW w:type="dxa" w:w="1928"/>
          </w:tcPr>
          <w:p>
            <w:pPr>
              <w:spacing w:line="240" w:lineRule="auto" w:after="40" w:before="40"/>
              <w:jc w:val="left"/>
            </w:pPr>
            <w:r>
              <w:rPr>
                <w:b w:val="0"/>
                <w:i w:val="0"/>
                <w:sz w:val="17"/>
              </w:rPr>
              <w:t>Liu L. et al. (2024)</w:t>
            </w:r>
          </w:p>
        </w:tc>
        <w:tc>
          <w:tcPr>
            <w:tcW w:type="dxa" w:w="2041"/>
          </w:tcPr>
          <w:p>
            <w:pPr>
              <w:spacing w:line="240" w:lineRule="auto" w:after="40" w:before="40"/>
              <w:jc w:val="left"/>
            </w:pPr>
            <w:r>
              <w:rPr>
                <w:b w:val="0"/>
                <w:i w:val="0"/>
                <w:sz w:val="17"/>
              </w:rPr>
              <w:t>4,177, fasting subsample</w:t>
            </w:r>
          </w:p>
        </w:tc>
        <w:tc>
          <w:tcPr>
            <w:tcW w:type="dxa" w:w="1474"/>
          </w:tcPr>
          <w:p>
            <w:pPr>
              <w:spacing w:line="240" w:lineRule="auto" w:after="40" w:before="40"/>
              <w:jc w:val="left"/>
            </w:pPr>
            <w:r>
              <w:rPr>
                <w:b w:val="0"/>
                <w:i w:val="0"/>
                <w:sz w:val="17"/>
              </w:rPr>
              <w:t>CAP ≥ 302</w:t>
            </w:r>
          </w:p>
        </w:tc>
        <w:tc>
          <w:tcPr>
            <w:tcW w:type="dxa" w:w="1814"/>
          </w:tcPr>
          <w:p>
            <w:pPr>
              <w:spacing w:line="240" w:lineRule="auto" w:after="40" w:before="40"/>
              <w:jc w:val="left"/>
            </w:pPr>
            <w:r>
              <w:rPr>
                <w:b w:val="0"/>
                <w:i w:val="0"/>
                <w:sz w:val="17"/>
              </w:rPr>
              <w:t>AUC 0.859; FLI 0.838</w:t>
            </w:r>
          </w:p>
        </w:tc>
        <w:tc>
          <w:tcPr>
            <w:tcW w:type="dxa" w:w="1757"/>
          </w:tcPr>
          <w:p>
            <w:pPr>
              <w:spacing w:line="240" w:lineRule="auto" w:after="40" w:before="40"/>
              <w:jc w:val="left"/>
            </w:pPr>
            <w:r>
              <w:rPr>
                <w:b w:val="0"/>
                <w:i w:val="0"/>
                <w:sz w:val="17"/>
              </w:rPr>
              <w:t>AUC 0.888 (0.872)</w:t>
            </w:r>
          </w:p>
        </w:tc>
      </w:tr>
      <w:tr>
        <w:trPr>
          <w:cantSplit/>
        </w:trPr>
        <w:tc>
          <w:tcPr>
            <w:tcW w:type="dxa" w:w="1928"/>
          </w:tcPr>
          <w:p>
            <w:pPr>
              <w:spacing w:line="240" w:lineRule="auto" w:after="40" w:before="40"/>
              <w:jc w:val="left"/>
            </w:pPr>
            <w:r>
              <w:rPr>
                <w:b w:val="0"/>
                <w:i w:val="0"/>
                <w:sz w:val="17"/>
              </w:rPr>
              <w:t>Zhang et al. (2025)</w:t>
            </w:r>
          </w:p>
        </w:tc>
        <w:tc>
          <w:tcPr>
            <w:tcW w:type="dxa" w:w="2041"/>
          </w:tcPr>
          <w:p>
            <w:pPr>
              <w:spacing w:line="240" w:lineRule="auto" w:after="40" w:before="40"/>
              <w:jc w:val="left"/>
            </w:pPr>
            <w:r>
              <w:rPr>
                <w:b w:val="0"/>
                <w:i w:val="0"/>
                <w:sz w:val="17"/>
              </w:rPr>
              <w:t>2,460 complete cases</w:t>
            </w:r>
          </w:p>
        </w:tc>
        <w:tc>
          <w:tcPr>
            <w:tcW w:type="dxa" w:w="1474"/>
          </w:tcPr>
          <w:p>
            <w:pPr>
              <w:spacing w:line="240" w:lineRule="auto" w:after="40" w:before="40"/>
              <w:jc w:val="left"/>
            </w:pPr>
            <w:r>
              <w:rPr>
                <w:b w:val="0"/>
                <w:i w:val="0"/>
                <w:sz w:val="17"/>
              </w:rPr>
              <w:t>CAP ≥ 302</w:t>
            </w:r>
          </w:p>
        </w:tc>
        <w:tc>
          <w:tcPr>
            <w:tcW w:type="dxa" w:w="1814"/>
          </w:tcPr>
          <w:p>
            <w:pPr>
              <w:spacing w:line="240" w:lineRule="auto" w:after="40" w:before="40"/>
              <w:jc w:val="left"/>
            </w:pPr>
            <w:r>
              <w:rPr>
                <w:b w:val="0"/>
                <w:i w:val="0"/>
                <w:sz w:val="17"/>
              </w:rPr>
              <w:t>AUC 0.874 (0.842–0.906)</w:t>
            </w:r>
          </w:p>
        </w:tc>
        <w:tc>
          <w:tcPr>
            <w:tcW w:type="dxa" w:w="1757"/>
          </w:tcPr>
          <w:p>
            <w:pPr>
              <w:spacing w:line="240" w:lineRule="auto" w:after="40" w:before="40"/>
              <w:jc w:val="left"/>
            </w:pPr>
            <w:r>
              <w:rPr>
                <w:b w:val="0"/>
                <w:i w:val="0"/>
                <w:sz w:val="17"/>
              </w:rPr>
              <w:t>AUC 0.888 (0.872)</w:t>
            </w:r>
          </w:p>
        </w:tc>
      </w:tr>
      <w:tr>
        <w:trPr>
          <w:cantSplit/>
        </w:trPr>
        <w:tc>
          <w:tcPr>
            <w:tcW w:type="dxa" w:w="1928"/>
          </w:tcPr>
          <w:p>
            <w:pPr>
              <w:spacing w:line="240" w:lineRule="auto" w:after="40" w:before="40"/>
              <w:jc w:val="left"/>
            </w:pPr>
            <w:r>
              <w:rPr>
                <w:b w:val="0"/>
                <w:i w:val="0"/>
                <w:sz w:val="17"/>
              </w:rPr>
              <w:t>Boullion et al. (2025)</w:t>
            </w:r>
          </w:p>
        </w:tc>
        <w:tc>
          <w:tcPr>
            <w:tcW w:type="dxa" w:w="2041"/>
          </w:tcPr>
          <w:p>
            <w:pPr>
              <w:spacing w:line="240" w:lineRule="auto" w:after="40" w:before="40"/>
              <w:jc w:val="left"/>
            </w:pPr>
            <w:r>
              <w:rPr>
                <w:b w:val="0"/>
                <w:i w:val="0"/>
                <w:sz w:val="17"/>
              </w:rPr>
              <w:t>3,857 complete cases</w:t>
            </w:r>
          </w:p>
        </w:tc>
        <w:tc>
          <w:tcPr>
            <w:tcW w:type="dxa" w:w="1474"/>
          </w:tcPr>
          <w:p>
            <w:pPr>
              <w:spacing w:line="240" w:lineRule="auto" w:after="40" w:before="40"/>
              <w:jc w:val="left"/>
            </w:pPr>
            <w:r>
              <w:rPr>
                <w:b w:val="0"/>
                <w:i w:val="0"/>
                <w:sz w:val="17"/>
              </w:rPr>
              <w:t>CAP ≥ 238</w:t>
            </w:r>
          </w:p>
        </w:tc>
        <w:tc>
          <w:tcPr>
            <w:tcW w:type="dxa" w:w="1814"/>
          </w:tcPr>
          <w:p>
            <w:pPr>
              <w:spacing w:line="240" w:lineRule="auto" w:after="40" w:before="40"/>
              <w:jc w:val="left"/>
            </w:pPr>
            <w:r>
              <w:rPr>
                <w:b w:val="0"/>
                <w:i w:val="0"/>
                <w:sz w:val="17"/>
              </w:rPr>
              <w:t>Accuracy 79.6%</w:t>
            </w:r>
          </w:p>
        </w:tc>
        <w:tc>
          <w:tcPr>
            <w:tcW w:type="dxa" w:w="1757"/>
          </w:tcPr>
          <w:p>
            <w:pPr>
              <w:spacing w:line="240" w:lineRule="auto" w:after="40" w:before="40"/>
              <w:jc w:val="left"/>
            </w:pPr>
            <w:r>
              <w:rPr>
                <w:b w:val="0"/>
                <w:i w:val="0"/>
                <w:sz w:val="17"/>
              </w:rPr>
              <w:t>AUC 0.881 (0.857), CAP ≥ 248</w:t>
            </w:r>
          </w:p>
        </w:tc>
      </w:tr>
      <w:tr>
        <w:trPr>
          <w:cantSplit/>
        </w:trPr>
        <w:tc>
          <w:tcPr>
            <w:tcW w:type="dxa" w:w="1928"/>
          </w:tcPr>
          <w:p>
            <w:pPr>
              <w:spacing w:line="240" w:lineRule="auto" w:after="40" w:before="40"/>
              <w:jc w:val="left"/>
            </w:pPr>
            <w:r>
              <w:rPr>
                <w:b w:val="0"/>
                <w:i w:val="0"/>
                <w:sz w:val="17"/>
              </w:rPr>
              <w:t>Zhu et al. (2026)</w:t>
            </w:r>
          </w:p>
        </w:tc>
        <w:tc>
          <w:tcPr>
            <w:tcW w:type="dxa" w:w="2041"/>
          </w:tcPr>
          <w:p>
            <w:pPr>
              <w:spacing w:line="240" w:lineRule="auto" w:after="40" w:before="40"/>
              <w:jc w:val="left"/>
            </w:pPr>
            <w:r>
              <w:rPr>
                <w:b w:val="0"/>
                <w:i w:val="0"/>
                <w:sz w:val="17"/>
              </w:rPr>
              <w:t>Asian, BMI &lt; 28, complete cases</w:t>
            </w:r>
          </w:p>
        </w:tc>
        <w:tc>
          <w:tcPr>
            <w:tcW w:type="dxa" w:w="1474"/>
          </w:tcPr>
          <w:p>
            <w:pPr>
              <w:spacing w:line="240" w:lineRule="auto" w:after="40" w:before="40"/>
              <w:jc w:val="left"/>
            </w:pPr>
            <w:r>
              <w:rPr>
                <w:b w:val="0"/>
                <w:i w:val="0"/>
                <w:sz w:val="17"/>
              </w:rPr>
              <w:t>CAP ≥ 248</w:t>
            </w:r>
          </w:p>
        </w:tc>
        <w:tc>
          <w:tcPr>
            <w:tcW w:type="dxa" w:w="1814"/>
          </w:tcPr>
          <w:p>
            <w:pPr>
              <w:spacing w:line="240" w:lineRule="auto" w:after="40" w:before="40"/>
              <w:jc w:val="left"/>
            </w:pPr>
            <w:r>
              <w:rPr>
                <w:b w:val="0"/>
                <w:i w:val="0"/>
                <w:sz w:val="17"/>
              </w:rPr>
              <w:t>AUC 0.892</w:t>
            </w:r>
          </w:p>
        </w:tc>
        <w:tc>
          <w:tcPr>
            <w:tcW w:type="dxa" w:w="1757"/>
          </w:tcPr>
          <w:p>
            <w:pPr>
              <w:spacing w:line="240" w:lineRule="auto" w:after="40" w:before="40"/>
              <w:jc w:val="left"/>
            </w:pPr>
            <w:r>
              <w:rPr>
                <w:b w:val="0"/>
                <w:i w:val="0"/>
                <w:sz w:val="17"/>
              </w:rPr>
              <w:t>AUC 0.799 test; 0.823 CV†</w:t>
            </w:r>
          </w:p>
        </w:tc>
      </w:tr>
    </w:tbl>
    <w:p>
      <w:pPr>
        <w:spacing w:after="200" w:line="240" w:lineRule="auto" w:before="80"/>
        <w:jc w:val="left"/>
      </w:pPr>
      <w:r>
        <w:rPr>
          <w:b w:val="0"/>
          <w:i/>
          <w:sz w:val="18"/>
        </w:rPr>
        <w:t>This study: AUC within the scope, with all 3,060 test participants in brackets. The published studies cover adults of all ages, so the bracketed values are the closer comparison. †All ages.</w:t>
      </w:r>
    </w:p>
    <w:p>
      <w:r>
        <w:rPr>
          <w:b w:val="0"/>
          <w:i w:val="0"/>
        </w:rPr>
        <w:t>Within its scope, the selected model’s held-out R² (0.56; 0.59 in cross-validation) is comparable to or above published routine-data models of liver fat (0.34–0.56, including 0.37 in UK Biobank and 0.49 in validation for a spectroscopy equation that needs a specialist marker). Across all ages its R² of 0.50 still exceeds the UK Biobank routine-data model. The studies differ in reference measure and population, so the values are indicative rather than directly comparable. Higher values come only from a small selected sample (0.65) or imaging inputs (0.63–0.65). No NHANES study reports R² for CAP, so this is the first such benchmark. In classification the selected model matches or exceeds every NHANES model, except Zhu et al. (2026) in lean Asian participants (Section A.8).</w:t>
      </w:r>
    </w:p>
    <w:p>
      <w:pPr>
        <w:pStyle w:val="Heading3"/>
      </w:pPr>
      <w:r>
        <w:t>References</w:t>
      </w:r>
    </w:p>
    <w:p>
      <w:pPr>
        <w:ind w:left="510" w:hanging="283"/>
      </w:pPr>
      <w:r>
        <w:rPr>
          <w:b w:val="0"/>
          <w:i w:val="0"/>
        </w:rPr>
        <w:t>• Ahn SB, Jun DW, Kang BK, et al. Optimal cutoff value for assessing changes in intrahepatic fat amount by using the controlled attenuation parameter in a longitudinal setting. Medicine (Baltimore). 2018;97(50):e13636.</w:t>
      </w:r>
    </w:p>
    <w:p>
      <w:pPr>
        <w:ind w:left="510" w:hanging="283"/>
      </w:pPr>
      <w:r>
        <w:rPr>
          <w:b w:val="0"/>
          <w:i w:val="0"/>
        </w:rPr>
        <w:t>• Asaturyan HA, Basty N, Thanaj M, et al. Improving the accuracy of fatty liver index to reflect liver fat content with predictive regression modelling. PLoS One. 2022;17(9):e0273171.</w:t>
      </w:r>
    </w:p>
    <w:p>
      <w:pPr>
        <w:ind w:left="510" w:hanging="283"/>
      </w:pPr>
      <w:r>
        <w:rPr>
          <w:b w:val="0"/>
          <w:i w:val="0"/>
        </w:rPr>
        <w:t>• Boullion J, Husein A, Agrawal A, et al. Machine learning–based biomarker identification for early diagnosis of MASLD. J Clin Endocrinol Metab. 2025;110(11):e3866–e3877.</w:t>
      </w:r>
    </w:p>
    <w:p>
      <w:pPr>
        <w:ind w:left="510" w:hanging="283"/>
      </w:pPr>
      <w:r>
        <w:rPr>
          <w:b w:val="0"/>
          <w:i w:val="0"/>
        </w:rPr>
        <w:t>• Chen J, Yue J, Fu J, et al. A prediction model of liver fat fraction and presence of non-alcoholic fatty liver disease (NAFLD) among patients with overweight or obesity. Endocr J. 2023;70:977–985.</w:t>
      </w:r>
    </w:p>
    <w:p>
      <w:pPr>
        <w:ind w:left="510" w:hanging="283"/>
      </w:pPr>
      <w:r>
        <w:rPr>
          <w:b w:val="0"/>
          <w:i w:val="0"/>
        </w:rPr>
        <w:t>• Du S, Yu H, Du J, Xu Y. Machine learning models to predict MASLD with simple anthropometric and biochemical variables: a cross-sectional study in US population. Int J Hepatol. 2026;2026:8221645.</w:t>
      </w:r>
    </w:p>
    <w:p>
      <w:pPr>
        <w:ind w:left="510" w:hanging="283"/>
      </w:pPr>
      <w:r>
        <w:rPr>
          <w:b w:val="0"/>
          <w:i w:val="0"/>
        </w:rPr>
        <w:t>• Ferraioli G. Quantitative assessment of liver steatosis using ultrasound controlled attenuation parameter (Echosens). J Med Ultrason. 2021;48:489–495.</w:t>
      </w:r>
    </w:p>
    <w:p>
      <w:pPr>
        <w:ind w:left="510" w:hanging="283"/>
      </w:pPr>
      <w:r>
        <w:rPr>
          <w:b w:val="0"/>
          <w:i w:val="0"/>
        </w:rPr>
        <w:t>• Haas ME, Pirruccello JP, Friedman SN, et al. Machine learning enables new insights into genetic contributions to liver fat accumulation. Cell Genom. 2021;1(3):100066.</w:t>
      </w:r>
    </w:p>
    <w:p>
      <w:pPr>
        <w:ind w:left="510" w:hanging="283"/>
      </w:pPr>
      <w:r>
        <w:rPr>
          <w:b w:val="0"/>
          <w:i w:val="0"/>
        </w:rPr>
        <w:t>• Kotronen A, Peltonen M, Hakkarainen A, et al. Prediction of non-alcoholic fatty liver disease and liver fat using metabolic and genetic factors. Gastroenterology. 2009;137:865–872.</w:t>
      </w:r>
    </w:p>
    <w:p>
      <w:pPr>
        <w:ind w:left="510" w:hanging="283"/>
      </w:pPr>
      <w:r>
        <w:rPr>
          <w:b w:val="0"/>
          <w:i w:val="0"/>
        </w:rPr>
        <w:t>• Liu H, Li X, Han X, et al. Simple surrogate equations to predict controlled attenuation parameter values for screening NAFLD in a Chinese population. Front Med. 2022;9:894895.</w:t>
      </w:r>
    </w:p>
    <w:p>
      <w:pPr>
        <w:ind w:left="510" w:hanging="283"/>
      </w:pPr>
      <w:r>
        <w:rPr>
          <w:b w:val="0"/>
          <w:i w:val="0"/>
        </w:rPr>
        <w:t>• Liu L, Lin J, Liu L, et al. Automated machine learning models for NAFLD assessed by controlled attenuation parameter from the NHANES 2017–2020. Digit Health. 2024;10:20552076241272535.</w:t>
      </w:r>
    </w:p>
    <w:p>
      <w:pPr>
        <w:ind w:left="510" w:hanging="283"/>
      </w:pPr>
      <w:r>
        <w:rPr>
          <w:b w:val="0"/>
          <w:i w:val="0"/>
        </w:rPr>
        <w:t>• Loomba R, Schork N, Chen CH, et al. Heritability of hepatic fibrosis and steatosis based on a prospective twin study. Gastroenterology. 2015;149(7):1784–1793.</w:t>
      </w:r>
    </w:p>
    <w:p>
      <w:pPr>
        <w:ind w:left="510" w:hanging="283"/>
      </w:pPr>
      <w:r>
        <w:rPr>
          <w:b w:val="0"/>
          <w:i w:val="0"/>
        </w:rPr>
        <w:t>• Machine learning across multiple imaging and biomarker modalities in the UK Biobank improves genetic discovery for liver fat accumulation. medRxiv. 2024. doi:10.1101/2024.01.06.24300923.</w:t>
      </w:r>
    </w:p>
    <w:p>
      <w:pPr>
        <w:ind w:left="510" w:hanging="283"/>
      </w:pPr>
      <w:r>
        <w:rPr>
          <w:b w:val="0"/>
          <w:i w:val="0"/>
        </w:rPr>
        <w:t>• Petäjä EM, Zhou Y, Havana M, et al. Phosphorylated IGFBP-1 as a non-invasive predictor of liver fat in NAFLD. Sci Rep. 2016;6:24740.</w:t>
      </w:r>
    </w:p>
    <w:p>
      <w:pPr>
        <w:ind w:left="510" w:hanging="283"/>
      </w:pPr>
      <w:r>
        <w:rPr>
          <w:b w:val="0"/>
          <w:i w:val="0"/>
        </w:rPr>
        <w:t>• Rinella ME, Lazarus JV, Ratziu V, et al. A multisociety Delphi consensus statement on new fatty liver disease nomenclature. Hepatology. 2023;78:1966–1986.</w:t>
      </w:r>
    </w:p>
    <w:p>
      <w:pPr>
        <w:ind w:left="510" w:hanging="283"/>
      </w:pPr>
      <w:r>
        <w:rPr>
          <w:b w:val="0"/>
          <w:i w:val="0"/>
        </w:rPr>
        <w:t>• Zhang Y, Liu X, Zhang X, Fei Y, Li X. Machine learning-based prediction of MASLD using NHANES data. PLoS One. 2025;20(11):e0335656.</w:t>
      </w:r>
    </w:p>
    <w:p>
      <w:pPr>
        <w:ind w:left="510" w:hanging="283"/>
      </w:pPr>
      <w:r>
        <w:rPr>
          <w:b w:val="0"/>
          <w:i w:val="0"/>
        </w:rPr>
        <w:t>• Zhu Y, Wang Y, Zhang S, et al. Hepatic steatosis severity prediction in nonobese individuals: machine learning model development and validation. J Med Internet Res. 2026;28:e82529.</w:t>
      </w:r>
    </w:p>
    <w:p>
      <w:pPr>
        <w:pStyle w:val="Heading2"/>
      </w:pPr>
      <w:r>
        <w:t>A.15 Limitations</w:t>
      </w:r>
    </w:p>
    <w:p>
      <w:pPr>
        <w:ind w:left="510" w:hanging="283"/>
      </w:pPr>
      <w:r>
        <w:rPr>
          <w:b w:val="0"/>
          <w:i w:val="0"/>
        </w:rPr>
        <w:t>• All validation is internal to NHANES. The temporal validation (V5) uses later participants from the same survey programme, not an external population. The P1 test set was reused during development, and every reported figure carries some selection optimism.</w:t>
      </w:r>
    </w:p>
    <w:p>
      <w:pPr>
        <w:ind w:left="510" w:hanging="283"/>
      </w:pPr>
      <w:r>
        <w:rPr>
          <w:b w:val="0"/>
          <w:i w:val="0"/>
        </w:rPr>
        <w:t>• Survey weights were applied in evaluation (V2) but not in training, and survey strata and clustering were not used for variance estimation.</w:t>
      </w:r>
    </w:p>
    <w:p>
      <w:pPr>
        <w:ind w:left="510" w:hanging="283"/>
      </w:pPr>
      <w:r>
        <w:rPr>
          <w:b w:val="0"/>
          <w:i w:val="0"/>
        </w:rPr>
        <w:t>• CAP is an imperfect measure of liver fat and is truncated at 400 dB/m. No biopsy reference is available in NHANES; results were therefore checked at three cut-offs (V4).</w:t>
      </w:r>
    </w:p>
    <w:p>
      <w:pPr>
        <w:ind w:left="510" w:hanging="283"/>
      </w:pPr>
      <w:r>
        <w:rPr>
          <w:b w:val="0"/>
          <w:i w:val="0"/>
        </w:rPr>
        <w:t>• The steatosis cut-offs (248, 280 and 302 dB/m) follow published CAP thresholds but have not been verified against histology in this cohort.</w:t>
      </w:r>
    </w:p>
    <w:p>
      <w:pPr>
        <w:ind w:left="510" w:hanging="283"/>
      </w:pPr>
      <w:r>
        <w:rPr>
          <w:b w:val="0"/>
          <w:i w:val="0"/>
        </w:rPr>
        <w:t>• The data are cross-sectional; the model describes current state and cannot predict response to dietary change.</w:t>
      </w:r>
    </w:p>
    <w:p>
      <w:pPr>
        <w:ind w:left="510" w:hanging="283"/>
      </w:pPr>
      <w:r>
        <w:rPr>
          <w:b w:val="0"/>
          <w:i w:val="0"/>
        </w:rPr>
        <w:t>• Single-split test R² varies by about ±0.03 with test membership (E5), so differences below 0.01 between models are within noise.</w:t>
      </w:r>
    </w:p>
    <w:p>
      <w:pPr>
        <w:ind w:left="510" w:hanging="283"/>
      </w:pPr>
      <w:r>
        <w:rPr>
          <w:b w:val="0"/>
          <w:i w:val="0"/>
        </w:rPr>
        <w:t>• The final tree settings were chosen using the held-out test set (Section A.9), so test R² is slightly optimistic; repeated cross-validation, which did not inform the choice, gives consistent results.</w:t>
      </w:r>
    </w:p>
    <w:p>
      <w:pPr>
        <w:ind w:left="510" w:hanging="283"/>
      </w:pPr>
      <w:r>
        <w:rPr>
          <w:b w:val="0"/>
          <w:i w:val="0"/>
        </w:rPr>
        <w:t>• The model is not validated for patients aged 60 or over, who are outside its scope (test R² 0.42 in that group). In-scope results are measured against reliable reference examinations; including unreliable ones, R² for ages 12–59 is 0.515.</w:t>
      </w:r>
    </w:p>
    <w:p>
      <w:pPr>
        <w:ind w:left="510" w:hanging="283"/>
      </w:pPr>
      <w:r>
        <w:rPr>
          <w:b w:val="0"/>
          <w:i w:val="0"/>
        </w:rPr>
        <w:t>• In lean non-Hispanic Asian participants the model is less discriminating than one trained on a large Asian cohort (Zhu et al., 2026); a population-specific model is future work.</w:t>
      </w:r>
    </w:p>
    <w:sectPr w:rsidR="00FC693F" w:rsidRPr="0006063C" w:rsidSect="00034616">
      <w:footerReference w:type="default" r:id="rId1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76" w:lineRule="auto"/>
      <w:jc w:val="left"/>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jc w:val="left"/>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76" w:lineRule="auto" w:before="240" w:after="80"/>
      <w:jc w:val="left"/>
    </w:pPr>
    <w:rPr>
      <w:rFonts w:ascii="Times New Roman" w:hAnsi="Times New Roman" w:cs="Times New Roman" w:eastAsia="Times New Roman"/>
      <w:b w:val="0"/>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