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20" w:before="200" w:lineRule="auto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HepatoTwin- Weekly Action Plan</w:t>
      </w:r>
    </w:p>
    <w:p w:rsidR="00000000" w:rsidDel="00000000" w:rsidP="00000000" w:rsidRDefault="00000000" w:rsidRPr="00000000" w14:paraId="00000002">
      <w:pPr>
        <w:spacing w:after="140" w:lineRule="auto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Meeting-by-Meeting Plan</w:t>
      </w:r>
    </w:p>
    <w:p w:rsidR="00000000" w:rsidDel="00000000" w:rsidP="00000000" w:rsidRDefault="00000000" w:rsidRPr="00000000" w14:paraId="00000003">
      <w:pPr>
        <w:spacing w:after="140" w:lineRule="auto"/>
        <w:rPr/>
      </w:pPr>
      <w:r w:rsidDel="00000000" w:rsidR="00000000" w:rsidRPr="00000000">
        <w:rPr>
          <w:rtl w:val="0"/>
        </w:rPr>
        <w:t xml:space="preserve"> </w:t>
      </w:r>
    </w:p>
    <w:tbl>
      <w:tblPr>
        <w:tblStyle w:val="Table1"/>
        <w:tblW w:w="928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350"/>
        <w:gridCol w:w="1080"/>
        <w:gridCol w:w="2760"/>
        <w:gridCol w:w="4095"/>
        <w:tblGridChange w:id="0">
          <w:tblGrid>
            <w:gridCol w:w="1350"/>
            <w:gridCol w:w="1080"/>
            <w:gridCol w:w="2760"/>
            <w:gridCol w:w="4095"/>
          </w:tblGrid>
        </w:tblGridChange>
      </w:tblGrid>
      <w:tr>
        <w:trPr>
          <w:cantSplit w:val="0"/>
          <w:trHeight w:val="480" w:hRule="atLeast"/>
          <w:tblHeader w:val="0"/>
        </w:trPr>
        <w:tc>
          <w:tcPr>
            <w:tcBorders>
              <w:top w:color="999999" w:space="0" w:sz="5" w:val="single"/>
              <w:left w:color="999999" w:space="0" w:sz="5" w:val="single"/>
              <w:bottom w:color="999999" w:space="0" w:sz="5" w:val="single"/>
              <w:right w:color="999999" w:space="0" w:sz="5" w:val="single"/>
            </w:tcBorders>
            <w:shd w:fill="61789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spacing w:after="40" w:lineRule="auto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Meeting</w:t>
            </w:r>
          </w:p>
        </w:tc>
        <w:tc>
          <w:tcPr>
            <w:tcBorders>
              <w:top w:color="999999" w:space="0" w:sz="5" w:val="single"/>
              <w:left w:color="000000" w:space="0" w:sz="0" w:val="nil"/>
              <w:bottom w:color="999999" w:space="0" w:sz="5" w:val="single"/>
              <w:right w:color="999999" w:space="0" w:sz="5" w:val="single"/>
            </w:tcBorders>
            <w:shd w:fill="61789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spacing w:after="40" w:lineRule="auto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Date</w:t>
            </w:r>
          </w:p>
        </w:tc>
        <w:tc>
          <w:tcPr>
            <w:tcBorders>
              <w:top w:color="999999" w:space="0" w:sz="5" w:val="single"/>
              <w:left w:color="000000" w:space="0" w:sz="0" w:val="nil"/>
              <w:bottom w:color="999999" w:space="0" w:sz="5" w:val="single"/>
              <w:right w:color="999999" w:space="0" w:sz="5" w:val="single"/>
            </w:tcBorders>
            <w:shd w:fill="61789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spacing w:after="40" w:lineRule="auto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Task 1 (twin state + evidence)</w:t>
            </w:r>
          </w:p>
        </w:tc>
        <w:tc>
          <w:tcPr>
            <w:tcBorders>
              <w:top w:color="999999" w:space="0" w:sz="5" w:val="single"/>
              <w:left w:color="000000" w:space="0" w:sz="0" w:val="nil"/>
              <w:bottom w:color="999999" w:space="0" w:sz="5" w:val="single"/>
              <w:right w:color="999999" w:space="0" w:sz="5" w:val="single"/>
            </w:tcBorders>
            <w:shd w:fill="61789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spacing w:after="40" w:lineRule="auto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Task 2 (optimizer + recipes)</w:t>
            </w:r>
          </w:p>
        </w:tc>
      </w:tr>
      <w:tr>
        <w:trPr>
          <w:cantSplit w:val="0"/>
          <w:trHeight w:val="930" w:hRule="atLeast"/>
          <w:tblHeader w:val="0"/>
        </w:trPr>
        <w:tc>
          <w:tcPr>
            <w:tcBorders>
              <w:top w:color="000000" w:space="0" w:sz="0" w:val="nil"/>
              <w:left w:color="999999" w:space="0" w:sz="5" w:val="single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spacing w:after="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Fri 21 Aug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NHANES data downloaded and linked; repository setup started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Recipe resources identified; database access/schema investigation started</w:t>
            </w:r>
          </w:p>
        </w:tc>
      </w:tr>
      <w:tr>
        <w:trPr>
          <w:cantSplit w:val="0"/>
          <w:trHeight w:val="930" w:hRule="atLeast"/>
          <w:tblHeader w:val="0"/>
        </w:trPr>
        <w:tc>
          <w:tcPr>
            <w:tcBorders>
              <w:top w:color="000000" w:space="0" w:sz="0" w:val="nil"/>
              <w:left w:color="999999" w:space="0" w:sz="5" w:val="single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pacing w:after="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Fri 28 Aug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EDA of CAP/steatosis; candidate feature list; preprocessing pipeline started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Read RecipeDB/FlavorDB/SpiceRx/DietRx papers; initial understanding of recipe schema and ingredient extraction</w:t>
            </w:r>
          </w:p>
        </w:tc>
      </w:tr>
      <w:tr>
        <w:trPr>
          <w:cantSplit w:val="0"/>
          <w:trHeight w:val="930" w:hRule="atLeast"/>
          <w:tblHeader w:val="0"/>
        </w:trPr>
        <w:tc>
          <w:tcPr>
            <w:tcBorders>
              <w:top w:color="000000" w:space="0" w:sz="0" w:val="nil"/>
              <w:left w:color="999999" w:space="0" w:sz="5" w:val="single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after="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Thu 3 Sept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Train first baseline model using NHANES with train/test split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Build robust RecipeDB parser and extract recipe metadata, ingredients, cuisine, and preparation information</w:t>
            </w:r>
          </w:p>
        </w:tc>
      </w:tr>
      <w:tr>
        <w:trPr>
          <w:cantSplit w:val="0"/>
          <w:trHeight w:val="930" w:hRule="atLeast"/>
          <w:tblHeader w:val="0"/>
        </w:trPr>
        <w:tc>
          <w:tcPr>
            <w:tcBorders>
              <w:top w:color="000000" w:space="0" w:sz="0" w:val="nil"/>
              <w:left w:color="999999" w:space="0" w:sz="5" w:val="single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after="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Fri 11 Sept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Compare baseline models and select initial patient-state prediction approach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Define a structured internal recipe representation and begin nutrient profiling of parsed recipes</w:t>
            </w:r>
          </w:p>
        </w:tc>
      </w:tr>
      <w:tr>
        <w:trPr>
          <w:cantSplit w:val="0"/>
          <w:trHeight w:val="930" w:hRule="atLeast"/>
          <w:tblHeader w:val="0"/>
        </w:trPr>
        <w:tc>
          <w:tcPr>
            <w:tcBorders>
              <w:top w:color="000000" w:space="0" w:sz="0" w:val="nil"/>
              <w:left w:color="999999" w:space="0" w:sz="5" w:val="single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spacing w:after="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Fri 18 Sept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Finalize initial predictive model and evaluate performance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Build recipe nutritional feature profiles: calories, macronutrients, fat-related variables, etc.</w:t>
            </w:r>
          </w:p>
        </w:tc>
      </w:tr>
      <w:tr>
        <w:trPr>
          <w:cantSplit w:val="0"/>
          <w:trHeight w:val="705" w:hRule="atLeast"/>
          <w:tblHeader w:val="0"/>
        </w:trPr>
        <w:tc>
          <w:tcPr>
            <w:tcBorders>
              <w:top w:color="000000" w:space="0" w:sz="0" w:val="nil"/>
              <w:left w:color="999999" w:space="0" w:sz="5" w:val="single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spacing w:after="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 meeting as it was mid-sem week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Fri 25 Sept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Light week: review model results and identify limitations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Light week: test parser and recipe representation on a larger recipe batch</w:t>
            </w:r>
          </w:p>
        </w:tc>
      </w:tr>
      <w:tr>
        <w:trPr>
          <w:cantSplit w:val="0"/>
          <w:trHeight w:val="930" w:hRule="atLeast"/>
          <w:tblHeader w:val="0"/>
        </w:trPr>
        <w:tc>
          <w:tcPr>
            <w:tcBorders>
              <w:top w:color="000000" w:space="0" w:sz="0" w:val="nil"/>
              <w:left w:color="999999" w:space="0" w:sz="5" w:val="single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spacing w:after="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Thu 1 Oct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Begin calibration and SHAP/explainability; draft evidence table from literature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Define recipe evaluation criteria: health alignment, cuisine compatibility, and practical feasibility</w:t>
            </w:r>
          </w:p>
        </w:tc>
      </w:tr>
      <w:tr>
        <w:trPr>
          <w:cantSplit w:val="0"/>
          <w:trHeight w:val="1155" w:hRule="atLeast"/>
          <w:tblHeader w:val="0"/>
        </w:trPr>
        <w:tc>
          <w:tcPr>
            <w:tcBorders>
              <w:top w:color="000000" w:space="0" w:sz="0" w:val="nil"/>
              <w:left w:color="999999" w:space="0" w:sz="5" w:val="single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spacing w:after="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Fri 9 Oct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Complete initial evidence table and connect patient characteristics to nutritional objectives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Implement individual scoring functions for recipe-level criteria</w:t>
            </w:r>
          </w:p>
        </w:tc>
      </w:tr>
      <w:tr>
        <w:trPr>
          <w:cantSplit w:val="0"/>
          <w:trHeight w:val="930" w:hRule="atLeast"/>
          <w:tblHeader w:val="0"/>
        </w:trPr>
        <w:tc>
          <w:tcPr>
            <w:tcBorders>
              <w:top w:color="000000" w:space="0" w:sz="0" w:val="nil"/>
              <w:left w:color="999999" w:space="0" w:sz="5" w:val="single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spacing w:after="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Fri 16 Oct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spacing w:after="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Build Layer 3 logic: patient state → relevant nutritional priorities → priority levels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Implement patient-specific health alignment scoring for recipes</w:t>
            </w:r>
          </w:p>
        </w:tc>
      </w:tr>
      <w:tr>
        <w:trPr>
          <w:cantSplit w:val="0"/>
          <w:trHeight w:val="660" w:hRule="atLeast"/>
          <w:tblHeader w:val="0"/>
        </w:trPr>
        <w:tc>
          <w:tcPr>
            <w:tcBorders>
              <w:top w:color="000000" w:space="0" w:sz="0" w:val="nil"/>
              <w:left w:color="999999" w:space="0" w:sz="5" w:val="single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spacing w:after="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Fri 23 Oct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>Integration checkpoint met early (end-to-end pipeline and demo run). Build Layer 5 scenario engine: Recipe A vs B → evidence-graded projected direction (§8). Save the current Layer 4 evaluation as the “before” run, then download DR1IFF and FPED and add the patient’s habitual diet from NHANES 24-hour recall so priorities are personal (§17.1). Add new evidence rows: coffee, fasting, null findings (§17.13)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>Recommendation diversity re-ranking and 7-day meal plan with weekly constraints (§17.6). Add rating-based acceptability (§17.12). Start recruiting 5–10 pilot evaluators</w:t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tcBorders>
              <w:top w:color="000000" w:space="0" w:sz="0" w:val="nil"/>
              <w:left w:color="999999" w:space="0" w:sz="5" w:val="single"/>
              <w:bottom w:color="999999" w:space="0" w:sz="5" w:val="single"/>
              <w:right w:color="999999" w:space="0" w:sz="5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spacing w:after="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Fri 30 Oct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  <w:t>Explainability and safety: fibrosis risk (FIB-4) validated against measured liver stiffness, plus referral pathway (§17.2); MASLD/MetALD labelling and safety guardrails (§17.3); per-patient SHAP and conformal CAP intervals (§17.4); causal knowledge graph of 10–15 links (§5.3); download NHANES III ultrasound and Linked Mortality Files and map variables (§17.9)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  <w:t>Explainability: knowledge-graph-traced recipe explanations (§7.3); grounded plain-language summaries with automatic faithfulness check (§17.7); improve cuisine score (ingredient co-occurrence) and feasibility score (process/utensils) (§7.1)</w:t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tcBorders>
              <w:top w:color="000000" w:space="0" w:sz="0" w:val="nil"/>
              <w:left w:color="999999" w:space="0" w:sz="5" w:val="single"/>
              <w:bottom w:color="999999" w:space="0" w:sz="5" w:val="single"/>
              <w:right w:color="999999" w:space="0" w:sz="5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spacing w:after="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Fri 6 Nov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tl w:val="0"/>
              </w:rPr>
              <w:t>FastAPI backend wrapping Layers 2–5 with an SQLite database (§16); re-assessment timeline storing dated measurements (§17.5); simple 3D liver S0–S3 with timeline slider (§9): today’s colour from the calibrated steatosis probabilities with their uncertainty rather than the single predicted CAP; future horizons show only the evidence-graded direction; optional view conditional on 5% and 10% weight loss (Vilar-Gomez thresholds)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tl w:val="0"/>
              </w:rPr>
              <w:t>React dashboard: patient state, priorities with evidence, side-by-side recipe comparison, scenarios and summaries (§10). New recipe criteria: ultra-processing (FoodProX, §17.10) and glycaemic load (§17.11)</w:t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tcBorders>
              <w:top w:color="000000" w:space="0" w:sz="0" w:val="nil"/>
              <w:left w:color="999999" w:space="0" w:sz="5" w:val="single"/>
              <w:bottom w:color="999999" w:space="0" w:sz="5" w:val="single"/>
              <w:right w:color="999999" w:space="0" w:sz="5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spacing w:after="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Fri 13 Nov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  <w:t>Evaluation: NHANES III external and mortality validation (§17.9); fibrosis triage accuracy; conformal coverage; fairness audit by sex, ethnicity and age (§17.8, §12.4)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  <w:t>Evaluation: re-run Layer 4 evaluation with new criteria (personalisation, diversity, meal-plan constraints, summary faithfulness); run pilot evaluation with 5–10 people (§12.2, §12.4)</w:t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tcBorders>
              <w:top w:color="000000" w:space="0" w:sz="0" w:val="nil"/>
              <w:left w:color="999999" w:space="0" w:sz="5" w:val="single"/>
              <w:bottom w:color="999999" w:space="0" w:sz="5" w:val="single"/>
              <w:right w:color="999999" w:space="0" w:sz="5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spacing w:after="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Fri 20 Nov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tl w:val="0"/>
              </w:rPr>
              <w:t>Freeze scope; consolidate results; update Appendix A and write the twin-state, evidence and scenario chapters. If behind, apply the proposal’s cut list (3D fidelity first, then panel size, then evidence-table breadth)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tl w:val="0"/>
              </w:rPr>
              <w:t>Freeze scope; consolidate results; update Appendix B and write the ranking-engine and evaluation chapters; prepare internal evaluation</w:t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tcBorders>
              <w:top w:color="000000" w:space="0" w:sz="0" w:val="nil"/>
              <w:left w:color="999999" w:space="0" w:sz="5" w:val="single"/>
              <w:bottom w:color="999999" w:space="0" w:sz="5" w:val="single"/>
              <w:right w:color="999999" w:space="0" w:sz="5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spacing w:after="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Fri 27 Nov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tl w:val="0"/>
              </w:rPr>
              <w:t>Final debugging, documentation and presentation preparation; reproducibility check (one command rebuilds data, models and results)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tl w:val="0"/>
              </w:rPr>
              <w:t>Final debugging, documentation and presentation preparation; live demo rehearsal of the dashboard</w:t>
            </w:r>
          </w:p>
        </w:tc>
      </w:tr>
    </w:tbl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