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with a comparable evidence base.</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 xml:space="preserve">Scope Note –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 xml:space="preserve">The current project does not perform longitudinal validation by comparing the projections to the true repeat measurements outcome data — the clinical data set (§13) used is a cross-sectional one. All projections of the future states are marked as “simulated projections, not a clinical prediction” and all scenarios are based on the clinical evidence (§6).</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Clinical trials/meta-analyses,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“What if the patient adopts Recipe A / B / C?” → evidence-graded projected direction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The recipe evaluation methodology itself — multi-criteria scoring and ranking of structured recipe data, linked to an evidence table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Clinical trials, meta-analyses and practice guidelines connect dietary interventions with measured liver outcomes.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XGBoost main model, compared to linear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Trained and evaluated on one cohort only (§13) to prevent cross-population validation bias</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Every intervention effect used by the ranking engine is pulled from a named clinical trial or meta-analysis, with an explicit evidence-strength label. The current table has 17 rows, each with an evidence ID cited by the rules; a selection is shown:</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GUIDELINE RECOMMENDATION — advice from a current clinical practice guideline (EASL-EASD-EASO 2024), used for its direction only and never converted into an effect size</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Layer 3 evidence-graded effect sizes from clinical trials, meta-analyses and guidelines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These criteria are normalized and combined using a transparent multi-criteria scoring framework with weights explicitly defined and reported (health 0.6, cuisine compatibility 0.2, cooking feasibility 0.2). A health gate is applied by default: recipes that meet every evidence-based nutritional reference are ranked ahead of those that do not, so a high cuisine or feasibility score cannot compensate for a weak health profile. Within each group, recipes are ordered by their overall weighted score,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Each recommended recipe is validated by working back through the knowledge graph to the evidence-table rows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Calibrated model probability from Layer 2, e.g. “68% predicted probability of grade ≥S1, 95% bootstrap interval (§17.4)”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remains an evidence-graded simulated projection, not a clinical forecast - no scenario is ever shown as a bare, model-invented percentage.</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Timeline slider: TODAY – 3 MONTHS – 6 MONTHS – 1 YEAR demonstrating the Layer-5 evidence-based direction under a chosen scenario</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Benchmark against established clinical scores: for CAP ≥ 248 dB/m the calibrated model reached an ROC-AUC of 0.860, compared with 0.842 for the Fatty Liver Index (Bedogni et al., 2006) and 0.813 for the Hepatic Steatosis Index (Lee et al., 2010) on the same test participants (Appendix A).</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The ranking engine was evaluated on 300 held-out test patients by the share of top-10 recipes that meet all three criteria: every evidence-based nutritional reference for the patient (energy, saturated fat, sugars and fibre), the patient’s cuisine preference, and practical limits of 60 minutes, 15 ingredients and 12 steps. The default health-gated ranking reached 0.90 (with every recommended recipe meeting the nutritional references), compared with 0.75 for weighted scoring alone, 0.02 for health-score-only and nutrition-only rankings, and 0.003 for random candidate selection. Because NHANES does not record cuisine preferences, these were simulated (Appendix B).</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A sensitivity analysis over 36 weight combinations found a median top-10 overlap of 1.0 with the default ranking (mean 0.90); overlap fell below 0.8 mainly when the cuisine weight was reduced to 0.1.</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evaluated against real longitudinal outcomes in this project — see the scope note in §1.1. Twin trajectories are reported strictly as evidence-graded simulated projections.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DR1TOT already downloaded; DR1IFF from NHANES; FPED from USDA ARS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 digital twin for the patient liver, where the state model is built by updating with new information from the patient, along with a simulation model for evidence-based intervention, tested using a cross-sectional analysis on the NHANES dataset; longitudinal validation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New scoring approach for the task of evidence-based recipe evaluation and selection (health+cuisine+feasibility), linked to an evidence table and a causal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Named explicitly as a scope limitation (§1.1, §12.3); twin trajectories framed as simulated projections throughout, never as validated forecasts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XGBoost, scikit-learn (isotonic calibration on out-of-fold predictions), SHAP values (XGBoost TreeSHAP)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Python, pandas, NumPy/scikit-learn; health-gated,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use data the project already holds (17.1 also needs the DR1IFF food files and FPED); 17.9–17.13 need further public datasets.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 (held); DR1IFF; FPED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Measurements entered over time (no new dataset)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recommendations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Acceptability and wider recipe coverage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full RecipeDB</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 Indian and regional cuisines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for 2017–March 2020 allows a Healthy Eating Index-2020 score (Shams-White et al., 2023).</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currently receive the same four priorities.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and categorised using the EASL-EASD-EASO 2024 pathway (below 1.3 low risk, with 2.0 used above age 65; 1.3–2.67 further testing; above 2.67 high risk).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are stored for each patient, and the twin state is recomputed whenever new measurements are entered.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is selected as a constrained optimisation problem: each day meets the evidence-linked reference values, main ingredients do not repeat, and cuisines can be mixed within the patient’s preferences.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 and wider RecipeDB coverage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so that well-rated recipes are preferred among those with comparable health scores.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Regional cuisines. </w:t>
      </w:r>
      <w:r w:rsidDel="00000000" w:rsidR="00000000" w:rsidRPr="00000000">
        <w:rPr>
          <w:rFonts w:ascii="Times New Roman" w:cs="Times New Roman" w:eastAsia="Times New Roman" w:hAnsi="Times New Roman"/>
          <w:rtl w:val="0"/>
        </w:rPr>
        <w:t>The current 20,000-recipe subset contains only 19 Indian recipes, and 73% of its recipes have no specific cuisine label (“Other”). Drawing on the full RecipeDB, including Indian regional cuisines, would make cuisine compatibility meaningful for Indian users, for whom the Asian BMI thresholds are already implemented.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17.14 Future work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Food–disease and spice–disease association resources such as DietRx and SpiceRx could add an ingredient-level health-relevance signal to the ranking engine. Because these associations are largely literature-mined and observational, they would be kept separate from the graded intervention evidence and labelled as associations rather than effects.</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