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HepatoTwin: Why the CAP R² Plateaus</w:t>
      </w:r>
    </w:p>
    <w:p>
      <w:pPr>
        <w:spacing w:after="40"/>
        <w:jc w:val="center"/>
      </w:pPr>
      <w:r>
        <w:rPr>
          <w:b w:val="0"/>
          <w:i w:val="0"/>
        </w:rPr>
        <w:t>Evidence from the experiments and comparison with published models · 22 October 2026</w:t>
      </w:r>
    </w:p>
    <w:p>
      <w:pPr>
        <w:spacing w:after="240"/>
        <w:jc w:val="center"/>
      </w:pPr>
      <w:r>
        <w:rPr>
          <w:b w:val="0"/>
          <w:i/>
          <w:sz w:val="22"/>
        </w:rPr>
        <w:t>Companion to Appendix A (Experiment Record), Sections A.9, A.10 and A.14.</w:t>
      </w:r>
    </w:p>
    <w:p>
      <w:pPr>
        <w:pStyle w:val="Heading2"/>
      </w:pPr>
      <w:r>
        <w:t>1. Summary</w:t>
      </w:r>
    </w:p>
    <w:p>
      <w:pPr>
        <w:ind w:left="510" w:hanging="283"/>
      </w:pPr>
      <w:r>
        <w:rPr>
          <w:b w:val="0"/>
          <w:i w:val="0"/>
        </w:rPr>
        <w:t xml:space="preserve">• </w:t>
      </w:r>
      <w:r>
        <w:rPr>
          <w:b/>
          <w:i w:val="0"/>
        </w:rPr>
        <w:t>Result.</w:t>
      </w:r>
      <w:r>
        <w:rPr>
          <w:b w:val="0"/>
          <w:i w:val="0"/>
        </w:rPr>
        <w:t xml:space="preserve"> Within its scope (ages 12–59, evaluated against reliable FibroScan examinations), the Layer 2 model predicts CAP with a held-out test R² of 0.562 (95% CI 0.517–0.601) and 0.593 in repeated cross-validation. Across all ages and examinations it is 0.496.</w:t>
      </w:r>
    </w:p>
    <w:p>
      <w:pPr>
        <w:ind w:left="510" w:hanging="283"/>
      </w:pPr>
      <w:r>
        <w:rPr>
          <w:b w:val="0"/>
          <w:i w:val="0"/>
        </w:rPr>
        <w:t xml:space="preserve">• </w:t>
      </w:r>
      <w:r>
        <w:rPr>
          <w:b/>
          <w:i w:val="0"/>
        </w:rPr>
        <w:t>Why it does not rise further.</w:t>
      </w:r>
      <w:r>
        <w:rPr>
          <w:b w:val="0"/>
          <w:i w:val="0"/>
        </w:rPr>
        <w:t xml:space="preserve"> About half of liver fat is genetic and NHANES has no genotypes; CAP itself is a noisy measure of liver fat; and body size, the main signal, is already fully used. More than 50 experiments each moved R² by at most about 0.01.</w:t>
      </w:r>
    </w:p>
    <w:p>
      <w:pPr>
        <w:ind w:left="510" w:hanging="283"/>
      </w:pPr>
      <w:r>
        <w:rPr>
          <w:b w:val="0"/>
          <w:i w:val="0"/>
        </w:rPr>
        <w:t xml:space="preserve">• </w:t>
      </w:r>
      <w:r>
        <w:rPr>
          <w:b/>
          <w:i w:val="0"/>
        </w:rPr>
        <w:t>How it compares.</w:t>
      </w:r>
      <w:r>
        <w:rPr>
          <w:b w:val="0"/>
          <w:i w:val="0"/>
        </w:rPr>
        <w:t xml:space="preserve"> Published models built on routine data report R² 0.34–0.54 (0.37 in UK Biobank). The in-scope 0.56 is comparable to or above them, although the studies use different reference measures and populations.</w:t>
      </w:r>
    </w:p>
    <w:p>
      <w:pPr>
        <w:ind w:left="510" w:hanging="283"/>
      </w:pPr>
      <w:r>
        <w:rPr>
          <w:b w:val="0"/>
          <w:i w:val="0"/>
        </w:rPr>
        <w:t xml:space="preserve">• </w:t>
      </w:r>
      <w:r>
        <w:rPr>
          <w:b/>
          <w:i w:val="0"/>
        </w:rPr>
        <w:t>What the twin uses.</w:t>
      </w:r>
      <w:r>
        <w:rPr>
          <w:b w:val="0"/>
          <w:i w:val="0"/>
        </w:rPr>
        <w:t xml:space="preserve"> The twin relies on the calibrated steatosis probabilities (ROC-AUC 0.881 for CAP ≥ 248 dB/m within the scope), which outperform the Fatty Liver Index and the Hepatic Steatosis Index, not on the exact CAP value.</w:t>
      </w:r>
    </w:p>
    <w:p>
      <w:pPr>
        <w:pStyle w:val="Heading2"/>
      </w:pPr>
      <w:r>
        <w:t>2. What Is Measured</w:t>
      </w:r>
    </w:p>
    <w:p>
      <w:r>
        <w:rPr>
          <w:b w:val="0"/>
          <w:i w:val="0"/>
        </w:rPr>
        <w:t>R² is the share of the variation in measured CAP (FibroScan controlled attenuation parameter, dB/m) that the model’s predictions explain on participants it was not trained on. The cohort pools the two NHANES FibroScan cycles (2017–March 2020 and 2021–2023).</w:t>
      </w:r>
    </w:p>
    <w:p>
      <w:pPr>
        <w:pStyle w:val="Caption"/>
      </w:pPr>
      <w:r>
        <w:rPr>
          <w:b/>
        </w:rPr>
        <w:t xml:space="preserve">Table 1. </w:t>
      </w:r>
      <w:r>
        <w:t>Data used for the reported R².</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5329"/>
            <w:shd w:val="clear" w:color="auto" w:fill="EDEDED"/>
            <w:tcBorders>
              <w:bottom w:val="single" w:sz="6" w:space="0" w:color="000000"/>
            </w:tcBorders>
          </w:tcPr>
          <w:p>
            <w:pPr>
              <w:spacing w:line="240" w:lineRule="auto" w:after="40" w:before="40"/>
              <w:jc w:val="left"/>
            </w:pPr>
            <w:r>
              <w:rPr>
                <w:b/>
                <w:i w:val="0"/>
                <w:sz w:val="18"/>
              </w:rPr>
              <w:t>Group</w:t>
            </w:r>
          </w:p>
        </w:tc>
        <w:tc>
          <w:tcPr>
            <w:tcW w:type="dxa" w:w="1474"/>
            <w:shd w:val="clear" w:color="auto" w:fill="EDEDED"/>
            <w:tcBorders>
              <w:bottom w:val="single" w:sz="6" w:space="0" w:color="000000"/>
            </w:tcBorders>
          </w:tcPr>
          <w:p>
            <w:pPr>
              <w:spacing w:line="240" w:lineRule="auto" w:after="40" w:before="40"/>
              <w:jc w:val="right"/>
            </w:pPr>
            <w:r>
              <w:rPr>
                <w:b/>
                <w:i w:val="0"/>
                <w:sz w:val="18"/>
              </w:rPr>
              <w:t>Participants</w:t>
            </w:r>
          </w:p>
        </w:tc>
        <w:tc>
          <w:tcPr>
            <w:tcW w:type="dxa" w:w="2211"/>
            <w:shd w:val="clear" w:color="auto" w:fill="EDEDED"/>
            <w:tcBorders>
              <w:bottom w:val="single" w:sz="6" w:space="0" w:color="000000"/>
            </w:tcBorders>
          </w:tcPr>
          <w:p>
            <w:pPr>
              <w:spacing w:line="240" w:lineRule="auto" w:after="40" w:before="40"/>
              <w:jc w:val="left"/>
            </w:pPr>
            <w:r>
              <w:rPr>
                <w:b/>
                <w:i w:val="0"/>
                <w:sz w:val="18"/>
              </w:rPr>
              <w:t>Share</w:t>
            </w:r>
          </w:p>
        </w:tc>
      </w:tr>
      <w:tr>
        <w:trPr>
          <w:cantSplit/>
        </w:trPr>
        <w:tc>
          <w:tcPr>
            <w:tcW w:type="dxa" w:w="5329"/>
          </w:tcPr>
          <w:p>
            <w:pPr>
              <w:spacing w:line="240" w:lineRule="auto" w:after="40" w:before="40"/>
              <w:jc w:val="left"/>
            </w:pPr>
            <w:r>
              <w:rPr>
                <w:b w:val="0"/>
                <w:i w:val="0"/>
                <w:sz w:val="18"/>
              </w:rPr>
              <w:t>Whole cohort (training and test)</w:t>
            </w:r>
          </w:p>
        </w:tc>
        <w:tc>
          <w:tcPr>
            <w:tcW w:type="dxa" w:w="1474"/>
          </w:tcPr>
          <w:p>
            <w:pPr>
              <w:spacing w:line="240" w:lineRule="auto" w:after="40" w:before="40"/>
              <w:jc w:val="right"/>
            </w:pPr>
            <w:r>
              <w:rPr>
                <w:b w:val="0"/>
                <w:i w:val="0"/>
                <w:sz w:val="18"/>
              </w:rPr>
              <w:t>15,300</w:t>
            </w:r>
          </w:p>
        </w:tc>
        <w:tc>
          <w:tcPr>
            <w:tcW w:type="dxa" w:w="2211"/>
          </w:tcPr>
          <w:p>
            <w:pPr>
              <w:spacing w:line="240" w:lineRule="auto" w:after="40" w:before="40"/>
              <w:jc w:val="left"/>
            </w:pPr>
            <w:r>
              <w:rPr>
                <w:b w:val="0"/>
                <w:i w:val="0"/>
                <w:sz w:val="18"/>
              </w:rPr>
              <w:t>100%</w:t>
            </w:r>
          </w:p>
        </w:tc>
      </w:tr>
      <w:tr>
        <w:trPr>
          <w:cantSplit/>
        </w:trPr>
        <w:tc>
          <w:tcPr>
            <w:tcW w:type="dxa" w:w="5329"/>
          </w:tcPr>
          <w:p>
            <w:pPr>
              <w:spacing w:line="240" w:lineRule="auto" w:after="40" w:before="40"/>
              <w:jc w:val="left"/>
            </w:pPr>
            <w:r>
              <w:rPr>
                <w:b w:val="0"/>
                <w:i w:val="0"/>
                <w:sz w:val="18"/>
              </w:rPr>
              <w:t>Held-out test set (never used for training)</w:t>
            </w:r>
          </w:p>
        </w:tc>
        <w:tc>
          <w:tcPr>
            <w:tcW w:type="dxa" w:w="1474"/>
          </w:tcPr>
          <w:p>
            <w:pPr>
              <w:spacing w:line="240" w:lineRule="auto" w:after="40" w:before="40"/>
              <w:jc w:val="right"/>
            </w:pPr>
            <w:r>
              <w:rPr>
                <w:b w:val="0"/>
                <w:i w:val="0"/>
                <w:sz w:val="18"/>
              </w:rPr>
              <w:t>3,060</w:t>
            </w:r>
          </w:p>
        </w:tc>
        <w:tc>
          <w:tcPr>
            <w:tcW w:type="dxa" w:w="2211"/>
          </w:tcPr>
          <w:p>
            <w:pPr>
              <w:spacing w:line="240" w:lineRule="auto" w:after="40" w:before="40"/>
              <w:jc w:val="left"/>
            </w:pPr>
            <w:r>
              <w:rPr>
                <w:b w:val="0"/>
                <w:i w:val="0"/>
                <w:sz w:val="18"/>
              </w:rPr>
              <w:t>20% of the cohort</w:t>
            </w:r>
          </w:p>
        </w:tc>
      </w:tr>
      <w:tr>
        <w:trPr>
          <w:cantSplit/>
        </w:trPr>
        <w:tc>
          <w:tcPr>
            <w:tcW w:type="dxa" w:w="5329"/>
          </w:tcPr>
          <w:p>
            <w:pPr>
              <w:spacing w:line="240" w:lineRule="auto" w:after="40" w:before="40"/>
              <w:jc w:val="left"/>
            </w:pPr>
            <w:r>
              <w:rPr>
                <w:b w:val="0"/>
                <w:i w:val="0"/>
                <w:sz w:val="18"/>
              </w:rPr>
              <w:t>Test set inside the scope (ages 12–59, reliable scan)</w:t>
            </w:r>
          </w:p>
        </w:tc>
        <w:tc>
          <w:tcPr>
            <w:tcW w:type="dxa" w:w="1474"/>
          </w:tcPr>
          <w:p>
            <w:pPr>
              <w:spacing w:line="240" w:lineRule="auto" w:after="40" w:before="40"/>
              <w:jc w:val="right"/>
            </w:pPr>
            <w:r>
              <w:rPr>
                <w:b w:val="0"/>
                <w:i w:val="0"/>
                <w:sz w:val="18"/>
              </w:rPr>
              <w:t>1,236</w:t>
            </w:r>
          </w:p>
        </w:tc>
        <w:tc>
          <w:tcPr>
            <w:tcW w:type="dxa" w:w="2211"/>
          </w:tcPr>
          <w:p>
            <w:pPr>
              <w:spacing w:line="240" w:lineRule="auto" w:after="40" w:before="40"/>
              <w:jc w:val="left"/>
            </w:pPr>
            <w:r>
              <w:rPr>
                <w:b w:val="0"/>
                <w:i w:val="0"/>
                <w:sz w:val="18"/>
              </w:rPr>
              <w:t>40.4% of the test set</w:t>
            </w:r>
          </w:p>
        </w:tc>
      </w:tr>
      <w:tr>
        <w:trPr>
          <w:cantSplit/>
        </w:trPr>
        <w:tc>
          <w:tcPr>
            <w:tcW w:type="dxa" w:w="5329"/>
          </w:tcPr>
          <w:p>
            <w:pPr>
              <w:spacing w:line="240" w:lineRule="auto" w:after="40" w:before="40"/>
              <w:jc w:val="left"/>
            </w:pPr>
            <w:r>
              <w:rPr>
                <w:b w:val="0"/>
                <w:i w:val="0"/>
                <w:sz w:val="18"/>
              </w:rPr>
              <w:t>Test set aged 60 or over (outside the scope)</w:t>
            </w:r>
          </w:p>
        </w:tc>
        <w:tc>
          <w:tcPr>
            <w:tcW w:type="dxa" w:w="1474"/>
          </w:tcPr>
          <w:p>
            <w:pPr>
              <w:spacing w:line="240" w:lineRule="auto" w:after="40" w:before="40"/>
              <w:jc w:val="right"/>
            </w:pPr>
            <w:r>
              <w:rPr>
                <w:b w:val="0"/>
                <w:i w:val="0"/>
                <w:sz w:val="18"/>
              </w:rPr>
              <w:t>1,020</w:t>
            </w:r>
          </w:p>
        </w:tc>
        <w:tc>
          <w:tcPr>
            <w:tcW w:type="dxa" w:w="2211"/>
          </w:tcPr>
          <w:p>
            <w:pPr>
              <w:spacing w:line="240" w:lineRule="auto" w:after="40" w:before="40"/>
              <w:jc w:val="left"/>
            </w:pPr>
            <w:r>
              <w:rPr>
                <w:b w:val="0"/>
                <w:i w:val="0"/>
                <w:sz w:val="18"/>
              </w:rPr>
              <w:t>33.3% of the test set</w:t>
            </w:r>
          </w:p>
        </w:tc>
      </w:tr>
      <w:tr>
        <w:trPr>
          <w:cantSplit/>
        </w:trPr>
        <w:tc>
          <w:tcPr>
            <w:tcW w:type="dxa" w:w="5329"/>
          </w:tcPr>
          <w:p>
            <w:pPr>
              <w:spacing w:line="240" w:lineRule="auto" w:after="40" w:before="40"/>
              <w:jc w:val="left"/>
            </w:pPr>
            <w:r>
              <w:rPr>
                <w:b w:val="0"/>
                <w:i w:val="0"/>
                <w:sz w:val="18"/>
              </w:rPr>
              <w:t>Test set aged 12–59 with an unreliable scan (CAP IQR ≥ 40 dB/m)</w:t>
            </w:r>
          </w:p>
        </w:tc>
        <w:tc>
          <w:tcPr>
            <w:tcW w:type="dxa" w:w="1474"/>
          </w:tcPr>
          <w:p>
            <w:pPr>
              <w:spacing w:line="240" w:lineRule="auto" w:after="40" w:before="40"/>
              <w:jc w:val="right"/>
            </w:pPr>
            <w:r>
              <w:rPr>
                <w:b w:val="0"/>
                <w:i w:val="0"/>
                <w:sz w:val="18"/>
              </w:rPr>
              <w:t>804</w:t>
            </w:r>
          </w:p>
        </w:tc>
        <w:tc>
          <w:tcPr>
            <w:tcW w:type="dxa" w:w="2211"/>
          </w:tcPr>
          <w:p>
            <w:pPr>
              <w:spacing w:line="240" w:lineRule="auto" w:after="40" w:before="40"/>
              <w:jc w:val="left"/>
            </w:pPr>
            <w:r>
              <w:rPr>
                <w:b w:val="0"/>
                <w:i w:val="0"/>
                <w:sz w:val="18"/>
              </w:rPr>
              <w:t>26.3% of the test set</w:t>
            </w:r>
          </w:p>
        </w:tc>
      </w:tr>
      <w:tr>
        <w:trPr>
          <w:cantSplit/>
        </w:trPr>
        <w:tc>
          <w:tcPr>
            <w:tcW w:type="dxa" w:w="5329"/>
          </w:tcPr>
          <w:p>
            <w:pPr>
              <w:spacing w:line="240" w:lineRule="auto" w:after="40" w:before="40"/>
              <w:jc w:val="left"/>
            </w:pPr>
            <w:r>
              <w:rPr>
                <w:b w:val="0"/>
                <w:i w:val="0"/>
                <w:sz w:val="18"/>
              </w:rPr>
              <w:t>Whole cohort aged 60 or over</w:t>
            </w:r>
          </w:p>
        </w:tc>
        <w:tc>
          <w:tcPr>
            <w:tcW w:type="dxa" w:w="1474"/>
          </w:tcPr>
          <w:p>
            <w:pPr>
              <w:spacing w:line="240" w:lineRule="auto" w:after="40" w:before="40"/>
              <w:jc w:val="right"/>
            </w:pPr>
            <w:r>
              <w:rPr>
                <w:b w:val="0"/>
                <w:i w:val="0"/>
                <w:sz w:val="18"/>
              </w:rPr>
              <w:t>5,005</w:t>
            </w:r>
          </w:p>
        </w:tc>
        <w:tc>
          <w:tcPr>
            <w:tcW w:type="dxa" w:w="2211"/>
          </w:tcPr>
          <w:p>
            <w:pPr>
              <w:spacing w:line="240" w:lineRule="auto" w:after="40" w:before="40"/>
              <w:jc w:val="left"/>
            </w:pPr>
            <w:r>
              <w:rPr>
                <w:b w:val="0"/>
                <w:i w:val="0"/>
                <w:sz w:val="18"/>
              </w:rPr>
              <w:t>32.7% of the cohort</w:t>
            </w:r>
          </w:p>
        </w:tc>
      </w:tr>
    </w:tbl>
    <w:p>
      <w:pPr>
        <w:spacing w:after="200" w:line="240" w:lineRule="auto" w:before="80"/>
        <w:jc w:val="left"/>
      </w:pPr>
      <w:r>
        <w:rPr>
          <w:b w:val="0"/>
          <w:i/>
          <w:sz w:val="18"/>
        </w:rPr>
        <w:t>The model is trained on all 12,240 training participants, including those aged 60 or over, because this predicts the scope better than training on ages 12–59 alone (test R² 0.562 against 0.553).</w:t>
      </w:r>
    </w:p>
    <w:p>
      <w:pPr>
        <w:pStyle w:val="Caption"/>
      </w:pPr>
      <w:r>
        <w:rPr>
          <w:b/>
        </w:rPr>
        <w:t xml:space="preserve">Table 2. </w:t>
      </w:r>
      <w:r>
        <w:t>Selected model, held-out test results.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4309"/>
            <w:shd w:val="clear" w:color="auto" w:fill="EDEDED"/>
            <w:tcBorders>
              <w:bottom w:val="single" w:sz="6" w:space="0" w:color="000000"/>
            </w:tcBorders>
          </w:tcPr>
          <w:p>
            <w:pPr>
              <w:spacing w:line="240" w:lineRule="auto" w:after="40" w:before="40"/>
              <w:jc w:val="left"/>
            </w:pPr>
            <w:r>
              <w:rPr>
                <w:b/>
                <w:i w:val="0"/>
                <w:sz w:val="18"/>
              </w:rPr>
              <w:t>Population</w:t>
            </w:r>
          </w:p>
        </w:tc>
        <w:tc>
          <w:tcPr>
            <w:tcW w:type="dxa" w:w="907"/>
            <w:shd w:val="clear" w:color="auto" w:fill="EDEDED"/>
            <w:tcBorders>
              <w:bottom w:val="single" w:sz="6" w:space="0" w:color="000000"/>
            </w:tcBorders>
          </w:tcPr>
          <w:p>
            <w:pPr>
              <w:spacing w:line="240" w:lineRule="auto" w:after="40" w:before="40"/>
              <w:jc w:val="right"/>
            </w:pPr>
            <w:r>
              <w:rPr>
                <w:b/>
                <w:i w:val="0"/>
                <w:sz w:val="18"/>
              </w:rPr>
              <w:t>n</w:t>
            </w:r>
          </w:p>
        </w:tc>
        <w:tc>
          <w:tcPr>
            <w:tcW w:type="dxa" w:w="2041"/>
            <w:shd w:val="clear" w:color="auto" w:fill="EDEDED"/>
            <w:tcBorders>
              <w:bottom w:val="single" w:sz="6" w:space="0" w:color="000000"/>
            </w:tcBorders>
          </w:tcPr>
          <w:p>
            <w:pPr>
              <w:spacing w:line="240" w:lineRule="auto" w:after="40" w:before="40"/>
              <w:jc w:val="right"/>
            </w:pPr>
            <w:r>
              <w:rPr>
                <w:b/>
                <w:i w:val="0"/>
                <w:sz w:val="18"/>
              </w:rPr>
              <w:t>R²</w:t>
            </w:r>
          </w:p>
        </w:tc>
        <w:tc>
          <w:tcPr>
            <w:tcW w:type="dxa" w:w="1757"/>
            <w:shd w:val="clear" w:color="auto" w:fill="EDEDED"/>
            <w:tcBorders>
              <w:bottom w:val="single" w:sz="6" w:space="0" w:color="000000"/>
            </w:tcBorders>
          </w:tcPr>
          <w:p>
            <w:pPr>
              <w:spacing w:line="240" w:lineRule="auto" w:after="40" w:before="40"/>
              <w:jc w:val="right"/>
            </w:pPr>
            <w:r>
              <w:rPr>
                <w:b/>
                <w:i w:val="0"/>
                <w:sz w:val="18"/>
              </w:rPr>
              <w:t>RMSE (dB/m)</w:t>
            </w:r>
          </w:p>
        </w:tc>
      </w:tr>
      <w:tr>
        <w:trPr>
          <w:cantSplit/>
        </w:trPr>
        <w:tc>
          <w:tcPr>
            <w:tcW w:type="dxa" w:w="4309"/>
          </w:tcPr>
          <w:p>
            <w:pPr>
              <w:spacing w:line="240" w:lineRule="auto" w:after="40" w:before="40"/>
              <w:jc w:val="left"/>
            </w:pPr>
            <w:r>
              <w:rPr>
                <w:b w:val="0"/>
                <w:i w:val="0"/>
                <w:sz w:val="18"/>
              </w:rPr>
              <w:t>Scope: ages 12–59, reliable reference</w:t>
            </w:r>
          </w:p>
        </w:tc>
        <w:tc>
          <w:tcPr>
            <w:tcW w:type="dxa" w:w="907"/>
          </w:tcPr>
          <w:p>
            <w:pPr>
              <w:spacing w:line="240" w:lineRule="auto" w:after="40" w:before="40"/>
              <w:jc w:val="right"/>
            </w:pPr>
            <w:r>
              <w:rPr>
                <w:b w:val="0"/>
                <w:i w:val="0"/>
                <w:sz w:val="18"/>
              </w:rPr>
              <w:t>1,236</w:t>
            </w:r>
          </w:p>
        </w:tc>
        <w:tc>
          <w:tcPr>
            <w:tcW w:type="dxa" w:w="2041"/>
          </w:tcPr>
          <w:p>
            <w:pPr>
              <w:spacing w:line="240" w:lineRule="auto" w:after="40" w:before="40"/>
              <w:jc w:val="right"/>
            </w:pPr>
            <w:r>
              <w:rPr>
                <w:b w:val="0"/>
                <w:i w:val="0"/>
                <w:sz w:val="18"/>
              </w:rPr>
              <w:t>0.562 (0.517–0.601)</w:t>
            </w:r>
          </w:p>
        </w:tc>
        <w:tc>
          <w:tcPr>
            <w:tcW w:type="dxa" w:w="1757"/>
          </w:tcPr>
          <w:p>
            <w:pPr>
              <w:spacing w:line="240" w:lineRule="auto" w:after="40" w:before="40"/>
              <w:jc w:val="right"/>
            </w:pPr>
            <w:r>
              <w:rPr>
                <w:b w:val="0"/>
                <w:i w:val="0"/>
                <w:sz w:val="18"/>
              </w:rPr>
              <w:t>41.4</w:t>
            </w:r>
          </w:p>
        </w:tc>
      </w:tr>
      <w:tr>
        <w:trPr>
          <w:cantSplit/>
        </w:trPr>
        <w:tc>
          <w:tcPr>
            <w:tcW w:type="dxa" w:w="4309"/>
          </w:tcPr>
          <w:p>
            <w:pPr>
              <w:spacing w:line="240" w:lineRule="auto" w:after="40" w:before="40"/>
              <w:jc w:val="left"/>
            </w:pPr>
            <w:r>
              <w:rPr>
                <w:b w:val="0"/>
                <w:i w:val="0"/>
                <w:sz w:val="18"/>
              </w:rPr>
              <w:t>Scope, repeated five-fold cross-validation (all 15,300)</w:t>
            </w:r>
          </w:p>
        </w:tc>
        <w:tc>
          <w:tcPr>
            <w:tcW w:type="dxa" w:w="907"/>
          </w:tcPr>
          <w:p>
            <w:pPr>
              <w:spacing w:line="240" w:lineRule="auto" w:after="40" w:before="40"/>
              <w:jc w:val="right"/>
            </w:pPr>
            <w:r>
              <w:rPr>
                <w:b w:val="0"/>
                <w:i w:val="0"/>
                <w:sz w:val="18"/>
              </w:rPr>
              <w:t>–</w:t>
            </w:r>
          </w:p>
        </w:tc>
        <w:tc>
          <w:tcPr>
            <w:tcW w:type="dxa" w:w="2041"/>
          </w:tcPr>
          <w:p>
            <w:pPr>
              <w:spacing w:line="240" w:lineRule="auto" w:after="40" w:before="40"/>
              <w:jc w:val="right"/>
            </w:pPr>
            <w:r>
              <w:rPr>
                <w:b w:val="0"/>
                <w:i w:val="0"/>
                <w:sz w:val="18"/>
              </w:rPr>
              <w:t>0.593</w:t>
            </w:r>
          </w:p>
        </w:tc>
        <w:tc>
          <w:tcPr>
            <w:tcW w:type="dxa" w:w="1757"/>
          </w:tcPr>
          <w:p>
            <w:pPr>
              <w:spacing w:line="240" w:lineRule="auto" w:after="40" w:before="40"/>
              <w:jc w:val="right"/>
            </w:pPr>
            <w:r>
              <w:rPr>
                <w:b w:val="0"/>
                <w:i w:val="0"/>
                <w:sz w:val="18"/>
              </w:rPr>
              <w:t>41.4</w:t>
            </w:r>
          </w:p>
        </w:tc>
      </w:tr>
      <w:tr>
        <w:trPr>
          <w:cantSplit/>
        </w:trPr>
        <w:tc>
          <w:tcPr>
            <w:tcW w:type="dxa" w:w="4309"/>
          </w:tcPr>
          <w:p>
            <w:pPr>
              <w:spacing w:line="240" w:lineRule="auto" w:after="40" w:before="40"/>
              <w:jc w:val="left"/>
            </w:pPr>
            <w:r>
              <w:rPr>
                <w:b w:val="0"/>
                <w:i w:val="0"/>
                <w:sz w:val="18"/>
              </w:rPr>
              <w:t>Ages 12–59, all examinations</w:t>
            </w:r>
          </w:p>
        </w:tc>
        <w:tc>
          <w:tcPr>
            <w:tcW w:type="dxa" w:w="907"/>
          </w:tcPr>
          <w:p>
            <w:pPr>
              <w:spacing w:line="240" w:lineRule="auto" w:after="40" w:before="40"/>
              <w:jc w:val="right"/>
            </w:pPr>
            <w:r>
              <w:rPr>
                <w:b w:val="0"/>
                <w:i w:val="0"/>
                <w:sz w:val="18"/>
              </w:rPr>
              <w:t>2,040</w:t>
            </w:r>
          </w:p>
        </w:tc>
        <w:tc>
          <w:tcPr>
            <w:tcW w:type="dxa" w:w="2041"/>
          </w:tcPr>
          <w:p>
            <w:pPr>
              <w:spacing w:line="240" w:lineRule="auto" w:after="40" w:before="40"/>
              <w:jc w:val="right"/>
            </w:pPr>
            <w:r>
              <w:rPr>
                <w:b w:val="0"/>
                <w:i w:val="0"/>
                <w:sz w:val="18"/>
              </w:rPr>
              <w:t>0.515</w:t>
            </w:r>
          </w:p>
        </w:tc>
        <w:tc>
          <w:tcPr>
            <w:tcW w:type="dxa" w:w="1757"/>
          </w:tcPr>
          <w:p>
            <w:pPr>
              <w:spacing w:line="240" w:lineRule="auto" w:after="40" w:before="40"/>
              <w:jc w:val="right"/>
            </w:pPr>
            <w:r>
              <w:rPr>
                <w:b w:val="0"/>
                <w:i w:val="0"/>
                <w:sz w:val="18"/>
              </w:rPr>
              <w:t>–</w:t>
            </w:r>
          </w:p>
        </w:tc>
      </w:tr>
      <w:tr>
        <w:trPr>
          <w:cantSplit/>
        </w:trPr>
        <w:tc>
          <w:tcPr>
            <w:tcW w:type="dxa" w:w="4309"/>
          </w:tcPr>
          <w:p>
            <w:pPr>
              <w:spacing w:line="240" w:lineRule="auto" w:after="40" w:before="40"/>
              <w:jc w:val="left"/>
            </w:pPr>
            <w:r>
              <w:rPr>
                <w:b w:val="0"/>
                <w:i w:val="0"/>
                <w:sz w:val="18"/>
              </w:rPr>
              <w:t>All participants, including ages 60+</w:t>
            </w:r>
          </w:p>
        </w:tc>
        <w:tc>
          <w:tcPr>
            <w:tcW w:type="dxa" w:w="907"/>
          </w:tcPr>
          <w:p>
            <w:pPr>
              <w:spacing w:line="240" w:lineRule="auto" w:after="40" w:before="40"/>
              <w:jc w:val="right"/>
            </w:pPr>
            <w:r>
              <w:rPr>
                <w:b w:val="0"/>
                <w:i w:val="0"/>
                <w:sz w:val="18"/>
              </w:rPr>
              <w:t>3,060</w:t>
            </w:r>
          </w:p>
        </w:tc>
        <w:tc>
          <w:tcPr>
            <w:tcW w:type="dxa" w:w="2041"/>
          </w:tcPr>
          <w:p>
            <w:pPr>
              <w:spacing w:line="240" w:lineRule="auto" w:after="40" w:before="40"/>
              <w:jc w:val="right"/>
            </w:pPr>
            <w:r>
              <w:rPr>
                <w:b w:val="0"/>
                <w:i w:val="0"/>
                <w:sz w:val="18"/>
              </w:rPr>
              <w:t>0.496 (0.465–0.524)</w:t>
            </w:r>
          </w:p>
        </w:tc>
        <w:tc>
          <w:tcPr>
            <w:tcW w:type="dxa" w:w="1757"/>
          </w:tcPr>
          <w:p>
            <w:pPr>
              <w:spacing w:line="240" w:lineRule="auto" w:after="40" w:before="40"/>
              <w:jc w:val="right"/>
            </w:pPr>
            <w:r>
              <w:rPr>
                <w:b w:val="0"/>
                <w:i w:val="0"/>
                <w:sz w:val="18"/>
              </w:rPr>
              <w:t>43.5</w:t>
            </w:r>
          </w:p>
        </w:tc>
      </w:tr>
    </w:tbl>
    <w:p>
      <w:pPr>
        <w:spacing w:after="40"/>
      </w:pPr>
    </w:p>
    <w:p>
      <w:pPr>
        <w:pStyle w:val="Heading2"/>
      </w:pPr>
      <w:r>
        <w:t>3. Why R² Cannot Be Raised Much Further</w:t>
      </w:r>
    </w:p>
    <w:p>
      <w:pPr>
        <w:pStyle w:val="Heading3"/>
      </w:pPr>
      <w:r>
        <w:t>3.1 Half of liver fat is genetic, and NHANES has no genes</w:t>
      </w:r>
    </w:p>
    <w:p>
      <w:r>
        <w:rPr>
          <w:b w:val="0"/>
          <w:i w:val="0"/>
        </w:rPr>
        <w:t>In a prospective twin study, the heritability of hepatic steatosis measured by MRI-PDFF was 0.52 (95% CI 0.31–0.73) after adjustment for age, sex and ethnicity (Loomba et al., 2015). Variants such as PNPLA3 I148M change liver fat substantially at the same body size. NHANES 2017–2023 contains no genotypes, and lifelong diet, accurate alcohol history and muscle mass are measured poorly or not at all. Two people with the same weight, waist and blood tests can therefore have very different livers, and no model built on routine measurements can separate them.</w:t>
      </w:r>
    </w:p>
    <w:p>
      <w:pPr>
        <w:pStyle w:val="Heading3"/>
      </w:pPr>
      <w:r>
        <w:t>3.2 CAP is itself an imperfect measure of liver fat</w:t>
      </w:r>
    </w:p>
    <w:p>
      <w:r>
        <w:rPr>
          <w:b w:val="0"/>
          <w:i w:val="0"/>
        </w:rPr>
        <w:t>The model is scored against a single CAP reading, which contains measurement variation that no patient characteristic can predict.</w:t>
      </w:r>
    </w:p>
    <w:p>
      <w:pPr>
        <w:pStyle w:val="Caption"/>
      </w:pPr>
      <w:r>
        <w:rPr>
          <w:b/>
        </w:rPr>
        <w:t xml:space="preserve">Table 3. </w:t>
      </w:r>
      <w:r>
        <w:t>Agreement of CAP with itself and with the reference measure of liver fat.</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4082"/>
            <w:shd w:val="clear" w:color="auto" w:fill="EDEDED"/>
            <w:tcBorders>
              <w:bottom w:val="single" w:sz="6" w:space="0" w:color="000000"/>
            </w:tcBorders>
          </w:tcPr>
          <w:p>
            <w:pPr>
              <w:spacing w:line="240" w:lineRule="auto" w:after="40" w:before="40"/>
              <w:jc w:val="left"/>
            </w:pPr>
            <w:r>
              <w:rPr>
                <w:b/>
                <w:i w:val="0"/>
                <w:sz w:val="18"/>
              </w:rPr>
              <w:t>Measure</w:t>
            </w:r>
          </w:p>
        </w:tc>
        <w:tc>
          <w:tcPr>
            <w:tcW w:type="dxa" w:w="2494"/>
            <w:shd w:val="clear" w:color="auto" w:fill="EDEDED"/>
            <w:tcBorders>
              <w:bottom w:val="single" w:sz="6" w:space="0" w:color="000000"/>
            </w:tcBorders>
          </w:tcPr>
          <w:p>
            <w:pPr>
              <w:spacing w:line="240" w:lineRule="auto" w:after="40" w:before="40"/>
              <w:jc w:val="left"/>
            </w:pPr>
            <w:r>
              <w:rPr>
                <w:b/>
                <w:i w:val="0"/>
                <w:sz w:val="18"/>
              </w:rPr>
              <w:t>Value</w:t>
            </w:r>
          </w:p>
        </w:tc>
        <w:tc>
          <w:tcPr>
            <w:tcW w:type="dxa" w:w="2438"/>
            <w:shd w:val="clear" w:color="auto" w:fill="EDEDED"/>
            <w:tcBorders>
              <w:bottom w:val="single" w:sz="6" w:space="0" w:color="000000"/>
            </w:tcBorders>
          </w:tcPr>
          <w:p>
            <w:pPr>
              <w:spacing w:line="240" w:lineRule="auto" w:after="40" w:before="40"/>
              <w:jc w:val="left"/>
            </w:pPr>
            <w:r>
              <w:rPr>
                <w:b/>
                <w:i w:val="0"/>
                <w:sz w:val="18"/>
              </w:rPr>
              <w:t>Source</w:t>
            </w:r>
          </w:p>
        </w:tc>
      </w:tr>
      <w:tr>
        <w:trPr>
          <w:cantSplit/>
        </w:trPr>
        <w:tc>
          <w:tcPr>
            <w:tcW w:type="dxa" w:w="4082"/>
          </w:tcPr>
          <w:p>
            <w:pPr>
              <w:spacing w:line="240" w:lineRule="auto" w:after="40" w:before="40"/>
              <w:jc w:val="left"/>
            </w:pPr>
            <w:r>
              <w:rPr>
                <w:b w:val="0"/>
                <w:i w:val="0"/>
                <w:sz w:val="18"/>
              </w:rPr>
              <w:t>Two operators scanning the same person</w:t>
            </w:r>
          </w:p>
        </w:tc>
        <w:tc>
          <w:tcPr>
            <w:tcW w:type="dxa" w:w="2494"/>
          </w:tcPr>
          <w:p>
            <w:pPr>
              <w:spacing w:line="240" w:lineRule="auto" w:after="40" w:before="40"/>
              <w:jc w:val="left"/>
            </w:pPr>
            <w:r>
              <w:rPr>
                <w:b w:val="0"/>
                <w:i w:val="0"/>
                <w:sz w:val="18"/>
              </w:rPr>
              <w:t>Concordance 0.82</w:t>
            </w:r>
          </w:p>
        </w:tc>
        <w:tc>
          <w:tcPr>
            <w:tcW w:type="dxa" w:w="2438"/>
          </w:tcPr>
          <w:p>
            <w:pPr>
              <w:spacing w:line="240" w:lineRule="auto" w:after="40" w:before="40"/>
              <w:jc w:val="left"/>
            </w:pPr>
            <w:r>
              <w:rPr>
                <w:b w:val="0"/>
                <w:i w:val="0"/>
                <w:sz w:val="18"/>
              </w:rPr>
              <w:t>Ferraioli (2021), review</w:t>
            </w:r>
          </w:p>
        </w:tc>
      </w:tr>
      <w:tr>
        <w:trPr>
          <w:cantSplit/>
        </w:trPr>
        <w:tc>
          <w:tcPr>
            <w:tcW w:type="dxa" w:w="4082"/>
          </w:tcPr>
          <w:p>
            <w:pPr>
              <w:spacing w:line="240" w:lineRule="auto" w:after="40" w:before="40"/>
              <w:jc w:val="left"/>
            </w:pPr>
            <w:r>
              <w:rPr>
                <w:b w:val="0"/>
                <w:i w:val="0"/>
                <w:sz w:val="18"/>
              </w:rPr>
              <w:t>CAP against MRI-PDFF, adults with NAFLD (n = 65)</w:t>
            </w:r>
          </w:p>
        </w:tc>
        <w:tc>
          <w:tcPr>
            <w:tcW w:type="dxa" w:w="2494"/>
          </w:tcPr>
          <w:p>
            <w:pPr>
              <w:spacing w:line="240" w:lineRule="auto" w:after="40" w:before="40"/>
              <w:jc w:val="left"/>
            </w:pPr>
            <w:r>
              <w:rPr>
                <w:b w:val="0"/>
                <w:i w:val="0"/>
                <w:sz w:val="18"/>
              </w:rPr>
              <w:t>r = 0.66 (shared variance ≈ 44%)</w:t>
            </w:r>
          </w:p>
        </w:tc>
        <w:tc>
          <w:tcPr>
            <w:tcW w:type="dxa" w:w="2438"/>
          </w:tcPr>
          <w:p>
            <w:pPr>
              <w:spacing w:line="240" w:lineRule="auto" w:after="40" w:before="40"/>
              <w:jc w:val="left"/>
            </w:pPr>
            <w:r>
              <w:rPr>
                <w:b w:val="0"/>
                <w:i w:val="0"/>
                <w:sz w:val="18"/>
              </w:rPr>
              <w:t>Ahn et al. (2018)</w:t>
            </w:r>
          </w:p>
        </w:tc>
      </w:tr>
      <w:tr>
        <w:trPr>
          <w:cantSplit/>
        </w:trPr>
        <w:tc>
          <w:tcPr>
            <w:tcW w:type="dxa" w:w="4082"/>
          </w:tcPr>
          <w:p>
            <w:pPr>
              <w:spacing w:line="240" w:lineRule="auto" w:after="40" w:before="40"/>
              <w:jc w:val="left"/>
            </w:pPr>
            <w:r>
              <w:rPr>
                <w:b w:val="0"/>
                <w:i w:val="0"/>
                <w:sz w:val="18"/>
              </w:rPr>
              <w:t>Noise within one examination in this cohort</w:t>
            </w:r>
          </w:p>
        </w:tc>
        <w:tc>
          <w:tcPr>
            <w:tcW w:type="dxa" w:w="2494"/>
          </w:tcPr>
          <w:p>
            <w:pPr>
              <w:spacing w:line="240" w:lineRule="auto" w:after="40" w:before="40"/>
              <w:jc w:val="left"/>
            </w:pPr>
            <w:r>
              <w:rPr>
                <w:b w:val="0"/>
                <w:i w:val="0"/>
                <w:sz w:val="18"/>
              </w:rPr>
              <w:t>≈ 4% of CAP variance</w:t>
            </w:r>
          </w:p>
        </w:tc>
        <w:tc>
          <w:tcPr>
            <w:tcW w:type="dxa" w:w="2438"/>
          </w:tcPr>
          <w:p>
            <w:pPr>
              <w:spacing w:line="240" w:lineRule="auto" w:after="40" w:before="40"/>
              <w:jc w:val="left"/>
            </w:pPr>
            <w:r>
              <w:rPr>
                <w:b w:val="0"/>
                <w:i w:val="0"/>
                <w:sz w:val="18"/>
              </w:rPr>
              <w:t>Appendix A, E33</w:t>
            </w:r>
          </w:p>
        </w:tc>
      </w:tr>
    </w:tbl>
    <w:p>
      <w:pPr>
        <w:spacing w:after="40"/>
      </w:pPr>
    </w:p>
    <w:p>
      <w:r>
        <w:rPr>
          <w:b w:val="0"/>
          <w:i w:val="0"/>
        </w:rPr>
        <w:t>Even a model that knew each patient’s true liver state would be compared with one noisy reading. With a reproducibility of about 0.82, the achievable R² is of the order of 0.8, not 1.</w:t>
      </w:r>
    </w:p>
    <w:p>
      <w:pPr>
        <w:pStyle w:val="Heading3"/>
      </w:pPr>
      <w:r>
        <w:t>3.3 Body size carries most of the signal, and it is already used</w:t>
      </w:r>
    </w:p>
    <w:p>
      <w:r>
        <w:rPr>
          <w:b w:val="0"/>
          <w:i w:val="0"/>
        </w:rPr>
        <w:t>Waist circumference, waist-to-height ratio and the other body-size measures account for 40–50% of the model’s feature importance in every age group. Once they are in the model, further routine variables repeat the same information.</w:t>
      </w:r>
    </w:p>
    <w:p>
      <w:pPr>
        <w:pStyle w:val="Caption"/>
      </w:pPr>
      <w:r>
        <w:rPr>
          <w:b/>
        </w:rPr>
        <w:t xml:space="preserve">Table 4. </w:t>
      </w:r>
      <w:r>
        <w:t>Experiments and their effect on R² (details in Appendix A).</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4513"/>
        <w:gridCol w:w="4513"/>
      </w:tblGrid>
      <w:tr>
        <w:trPr>
          <w:tblHeader/>
          <w:cantSplit/>
        </w:trPr>
        <w:tc>
          <w:tcPr>
            <w:tcW w:type="dxa" w:w="6463"/>
            <w:shd w:val="clear" w:color="auto" w:fill="EDEDED"/>
            <w:tcBorders>
              <w:bottom w:val="single" w:sz="6" w:space="0" w:color="000000"/>
            </w:tcBorders>
          </w:tcPr>
          <w:p>
            <w:pPr>
              <w:spacing w:line="240" w:lineRule="auto" w:after="40" w:before="40"/>
              <w:jc w:val="left"/>
            </w:pPr>
            <w:r>
              <w:rPr>
                <w:b/>
                <w:i w:val="0"/>
                <w:sz w:val="18"/>
              </w:rPr>
              <w:t>Change</w:t>
            </w:r>
          </w:p>
        </w:tc>
        <w:tc>
          <w:tcPr>
            <w:tcW w:type="dxa" w:w="2551"/>
            <w:shd w:val="clear" w:color="auto" w:fill="EDEDED"/>
            <w:tcBorders>
              <w:bottom w:val="single" w:sz="6" w:space="0" w:color="000000"/>
            </w:tcBorders>
          </w:tcPr>
          <w:p>
            <w:pPr>
              <w:spacing w:line="240" w:lineRule="auto" w:after="40" w:before="40"/>
              <w:jc w:val="left"/>
            </w:pPr>
            <w:r>
              <w:rPr>
                <w:b/>
                <w:i w:val="0"/>
                <w:sz w:val="18"/>
              </w:rPr>
              <w:t>Effect on R²</w:t>
            </w:r>
          </w:p>
        </w:tc>
      </w:tr>
      <w:tr>
        <w:trPr>
          <w:cantSplit/>
        </w:trPr>
        <w:tc>
          <w:tcPr>
            <w:tcW w:type="dxa" w:w="6463"/>
          </w:tcPr>
          <w:p>
            <w:pPr>
              <w:spacing w:line="240" w:lineRule="auto" w:after="40" w:before="40"/>
              <w:jc w:val="left"/>
            </w:pPr>
            <w:r>
              <w:rPr>
                <w:b w:val="0"/>
                <w:i w:val="0"/>
                <w:sz w:val="18"/>
              </w:rPr>
              <w:t>Other algorithms: linear regression, random forest, Extra Trees, CatBoost, neural network, stacking</w:t>
            </w:r>
          </w:p>
        </w:tc>
        <w:tc>
          <w:tcPr>
            <w:tcW w:type="dxa" w:w="2551"/>
          </w:tcPr>
          <w:p>
            <w:pPr>
              <w:spacing w:line="240" w:lineRule="auto" w:after="40" w:before="40"/>
              <w:jc w:val="left"/>
            </w:pPr>
            <w:r>
              <w:rPr>
                <w:b w:val="0"/>
                <w:i w:val="0"/>
                <w:sz w:val="18"/>
              </w:rPr>
              <w:t>All 0.45–0.52 on the same inputs</w:t>
            </w:r>
          </w:p>
        </w:tc>
      </w:tr>
      <w:tr>
        <w:trPr>
          <w:cantSplit/>
        </w:trPr>
        <w:tc>
          <w:tcPr>
            <w:tcW w:type="dxa" w:w="6463"/>
          </w:tcPr>
          <w:p>
            <w:pPr>
              <w:spacing w:line="240" w:lineRule="auto" w:after="40" w:before="40"/>
              <w:jc w:val="left"/>
            </w:pPr>
            <w:r>
              <w:rPr>
                <w:b w:val="0"/>
                <w:i w:val="0"/>
                <w:sz w:val="18"/>
              </w:rPr>
              <w:t>About 80 further NHANES variables (insulin, CRP, blood count, blood pressure, questionnaires)</w:t>
            </w:r>
          </w:p>
        </w:tc>
        <w:tc>
          <w:tcPr>
            <w:tcW w:type="dxa" w:w="2551"/>
          </w:tcPr>
          <w:p>
            <w:pPr>
              <w:spacing w:line="240" w:lineRule="auto" w:after="40" w:before="40"/>
              <w:jc w:val="left"/>
            </w:pPr>
            <w:r>
              <w:rPr>
                <w:b w:val="0"/>
                <w:i w:val="0"/>
                <w:sz w:val="18"/>
              </w:rPr>
              <w:t>+0.010</w:t>
            </w:r>
          </w:p>
        </w:tc>
      </w:tr>
      <w:tr>
        <w:trPr>
          <w:cantSplit/>
        </w:trPr>
        <w:tc>
          <w:tcPr>
            <w:tcW w:type="dxa" w:w="6463"/>
          </w:tcPr>
          <w:p>
            <w:pPr>
              <w:spacing w:line="240" w:lineRule="auto" w:after="40" w:before="40"/>
              <w:jc w:val="left"/>
            </w:pPr>
            <w:r>
              <w:rPr>
                <w:b w:val="0"/>
                <w:i w:val="0"/>
                <w:sz w:val="18"/>
              </w:rPr>
              <w:t>Engineered features, selection and ablation</w:t>
            </w:r>
          </w:p>
        </w:tc>
        <w:tc>
          <w:tcPr>
            <w:tcW w:type="dxa" w:w="2551"/>
          </w:tcPr>
          <w:p>
            <w:pPr>
              <w:spacing w:line="240" w:lineRule="auto" w:after="40" w:before="40"/>
              <w:jc w:val="left"/>
            </w:pPr>
            <w:r>
              <w:rPr>
                <w:b w:val="0"/>
                <w:i w:val="0"/>
                <w:sz w:val="18"/>
              </w:rPr>
              <w:t>≤ 0.003</w:t>
            </w:r>
          </w:p>
        </w:tc>
      </w:tr>
      <w:tr>
        <w:trPr>
          <w:cantSplit/>
        </w:trPr>
        <w:tc>
          <w:tcPr>
            <w:tcW w:type="dxa" w:w="6463"/>
          </w:tcPr>
          <w:p>
            <w:pPr>
              <w:spacing w:line="240" w:lineRule="auto" w:after="40" w:before="40"/>
              <w:jc w:val="left"/>
            </w:pPr>
            <w:r>
              <w:rPr>
                <w:b w:val="0"/>
                <w:i w:val="0"/>
                <w:sz w:val="18"/>
              </w:rPr>
              <w:t>More participants (learning curve; adding the 2021–2023 cycle)</w:t>
            </w:r>
          </w:p>
        </w:tc>
        <w:tc>
          <w:tcPr>
            <w:tcW w:type="dxa" w:w="2551"/>
          </w:tcPr>
          <w:p>
            <w:pPr>
              <w:spacing w:line="240" w:lineRule="auto" w:after="40" w:before="40"/>
              <w:jc w:val="left"/>
            </w:pPr>
            <w:r>
              <w:rPr>
                <w:b w:val="0"/>
                <w:i w:val="0"/>
                <w:sz w:val="18"/>
              </w:rPr>
              <w:t>Flat; +0.004</w:t>
            </w:r>
          </w:p>
        </w:tc>
      </w:tr>
      <w:tr>
        <w:trPr>
          <w:cantSplit/>
        </w:trPr>
        <w:tc>
          <w:tcPr>
            <w:tcW w:type="dxa" w:w="6463"/>
          </w:tcPr>
          <w:p>
            <w:pPr>
              <w:spacing w:line="240" w:lineRule="auto" w:after="40" w:before="40"/>
              <w:jc w:val="left"/>
            </w:pPr>
            <w:r>
              <w:rPr>
                <w:b w:val="0"/>
                <w:i w:val="0"/>
                <w:sz w:val="18"/>
              </w:rPr>
              <w:t>DXA visceral fat (imaging, not routine)</w:t>
            </w:r>
          </w:p>
        </w:tc>
        <w:tc>
          <w:tcPr>
            <w:tcW w:type="dxa" w:w="2551"/>
          </w:tcPr>
          <w:p>
            <w:pPr>
              <w:spacing w:line="240" w:lineRule="auto" w:after="40" w:before="40"/>
              <w:jc w:val="left"/>
            </w:pPr>
            <w:r>
              <w:rPr>
                <w:b w:val="0"/>
                <w:i w:val="0"/>
                <w:sz w:val="18"/>
              </w:rPr>
              <w:t>+0.007</w:t>
            </w:r>
          </w:p>
        </w:tc>
      </w:tr>
      <w:tr>
        <w:trPr>
          <w:cantSplit/>
        </w:trPr>
        <w:tc>
          <w:tcPr>
            <w:tcW w:type="dxa" w:w="6463"/>
          </w:tcPr>
          <w:p>
            <w:pPr>
              <w:spacing w:line="240" w:lineRule="auto" w:after="40" w:before="40"/>
              <w:jc w:val="left"/>
            </w:pPr>
            <w:r>
              <w:rPr>
                <w:b w:val="0"/>
                <w:i w:val="0"/>
                <w:sz w:val="18"/>
              </w:rPr>
              <w:t>Liver stiffness and probe type from the FibroScan itself</w:t>
            </w:r>
          </w:p>
        </w:tc>
        <w:tc>
          <w:tcPr>
            <w:tcW w:type="dxa" w:w="2551"/>
          </w:tcPr>
          <w:p>
            <w:pPr>
              <w:spacing w:line="240" w:lineRule="auto" w:after="40" w:before="40"/>
              <w:jc w:val="left"/>
            </w:pPr>
            <w:r>
              <w:rPr>
                <w:b w:val="0"/>
                <w:i w:val="0"/>
                <w:sz w:val="18"/>
              </w:rPr>
              <w:t>Reaches only 0.53</w:t>
            </w:r>
          </w:p>
        </w:tc>
      </w:tr>
      <w:tr>
        <w:trPr>
          <w:cantSplit/>
        </w:trPr>
        <w:tc>
          <w:tcPr>
            <w:tcW w:type="dxa" w:w="6463"/>
          </w:tcPr>
          <w:p>
            <w:pPr>
              <w:spacing w:line="240" w:lineRule="auto" w:after="40" w:before="40"/>
              <w:jc w:val="left"/>
            </w:pPr>
            <w:r>
              <w:rPr>
                <w:b w:val="0"/>
                <w:i w:val="0"/>
                <w:sz w:val="18"/>
              </w:rPr>
              <w:t>Within the scope: diet, medical history, imputation, loss functions, tuning, ensembles, training only on the scope group</w:t>
            </w:r>
          </w:p>
        </w:tc>
        <w:tc>
          <w:tcPr>
            <w:tcW w:type="dxa" w:w="2551"/>
          </w:tcPr>
          <w:p>
            <w:pPr>
              <w:spacing w:line="240" w:lineRule="auto" w:after="40" w:before="40"/>
              <w:jc w:val="left"/>
            </w:pPr>
            <w:r>
              <w:rPr>
                <w:b w:val="0"/>
                <w:i w:val="0"/>
                <w:sz w:val="18"/>
              </w:rPr>
              <w:t>0.547–0.562 on the test set</w:t>
            </w:r>
          </w:p>
        </w:tc>
      </w:tr>
    </w:tbl>
    <w:p>
      <w:pPr>
        <w:spacing w:after="40"/>
      </w:pPr>
    </w:p>
    <w:p>
      <w:pPr>
        <w:pStyle w:val="Heading3"/>
      </w:pPr>
      <w:r>
        <w:t>3.4 The realistic ceiling</w:t>
      </w:r>
    </w:p>
    <w:p>
      <w:r>
        <w:rPr>
          <w:b w:val="0"/>
          <w:i w:val="0"/>
        </w:rPr>
        <w:t>CAP’s own measurement variation caps any model at roughly 0.8. The heritable share of liver fat and the other unmeasured factors lower the attainable value further, to around 0.6 for routine data. The in-scope test R² of 0.562 (0.593 in cross-validation) is close to that ceiling, so the plateau is a property of the data rather than of the model.</w:t>
      </w:r>
    </w:p>
    <w:p>
      <w:pPr>
        <w:pStyle w:val="Heading2"/>
      </w:pPr>
      <w:r>
        <w:t>4. Published R² Values</w:t>
      </w:r>
    </w:p>
    <w:p>
      <w:r>
        <w:rPr>
          <w:b w:val="0"/>
          <w:i w:val="0"/>
        </w:rPr>
        <w:t>Published models fall into two groups: those predicting a continuous liver-fat value, which report R², and those classifying steatosis, which report AUC. No NHANES study reporting R² for CAP was found.</w:t>
      </w:r>
    </w:p>
    <w:p>
      <w:pPr>
        <w:pStyle w:val="Caption"/>
      </w:pPr>
      <w:r>
        <w:rPr>
          <w:b/>
        </w:rPr>
        <w:t xml:space="preserve">Table 5. </w:t>
      </w:r>
      <w:r>
        <w:t>Continuous liver-fat prediction.</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2211"/>
            <w:shd w:val="clear" w:color="auto" w:fill="EDEDED"/>
            <w:tcBorders>
              <w:bottom w:val="single" w:sz="6" w:space="0" w:color="000000"/>
            </w:tcBorders>
          </w:tcPr>
          <w:p>
            <w:pPr>
              <w:spacing w:line="240" w:lineRule="auto" w:after="40" w:before="40"/>
              <w:jc w:val="left"/>
            </w:pPr>
            <w:r>
              <w:rPr>
                <w:b/>
                <w:i w:val="0"/>
                <w:sz w:val="17"/>
              </w:rPr>
              <w:t>Study</w:t>
            </w:r>
          </w:p>
        </w:tc>
        <w:tc>
          <w:tcPr>
            <w:tcW w:type="dxa" w:w="1928"/>
            <w:shd w:val="clear" w:color="auto" w:fill="EDEDED"/>
            <w:tcBorders>
              <w:bottom w:val="single" w:sz="6" w:space="0" w:color="000000"/>
            </w:tcBorders>
          </w:tcPr>
          <w:p>
            <w:pPr>
              <w:spacing w:line="240" w:lineRule="auto" w:after="40" w:before="40"/>
              <w:jc w:val="left"/>
            </w:pPr>
            <w:r>
              <w:rPr>
                <w:b/>
                <w:i w:val="0"/>
                <w:sz w:val="17"/>
              </w:rPr>
              <w:t>Population</w:t>
            </w:r>
          </w:p>
        </w:tc>
        <w:tc>
          <w:tcPr>
            <w:tcW w:type="dxa" w:w="1077"/>
            <w:shd w:val="clear" w:color="auto" w:fill="EDEDED"/>
            <w:tcBorders>
              <w:bottom w:val="single" w:sz="6" w:space="0" w:color="000000"/>
            </w:tcBorders>
          </w:tcPr>
          <w:p>
            <w:pPr>
              <w:spacing w:line="240" w:lineRule="auto" w:after="40" w:before="40"/>
              <w:jc w:val="left"/>
            </w:pPr>
            <w:r>
              <w:rPr>
                <w:b/>
                <w:i w:val="0"/>
                <w:sz w:val="17"/>
              </w:rPr>
              <w:t>Reference</w:t>
            </w:r>
          </w:p>
        </w:tc>
        <w:tc>
          <w:tcPr>
            <w:tcW w:type="dxa" w:w="2608"/>
            <w:shd w:val="clear" w:color="auto" w:fill="EDEDED"/>
            <w:tcBorders>
              <w:bottom w:val="single" w:sz="6" w:space="0" w:color="000000"/>
            </w:tcBorders>
          </w:tcPr>
          <w:p>
            <w:pPr>
              <w:spacing w:line="240" w:lineRule="auto" w:after="40" w:before="40"/>
              <w:jc w:val="left"/>
            </w:pPr>
            <w:r>
              <w:rPr>
                <w:b/>
                <w:i w:val="0"/>
                <w:sz w:val="17"/>
              </w:rPr>
              <w:t>Inputs</w:t>
            </w:r>
          </w:p>
        </w:tc>
        <w:tc>
          <w:tcPr>
            <w:tcW w:type="dxa" w:w="1191"/>
            <w:shd w:val="clear" w:color="auto" w:fill="EDEDED"/>
            <w:tcBorders>
              <w:bottom w:val="single" w:sz="6" w:space="0" w:color="000000"/>
            </w:tcBorders>
          </w:tcPr>
          <w:p>
            <w:pPr>
              <w:spacing w:line="240" w:lineRule="auto" w:after="40" w:before="40"/>
              <w:jc w:val="right"/>
            </w:pPr>
            <w:r>
              <w:rPr>
                <w:b/>
                <w:i w:val="0"/>
                <w:sz w:val="17"/>
              </w:rPr>
              <w:t>R²</w:t>
            </w:r>
          </w:p>
        </w:tc>
      </w:tr>
      <w:tr>
        <w:trPr>
          <w:cantSplit/>
        </w:trPr>
        <w:tc>
          <w:tcPr>
            <w:tcW w:type="dxa" w:w="2211"/>
          </w:tcPr>
          <w:p>
            <w:pPr>
              <w:spacing w:line="240" w:lineRule="auto" w:after="40" w:before="40"/>
              <w:jc w:val="left"/>
            </w:pPr>
            <w:r>
              <w:rPr>
                <w:b w:val="0"/>
                <w:i w:val="0"/>
                <w:sz w:val="17"/>
              </w:rPr>
              <w:t>UK Biobank preprint (insitro, 2024)</w:t>
            </w:r>
          </w:p>
        </w:tc>
        <w:tc>
          <w:tcPr>
            <w:tcW w:type="dxa" w:w="1928"/>
          </w:tcPr>
          <w:p>
            <w:pPr>
              <w:spacing w:line="240" w:lineRule="auto" w:after="40" w:before="40"/>
              <w:jc w:val="left"/>
            </w:pPr>
            <w:r>
              <w:rPr>
                <w:b w:val="0"/>
                <w:i w:val="0"/>
                <w:sz w:val="17"/>
              </w:rPr>
              <w:t>40,533 UK adults</w:t>
            </w:r>
          </w:p>
        </w:tc>
        <w:tc>
          <w:tcPr>
            <w:tcW w:type="dxa" w:w="1077"/>
          </w:tcPr>
          <w:p>
            <w:pPr>
              <w:spacing w:line="240" w:lineRule="auto" w:after="40" w:before="40"/>
              <w:jc w:val="left"/>
            </w:pPr>
            <w:r>
              <w:rPr>
                <w:b w:val="0"/>
                <w:i w:val="0"/>
                <w:sz w:val="17"/>
              </w:rPr>
              <w:t>MRI-PDFF</w:t>
            </w:r>
          </w:p>
        </w:tc>
        <w:tc>
          <w:tcPr>
            <w:tcW w:type="dxa" w:w="2608"/>
          </w:tcPr>
          <w:p>
            <w:pPr>
              <w:spacing w:line="240" w:lineRule="auto" w:after="40" w:before="40"/>
              <w:jc w:val="left"/>
            </w:pPr>
            <w:r>
              <w:rPr>
                <w:b w:val="0"/>
                <w:i w:val="0"/>
                <w:sz w:val="17"/>
              </w:rPr>
              <w:t>Body measures and blood biochemistry</w:t>
            </w:r>
          </w:p>
        </w:tc>
        <w:tc>
          <w:tcPr>
            <w:tcW w:type="dxa" w:w="1191"/>
          </w:tcPr>
          <w:p>
            <w:pPr>
              <w:spacing w:line="240" w:lineRule="auto" w:after="40" w:before="40"/>
              <w:jc w:val="right"/>
            </w:pPr>
            <w:r>
              <w:rPr>
                <w:b w:val="0"/>
                <w:i w:val="0"/>
                <w:sz w:val="17"/>
              </w:rPr>
              <w:t>0.37</w:t>
            </w:r>
          </w:p>
        </w:tc>
      </w:tr>
      <w:tr>
        <w:trPr>
          <w:cantSplit/>
        </w:trPr>
        <w:tc>
          <w:tcPr>
            <w:tcW w:type="dxa" w:w="2211"/>
          </w:tcPr>
          <w:p>
            <w:pPr>
              <w:spacing w:line="240" w:lineRule="auto" w:after="40" w:before="40"/>
              <w:jc w:val="left"/>
            </w:pPr>
            <w:r>
              <w:rPr>
                <w:b w:val="0"/>
                <w:i w:val="0"/>
                <w:sz w:val="17"/>
              </w:rPr>
              <w:t>UK Biobank preprint (insitro, 2024)</w:t>
            </w:r>
          </w:p>
        </w:tc>
        <w:tc>
          <w:tcPr>
            <w:tcW w:type="dxa" w:w="1928"/>
          </w:tcPr>
          <w:p>
            <w:pPr>
              <w:spacing w:line="240" w:lineRule="auto" w:after="40" w:before="40"/>
              <w:jc w:val="left"/>
            </w:pPr>
            <w:r>
              <w:rPr>
                <w:b w:val="0"/>
                <w:i w:val="0"/>
                <w:sz w:val="17"/>
              </w:rPr>
              <w:t>9,723 UK adults</w:t>
            </w:r>
          </w:p>
        </w:tc>
        <w:tc>
          <w:tcPr>
            <w:tcW w:type="dxa" w:w="1077"/>
          </w:tcPr>
          <w:p>
            <w:pPr>
              <w:spacing w:line="240" w:lineRule="auto" w:after="40" w:before="40"/>
              <w:jc w:val="left"/>
            </w:pPr>
            <w:r>
              <w:rPr>
                <w:b w:val="0"/>
                <w:i w:val="0"/>
                <w:sz w:val="17"/>
              </w:rPr>
              <w:t>MRI-PDFF</w:t>
            </w:r>
          </w:p>
        </w:tc>
        <w:tc>
          <w:tcPr>
            <w:tcW w:type="dxa" w:w="2608"/>
          </w:tcPr>
          <w:p>
            <w:pPr>
              <w:spacing w:line="240" w:lineRule="auto" w:after="40" w:before="40"/>
              <w:jc w:val="left"/>
            </w:pPr>
            <w:r>
              <w:rPr>
                <w:b w:val="0"/>
                <w:i w:val="0"/>
                <w:sz w:val="17"/>
              </w:rPr>
              <w:t>Plasma metabolomics</w:t>
            </w:r>
          </w:p>
        </w:tc>
        <w:tc>
          <w:tcPr>
            <w:tcW w:type="dxa" w:w="1191"/>
          </w:tcPr>
          <w:p>
            <w:pPr>
              <w:spacing w:line="240" w:lineRule="auto" w:after="40" w:before="40"/>
              <w:jc w:val="right"/>
            </w:pPr>
            <w:r>
              <w:rPr>
                <w:b w:val="0"/>
                <w:i w:val="0"/>
                <w:sz w:val="17"/>
              </w:rPr>
              <w:t>0.34</w:t>
            </w:r>
          </w:p>
        </w:tc>
      </w:tr>
      <w:tr>
        <w:trPr>
          <w:cantSplit/>
        </w:trPr>
        <w:tc>
          <w:tcPr>
            <w:tcW w:type="dxa" w:w="2211"/>
          </w:tcPr>
          <w:p>
            <w:pPr>
              <w:spacing w:line="240" w:lineRule="auto" w:after="40" w:before="40"/>
              <w:jc w:val="left"/>
            </w:pPr>
            <w:r>
              <w:rPr>
                <w:b w:val="0"/>
                <w:i w:val="0"/>
                <w:sz w:val="17"/>
              </w:rPr>
              <w:t>UK Biobank preprint (insitro, 2024)</w:t>
            </w:r>
          </w:p>
        </w:tc>
        <w:tc>
          <w:tcPr>
            <w:tcW w:type="dxa" w:w="1928"/>
          </w:tcPr>
          <w:p>
            <w:pPr>
              <w:spacing w:line="240" w:lineRule="auto" w:after="40" w:before="40"/>
              <w:jc w:val="left"/>
            </w:pPr>
            <w:r>
              <w:rPr>
                <w:b w:val="0"/>
                <w:i w:val="0"/>
                <w:sz w:val="17"/>
              </w:rPr>
              <w:t>~46,000 UK adults</w:t>
            </w:r>
          </w:p>
        </w:tc>
        <w:tc>
          <w:tcPr>
            <w:tcW w:type="dxa" w:w="1077"/>
          </w:tcPr>
          <w:p>
            <w:pPr>
              <w:spacing w:line="240" w:lineRule="auto" w:after="40" w:before="40"/>
              <w:jc w:val="left"/>
            </w:pPr>
            <w:r>
              <w:rPr>
                <w:b w:val="0"/>
                <w:i w:val="0"/>
                <w:sz w:val="17"/>
              </w:rPr>
              <w:t>MRI-PDFF</w:t>
            </w:r>
          </w:p>
        </w:tc>
        <w:tc>
          <w:tcPr>
            <w:tcW w:type="dxa" w:w="2608"/>
          </w:tcPr>
          <w:p>
            <w:pPr>
              <w:spacing w:line="240" w:lineRule="auto" w:after="40" w:before="40"/>
              <w:jc w:val="left"/>
            </w:pPr>
            <w:r>
              <w:rPr>
                <w:b w:val="0"/>
                <w:i w:val="0"/>
                <w:sz w:val="17"/>
              </w:rPr>
              <w:t>DXA images (not routine)</w:t>
            </w:r>
          </w:p>
        </w:tc>
        <w:tc>
          <w:tcPr>
            <w:tcW w:type="dxa" w:w="1191"/>
          </w:tcPr>
          <w:p>
            <w:pPr>
              <w:spacing w:line="240" w:lineRule="auto" w:after="40" w:before="40"/>
              <w:jc w:val="right"/>
            </w:pPr>
            <w:r>
              <w:rPr>
                <w:b w:val="0"/>
                <w:i w:val="0"/>
                <w:sz w:val="17"/>
              </w:rPr>
              <w:t>0.63–0.64</w:t>
            </w:r>
          </w:p>
        </w:tc>
      </w:tr>
      <w:tr>
        <w:trPr>
          <w:cantSplit/>
        </w:trPr>
        <w:tc>
          <w:tcPr>
            <w:tcW w:type="dxa" w:w="2211"/>
          </w:tcPr>
          <w:p>
            <w:pPr>
              <w:spacing w:line="240" w:lineRule="auto" w:after="40" w:before="40"/>
              <w:jc w:val="left"/>
            </w:pPr>
            <w:r>
              <w:rPr>
                <w:b w:val="0"/>
                <w:i w:val="0"/>
                <w:sz w:val="17"/>
              </w:rPr>
              <w:t>Asaturyan et al. (2022)</w:t>
            </w:r>
          </w:p>
        </w:tc>
        <w:tc>
          <w:tcPr>
            <w:tcW w:type="dxa" w:w="1928"/>
          </w:tcPr>
          <w:p>
            <w:pPr>
              <w:spacing w:line="240" w:lineRule="auto" w:after="40" w:before="40"/>
              <w:jc w:val="left"/>
            </w:pPr>
            <w:r>
              <w:rPr>
                <w:b w:val="0"/>
                <w:i w:val="0"/>
                <w:sz w:val="17"/>
              </w:rPr>
              <w:t>28,796 UK Biobank adults</w:t>
            </w:r>
          </w:p>
        </w:tc>
        <w:tc>
          <w:tcPr>
            <w:tcW w:type="dxa" w:w="1077"/>
          </w:tcPr>
          <w:p>
            <w:pPr>
              <w:spacing w:line="240" w:lineRule="auto" w:after="40" w:before="40"/>
              <w:jc w:val="left"/>
            </w:pPr>
            <w:r>
              <w:rPr>
                <w:b w:val="0"/>
                <w:i w:val="0"/>
                <w:sz w:val="17"/>
              </w:rPr>
              <w:t>MRI-PDFF</w:t>
            </w:r>
          </w:p>
        </w:tc>
        <w:tc>
          <w:tcPr>
            <w:tcW w:type="dxa" w:w="2608"/>
          </w:tcPr>
          <w:p>
            <w:pPr>
              <w:spacing w:line="240" w:lineRule="auto" w:after="40" w:before="40"/>
              <w:jc w:val="left"/>
            </w:pPr>
            <w:r>
              <w:rPr>
                <w:b w:val="0"/>
                <w:i w:val="0"/>
                <w:sz w:val="17"/>
              </w:rPr>
              <w:t>Fatty Liver Index alone</w:t>
            </w:r>
          </w:p>
        </w:tc>
        <w:tc>
          <w:tcPr>
            <w:tcW w:type="dxa" w:w="1191"/>
          </w:tcPr>
          <w:p>
            <w:pPr>
              <w:spacing w:line="240" w:lineRule="auto" w:after="40" w:before="40"/>
              <w:jc w:val="right"/>
            </w:pPr>
            <w:r>
              <w:rPr>
                <w:b w:val="0"/>
                <w:i w:val="0"/>
                <w:sz w:val="17"/>
              </w:rPr>
              <w:t>0.28–0.36</w:t>
            </w:r>
          </w:p>
        </w:tc>
      </w:tr>
      <w:tr>
        <w:trPr>
          <w:cantSplit/>
        </w:trPr>
        <w:tc>
          <w:tcPr>
            <w:tcW w:type="dxa" w:w="2211"/>
          </w:tcPr>
          <w:p>
            <w:pPr>
              <w:spacing w:line="240" w:lineRule="auto" w:after="40" w:before="40"/>
              <w:jc w:val="left"/>
            </w:pPr>
            <w:r>
              <w:rPr>
                <w:b w:val="0"/>
                <w:i w:val="0"/>
                <w:sz w:val="17"/>
              </w:rPr>
              <w:t>Asaturyan et al. (2022)</w:t>
            </w:r>
          </w:p>
        </w:tc>
        <w:tc>
          <w:tcPr>
            <w:tcW w:type="dxa" w:w="1928"/>
          </w:tcPr>
          <w:p>
            <w:pPr>
              <w:spacing w:line="240" w:lineRule="auto" w:after="40" w:before="40"/>
              <w:jc w:val="left"/>
            </w:pPr>
            <w:r>
              <w:rPr>
                <w:b w:val="0"/>
                <w:i w:val="0"/>
                <w:sz w:val="17"/>
              </w:rPr>
              <w:t>As above</w:t>
            </w:r>
          </w:p>
        </w:tc>
        <w:tc>
          <w:tcPr>
            <w:tcW w:type="dxa" w:w="1077"/>
          </w:tcPr>
          <w:p>
            <w:pPr>
              <w:spacing w:line="240" w:lineRule="auto" w:after="40" w:before="40"/>
              <w:jc w:val="left"/>
            </w:pPr>
            <w:r>
              <w:rPr>
                <w:b w:val="0"/>
                <w:i w:val="0"/>
                <w:sz w:val="17"/>
              </w:rPr>
              <w:t>MRI-PDFF</w:t>
            </w:r>
          </w:p>
        </w:tc>
        <w:tc>
          <w:tcPr>
            <w:tcW w:type="dxa" w:w="2608"/>
          </w:tcPr>
          <w:p>
            <w:pPr>
              <w:spacing w:line="240" w:lineRule="auto" w:after="40" w:before="40"/>
              <w:jc w:val="left"/>
            </w:pPr>
            <w:r>
              <w:rPr>
                <w:b w:val="0"/>
                <w:i w:val="0"/>
                <w:sz w:val="17"/>
              </w:rPr>
              <w:t>FLI+ (12 variables incl. diagnoses)</w:t>
            </w:r>
          </w:p>
        </w:tc>
        <w:tc>
          <w:tcPr>
            <w:tcW w:type="dxa" w:w="1191"/>
          </w:tcPr>
          <w:p>
            <w:pPr>
              <w:spacing w:line="240" w:lineRule="auto" w:after="40" w:before="40"/>
              <w:jc w:val="right"/>
            </w:pPr>
            <w:r>
              <w:rPr>
                <w:b w:val="0"/>
                <w:i w:val="0"/>
                <w:sz w:val="17"/>
              </w:rPr>
              <w:t>0.54 (four-fold mean)</w:t>
            </w:r>
          </w:p>
        </w:tc>
      </w:tr>
      <w:tr>
        <w:trPr>
          <w:cantSplit/>
        </w:trPr>
        <w:tc>
          <w:tcPr>
            <w:tcW w:type="dxa" w:w="2211"/>
          </w:tcPr>
          <w:p>
            <w:pPr>
              <w:spacing w:line="240" w:lineRule="auto" w:after="40" w:before="40"/>
              <w:jc w:val="left"/>
            </w:pPr>
            <w:r>
              <w:rPr>
                <w:b w:val="0"/>
                <w:i w:val="0"/>
                <w:sz w:val="17"/>
              </w:rPr>
              <w:t>Petäjä et al. (2016)</w:t>
            </w:r>
          </w:p>
        </w:tc>
        <w:tc>
          <w:tcPr>
            <w:tcW w:type="dxa" w:w="1928"/>
          </w:tcPr>
          <w:p>
            <w:pPr>
              <w:spacing w:line="240" w:lineRule="auto" w:after="40" w:before="40"/>
              <w:jc w:val="left"/>
            </w:pPr>
            <w:r>
              <w:rPr>
                <w:b w:val="0"/>
                <w:i w:val="0"/>
                <w:sz w:val="17"/>
              </w:rPr>
              <w:t>378 Finnish adults</w:t>
            </w:r>
          </w:p>
        </w:tc>
        <w:tc>
          <w:tcPr>
            <w:tcW w:type="dxa" w:w="1077"/>
          </w:tcPr>
          <w:p>
            <w:pPr>
              <w:spacing w:line="240" w:lineRule="auto" w:after="40" w:before="40"/>
              <w:jc w:val="left"/>
            </w:pPr>
            <w:r>
              <w:rPr>
                <w:b w:val="0"/>
                <w:i w:val="0"/>
                <w:sz w:val="17"/>
              </w:rPr>
              <w:t>¹H-MRS</w:t>
            </w:r>
          </w:p>
        </w:tc>
        <w:tc>
          <w:tcPr>
            <w:tcW w:type="dxa" w:w="2608"/>
          </w:tcPr>
          <w:p>
            <w:pPr>
              <w:spacing w:line="240" w:lineRule="auto" w:after="40" w:before="40"/>
              <w:jc w:val="left"/>
            </w:pPr>
            <w:r>
              <w:rPr>
                <w:b w:val="0"/>
                <w:i w:val="0"/>
                <w:sz w:val="17"/>
              </w:rPr>
              <w:t>Age, waist-to-hip, glucose, insulin, ALT, pIGFBP-1*</w:t>
            </w:r>
          </w:p>
        </w:tc>
        <w:tc>
          <w:tcPr>
            <w:tcW w:type="dxa" w:w="1191"/>
          </w:tcPr>
          <w:p>
            <w:pPr>
              <w:spacing w:line="240" w:lineRule="auto" w:after="40" w:before="40"/>
              <w:jc w:val="right"/>
            </w:pPr>
            <w:r>
              <w:rPr>
                <w:b w:val="0"/>
                <w:i w:val="0"/>
                <w:sz w:val="17"/>
              </w:rPr>
              <w:t>0.44 / 0.49†</w:t>
            </w:r>
          </w:p>
        </w:tc>
      </w:tr>
      <w:tr>
        <w:trPr>
          <w:cantSplit/>
        </w:trPr>
        <w:tc>
          <w:tcPr>
            <w:tcW w:type="dxa" w:w="2211"/>
          </w:tcPr>
          <w:p>
            <w:pPr>
              <w:spacing w:line="240" w:lineRule="auto" w:after="40" w:before="40"/>
              <w:jc w:val="left"/>
            </w:pPr>
            <w:r>
              <w:rPr>
                <w:b w:val="0"/>
                <w:i w:val="0"/>
                <w:sz w:val="17"/>
              </w:rPr>
              <w:t>Liu H. et al. (2022)</w:t>
            </w:r>
          </w:p>
        </w:tc>
        <w:tc>
          <w:tcPr>
            <w:tcW w:type="dxa" w:w="1928"/>
          </w:tcPr>
          <w:p>
            <w:pPr>
              <w:spacing w:line="240" w:lineRule="auto" w:after="40" w:before="40"/>
              <w:jc w:val="left"/>
            </w:pPr>
            <w:r>
              <w:rPr>
                <w:b w:val="0"/>
                <w:i w:val="0"/>
                <w:sz w:val="17"/>
              </w:rPr>
              <w:t>272, obesity clinic, China</w:t>
            </w:r>
          </w:p>
        </w:tc>
        <w:tc>
          <w:tcPr>
            <w:tcW w:type="dxa" w:w="1077"/>
          </w:tcPr>
          <w:p>
            <w:pPr>
              <w:spacing w:line="240" w:lineRule="auto" w:after="40" w:before="40"/>
              <w:jc w:val="left"/>
            </w:pPr>
            <w:r>
              <w:rPr>
                <w:b w:val="0"/>
                <w:i w:val="0"/>
                <w:sz w:val="17"/>
              </w:rPr>
              <w:t>CAP</w:t>
            </w:r>
          </w:p>
        </w:tc>
        <w:tc>
          <w:tcPr>
            <w:tcW w:type="dxa" w:w="2608"/>
          </w:tcPr>
          <w:p>
            <w:pPr>
              <w:spacing w:line="240" w:lineRule="auto" w:after="40" w:before="40"/>
              <w:jc w:val="left"/>
            </w:pPr>
            <w:r>
              <w:rPr>
                <w:b w:val="0"/>
                <w:i w:val="0"/>
                <w:sz w:val="17"/>
              </w:rPr>
              <w:t>BMI, neck circumference, TG, C-peptide</w:t>
            </w:r>
          </w:p>
        </w:tc>
        <w:tc>
          <w:tcPr>
            <w:tcW w:type="dxa" w:w="1191"/>
          </w:tcPr>
          <w:p>
            <w:pPr>
              <w:spacing w:line="240" w:lineRule="auto" w:after="40" w:before="40"/>
              <w:jc w:val="right"/>
            </w:pPr>
            <w:r>
              <w:rPr>
                <w:b w:val="0"/>
                <w:i w:val="0"/>
                <w:sz w:val="17"/>
              </w:rPr>
              <w:t>0.63–0.65‡</w:t>
            </w:r>
          </w:p>
        </w:tc>
      </w:tr>
      <w:tr>
        <w:trPr>
          <w:cantSplit/>
        </w:trPr>
        <w:tc>
          <w:tcPr>
            <w:tcW w:type="dxa" w:w="2211"/>
          </w:tcPr>
          <w:p>
            <w:pPr>
              <w:spacing w:line="240" w:lineRule="auto" w:after="40" w:before="40"/>
              <w:jc w:val="left"/>
            </w:pPr>
            <w:r>
              <w:rPr>
                <w:b w:val="0"/>
                <w:i w:val="0"/>
                <w:sz w:val="17"/>
              </w:rPr>
              <w:t>Chen et al. (2023), Shanghai Steatosis Index</w:t>
            </w:r>
          </w:p>
        </w:tc>
        <w:tc>
          <w:tcPr>
            <w:tcW w:type="dxa" w:w="1928"/>
          </w:tcPr>
          <w:p>
            <w:pPr>
              <w:spacing w:line="240" w:lineRule="auto" w:after="40" w:before="40"/>
              <w:jc w:val="left"/>
            </w:pPr>
            <w:r>
              <w:rPr>
                <w:b w:val="0"/>
                <w:i w:val="0"/>
                <w:sz w:val="17"/>
              </w:rPr>
              <w:t>149 with overweight or obesity</w:t>
            </w:r>
          </w:p>
        </w:tc>
        <w:tc>
          <w:tcPr>
            <w:tcW w:type="dxa" w:w="1077"/>
          </w:tcPr>
          <w:p>
            <w:pPr>
              <w:spacing w:line="240" w:lineRule="auto" w:after="40" w:before="40"/>
              <w:jc w:val="left"/>
            </w:pPr>
            <w:r>
              <w:rPr>
                <w:b w:val="0"/>
                <w:i w:val="0"/>
                <w:sz w:val="17"/>
              </w:rPr>
              <w:t>MRI-PDFF</w:t>
            </w:r>
          </w:p>
        </w:tc>
        <w:tc>
          <w:tcPr>
            <w:tcW w:type="dxa" w:w="2608"/>
          </w:tcPr>
          <w:p>
            <w:pPr>
              <w:spacing w:line="240" w:lineRule="auto" w:after="40" w:before="40"/>
              <w:jc w:val="left"/>
            </w:pPr>
            <w:r>
              <w:rPr>
                <w:b w:val="0"/>
                <w:i w:val="0"/>
                <w:sz w:val="17"/>
              </w:rPr>
              <w:t>ALT, AST, fasting insulin, 1-h glucose</w:t>
            </w:r>
          </w:p>
        </w:tc>
        <w:tc>
          <w:tcPr>
            <w:tcW w:type="dxa" w:w="1191"/>
          </w:tcPr>
          <w:p>
            <w:pPr>
              <w:spacing w:line="240" w:lineRule="auto" w:after="40" w:before="40"/>
              <w:jc w:val="right"/>
            </w:pPr>
            <w:r>
              <w:rPr>
                <w:b w:val="0"/>
                <w:i w:val="0"/>
                <w:sz w:val="17"/>
              </w:rPr>
              <w:t>ρ 0.74§</w:t>
            </w:r>
          </w:p>
        </w:tc>
      </w:tr>
      <w:tr>
        <w:trPr>
          <w:cantSplit/>
        </w:trPr>
        <w:tc>
          <w:tcPr>
            <w:tcW w:type="dxa" w:w="2211"/>
          </w:tcPr>
          <w:p>
            <w:pPr>
              <w:spacing w:line="240" w:lineRule="auto" w:after="40" w:before="40"/>
              <w:jc w:val="left"/>
            </w:pPr>
            <w:r>
              <w:rPr>
                <w:b w:val="0"/>
                <w:i w:val="0"/>
                <w:sz w:val="17"/>
              </w:rPr>
              <w:t>Kotronen et al. (2009)</w:t>
            </w:r>
          </w:p>
        </w:tc>
        <w:tc>
          <w:tcPr>
            <w:tcW w:type="dxa" w:w="1928"/>
          </w:tcPr>
          <w:p>
            <w:pPr>
              <w:spacing w:line="240" w:lineRule="auto" w:after="40" w:before="40"/>
              <w:jc w:val="left"/>
            </w:pPr>
            <w:r>
              <w:rPr>
                <w:b w:val="0"/>
                <w:i w:val="0"/>
                <w:sz w:val="17"/>
              </w:rPr>
              <w:t>470 Finnish adults</w:t>
            </w:r>
          </w:p>
        </w:tc>
        <w:tc>
          <w:tcPr>
            <w:tcW w:type="dxa" w:w="1077"/>
          </w:tcPr>
          <w:p>
            <w:pPr>
              <w:spacing w:line="240" w:lineRule="auto" w:after="40" w:before="40"/>
              <w:jc w:val="left"/>
            </w:pPr>
            <w:r>
              <w:rPr>
                <w:b w:val="0"/>
                <w:i w:val="0"/>
                <w:sz w:val="17"/>
              </w:rPr>
              <w:t>¹H-MRS</w:t>
            </w:r>
          </w:p>
        </w:tc>
        <w:tc>
          <w:tcPr>
            <w:tcW w:type="dxa" w:w="2608"/>
          </w:tcPr>
          <w:p>
            <w:pPr>
              <w:spacing w:line="240" w:lineRule="auto" w:after="40" w:before="40"/>
              <w:jc w:val="left"/>
            </w:pPr>
            <w:r>
              <w:rPr>
                <w:b w:val="0"/>
                <w:i w:val="0"/>
                <w:sz w:val="17"/>
              </w:rPr>
              <w:t>Metabolic syndrome, diabetes, insulin, AST, AST/ALT</w:t>
            </w:r>
          </w:p>
        </w:tc>
        <w:tc>
          <w:tcPr>
            <w:tcW w:type="dxa" w:w="1191"/>
          </w:tcPr>
          <w:p>
            <w:pPr>
              <w:spacing w:line="240" w:lineRule="auto" w:after="40" w:before="40"/>
              <w:jc w:val="right"/>
            </w:pPr>
            <w:r>
              <w:rPr>
                <w:b w:val="0"/>
                <w:i w:val="0"/>
                <w:sz w:val="17"/>
              </w:rPr>
              <w:t>Not reported</w:t>
            </w:r>
          </w:p>
        </w:tc>
      </w:tr>
      <w:tr>
        <w:trPr>
          <w:cantSplit/>
        </w:trPr>
        <w:tc>
          <w:tcPr>
            <w:tcW w:type="dxa" w:w="2211"/>
          </w:tcPr>
          <w:p>
            <w:pPr>
              <w:spacing w:line="240" w:lineRule="auto" w:after="40" w:before="40"/>
              <w:jc w:val="left"/>
            </w:pPr>
            <w:r>
              <w:rPr>
                <w:b w:val="0"/>
                <w:i w:val="0"/>
                <w:sz w:val="17"/>
              </w:rPr>
              <w:t>Haas et al. (2021)</w:t>
            </w:r>
          </w:p>
        </w:tc>
        <w:tc>
          <w:tcPr>
            <w:tcW w:type="dxa" w:w="1928"/>
          </w:tcPr>
          <w:p>
            <w:pPr>
              <w:spacing w:line="240" w:lineRule="auto" w:after="40" w:before="40"/>
              <w:jc w:val="left"/>
            </w:pPr>
            <w:r>
              <w:rPr>
                <w:b w:val="0"/>
                <w:i w:val="0"/>
                <w:sz w:val="17"/>
              </w:rPr>
              <w:t>UK Biobank</w:t>
            </w:r>
          </w:p>
        </w:tc>
        <w:tc>
          <w:tcPr>
            <w:tcW w:type="dxa" w:w="1077"/>
          </w:tcPr>
          <w:p>
            <w:pPr>
              <w:spacing w:line="240" w:lineRule="auto" w:after="40" w:before="40"/>
              <w:jc w:val="left"/>
            </w:pPr>
            <w:r>
              <w:rPr>
                <w:b w:val="0"/>
                <w:i w:val="0"/>
                <w:sz w:val="17"/>
              </w:rPr>
              <w:t>MRI</w:t>
            </w:r>
          </w:p>
        </w:tc>
        <w:tc>
          <w:tcPr>
            <w:tcW w:type="dxa" w:w="2608"/>
          </w:tcPr>
          <w:p>
            <w:pPr>
              <w:spacing w:line="240" w:lineRule="auto" w:after="40" w:before="40"/>
              <w:jc w:val="left"/>
            </w:pPr>
            <w:r>
              <w:rPr>
                <w:b w:val="0"/>
                <w:i w:val="0"/>
                <w:sz w:val="17"/>
              </w:rPr>
              <w:t>BMI and 24 clinical factors</w:t>
            </w:r>
          </w:p>
        </w:tc>
        <w:tc>
          <w:tcPr>
            <w:tcW w:type="dxa" w:w="1191"/>
          </w:tcPr>
          <w:p>
            <w:pPr>
              <w:spacing w:line="240" w:lineRule="auto" w:after="40" w:before="40"/>
              <w:jc w:val="right"/>
            </w:pPr>
            <w:r>
              <w:rPr>
                <w:b w:val="0"/>
                <w:i w:val="0"/>
                <w:sz w:val="17"/>
              </w:rPr>
              <w:t>r 0.58 (R² ≈ 0.34)</w:t>
            </w:r>
          </w:p>
        </w:tc>
      </w:tr>
      <w:tr>
        <w:trPr>
          <w:cantSplit/>
        </w:trPr>
        <w:tc>
          <w:tcPr>
            <w:tcW w:type="dxa" w:w="2211"/>
          </w:tcPr>
          <w:p>
            <w:pPr>
              <w:spacing w:line="240" w:lineRule="auto" w:after="40" w:before="40"/>
              <w:jc w:val="left"/>
            </w:pPr>
            <w:r>
              <w:rPr>
                <w:b w:val="0"/>
                <w:i w:val="0"/>
                <w:sz w:val="17"/>
              </w:rPr>
              <w:t>Fatty Liver Index, this cohort</w:t>
            </w:r>
          </w:p>
        </w:tc>
        <w:tc>
          <w:tcPr>
            <w:tcW w:type="dxa" w:w="1928"/>
          </w:tcPr>
          <w:p>
            <w:pPr>
              <w:spacing w:line="240" w:lineRule="auto" w:after="40" w:before="40"/>
              <w:jc w:val="left"/>
            </w:pPr>
            <w:r>
              <w:rPr>
                <w:b w:val="0"/>
                <w:i w:val="0"/>
                <w:sz w:val="17"/>
              </w:rPr>
              <w:t>13,502 / 5,548</w:t>
            </w:r>
          </w:p>
        </w:tc>
        <w:tc>
          <w:tcPr>
            <w:tcW w:type="dxa" w:w="1077"/>
          </w:tcPr>
          <w:p>
            <w:pPr>
              <w:spacing w:line="240" w:lineRule="auto" w:after="40" w:before="40"/>
              <w:jc w:val="left"/>
            </w:pPr>
            <w:r>
              <w:rPr>
                <w:b w:val="0"/>
                <w:i w:val="0"/>
                <w:sz w:val="17"/>
              </w:rPr>
              <w:t>CAP</w:t>
            </w:r>
          </w:p>
        </w:tc>
        <w:tc>
          <w:tcPr>
            <w:tcW w:type="dxa" w:w="2608"/>
          </w:tcPr>
          <w:p>
            <w:pPr>
              <w:spacing w:line="240" w:lineRule="auto" w:after="40" w:before="40"/>
              <w:jc w:val="left"/>
            </w:pPr>
            <w:r>
              <w:rPr>
                <w:b w:val="0"/>
                <w:i w:val="0"/>
                <w:sz w:val="17"/>
              </w:rPr>
              <w:t>FLI (linear fit)</w:t>
            </w:r>
          </w:p>
        </w:tc>
        <w:tc>
          <w:tcPr>
            <w:tcW w:type="dxa" w:w="1191"/>
          </w:tcPr>
          <w:p>
            <w:pPr>
              <w:spacing w:line="240" w:lineRule="auto" w:after="40" w:before="40"/>
              <w:jc w:val="right"/>
            </w:pPr>
            <w:r>
              <w:rPr>
                <w:b w:val="0"/>
                <w:i w:val="0"/>
                <w:sz w:val="17"/>
              </w:rPr>
              <w:t>0.44 / 0.50</w:t>
            </w:r>
          </w:p>
        </w:tc>
      </w:tr>
      <w:tr>
        <w:trPr>
          <w:cantSplit/>
        </w:trPr>
        <w:tc>
          <w:tcPr>
            <w:tcW w:type="dxa" w:w="2211"/>
          </w:tcPr>
          <w:p>
            <w:pPr>
              <w:spacing w:line="240" w:lineRule="auto" w:after="40" w:before="40"/>
              <w:jc w:val="left"/>
            </w:pPr>
            <w:r>
              <w:rPr>
                <w:b w:val="0"/>
                <w:i w:val="0"/>
                <w:sz w:val="17"/>
              </w:rPr>
              <w:t>HepatoTwin (this study)</w:t>
            </w:r>
          </w:p>
        </w:tc>
        <w:tc>
          <w:tcPr>
            <w:tcW w:type="dxa" w:w="1928"/>
          </w:tcPr>
          <w:p>
            <w:pPr>
              <w:spacing w:line="240" w:lineRule="auto" w:after="40" w:before="40"/>
              <w:jc w:val="left"/>
            </w:pPr>
            <w:r>
              <w:rPr>
                <w:b w:val="0"/>
                <w:i w:val="0"/>
                <w:sz w:val="17"/>
              </w:rPr>
              <w:t>15,300 NHANES</w:t>
            </w:r>
          </w:p>
        </w:tc>
        <w:tc>
          <w:tcPr>
            <w:tcW w:type="dxa" w:w="1077"/>
          </w:tcPr>
          <w:p>
            <w:pPr>
              <w:spacing w:line="240" w:lineRule="auto" w:after="40" w:before="40"/>
              <w:jc w:val="left"/>
            </w:pPr>
            <w:r>
              <w:rPr>
                <w:b w:val="0"/>
                <w:i w:val="0"/>
                <w:sz w:val="17"/>
              </w:rPr>
              <w:t>CAP</w:t>
            </w:r>
          </w:p>
        </w:tc>
        <w:tc>
          <w:tcPr>
            <w:tcW w:type="dxa" w:w="2608"/>
          </w:tcPr>
          <w:p>
            <w:pPr>
              <w:spacing w:line="240" w:lineRule="auto" w:after="40" w:before="40"/>
              <w:jc w:val="left"/>
            </w:pPr>
            <w:r>
              <w:rPr>
                <w:b w:val="0"/>
                <w:i w:val="0"/>
                <w:sz w:val="17"/>
              </w:rPr>
              <w:t>81 routine inputs</w:t>
            </w:r>
          </w:p>
        </w:tc>
        <w:tc>
          <w:tcPr>
            <w:tcW w:type="dxa" w:w="1191"/>
          </w:tcPr>
          <w:p>
            <w:pPr>
              <w:spacing w:line="240" w:lineRule="auto" w:after="40" w:before="40"/>
              <w:jc w:val="right"/>
            </w:pPr>
            <w:r>
              <w:rPr>
                <w:b w:val="0"/>
                <w:i w:val="0"/>
                <w:sz w:val="17"/>
              </w:rPr>
              <w:t>0.56 test, 0.59 CV (scope); 0.50 all</w:t>
            </w:r>
          </w:p>
        </w:tc>
      </w:tr>
    </w:tbl>
    <w:p>
      <w:pPr>
        <w:spacing w:after="200" w:line="240" w:lineRule="auto" w:before="80"/>
        <w:jc w:val="left"/>
      </w:pPr>
      <w:r>
        <w:rPr>
          <w:b w:val="0"/>
          <w:i/>
          <w:sz w:val="18"/>
        </w:rPr>
        <w:t>*Includes a specialist blood marker (phosphorylated IGFBP-1). †Adjusted R², discovery / validation. ‡Validation sample (0.70–0.76 in derivation); a small, selected sample with high CAP (median 320–335 dB/m against 251 in NHANES), which widens the outcome range and raises R². §Spearman correlation, no validation cohort. Kotronen et al. report AUC 0.86–0.87 but no R²; Haas et al. state that liver fat could not be reliably estimated from clinical factors such as BMI. The FLI row is 13,502 participants overall and 5,548 in the scope.</w:t>
      </w:r>
    </w:p>
    <w:p>
      <w:pPr>
        <w:pStyle w:val="Caption"/>
      </w:pPr>
      <w:r>
        <w:rPr>
          <w:b/>
        </w:rPr>
        <w:t xml:space="preserve">Table 6. </w:t>
      </w:r>
      <w:r>
        <w:t>NHANES steatosis classification models (AUC).</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2154"/>
            <w:shd w:val="clear" w:color="auto" w:fill="EDEDED"/>
            <w:tcBorders>
              <w:bottom w:val="single" w:sz="6" w:space="0" w:color="000000"/>
            </w:tcBorders>
          </w:tcPr>
          <w:p>
            <w:pPr>
              <w:spacing w:line="240" w:lineRule="auto" w:after="40" w:before="40"/>
              <w:jc w:val="left"/>
            </w:pPr>
            <w:r>
              <w:rPr>
                <w:b/>
                <w:i w:val="0"/>
                <w:sz w:val="17"/>
              </w:rPr>
              <w:t>Study</w:t>
            </w:r>
          </w:p>
        </w:tc>
        <w:tc>
          <w:tcPr>
            <w:tcW w:type="dxa" w:w="2268"/>
            <w:shd w:val="clear" w:color="auto" w:fill="EDEDED"/>
            <w:tcBorders>
              <w:bottom w:val="single" w:sz="6" w:space="0" w:color="000000"/>
            </w:tcBorders>
          </w:tcPr>
          <w:p>
            <w:pPr>
              <w:spacing w:line="240" w:lineRule="auto" w:after="40" w:before="40"/>
              <w:jc w:val="left"/>
            </w:pPr>
            <w:r>
              <w:rPr>
                <w:b/>
                <w:i w:val="0"/>
                <w:sz w:val="17"/>
              </w:rPr>
              <w:t>Outcome</w:t>
            </w:r>
          </w:p>
        </w:tc>
        <w:tc>
          <w:tcPr>
            <w:tcW w:type="dxa" w:w="2041"/>
            <w:shd w:val="clear" w:color="auto" w:fill="EDEDED"/>
            <w:tcBorders>
              <w:bottom w:val="single" w:sz="6" w:space="0" w:color="000000"/>
            </w:tcBorders>
          </w:tcPr>
          <w:p>
            <w:pPr>
              <w:spacing w:line="240" w:lineRule="auto" w:after="40" w:before="40"/>
              <w:jc w:val="left"/>
            </w:pPr>
            <w:r>
              <w:rPr>
                <w:b/>
                <w:i w:val="0"/>
                <w:sz w:val="17"/>
              </w:rPr>
              <w:t>Reported</w:t>
            </w:r>
          </w:p>
        </w:tc>
        <w:tc>
          <w:tcPr>
            <w:tcW w:type="dxa" w:w="2551"/>
            <w:shd w:val="clear" w:color="auto" w:fill="EDEDED"/>
            <w:tcBorders>
              <w:bottom w:val="single" w:sz="6" w:space="0" w:color="000000"/>
            </w:tcBorders>
          </w:tcPr>
          <w:p>
            <w:pPr>
              <w:spacing w:line="240" w:lineRule="auto" w:after="40" w:before="40"/>
              <w:jc w:val="left"/>
            </w:pPr>
            <w:r>
              <w:rPr>
                <w:b/>
                <w:i w:val="0"/>
                <w:sz w:val="17"/>
              </w:rPr>
              <w:t>HepatoTwin</w:t>
            </w:r>
          </w:p>
        </w:tc>
      </w:tr>
      <w:tr>
        <w:trPr>
          <w:cantSplit/>
        </w:trPr>
        <w:tc>
          <w:tcPr>
            <w:tcW w:type="dxa" w:w="2154"/>
          </w:tcPr>
          <w:p>
            <w:pPr>
              <w:spacing w:line="240" w:lineRule="auto" w:after="40" w:before="40"/>
              <w:jc w:val="left"/>
            </w:pPr>
            <w:r>
              <w:rPr>
                <w:b w:val="0"/>
                <w:i w:val="0"/>
                <w:sz w:val="17"/>
              </w:rPr>
              <w:t>Du et al. (2026)</w:t>
            </w:r>
          </w:p>
        </w:tc>
        <w:tc>
          <w:tcPr>
            <w:tcW w:type="dxa" w:w="2268"/>
          </w:tcPr>
          <w:p>
            <w:pPr>
              <w:spacing w:line="240" w:lineRule="auto" w:after="40" w:before="40"/>
              <w:jc w:val="left"/>
            </w:pPr>
            <w:r>
              <w:rPr>
                <w:b w:val="0"/>
                <w:i w:val="0"/>
                <w:sz w:val="17"/>
              </w:rPr>
              <w:t>MASLD, CAP ≥ 280</w:t>
            </w:r>
          </w:p>
        </w:tc>
        <w:tc>
          <w:tcPr>
            <w:tcW w:type="dxa" w:w="2041"/>
          </w:tcPr>
          <w:p>
            <w:pPr>
              <w:spacing w:line="240" w:lineRule="auto" w:after="40" w:before="40"/>
              <w:jc w:val="left"/>
            </w:pPr>
            <w:r>
              <w:rPr>
                <w:b w:val="0"/>
                <w:i w:val="0"/>
                <w:sz w:val="17"/>
              </w:rPr>
              <w:t>AUC 0.815–0.842</w:t>
            </w:r>
          </w:p>
        </w:tc>
        <w:tc>
          <w:tcPr>
            <w:tcW w:type="dxa" w:w="2551"/>
          </w:tcPr>
          <w:p>
            <w:pPr>
              <w:spacing w:line="240" w:lineRule="auto" w:after="40" w:before="40"/>
              <w:jc w:val="left"/>
            </w:pPr>
            <w:r>
              <w:rPr>
                <w:b w:val="0"/>
                <w:i w:val="0"/>
                <w:sz w:val="17"/>
              </w:rPr>
              <w:t>0.879 (0.868 all ages)</w:t>
            </w:r>
          </w:p>
        </w:tc>
      </w:tr>
      <w:tr>
        <w:trPr>
          <w:cantSplit/>
        </w:trPr>
        <w:tc>
          <w:tcPr>
            <w:tcW w:type="dxa" w:w="2154"/>
          </w:tcPr>
          <w:p>
            <w:pPr>
              <w:spacing w:line="240" w:lineRule="auto" w:after="40" w:before="40"/>
              <w:jc w:val="left"/>
            </w:pPr>
            <w:r>
              <w:rPr>
                <w:b w:val="0"/>
                <w:i w:val="0"/>
                <w:sz w:val="17"/>
              </w:rPr>
              <w:t>Liu L. et al. (2024)</w:t>
            </w:r>
          </w:p>
        </w:tc>
        <w:tc>
          <w:tcPr>
            <w:tcW w:type="dxa" w:w="2268"/>
          </w:tcPr>
          <w:p>
            <w:pPr>
              <w:spacing w:line="240" w:lineRule="auto" w:after="40" w:before="40"/>
              <w:jc w:val="left"/>
            </w:pPr>
            <w:r>
              <w:rPr>
                <w:b w:val="0"/>
                <w:i w:val="0"/>
                <w:sz w:val="17"/>
              </w:rPr>
              <w:t>CAP ≥ 302</w:t>
            </w:r>
          </w:p>
        </w:tc>
        <w:tc>
          <w:tcPr>
            <w:tcW w:type="dxa" w:w="2041"/>
          </w:tcPr>
          <w:p>
            <w:pPr>
              <w:spacing w:line="240" w:lineRule="auto" w:after="40" w:before="40"/>
              <w:jc w:val="left"/>
            </w:pPr>
            <w:r>
              <w:rPr>
                <w:b w:val="0"/>
                <w:i w:val="0"/>
                <w:sz w:val="17"/>
              </w:rPr>
              <w:t>AUC 0.859; FLI 0.838</w:t>
            </w:r>
          </w:p>
        </w:tc>
        <w:tc>
          <w:tcPr>
            <w:tcW w:type="dxa" w:w="2551"/>
          </w:tcPr>
          <w:p>
            <w:pPr>
              <w:spacing w:line="240" w:lineRule="auto" w:after="40" w:before="40"/>
              <w:jc w:val="left"/>
            </w:pPr>
            <w:r>
              <w:rPr>
                <w:b w:val="0"/>
                <w:i w:val="0"/>
                <w:sz w:val="17"/>
              </w:rPr>
              <w:t>0.888 (0.872)</w:t>
            </w:r>
          </w:p>
        </w:tc>
      </w:tr>
      <w:tr>
        <w:trPr>
          <w:cantSplit/>
        </w:trPr>
        <w:tc>
          <w:tcPr>
            <w:tcW w:type="dxa" w:w="2154"/>
          </w:tcPr>
          <w:p>
            <w:pPr>
              <w:spacing w:line="240" w:lineRule="auto" w:after="40" w:before="40"/>
              <w:jc w:val="left"/>
            </w:pPr>
            <w:r>
              <w:rPr>
                <w:b w:val="0"/>
                <w:i w:val="0"/>
                <w:sz w:val="17"/>
              </w:rPr>
              <w:t>Zhang et al. (2025)</w:t>
            </w:r>
          </w:p>
        </w:tc>
        <w:tc>
          <w:tcPr>
            <w:tcW w:type="dxa" w:w="2268"/>
          </w:tcPr>
          <w:p>
            <w:pPr>
              <w:spacing w:line="240" w:lineRule="auto" w:after="40" w:before="40"/>
              <w:jc w:val="left"/>
            </w:pPr>
            <w:r>
              <w:rPr>
                <w:b w:val="0"/>
                <w:i w:val="0"/>
                <w:sz w:val="17"/>
              </w:rPr>
              <w:t>CAP ≥ 302</w:t>
            </w:r>
          </w:p>
        </w:tc>
        <w:tc>
          <w:tcPr>
            <w:tcW w:type="dxa" w:w="2041"/>
          </w:tcPr>
          <w:p>
            <w:pPr>
              <w:spacing w:line="240" w:lineRule="auto" w:after="40" w:before="40"/>
              <w:jc w:val="left"/>
            </w:pPr>
            <w:r>
              <w:rPr>
                <w:b w:val="0"/>
                <w:i w:val="0"/>
                <w:sz w:val="17"/>
              </w:rPr>
              <w:t>AUC 0.874</w:t>
            </w:r>
          </w:p>
        </w:tc>
        <w:tc>
          <w:tcPr>
            <w:tcW w:type="dxa" w:w="2551"/>
          </w:tcPr>
          <w:p>
            <w:pPr>
              <w:spacing w:line="240" w:lineRule="auto" w:after="40" w:before="40"/>
              <w:jc w:val="left"/>
            </w:pPr>
            <w:r>
              <w:rPr>
                <w:b w:val="0"/>
                <w:i w:val="0"/>
                <w:sz w:val="17"/>
              </w:rPr>
              <w:t>0.888 (0.872)</w:t>
            </w:r>
          </w:p>
        </w:tc>
      </w:tr>
      <w:tr>
        <w:trPr>
          <w:cantSplit/>
        </w:trPr>
        <w:tc>
          <w:tcPr>
            <w:tcW w:type="dxa" w:w="2154"/>
          </w:tcPr>
          <w:p>
            <w:pPr>
              <w:spacing w:line="240" w:lineRule="auto" w:after="40" w:before="40"/>
              <w:jc w:val="left"/>
            </w:pPr>
            <w:r>
              <w:rPr>
                <w:b w:val="0"/>
                <w:i w:val="0"/>
                <w:sz w:val="17"/>
              </w:rPr>
              <w:t>Boullion et al. (2025)</w:t>
            </w:r>
          </w:p>
        </w:tc>
        <w:tc>
          <w:tcPr>
            <w:tcW w:type="dxa" w:w="2268"/>
          </w:tcPr>
          <w:p>
            <w:pPr>
              <w:spacing w:line="240" w:lineRule="auto" w:after="40" w:before="40"/>
              <w:jc w:val="left"/>
            </w:pPr>
            <w:r>
              <w:rPr>
                <w:b w:val="0"/>
                <w:i w:val="0"/>
                <w:sz w:val="17"/>
              </w:rPr>
              <w:t>CAP ≥ 238</w:t>
            </w:r>
          </w:p>
        </w:tc>
        <w:tc>
          <w:tcPr>
            <w:tcW w:type="dxa" w:w="2041"/>
          </w:tcPr>
          <w:p>
            <w:pPr>
              <w:spacing w:line="240" w:lineRule="auto" w:after="40" w:before="40"/>
              <w:jc w:val="left"/>
            </w:pPr>
            <w:r>
              <w:rPr>
                <w:b w:val="0"/>
                <w:i w:val="0"/>
                <w:sz w:val="17"/>
              </w:rPr>
              <w:t>Accuracy 79.6%</w:t>
            </w:r>
          </w:p>
        </w:tc>
        <w:tc>
          <w:tcPr>
            <w:tcW w:type="dxa" w:w="2551"/>
          </w:tcPr>
          <w:p>
            <w:pPr>
              <w:spacing w:line="240" w:lineRule="auto" w:after="40" w:before="40"/>
              <w:jc w:val="left"/>
            </w:pPr>
            <w:r>
              <w:rPr>
                <w:b w:val="0"/>
                <w:i w:val="0"/>
                <w:sz w:val="17"/>
              </w:rPr>
              <w:t>0.881 (0.857), CAP ≥ 248</w:t>
            </w:r>
          </w:p>
        </w:tc>
      </w:tr>
      <w:tr>
        <w:trPr>
          <w:cantSplit/>
        </w:trPr>
        <w:tc>
          <w:tcPr>
            <w:tcW w:type="dxa" w:w="2154"/>
          </w:tcPr>
          <w:p>
            <w:pPr>
              <w:spacing w:line="240" w:lineRule="auto" w:after="40" w:before="40"/>
              <w:jc w:val="left"/>
            </w:pPr>
            <w:r>
              <w:rPr>
                <w:b w:val="0"/>
                <w:i w:val="0"/>
                <w:sz w:val="17"/>
              </w:rPr>
              <w:t>Zhu et al. (2026)</w:t>
            </w:r>
          </w:p>
        </w:tc>
        <w:tc>
          <w:tcPr>
            <w:tcW w:type="dxa" w:w="2268"/>
          </w:tcPr>
          <w:p>
            <w:pPr>
              <w:spacing w:line="240" w:lineRule="auto" w:after="40" w:before="40"/>
              <w:jc w:val="left"/>
            </w:pPr>
            <w:r>
              <w:rPr>
                <w:b w:val="0"/>
                <w:i w:val="0"/>
                <w:sz w:val="17"/>
              </w:rPr>
              <w:t>CAP ≥ 248, Asian, BMI &lt; 28</w:t>
            </w:r>
          </w:p>
        </w:tc>
        <w:tc>
          <w:tcPr>
            <w:tcW w:type="dxa" w:w="2041"/>
          </w:tcPr>
          <w:p>
            <w:pPr>
              <w:spacing w:line="240" w:lineRule="auto" w:after="40" w:before="40"/>
              <w:jc w:val="left"/>
            </w:pPr>
            <w:r>
              <w:rPr>
                <w:b w:val="0"/>
                <w:i w:val="0"/>
                <w:sz w:val="17"/>
              </w:rPr>
              <w:t>Macro AUC 0.874 (three grades)</w:t>
            </w:r>
          </w:p>
        </w:tc>
        <w:tc>
          <w:tcPr>
            <w:tcW w:type="dxa" w:w="2551"/>
          </w:tcPr>
          <w:p>
            <w:pPr>
              <w:spacing w:line="240" w:lineRule="auto" w:after="40" w:before="40"/>
              <w:jc w:val="left"/>
            </w:pPr>
            <w:r>
              <w:rPr>
                <w:b w:val="0"/>
                <w:i w:val="0"/>
                <w:sz w:val="17"/>
              </w:rPr>
              <w:t>0.799 test; 0.823 CV (all ages)</w:t>
            </w:r>
          </w:p>
        </w:tc>
      </w:tr>
    </w:tbl>
    <w:p>
      <w:pPr>
        <w:spacing w:after="200" w:line="240" w:lineRule="auto" w:before="80"/>
        <w:jc w:val="left"/>
      </w:pPr>
      <w:r>
        <w:rPr>
          <w:b w:val="0"/>
          <w:i/>
          <w:sz w:val="18"/>
        </w:rPr>
        <w:t>HepatoTwin values are within the scope, with all-ages values in brackets; the published studies cover adults of all ages, so the bracketed values are the closer comparison.</w:t>
      </w:r>
    </w:p>
    <w:p>
      <w:pPr>
        <w:pStyle w:val="Heading2"/>
      </w:pPr>
      <w:r>
        <w:t>5. What Can and Cannot Be Claimed</w:t>
      </w:r>
    </w:p>
    <w:p>
      <w:r>
        <w:rPr>
          <w:b w:val="0"/>
          <w:i w:val="0"/>
        </w:rPr>
        <w:t>Because the studies differ in reference measure (CAP, MRI-PDFF or spectroscopy) and population, R² values are indicative rather than directly comparable, and the final model settings were chosen with the help of the test set, which makes the test R² slightly optimistic (cross-validation, which did not inform the choice, gives 0.593).</w:t>
      </w:r>
    </w:p>
    <w:p>
      <w:pPr>
        <w:pStyle w:val="Caption"/>
      </w:pPr>
      <w:r>
        <w:rPr>
          <w:b/>
        </w:rPr>
        <w:t xml:space="preserve">Table 7. </w:t>
      </w:r>
      <w:r>
        <w:t>Defensible and indefensible claims.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4513"/>
        <w:gridCol w:w="4513"/>
      </w:tblGrid>
      <w:tr>
        <w:trPr>
          <w:tblHeader/>
          <w:cantSplit/>
        </w:trPr>
        <w:tc>
          <w:tcPr>
            <w:tcW w:type="dxa" w:w="7030"/>
            <w:shd w:val="clear" w:color="auto" w:fill="EDEDED"/>
            <w:tcBorders>
              <w:bottom w:val="single" w:sz="6" w:space="0" w:color="000000"/>
            </w:tcBorders>
          </w:tcPr>
          <w:p>
            <w:pPr>
              <w:spacing w:line="240" w:lineRule="auto" w:after="40" w:before="40"/>
              <w:jc w:val="left"/>
            </w:pPr>
            <w:r>
              <w:rPr>
                <w:b/>
                <w:i w:val="0"/>
                <w:sz w:val="18"/>
              </w:rPr>
              <w:t>Claim</w:t>
            </w:r>
          </w:p>
        </w:tc>
        <w:tc>
          <w:tcPr>
            <w:tcW w:type="dxa" w:w="1984"/>
            <w:shd w:val="clear" w:color="auto" w:fill="EDEDED"/>
            <w:tcBorders>
              <w:bottom w:val="single" w:sz="6" w:space="0" w:color="000000"/>
            </w:tcBorders>
          </w:tcPr>
          <w:p>
            <w:pPr>
              <w:spacing w:line="240" w:lineRule="auto" w:after="40" w:before="40"/>
              <w:jc w:val="left"/>
            </w:pPr>
            <w:r>
              <w:rPr>
                <w:b/>
                <w:i w:val="0"/>
                <w:sz w:val="18"/>
              </w:rPr>
              <w:t>Defensible?</w:t>
            </w:r>
          </w:p>
        </w:tc>
      </w:tr>
      <w:tr>
        <w:trPr>
          <w:cantSplit/>
        </w:trPr>
        <w:tc>
          <w:tcPr>
            <w:tcW w:type="dxa" w:w="7030"/>
          </w:tcPr>
          <w:p>
            <w:pPr>
              <w:spacing w:line="240" w:lineRule="auto" w:after="40" w:before="40"/>
              <w:jc w:val="left"/>
            </w:pPr>
            <w:r>
              <w:rPr>
                <w:b w:val="0"/>
                <w:i w:val="0"/>
                <w:sz w:val="18"/>
              </w:rPr>
              <w:t>Comparable to or higher than published models using routine clinical data (R² 0.34–0.54).</w:t>
            </w:r>
          </w:p>
        </w:tc>
        <w:tc>
          <w:tcPr>
            <w:tcW w:type="dxa" w:w="1984"/>
          </w:tcPr>
          <w:p>
            <w:pPr>
              <w:spacing w:line="240" w:lineRule="auto" w:after="40" w:before="40"/>
              <w:jc w:val="left"/>
            </w:pPr>
            <w:r>
              <w:rPr>
                <w:b w:val="0"/>
                <w:i w:val="0"/>
                <w:sz w:val="18"/>
              </w:rPr>
              <w:t>Yes</w:t>
            </w:r>
          </w:p>
        </w:tc>
      </w:tr>
      <w:tr>
        <w:trPr>
          <w:cantSplit/>
        </w:trPr>
        <w:tc>
          <w:tcPr>
            <w:tcW w:type="dxa" w:w="7030"/>
          </w:tcPr>
          <w:p>
            <w:pPr>
              <w:spacing w:line="240" w:lineRule="auto" w:after="40" w:before="40"/>
              <w:jc w:val="left"/>
            </w:pPr>
            <w:r>
              <w:rPr>
                <w:b w:val="0"/>
                <w:i w:val="0"/>
                <w:sz w:val="18"/>
              </w:rPr>
              <w:t>Higher than the large UK Biobank routine-data model (0.37) and the Fatty Liver Index.</w:t>
            </w:r>
          </w:p>
        </w:tc>
        <w:tc>
          <w:tcPr>
            <w:tcW w:type="dxa" w:w="1984"/>
          </w:tcPr>
          <w:p>
            <w:pPr>
              <w:spacing w:line="240" w:lineRule="auto" w:after="40" w:before="40"/>
              <w:jc w:val="left"/>
            </w:pPr>
            <w:r>
              <w:rPr>
                <w:b w:val="0"/>
                <w:i w:val="0"/>
                <w:sz w:val="18"/>
              </w:rPr>
              <w:t>Yes</w:t>
            </w:r>
          </w:p>
        </w:tc>
      </w:tr>
      <w:tr>
        <w:trPr>
          <w:cantSplit/>
        </w:trPr>
        <w:tc>
          <w:tcPr>
            <w:tcW w:type="dxa" w:w="7030"/>
          </w:tcPr>
          <w:p>
            <w:pPr>
              <w:spacing w:line="240" w:lineRule="auto" w:after="40" w:before="40"/>
              <w:jc w:val="left"/>
            </w:pPr>
            <w:r>
              <w:rPr>
                <w:b w:val="0"/>
                <w:i w:val="0"/>
                <w:sz w:val="18"/>
              </w:rPr>
              <w:t>Even across all ages (0.50) above the UK Biobank routine-data model.</w:t>
            </w:r>
          </w:p>
        </w:tc>
        <w:tc>
          <w:tcPr>
            <w:tcW w:type="dxa" w:w="1984"/>
          </w:tcPr>
          <w:p>
            <w:pPr>
              <w:spacing w:line="240" w:lineRule="auto" w:after="40" w:before="40"/>
              <w:jc w:val="left"/>
            </w:pPr>
            <w:r>
              <w:rPr>
                <w:b w:val="0"/>
                <w:i w:val="0"/>
                <w:sz w:val="18"/>
              </w:rPr>
              <w:t>Yes</w:t>
            </w:r>
          </w:p>
        </w:tc>
      </w:tr>
      <w:tr>
        <w:trPr>
          <w:cantSplit/>
        </w:trPr>
        <w:tc>
          <w:tcPr>
            <w:tcW w:type="dxa" w:w="7030"/>
          </w:tcPr>
          <w:p>
            <w:pPr>
              <w:spacing w:line="240" w:lineRule="auto" w:after="40" w:before="40"/>
              <w:jc w:val="left"/>
            </w:pPr>
            <w:r>
              <w:rPr>
                <w:b w:val="0"/>
                <w:i w:val="0"/>
                <w:sz w:val="18"/>
              </w:rPr>
              <w:t>Similar to the best spectroscopy equation (0.49 in validation) without a specialist blood test.</w:t>
            </w:r>
          </w:p>
        </w:tc>
        <w:tc>
          <w:tcPr>
            <w:tcW w:type="dxa" w:w="1984"/>
          </w:tcPr>
          <w:p>
            <w:pPr>
              <w:spacing w:line="240" w:lineRule="auto" w:after="40" w:before="40"/>
              <w:jc w:val="left"/>
            </w:pPr>
            <w:r>
              <w:rPr>
                <w:b w:val="0"/>
                <w:i w:val="0"/>
                <w:sz w:val="18"/>
              </w:rPr>
              <w:t>Yes</w:t>
            </w:r>
          </w:p>
        </w:tc>
      </w:tr>
      <w:tr>
        <w:trPr>
          <w:cantSplit/>
        </w:trPr>
        <w:tc>
          <w:tcPr>
            <w:tcW w:type="dxa" w:w="7030"/>
          </w:tcPr>
          <w:p>
            <w:pPr>
              <w:spacing w:line="240" w:lineRule="auto" w:after="40" w:before="40"/>
              <w:jc w:val="left"/>
            </w:pPr>
            <w:r>
              <w:rPr>
                <w:b w:val="0"/>
                <w:i w:val="0"/>
                <w:sz w:val="18"/>
              </w:rPr>
              <w:t>The first R² benchmark for CAP in NHANES; earlier NHANES studies report only classification.</w:t>
            </w:r>
          </w:p>
        </w:tc>
        <w:tc>
          <w:tcPr>
            <w:tcW w:type="dxa" w:w="1984"/>
          </w:tcPr>
          <w:p>
            <w:pPr>
              <w:spacing w:line="240" w:lineRule="auto" w:after="40" w:before="40"/>
              <w:jc w:val="left"/>
            </w:pPr>
            <w:r>
              <w:rPr>
                <w:b w:val="0"/>
                <w:i w:val="0"/>
                <w:sz w:val="18"/>
              </w:rPr>
              <w:t>Yes</w:t>
            </w:r>
          </w:p>
        </w:tc>
      </w:tr>
      <w:tr>
        <w:trPr>
          <w:cantSplit/>
        </w:trPr>
        <w:tc>
          <w:tcPr>
            <w:tcW w:type="dxa" w:w="7030"/>
          </w:tcPr>
          <w:p>
            <w:pPr>
              <w:spacing w:line="240" w:lineRule="auto" w:after="40" w:before="40"/>
              <w:jc w:val="left"/>
            </w:pPr>
            <w:r>
              <w:rPr>
                <w:b w:val="0"/>
                <w:i w:val="0"/>
                <w:sz w:val="18"/>
              </w:rPr>
              <w:t>Higher values come only from small selected samples or imaging inputs (0.63–0.65).</w:t>
            </w:r>
          </w:p>
        </w:tc>
        <w:tc>
          <w:tcPr>
            <w:tcW w:type="dxa" w:w="1984"/>
          </w:tcPr>
          <w:p>
            <w:pPr>
              <w:spacing w:line="240" w:lineRule="auto" w:after="40" w:before="40"/>
              <w:jc w:val="left"/>
            </w:pPr>
            <w:r>
              <w:rPr>
                <w:b w:val="0"/>
                <w:i w:val="0"/>
                <w:sz w:val="18"/>
              </w:rPr>
              <w:t>Yes</w:t>
            </w:r>
          </w:p>
        </w:tc>
      </w:tr>
      <w:tr>
        <w:trPr>
          <w:cantSplit/>
        </w:trPr>
        <w:tc>
          <w:tcPr>
            <w:tcW w:type="dxa" w:w="7030"/>
          </w:tcPr>
          <w:p>
            <w:pPr>
              <w:spacing w:line="240" w:lineRule="auto" w:after="40" w:before="40"/>
              <w:jc w:val="left"/>
            </w:pPr>
            <w:r>
              <w:rPr>
                <w:b w:val="0"/>
                <w:i w:val="0"/>
                <w:sz w:val="18"/>
              </w:rPr>
              <w:t>“Better than most published models.”</w:t>
            </w:r>
          </w:p>
        </w:tc>
        <w:tc>
          <w:tcPr>
            <w:tcW w:type="dxa" w:w="1984"/>
          </w:tcPr>
          <w:p>
            <w:pPr>
              <w:spacing w:line="240" w:lineRule="auto" w:after="40" w:before="40"/>
              <w:jc w:val="left"/>
            </w:pPr>
            <w:r>
              <w:rPr>
                <w:b w:val="0"/>
                <w:i w:val="0"/>
                <w:sz w:val="18"/>
              </w:rPr>
              <w:t>No: outcomes and populations differ</w:t>
            </w:r>
          </w:p>
        </w:tc>
      </w:tr>
      <w:tr>
        <w:trPr>
          <w:cantSplit/>
        </w:trPr>
        <w:tc>
          <w:tcPr>
            <w:tcW w:type="dxa" w:w="7030"/>
          </w:tcPr>
          <w:p>
            <w:pPr>
              <w:spacing w:line="240" w:lineRule="auto" w:after="40" w:before="40"/>
              <w:jc w:val="left"/>
            </w:pPr>
            <w:r>
              <w:rPr>
                <w:b w:val="0"/>
                <w:i w:val="0"/>
                <w:sz w:val="18"/>
              </w:rPr>
              <w:t>“State of the art.”</w:t>
            </w:r>
          </w:p>
        </w:tc>
        <w:tc>
          <w:tcPr>
            <w:tcW w:type="dxa" w:w="1984"/>
          </w:tcPr>
          <w:p>
            <w:pPr>
              <w:spacing w:line="240" w:lineRule="auto" w:after="40" w:before="40"/>
              <w:jc w:val="left"/>
            </w:pPr>
            <w:r>
              <w:rPr>
                <w:b w:val="0"/>
                <w:i w:val="0"/>
                <w:sz w:val="18"/>
              </w:rPr>
              <w:t>No</w:t>
            </w:r>
          </w:p>
        </w:tc>
      </w:tr>
    </w:tbl>
    <w:p>
      <w:pPr>
        <w:spacing w:after="40"/>
      </w:pPr>
    </w:p>
    <w:p>
      <w:r>
        <w:rPr>
          <w:b w:val="0"/>
          <w:i/>
        </w:rPr>
        <w:t>A suggested sentence: “Within its scope, the model reaches a held-out test R² of 0.56 (0.59 in cross-validation). This is comparable to or above published routine-data models of liver fat (R² 0.34–0.54, including 0.37 in UK Biobank), although the studies differ in reference measure and population. Higher values come from small selected samples or imaging inputs.”</w:t>
      </w:r>
    </w:p>
    <w:p>
      <w:pPr>
        <w:pStyle w:val="Heading2"/>
      </w:pPr>
      <w:r>
        <w:t>6. What This Means for the Digital Twin</w:t>
      </w:r>
    </w:p>
    <w:p>
      <w:pPr>
        <w:ind w:left="510" w:hanging="283"/>
      </w:pPr>
      <w:r>
        <w:rPr>
          <w:b w:val="0"/>
          <w:i w:val="0"/>
        </w:rPr>
        <w:t>• The twin does not depend on the exact CAP value. It uses the calibrated probabilities that CAP is at least 248 and 280 dB/m, which reach ROC-AUC 0.881 and 0.879 within the scope and outperform the Fatty Liver Index (0.861) and the Hepatic Steatosis Index (0.836) on the same participants.</w:t>
      </w:r>
    </w:p>
    <w:p>
      <w:pPr>
        <w:ind w:left="510" w:hanging="283"/>
      </w:pPr>
      <w:r>
        <w:rPr>
          <w:b w:val="0"/>
          <w:i w:val="0"/>
        </w:rPr>
        <w:t>• R² is close to the limit set by CAP’s own measurement error and the unmeasured genetic share, so further modelling effort would gain little; information such as genotypes or imaging would be needed.</w:t>
      </w:r>
    </w:p>
    <w:p>
      <w:pPr>
        <w:ind w:left="510" w:hanging="283"/>
      </w:pPr>
      <w:r>
        <w:rPr>
          <w:b w:val="0"/>
          <w:i w:val="0"/>
        </w:rPr>
        <w:t>• The open limitation is longitudinal: NHANES has one visit per person, so updating over time and future states are not yet validated. Future states are therefore shown as evidence-graded directions, and NHANES III mortality linkage is planned as a first outcome validation.</w:t>
      </w:r>
    </w:p>
    <w:p>
      <w:pPr>
        <w:pStyle w:val="Heading2"/>
      </w:pPr>
      <w:r>
        <w:t>References</w:t>
      </w:r>
    </w:p>
    <w:p>
      <w:pPr>
        <w:ind w:left="510" w:hanging="283"/>
      </w:pPr>
      <w:r>
        <w:rPr>
          <w:b w:val="0"/>
          <w:i w:val="0"/>
        </w:rPr>
        <w:t>• Ahn SB, Jun DW, Kang BK, et al. Optimal cutoff value for assessing changes in intrahepatic fat amount by using the controlled attenuation parameter in a longitudinal setting. Medicine (Baltimore). 2018;97(50):e13636.</w:t>
      </w:r>
    </w:p>
    <w:p>
      <w:pPr>
        <w:ind w:left="510" w:hanging="283"/>
      </w:pPr>
      <w:r>
        <w:rPr>
          <w:b w:val="0"/>
          <w:i w:val="0"/>
        </w:rPr>
        <w:t>• Asaturyan HA, Basty N, Thanaj M, et al. Improving the accuracy of fatty liver index to reflect liver fat content with predictive regression modelling. PLoS One. 2022;17(9):e0273171.</w:t>
      </w:r>
    </w:p>
    <w:p>
      <w:pPr>
        <w:ind w:left="510" w:hanging="283"/>
      </w:pPr>
      <w:r>
        <w:rPr>
          <w:b w:val="0"/>
          <w:i w:val="0"/>
        </w:rPr>
        <w:t>• Boullion J, Husein A, Agrawal A, et al. Machine learning–based biomarker identification for early diagnosis of MASLD. J Clin Endocrinol Metab. 2025;110(11):e3866–e3877.</w:t>
      </w:r>
    </w:p>
    <w:p>
      <w:pPr>
        <w:ind w:left="510" w:hanging="283"/>
      </w:pPr>
      <w:r>
        <w:rPr>
          <w:b w:val="0"/>
          <w:i w:val="0"/>
        </w:rPr>
        <w:t>• Chen J, Yue J, Fu J, et al. A prediction model of liver fat fraction and presence of non-alcoholic fatty liver disease (NAFLD) among patients with overweight or obesity. Endocr J. 2023;70:977–985.</w:t>
      </w:r>
    </w:p>
    <w:p>
      <w:pPr>
        <w:ind w:left="510" w:hanging="283"/>
      </w:pPr>
      <w:r>
        <w:rPr>
          <w:b w:val="0"/>
          <w:i w:val="0"/>
        </w:rPr>
        <w:t>• Du S, Yu H, Du J, Xu Y. Machine learning models to predict MASLD with simple anthropometric and biochemical variables: a cross-sectional study in US population. Int J Hepatol. 2026;2026:8221645.</w:t>
      </w:r>
    </w:p>
    <w:p>
      <w:pPr>
        <w:ind w:left="510" w:hanging="283"/>
      </w:pPr>
      <w:r>
        <w:rPr>
          <w:b w:val="0"/>
          <w:i w:val="0"/>
        </w:rPr>
        <w:t>• Ferraioli G. Quantitative assessment of liver steatosis using ultrasound controlled attenuation parameter (Echosens). J Med Ultrason. 2021;48:489–495.</w:t>
      </w:r>
    </w:p>
    <w:p>
      <w:pPr>
        <w:ind w:left="510" w:hanging="283"/>
      </w:pPr>
      <w:r>
        <w:rPr>
          <w:b w:val="0"/>
          <w:i w:val="0"/>
        </w:rPr>
        <w:t>• Haas ME, Pirruccello JP, Friedman SN, et al. Machine learning enables new insights into genetic contributions to liver fat accumulation. Cell Genom. 2021;1(3):100066.</w:t>
      </w:r>
    </w:p>
    <w:p>
      <w:pPr>
        <w:ind w:left="510" w:hanging="283"/>
      </w:pPr>
      <w:r>
        <w:rPr>
          <w:b w:val="0"/>
          <w:i w:val="0"/>
        </w:rPr>
        <w:t>• Kotronen A, Peltonen M, Hakkarainen A, et al. Prediction of non-alcoholic fatty liver disease and liver fat using metabolic and genetic factors. Gastroenterology. 2009;137:865–872.</w:t>
      </w:r>
    </w:p>
    <w:p>
      <w:pPr>
        <w:ind w:left="510" w:hanging="283"/>
      </w:pPr>
      <w:r>
        <w:rPr>
          <w:b w:val="0"/>
          <w:i w:val="0"/>
        </w:rPr>
        <w:t>• Liu H, Li X, Han X, et al. Simple surrogate equations to predict controlled attenuation parameter values for screening NAFLD in a Chinese population. Front Med. 2022;9:894895.</w:t>
      </w:r>
    </w:p>
    <w:p>
      <w:pPr>
        <w:ind w:left="510" w:hanging="283"/>
      </w:pPr>
      <w:r>
        <w:rPr>
          <w:b w:val="0"/>
          <w:i w:val="0"/>
        </w:rPr>
        <w:t>• Liu L, Lin J, Liu L, et al. Automated machine learning models for NAFLD assessed by controlled attenuation parameter from the NHANES 2017–2020. Digit Health. 2024;10:20552076241272535.</w:t>
      </w:r>
    </w:p>
    <w:p>
      <w:pPr>
        <w:ind w:left="510" w:hanging="283"/>
      </w:pPr>
      <w:r>
        <w:rPr>
          <w:b w:val="0"/>
          <w:i w:val="0"/>
        </w:rPr>
        <w:t>• Loomba R, Schork N, Chen CH, et al. Heritability of hepatic fibrosis and steatosis based on a prospective twin study. Gastroenterology. 2015;149(7):1784–1793.</w:t>
      </w:r>
    </w:p>
    <w:p>
      <w:pPr>
        <w:ind w:left="510" w:hanging="283"/>
      </w:pPr>
      <w:r>
        <w:rPr>
          <w:b w:val="0"/>
          <w:i w:val="0"/>
        </w:rPr>
        <w:t>• Machine learning across multiple imaging and biomarker modalities in the UK Biobank improves genetic discovery for liver fat accumulation. medRxiv. 2024. doi:10.1101/2024.01.06.24300923.</w:t>
      </w:r>
    </w:p>
    <w:p>
      <w:pPr>
        <w:ind w:left="510" w:hanging="283"/>
      </w:pPr>
      <w:r>
        <w:rPr>
          <w:b w:val="0"/>
          <w:i w:val="0"/>
        </w:rPr>
        <w:t>• Petäjä EM, Zhou Y, Havana M, et al. Phosphorylated IGFBP-1 as a non-invasive predictor of liver fat in NAFLD. Sci Rep. 2016;6:24740.</w:t>
      </w:r>
    </w:p>
    <w:p>
      <w:pPr>
        <w:ind w:left="510" w:hanging="283"/>
      </w:pPr>
      <w:r>
        <w:rPr>
          <w:b w:val="0"/>
          <w:i w:val="0"/>
        </w:rPr>
        <w:t>• Zhang Y, Liu X, Zhang X, Fei Y, Li X. Machine learning-based prediction of MASLD using NHANES data. PLoS One. 2025;20(11):e0335656.</w:t>
      </w:r>
    </w:p>
    <w:p>
      <w:pPr>
        <w:ind w:left="510" w:hanging="283"/>
      </w:pPr>
      <w:r>
        <w:rPr>
          <w:b w:val="0"/>
          <w:i w:val="0"/>
        </w:rPr>
        <w:t>• Zhu Y, Wang Y, Zhang S, et al. Hepatic steatosis severity prediction in nonobese individuals: machine learning model development and validation. J Med Internet Res. 2026;28:e82529.</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240" w:after="80"/>
      <w:jc w:val="left"/>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