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40"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HepatoTwin</w:t>
      </w:r>
    </w:p>
    <w:p w:rsidR="00000000" w:rsidDel="00000000" w:rsidP="00000000" w:rsidRDefault="00000000" w:rsidRPr="00000000" w14:paraId="00000002">
      <w:pPr>
        <w:spacing w:after="120"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HepatoTwin: A Digital Twin Framework for Personalized, Evidence-Based Dietary Intervention and Health Forecasting</w:t>
      </w:r>
    </w:p>
    <w:p w:rsidR="00000000" w:rsidDel="00000000" w:rsidP="00000000" w:rsidRDefault="00000000" w:rsidRPr="00000000" w14:paraId="00000003">
      <w:pPr>
        <w:pStyle w:val="Heading1"/>
        <w:keepNext w:val="0"/>
        <w:keepLines w:val="0"/>
        <w:spacing w:before="480" w:lineRule="auto"/>
        <w:rPr>
          <w:rFonts w:ascii="Times New Roman" w:cs="Times New Roman" w:eastAsia="Times New Roman" w:hAnsi="Times New Roman"/>
          <w:b w:val="1"/>
          <w:bCs w:val="1"/>
          <w:sz w:val="30"/>
          <w:szCs w:val="30"/>
        </w:rPr>
      </w:pPr>
      <w:bookmarkStart w:colFirst="0" w:colLast="0" w:name="_1p3ij9db1v5r" w:id="0"/>
      <w:bookmarkEnd w:id="0"/>
      <w:r w:rsidDel="00000000" w:rsidR="00000000" w:rsidRPr="00000000">
        <w:rPr>
          <w:rFonts w:ascii="Times New Roman" w:cs="Times New Roman" w:eastAsia="Times New Roman" w:hAnsi="Times New Roman"/>
          <w:b w:val="1"/>
          <w:bCs w:val="1"/>
          <w:sz w:val="30"/>
          <w:szCs w:val="30"/>
          <w:rtl w:val="0"/>
        </w:rPr>
        <w:t xml:space="preserve">1. Research Question</w:t>
      </w:r>
    </w:p>
    <w:tbl>
      <w:tblPr>
        <w:tblStyle w:val="Table1"/>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835"/>
        <w:tblGridChange w:id="0">
          <w:tblGrid>
            <w:gridCol w:w="8835"/>
          </w:tblGrid>
        </w:tblGridChange>
      </w:tblGrid>
      <w:tr>
        <w:trPr>
          <w:cantSplit w:val="0"/>
          <w:trHeight w:val="1230" w:hRule="atLeast"/>
          <w:tblHeader w:val="0"/>
        </w:trPr>
        <w:tc>
          <w:tcPr>
            <w:tcBorders>
              <w:top w:color="0c8f6e" w:space="0" w:sz="5" w:val="single"/>
              <w:left w:color="0c8f6e" w:space="0" w:sz="5" w:val="single"/>
              <w:bottom w:color="0c8f6e" w:space="0" w:sz="5" w:val="single"/>
              <w:right w:color="0c8f6e" w:space="0" w:sz="5" w:val="single"/>
            </w:tcBorders>
            <w:shd w:fill="ffffff" w:val="clear"/>
            <w:tcMar>
              <w:top w:w="140.0" w:type="dxa"/>
              <w:left w:w="180.0" w:type="dxa"/>
              <w:bottom w:w="140.0" w:type="dxa"/>
              <w:right w:w="180.0" w:type="dxa"/>
            </w:tcMar>
            <w:vAlign w:val="top"/>
          </w:tcPr>
          <w:p w:rsidR="00000000" w:rsidDel="00000000" w:rsidP="00000000" w:rsidRDefault="00000000" w:rsidRPr="00000000" w14:paraId="00000004">
            <w:pPr>
              <w:spacing w:after="6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Central question</w:t>
            </w:r>
          </w:p>
          <w:p w:rsidR="00000000" w:rsidDel="00000000" w:rsidP="00000000" w:rsidRDefault="00000000" w:rsidRPr="00000000" w14:paraId="00000005">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Can a patient-specific liver digital twin — built from clinical and biological evidence — support the evidence-grounded evaluation and ranking of existing recipes from a recipe corpus, according to their health relevance, cuisine compatibility, and cooking feasibility for an individual patient?</w:t>
            </w:r>
          </w:p>
        </w:tc>
      </w:tr>
    </w:tbl>
    <w:p w:rsidR="00000000" w:rsidDel="00000000" w:rsidP="00000000" w:rsidRDefault="00000000" w:rsidRPr="00000000" w14:paraId="00000006">
      <w:pPr>
        <w:spacing w:after="160" w:line="26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7">
      <w:pPr>
        <w:spacing w:after="160" w:line="26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Clinical focus: metabolic dysfunction-associated steatotic liver disease (MASLD; formerly NAFLD) — diet-modifiable, with strong clinical evidence linking dietary and weight changes to measurable outcomes, giving the project a concrete, gradable success criterion. This is stated as a focus, not baked into the title, because the underlying framework — the twin's state model and its recipe evaluation and ranking engine — is domain-general and could be re-validated against any diet-modifiable condition DietRx/SpiceRx already cover.</w:t>
      </w:r>
    </w:p>
    <w:p w:rsidR="00000000" w:rsidDel="00000000" w:rsidP="00000000" w:rsidRDefault="00000000" w:rsidRPr="00000000" w14:paraId="00000008">
      <w:pPr>
        <w:pStyle w:val="Heading1"/>
        <w:keepNext w:val="0"/>
        <w:keepLines w:val="0"/>
        <w:spacing w:before="480" w:lineRule="auto"/>
        <w:rPr>
          <w:rFonts w:ascii="Times New Roman" w:cs="Times New Roman" w:eastAsia="Times New Roman" w:hAnsi="Times New Roman"/>
          <w:b w:val="1"/>
          <w:bCs w:val="1"/>
          <w:sz w:val="30"/>
          <w:szCs w:val="30"/>
        </w:rPr>
      </w:pPr>
      <w:bookmarkStart w:colFirst="0" w:colLast="0" w:name="_heriaosv0ou4" w:id="1"/>
      <w:bookmarkEnd w:id="1"/>
      <w:r w:rsidDel="00000000" w:rsidR="00000000" w:rsidRPr="00000000">
        <w:rPr>
          <w:rFonts w:ascii="Times New Roman" w:cs="Times New Roman" w:eastAsia="Times New Roman" w:hAnsi="Times New Roman"/>
          <w:b w:val="1"/>
          <w:bCs w:val="1"/>
          <w:sz w:val="30"/>
          <w:szCs w:val="30"/>
          <w:rtl w:val="0"/>
        </w:rPr>
        <w:t xml:space="preserve">1.1 What Makes This a Digital Twin</w:t>
      </w:r>
    </w:p>
    <w:p w:rsidR="00000000" w:rsidDel="00000000" w:rsidP="00000000" w:rsidRDefault="00000000" w:rsidRPr="00000000" w14:paraId="00000009">
      <w:pPr>
        <w:spacing w:after="160" w:line="26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digital twin is a patient-specific computational representation of a system's state that can be updated as new patient data becomes available and used to simulate how that state may change under different interventions — not a one-shot prediction paired with a static visualization (Katsoulakis et al., 2024). HepatoTwin is designed to meet that bar:</w:t>
      </w:r>
    </w:p>
    <w:tbl>
      <w:tblPr>
        <w:tblStyle w:val="Table2"/>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835"/>
        <w:tblGridChange w:id="0">
          <w:tblGrid>
            <w:gridCol w:w="8835"/>
          </w:tblGrid>
        </w:tblGridChange>
      </w:tblGrid>
      <w:tr>
        <w:trPr>
          <w:cantSplit w:val="0"/>
          <w:trHeight w:val="1230" w:hRule="atLeast"/>
          <w:tblHeader w:val="0"/>
        </w:trPr>
        <w:tc>
          <w:tcPr>
            <w:tcBorders>
              <w:top w:color="c1443c" w:space="0" w:sz="5" w:val="single"/>
              <w:left w:color="c1443c" w:space="0" w:sz="5" w:val="single"/>
              <w:bottom w:color="c1443c" w:space="0" w:sz="5" w:val="single"/>
              <w:right w:color="c1443c" w:space="0" w:sz="5" w:val="single"/>
            </w:tcBorders>
            <w:shd w:fill="ffffff" w:val="clear"/>
            <w:tcMar>
              <w:top w:w="140.0" w:type="dxa"/>
              <w:left w:w="180.0" w:type="dxa"/>
              <w:bottom w:w="140.0" w:type="dxa"/>
              <w:right w:w="180.0" w:type="dxa"/>
            </w:tcMar>
            <w:vAlign w:val="top"/>
          </w:tcPr>
          <w:p w:rsidR="00000000" w:rsidDel="00000000" w:rsidP="00000000" w:rsidRDefault="00000000" w:rsidRPr="00000000" w14:paraId="0000000A">
            <w:pPr>
              <w:spacing w:after="60" w:lineRule="auto"/>
              <w:rPr>
                <w:rFonts w:ascii="Times New Roman" w:cs="Times New Roman" w:eastAsia="Times New Roman" w:hAnsi="Times New Roman"/>
                <w:b w:val="1"/>
                <w:bCs w:val="1"/>
              </w:rPr>
            </w:pPr>
            <w:r w:rsidDel="00000000" w:rsidR="00000000" w:rsidRPr="00000000">
              <w:rPr>
                <w:rFonts w:ascii="Gungsuh" w:cs="Gungsuh" w:eastAsia="Gungsuh" w:hAnsi="Gungsuh"/>
                <w:b w:val="1"/>
                <w:bCs w:val="1"/>
                <w:rtl w:val="0"/>
              </w:rPr>
              <w:t xml:space="preserve">Digital Twin ≠ 3D liver</w:t>
            </w:r>
          </w:p>
          <w:p w:rsidR="00000000" w:rsidDel="00000000" w:rsidP="00000000" w:rsidRDefault="00000000" w:rsidRPr="00000000" w14:paraId="0000000B">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The 3D render (Layer 6, §9) is one interface into the twin, not the twin itself. The actual digital twin is the combination of patient state, clinical prediction, biological knowledge, intervention evidence, the scenario engine, and the future-state representation — Layers 2 through 6 together.</w:t>
            </w:r>
          </w:p>
        </w:tc>
      </w:tr>
    </w:tbl>
    <w:p w:rsidR="00000000" w:rsidDel="00000000" w:rsidP="00000000" w:rsidRDefault="00000000" w:rsidRPr="00000000" w14:paraId="0000000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State, not a snapshot: the twin holds a calibrated hepatic risk state plus a nutritional-exposure profile per patient, both of which update on new clinical data or a new recipe plan — not recomputed once and displayed.</w:t>
      </w:r>
    </w:p>
    <w:p w:rsidR="00000000" w:rsidDel="00000000" w:rsidP="00000000" w:rsidRDefault="00000000" w:rsidRPr="00000000" w14:paraId="0000000D">
      <w:pPr>
        <w:ind w:left="640" w:hanging="240"/>
        <w:rPr>
          <w:sz w:val="20"/>
          <w:szCs w:val="20"/>
        </w:rPr>
      </w:pPr>
      <w:r w:rsidDel="00000000" w:rsidR="00000000" w:rsidRPr="00000000">
        <w:rPr>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0"/>
          <w:szCs w:val="20"/>
          <w:rtl w:val="0"/>
        </w:rPr>
        <w:t xml:space="preserve">Simulations of future states, not lookups: The scenario engine (§8) is not looking up a static recommendation — it simulates the future state of the twin, given a specific recipe, based on effect sizes derived from the evidence rather than the risk model’s extrapolation.</w:t>
      </w:r>
    </w:p>
    <w:p w:rsidR="00000000" w:rsidDel="00000000" w:rsidP="00000000" w:rsidRDefault="00000000" w:rsidRPr="00000000" w14:paraId="0000000E">
      <w:pPr>
        <w:ind w:left="16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0F">
      <w:pPr>
        <w:rPr>
          <w:b w:val="1"/>
          <w:bCs w:val="1"/>
        </w:rPr>
      </w:pPr>
      <w:r w:rsidDel="00000000" w:rsidR="00000000" w:rsidRPr="00000000">
        <w:rPr>
          <w:b w:val="1"/>
          <w:bCs w:val="1"/>
          <w:rtl w:val="0"/>
        </w:rPr>
        <w:t xml:space="preserve">Scope Note – longitudinal validation not done</w:t>
      </w:r>
    </w:p>
    <w:p w:rsidR="00000000" w:rsidDel="00000000" w:rsidP="00000000" w:rsidRDefault="00000000" w:rsidRPr="00000000" w14:paraId="00000010">
      <w:pPr>
        <w:rPr>
          <w:sz w:val="20"/>
          <w:szCs w:val="20"/>
        </w:rPr>
      </w:pPr>
      <w:r w:rsidDel="00000000" w:rsidR="00000000" w:rsidRPr="00000000">
        <w:rPr>
          <w:sz w:val="20"/>
          <w:szCs w:val="20"/>
          <w:rtl w:val="0"/>
        </w:rPr>
        <w:t xml:space="preserve">The current project does not perform longitudinal validation by comparing the projections to the true repeat measurements outcome data — the clinical data set (§13) used is a cross-sectional one. All projections of the future states are marked as “simulated projections, not a clinical prediction” and all scenarios are based on the clinical evidence (§6).</w:t>
      </w:r>
    </w:p>
    <w:p w:rsidR="00000000" w:rsidDel="00000000" w:rsidP="00000000" w:rsidRDefault="00000000" w:rsidRPr="00000000" w14:paraId="00000011">
      <w:pPr>
        <w:pStyle w:val="Heading1"/>
        <w:keepNext w:val="0"/>
        <w:keepLines w:val="0"/>
        <w:spacing w:before="480" w:lineRule="auto"/>
        <w:rPr>
          <w:rFonts w:ascii="Times New Roman" w:cs="Times New Roman" w:eastAsia="Times New Roman" w:hAnsi="Times New Roman"/>
          <w:b w:val="1"/>
          <w:bCs w:val="1"/>
          <w:sz w:val="46"/>
          <w:szCs w:val="46"/>
        </w:rPr>
      </w:pPr>
      <w:bookmarkStart w:colFirst="0" w:colLast="0" w:name="_xihju4746dwx" w:id="2"/>
      <w:bookmarkEnd w:id="2"/>
      <w:r w:rsidDel="00000000" w:rsidR="00000000" w:rsidRPr="00000000">
        <w:rPr>
          <w:rFonts w:ascii="Times New Roman" w:cs="Times New Roman" w:eastAsia="Times New Roman" w:hAnsi="Times New Roman"/>
          <w:b w:val="1"/>
          <w:bCs w:val="1"/>
          <w:sz w:val="30"/>
          <w:szCs w:val="30"/>
          <w:rtl w:val="0"/>
        </w:rPr>
        <w:t xml:space="preserve">2. System Architecture — Seven Layers</w:t>
      </w:r>
      <w:r w:rsidDel="00000000" w:rsidR="00000000" w:rsidRPr="00000000">
        <w:rPr>
          <w:rtl w:val="0"/>
        </w:rPr>
      </w:r>
    </w:p>
    <w:p w:rsidR="00000000" w:rsidDel="00000000" w:rsidP="00000000" w:rsidRDefault="00000000" w:rsidRPr="00000000" w14:paraId="00000012">
      <w:pPr>
        <w:spacing w:after="160" w:line="26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digital twin is the whole stack, not any single layer — Layer 4, the recipe evaluation and ranking engine, is the primary research contribution and is referred to internally as NutriTwin.</w:t>
      </w:r>
    </w:p>
    <w:tbl>
      <w:tblPr>
        <w:tblStyle w:val="Table3"/>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10"/>
        <w:gridCol w:w="4065"/>
        <w:gridCol w:w="3360"/>
        <w:tblGridChange w:id="0">
          <w:tblGrid>
            <w:gridCol w:w="1410"/>
            <w:gridCol w:w="4065"/>
            <w:gridCol w:w="3360"/>
          </w:tblGrid>
        </w:tblGridChange>
      </w:tblGrid>
      <w:tr>
        <w:trPr>
          <w:cantSplit w:val="0"/>
          <w:trHeight w:val="375" w:hRule="atLeast"/>
          <w:tblHeader w:val="0"/>
        </w:trPr>
        <w:tc>
          <w:tcPr>
            <w:tcBorders>
              <w:top w:color="b7b7b7" w:space="0" w:sz="5" w:val="single"/>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13">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Layer</w:t>
            </w:r>
          </w:p>
        </w:tc>
        <w:tc>
          <w:tcPr>
            <w:tcBorders>
              <w:top w:color="b7b7b7" w:space="0" w:sz="5" w:val="single"/>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14">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Contents</w:t>
            </w:r>
          </w:p>
        </w:tc>
        <w:tc>
          <w:tcPr>
            <w:tcBorders>
              <w:top w:color="b7b7b7" w:space="0" w:sz="5" w:val="single"/>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15">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Role</w:t>
            </w:r>
          </w:p>
        </w:tc>
      </w:tr>
      <w:tr>
        <w:trPr>
          <w:cantSplit w:val="0"/>
          <w:trHeight w:val="615"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16">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1. Patient State</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17">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Demographics, lifestyle, clinical biomarkers, current diet (as a recipe list)</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18">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Raw input</w:t>
            </w:r>
          </w:p>
        </w:tc>
      </w:tr>
      <w:tr>
        <w:trPr>
          <w:cantSplit w:val="0"/>
          <w:trHeight w:val="810"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19">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2. Liver Digital Twin — Current State</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1A">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Calibrated MASLD/steatosis risk, fibrosis risk (FIB-4, §17.2), biological state representation, causal knowledge graph</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1B">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The twin's core (§5)</w:t>
            </w:r>
          </w:p>
        </w:tc>
      </w:tr>
      <w:tr>
        <w:trPr>
          <w:cantSplit w:val="0"/>
          <w:trHeight w:val="615"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1C">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3. Intervention Evidence Engine</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1D">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Clinical trials/meta-analyses, DietRx/SpiceRx associations, causal-graph gating</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1E">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Evidence-graded health signal (§6)</w:t>
            </w:r>
          </w:p>
        </w:tc>
      </w:tr>
      <w:tr>
        <w:trPr>
          <w:cantSplit w:val="0"/>
          <w:trHeight w:val="1020"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1F">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4. Recipe Evaluation and Ranking Engine (NutriTwin)</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20">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Health, cuisine, and cooking-feasibility objectives over RecipeDB</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21">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Core research contribution (§7)</w:t>
            </w:r>
          </w:p>
        </w:tc>
      </w:tr>
      <w:tr>
        <w:trPr>
          <w:cantSplit w:val="0"/>
          <w:trHeight w:val="615"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22">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5. Scenario Engine</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23">
            <w:pPr>
              <w:spacing w:after="40" w:lineRule="auto"/>
              <w:rPr>
                <w:rFonts w:ascii="Times New Roman" w:cs="Times New Roman" w:eastAsia="Times New Roman" w:hAnsi="Times New Roman"/>
                <w:sz w:val="17"/>
                <w:szCs w:val="17"/>
              </w:rPr>
            </w:pPr>
            <w:r w:rsidDel="00000000" w:rsidR="00000000" w:rsidRPr="00000000">
              <w:rPr>
                <w:rFonts w:ascii="Cardo" w:cs="Cardo" w:eastAsia="Cardo" w:hAnsi="Cardo"/>
                <w:sz w:val="17"/>
                <w:szCs w:val="17"/>
                <w:rtl w:val="0"/>
              </w:rPr>
              <w:t xml:space="preserve">“What if the patient adopts Recipe A / B / C?” → evidence-graded projected direction</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24">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Makes the twin interactive (§8)</w:t>
            </w:r>
          </w:p>
        </w:tc>
      </w:tr>
      <w:tr>
        <w:trPr>
          <w:cantSplit w:val="0"/>
          <w:trHeight w:val="615"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25">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6. Digital Twin Visualization</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26">
            <w:pPr>
              <w:spacing w:after="40" w:lineRule="auto"/>
              <w:rPr>
                <w:rFonts w:ascii="Times New Roman" w:cs="Times New Roman" w:eastAsia="Times New Roman" w:hAnsi="Times New Roman"/>
                <w:sz w:val="17"/>
                <w:szCs w:val="17"/>
              </w:rPr>
            </w:pPr>
            <w:r w:rsidDel="00000000" w:rsidR="00000000" w:rsidRPr="00000000">
              <w:rPr>
                <w:rFonts w:ascii="Cardo" w:cs="Cardo" w:eastAsia="Cardo" w:hAnsi="Cardo"/>
                <w:sz w:val="17"/>
                <w:szCs w:val="17"/>
                <w:rtl w:val="0"/>
              </w:rPr>
              <w:t xml:space="preserve">3D liver (simplified, S0–S3) + timeline slider (today → 3m → 6m → 1y)</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27">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The twin's interface (§9)</w:t>
            </w:r>
          </w:p>
        </w:tc>
      </w:tr>
      <w:tr>
        <w:trPr>
          <w:cantSplit w:val="0"/>
          <w:trHeight w:val="615"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28">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7. Explainable Dashboard</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29">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Why this recipe, evidence sources, nutritional fit, confidence</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2A">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User-facing layer (§10)</w:t>
            </w:r>
          </w:p>
        </w:tc>
      </w:tr>
    </w:tbl>
    <w:p w:rsidR="00000000" w:rsidDel="00000000" w:rsidP="00000000" w:rsidRDefault="00000000" w:rsidRPr="00000000" w14:paraId="0000002B">
      <w:pPr>
        <w:pStyle w:val="Heading1"/>
        <w:keepNext w:val="0"/>
        <w:keepLines w:val="0"/>
        <w:spacing w:before="480" w:lineRule="auto"/>
        <w:rPr>
          <w:rFonts w:ascii="Times New Roman" w:cs="Times New Roman" w:eastAsia="Times New Roman" w:hAnsi="Times New Roman"/>
          <w:b w:val="1"/>
          <w:bCs w:val="1"/>
          <w:sz w:val="46"/>
          <w:szCs w:val="46"/>
        </w:rPr>
      </w:pPr>
      <w:bookmarkStart w:colFirst="0" w:colLast="0" w:name="_gfgoxnyuipaq" w:id="3"/>
      <w:bookmarkEnd w:id="3"/>
      <w:r w:rsidDel="00000000" w:rsidR="00000000" w:rsidRPr="00000000">
        <w:rPr>
          <w:rFonts w:ascii="Times New Roman" w:cs="Times New Roman" w:eastAsia="Times New Roman" w:hAnsi="Times New Roman"/>
          <w:b w:val="1"/>
          <w:bCs w:val="1"/>
          <w:sz w:val="30"/>
          <w:szCs w:val="30"/>
          <w:rtl w:val="0"/>
        </w:rPr>
        <w:t xml:space="preserve">3. Need for the following Databases</w:t>
      </w:r>
      <w:r w:rsidDel="00000000" w:rsidR="00000000" w:rsidRPr="00000000">
        <w:rPr>
          <w:rtl w:val="0"/>
        </w:rPr>
      </w:r>
    </w:p>
    <w:p w:rsidR="00000000" w:rsidDel="00000000" w:rsidP="00000000" w:rsidRDefault="00000000" w:rsidRPr="00000000" w14:paraId="0000002C">
      <w:pPr>
        <w:spacing w:after="160" w:line="26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Layers 3 and 4 are where the lab's own assets are load-bearing:</w:t>
      </w:r>
    </w:p>
    <w:tbl>
      <w:tblPr>
        <w:tblStyle w:val="Table4"/>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55"/>
        <w:gridCol w:w="6180"/>
        <w:tblGridChange w:id="0">
          <w:tblGrid>
            <w:gridCol w:w="2655"/>
            <w:gridCol w:w="6180"/>
          </w:tblGrid>
        </w:tblGridChange>
      </w:tblGrid>
      <w:tr>
        <w:trPr>
          <w:cantSplit w:val="0"/>
          <w:trHeight w:val="375" w:hRule="atLeast"/>
          <w:tblHeader w:val="0"/>
        </w:trPr>
        <w:tc>
          <w:tcPr>
            <w:tcBorders>
              <w:top w:color="b7b7b7" w:space="0" w:sz="5" w:val="single"/>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2D">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Lab asset</w:t>
            </w:r>
          </w:p>
        </w:tc>
        <w:tc>
          <w:tcPr>
            <w:tcBorders>
              <w:top w:color="b7b7b7" w:space="0" w:sz="5" w:val="single"/>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2E">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Role in this project</w:t>
            </w:r>
          </w:p>
        </w:tc>
      </w:tr>
      <w:tr>
        <w:trPr>
          <w:cantSplit w:val="0"/>
          <w:trHeight w:val="615"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2F">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RecipeDB</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30">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Source corpus for candidate recipes; supplies ingredient/process/utensil structure used for the cooking-feasibility objective.</w:t>
            </w:r>
          </w:p>
        </w:tc>
      </w:tr>
      <w:tr>
        <w:trPr>
          <w:cantSplit w:val="0"/>
          <w:trHeight w:val="1020"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31">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FlavorDB</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32">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Compound-level ingredient flavor profiles; explored during the literature review as a possible flavor-similarity signal, but not used as a core scoring component, since the flavor of a fully cooked, multi-ingredient dish cannot be reliably predicted from individual compound profiles (see §4).</w:t>
            </w:r>
          </w:p>
        </w:tc>
      </w:tr>
      <w:tr>
        <w:trPr>
          <w:cantSplit w:val="0"/>
          <w:trHeight w:val="615"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33">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DietRx / SpiceRx</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34">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Food–disease and spice–disease association evidence, used to score the health-relevance of a candidate recipe for MASLD-relevant outcomes.</w:t>
            </w:r>
          </w:p>
        </w:tc>
      </w:tr>
      <w:tr>
        <w:trPr>
          <w:cantSplit w:val="0"/>
          <w:trHeight w:val="810"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35">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Computational gastronomy methodology</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36">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The recipe evaluation methodology itself — multi-criteria scoring and ranking over a food knowledge graph — extends the food-pairing / recipe-recommendation line of work already established in the lab's own literature (§4).</w:t>
            </w:r>
          </w:p>
        </w:tc>
      </w:tr>
    </w:tbl>
    <w:p w:rsidR="00000000" w:rsidDel="00000000" w:rsidP="00000000" w:rsidRDefault="00000000" w:rsidRPr="00000000" w14:paraId="00000037">
      <w:pPr>
        <w:spacing w:after="160" w:line="26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clinical model (Layer 2) is deliberately scoped as an input to the twin, not the object of study — the thing being invented is the ranking engine, not the risk predictor.</w:t>
      </w:r>
    </w:p>
    <w:p w:rsidR="00000000" w:rsidDel="00000000" w:rsidP="00000000" w:rsidRDefault="00000000" w:rsidRPr="00000000" w14:paraId="00000038">
      <w:pPr>
        <w:pStyle w:val="Heading1"/>
        <w:keepNext w:val="0"/>
        <w:keepLines w:val="0"/>
        <w:spacing w:before="480" w:lineRule="auto"/>
        <w:rPr>
          <w:rFonts w:ascii="Times New Roman" w:cs="Times New Roman" w:eastAsia="Times New Roman" w:hAnsi="Times New Roman"/>
          <w:b w:val="1"/>
          <w:bCs w:val="1"/>
          <w:sz w:val="46"/>
          <w:szCs w:val="46"/>
        </w:rPr>
      </w:pPr>
      <w:bookmarkStart w:colFirst="0" w:colLast="0" w:name="_vofj7abvoasg" w:id="4"/>
      <w:bookmarkEnd w:id="4"/>
      <w:r w:rsidDel="00000000" w:rsidR="00000000" w:rsidRPr="00000000">
        <w:rPr>
          <w:rFonts w:ascii="Times New Roman" w:cs="Times New Roman" w:eastAsia="Times New Roman" w:hAnsi="Times New Roman"/>
          <w:b w:val="1"/>
          <w:bCs w:val="1"/>
          <w:sz w:val="30"/>
          <w:szCs w:val="30"/>
          <w:rtl w:val="0"/>
        </w:rPr>
        <w:t xml:space="preserve">4. Related Work — Where the Gap Sits</w:t>
      </w:r>
      <w:r w:rsidDel="00000000" w:rsidR="00000000" w:rsidRPr="00000000">
        <w:rPr>
          <w:rtl w:val="0"/>
        </w:rPr>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Three related strands of research point to the open problem addressed in this work:</w:t>
      </w:r>
    </w:p>
    <w:p w:rsidR="00000000" w:rsidDel="00000000" w:rsidP="00000000" w:rsidRDefault="00000000" w:rsidRPr="00000000" w14:paraId="0000003A">
      <w:pPr>
        <w:numPr>
          <w:ilvl w:val="0"/>
          <w:numId w:val="1"/>
        </w:numPr>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b w:val="1"/>
          <w:bCs w:val="1"/>
          <w:rtl w:val="0"/>
        </w:rPr>
        <w:t xml:space="preserve">Computational gastronomy and recipe databases:</w:t>
      </w:r>
      <w:r w:rsidDel="00000000" w:rsidR="00000000" w:rsidRPr="00000000">
        <w:rPr>
          <w:rFonts w:ascii="Times New Roman" w:cs="Times New Roman" w:eastAsia="Times New Roman" w:hAnsi="Times New Roman"/>
          <w:rtl w:val="0"/>
        </w:rPr>
        <w:t xml:space="preserve"> Resources such as RecipeDB provide structured information about recipes, including ingredients, nutritional profiles, cuisines, cooking processes, dietary styles, and associations with flavor and health-related resources. However, these systems are primarily designed for exploring and querying culinary data rather than evaluating existing recipes for the specific needs of an individual patient.</w:t>
      </w:r>
    </w:p>
    <w:p w:rsidR="00000000" w:rsidDel="00000000" w:rsidP="00000000" w:rsidRDefault="00000000" w:rsidRPr="00000000" w14:paraId="0000003B">
      <w:pPr>
        <w:numPr>
          <w:ilvl w:val="0"/>
          <w:numId w:val="1"/>
        </w:numPr>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b w:val="1"/>
          <w:bCs w:val="1"/>
          <w:rtl w:val="0"/>
        </w:rPr>
        <w:t xml:space="preserve">Food, nutrition, and health knowledge resources:</w:t>
      </w:r>
      <w:r w:rsidDel="00000000" w:rsidR="00000000" w:rsidRPr="00000000">
        <w:rPr>
          <w:rFonts w:ascii="Times New Roman" w:cs="Times New Roman" w:eastAsia="Times New Roman" w:hAnsi="Times New Roman"/>
          <w:rtl w:val="0"/>
        </w:rPr>
        <w:t xml:space="preserve"> Databases such as DietRx and SpiceRx connect foods and ingredients with reported dietary and health associations. These resources provide valuable evidence that can support personalized dietary decisions. However, they do not by themselves provide a framework for evaluating complete recipes according to a patient's current health state.</w:t>
      </w:r>
    </w:p>
    <w:p w:rsidR="00000000" w:rsidDel="00000000" w:rsidP="00000000" w:rsidRDefault="00000000" w:rsidRPr="00000000" w14:paraId="0000003C">
      <w:pPr>
        <w:numPr>
          <w:ilvl w:val="0"/>
          <w:numId w:val="1"/>
        </w:numPr>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b w:val="1"/>
          <w:bCs w:val="1"/>
          <w:rtl w:val="0"/>
        </w:rPr>
        <w:t xml:space="preserve">Patient-specific metabolic and liver digital twins:</w:t>
      </w:r>
      <w:r w:rsidDel="00000000" w:rsidR="00000000" w:rsidRPr="00000000">
        <w:rPr>
          <w:rFonts w:ascii="Times New Roman" w:cs="Times New Roman" w:eastAsia="Times New Roman" w:hAnsi="Times New Roman"/>
          <w:rtl w:val="0"/>
        </w:rPr>
        <w:t xml:space="preserve"> Existing work on digital twins and personalized nutrition focuses on modeling patient state, biomarkers, disease progression, and personalized interventions. However, existing recipes are generally not treated as a structured candidate space that can be systematically evaluated according to multiple criteria relevant to an individual patient.</w:t>
      </w:r>
    </w:p>
    <w:p w:rsidR="00000000" w:rsidDel="00000000" w:rsidP="00000000" w:rsidRDefault="00000000" w:rsidRPr="00000000" w14:paraId="0000003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These three areas provide complementary pieces of the problem: recipe databases provide structured descriptions of food and recipes, health knowledge resources provide evidence about food–health relationships, and patient-specific digital twins model the health state of an individual. However, these components are typically studied separately.</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Recent work shows the area is active but early. In an open-label randomised trial in 319 people with type 2 diabetes, digital-twin-guided nutrition, which selected foods by their predicted post-meal glucose response, improved liver-fat scores and MRI-PDFF over one year (Joshi et al., 2023). The Horizon Europe project ARTEMIS (grant 101136299; registered as the observational study NCT07430501) is building virtual twins of MASLD from retrospective data on about 7,700 patients across European centres, including prediction of cardiovascular events. Neither ranks existing recipes against evidence-graded, patient-specific objectives.</w:t>
      </w:r>
    </w:p>
    <w:p w:rsidR="00000000" w:rsidDel="00000000" w:rsidP="00000000" w:rsidRDefault="00000000" w:rsidRPr="00000000" w14:paraId="0000003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3F">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The Research Gap</w:t>
      </w:r>
    </w:p>
    <w:p w:rsidR="00000000" w:rsidDel="00000000" w:rsidP="00000000" w:rsidRDefault="00000000" w:rsidRPr="00000000" w14:paraId="0000004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Based on our literature review, we identify a gap at the intersection of </w:t>
      </w:r>
      <w:r w:rsidDel="00000000" w:rsidR="00000000" w:rsidRPr="00000000">
        <w:rPr>
          <w:rFonts w:ascii="Times New Roman" w:cs="Times New Roman" w:eastAsia="Times New Roman" w:hAnsi="Times New Roman"/>
          <w:b w:val="1"/>
          <w:bCs w:val="1"/>
          <w:rtl w:val="0"/>
        </w:rPr>
        <w:t xml:space="preserve">patient-specific health modeling, evidence-based nutrition, and computational gastronomy</w:t>
      </w:r>
      <w:r w:rsidDel="00000000" w:rsidR="00000000" w:rsidRPr="00000000">
        <w:rPr>
          <w:rFonts w:ascii="Times New Roman" w:cs="Times New Roman" w:eastAsia="Times New Roman" w:hAnsi="Times New Roman"/>
          <w:rtl w:val="0"/>
        </w:rPr>
        <w:t xml:space="preserve">. While structured recipe databases allow exploration of existing recipes, and digital twin approaches support patient-specific health modeling, there is limited work connecting these components to systematically evaluate and rank existing recipes for a particular patient's health state.</w:t>
      </w:r>
    </w:p>
    <w:p w:rsidR="00000000" w:rsidDel="00000000" w:rsidP="00000000" w:rsidRDefault="00000000" w:rsidRPr="00000000" w14:paraId="0000004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 particular, we did not identify a framework that combines:</w:t>
      </w:r>
    </w:p>
    <w:p w:rsidR="00000000" w:rsidDel="00000000" w:rsidP="00000000" w:rsidRDefault="00000000" w:rsidRPr="00000000" w14:paraId="00000042">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health relevance</w:t>
      </w:r>
      <w:r w:rsidDel="00000000" w:rsidR="00000000" w:rsidRPr="00000000">
        <w:rPr>
          <w:rFonts w:ascii="Times New Roman" w:cs="Times New Roman" w:eastAsia="Times New Roman" w:hAnsi="Times New Roman"/>
          <w:rtl w:val="0"/>
        </w:rPr>
        <w:t xml:space="preserve">, derived from the patient's current state and evidence-based dietary objectives;</w:t>
      </w:r>
    </w:p>
    <w:p w:rsidR="00000000" w:rsidDel="00000000" w:rsidP="00000000" w:rsidRDefault="00000000" w:rsidRPr="00000000" w14:paraId="00000043">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cuisine compatibility</w:t>
      </w:r>
      <w:r w:rsidDel="00000000" w:rsidR="00000000" w:rsidRPr="00000000">
        <w:rPr>
          <w:rFonts w:ascii="Times New Roman" w:cs="Times New Roman" w:eastAsia="Times New Roman" w:hAnsi="Times New Roman"/>
          <w:rtl w:val="0"/>
        </w:rPr>
        <w:t xml:space="preserve">, to account for the patient's dietary and culinary context; and</w:t>
      </w:r>
    </w:p>
    <w:p w:rsidR="00000000" w:rsidDel="00000000" w:rsidP="00000000" w:rsidRDefault="00000000" w:rsidRPr="00000000" w14:paraId="00000044">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practical cooking feasibility</w:t>
      </w:r>
      <w:r w:rsidDel="00000000" w:rsidR="00000000" w:rsidRPr="00000000">
        <w:rPr>
          <w:rFonts w:ascii="Times New Roman" w:cs="Times New Roman" w:eastAsia="Times New Roman" w:hAnsi="Times New Roman"/>
          <w:rtl w:val="0"/>
        </w:rPr>
        <w:t xml:space="preserve">, based on recipe ingredients and cooking requirements;</w:t>
      </w:r>
    </w:p>
    <w:p w:rsidR="00000000" w:rsidDel="00000000" w:rsidP="00000000" w:rsidRDefault="00000000" w:rsidRPr="00000000" w14:paraId="0000004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within a transparent multi-criteria framework for patient-specific recipe evaluation.</w:t>
      </w:r>
    </w:p>
    <w:p w:rsidR="00000000" w:rsidDel="00000000" w:rsidP="00000000" w:rsidRDefault="00000000" w:rsidRPr="00000000" w14:paraId="0000004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47">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How HepatoTwin Addresses the Gap</w:t>
      </w:r>
    </w:p>
    <w:p w:rsidR="00000000" w:rsidDel="00000000" w:rsidP="00000000" w:rsidRDefault="00000000" w:rsidRPr="00000000" w14:paraId="0000004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Rather than generating new recipes or performing ingredient substitutions, </w:t>
      </w:r>
      <w:r w:rsidDel="00000000" w:rsidR="00000000" w:rsidRPr="00000000">
        <w:rPr>
          <w:rFonts w:ascii="Times New Roman" w:cs="Times New Roman" w:eastAsia="Times New Roman" w:hAnsi="Times New Roman"/>
          <w:b w:val="1"/>
          <w:bCs w:val="1"/>
          <w:rtl w:val="0"/>
        </w:rPr>
        <w:t xml:space="preserve">HepatoTwin evaluates existing candidate recipes</w:t>
      </w:r>
      <w:r w:rsidDel="00000000" w:rsidR="00000000" w:rsidRPr="00000000">
        <w:rPr>
          <w:rFonts w:ascii="Times New Roman" w:cs="Times New Roman" w:eastAsia="Times New Roman" w:hAnsi="Times New Roman"/>
          <w:rtl w:val="0"/>
        </w:rPr>
        <w:t xml:space="preserve"> from a structured recipe corpus. The patient's current liver and metabolic state is first represented through the digital twin, which is then used to derive evidence-based dietary objectives.</w:t>
      </w:r>
    </w:p>
    <w:p w:rsidR="00000000" w:rsidDel="00000000" w:rsidP="00000000" w:rsidRDefault="00000000" w:rsidRPr="00000000" w14:paraId="0000004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Each candidate recipe is subsequently evaluated according to its </w:t>
      </w:r>
      <w:r w:rsidDel="00000000" w:rsidR="00000000" w:rsidRPr="00000000">
        <w:rPr>
          <w:rFonts w:ascii="Times New Roman" w:cs="Times New Roman" w:eastAsia="Times New Roman" w:hAnsi="Times New Roman"/>
          <w:b w:val="1"/>
          <w:bCs w:val="1"/>
          <w:rtl w:val="0"/>
        </w:rPr>
        <w:t xml:space="preserve">health relevance, cuisine compatibility, and practical cooking feasibility</w:t>
      </w:r>
      <w:r w:rsidDel="00000000" w:rsidR="00000000" w:rsidRPr="00000000">
        <w:rPr>
          <w:rFonts w:ascii="Times New Roman" w:cs="Times New Roman" w:eastAsia="Times New Roman" w:hAnsi="Times New Roman"/>
          <w:rtl w:val="0"/>
        </w:rPr>
        <w:t xml:space="preserve">. These criteria are combined using a transparent multi-criteria scoring framework to produce a ranked list of the most suitable recipe options for the patient.</w:t>
      </w:r>
    </w:p>
    <w:p w:rsidR="00000000" w:rsidDel="00000000" w:rsidP="00000000" w:rsidRDefault="00000000" w:rsidRPr="00000000" w14:paraId="0000004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Thus, the central contribution of HepatoTwin is not recipe generation or flavor-preserving ingredient substitution. Instead, it provides a framework for connecting a </w:t>
      </w:r>
      <w:r w:rsidDel="00000000" w:rsidR="00000000" w:rsidRPr="00000000">
        <w:rPr>
          <w:rFonts w:ascii="Times New Roman" w:cs="Times New Roman" w:eastAsia="Times New Roman" w:hAnsi="Times New Roman"/>
          <w:b w:val="1"/>
          <w:bCs w:val="1"/>
          <w:rtl w:val="0"/>
        </w:rPr>
        <w:t xml:space="preserve">patient-specific liver digital twin with evidence-based dietary knowledge and structured recipe data to support transparent evaluation and ranking of existing recipes</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4B">
      <w:pPr>
        <w:pStyle w:val="Heading1"/>
        <w:keepNext w:val="0"/>
        <w:keepLines w:val="0"/>
        <w:spacing w:before="480" w:lineRule="auto"/>
        <w:rPr>
          <w:rFonts w:ascii="Times New Roman" w:cs="Times New Roman" w:eastAsia="Times New Roman" w:hAnsi="Times New Roman"/>
          <w:b w:val="1"/>
          <w:bCs w:val="1"/>
          <w:sz w:val="46"/>
          <w:szCs w:val="46"/>
        </w:rPr>
      </w:pPr>
      <w:bookmarkStart w:colFirst="0" w:colLast="0" w:name="_vige7454co27" w:id="5"/>
      <w:bookmarkEnd w:id="5"/>
      <w:r w:rsidDel="00000000" w:rsidR="00000000" w:rsidRPr="00000000">
        <w:rPr>
          <w:rFonts w:ascii="Times New Roman" w:cs="Times New Roman" w:eastAsia="Times New Roman" w:hAnsi="Times New Roman"/>
          <w:b w:val="1"/>
          <w:bCs w:val="1"/>
          <w:sz w:val="30"/>
          <w:szCs w:val="30"/>
          <w:rtl w:val="0"/>
        </w:rPr>
        <w:t xml:space="preserve">5. Layer 2 — Liver Digital Twin Core (Current State Model)</w:t>
      </w:r>
      <w:r w:rsidDel="00000000" w:rsidR="00000000" w:rsidRPr="00000000">
        <w:rPr>
          <w:rtl w:val="0"/>
        </w:rPr>
      </w:r>
    </w:p>
    <w:p w:rsidR="00000000" w:rsidDel="00000000" w:rsidP="00000000" w:rsidRDefault="00000000" w:rsidRPr="00000000" w14:paraId="0000004C">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mgm0hsnhnzsj" w:id="6"/>
      <w:bookmarkEnd w:id="6"/>
      <w:r w:rsidDel="00000000" w:rsidR="00000000" w:rsidRPr="00000000">
        <w:rPr>
          <w:rFonts w:ascii="Times New Roman" w:cs="Times New Roman" w:eastAsia="Times New Roman" w:hAnsi="Times New Roman"/>
          <w:b w:val="1"/>
          <w:bCs w:val="1"/>
          <w:color w:val="000000"/>
          <w:sz w:val="26"/>
          <w:szCs w:val="26"/>
          <w:rtl w:val="0"/>
        </w:rPr>
        <w:t xml:space="preserve">5.1 Steatosis / MASLD risk model</w:t>
      </w:r>
    </w:p>
    <w:p w:rsidR="00000000" w:rsidDel="00000000" w:rsidP="00000000" w:rsidRDefault="00000000" w:rsidRPr="00000000" w14:paraId="0000004D">
      <w:pPr>
        <w:ind w:left="80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rtl w:val="0"/>
        </w:rPr>
        <w:t xml:space="preserve">XGBoost main model, compared to logistic regression and random forest baselines</w:t>
      </w:r>
    </w:p>
    <w:p w:rsidR="00000000" w:rsidDel="00000000" w:rsidP="00000000" w:rsidRDefault="00000000" w:rsidRPr="00000000" w14:paraId="0000004E">
      <w:pPr>
        <w:ind w:left="80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rtl w:val="0"/>
        </w:rPr>
        <w:t xml:space="preserve">Trained and evaluated on one cohort only (§13) to prevent cross-population validation bias</w:t>
      </w:r>
    </w:p>
    <w:p w:rsidR="00000000" w:rsidDel="00000000" w:rsidP="00000000" w:rsidRDefault="00000000" w:rsidRPr="00000000" w14:paraId="0000004F">
      <w:pPr>
        <w:ind w:left="80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rtl w:val="0"/>
        </w:rPr>
        <w:t xml:space="preserve">Postprocessed for proper calibration using Platt scaling/isotonic regression; reported together with Accuracy, F1, ROC-AUC as well as with the calibration plot and Brier score</w:t>
      </w:r>
    </w:p>
    <w:p w:rsidR="00000000" w:rsidDel="00000000" w:rsidP="00000000" w:rsidRDefault="00000000" w:rsidRPr="00000000" w14:paraId="00000050">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itr9xko9uy55" w:id="7"/>
      <w:bookmarkEnd w:id="7"/>
      <w:r w:rsidDel="00000000" w:rsidR="00000000" w:rsidRPr="00000000">
        <w:rPr>
          <w:rFonts w:ascii="Times New Roman" w:cs="Times New Roman" w:eastAsia="Times New Roman" w:hAnsi="Times New Roman"/>
          <w:b w:val="1"/>
          <w:bCs w:val="1"/>
          <w:color w:val="000000"/>
          <w:sz w:val="26"/>
          <w:szCs w:val="26"/>
          <w:rtl w:val="0"/>
        </w:rPr>
        <w:t xml:space="preserve">5.2 Explainability (SHAP)</w:t>
      </w:r>
    </w:p>
    <w:p w:rsidR="00000000" w:rsidDel="00000000" w:rsidP="00000000" w:rsidRDefault="00000000" w:rsidRPr="00000000" w14:paraId="0000005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SHAP determines which input features contributed most to a particular prediction of the current state, thus providing an interpretation at the level of features of the “current state” of the twin prior to intervention.</w:t>
      </w:r>
    </w:p>
    <w:p w:rsidR="00000000" w:rsidDel="00000000" w:rsidP="00000000" w:rsidRDefault="00000000" w:rsidRPr="00000000" w14:paraId="00000052">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qiu109ire880" w:id="8"/>
      <w:bookmarkEnd w:id="8"/>
      <w:r w:rsidDel="00000000" w:rsidR="00000000" w:rsidRPr="00000000">
        <w:rPr>
          <w:rFonts w:ascii="Times New Roman" w:cs="Times New Roman" w:eastAsia="Times New Roman" w:hAnsi="Times New Roman"/>
          <w:b w:val="1"/>
          <w:bCs w:val="1"/>
          <w:color w:val="000000"/>
          <w:sz w:val="26"/>
          <w:szCs w:val="26"/>
          <w:rtl w:val="0"/>
        </w:rPr>
        <w:t xml:space="preserve">5.3 Causal knowledge graph</w:t>
      </w:r>
    </w:p>
    <w:p w:rsidR="00000000" w:rsidDel="00000000" w:rsidP="00000000" w:rsidRDefault="00000000" w:rsidRPr="00000000" w14:paraId="00000053">
      <w:pPr>
        <w:spacing w:after="160" w:line="26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directed graph containing only a handful of hand-crafted relationships (~10-15), representing the well-known causal directionality of MASLD biology — for example, dietary/insulin resistance -&gt; fat deposition in the liver -&gt; consequent ALT/AST increase. This will limit the types of mutations that can be scored in Layer 3 to those that are plausibly causal within the scope of the problem definition, and ensure that the health objective does not try to act on a downstream consequence.</w:t>
      </w:r>
    </w:p>
    <w:p w:rsidR="00000000" w:rsidDel="00000000" w:rsidP="00000000" w:rsidRDefault="00000000" w:rsidRPr="00000000" w14:paraId="00000054">
      <w:pPr>
        <w:pStyle w:val="Heading1"/>
        <w:keepNext w:val="0"/>
        <w:keepLines w:val="0"/>
        <w:spacing w:before="480" w:lineRule="auto"/>
        <w:rPr>
          <w:rFonts w:ascii="Times New Roman" w:cs="Times New Roman" w:eastAsia="Times New Roman" w:hAnsi="Times New Roman"/>
          <w:b w:val="1"/>
          <w:bCs w:val="1"/>
          <w:sz w:val="46"/>
          <w:szCs w:val="46"/>
        </w:rPr>
      </w:pPr>
      <w:bookmarkStart w:colFirst="0" w:colLast="0" w:name="_nyf9y35593kg" w:id="9"/>
      <w:bookmarkEnd w:id="9"/>
      <w:r w:rsidDel="00000000" w:rsidR="00000000" w:rsidRPr="00000000">
        <w:rPr>
          <w:rFonts w:ascii="Times New Roman" w:cs="Times New Roman" w:eastAsia="Times New Roman" w:hAnsi="Times New Roman"/>
          <w:b w:val="1"/>
          <w:bCs w:val="1"/>
          <w:sz w:val="30"/>
          <w:szCs w:val="30"/>
          <w:rtl w:val="0"/>
        </w:rPr>
        <w:t xml:space="preserve">6. Layer 3 — Intervention Evidence Engine</w:t>
      </w:r>
      <w:r w:rsidDel="00000000" w:rsidR="00000000" w:rsidRPr="00000000">
        <w:rPr>
          <w:rtl w:val="0"/>
        </w:rPr>
      </w:r>
    </w:p>
    <w:p w:rsidR="00000000" w:rsidDel="00000000" w:rsidP="00000000" w:rsidRDefault="00000000" w:rsidRPr="00000000" w14:paraId="00000055">
      <w:pPr>
        <w:spacing w:after="160" w:line="26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Every intervention effect used by the ranking engine is pulled from a named clinical trial or meta-analysis, with an explicit evidence-strength label. Starter rows (target: 10–15 total):</w:t>
      </w:r>
    </w:p>
    <w:tbl>
      <w:tblPr>
        <w:tblStyle w:val="Table5"/>
        <w:tblW w:w="88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00"/>
        <w:gridCol w:w="1680"/>
        <w:gridCol w:w="2295"/>
        <w:gridCol w:w="2025"/>
        <w:gridCol w:w="1320"/>
        <w:tblGridChange w:id="0">
          <w:tblGrid>
            <w:gridCol w:w="1500"/>
            <w:gridCol w:w="1680"/>
            <w:gridCol w:w="2295"/>
            <w:gridCol w:w="2025"/>
            <w:gridCol w:w="1320"/>
          </w:tblGrid>
        </w:tblGridChange>
      </w:tblGrid>
      <w:tr>
        <w:trPr>
          <w:cantSplit w:val="0"/>
          <w:trHeight w:val="585" w:hRule="atLeast"/>
          <w:tblHeader w:val="0"/>
        </w:trPr>
        <w:tc>
          <w:tcPr>
            <w:tcBorders>
              <w:top w:color="b7b7b7" w:space="0" w:sz="5" w:val="single"/>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6">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Intervention</w:t>
            </w:r>
          </w:p>
        </w:tc>
        <w:tc>
          <w:tcPr>
            <w:tcBorders>
              <w:top w:color="b7b7b7" w:space="0" w:sz="5" w:val="single"/>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7">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Outcome measured</w:t>
            </w:r>
          </w:p>
        </w:tc>
        <w:tc>
          <w:tcPr>
            <w:tcBorders>
              <w:top w:color="b7b7b7" w:space="0" w:sz="5" w:val="single"/>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8">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Reported effect</w:t>
            </w:r>
          </w:p>
        </w:tc>
        <w:tc>
          <w:tcPr>
            <w:tcBorders>
              <w:top w:color="b7b7b7" w:space="0" w:sz="5" w:val="single"/>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9">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Source</w:t>
            </w:r>
          </w:p>
        </w:tc>
        <w:tc>
          <w:tcPr>
            <w:tcBorders>
              <w:top w:color="b7b7b7" w:space="0" w:sz="5" w:val="single"/>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A">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Evidence strength</w:t>
            </w:r>
          </w:p>
        </w:tc>
      </w:tr>
      <w:tr>
        <w:trPr>
          <w:cantSplit w:val="0"/>
          <w:trHeight w:val="1020" w:hRule="atLeast"/>
          <w:tblHeader w:val="0"/>
        </w:trPr>
        <w:tc>
          <w:tcPr>
            <w:tcBorders>
              <w:top w:color="000000" w:space="0" w:sz="0" w:val="nil"/>
              <w:left w:color="b7b7b7" w:space="0" w:sz="5" w:val="single"/>
              <w:bottom w:color="b7b7b7" w:space="0" w:sz="5" w:val="single"/>
              <w:right w:color="b7b7b7" w:space="0" w:sz="5" w:val="single"/>
            </w:tcBorders>
            <w:shd w:fill="fce4d6" w:val="clear"/>
            <w:tcMar>
              <w:top w:w="80.0" w:type="dxa"/>
              <w:left w:w="120.0" w:type="dxa"/>
              <w:bottom w:w="80.0" w:type="dxa"/>
              <w:right w:w="120.0" w:type="dxa"/>
            </w:tcMar>
            <w:vAlign w:val="top"/>
          </w:tcPr>
          <w:p w:rsidR="00000000" w:rsidDel="00000000" w:rsidP="00000000" w:rsidRDefault="00000000" w:rsidRPr="00000000" w14:paraId="0000005B">
            <w:pPr>
              <w:spacing w:after="40" w:lineRule="auto"/>
              <w:rPr>
                <w:rFonts w:ascii="Times New Roman" w:cs="Times New Roman" w:eastAsia="Times New Roman" w:hAnsi="Times New Roman"/>
                <w:sz w:val="17"/>
                <w:szCs w:val="17"/>
              </w:rPr>
            </w:pPr>
            <w:r w:rsidDel="00000000" w:rsidR="00000000" w:rsidRPr="00000000">
              <w:rPr>
                <w:rFonts w:ascii="Gungsuh" w:cs="Gungsuh" w:eastAsia="Gungsuh" w:hAnsi="Gungsuh"/>
                <w:sz w:val="17"/>
                <w:szCs w:val="17"/>
                <w:rtl w:val="0"/>
              </w:rPr>
              <w:t xml:space="preserve">Weight loss ≥5% of body weight</w:t>
            </w:r>
          </w:p>
        </w:tc>
        <w:tc>
          <w:tcPr>
            <w:tcBorders>
              <w:top w:color="000000" w:space="0" w:sz="0" w:val="nil"/>
              <w:left w:color="000000" w:space="0" w:sz="0" w:val="nil"/>
              <w:bottom w:color="b7b7b7" w:space="0" w:sz="5" w:val="single"/>
              <w:right w:color="b7b7b7" w:space="0" w:sz="5" w:val="single"/>
            </w:tcBorders>
            <w:shd w:fill="fce4d6" w:val="clear"/>
            <w:tcMar>
              <w:top w:w="80.0" w:type="dxa"/>
              <w:left w:w="120.0" w:type="dxa"/>
              <w:bottom w:w="80.0" w:type="dxa"/>
              <w:right w:w="120.0" w:type="dxa"/>
            </w:tcMar>
            <w:vAlign w:val="top"/>
          </w:tcPr>
          <w:p w:rsidR="00000000" w:rsidDel="00000000" w:rsidP="00000000" w:rsidRDefault="00000000" w:rsidRPr="00000000" w14:paraId="0000005C">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Hepatic steatosis (biopsy)</w:t>
            </w:r>
          </w:p>
        </w:tc>
        <w:tc>
          <w:tcPr>
            <w:tcBorders>
              <w:top w:color="000000" w:space="0" w:sz="0" w:val="nil"/>
              <w:left w:color="000000" w:space="0" w:sz="0" w:val="nil"/>
              <w:bottom w:color="b7b7b7" w:space="0" w:sz="5" w:val="single"/>
              <w:right w:color="b7b7b7" w:space="0" w:sz="5" w:val="single"/>
            </w:tcBorders>
            <w:shd w:fill="fce4d6" w:val="clear"/>
            <w:tcMar>
              <w:top w:w="80.0" w:type="dxa"/>
              <w:left w:w="120.0" w:type="dxa"/>
              <w:bottom w:w="80.0" w:type="dxa"/>
              <w:right w:w="120.0" w:type="dxa"/>
            </w:tcMar>
            <w:vAlign w:val="top"/>
          </w:tcPr>
          <w:p w:rsidR="00000000" w:rsidDel="00000000" w:rsidP="00000000" w:rsidRDefault="00000000" w:rsidRPr="00000000" w14:paraId="0000005D">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Reduction in steatosis observed at this threshold; dose-response with further loss</w:t>
            </w:r>
          </w:p>
        </w:tc>
        <w:tc>
          <w:tcPr>
            <w:tcBorders>
              <w:top w:color="000000" w:space="0" w:sz="0" w:val="nil"/>
              <w:left w:color="000000" w:space="0" w:sz="0" w:val="nil"/>
              <w:bottom w:color="b7b7b7" w:space="0" w:sz="5" w:val="single"/>
              <w:right w:color="b7b7b7" w:space="0" w:sz="5" w:val="single"/>
            </w:tcBorders>
            <w:shd w:fill="fce4d6" w:val="clear"/>
            <w:tcMar>
              <w:top w:w="80.0" w:type="dxa"/>
              <w:left w:w="120.0" w:type="dxa"/>
              <w:bottom w:w="80.0" w:type="dxa"/>
              <w:right w:w="120.0" w:type="dxa"/>
            </w:tcMar>
            <w:vAlign w:val="top"/>
          </w:tcPr>
          <w:p w:rsidR="00000000" w:rsidDel="00000000" w:rsidP="00000000" w:rsidRDefault="00000000" w:rsidRPr="00000000" w14:paraId="0000005E">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Vilar-Gomez et al., Gastroenterology, 2015</w:t>
            </w:r>
          </w:p>
        </w:tc>
        <w:tc>
          <w:tcPr>
            <w:tcBorders>
              <w:top w:color="000000" w:space="0" w:sz="0" w:val="nil"/>
              <w:left w:color="000000" w:space="0" w:sz="0" w:val="nil"/>
              <w:bottom w:color="b7b7b7" w:space="0" w:sz="5" w:val="single"/>
              <w:right w:color="b7b7b7" w:space="0" w:sz="5" w:val="single"/>
            </w:tcBorders>
            <w:shd w:fill="fce4d6" w:val="clear"/>
            <w:tcMar>
              <w:top w:w="80.0" w:type="dxa"/>
              <w:left w:w="120.0" w:type="dxa"/>
              <w:bottom w:w="80.0" w:type="dxa"/>
              <w:right w:w="120.0" w:type="dxa"/>
            </w:tcMar>
            <w:vAlign w:val="top"/>
          </w:tcPr>
          <w:p w:rsidR="00000000" w:rsidDel="00000000" w:rsidP="00000000" w:rsidRDefault="00000000" w:rsidRPr="00000000" w14:paraId="0000005F">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Strong (n=293, biopsy-paired)</w:t>
            </w:r>
          </w:p>
        </w:tc>
      </w:tr>
      <w:tr>
        <w:trPr>
          <w:cantSplit w:val="0"/>
          <w:trHeight w:val="810" w:hRule="atLeast"/>
          <w:tblHeader w:val="0"/>
        </w:trPr>
        <w:tc>
          <w:tcPr>
            <w:tcBorders>
              <w:top w:color="000000" w:space="0" w:sz="0" w:val="nil"/>
              <w:left w:color="b7b7b7" w:space="0" w:sz="5" w:val="single"/>
              <w:bottom w:color="b7b7b7" w:space="0" w:sz="5" w:val="single"/>
              <w:right w:color="b7b7b7" w:space="0" w:sz="5" w:val="single"/>
            </w:tcBorders>
            <w:shd w:fill="fce4d6" w:val="clear"/>
            <w:tcMar>
              <w:top w:w="80.0" w:type="dxa"/>
              <w:left w:w="120.0" w:type="dxa"/>
              <w:bottom w:w="80.0" w:type="dxa"/>
              <w:right w:w="120.0" w:type="dxa"/>
            </w:tcMar>
            <w:vAlign w:val="top"/>
          </w:tcPr>
          <w:p w:rsidR="00000000" w:rsidDel="00000000" w:rsidP="00000000" w:rsidRDefault="00000000" w:rsidRPr="00000000" w14:paraId="00000060">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Weight loss 7–10%</w:t>
            </w:r>
          </w:p>
        </w:tc>
        <w:tc>
          <w:tcPr>
            <w:tcBorders>
              <w:top w:color="000000" w:space="0" w:sz="0" w:val="nil"/>
              <w:left w:color="000000" w:space="0" w:sz="0" w:val="nil"/>
              <w:bottom w:color="b7b7b7" w:space="0" w:sz="5" w:val="single"/>
              <w:right w:color="b7b7b7" w:space="0" w:sz="5" w:val="single"/>
            </w:tcBorders>
            <w:shd w:fill="fce4d6" w:val="clear"/>
            <w:tcMar>
              <w:top w:w="80.0" w:type="dxa"/>
              <w:left w:w="120.0" w:type="dxa"/>
              <w:bottom w:w="80.0" w:type="dxa"/>
              <w:right w:w="120.0" w:type="dxa"/>
            </w:tcMar>
            <w:vAlign w:val="top"/>
          </w:tcPr>
          <w:p w:rsidR="00000000" w:rsidDel="00000000" w:rsidP="00000000" w:rsidRDefault="00000000" w:rsidRPr="00000000" w14:paraId="00000061">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Liver inflammation / NASH activity</w:t>
            </w:r>
          </w:p>
        </w:tc>
        <w:tc>
          <w:tcPr>
            <w:tcBorders>
              <w:top w:color="000000" w:space="0" w:sz="0" w:val="nil"/>
              <w:left w:color="000000" w:space="0" w:sz="0" w:val="nil"/>
              <w:bottom w:color="b7b7b7" w:space="0" w:sz="5" w:val="single"/>
              <w:right w:color="b7b7b7" w:space="0" w:sz="5" w:val="single"/>
            </w:tcBorders>
            <w:shd w:fill="fce4d6" w:val="clear"/>
            <w:tcMar>
              <w:top w:w="80.0" w:type="dxa"/>
              <w:left w:w="120.0" w:type="dxa"/>
              <w:bottom w:w="80.0" w:type="dxa"/>
              <w:right w:w="120.0" w:type="dxa"/>
            </w:tcMar>
            <w:vAlign w:val="top"/>
          </w:tcPr>
          <w:p w:rsidR="00000000" w:rsidDel="00000000" w:rsidP="00000000" w:rsidRDefault="00000000" w:rsidRPr="00000000" w14:paraId="00000062">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Improvement in NAFLD Activity Score at this threshold</w:t>
            </w:r>
          </w:p>
        </w:tc>
        <w:tc>
          <w:tcPr>
            <w:tcBorders>
              <w:top w:color="000000" w:space="0" w:sz="0" w:val="nil"/>
              <w:left w:color="000000" w:space="0" w:sz="0" w:val="nil"/>
              <w:bottom w:color="b7b7b7" w:space="0" w:sz="5" w:val="single"/>
              <w:right w:color="b7b7b7" w:space="0" w:sz="5" w:val="single"/>
            </w:tcBorders>
            <w:shd w:fill="fce4d6" w:val="clear"/>
            <w:tcMar>
              <w:top w:w="80.0" w:type="dxa"/>
              <w:left w:w="120.0" w:type="dxa"/>
              <w:bottom w:w="80.0" w:type="dxa"/>
              <w:right w:w="120.0" w:type="dxa"/>
            </w:tcMar>
            <w:vAlign w:val="top"/>
          </w:tcPr>
          <w:p w:rsidR="00000000" w:rsidDel="00000000" w:rsidP="00000000" w:rsidRDefault="00000000" w:rsidRPr="00000000" w14:paraId="00000063">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Vilar-Gomez et al., Gastroenterology, 2015</w:t>
            </w:r>
          </w:p>
        </w:tc>
        <w:tc>
          <w:tcPr>
            <w:tcBorders>
              <w:top w:color="000000" w:space="0" w:sz="0" w:val="nil"/>
              <w:left w:color="000000" w:space="0" w:sz="0" w:val="nil"/>
              <w:bottom w:color="b7b7b7" w:space="0" w:sz="5" w:val="single"/>
              <w:right w:color="b7b7b7" w:space="0" w:sz="5" w:val="single"/>
            </w:tcBorders>
            <w:shd w:fill="fce4d6" w:val="clear"/>
            <w:tcMar>
              <w:top w:w="80.0" w:type="dxa"/>
              <w:left w:w="120.0" w:type="dxa"/>
              <w:bottom w:w="80.0" w:type="dxa"/>
              <w:right w:w="120.0" w:type="dxa"/>
            </w:tcMar>
            <w:vAlign w:val="top"/>
          </w:tcPr>
          <w:p w:rsidR="00000000" w:rsidDel="00000000" w:rsidP="00000000" w:rsidRDefault="00000000" w:rsidRPr="00000000" w14:paraId="00000064">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Strong (n=293, biopsy-paired)</w:t>
            </w:r>
          </w:p>
        </w:tc>
      </w:tr>
      <w:tr>
        <w:trPr>
          <w:cantSplit w:val="0"/>
          <w:trHeight w:val="810" w:hRule="atLeast"/>
          <w:tblHeader w:val="0"/>
        </w:trPr>
        <w:tc>
          <w:tcPr>
            <w:tcBorders>
              <w:top w:color="000000" w:space="0" w:sz="0" w:val="nil"/>
              <w:left w:color="b7b7b7" w:space="0" w:sz="5" w:val="single"/>
              <w:bottom w:color="b7b7b7" w:space="0" w:sz="5" w:val="single"/>
              <w:right w:color="b7b7b7" w:space="0" w:sz="5" w:val="single"/>
            </w:tcBorders>
            <w:shd w:fill="fce4d6" w:val="clear"/>
            <w:tcMar>
              <w:top w:w="80.0" w:type="dxa"/>
              <w:left w:w="120.0" w:type="dxa"/>
              <w:bottom w:w="80.0" w:type="dxa"/>
              <w:right w:w="120.0" w:type="dxa"/>
            </w:tcMar>
            <w:vAlign w:val="top"/>
          </w:tcPr>
          <w:p w:rsidR="00000000" w:rsidDel="00000000" w:rsidP="00000000" w:rsidRDefault="00000000" w:rsidRPr="00000000" w14:paraId="00000065">
            <w:pPr>
              <w:spacing w:after="40" w:lineRule="auto"/>
              <w:rPr>
                <w:rFonts w:ascii="Times New Roman" w:cs="Times New Roman" w:eastAsia="Times New Roman" w:hAnsi="Times New Roman"/>
                <w:sz w:val="17"/>
                <w:szCs w:val="17"/>
              </w:rPr>
            </w:pPr>
            <w:r w:rsidDel="00000000" w:rsidR="00000000" w:rsidRPr="00000000">
              <w:rPr>
                <w:rFonts w:ascii="Gungsuh" w:cs="Gungsuh" w:eastAsia="Gungsuh" w:hAnsi="Gungsuh"/>
                <w:sz w:val="17"/>
                <w:szCs w:val="17"/>
                <w:rtl w:val="0"/>
              </w:rPr>
              <w:t xml:space="preserve">Weight loss ≥10%</w:t>
            </w:r>
          </w:p>
        </w:tc>
        <w:tc>
          <w:tcPr>
            <w:tcBorders>
              <w:top w:color="000000" w:space="0" w:sz="0" w:val="nil"/>
              <w:left w:color="000000" w:space="0" w:sz="0" w:val="nil"/>
              <w:bottom w:color="b7b7b7" w:space="0" w:sz="5" w:val="single"/>
              <w:right w:color="b7b7b7" w:space="0" w:sz="5" w:val="single"/>
            </w:tcBorders>
            <w:shd w:fill="fce4d6" w:val="clear"/>
            <w:tcMar>
              <w:top w:w="80.0" w:type="dxa"/>
              <w:left w:w="120.0" w:type="dxa"/>
              <w:bottom w:w="80.0" w:type="dxa"/>
              <w:right w:w="120.0" w:type="dxa"/>
            </w:tcMar>
            <w:vAlign w:val="top"/>
          </w:tcPr>
          <w:p w:rsidR="00000000" w:rsidDel="00000000" w:rsidP="00000000" w:rsidRDefault="00000000" w:rsidRPr="00000000" w14:paraId="00000066">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NASH resolution / fibrosis</w:t>
            </w:r>
          </w:p>
        </w:tc>
        <w:tc>
          <w:tcPr>
            <w:tcBorders>
              <w:top w:color="000000" w:space="0" w:sz="0" w:val="nil"/>
              <w:left w:color="000000" w:space="0" w:sz="0" w:val="nil"/>
              <w:bottom w:color="b7b7b7" w:space="0" w:sz="5" w:val="single"/>
              <w:right w:color="b7b7b7" w:space="0" w:sz="5" w:val="single"/>
            </w:tcBorders>
            <w:shd w:fill="fce4d6" w:val="clear"/>
            <w:tcMar>
              <w:top w:w="80.0" w:type="dxa"/>
              <w:left w:w="120.0" w:type="dxa"/>
              <w:bottom w:w="80.0" w:type="dxa"/>
              <w:right w:w="120.0" w:type="dxa"/>
            </w:tcMar>
            <w:vAlign w:val="top"/>
          </w:tcPr>
          <w:p w:rsidR="00000000" w:rsidDel="00000000" w:rsidP="00000000" w:rsidRDefault="00000000" w:rsidRPr="00000000" w14:paraId="00000067">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90% NASH resolution and dose-dependent fibrosis regression at this threshold</w:t>
            </w:r>
          </w:p>
        </w:tc>
        <w:tc>
          <w:tcPr>
            <w:tcBorders>
              <w:top w:color="000000" w:space="0" w:sz="0" w:val="nil"/>
              <w:left w:color="000000" w:space="0" w:sz="0" w:val="nil"/>
              <w:bottom w:color="b7b7b7" w:space="0" w:sz="5" w:val="single"/>
              <w:right w:color="b7b7b7" w:space="0" w:sz="5" w:val="single"/>
            </w:tcBorders>
            <w:shd w:fill="fce4d6" w:val="clear"/>
            <w:tcMar>
              <w:top w:w="80.0" w:type="dxa"/>
              <w:left w:w="120.0" w:type="dxa"/>
              <w:bottom w:w="80.0" w:type="dxa"/>
              <w:right w:w="120.0" w:type="dxa"/>
            </w:tcMar>
            <w:vAlign w:val="top"/>
          </w:tcPr>
          <w:p w:rsidR="00000000" w:rsidDel="00000000" w:rsidP="00000000" w:rsidRDefault="00000000" w:rsidRPr="00000000" w14:paraId="00000068">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Vilar-Gomez et al., Gastroenterology, 2015</w:t>
            </w:r>
          </w:p>
        </w:tc>
        <w:tc>
          <w:tcPr>
            <w:tcBorders>
              <w:top w:color="000000" w:space="0" w:sz="0" w:val="nil"/>
              <w:left w:color="000000" w:space="0" w:sz="0" w:val="nil"/>
              <w:bottom w:color="b7b7b7" w:space="0" w:sz="5" w:val="single"/>
              <w:right w:color="b7b7b7" w:space="0" w:sz="5" w:val="single"/>
            </w:tcBorders>
            <w:shd w:fill="fce4d6" w:val="clear"/>
            <w:tcMar>
              <w:top w:w="80.0" w:type="dxa"/>
              <w:left w:w="120.0" w:type="dxa"/>
              <w:bottom w:w="80.0" w:type="dxa"/>
              <w:right w:w="120.0" w:type="dxa"/>
            </w:tcMar>
            <w:vAlign w:val="top"/>
          </w:tcPr>
          <w:p w:rsidR="00000000" w:rsidDel="00000000" w:rsidP="00000000" w:rsidRDefault="00000000" w:rsidRPr="00000000" w14:paraId="00000069">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Strong (n=293, biopsy-paired)</w:t>
            </w:r>
          </w:p>
        </w:tc>
      </w:tr>
      <w:tr>
        <w:trPr>
          <w:cantSplit w:val="0"/>
          <w:trHeight w:val="810" w:hRule="atLeast"/>
          <w:tblHeader w:val="0"/>
        </w:trPr>
        <w:tc>
          <w:tcPr>
            <w:tcBorders>
              <w:top w:color="000000" w:space="0" w:sz="0" w:val="nil"/>
              <w:left w:color="b7b7b7" w:space="0" w:sz="5" w:val="single"/>
              <w:bottom w:color="b7b7b7" w:space="0" w:sz="5" w:val="single"/>
              <w:right w:color="b7b7b7" w:space="0" w:sz="5" w:val="single"/>
            </w:tcBorders>
            <w:shd w:fill="e2efda" w:val="clear"/>
            <w:tcMar>
              <w:top w:w="80.0" w:type="dxa"/>
              <w:left w:w="120.0" w:type="dxa"/>
              <w:bottom w:w="80.0" w:type="dxa"/>
              <w:right w:w="120.0" w:type="dxa"/>
            </w:tcMar>
            <w:vAlign w:val="top"/>
          </w:tcPr>
          <w:p w:rsidR="00000000" w:rsidDel="00000000" w:rsidP="00000000" w:rsidRDefault="00000000" w:rsidRPr="00000000" w14:paraId="0000006A">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Mediterranean diet vs. control</w:t>
            </w:r>
          </w:p>
        </w:tc>
        <w:tc>
          <w:tcPr>
            <w:tcBorders>
              <w:top w:color="000000" w:space="0" w:sz="0" w:val="nil"/>
              <w:left w:color="000000" w:space="0" w:sz="0" w:val="nil"/>
              <w:bottom w:color="b7b7b7" w:space="0" w:sz="5" w:val="single"/>
              <w:right w:color="b7b7b7" w:space="0" w:sz="5" w:val="single"/>
            </w:tcBorders>
            <w:shd w:fill="e2efda" w:val="clear"/>
            <w:tcMar>
              <w:top w:w="80.0" w:type="dxa"/>
              <w:left w:w="120.0" w:type="dxa"/>
              <w:bottom w:w="80.0" w:type="dxa"/>
              <w:right w:w="120.0" w:type="dxa"/>
            </w:tcMar>
            <w:vAlign w:val="top"/>
          </w:tcPr>
          <w:p w:rsidR="00000000" w:rsidDel="00000000" w:rsidP="00000000" w:rsidRDefault="00000000" w:rsidRPr="00000000" w14:paraId="0000006B">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AST, GGT</w:t>
            </w:r>
          </w:p>
        </w:tc>
        <w:tc>
          <w:tcPr>
            <w:tcBorders>
              <w:top w:color="000000" w:space="0" w:sz="0" w:val="nil"/>
              <w:left w:color="000000" w:space="0" w:sz="0" w:val="nil"/>
              <w:bottom w:color="b7b7b7" w:space="0" w:sz="5" w:val="single"/>
              <w:right w:color="b7b7b7" w:space="0" w:sz="5" w:val="single"/>
            </w:tcBorders>
            <w:shd w:fill="e2efda" w:val="clear"/>
            <w:tcMar>
              <w:top w:w="80.0" w:type="dxa"/>
              <w:left w:w="120.0" w:type="dxa"/>
              <w:bottom w:w="80.0" w:type="dxa"/>
              <w:right w:w="120.0" w:type="dxa"/>
            </w:tcMar>
            <w:vAlign w:val="top"/>
          </w:tcPr>
          <w:p w:rsidR="00000000" w:rsidDel="00000000" w:rsidP="00000000" w:rsidRDefault="00000000" w:rsidRPr="00000000" w14:paraId="0000006C">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Small but statistically significant reduction</w:t>
            </w:r>
          </w:p>
        </w:tc>
        <w:tc>
          <w:tcPr>
            <w:tcBorders>
              <w:top w:color="000000" w:space="0" w:sz="0" w:val="nil"/>
              <w:left w:color="000000" w:space="0" w:sz="0" w:val="nil"/>
              <w:bottom w:color="b7b7b7" w:space="0" w:sz="5" w:val="single"/>
              <w:right w:color="b7b7b7" w:space="0" w:sz="5" w:val="single"/>
            </w:tcBorders>
            <w:shd w:fill="e2efda" w:val="clear"/>
            <w:tcMar>
              <w:top w:w="80.0" w:type="dxa"/>
              <w:left w:w="120.0" w:type="dxa"/>
              <w:bottom w:w="80.0" w:type="dxa"/>
              <w:right w:w="120.0" w:type="dxa"/>
            </w:tcMar>
            <w:vAlign w:val="top"/>
          </w:tcPr>
          <w:p w:rsidR="00000000" w:rsidDel="00000000" w:rsidP="00000000" w:rsidRDefault="00000000" w:rsidRPr="00000000" w14:paraId="0000006D">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Sangouni et al., Br J Nutr, meta-analysis of 10 RCTs, 2022</w:t>
            </w:r>
          </w:p>
        </w:tc>
        <w:tc>
          <w:tcPr>
            <w:tcBorders>
              <w:top w:color="000000" w:space="0" w:sz="0" w:val="nil"/>
              <w:left w:color="000000" w:space="0" w:sz="0" w:val="nil"/>
              <w:bottom w:color="b7b7b7" w:space="0" w:sz="5" w:val="single"/>
              <w:right w:color="b7b7b7" w:space="0" w:sz="5" w:val="single"/>
            </w:tcBorders>
            <w:shd w:fill="e2efda" w:val="clear"/>
            <w:tcMar>
              <w:top w:w="80.0" w:type="dxa"/>
              <w:left w:w="120.0" w:type="dxa"/>
              <w:bottom w:w="80.0" w:type="dxa"/>
              <w:right w:w="120.0" w:type="dxa"/>
            </w:tcMar>
            <w:vAlign w:val="top"/>
          </w:tcPr>
          <w:p w:rsidR="00000000" w:rsidDel="00000000" w:rsidP="00000000" w:rsidRDefault="00000000" w:rsidRPr="00000000" w14:paraId="0000006E">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Moderate (meta-analysis, n=705)</w:t>
            </w:r>
          </w:p>
        </w:tc>
      </w:tr>
      <w:tr>
        <w:trPr>
          <w:cantSplit w:val="0"/>
          <w:trHeight w:val="810" w:hRule="atLeast"/>
          <w:tblHeader w:val="0"/>
        </w:trPr>
        <w:tc>
          <w:tcPr>
            <w:tcBorders>
              <w:top w:color="000000" w:space="0" w:sz="0" w:val="nil"/>
              <w:left w:color="b7b7b7" w:space="0" w:sz="5" w:val="single"/>
              <w:bottom w:color="b7b7b7" w:space="0" w:sz="5" w:val="single"/>
              <w:right w:color="b7b7b7" w:space="0" w:sz="5" w:val="single"/>
            </w:tcBorders>
            <w:shd w:fill="fce4d6" w:val="clear"/>
            <w:tcMar>
              <w:top w:w="80.0" w:type="dxa"/>
              <w:left w:w="120.0" w:type="dxa"/>
              <w:bottom w:w="80.0" w:type="dxa"/>
              <w:right w:w="120.0" w:type="dxa"/>
            </w:tcMar>
            <w:vAlign w:val="top"/>
          </w:tcPr>
          <w:p w:rsidR="00000000" w:rsidDel="00000000" w:rsidP="00000000" w:rsidRDefault="00000000" w:rsidRPr="00000000" w14:paraId="0000006F">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Mediterranean diet vs. control</w:t>
            </w:r>
          </w:p>
        </w:tc>
        <w:tc>
          <w:tcPr>
            <w:tcBorders>
              <w:top w:color="000000" w:space="0" w:sz="0" w:val="nil"/>
              <w:left w:color="000000" w:space="0" w:sz="0" w:val="nil"/>
              <w:bottom w:color="b7b7b7" w:space="0" w:sz="5" w:val="single"/>
              <w:right w:color="b7b7b7" w:space="0" w:sz="5" w:val="single"/>
            </w:tcBorders>
            <w:shd w:fill="fce4d6" w:val="clear"/>
            <w:tcMar>
              <w:top w:w="80.0" w:type="dxa"/>
              <w:left w:w="120.0" w:type="dxa"/>
              <w:bottom w:w="80.0" w:type="dxa"/>
              <w:right w:w="120.0" w:type="dxa"/>
            </w:tcMar>
            <w:vAlign w:val="top"/>
          </w:tcPr>
          <w:p w:rsidR="00000000" w:rsidDel="00000000" w:rsidP="00000000" w:rsidRDefault="00000000" w:rsidRPr="00000000" w14:paraId="00000070">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ALT</w:t>
            </w:r>
          </w:p>
        </w:tc>
        <w:tc>
          <w:tcPr>
            <w:tcBorders>
              <w:top w:color="000000" w:space="0" w:sz="0" w:val="nil"/>
              <w:left w:color="000000" w:space="0" w:sz="0" w:val="nil"/>
              <w:bottom w:color="b7b7b7" w:space="0" w:sz="5" w:val="single"/>
              <w:right w:color="b7b7b7" w:space="0" w:sz="5" w:val="single"/>
            </w:tcBorders>
            <w:shd w:fill="fce4d6" w:val="clear"/>
            <w:tcMar>
              <w:top w:w="80.0" w:type="dxa"/>
              <w:left w:w="120.0" w:type="dxa"/>
              <w:bottom w:w="80.0" w:type="dxa"/>
              <w:right w:w="120.0" w:type="dxa"/>
            </w:tcMar>
            <w:vAlign w:val="top"/>
          </w:tcPr>
          <w:p w:rsidR="00000000" w:rsidDel="00000000" w:rsidP="00000000" w:rsidRDefault="00000000" w:rsidRPr="00000000" w14:paraId="00000071">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No statistically significant effect; CI crosses zero</w:t>
            </w:r>
          </w:p>
        </w:tc>
        <w:tc>
          <w:tcPr>
            <w:tcBorders>
              <w:top w:color="000000" w:space="0" w:sz="0" w:val="nil"/>
              <w:left w:color="000000" w:space="0" w:sz="0" w:val="nil"/>
              <w:bottom w:color="b7b7b7" w:space="0" w:sz="5" w:val="single"/>
              <w:right w:color="b7b7b7" w:space="0" w:sz="5" w:val="single"/>
            </w:tcBorders>
            <w:shd w:fill="fce4d6" w:val="clear"/>
            <w:tcMar>
              <w:top w:w="80.0" w:type="dxa"/>
              <w:left w:w="120.0" w:type="dxa"/>
              <w:bottom w:w="80.0" w:type="dxa"/>
              <w:right w:w="120.0" w:type="dxa"/>
            </w:tcMar>
            <w:vAlign w:val="top"/>
          </w:tcPr>
          <w:p w:rsidR="00000000" w:rsidDel="00000000" w:rsidP="00000000" w:rsidRDefault="00000000" w:rsidRPr="00000000" w14:paraId="00000072">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Sangouni et al., Br J Nutr, meta-analysis of 10 RCTs, 2022</w:t>
            </w:r>
          </w:p>
        </w:tc>
        <w:tc>
          <w:tcPr>
            <w:tcBorders>
              <w:top w:color="000000" w:space="0" w:sz="0" w:val="nil"/>
              <w:left w:color="000000" w:space="0" w:sz="0" w:val="nil"/>
              <w:bottom w:color="b7b7b7" w:space="0" w:sz="5" w:val="single"/>
              <w:right w:color="b7b7b7" w:space="0" w:sz="5" w:val="single"/>
            </w:tcBorders>
            <w:shd w:fill="fce4d6" w:val="clear"/>
            <w:tcMar>
              <w:top w:w="80.0" w:type="dxa"/>
              <w:left w:w="120.0" w:type="dxa"/>
              <w:bottom w:w="80.0" w:type="dxa"/>
              <w:right w:w="120.0" w:type="dxa"/>
            </w:tcMar>
            <w:vAlign w:val="top"/>
          </w:tcPr>
          <w:p w:rsidR="00000000" w:rsidDel="00000000" w:rsidP="00000000" w:rsidRDefault="00000000" w:rsidRPr="00000000" w14:paraId="00000073">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Weak / inconclusive</w:t>
            </w:r>
          </w:p>
        </w:tc>
      </w:tr>
      <w:tr>
        <w:trPr>
          <w:cantSplit w:val="0"/>
          <w:trHeight w:val="810" w:hRule="atLeast"/>
          <w:tblHeader w:val="0"/>
        </w:trPr>
        <w:tc>
          <w:tcPr>
            <w:tcBorders>
              <w:top w:color="000000" w:space="0" w:sz="0" w:val="nil"/>
              <w:left w:color="b7b7b7" w:space="0" w:sz="5" w:val="single"/>
              <w:bottom w:color="b7b7b7" w:space="0" w:sz="5" w:val="single"/>
              <w:right w:color="b7b7b7" w:space="0" w:sz="5" w:val="single"/>
            </w:tcBorders>
            <w:shd w:fill="e2efda" w:val="clear"/>
            <w:tcMar>
              <w:top w:w="80.0" w:type="dxa"/>
              <w:left w:w="120.0" w:type="dxa"/>
              <w:bottom w:w="80.0" w:type="dxa"/>
              <w:right w:w="120.0" w:type="dxa"/>
            </w:tcMar>
            <w:vAlign w:val="top"/>
          </w:tcPr>
          <w:p w:rsidR="00000000" w:rsidDel="00000000" w:rsidP="00000000" w:rsidRDefault="00000000" w:rsidRPr="00000000" w14:paraId="00000074">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Mediterranean diet vs. low-fat diet</w:t>
            </w:r>
          </w:p>
        </w:tc>
        <w:tc>
          <w:tcPr>
            <w:tcBorders>
              <w:top w:color="000000" w:space="0" w:sz="0" w:val="nil"/>
              <w:left w:color="000000" w:space="0" w:sz="0" w:val="nil"/>
              <w:bottom w:color="b7b7b7" w:space="0" w:sz="5" w:val="single"/>
              <w:right w:color="b7b7b7" w:space="0" w:sz="5" w:val="single"/>
            </w:tcBorders>
            <w:shd w:fill="e2efda" w:val="clear"/>
            <w:tcMar>
              <w:top w:w="80.0" w:type="dxa"/>
              <w:left w:w="120.0" w:type="dxa"/>
              <w:bottom w:w="80.0" w:type="dxa"/>
              <w:right w:w="120.0" w:type="dxa"/>
            </w:tcMar>
            <w:vAlign w:val="top"/>
          </w:tcPr>
          <w:p w:rsidR="00000000" w:rsidDel="00000000" w:rsidP="00000000" w:rsidRDefault="00000000" w:rsidRPr="00000000" w14:paraId="00000075">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Liver enzymes, liver fat</w:t>
            </w:r>
          </w:p>
        </w:tc>
        <w:tc>
          <w:tcPr>
            <w:tcBorders>
              <w:top w:color="000000" w:space="0" w:sz="0" w:val="nil"/>
              <w:left w:color="000000" w:space="0" w:sz="0" w:val="nil"/>
              <w:bottom w:color="b7b7b7" w:space="0" w:sz="5" w:val="single"/>
              <w:right w:color="b7b7b7" w:space="0" w:sz="5" w:val="single"/>
            </w:tcBorders>
            <w:shd w:fill="e2efda" w:val="clear"/>
            <w:tcMar>
              <w:top w:w="80.0" w:type="dxa"/>
              <w:left w:w="120.0" w:type="dxa"/>
              <w:bottom w:w="80.0" w:type="dxa"/>
              <w:right w:w="120.0" w:type="dxa"/>
            </w:tcMar>
            <w:vAlign w:val="top"/>
          </w:tcPr>
          <w:p w:rsidR="00000000" w:rsidDel="00000000" w:rsidP="00000000" w:rsidRDefault="00000000" w:rsidRPr="00000000" w14:paraId="00000076">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No significant difference between the two diets</w:t>
            </w:r>
          </w:p>
        </w:tc>
        <w:tc>
          <w:tcPr>
            <w:tcBorders>
              <w:top w:color="000000" w:space="0" w:sz="0" w:val="nil"/>
              <w:left w:color="000000" w:space="0" w:sz="0" w:val="nil"/>
              <w:bottom w:color="b7b7b7" w:space="0" w:sz="5" w:val="single"/>
              <w:right w:color="b7b7b7" w:space="0" w:sz="5" w:val="single"/>
            </w:tcBorders>
            <w:shd w:fill="e2efda" w:val="clear"/>
            <w:tcMar>
              <w:top w:w="80.0" w:type="dxa"/>
              <w:left w:w="120.0" w:type="dxa"/>
              <w:bottom w:w="80.0" w:type="dxa"/>
              <w:right w:w="120.0" w:type="dxa"/>
            </w:tcMar>
            <w:vAlign w:val="top"/>
          </w:tcPr>
          <w:p w:rsidR="00000000" w:rsidDel="00000000" w:rsidP="00000000" w:rsidRDefault="00000000" w:rsidRPr="00000000" w14:paraId="00000077">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Xiong et al., Food Funct, 2024 (PubMed 39076035)</w:t>
            </w:r>
          </w:p>
        </w:tc>
        <w:tc>
          <w:tcPr>
            <w:tcBorders>
              <w:top w:color="000000" w:space="0" w:sz="0" w:val="nil"/>
              <w:left w:color="000000" w:space="0" w:sz="0" w:val="nil"/>
              <w:bottom w:color="b7b7b7" w:space="0" w:sz="5" w:val="single"/>
              <w:right w:color="b7b7b7" w:space="0" w:sz="5" w:val="single"/>
            </w:tcBorders>
            <w:shd w:fill="e2efda" w:val="clear"/>
            <w:tcMar>
              <w:top w:w="80.0" w:type="dxa"/>
              <w:left w:w="120.0" w:type="dxa"/>
              <w:bottom w:w="80.0" w:type="dxa"/>
              <w:right w:w="120.0" w:type="dxa"/>
            </w:tcMar>
            <w:vAlign w:val="top"/>
          </w:tcPr>
          <w:p w:rsidR="00000000" w:rsidDel="00000000" w:rsidP="00000000" w:rsidRDefault="00000000" w:rsidRPr="00000000" w14:paraId="00000078">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Moderate (meta-analysis)</w:t>
            </w:r>
          </w:p>
        </w:tc>
      </w:tr>
      <w:tr>
        <w:trPr>
          <w:cantSplit w:val="0"/>
          <w:trHeight w:val="1020" w:hRule="atLeast"/>
          <w:tblHeader w:val="0"/>
        </w:trPr>
        <w:tc>
          <w:tcPr>
            <w:tcBorders>
              <w:top w:color="000000" w:space="0" w:sz="0" w:val="nil"/>
              <w:left w:color="b7b7b7" w:space="0" w:sz="5" w:val="single"/>
              <w:bottom w:color="b7b7b7" w:space="0" w:sz="5" w:val="single"/>
              <w:right w:color="b7b7b7" w:space="0" w:sz="5" w:val="single"/>
            </w:tcBorders>
            <w:shd w:fill="e2efda" w:val="clear"/>
            <w:tcMar>
              <w:top w:w="80.0" w:type="dxa"/>
              <w:left w:w="120.0" w:type="dxa"/>
              <w:bottom w:w="80.0" w:type="dxa"/>
              <w:right w:w="120.0" w:type="dxa"/>
            </w:tcMar>
            <w:vAlign w:val="top"/>
          </w:tcPr>
          <w:p w:rsidR="00000000" w:rsidDel="00000000" w:rsidP="00000000" w:rsidRDefault="00000000" w:rsidRPr="00000000" w14:paraId="00000079">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Structured exercise (independent of weight loss)</w:t>
            </w:r>
          </w:p>
        </w:tc>
        <w:tc>
          <w:tcPr>
            <w:tcBorders>
              <w:top w:color="000000" w:space="0" w:sz="0" w:val="nil"/>
              <w:left w:color="000000" w:space="0" w:sz="0" w:val="nil"/>
              <w:bottom w:color="b7b7b7" w:space="0" w:sz="5" w:val="single"/>
              <w:right w:color="b7b7b7" w:space="0" w:sz="5" w:val="single"/>
            </w:tcBorders>
            <w:shd w:fill="e2efda" w:val="clear"/>
            <w:tcMar>
              <w:top w:w="80.0" w:type="dxa"/>
              <w:left w:w="120.0" w:type="dxa"/>
              <w:bottom w:w="80.0" w:type="dxa"/>
              <w:right w:w="120.0" w:type="dxa"/>
            </w:tcMar>
            <w:vAlign w:val="top"/>
          </w:tcPr>
          <w:p w:rsidR="00000000" w:rsidDel="00000000" w:rsidP="00000000" w:rsidRDefault="00000000" w:rsidRPr="00000000" w14:paraId="0000007A">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Liver fat content</w:t>
            </w:r>
          </w:p>
        </w:tc>
        <w:tc>
          <w:tcPr>
            <w:tcBorders>
              <w:top w:color="000000" w:space="0" w:sz="0" w:val="nil"/>
              <w:left w:color="000000" w:space="0" w:sz="0" w:val="nil"/>
              <w:bottom w:color="b7b7b7" w:space="0" w:sz="5" w:val="single"/>
              <w:right w:color="b7b7b7" w:space="0" w:sz="5" w:val="single"/>
            </w:tcBorders>
            <w:shd w:fill="e2efda" w:val="clear"/>
            <w:tcMar>
              <w:top w:w="80.0" w:type="dxa"/>
              <w:left w:w="120.0" w:type="dxa"/>
              <w:bottom w:w="80.0" w:type="dxa"/>
              <w:right w:w="120.0" w:type="dxa"/>
            </w:tcMar>
            <w:vAlign w:val="top"/>
          </w:tcPr>
          <w:p w:rsidR="00000000" w:rsidDel="00000000" w:rsidP="00000000" w:rsidRDefault="00000000" w:rsidRPr="00000000" w14:paraId="0000007B">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Meaningful reduction reported vs. control</w:t>
            </w:r>
          </w:p>
        </w:tc>
        <w:tc>
          <w:tcPr>
            <w:tcBorders>
              <w:top w:color="000000" w:space="0" w:sz="0" w:val="nil"/>
              <w:left w:color="000000" w:space="0" w:sz="0" w:val="nil"/>
              <w:bottom w:color="b7b7b7" w:space="0" w:sz="5" w:val="single"/>
              <w:right w:color="b7b7b7" w:space="0" w:sz="5" w:val="single"/>
            </w:tcBorders>
            <w:shd w:fill="e2efda" w:val="clear"/>
            <w:tcMar>
              <w:top w:w="80.0" w:type="dxa"/>
              <w:left w:w="120.0" w:type="dxa"/>
              <w:bottom w:w="80.0" w:type="dxa"/>
              <w:right w:w="120.0" w:type="dxa"/>
            </w:tcMar>
            <w:vAlign w:val="top"/>
          </w:tcPr>
          <w:p w:rsidR="00000000" w:rsidDel="00000000" w:rsidP="00000000" w:rsidRDefault="00000000" w:rsidRPr="00000000" w14:paraId="0000007C">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Stine et al., Am J Gastroenterol, 2023; 14 RCTs, n=551</w:t>
            </w:r>
          </w:p>
        </w:tc>
        <w:tc>
          <w:tcPr>
            <w:tcBorders>
              <w:top w:color="000000" w:space="0" w:sz="0" w:val="nil"/>
              <w:left w:color="000000" w:space="0" w:sz="0" w:val="nil"/>
              <w:bottom w:color="b7b7b7" w:space="0" w:sz="5" w:val="single"/>
              <w:right w:color="b7b7b7" w:space="0" w:sz="5" w:val="single"/>
            </w:tcBorders>
            <w:shd w:fill="e2efda" w:val="clear"/>
            <w:tcMar>
              <w:top w:w="80.0" w:type="dxa"/>
              <w:left w:w="120.0" w:type="dxa"/>
              <w:bottom w:w="80.0" w:type="dxa"/>
              <w:right w:w="120.0" w:type="dxa"/>
            </w:tcMar>
            <w:vAlign w:val="top"/>
          </w:tcPr>
          <w:p w:rsidR="00000000" w:rsidDel="00000000" w:rsidP="00000000" w:rsidRDefault="00000000" w:rsidRPr="00000000" w14:paraId="0000007D">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Moderate (meta-analysis)</w:t>
            </w:r>
          </w:p>
        </w:tc>
      </w:tr>
    </w:tbl>
    <w:p w:rsidR="00000000" w:rsidDel="00000000" w:rsidP="00000000" w:rsidRDefault="00000000" w:rsidRPr="00000000" w14:paraId="0000007E">
      <w:pPr>
        <w:spacing w:after="160" w:line="268.8" w:lineRule="auto"/>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Effect directions are cross-checked against AASLD practice guidance and the EASL-EASD-EASO MASLD guidelines, the current clinical reference standard.</w:t>
      </w:r>
    </w:p>
    <w:p w:rsidR="00000000" w:rsidDel="00000000" w:rsidP="00000000" w:rsidRDefault="00000000" w:rsidRPr="00000000" w14:paraId="0000007F">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4utxamny6bep" w:id="10"/>
      <w:bookmarkEnd w:id="10"/>
      <w:r w:rsidDel="00000000" w:rsidR="00000000" w:rsidRPr="00000000">
        <w:rPr>
          <w:rFonts w:ascii="Times New Roman" w:cs="Times New Roman" w:eastAsia="Times New Roman" w:hAnsi="Times New Roman"/>
          <w:b w:val="1"/>
          <w:bCs w:val="1"/>
          <w:color w:val="000000"/>
          <w:sz w:val="26"/>
          <w:szCs w:val="26"/>
          <w:rtl w:val="0"/>
        </w:rPr>
        <w:t xml:space="preserve">Evidence strength system</w:t>
      </w:r>
    </w:p>
    <w:p w:rsidR="00000000" w:rsidDel="00000000" w:rsidP="00000000" w:rsidRDefault="00000000" w:rsidRPr="00000000" w14:paraId="00000080">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STRONG — biopsy-paired or large-RCT evidence, dose-response established</w:t>
      </w:r>
    </w:p>
    <w:p w:rsidR="00000000" w:rsidDel="00000000" w:rsidP="00000000" w:rsidRDefault="00000000" w:rsidRPr="00000000" w14:paraId="00000081">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MODERATE — meta-analysis or single well-powered RCT</w:t>
      </w:r>
    </w:p>
    <w:p w:rsidR="00000000" w:rsidDel="00000000" w:rsidP="00000000" w:rsidRDefault="00000000" w:rsidRPr="00000000" w14:paraId="00000082">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WEAK / INCONCLUSIVE — evidence exists but the effect is not statistically significant, or CIs cross zero</w:t>
      </w:r>
    </w:p>
    <w:p w:rsidR="00000000" w:rsidDel="00000000" w:rsidP="00000000" w:rsidRDefault="00000000" w:rsidRPr="00000000" w14:paraId="00000083">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INSUFFICIENT — no adequate evidence for this specific recipe; the ranking engine excludes or flags it rather than guessing</w:t>
      </w:r>
    </w:p>
    <w:p w:rsidR="00000000" w:rsidDel="00000000" w:rsidP="00000000" w:rsidRDefault="00000000" w:rsidRPr="00000000" w14:paraId="00000084">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u1jv7ag7v7j4" w:id="11"/>
      <w:bookmarkEnd w:id="11"/>
      <w:r w:rsidDel="00000000" w:rsidR="00000000" w:rsidRPr="00000000">
        <w:rPr>
          <w:rFonts w:ascii="Times New Roman" w:cs="Times New Roman" w:eastAsia="Times New Roman" w:hAnsi="Times New Roman"/>
          <w:b w:val="1"/>
          <w:bCs w:val="1"/>
          <w:color w:val="000000"/>
          <w:sz w:val="26"/>
          <w:szCs w:val="26"/>
          <w:rtl w:val="0"/>
        </w:rPr>
        <w:t xml:space="preserve">6.1 Evidence Granularity and Intervention Mapping</w:t>
      </w:r>
    </w:p>
    <w:p w:rsidR="00000000" w:rsidDel="00000000" w:rsidP="00000000" w:rsidRDefault="00000000" w:rsidRPr="00000000" w14:paraId="00000085">
      <w:pPr>
        <w:spacing w:after="160" w:line="26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clinical data is generally documented on the level of threshold for weight loss or diets, but not at the level of an individual recipe. The framework does not assume any extrapolation of a dietary pattern effect to a single recipe, and instead determines which of the intervention categories is associated with a given recipe's nutritional profile, treating a recipe that cannot be mapped to any evidenced category as INSUFFICIENT. The most similar literature is related to identifying food ingredient substitutions using a knowledge graph of food (PMC 2021) and a survey on food ingredient substitutions (arXiv 2025).</w:t>
      </w:r>
    </w:p>
    <w:p w:rsidR="00000000" w:rsidDel="00000000" w:rsidP="00000000" w:rsidRDefault="00000000" w:rsidRPr="00000000" w14:paraId="00000086">
      <w:pPr>
        <w:pStyle w:val="Heading1"/>
        <w:keepNext w:val="0"/>
        <w:keepLines w:val="0"/>
        <w:spacing w:before="480" w:lineRule="auto"/>
        <w:rPr>
          <w:rFonts w:ascii="Times New Roman" w:cs="Times New Roman" w:eastAsia="Times New Roman" w:hAnsi="Times New Roman"/>
          <w:b w:val="1"/>
          <w:bCs w:val="1"/>
          <w:sz w:val="30"/>
          <w:szCs w:val="30"/>
        </w:rPr>
      </w:pPr>
      <w:bookmarkStart w:colFirst="0" w:colLast="0" w:name="_bcwx3tyit4sl" w:id="12"/>
      <w:bookmarkEnd w:id="12"/>
      <w:r w:rsidDel="00000000" w:rsidR="00000000" w:rsidRPr="00000000">
        <w:rPr>
          <w:rFonts w:ascii="Times New Roman" w:cs="Times New Roman" w:eastAsia="Times New Roman" w:hAnsi="Times New Roman"/>
          <w:b w:val="1"/>
          <w:bCs w:val="1"/>
          <w:sz w:val="30"/>
          <w:szCs w:val="30"/>
          <w:rtl w:val="0"/>
        </w:rPr>
        <w:t xml:space="preserve">7. Layer 4 — Recipe Evaluation and Ranking Engine (NutriTwin, Core Research Contribution)</w:t>
      </w:r>
    </w:p>
    <w:p w:rsidR="00000000" w:rsidDel="00000000" w:rsidP="00000000" w:rsidRDefault="00000000" w:rsidRPr="00000000" w14:paraId="0000008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Based on the patient's condition at Layer 2 and the nutritional objectives derived from Layer 3, evaluate and rank candidate recipes from RecipeDB that would enhance the health relevance predictions while remaining culturally and practically appropriate for the patient</w:t>
      </w:r>
    </w:p>
    <w:p w:rsidR="00000000" w:rsidDel="00000000" w:rsidP="00000000" w:rsidRDefault="00000000" w:rsidRPr="00000000" w14:paraId="00000088">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lrv6yqwrbw8s" w:id="13"/>
      <w:bookmarkEnd w:id="13"/>
      <w:r w:rsidDel="00000000" w:rsidR="00000000" w:rsidRPr="00000000">
        <w:rPr>
          <w:rFonts w:ascii="Times New Roman" w:cs="Times New Roman" w:eastAsia="Times New Roman" w:hAnsi="Times New Roman"/>
          <w:b w:val="1"/>
          <w:bCs w:val="1"/>
          <w:color w:val="000000"/>
          <w:sz w:val="26"/>
          <w:szCs w:val="26"/>
          <w:rtl w:val="0"/>
        </w:rPr>
        <w:t xml:space="preserve">7.1 Evaluation Criteria</w:t>
      </w:r>
    </w:p>
    <w:tbl>
      <w:tblPr>
        <w:tblStyle w:val="Table6"/>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60"/>
        <w:gridCol w:w="4500"/>
        <w:gridCol w:w="2475"/>
        <w:tblGridChange w:id="0">
          <w:tblGrid>
            <w:gridCol w:w="1860"/>
            <w:gridCol w:w="4500"/>
            <w:gridCol w:w="2475"/>
          </w:tblGrid>
        </w:tblGridChange>
      </w:tblGrid>
      <w:tr>
        <w:trPr>
          <w:cantSplit w:val="0"/>
          <w:trHeight w:val="375" w:hRule="atLeast"/>
          <w:tblHeader w:val="0"/>
        </w:trPr>
        <w:tc>
          <w:tcPr>
            <w:tcBorders>
              <w:top w:color="b7b7b7" w:space="0" w:sz="5" w:val="single"/>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89">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Criterion</w:t>
            </w:r>
          </w:p>
        </w:tc>
        <w:tc>
          <w:tcPr>
            <w:tcBorders>
              <w:top w:color="b7b7b7" w:space="0" w:sz="5" w:val="single"/>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8A">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Information Source</w:t>
            </w:r>
          </w:p>
        </w:tc>
        <w:tc>
          <w:tcPr>
            <w:tcBorders>
              <w:top w:color="b7b7b7" w:space="0" w:sz="5" w:val="single"/>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8B">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Goal</w:t>
            </w:r>
          </w:p>
        </w:tc>
      </w:tr>
      <w:tr>
        <w:trPr>
          <w:cantSplit w:val="0"/>
          <w:trHeight w:val="615"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8C">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Health relevance</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8D">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Layer 3 evidence-graded effect sizes + DietRx/SpiceRx associations</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8E">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Higher is better</w:t>
            </w:r>
          </w:p>
        </w:tc>
      </w:tr>
      <w:tr>
        <w:trPr>
          <w:cantSplit w:val="0"/>
          <w:trHeight w:val="810"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8F">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Cuisine compatibility</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90">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Ingredient co-occurrence frequency within the recipe's cuisine cluster in RecipeDB</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91">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Prefer recipes compatible with the patient's dietary/cultural context</w:t>
            </w:r>
          </w:p>
        </w:tc>
      </w:tr>
      <w:tr>
        <w:trPr>
          <w:cantSplit w:val="0"/>
          <w:trHeight w:val="615"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92">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Cooking feasibility</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93">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Predicted prep-time and skill shift, from RecipeDB process/utensil metadata</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94">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Prefer recipes within practical constraints</w:t>
            </w:r>
          </w:p>
        </w:tc>
      </w:tr>
    </w:tbl>
    <w:p w:rsidR="00000000" w:rsidDel="00000000" w:rsidP="00000000" w:rsidRDefault="00000000" w:rsidRPr="00000000" w14:paraId="00000095">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rel9i2u4x25e" w:id="14"/>
      <w:bookmarkEnd w:id="14"/>
      <w:r w:rsidDel="00000000" w:rsidR="00000000" w:rsidRPr="00000000">
        <w:rPr>
          <w:rFonts w:ascii="Times New Roman" w:cs="Times New Roman" w:eastAsia="Times New Roman" w:hAnsi="Times New Roman"/>
          <w:b w:val="1"/>
          <w:bCs w:val="1"/>
          <w:color w:val="000000"/>
          <w:sz w:val="26"/>
          <w:szCs w:val="26"/>
          <w:rtl w:val="0"/>
        </w:rPr>
        <w:t xml:space="preserve">7.2 Recipe Scoring and Ranking</w:t>
      </w:r>
    </w:p>
    <w:p w:rsidR="00000000" w:rsidDel="00000000" w:rsidP="00000000" w:rsidRDefault="00000000" w:rsidRPr="00000000" w14:paraId="00000096">
      <w:pPr>
        <w:spacing w:after="160" w:line="26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Scoring criteria: </w:t>
      </w:r>
      <w:r w:rsidDel="00000000" w:rsidR="00000000" w:rsidRPr="00000000">
        <w:rPr>
          <w:rFonts w:ascii="Times New Roman" w:cs="Times New Roman" w:eastAsia="Times New Roman" w:hAnsi="Times New Roman"/>
          <w:rtl w:val="0"/>
        </w:rPr>
        <w:t xml:space="preserve">Each candidate recipe is evaluated using a set of evidence-based criteria. A health relevance score is calculated from the nutritional characteristics of the recipe and its relationship to evidence-supported dietary interventions for MASLD. Cuisine compatibility measures how well the recipe matches the patient's dietary or cultural context. Cooking feasibility considers practical factors such as preparation time, cooking process, ingredients, and required utensils.</w:t>
      </w:r>
    </w:p>
    <w:p w:rsidR="00000000" w:rsidDel="00000000" w:rsidP="00000000" w:rsidRDefault="00000000" w:rsidRPr="00000000" w14:paraId="00000097">
      <w:pPr>
        <w:spacing w:after="160" w:line="26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Implementation: </w:t>
      </w:r>
      <w:r w:rsidDel="00000000" w:rsidR="00000000" w:rsidRPr="00000000">
        <w:rPr>
          <w:rFonts w:ascii="Times New Roman" w:cs="Times New Roman" w:eastAsia="Times New Roman" w:hAnsi="Times New Roman"/>
          <w:rtl w:val="0"/>
        </w:rPr>
        <w:t xml:space="preserve">These criteria are normalized and combined using a transparent multi-criteria scoring framework, initially a weighted scoring approach with weights explicitly defined and reported. The candidate recipes are then ranked according to their overall suitability for the patient, and a sensitivity analysis examines how changes in the criterion weights affect the ranking. The system returns the highest-ranked recipes together with the individual criterion scores so that the recommendation remains interpretable.</w:t>
      </w:r>
    </w:p>
    <w:p w:rsidR="00000000" w:rsidDel="00000000" w:rsidP="00000000" w:rsidRDefault="00000000" w:rsidRPr="00000000" w14:paraId="00000098">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wwal1p7b0t1d" w:id="15"/>
      <w:bookmarkEnd w:id="15"/>
      <w:r w:rsidDel="00000000" w:rsidR="00000000" w:rsidRPr="00000000">
        <w:rPr>
          <w:rFonts w:ascii="Times New Roman" w:cs="Times New Roman" w:eastAsia="Times New Roman" w:hAnsi="Times New Roman"/>
          <w:b w:val="1"/>
          <w:bCs w:val="1"/>
          <w:color w:val="000000"/>
          <w:sz w:val="26"/>
          <w:szCs w:val="26"/>
          <w:rtl w:val="0"/>
        </w:rPr>
        <w:t xml:space="preserve">7.3 Explanation</w:t>
      </w:r>
    </w:p>
    <w:p w:rsidR="00000000" w:rsidDel="00000000" w:rsidP="00000000" w:rsidRDefault="00000000" w:rsidRPr="00000000" w14:paraId="00000099">
      <w:pPr>
        <w:spacing w:after="160" w:line="26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Each recommended recipe is validated by working back from the knowledge graph to see the specific DietRx/SpiceRx association and strength of evidence that support it, and the cuisine/process context that kept it appropriate for the patient.</w:t>
      </w:r>
    </w:p>
    <w:p w:rsidR="00000000" w:rsidDel="00000000" w:rsidP="00000000" w:rsidRDefault="00000000" w:rsidRPr="00000000" w14:paraId="0000009A">
      <w:pPr>
        <w:pStyle w:val="Heading1"/>
        <w:keepNext w:val="0"/>
        <w:keepLines w:val="0"/>
        <w:spacing w:before="480" w:lineRule="auto"/>
        <w:rPr>
          <w:rFonts w:ascii="Times New Roman" w:cs="Times New Roman" w:eastAsia="Times New Roman" w:hAnsi="Times New Roman"/>
          <w:b w:val="1"/>
          <w:bCs w:val="1"/>
          <w:sz w:val="46"/>
          <w:szCs w:val="46"/>
        </w:rPr>
      </w:pPr>
      <w:bookmarkStart w:colFirst="0" w:colLast="0" w:name="_rby5klkpxf7g" w:id="16"/>
      <w:bookmarkEnd w:id="16"/>
      <w:r w:rsidDel="00000000" w:rsidR="00000000" w:rsidRPr="00000000">
        <w:rPr>
          <w:rFonts w:ascii="Times New Roman" w:cs="Times New Roman" w:eastAsia="Times New Roman" w:hAnsi="Times New Roman"/>
          <w:b w:val="1"/>
          <w:bCs w:val="1"/>
          <w:sz w:val="30"/>
          <w:szCs w:val="30"/>
          <w:rtl w:val="0"/>
        </w:rPr>
        <w:t xml:space="preserve">8. Layer 5 — Scenario Engine</w:t>
      </w:r>
      <w:r w:rsidDel="00000000" w:rsidR="00000000" w:rsidRPr="00000000">
        <w:rPr>
          <w:rtl w:val="0"/>
        </w:rPr>
      </w:r>
    </w:p>
    <w:p w:rsidR="00000000" w:rsidDel="00000000" w:rsidP="00000000" w:rsidRDefault="00000000" w:rsidRPr="00000000" w14:paraId="0000009B">
      <w:pPr>
        <w:spacing w:after="160" w:line="26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patient (or physician) can compare “if I choose Recipe A” versus “if I choose Recipe B,” both based on Layer-3 evidence, not querying the Layer-2 engine.</w:t>
      </w:r>
    </w:p>
    <w:tbl>
      <w:tblPr>
        <w:tblStyle w:val="Table7"/>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55"/>
        <w:gridCol w:w="6180"/>
        <w:tblGridChange w:id="0">
          <w:tblGrid>
            <w:gridCol w:w="2655"/>
            <w:gridCol w:w="6180"/>
          </w:tblGrid>
        </w:tblGridChange>
      </w:tblGrid>
      <w:tr>
        <w:trPr>
          <w:cantSplit w:val="0"/>
          <w:trHeight w:val="375" w:hRule="atLeast"/>
          <w:tblHeader w:val="0"/>
        </w:trPr>
        <w:tc>
          <w:tcPr>
            <w:tcBorders>
              <w:top w:color="b7b7b7" w:space="0" w:sz="5" w:val="single"/>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9C">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Scenario</w:t>
            </w:r>
          </w:p>
        </w:tc>
        <w:tc>
          <w:tcPr>
            <w:tcBorders>
              <w:top w:color="b7b7b7" w:space="0" w:sz="5" w:val="single"/>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9D">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Reported as</w:t>
            </w:r>
          </w:p>
        </w:tc>
      </w:tr>
      <w:tr>
        <w:trPr>
          <w:cantSplit w:val="0"/>
          <w:trHeight w:val="615"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9E">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Current state</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9F">
            <w:pPr>
              <w:spacing w:after="40" w:lineRule="auto"/>
              <w:rPr>
                <w:rFonts w:ascii="Times New Roman" w:cs="Times New Roman" w:eastAsia="Times New Roman" w:hAnsi="Times New Roman"/>
                <w:sz w:val="17"/>
                <w:szCs w:val="17"/>
              </w:rPr>
            </w:pPr>
            <w:r w:rsidDel="00000000" w:rsidR="00000000" w:rsidRPr="00000000">
              <w:rPr>
                <w:rFonts w:ascii="Gungsuh" w:cs="Gungsuh" w:eastAsia="Gungsuh" w:hAnsi="Gungsuh"/>
                <w:sz w:val="17"/>
                <w:szCs w:val="17"/>
                <w:rtl w:val="0"/>
              </w:rPr>
              <w:t xml:space="preserve">Calibrated model probability from Layer 2, e.g. “68% predicted probability of grade ≥S1, 95% CI from calibration curve”</w:t>
            </w:r>
          </w:p>
        </w:tc>
      </w:tr>
      <w:tr>
        <w:trPr>
          <w:cantSplit w:val="0"/>
          <w:trHeight w:val="615"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A0">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Scenario A — max health</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A1">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“Strong evidence of improvement; larger shift from the patient's usual recipes” — evidence: STRONG</w:t>
            </w:r>
          </w:p>
        </w:tc>
      </w:tr>
      <w:tr>
        <w:trPr>
          <w:cantSplit w:val="0"/>
          <w:trHeight w:val="615"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A2">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Scenario B — closer to usual recipes</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A3">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“Moderate evidence of improvement; closer to the patient's usual recipes” — evidence: MODERATE</w:t>
            </w:r>
          </w:p>
        </w:tc>
      </w:tr>
      <w:tr>
        <w:trPr>
          <w:cantSplit w:val="0"/>
          <w:trHeight w:val="420"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A4">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Untabulated intervention</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A5">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“Insufficient evidence in current table to simulate this scenario”</w:t>
            </w:r>
          </w:p>
        </w:tc>
      </w:tr>
    </w:tbl>
    <w:p w:rsidR="00000000" w:rsidDel="00000000" w:rsidP="00000000" w:rsidRDefault="00000000" w:rsidRPr="00000000" w14:paraId="000000A6">
      <w:pPr>
        <w:spacing w:after="160" w:line="26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remains an evidence-graded simulated projection, not a clinical forecast - no scenario is ever shown as a bare, model-invented percentage.</w:t>
      </w:r>
    </w:p>
    <w:p w:rsidR="00000000" w:rsidDel="00000000" w:rsidP="00000000" w:rsidRDefault="00000000" w:rsidRPr="00000000" w14:paraId="000000A7">
      <w:pPr>
        <w:pStyle w:val="Heading1"/>
        <w:keepNext w:val="0"/>
        <w:keepLines w:val="0"/>
        <w:spacing w:before="480" w:lineRule="auto"/>
        <w:rPr>
          <w:rFonts w:ascii="Times New Roman" w:cs="Times New Roman" w:eastAsia="Times New Roman" w:hAnsi="Times New Roman"/>
          <w:b w:val="1"/>
          <w:bCs w:val="1"/>
          <w:sz w:val="46"/>
          <w:szCs w:val="46"/>
        </w:rPr>
      </w:pPr>
      <w:bookmarkStart w:colFirst="0" w:colLast="0" w:name="_tmg1487zw0i" w:id="17"/>
      <w:bookmarkEnd w:id="17"/>
      <w:r w:rsidDel="00000000" w:rsidR="00000000" w:rsidRPr="00000000">
        <w:rPr>
          <w:rFonts w:ascii="Times New Roman" w:cs="Times New Roman" w:eastAsia="Times New Roman" w:hAnsi="Times New Roman"/>
          <w:b w:val="1"/>
          <w:bCs w:val="1"/>
          <w:sz w:val="30"/>
          <w:szCs w:val="30"/>
          <w:rtl w:val="0"/>
        </w:rPr>
        <w:t xml:space="preserve">9. Layer 6 — Digital Twin Visualization</w:t>
      </w:r>
      <w:r w:rsidDel="00000000" w:rsidR="00000000" w:rsidRPr="00000000">
        <w:rPr>
          <w:rtl w:val="0"/>
        </w:rPr>
      </w:r>
    </w:p>
    <w:p w:rsidR="00000000" w:rsidDel="00000000" w:rsidP="00000000" w:rsidRDefault="00000000" w:rsidRPr="00000000" w14:paraId="000000A8">
      <w:pPr>
        <w:spacing w:after="160" w:line="26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Purposefully kept simple: the freely available pre-made 3D liver mesh (without creating a new one) where the colour of the material depends on the steatosis state and not on time required for modeling the anatomy.</w:t>
      </w:r>
    </w:p>
    <w:p w:rsidR="00000000" w:rsidDel="00000000" w:rsidP="00000000" w:rsidRDefault="00000000" w:rsidRPr="00000000" w14:paraId="000000A9">
      <w:pPr>
        <w:spacing w:after="16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Colour-coding for the state of liver: Normal (S0) – MILD (S1) – MODERATE (S2) – SEVERE (S3)</w:t>
      </w:r>
    </w:p>
    <w:p w:rsidR="00000000" w:rsidDel="00000000" w:rsidP="00000000" w:rsidRDefault="00000000" w:rsidRPr="00000000" w14:paraId="000000AA">
      <w:pPr>
        <w:spacing w:after="16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Timeline slider: TODAY – 3 MONTHS – 6 MONTHS – 1 YEAR demonstrating the Layer-5 evidence-based direction under a chosen scenario</w:t>
      </w:r>
    </w:p>
    <w:p w:rsidR="00000000" w:rsidDel="00000000" w:rsidP="00000000" w:rsidRDefault="00000000" w:rsidRPr="00000000" w14:paraId="000000AB">
      <w:pPr>
        <w:spacing w:after="16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Clear labeling on screen “simulated projection, not clinical forecast” for all views of future states</w:t>
      </w:r>
    </w:p>
    <w:p w:rsidR="00000000" w:rsidDel="00000000" w:rsidP="00000000" w:rsidRDefault="00000000" w:rsidRPr="00000000" w14:paraId="000000AC">
      <w:pPr>
        <w:spacing w:after="160" w:line="26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visualization is not the digital twin but just one of its interfaces (§1.1). It could be made even more simple in case of tight schedule without affecting the existence of the digital twin.</w:t>
      </w:r>
    </w:p>
    <w:p w:rsidR="00000000" w:rsidDel="00000000" w:rsidP="00000000" w:rsidRDefault="00000000" w:rsidRPr="00000000" w14:paraId="000000AD">
      <w:pPr>
        <w:pStyle w:val="Heading1"/>
        <w:keepNext w:val="0"/>
        <w:keepLines w:val="0"/>
        <w:spacing w:before="480" w:lineRule="auto"/>
        <w:rPr>
          <w:rFonts w:ascii="Times New Roman" w:cs="Times New Roman" w:eastAsia="Times New Roman" w:hAnsi="Times New Roman"/>
          <w:b w:val="1"/>
          <w:bCs w:val="1"/>
          <w:sz w:val="46"/>
          <w:szCs w:val="46"/>
        </w:rPr>
      </w:pPr>
      <w:bookmarkStart w:colFirst="0" w:colLast="0" w:name="_474vpvr6c9u3" w:id="18"/>
      <w:bookmarkEnd w:id="18"/>
      <w:r w:rsidDel="00000000" w:rsidR="00000000" w:rsidRPr="00000000">
        <w:rPr>
          <w:rFonts w:ascii="Times New Roman" w:cs="Times New Roman" w:eastAsia="Times New Roman" w:hAnsi="Times New Roman"/>
          <w:b w:val="1"/>
          <w:bCs w:val="1"/>
          <w:sz w:val="30"/>
          <w:szCs w:val="30"/>
          <w:rtl w:val="0"/>
        </w:rPr>
        <w:t xml:space="preserve">10. Layer 7 — Explainable Dashboard</w:t>
      </w:r>
      <w:r w:rsidDel="00000000" w:rsidR="00000000" w:rsidRPr="00000000">
        <w:rPr>
          <w:rtl w:val="0"/>
        </w:rPr>
      </w:r>
    </w:p>
    <w:p w:rsidR="00000000" w:rsidDel="00000000" w:rsidP="00000000" w:rsidRDefault="00000000" w:rsidRPr="00000000" w14:paraId="000000AE">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View the patient's current dietary choices alongside recommended existing recipes</w:t>
      </w:r>
    </w:p>
    <w:p w:rsidR="00000000" w:rsidDel="00000000" w:rsidP="00000000" w:rsidRDefault="00000000" w:rsidRPr="00000000" w14:paraId="000000AF">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Compare top-ranked recipes side by side, each with health/cuisine/feasibility scores and evidence-strength labels</w:t>
      </w:r>
    </w:p>
    <w:p w:rsidR="00000000" w:rsidDel="00000000" w:rsidP="00000000" w:rsidRDefault="00000000" w:rsidRPr="00000000" w14:paraId="000000B0">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Explore the twin's visualization and timeline for a selected scenario</w:t>
      </w:r>
    </w:p>
    <w:p w:rsidR="00000000" w:rsidDel="00000000" w:rsidP="00000000" w:rsidRDefault="00000000" w:rsidRPr="00000000" w14:paraId="000000B1">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Read the knowledge-graph-traced explanation for every recommended recipe</w:t>
      </w:r>
    </w:p>
    <w:p w:rsidR="00000000" w:rsidDel="00000000" w:rsidP="00000000" w:rsidRDefault="00000000" w:rsidRPr="00000000" w14:paraId="000000B2">
      <w:pPr>
        <w:pStyle w:val="Heading1"/>
        <w:keepNext w:val="0"/>
        <w:keepLines w:val="0"/>
        <w:spacing w:before="480" w:lineRule="auto"/>
        <w:rPr>
          <w:rFonts w:ascii="Times New Roman" w:cs="Times New Roman" w:eastAsia="Times New Roman" w:hAnsi="Times New Roman"/>
          <w:b w:val="1"/>
          <w:bCs w:val="1"/>
          <w:sz w:val="46"/>
          <w:szCs w:val="46"/>
        </w:rPr>
      </w:pPr>
      <w:bookmarkStart w:colFirst="0" w:colLast="0" w:name="_h02debwhu074" w:id="19"/>
      <w:bookmarkEnd w:id="19"/>
      <w:r w:rsidDel="00000000" w:rsidR="00000000" w:rsidRPr="00000000">
        <w:rPr>
          <w:rFonts w:ascii="Times New Roman" w:cs="Times New Roman" w:eastAsia="Times New Roman" w:hAnsi="Times New Roman"/>
          <w:b w:val="1"/>
          <w:bCs w:val="1"/>
          <w:sz w:val="30"/>
          <w:szCs w:val="30"/>
          <w:rtl w:val="0"/>
        </w:rPr>
        <w:t xml:space="preserve">11. Integrated Pipeline</w:t>
      </w:r>
      <w:r w:rsidDel="00000000" w:rsidR="00000000" w:rsidRPr="00000000">
        <w:rPr>
          <w:rtl w:val="0"/>
        </w:rPr>
      </w:r>
    </w:p>
    <w:p w:rsidR="00000000" w:rsidDel="00000000" w:rsidP="00000000" w:rsidRDefault="00000000" w:rsidRPr="00000000" w14:paraId="000000B3">
      <w:pPr>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rtl w:val="0"/>
        </w:rPr>
        <w:t xml:space="preserve">Step 1: Collection &amp; Pre-processing of Patient Data (Layer 1)</w:t>
      </w:r>
    </w:p>
    <w:p w:rsidR="00000000" w:rsidDel="00000000" w:rsidP="00000000" w:rsidRDefault="00000000" w:rsidRPr="00000000" w14:paraId="000000B4">
      <w:pPr>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rtl w:val="0"/>
        </w:rPr>
        <w:t xml:space="preserve">Step 2: Steatosis/MASLD risk prediction, calibration &amp; SHAP (Layer 2)</w:t>
      </w:r>
    </w:p>
    <w:p w:rsidR="00000000" w:rsidDel="00000000" w:rsidP="00000000" w:rsidRDefault="00000000" w:rsidRPr="00000000" w14:paraId="000000B5">
      <w:pPr>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rtl w:val="0"/>
        </w:rPr>
        <w:t xml:space="preserve">Step 3: Evidence-based dietary objectives (Layer 3)</w:t>
      </w:r>
    </w:p>
    <w:p w:rsidR="00000000" w:rsidDel="00000000" w:rsidP="00000000" w:rsidRDefault="00000000" w:rsidRPr="00000000" w14:paraId="000000B6">
      <w:pPr>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rtl w:val="0"/>
        </w:rPr>
        <w:t xml:space="preserve">Step 4: Recipe evaluation and ranking (Layer 4)</w:t>
      </w:r>
    </w:p>
    <w:p w:rsidR="00000000" w:rsidDel="00000000" w:rsidP="00000000" w:rsidRDefault="00000000" w:rsidRPr="00000000" w14:paraId="000000B7">
      <w:pPr>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rtl w:val="0"/>
        </w:rPr>
        <w:t xml:space="preserve">Step 5: Scenario comparison (Layer 5)</w:t>
      </w:r>
    </w:p>
    <w:p w:rsidR="00000000" w:rsidDel="00000000" w:rsidP="00000000" w:rsidRDefault="00000000" w:rsidRPr="00000000" w14:paraId="000000B8">
      <w:pPr>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rtl w:val="0"/>
        </w:rPr>
        <w:t xml:space="preserve">Step 6: Visualization (Layer 6)</w:t>
      </w:r>
    </w:p>
    <w:p w:rsidR="00000000" w:rsidDel="00000000" w:rsidP="00000000" w:rsidRDefault="00000000" w:rsidRPr="00000000" w14:paraId="000000B9">
      <w:pPr>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rtl w:val="0"/>
        </w:rPr>
        <w:t xml:space="preserve">Step 7: Explainable dashboard (Layer 7)</w:t>
      </w:r>
    </w:p>
    <w:p w:rsidR="00000000" w:rsidDel="00000000" w:rsidP="00000000" w:rsidRDefault="00000000" w:rsidRPr="00000000" w14:paraId="000000BA">
      <w:pPr>
        <w:pStyle w:val="Heading1"/>
        <w:keepNext w:val="0"/>
        <w:keepLines w:val="0"/>
        <w:spacing w:before="480" w:lineRule="auto"/>
        <w:rPr>
          <w:rFonts w:ascii="Times New Roman" w:cs="Times New Roman" w:eastAsia="Times New Roman" w:hAnsi="Times New Roman"/>
          <w:b w:val="1"/>
          <w:bCs w:val="1"/>
          <w:sz w:val="46"/>
          <w:szCs w:val="46"/>
        </w:rPr>
      </w:pPr>
      <w:bookmarkStart w:colFirst="0" w:colLast="0" w:name="_tblbrlgihcdy" w:id="20"/>
      <w:bookmarkEnd w:id="20"/>
      <w:r w:rsidDel="00000000" w:rsidR="00000000" w:rsidRPr="00000000">
        <w:rPr>
          <w:rFonts w:ascii="Times New Roman" w:cs="Times New Roman" w:eastAsia="Times New Roman" w:hAnsi="Times New Roman"/>
          <w:b w:val="1"/>
          <w:bCs w:val="1"/>
          <w:sz w:val="30"/>
          <w:szCs w:val="30"/>
          <w:rtl w:val="0"/>
        </w:rPr>
        <w:t xml:space="preserve">12. Evaluation Plan</w:t>
      </w:r>
      <w:r w:rsidDel="00000000" w:rsidR="00000000" w:rsidRPr="00000000">
        <w:rPr>
          <w:rtl w:val="0"/>
        </w:rPr>
      </w:r>
    </w:p>
    <w:p w:rsidR="00000000" w:rsidDel="00000000" w:rsidP="00000000" w:rsidRDefault="00000000" w:rsidRPr="00000000" w14:paraId="000000BB">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xj2xdaf629vx" w:id="21"/>
      <w:bookmarkEnd w:id="21"/>
      <w:r w:rsidDel="00000000" w:rsidR="00000000" w:rsidRPr="00000000">
        <w:rPr>
          <w:rFonts w:ascii="Times New Roman" w:cs="Times New Roman" w:eastAsia="Times New Roman" w:hAnsi="Times New Roman"/>
          <w:b w:val="1"/>
          <w:bCs w:val="1"/>
          <w:color w:val="000000"/>
          <w:sz w:val="26"/>
          <w:szCs w:val="26"/>
          <w:rtl w:val="0"/>
        </w:rPr>
        <w:t xml:space="preserve">12.1 Digital twin state model (Layer 2)</w:t>
      </w:r>
    </w:p>
    <w:p w:rsidR="00000000" w:rsidDel="00000000" w:rsidP="00000000" w:rsidRDefault="00000000" w:rsidRPr="00000000" w14:paraId="000000B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Held-out test split from a single cohort; calibration curve, Brier score, Accuracy/F1/ROC-AUC</w:t>
      </w:r>
    </w:p>
    <w:p w:rsidR="00000000" w:rsidDel="00000000" w:rsidP="00000000" w:rsidRDefault="00000000" w:rsidRPr="00000000" w14:paraId="000000BD">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eqg31miapaz9" w:id="22"/>
      <w:bookmarkEnd w:id="22"/>
      <w:r w:rsidDel="00000000" w:rsidR="00000000" w:rsidRPr="00000000">
        <w:rPr>
          <w:rFonts w:ascii="Times New Roman" w:cs="Times New Roman" w:eastAsia="Times New Roman" w:hAnsi="Times New Roman"/>
          <w:b w:val="1"/>
          <w:bCs w:val="1"/>
          <w:color w:val="000000"/>
          <w:sz w:val="26"/>
          <w:szCs w:val="26"/>
          <w:rtl w:val="0"/>
        </w:rPr>
        <w:t xml:space="preserve">12.2 Recipe evaluation and ranking engine (Layer 4)</w:t>
      </w:r>
    </w:p>
    <w:p w:rsidR="00000000" w:rsidDel="00000000" w:rsidP="00000000" w:rsidRDefault="00000000" w:rsidRPr="00000000" w14:paraId="000000BE">
      <w:pPr>
        <w:ind w:left="640" w:hanging="240"/>
        <w:rPr>
          <w:sz w:val="20"/>
          <w:szCs w:val="20"/>
        </w:rPr>
      </w:pPr>
      <w:r w:rsidDel="00000000" w:rsidR="00000000" w:rsidRPr="00000000">
        <w:rPr>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0"/>
          <w:szCs w:val="20"/>
          <w:rtl w:val="0"/>
        </w:rPr>
        <w:t xml:space="preserve">The recipe evaluation and ranking engine will be assessed by measuring the proportion of recommended recipes that satisfy the defined health, cuisine-compatibility, and cooking-feasibility criteria. Its performance will be compared against baseline approaches, including nutrition-only ranking, health-score-only ranking, and random candidate selection.</w:t>
      </w:r>
    </w:p>
    <w:p w:rsidR="00000000" w:rsidDel="00000000" w:rsidP="00000000" w:rsidRDefault="00000000" w:rsidRPr="00000000" w14:paraId="000000BF">
      <w:pPr>
        <w:ind w:left="640" w:hanging="240"/>
        <w:rPr>
          <w:sz w:val="20"/>
          <w:szCs w:val="20"/>
        </w:rPr>
      </w:pPr>
      <w:r w:rsidDel="00000000" w:rsidR="00000000" w:rsidRPr="00000000">
        <w:rPr>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0"/>
          <w:szCs w:val="20"/>
          <w:rtl w:val="0"/>
        </w:rPr>
        <w:t xml:space="preserve">We measured the proportion of recommended recipes that satisfy the defined cuisine and cooking-feasibility constraints, and compared the proposed multi-criteria ranking against simple baselines such as a nutrition-only ranking, a health-score-only ranking, and random candidate selection.</w:t>
      </w:r>
    </w:p>
    <w:p w:rsidR="00000000" w:rsidDel="00000000" w:rsidP="00000000" w:rsidRDefault="00000000" w:rsidRPr="00000000" w14:paraId="000000C0">
      <w:pPr>
        <w:ind w:left="640" w:hanging="240"/>
        <w:rPr>
          <w:sz w:val="20"/>
          <w:szCs w:val="20"/>
        </w:rPr>
      </w:pPr>
      <w:r w:rsidDel="00000000" w:rsidR="00000000" w:rsidRPr="00000000">
        <w:rPr>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0"/>
          <w:szCs w:val="20"/>
          <w:rtl w:val="0"/>
        </w:rPr>
        <w:t xml:space="preserve">We also ran a sensitivity analysis to examine whether the ranking remains reasonably stable when the relative importance of health, cuisine compatibility, and feasibility is changed.</w:t>
      </w:r>
    </w:p>
    <w:p w:rsidR="00000000" w:rsidDel="00000000" w:rsidP="00000000" w:rsidRDefault="00000000" w:rsidRPr="00000000" w14:paraId="000000C1">
      <w:pPr>
        <w:ind w:left="640" w:hanging="240"/>
        <w:rPr>
          <w:sz w:val="20"/>
          <w:szCs w:val="20"/>
        </w:rPr>
      </w:pPr>
      <w:r w:rsidDel="00000000" w:rsidR="00000000" w:rsidRPr="00000000">
        <w:rPr>
          <w:sz w:val="20"/>
          <w:szCs w:val="20"/>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0"/>
          <w:szCs w:val="20"/>
          <w:rtl w:val="0"/>
        </w:rPr>
        <w:t xml:space="preserve">Finally, where feasible, a small qualitative expert or pilot evaluation may assess whether recommended recipes appear reasonable and appropriate for their intended cuisine and practical context</w:t>
      </w:r>
    </w:p>
    <w:p w:rsidR="00000000" w:rsidDel="00000000" w:rsidP="00000000" w:rsidRDefault="00000000" w:rsidRPr="00000000" w14:paraId="000000C2">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8q3zc2h6jmaj" w:id="23"/>
      <w:bookmarkEnd w:id="23"/>
      <w:r w:rsidDel="00000000" w:rsidR="00000000" w:rsidRPr="00000000">
        <w:rPr>
          <w:rFonts w:ascii="Times New Roman" w:cs="Times New Roman" w:eastAsia="Times New Roman" w:hAnsi="Times New Roman"/>
          <w:b w:val="1"/>
          <w:bCs w:val="1"/>
          <w:color w:val="000000"/>
          <w:sz w:val="26"/>
          <w:szCs w:val="26"/>
          <w:rtl w:val="0"/>
        </w:rPr>
        <w:t xml:space="preserve">12.3 Twin trajectories</w:t>
      </w:r>
    </w:p>
    <w:p w:rsidR="00000000" w:rsidDel="00000000" w:rsidP="00000000" w:rsidRDefault="00000000" w:rsidRPr="00000000" w14:paraId="000000C3">
      <w:pPr>
        <w:spacing w:after="160" w:line="268.8"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 evaluated against real longitudinal outcomes in this project — see the scope note in §1.1. Twin trajectories are reported strictly as evidence-graded simulated projections.</w:t>
      </w:r>
    </w:p>
    <w:p w:rsidR="00000000" w:rsidDel="00000000" w:rsidP="00000000" w:rsidRDefault="00000000" w:rsidRPr="00000000" w14:paraId="000000BB">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xj2xdaf629vx" w:id="21"/>
      <w:bookmarkEnd w:id="21"/>
      <w:r w:rsidDel="00000000" w:rsidR="00000000" w:rsidRPr="00000000">
        <w:rPr>
          <w:rFonts w:ascii="Times New Roman" w:cs="Times New Roman" w:eastAsia="Times New Roman" w:hAnsi="Times New Roman"/>
          <w:b/>
          <w:bCs w:val="1"/>
          <w:color w:val="000000"/>
          <w:sz w:val="26"/>
          <w:szCs w:val="26"/>
          <w:rtl w:val="0"/>
        </w:rPr>
        <w:t>12.4 Evaluation of the extensions (§17)</w:t>
      </w:r>
    </w:p>
    <w:p w:rsidR="00000000" w:rsidDel="00000000" w:rsidP="00000000" w:rsidRDefault="00000000" w:rsidRPr="00000000" w14:paraId="000000B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Fibrosis triage: discrimination of FIB-4 (and any fibrosis model) for measured liver stiffness ≥ 8 kPa on the held-out NHANES participants, and agreement of the referral category with the guideline pathway.</w:t>
      </w:r>
    </w:p>
    <w:p w:rsidR="00000000" w:rsidDel="00000000" w:rsidP="00000000" w:rsidRDefault="00000000" w:rsidRPr="00000000" w14:paraId="000000B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Uncertainty: empirical coverage of the conformal CAP intervals (target 90%) on the test set.</w:t>
      </w:r>
    </w:p>
    <w:p w:rsidR="00000000" w:rsidDel="00000000" w:rsidP="00000000" w:rsidRDefault="00000000" w:rsidRPr="00000000" w14:paraId="000000B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Personalisation: how far recommendations differ between patients with different habitual diets and priorities (top-10 overlap), before and after adding 24-hour recall data.</w:t>
      </w:r>
    </w:p>
    <w:p w:rsidR="00000000" w:rsidDel="00000000" w:rsidP="00000000" w:rsidRDefault="00000000" w:rsidRPr="00000000" w14:paraId="000000B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Recommendation diversity and meal plans: intra-list ingredient diversity and the share of plans meeting every weekly constraint.</w:t>
      </w:r>
    </w:p>
    <w:p w:rsidR="00000000" w:rsidDel="00000000" w:rsidP="00000000" w:rsidRDefault="00000000" w:rsidRPr="00000000" w14:paraId="000000B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Plain-language summaries: automatic faithfulness rate (every number and citation traceable to the twin output) and readability, plus review of a sample by the project team.</w:t>
      </w:r>
    </w:p>
    <w:p w:rsidR="00000000" w:rsidDel="00000000" w:rsidP="00000000" w:rsidRDefault="00000000" w:rsidRPr="00000000" w14:paraId="000000B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Fairness: Layer 2 metrics and Layer 4 criteria satisfaction by sex, race/ethnicity and age group, with 95% bootstrap intervals.</w:t>
      </w:r>
    </w:p>
    <w:p w:rsidR="00000000" w:rsidDel="00000000" w:rsidP="00000000" w:rsidRDefault="00000000" w:rsidRPr="00000000" w14:paraId="000000B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NHANES III: external discrimination and calibration against graded ultrasound, and association of the twin’s risk and FIB-4 with all-cause and liver-related mortality.</w:t>
      </w:r>
    </w:p>
    <w:p w:rsidR="00000000" w:rsidDel="00000000" w:rsidP="00000000" w:rsidRDefault="00000000" w:rsidRPr="00000000" w14:paraId="000000C4">
      <w:pPr>
        <w:pStyle w:val="Heading1"/>
        <w:keepNext w:val="0"/>
        <w:keepLines w:val="0"/>
        <w:spacing w:before="480" w:lineRule="auto"/>
        <w:rPr>
          <w:rFonts w:ascii="Times New Roman" w:cs="Times New Roman" w:eastAsia="Times New Roman" w:hAnsi="Times New Roman"/>
          <w:b w:val="1"/>
          <w:bCs w:val="1"/>
          <w:sz w:val="46"/>
          <w:szCs w:val="46"/>
        </w:rPr>
      </w:pPr>
      <w:bookmarkStart w:colFirst="0" w:colLast="0" w:name="_4vi0z02zlwjv" w:id="24"/>
      <w:bookmarkEnd w:id="24"/>
      <w:r w:rsidDel="00000000" w:rsidR="00000000" w:rsidRPr="00000000">
        <w:rPr>
          <w:rFonts w:ascii="Times New Roman" w:cs="Times New Roman" w:eastAsia="Times New Roman" w:hAnsi="Times New Roman"/>
          <w:b w:val="1"/>
          <w:bCs w:val="1"/>
          <w:sz w:val="30"/>
          <w:szCs w:val="30"/>
          <w:rtl w:val="0"/>
        </w:rPr>
        <w:t xml:space="preserve">13. Dataset Strategy</w:t>
      </w:r>
      <w:r w:rsidDel="00000000" w:rsidR="00000000" w:rsidRPr="00000000">
        <w:rPr>
          <w:rtl w:val="0"/>
        </w:rPr>
      </w:r>
    </w:p>
    <w:tbl>
      <w:tblPr>
        <w:tblStyle w:val="Table8"/>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25"/>
        <w:gridCol w:w="3360"/>
        <w:gridCol w:w="3450"/>
        <w:tblGridChange w:id="0">
          <w:tblGrid>
            <w:gridCol w:w="2025"/>
            <w:gridCol w:w="3360"/>
            <w:gridCol w:w="3450"/>
          </w:tblGrid>
        </w:tblGridChange>
      </w:tblGrid>
      <w:tr>
        <w:trPr>
          <w:cantSplit w:val="0"/>
          <w:trHeight w:val="375" w:hRule="atLeast"/>
          <w:tblHeader w:val="0"/>
        </w:trPr>
        <w:tc>
          <w:tcPr>
            <w:tcBorders>
              <w:top w:color="b7b7b7" w:space="0" w:sz="5" w:val="single"/>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C5">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Dataset</w:t>
            </w:r>
          </w:p>
        </w:tc>
        <w:tc>
          <w:tcPr>
            <w:tcBorders>
              <w:top w:color="b7b7b7" w:space="0" w:sz="5" w:val="single"/>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C6">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Used for</w:t>
            </w:r>
          </w:p>
        </w:tc>
        <w:tc>
          <w:tcPr>
            <w:tcBorders>
              <w:top w:color="b7b7b7" w:space="0" w:sz="5" w:val="single"/>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C7">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Notes</w:t>
            </w:r>
          </w:p>
        </w:tc>
      </w:tr>
      <w:tr>
        <w:trPr>
          <w:cantSplit w:val="0"/>
          <w:trHeight w:val="1620" w:hRule="atLeast"/>
          <w:tblHeader w:val="0"/>
        </w:trPr>
        <w:tc>
          <w:tcPr>
            <w:tcBorders>
              <w:top w:color="000000" w:space="0" w:sz="0" w:val="nil"/>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C8">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NHANES 2017–March 2020 + August 2021–August 2023 (primary)</w:t>
            </w:r>
          </w:p>
        </w:tc>
        <w:tc>
          <w:tcPr>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C9">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Clinical training/validation cohort for Layer 2</w:t>
            </w:r>
          </w:p>
        </w:tc>
        <w:tc>
          <w:tcPr>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CA">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Liver Ultrasound Transient Elastography (LUX) component provides CAP-based steatosis grading, in the same public release as biomarkers (ALT, AST, HbA1c) and 24-hour dietary recall, linked by participant ID. Public-use files, no application — downloadable directly from the CDC NHANES data portal.</w:t>
            </w:r>
          </w:p>
        </w:tc>
      </w:tr>
      <w:tr>
        <w:trPr>
          <w:cantSplit w:val="0"/>
          <w:trHeight w:val="810" w:hRule="atLeast"/>
          <w:tblHeader w:val="0"/>
        </w:trPr>
        <w:tc>
          <w:tcPr>
            <w:tcBorders>
              <w:top w:color="000000" w:space="0" w:sz="0" w:val="nil"/>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CB">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NASH-CRN (optional, parallel)</w:t>
            </w:r>
          </w:p>
        </w:tc>
        <w:tc>
          <w:tcPr>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CC">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Secondary validation cohort if time allows</w:t>
            </w:r>
          </w:p>
        </w:tc>
        <w:tc>
          <w:tcPr>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CD">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Biopsy-confirmed clinical cohort; access typically a few weeks, applied for in parallel, not blocking</w:t>
            </w:r>
          </w:p>
        </w:tc>
      </w:tr>
      <w:tr>
        <w:trPr>
          <w:cantSplit w:val="0"/>
          <w:trHeight w:val="615" w:hRule="atLeast"/>
          <w:tblHeader w:val="0"/>
        </w:trPr>
        <w:tc>
          <w:tcPr>
            <w:tcBorders>
              <w:top w:color="000000" w:space="0" w:sz="0" w:val="nil"/>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CE">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RecipeDB</w:t>
            </w:r>
          </w:p>
        </w:tc>
        <w:tc>
          <w:tcPr>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CF">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Recipe corpus, candidate recipes, cuisine/process metadata</w:t>
            </w:r>
          </w:p>
        </w:tc>
        <w:tc>
          <w:tcPr>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D0">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Backbone of Layer 4</w:t>
            </w:r>
          </w:p>
        </w:tc>
      </w:tr>
      <w:tr>
        <w:trPr>
          <w:cantSplit w:val="0"/>
          <w:trHeight w:val="810" w:hRule="atLeast"/>
          <w:tblHeader w:val="0"/>
        </w:trPr>
        <w:tc>
          <w:tcPr>
            <w:tcBorders>
              <w:top w:color="000000" w:space="0" w:sz="0" w:val="nil"/>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D1">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FlavorDB</w:t>
            </w:r>
          </w:p>
        </w:tc>
        <w:tc>
          <w:tcPr>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D2">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Flavor-compound profiles; explored but not used as a core scoring component (see §4, §7)</w:t>
            </w:r>
          </w:p>
        </w:tc>
        <w:tc>
          <w:tcPr>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D3">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w:t>
            </w:r>
          </w:p>
        </w:tc>
      </w:tr>
      <w:tr>
        <w:trPr>
          <w:cantSplit w:val="0"/>
          <w:trHeight w:val="615" w:hRule="atLeast"/>
          <w:tblHeader w:val="0"/>
        </w:trPr>
        <w:tc>
          <w:tcPr>
            <w:tcBorders>
              <w:top w:color="000000" w:space="0" w:sz="0" w:val="nil"/>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D4">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DietRx / SpiceRx</w:t>
            </w:r>
          </w:p>
        </w:tc>
        <w:tc>
          <w:tcPr>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D5">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Food/spice–disease association evidence for the health objective</w:t>
            </w:r>
          </w:p>
        </w:tc>
        <w:tc>
          <w:tcPr>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D6">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w:t>
            </w:r>
          </w:p>
        </w:tc>
      </w:tr>
      <w:tr>
        <w:trPr>
          <w:cantSplit w:val="0"/>
          <w:trHeight w:val="615" w:hRule="atLeast"/>
          <w:tblHeader w:val="0"/>
        </w:trPr>
        <w:tc>
          <w:tcPr>
            <w:tcBorders>
              <w:top w:color="000000" w:space="0" w:sz="0" w:val="nil"/>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D7">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USDA FoodData Central / IFCT</w:t>
            </w:r>
          </w:p>
        </w:tc>
        <w:tc>
          <w:tcPr>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D8">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Nutrient look-up for recipe-to-nutrient conversion</w:t>
            </w:r>
          </w:p>
        </w:tc>
        <w:tc>
          <w:tcPr>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D9">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Reference table, not patient data</w:t>
            </w:r>
          </w:p>
        </w:tc>
      </w:tr>
      <w:tr>
        <w:trPr>
          <w:cantSplit w:val="0"/>
          <w:trHeight w:val="615" w:hRule="atLeast"/>
          <w:tblHeader w:val="0"/>
        </w:trPr>
        <w:tc>
          <w:tcPr>
            <w:tcBorders>
              <w:top w:color="000000" w:space="0" w:sz="0" w:val="nil"/>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D7">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NHANES III (1988–1994) hepatic steatosis ultrasound + Linked Mortality Files (proposed, §17.9)</w:t>
            </w:r>
          </w:p>
        </w:tc>
        <w:tc>
          <w:tcPr>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D8">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External validation against graded ultrasound; long-term outcome validation</w:t>
            </w:r>
          </w:p>
        </w:tc>
        <w:tc>
          <w:tcPr>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D9">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Public-use; ultrasound re-read released 2011 (adults 20–74); mortality follow-up to 31 December 2019</w:t>
            </w:r>
          </w:p>
        </w:tc>
      </w:tr>
      <w:tr>
        <w:trPr>
          <w:cantSplit w:val="0"/>
          <w:trHeight w:val="615" w:hRule="atLeast"/>
          <w:tblHeader w:val="0"/>
        </w:trPr>
        <w:tc>
          <w:tcPr>
            <w:tcBorders>
              <w:top w:color="000000" w:space="0" w:sz="0" w:val="nil"/>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D7">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NHANES 24-hour dietary recall (DR1TOT, DR1IFF) and USDA FPED 2017–March 2020 (§17.1)</w:t>
            </w:r>
          </w:p>
        </w:tc>
        <w:tc>
          <w:tcPr>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D8">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Patient’s habitual diet; HEI-2020 diet-quality score</w:t>
            </w:r>
          </w:p>
        </w:tc>
        <w:tc>
          <w:tcPr>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D9">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Already downloaded (DR1TOT); FPED from USDA ARS</w:t>
            </w:r>
          </w:p>
        </w:tc>
      </w:tr>
      <w:tr>
        <w:trPr>
          <w:cantSplit w:val="0"/>
          <w:trHeight w:val="615" w:hRule="atLeast"/>
          <w:tblHeader w:val="0"/>
        </w:trPr>
        <w:tc>
          <w:tcPr>
            <w:tcBorders>
              <w:top w:color="000000" w:space="0" w:sz="0" w:val="nil"/>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D7">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International GI tables 2021; FoodProX (§17.10–17.11)</w:t>
            </w:r>
          </w:p>
        </w:tc>
        <w:tc>
          <w:tcPr>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D8">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Glycaemic load and ultra-processing criteria</w:t>
            </w:r>
          </w:p>
        </w:tc>
        <w:tc>
          <w:tcPr>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D9">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Published reference tables and open model; mapped to recipe ingredients</w:t>
            </w:r>
          </w:p>
        </w:tc>
      </w:tr>
      <w:tr>
        <w:trPr>
          <w:cantSplit w:val="0"/>
          <w:trHeight w:val="615" w:hRule="atLeast"/>
          <w:tblHeader w:val="0"/>
        </w:trPr>
        <w:tc>
          <w:tcPr>
            <w:tcBorders>
              <w:top w:color="000000" w:space="0" w:sz="0" w:val="nil"/>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D7">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Food.com recipes and reviews (Majumder et al., 2019) (§17.12)</w:t>
            </w:r>
          </w:p>
        </w:tc>
        <w:tc>
          <w:tcPr>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D8">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Recipe acceptability and preference signal; corpus robustness check</w:t>
            </w:r>
          </w:p>
        </w:tc>
        <w:tc>
          <w:tcPr>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D9">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About 231,000 recipes and 1.1 million reviews; public research dataset</w:t>
            </w:r>
          </w:p>
        </w:tc>
      </w:tr>
    </w:tbl>
    <w:p w:rsidR="00000000" w:rsidDel="00000000" w:rsidP="00000000" w:rsidRDefault="00000000" w:rsidRPr="00000000" w14:paraId="000000DA">
      <w:pPr>
        <w:spacing w:after="160" w:line="268.8" w:lineRule="auto"/>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UK Biobank was considered but not pursued — its longitudinal repeat-imaging subset was attractive, but its access-approval timeline is measured in months and doesn't fit this project's window. MIMIC-IV remains excluded — an ICU population is not a matched cohort for this task. Continuous NHANES cycles from 1999 to 2016 remain excluded because they have no liver imaging. NHANES III (1988–1994) is an exception: archived gallbladder ultrasound was re-read to grade hepatic steatosis, and its participants are linked to mortality through 2019, so it is now proposed as an external and long-term validation cohort (§17.9).</w:t>
      </w:r>
    </w:p>
    <w:p w:rsidR="00000000" w:rsidDel="00000000" w:rsidP="00000000" w:rsidRDefault="00000000" w:rsidRPr="00000000" w14:paraId="000000DB">
      <w:pPr>
        <w:pStyle w:val="Heading1"/>
        <w:keepNext w:val="0"/>
        <w:keepLines w:val="0"/>
        <w:spacing w:before="480" w:lineRule="auto"/>
        <w:rPr>
          <w:rFonts w:ascii="Times New Roman" w:cs="Times New Roman" w:eastAsia="Times New Roman" w:hAnsi="Times New Roman"/>
          <w:b w:val="1"/>
          <w:bCs w:val="1"/>
          <w:sz w:val="46"/>
          <w:szCs w:val="46"/>
        </w:rPr>
      </w:pPr>
      <w:bookmarkStart w:colFirst="0" w:colLast="0" w:name="_utquhvfj15y8" w:id="25"/>
      <w:bookmarkEnd w:id="25"/>
      <w:r w:rsidDel="00000000" w:rsidR="00000000" w:rsidRPr="00000000">
        <w:rPr>
          <w:rFonts w:ascii="Times New Roman" w:cs="Times New Roman" w:eastAsia="Times New Roman" w:hAnsi="Times New Roman"/>
          <w:b w:val="1"/>
          <w:bCs w:val="1"/>
          <w:sz w:val="30"/>
          <w:szCs w:val="30"/>
          <w:rtl w:val="0"/>
        </w:rPr>
        <w:t xml:space="preserve">14. Expected Contributions &amp; Publication Targets</w:t>
      </w:r>
      <w:r w:rsidDel="00000000" w:rsidR="00000000" w:rsidRPr="00000000">
        <w:rPr>
          <w:rtl w:val="0"/>
        </w:rPr>
      </w:r>
    </w:p>
    <w:p w:rsidR="00000000" w:rsidDel="00000000" w:rsidP="00000000" w:rsidRDefault="00000000" w:rsidRPr="00000000" w14:paraId="000000DC">
      <w:pPr>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rtl w:val="0"/>
        </w:rPr>
        <w:t xml:space="preserve">A digital twin for the patient liver, where the state model is built by updating with new information from the patient, along with a simulation model for evidence-based intervention, tested using a cross-sectional analysis on the NHANES dataset; longitudinal validation left for future work</w:t>
      </w:r>
    </w:p>
    <w:p w:rsidR="00000000" w:rsidDel="00000000" w:rsidP="00000000" w:rsidRDefault="00000000" w:rsidRPr="00000000" w14:paraId="000000DD">
      <w:pPr>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rtl w:val="0"/>
        </w:rPr>
        <w:t xml:space="preserve">New scoring approach for the task of evidence-based recipe evaluation and selection (health+cuisine+feasibility), based on a food knowledge graph, which drives the intervention engine of the twin</w:t>
      </w:r>
    </w:p>
    <w:p w:rsidR="00000000" w:rsidDel="00000000" w:rsidP="00000000" w:rsidRDefault="00000000" w:rsidRPr="00000000" w14:paraId="000000DE">
      <w:pPr>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rtl w:val="0"/>
        </w:rPr>
        <w:t xml:space="preserve">An evidence-linked recipe recommendation component that explains why each recipe is suitable, including its nutritional characteristics and supporting intervention evidence, along with a small-scale human evaluation experiment inspired by the Turing-Test-for-Chef framework.</w:t>
      </w:r>
    </w:p>
    <w:p w:rsidR="00000000" w:rsidDel="00000000" w:rsidP="00000000" w:rsidRDefault="00000000" w:rsidRPr="00000000" w14:paraId="000000DE">
      <w:pPr>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rtl w:val="0"/>
        </w:rPr>
        <w:t>A fibrosis-aware triage step and MASLD subtype labelling, so that diet recommendations follow the guideline care pathway rather than replacing it (§17.2–17.3)</w:t>
      </w:r>
    </w:p>
    <w:p w:rsidR="00000000" w:rsidDel="00000000" w:rsidP="00000000" w:rsidRDefault="00000000" w:rsidRPr="00000000" w14:paraId="000000DF">
      <w:pPr>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tab/>
      </w:r>
      <w:r w:rsidDel="00000000" w:rsidR="00000000" w:rsidRPr="00000000">
        <w:rPr>
          <w:rFonts w:ascii="Times New Roman" w:cs="Times New Roman" w:eastAsia="Times New Roman" w:hAnsi="Times New Roman"/>
          <w:rtl w:val="0"/>
        </w:rPr>
        <w:t>Open source, modular architecture of the twin, demonstrated and evaluated in the MASLD use case</w:t>
      </w:r>
    </w:p>
    <w:p w:rsidR="00000000" w:rsidDel="00000000" w:rsidP="00000000" w:rsidRDefault="00000000" w:rsidRPr="00000000" w14:paraId="000000E0">
      <w:pPr>
        <w:pStyle w:val="Heading1"/>
        <w:keepNext w:val="0"/>
        <w:keepLines w:val="0"/>
        <w:spacing w:before="480" w:lineRule="auto"/>
        <w:rPr>
          <w:rFonts w:ascii="Times New Roman" w:cs="Times New Roman" w:eastAsia="Times New Roman" w:hAnsi="Times New Roman"/>
          <w:b w:val="1"/>
          <w:bCs w:val="1"/>
          <w:sz w:val="46"/>
          <w:szCs w:val="46"/>
        </w:rPr>
      </w:pPr>
      <w:bookmarkStart w:colFirst="0" w:colLast="0" w:name="_x0z6bv93y5s1" w:id="26"/>
      <w:bookmarkEnd w:id="26"/>
      <w:r w:rsidDel="00000000" w:rsidR="00000000" w:rsidRPr="00000000">
        <w:rPr>
          <w:rFonts w:ascii="Times New Roman" w:cs="Times New Roman" w:eastAsia="Times New Roman" w:hAnsi="Times New Roman"/>
          <w:b w:val="1"/>
          <w:bCs w:val="1"/>
          <w:sz w:val="30"/>
          <w:szCs w:val="30"/>
          <w:rtl w:val="0"/>
        </w:rPr>
        <w:t xml:space="preserve">15. Risks &amp; Mitigations</w:t>
      </w:r>
      <w:r w:rsidDel="00000000" w:rsidR="00000000" w:rsidRPr="00000000">
        <w:rPr>
          <w:rtl w:val="0"/>
        </w:rPr>
      </w:r>
    </w:p>
    <w:tbl>
      <w:tblPr>
        <w:tblStyle w:val="Table9"/>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360"/>
        <w:gridCol w:w="5475"/>
        <w:tblGridChange w:id="0">
          <w:tblGrid>
            <w:gridCol w:w="3360"/>
            <w:gridCol w:w="5475"/>
          </w:tblGrid>
        </w:tblGridChange>
      </w:tblGrid>
      <w:tr>
        <w:trPr>
          <w:cantSplit w:val="0"/>
          <w:trHeight w:val="375" w:hRule="atLeast"/>
          <w:tblHeader w:val="0"/>
        </w:trPr>
        <w:tc>
          <w:tcPr>
            <w:tcBorders>
              <w:top w:color="b7b7b7" w:space="0" w:sz="5" w:val="single"/>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E1">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Risk</w:t>
            </w:r>
          </w:p>
        </w:tc>
        <w:tc>
          <w:tcPr>
            <w:tcBorders>
              <w:top w:color="b7b7b7" w:space="0" w:sz="5" w:val="single"/>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E2">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Mitigation</w:t>
            </w:r>
          </w:p>
        </w:tc>
      </w:tr>
      <w:tr>
        <w:trPr>
          <w:cantSplit w:val="0"/>
          <w:trHeight w:val="615"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E3">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NHANES is cross-sectional — no repeat-imaging validation</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E4">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Named explicitly as a scope limitation (§1.1, §12.3); twin trajectories framed as simulated projections throughout, never as validated forecasts</w:t>
            </w:r>
          </w:p>
        </w:tc>
      </w:tr>
      <w:tr>
        <w:trPr>
          <w:cantSplit w:val="0"/>
          <w:trHeight w:val="615"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E5">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Evidence cannot always be mapped directly to an individual recipe</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E6">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Use explicit evidence-strength categories and mark unsupported mappings as INSUFFICIENT rather than guessing</w:t>
            </w:r>
          </w:p>
        </w:tc>
      </w:tr>
      <w:tr>
        <w:trPr>
          <w:cantSplit w:val="0"/>
          <w:trHeight w:val="810"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E7">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Pilot panel hard to recruit even at small scale</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E8">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5–10 people (friends/family/department contacts who cook the relevant cuisine) is a realistic bar within the timeline; framed honestly as a pilot, not a scaled study</w:t>
            </w:r>
          </w:p>
        </w:tc>
      </w:tr>
      <w:tr>
        <w:trPr>
          <w:cantSplit w:val="0"/>
          <w:trHeight w:val="615"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E9">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Two-layer integration slips</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EA">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Thin end-to-end MVP built jointly in the opening weeks surfaces integration issues immediately, not near the deadline</w:t>
            </w:r>
          </w:p>
        </w:tc>
      </w:tr>
      <w:tr>
        <w:trPr>
          <w:cantSplit w:val="0"/>
          <w:trHeight w:val="1020"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EB">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Compressed timeline overall</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EC">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Weekly Friday grading meetings function as built-in checkpoints; a pre-defined cut list (3D fidelity first, then panel size, then evidence-table breadth) identifies what to trim if behind schedule, without touching the ranking engine itself</w:t>
            </w:r>
          </w:p>
        </w:tc>
      </w:tr>
      <w:tr>
        <w:trPr>
          <w:cantSplit w:val="0"/>
          <w:trHeight w:val="1020"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EB">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Language-model summaries state facts not in the twin output</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EC">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Generate only from the structured output; automatically check every number and evidence ID against it; fall back to a template summary when the check fails</w:t>
            </w:r>
          </w:p>
        </w:tc>
      </w:tr>
      <w:tr>
        <w:trPr>
          <w:cantSplit w:val="0"/>
          <w:trHeight w:val="1020"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EB">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NHANES III differs from current NHANES (era, ultrasound reference, assays)</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EC">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Report it as external validation of transportability, map variables explicitly, and recalibrate if needed rather than retraining</w:t>
            </w:r>
          </w:p>
        </w:tc>
      </w:tr>
    </w:tbl>
    <w:p w:rsidR="00000000" w:rsidDel="00000000" w:rsidP="00000000" w:rsidRDefault="00000000" w:rsidRPr="00000000" w14:paraId="000000ED">
      <w:pPr>
        <w:pStyle w:val="Heading1"/>
        <w:keepNext w:val="0"/>
        <w:keepLines w:val="0"/>
        <w:spacing w:before="480" w:lineRule="auto"/>
        <w:rPr>
          <w:rFonts w:ascii="Times New Roman" w:cs="Times New Roman" w:eastAsia="Times New Roman" w:hAnsi="Times New Roman"/>
          <w:b w:val="1"/>
          <w:bCs w:val="1"/>
          <w:sz w:val="46"/>
          <w:szCs w:val="46"/>
        </w:rPr>
      </w:pPr>
      <w:bookmarkStart w:colFirst="0" w:colLast="0" w:name="_iryb156afzsl" w:id="27"/>
      <w:bookmarkEnd w:id="27"/>
      <w:r w:rsidDel="00000000" w:rsidR="00000000" w:rsidRPr="00000000">
        <w:rPr>
          <w:rFonts w:ascii="Times New Roman" w:cs="Times New Roman" w:eastAsia="Times New Roman" w:hAnsi="Times New Roman"/>
          <w:b w:val="1"/>
          <w:bCs w:val="1"/>
          <w:sz w:val="30"/>
          <w:szCs w:val="30"/>
          <w:rtl w:val="0"/>
        </w:rPr>
        <w:t xml:space="preserve">16. Tech Stack</w:t>
      </w:r>
      <w:r w:rsidDel="00000000" w:rsidR="00000000" w:rsidRPr="00000000">
        <w:rPr>
          <w:rtl w:val="0"/>
        </w:rPr>
      </w:r>
    </w:p>
    <w:tbl>
      <w:tblPr>
        <w:tblStyle w:val="Table10"/>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90"/>
        <w:gridCol w:w="5745"/>
        <w:tblGridChange w:id="0">
          <w:tblGrid>
            <w:gridCol w:w="3090"/>
            <w:gridCol w:w="5745"/>
          </w:tblGrid>
        </w:tblGridChange>
      </w:tblGrid>
      <w:tr>
        <w:trPr>
          <w:cantSplit w:val="0"/>
          <w:trHeight w:val="375" w:hRule="atLeast"/>
          <w:tblHeader w:val="0"/>
        </w:trPr>
        <w:tc>
          <w:tcPr>
            <w:tcBorders>
              <w:top w:color="b7b7b7" w:space="0" w:sz="5" w:val="single"/>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EE">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Module</w:t>
            </w:r>
          </w:p>
        </w:tc>
        <w:tc>
          <w:tcPr>
            <w:tcBorders>
              <w:top w:color="b7b7b7" w:space="0" w:sz="5" w:val="single"/>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EF">
            <w:pP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Technology</w:t>
            </w:r>
          </w:p>
        </w:tc>
      </w:tr>
      <w:tr>
        <w:trPr>
          <w:cantSplit w:val="0"/>
          <w:trHeight w:val="420"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F0">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Frontend</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F1">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React + Tailwind CSS</w:t>
            </w:r>
          </w:p>
        </w:tc>
      </w:tr>
      <w:tr>
        <w:trPr>
          <w:cantSplit w:val="0"/>
          <w:trHeight w:val="420"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F2">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Backend</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F3">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FastAPI (Python)</w:t>
            </w:r>
          </w:p>
        </w:tc>
      </w:tr>
      <w:tr>
        <w:trPr>
          <w:cantSplit w:val="0"/>
          <w:trHeight w:val="420"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F4">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Clinical ML</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F5">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XGBoost, scikit-learn (CalibratedClassifierCV), SHAP</w:t>
            </w:r>
          </w:p>
        </w:tc>
      </w:tr>
      <w:tr>
        <w:trPr>
          <w:cantSplit w:val="0"/>
          <w:trHeight w:val="615"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F6">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Recipe Evaluation &amp; Ranking</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F7">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Python, pandas, NumPy/scikit-learn; transparent weighted multi-criteria scoring with sensitivity analysis on criterion weights</w:t>
            </w:r>
          </w:p>
        </w:tc>
      </w:tr>
      <w:tr>
        <w:trPr>
          <w:cantSplit w:val="0"/>
          <w:trHeight w:val="615"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F8">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Knowledge Graph</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F9">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NetworkX (small, hand-curated graph — no need for a full graph database at this scale)</w:t>
            </w:r>
          </w:p>
        </w:tc>
      </w:tr>
      <w:tr>
        <w:trPr>
          <w:cantSplit w:val="0"/>
          <w:trHeight w:val="615"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FA">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Twin Visualization</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FB">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Three.js / React Three Fiber, pre-built free liver mesh, state-bound colour + timeline slider</w:t>
            </w:r>
          </w:p>
        </w:tc>
      </w:tr>
      <w:tr>
        <w:trPr>
          <w:cantSplit w:val="0"/>
          <w:trHeight w:val="420" w:hRule="atLeast"/>
          <w:tblHeader w:val="0"/>
        </w:trPr>
        <w:tc>
          <w:tcPr>
            <w:tcBorders>
              <w:top w:color="000000" w:space="0" w:sz="0" w:val="nil"/>
              <w:left w:color="b7b7b7" w:space="0" w:sz="5" w:val="single"/>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FC">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Database</w:t>
            </w:r>
          </w:p>
        </w:tc>
        <w:tc>
          <w:tcPr>
            <w:tcBorders>
              <w:top w:color="000000" w:space="0" w:sz="0" w:val="nil"/>
              <w:left w:color="000000" w:space="0" w:sz="0" w:val="nil"/>
              <w:bottom w:color="b7b7b7" w:space="0" w:sz="5" w:val="single"/>
              <w:right w:color="b7b7b7" w:space="0" w:sz="5" w:val="single"/>
            </w:tcBorders>
            <w:tcMar>
              <w:top w:w="80.0" w:type="dxa"/>
              <w:left w:w="120.0" w:type="dxa"/>
              <w:bottom w:w="80.0" w:type="dxa"/>
              <w:right w:w="120.0" w:type="dxa"/>
            </w:tcMar>
            <w:vAlign w:val="top"/>
          </w:tcPr>
          <w:p w:rsidR="00000000" w:rsidDel="00000000" w:rsidP="00000000" w:rsidRDefault="00000000" w:rsidRPr="00000000" w14:paraId="000000FD">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PostgreSQL or SQLite (given the compressed scope, SQLite may be sufficient)</w:t>
            </w:r>
          </w:p>
        </w:tc>
      </w:tr>
    </w:tbl>
    <w:p w:rsidR="00000000" w:rsidDel="00000000" w:rsidP="00000000" w:rsidRDefault="00000000" w:rsidRPr="00000000" w14:paraId="000000BA">
      <w:pPr>
        <w:pStyle w:val="Heading1"/>
        <w:keepNext/>
        <w:keepLines w:val="0"/>
        <w:spacing w:before="480" w:lineRule="auto"/>
        <w:rPr>
          <w:rFonts w:ascii="Times New Roman" w:cs="Times New Roman" w:eastAsia="Times New Roman" w:hAnsi="Times New Roman"/>
          <w:b w:val="1"/>
          <w:bCs w:val="1"/>
          <w:sz w:val="46"/>
          <w:szCs w:val="46"/>
        </w:rPr>
      </w:pPr>
      <w:bookmarkStart w:colFirst="0" w:colLast="0" w:name="_tblbrlgihcdy" w:id="20"/>
      <w:bookmarkEnd w:id="20"/>
      <w:r w:rsidDel="00000000" w:rsidR="00000000" w:rsidRPr="00000000">
        <w:rPr>
          <w:rFonts w:ascii="Times New Roman" w:cs="Times New Roman" w:eastAsia="Times New Roman" w:hAnsi="Times New Roman"/>
          <w:b/>
          <w:bCs w:val="1"/>
          <w:sz w:val="30"/>
          <w:szCs w:val="30"/>
          <w:rtl w:val="0"/>
        </w:rPr>
        <w:t>17. Extensions Identified During Development</w:t>
      </w:r>
    </w:p>
    <w:p w:rsidR="00000000" w:rsidDel="00000000" w:rsidP="00000000" w:rsidRDefault="00000000" w:rsidRPr="00000000" w14:paraId="00000039">
      <w:pPr>
        <w:keepNex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Building and evaluating the first end-to-end version of the twin (October 2026) showed where the design could be strengthened. Extensions 17.1–17.8 use data the project already holds; 17.9–17.13 need further public datasets. Each states the layer it extends; their evaluation is listed in §12.4.</w:t>
      </w:r>
    </w:p>
    <w:tbl>
      <w:tblPr>
        <w:tblStyle w:val="Table5"/>
        <w:tblW w:w="88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80"/>
        <w:gridCol w:w="2100"/>
        <w:gridCol w:w="1050"/>
        <w:gridCol w:w="2350"/>
        <w:gridCol w:w="2540"/>
        <w:tblGridChange w:id="0">
          <w:tblGrid>
            <w:gridCol w:w="1500"/>
            <w:gridCol w:w="1680"/>
            <w:gridCol w:w="2295"/>
            <w:gridCol w:w="2025"/>
            <w:gridCol w:w="1320"/>
          </w:tblGrid>
        </w:tblGridChange>
      </w:tblGrid>
      <w:tr>
        <w:trPr>
          <w:cantSplit w:val="0"/>
          <w:tblHeader w:val="0"/>
        </w:trPr>
        <w:tc>
          <w:tcPr>
            <w:tcW w:w="780" w:type="dxa"/>
            <w:tcBorders>
              <w:top w:color="b7b7b7" w:space="0" w:sz="5" w:val="single"/>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6">
            <w:pPr>
              <w:keepNext/>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bCs w:val="1"/>
                <w:sz w:val="17"/>
                <w:szCs w:val="17"/>
                <w:rtl w:val="0"/>
              </w:rPr>
              <w:t>#</w:t>
            </w:r>
          </w:p>
        </w:tc>
        <w:tc>
          <w:tcPr>
            <w:tcW w:w="2100" w:type="dxa"/>
            <w:tcBorders>
              <w:top w:color="b7b7b7" w:space="0" w:sz="5" w:val="single"/>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7">
            <w:pPr>
              <w:keepNext/>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bCs w:val="1"/>
                <w:sz w:val="17"/>
                <w:szCs w:val="17"/>
                <w:rtl w:val="0"/>
              </w:rPr>
              <w:t>Extension</w:t>
            </w:r>
          </w:p>
        </w:tc>
        <w:tc>
          <w:tcPr>
            <w:tcW w:w="1050" w:type="dxa"/>
            <w:tcBorders>
              <w:top w:color="b7b7b7" w:space="0" w:sz="5" w:val="single"/>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8">
            <w:pPr>
              <w:keepNext/>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bCs w:val="1"/>
                <w:sz w:val="17"/>
                <w:szCs w:val="17"/>
                <w:rtl w:val="0"/>
              </w:rPr>
              <w:t>Layer</w:t>
            </w:r>
          </w:p>
        </w:tc>
        <w:tc>
          <w:tcPr>
            <w:tcW w:w="2350" w:type="dxa"/>
            <w:tcBorders>
              <w:top w:color="b7b7b7" w:space="0" w:sz="5" w:val="single"/>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9">
            <w:pPr>
              <w:keepNext/>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bCs w:val="1"/>
                <w:sz w:val="17"/>
                <w:szCs w:val="17"/>
                <w:rtl w:val="0"/>
              </w:rPr>
              <w:t>Data</w:t>
            </w:r>
          </w:p>
        </w:tc>
        <w:tc>
          <w:tcPr>
            <w:tcW w:w="2540" w:type="dxa"/>
            <w:tcBorders>
              <w:top w:color="b7b7b7" w:space="0" w:sz="5" w:val="single"/>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A">
            <w:pPr>
              <w:keepNext/>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bCs w:val="1"/>
                <w:sz w:val="17"/>
                <w:szCs w:val="17"/>
                <w:rtl w:val="0"/>
              </w:rPr>
              <w:t>Why it matters</w:t>
            </w:r>
          </w:p>
        </w:tc>
      </w:tr>
      <w:tr>
        <w:trPr>
          <w:cantSplit w:val="0"/>
          <w:tblHeader w:val="0"/>
        </w:trPr>
        <w:tc>
          <w:tcPr>
            <w:tcW w:w="780" w:type="dxa"/>
            <w:tcBorders>
              <w:top w:color="000000" w:space="0" w:sz="0" w:val="nil"/>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B">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17.1</w:t>
            </w:r>
          </w:p>
        </w:tc>
        <w:tc>
          <w:tcPr>
            <w:tcW w:w="210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C">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Habitual diet from 24-hour recall</w:t>
            </w:r>
          </w:p>
        </w:tc>
        <w:tc>
          <w:tcPr>
            <w:tcW w:w="10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D">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1, 3, 5</w:t>
            </w:r>
          </w:p>
        </w:tc>
        <w:tc>
          <w:tcPr>
            <w:tcW w:w="23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E">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NHANES DR1TOT/DR1IFF (held); FPED</w:t>
            </w:r>
          </w:p>
        </w:tc>
        <w:tc>
          <w:tcPr>
            <w:tcW w:w="254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F">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Makes priorities personal; provides the “usual diet” for Scenario B</w:t>
            </w:r>
          </w:p>
        </w:tc>
      </w:tr>
      <w:tr>
        <w:trPr>
          <w:cantSplit w:val="0"/>
          <w:tblHeader w:val="0"/>
        </w:trPr>
        <w:tc>
          <w:tcPr>
            <w:tcW w:w="780" w:type="dxa"/>
            <w:tcBorders>
              <w:top w:color="000000" w:space="0" w:sz="0" w:val="nil"/>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B">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17.2</w:t>
            </w:r>
          </w:p>
        </w:tc>
        <w:tc>
          <w:tcPr>
            <w:tcW w:w="210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C">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Fibrosis risk and referral pathway</w:t>
            </w:r>
          </w:p>
        </w:tc>
        <w:tc>
          <w:tcPr>
            <w:tcW w:w="10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D">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2</w:t>
            </w:r>
          </w:p>
        </w:tc>
        <w:tc>
          <w:tcPr>
            <w:tcW w:w="23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E">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Age, AST, ALT, platelets; measured stiffness (held)</w:t>
            </w:r>
          </w:p>
        </w:tc>
        <w:tc>
          <w:tcPr>
            <w:tcW w:w="254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F">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Follows the guideline care pathway; flags patients who need a clinician</w:t>
            </w:r>
          </w:p>
        </w:tc>
      </w:tr>
      <w:tr>
        <w:trPr>
          <w:cantSplit w:val="0"/>
          <w:tblHeader w:val="0"/>
        </w:trPr>
        <w:tc>
          <w:tcPr>
            <w:tcW w:w="780" w:type="dxa"/>
            <w:tcBorders>
              <w:top w:color="000000" w:space="0" w:sz="0" w:val="nil"/>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B">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17.3</w:t>
            </w:r>
          </w:p>
        </w:tc>
        <w:tc>
          <w:tcPr>
            <w:tcW w:w="210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C">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MASLD subtype and safety guardrails</w:t>
            </w:r>
          </w:p>
        </w:tc>
        <w:tc>
          <w:tcPr>
            <w:tcW w:w="10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D">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2, 3</w:t>
            </w:r>
          </w:p>
        </w:tc>
        <w:tc>
          <w:tcPr>
            <w:tcW w:w="23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E">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Alcohol, medication, age (held)</w:t>
            </w:r>
          </w:p>
        </w:tc>
        <w:tc>
          <w:tcPr>
            <w:tcW w:w="254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F">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Avoids diet-only advice where it is inappropriate</w:t>
            </w:r>
          </w:p>
        </w:tc>
      </w:tr>
      <w:tr>
        <w:trPr>
          <w:cantSplit w:val="0"/>
          <w:tblHeader w:val="0"/>
        </w:trPr>
        <w:tc>
          <w:tcPr>
            <w:tcW w:w="780" w:type="dxa"/>
            <w:tcBorders>
              <w:top w:color="000000" w:space="0" w:sz="0" w:val="nil"/>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B">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17.4</w:t>
            </w:r>
          </w:p>
        </w:tc>
        <w:tc>
          <w:tcPr>
            <w:tcW w:w="210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C">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Patient-level explanations and uncertainty</w:t>
            </w:r>
          </w:p>
        </w:tc>
        <w:tc>
          <w:tcPr>
            <w:tcW w:w="10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D">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2, 7</w:t>
            </w:r>
          </w:p>
        </w:tc>
        <w:tc>
          <w:tcPr>
            <w:tcW w:w="23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E">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Existing model</w:t>
            </w:r>
          </w:p>
        </w:tc>
        <w:tc>
          <w:tcPr>
            <w:tcW w:w="254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F">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“Why is my risk high?” with an honest range</w:t>
            </w:r>
          </w:p>
        </w:tc>
      </w:tr>
      <w:tr>
        <w:trPr>
          <w:cantSplit w:val="0"/>
          <w:tblHeader w:val="0"/>
        </w:trPr>
        <w:tc>
          <w:tcPr>
            <w:tcW w:w="780" w:type="dxa"/>
            <w:tcBorders>
              <w:top w:color="000000" w:space="0" w:sz="0" w:val="nil"/>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B">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17.5</w:t>
            </w:r>
          </w:p>
        </w:tc>
        <w:tc>
          <w:tcPr>
            <w:tcW w:w="210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C">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Re-assessment timeline</w:t>
            </w:r>
          </w:p>
        </w:tc>
        <w:tc>
          <w:tcPr>
            <w:tcW w:w="10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D">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1, 2, 6</w:t>
            </w:r>
          </w:p>
        </w:tc>
        <w:tc>
          <w:tcPr>
            <w:tcW w:w="23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E">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Repeat measurements</w:t>
            </w:r>
          </w:p>
        </w:tc>
        <w:tc>
          <w:tcPr>
            <w:tcW w:w="254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F">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Implements the “updating twin” claim</w:t>
            </w:r>
          </w:p>
        </w:tc>
      </w:tr>
      <w:tr>
        <w:trPr>
          <w:cantSplit w:val="0"/>
          <w:tblHeader w:val="0"/>
        </w:trPr>
        <w:tc>
          <w:tcPr>
            <w:tcW w:w="780" w:type="dxa"/>
            <w:tcBorders>
              <w:top w:color="000000" w:space="0" w:sz="0" w:val="nil"/>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B">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17.6</w:t>
            </w:r>
          </w:p>
        </w:tc>
        <w:tc>
          <w:tcPr>
            <w:tcW w:w="210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C">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Diversity and weekly meal plans</w:t>
            </w:r>
          </w:p>
        </w:tc>
        <w:tc>
          <w:tcPr>
            <w:tcW w:w="10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D">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4</w:t>
            </w:r>
          </w:p>
        </w:tc>
        <w:tc>
          <w:tcPr>
            <w:tcW w:w="23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E">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RecipeDB (held)</w:t>
            </w:r>
          </w:p>
        </w:tc>
        <w:tc>
          <w:tcPr>
            <w:tcW w:w="254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F">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Varied, usable recommendations</w:t>
            </w:r>
          </w:p>
        </w:tc>
      </w:tr>
      <w:tr>
        <w:trPr>
          <w:cantSplit w:val="0"/>
          <w:tblHeader w:val="0"/>
        </w:trPr>
        <w:tc>
          <w:tcPr>
            <w:tcW w:w="780" w:type="dxa"/>
            <w:tcBorders>
              <w:top w:color="000000" w:space="0" w:sz="0" w:val="nil"/>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B">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17.7</w:t>
            </w:r>
          </w:p>
        </w:tc>
        <w:tc>
          <w:tcPr>
            <w:tcW w:w="210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C">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Grounded plain-language summaries</w:t>
            </w:r>
          </w:p>
        </w:tc>
        <w:tc>
          <w:tcPr>
            <w:tcW w:w="10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D">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7</w:t>
            </w:r>
          </w:p>
        </w:tc>
        <w:tc>
          <w:tcPr>
            <w:tcW w:w="23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E">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Twin output</w:t>
            </w:r>
          </w:p>
        </w:tc>
        <w:tc>
          <w:tcPr>
            <w:tcW w:w="254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F">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Patient-friendly, traceable explanations</w:t>
            </w:r>
          </w:p>
        </w:tc>
      </w:tr>
      <w:tr>
        <w:trPr>
          <w:cantSplit w:val="0"/>
          <w:tblHeader w:val="0"/>
        </w:trPr>
        <w:tc>
          <w:tcPr>
            <w:tcW w:w="780" w:type="dxa"/>
            <w:tcBorders>
              <w:top w:color="000000" w:space="0" w:sz="0" w:val="nil"/>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B">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17.8</w:t>
            </w:r>
          </w:p>
        </w:tc>
        <w:tc>
          <w:tcPr>
            <w:tcW w:w="210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C">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Fairness audit</w:t>
            </w:r>
          </w:p>
        </w:tc>
        <w:tc>
          <w:tcPr>
            <w:tcW w:w="10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D">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Evaluation</w:t>
            </w:r>
          </w:p>
        </w:tc>
        <w:tc>
          <w:tcPr>
            <w:tcW w:w="23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E">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NHANES (held)</w:t>
            </w:r>
          </w:p>
        </w:tc>
        <w:tc>
          <w:tcPr>
            <w:tcW w:w="254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F">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Checks performance across groups</w:t>
            </w:r>
          </w:p>
        </w:tc>
      </w:tr>
      <w:tr>
        <w:trPr>
          <w:cantSplit w:val="0"/>
          <w:tblHeader w:val="0"/>
        </w:trPr>
        <w:tc>
          <w:tcPr>
            <w:tcW w:w="780" w:type="dxa"/>
            <w:tcBorders>
              <w:top w:color="000000" w:space="0" w:sz="0" w:val="nil"/>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B">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17.9</w:t>
            </w:r>
          </w:p>
        </w:tc>
        <w:tc>
          <w:tcPr>
            <w:tcW w:w="210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C">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External and long-term validation</w:t>
            </w:r>
          </w:p>
        </w:tc>
        <w:tc>
          <w:tcPr>
            <w:tcW w:w="10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D">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2</w:t>
            </w:r>
          </w:p>
        </w:tc>
        <w:tc>
          <w:tcPr>
            <w:tcW w:w="23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E">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NHANES III ultrasound; Linked Mortality Files</w:t>
            </w:r>
          </w:p>
        </w:tc>
        <w:tc>
          <w:tcPr>
            <w:tcW w:w="254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F">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First outcome data for the twin; external cohort</w:t>
            </w:r>
          </w:p>
        </w:tc>
      </w:tr>
      <w:tr>
        <w:trPr>
          <w:cantSplit w:val="0"/>
          <w:tblHeader w:val="0"/>
        </w:trPr>
        <w:tc>
          <w:tcPr>
            <w:tcW w:w="780" w:type="dxa"/>
            <w:tcBorders>
              <w:top w:color="000000" w:space="0" w:sz="0" w:val="nil"/>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B">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17.10</w:t>
            </w:r>
          </w:p>
        </w:tc>
        <w:tc>
          <w:tcPr>
            <w:tcW w:w="210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C">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Ultra-processing criterion</w:t>
            </w:r>
          </w:p>
        </w:tc>
        <w:tc>
          <w:tcPr>
            <w:tcW w:w="10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D">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4</w:t>
            </w:r>
          </w:p>
        </w:tc>
        <w:tc>
          <w:tcPr>
            <w:tcW w:w="23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E">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FoodProX; FNDDS</w:t>
            </w:r>
          </w:p>
        </w:tc>
        <w:tc>
          <w:tcPr>
            <w:tcW w:w="254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F">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Implements the guideline advice on ultra-processed foods</w:t>
            </w:r>
          </w:p>
        </w:tc>
      </w:tr>
      <w:tr>
        <w:trPr>
          <w:cantSplit w:val="0"/>
          <w:tblHeader w:val="0"/>
        </w:trPr>
        <w:tc>
          <w:tcPr>
            <w:tcW w:w="780" w:type="dxa"/>
            <w:tcBorders>
              <w:top w:color="000000" w:space="0" w:sz="0" w:val="nil"/>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B">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17.11</w:t>
            </w:r>
          </w:p>
        </w:tc>
        <w:tc>
          <w:tcPr>
            <w:tcW w:w="210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C">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Glycaemic load criterion</w:t>
            </w:r>
          </w:p>
        </w:tc>
        <w:tc>
          <w:tcPr>
            <w:tcW w:w="10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D">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4</w:t>
            </w:r>
          </w:p>
        </w:tc>
        <w:tc>
          <w:tcPr>
            <w:tcW w:w="23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E">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International GI tables 2021</w:t>
            </w:r>
          </w:p>
        </w:tc>
        <w:tc>
          <w:tcPr>
            <w:tcW w:w="254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F">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Supports the glucose-related priority</w:t>
            </w:r>
          </w:p>
        </w:tc>
      </w:tr>
      <w:tr>
        <w:trPr>
          <w:cantSplit w:val="0"/>
          <w:tblHeader w:val="0"/>
        </w:trPr>
        <w:tc>
          <w:tcPr>
            <w:tcW w:w="780" w:type="dxa"/>
            <w:tcBorders>
              <w:top w:color="000000" w:space="0" w:sz="0" w:val="nil"/>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B">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17.12</w:t>
            </w:r>
          </w:p>
        </w:tc>
        <w:tc>
          <w:tcPr>
            <w:tcW w:w="210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C">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Acceptability and larger corpora</w:t>
            </w:r>
          </w:p>
        </w:tc>
        <w:tc>
          <w:tcPr>
            <w:tcW w:w="10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D">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4</w:t>
            </w:r>
          </w:p>
        </w:tc>
        <w:tc>
          <w:tcPr>
            <w:tcW w:w="23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E">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RecipeDB ratings; Food.com; full RecipeDB</w:t>
            </w:r>
          </w:p>
        </w:tc>
        <w:tc>
          <w:tcPr>
            <w:tcW w:w="254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F">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Recipes people like; Indian and regional cuisines</w:t>
            </w:r>
          </w:p>
        </w:tc>
      </w:tr>
      <w:tr>
        <w:trPr>
          <w:cantSplit w:val="0"/>
          <w:tblHeader w:val="0"/>
        </w:trPr>
        <w:tc>
          <w:tcPr>
            <w:tcW w:w="780" w:type="dxa"/>
            <w:tcBorders>
              <w:top w:color="000000" w:space="0" w:sz="0" w:val="nil"/>
              <w:left w:color="b7b7b7" w:space="0" w:sz="5" w:val="single"/>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B">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17.13</w:t>
            </w:r>
          </w:p>
        </w:tc>
        <w:tc>
          <w:tcPr>
            <w:tcW w:w="210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C">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Additional evidence rows</w:t>
            </w:r>
          </w:p>
        </w:tc>
        <w:tc>
          <w:tcPr>
            <w:tcW w:w="10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D">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3</w:t>
            </w:r>
          </w:p>
        </w:tc>
        <w:tc>
          <w:tcPr>
            <w:tcW w:w="235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E">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Published meta-analyses</w:t>
            </w:r>
          </w:p>
        </w:tc>
        <w:tc>
          <w:tcPr>
            <w:tcW w:w="2540" w:type="dxa"/>
            <w:tcBorders>
              <w:top w:color="000000" w:space="0" w:sz="0" w:val="nil"/>
              <w:left w:color="000000" w:space="0" w:sz="0" w:val="nil"/>
              <w:bottom w:color="b7b7b7" w:space="0" w:sz="5" w:val="single"/>
              <w:right w:color="b7b7b7" w:space="0" w:sz="5" w:val="single"/>
            </w:tcBorders>
            <w:shd w:fill="ffffff" w:val="clear"/>
            <w:tcMar>
              <w:top w:w="80.0" w:type="dxa"/>
              <w:left w:w="120.0" w:type="dxa"/>
              <w:bottom w:w="80.0" w:type="dxa"/>
              <w:right w:w="120.0" w:type="dxa"/>
            </w:tcMar>
            <w:vAlign w:val="top"/>
          </w:tcPr>
          <w:p w:rsidR="00000000" w:rsidDel="00000000" w:rsidP="00000000" w:rsidRDefault="00000000" w:rsidRPr="00000000" w14:paraId="0000005F">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Coffee, fasting and null findings</w:t>
            </w:r>
          </w:p>
        </w:tc>
      </w:tr>
    </w:tbl>
    <w:p w:rsidR="00000000" w:rsidDel="00000000" w:rsidP="00000000" w:rsidRDefault="00000000" w:rsidRPr="00000000" w14:paraId="000000BB">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xj2xdaf629vx" w:id="21"/>
      <w:bookmarkEnd w:id="21"/>
      <w:r w:rsidDel="00000000" w:rsidR="00000000" w:rsidRPr="00000000">
        <w:rPr>
          <w:rFonts w:ascii="Times New Roman" w:cs="Times New Roman" w:eastAsia="Times New Roman" w:hAnsi="Times New Roman"/>
          <w:b/>
          <w:bCs w:val="1"/>
          <w:color w:val="000000"/>
          <w:sz w:val="26"/>
          <w:szCs w:val="26"/>
          <w:rtl w:val="0"/>
        </w:rPr>
        <w:t>17.1 Habitual diet from 24-hour dietary recall</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b/>
          <w:rtl w:val="0"/>
        </w:rPr>
        <w:t xml:space="preserve">Data. </w:t>
      </w:r>
      <w:r w:rsidDel="00000000" w:rsidR="00000000" w:rsidRPr="00000000">
        <w:rPr>
          <w:rFonts w:ascii="Times New Roman" w:cs="Times New Roman" w:eastAsia="Times New Roman" w:hAnsi="Times New Roman"/>
          <w:rtl w:val="0"/>
        </w:rPr>
        <w:t>NHANES records each participant’s intake on the day before the examination (DR1TOT nutrient totals and DR1IFF individual foods with FNDDS codes), in both FibroScan cycles. The USDA Food Patterns Equivalents Database for 2017–March 2020 allows a Healthy Eating Index-2020 score (Shams-White et al., 2023).</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b/>
          <w:rtl w:val="0"/>
        </w:rPr>
        <w:t xml:space="preserve">Use. </w:t>
      </w:r>
      <w:r w:rsidDel="00000000" w:rsidR="00000000" w:rsidRPr="00000000">
        <w:rPr>
          <w:rFonts w:ascii="Times New Roman" w:cs="Times New Roman" w:eastAsia="Times New Roman" w:hAnsi="Times New Roman"/>
          <w:rtl w:val="0"/>
        </w:rPr>
        <w:t>A priority is raised only when the patient’s own intake exceeds the reference value used for recipes (for example, saturated fat above 10% of energy) and lowered when it is already met. This addresses the main limitation found in the ranking evaluation: most patients currently receive the same four priorities. The same data provide the patient’s usual diet for Scenario B (§8) and the “current dietary choices” view of the dashboard (§10).</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b/>
          <w:rtl w:val="0"/>
        </w:rPr>
        <w:t xml:space="preserve">Caveat. </w:t>
      </w:r>
      <w:r w:rsidDel="00000000" w:rsidR="00000000" w:rsidRPr="00000000">
        <w:rPr>
          <w:rFonts w:ascii="Times New Roman" w:cs="Times New Roman" w:eastAsia="Times New Roman" w:hAnsi="Times New Roman"/>
          <w:rtl w:val="0"/>
        </w:rPr>
        <w:t>A single 24-hour recall is noisy for an individual; it is used as context for prioritisation, never as a diagnosis.</w:t>
      </w:r>
    </w:p>
    <w:p w:rsidR="00000000" w:rsidDel="00000000" w:rsidP="00000000" w:rsidRDefault="00000000" w:rsidRPr="00000000" w14:paraId="000000BB">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xj2xdaf629vx" w:id="21"/>
      <w:bookmarkEnd w:id="21"/>
      <w:r w:rsidDel="00000000" w:rsidR="00000000" w:rsidRPr="00000000">
        <w:rPr>
          <w:rFonts w:ascii="Times New Roman" w:cs="Times New Roman" w:eastAsia="Times New Roman" w:hAnsi="Times New Roman"/>
          <w:b/>
          <w:bCs w:val="1"/>
          <w:color w:val="000000"/>
          <w:sz w:val="26"/>
          <w:szCs w:val="26"/>
          <w:rtl w:val="0"/>
        </w:rPr>
        <w:t>17.2 Fibrosis risk and referral pathway</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b/>
          <w:rtl w:val="0"/>
        </w:rPr>
        <w:t xml:space="preserve">Method. </w:t>
      </w:r>
      <w:r w:rsidDel="00000000" w:rsidR="00000000" w:rsidRPr="00000000">
        <w:rPr>
          <w:rFonts w:ascii="Times New Roman" w:cs="Times New Roman" w:eastAsia="Times New Roman" w:hAnsi="Times New Roman"/>
          <w:rtl w:val="0"/>
        </w:rPr>
        <w:t>The FIB-4 index (Sterling et al., 2006) is computed from age, AST, ALT and platelet count, all in the cohort, and categorised using the EASL-EASD-EASO 2024 pathway (below 1.3 low risk, with 2.0 used above age 65; 1.3–2.67 further testing; above 2.67 high risk).</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b/>
          <w:rtl w:val="0"/>
        </w:rPr>
        <w:t xml:space="preserve">Validation. </w:t>
      </w:r>
      <w:r w:rsidDel="00000000" w:rsidR="00000000" w:rsidRPr="00000000">
        <w:rPr>
          <w:rFonts w:ascii="Times New Roman" w:cs="Times New Roman" w:eastAsia="Times New Roman" w:hAnsi="Times New Roman"/>
          <w:rtl w:val="0"/>
        </w:rPr>
        <w:t>NHANES measured liver stiffness in the same FibroScan examination (LUXSMED), so FIB-4 and an optional fibrosis classifier can be validated against stiffness of at least 8 kPa, the guideline’s transient-elastography threshold for ruling out advanced fibrosis (12 kPa rules it in), as was done for steatosis.</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b/>
          <w:rtl w:val="0"/>
        </w:rPr>
        <w:t xml:space="preserve">Use. </w:t>
      </w:r>
      <w:r w:rsidDel="00000000" w:rsidR="00000000" w:rsidRPr="00000000">
        <w:rPr>
          <w:rFonts w:ascii="Times New Roman" w:cs="Times New Roman" w:eastAsia="Times New Roman" w:hAnsi="Times New Roman"/>
          <w:rtl w:val="0"/>
        </w:rPr>
        <w:t>The twin state gains a second dimension, fat and scarring. Patients in the high-risk category see a recommendation to seek clinical assessment before any recipes.</w:t>
      </w:r>
    </w:p>
    <w:p w:rsidR="00000000" w:rsidDel="00000000" w:rsidP="00000000" w:rsidRDefault="00000000" w:rsidRPr="00000000" w14:paraId="000000BB">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xj2xdaf629vx" w:id="21"/>
      <w:bookmarkEnd w:id="21"/>
      <w:r w:rsidDel="00000000" w:rsidR="00000000" w:rsidRPr="00000000">
        <w:rPr>
          <w:rFonts w:ascii="Times New Roman" w:cs="Times New Roman" w:eastAsia="Times New Roman" w:hAnsi="Times New Roman"/>
          <w:b/>
          <w:bCs w:val="1"/>
          <w:color w:val="000000"/>
          <w:sz w:val="26"/>
          <w:szCs w:val="26"/>
          <w:rtl w:val="0"/>
        </w:rPr>
        <w:t>17.3 MASLD subtype and safety guardrails</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b/>
          <w:rtl w:val="0"/>
        </w:rPr>
        <w:t xml:space="preserve">Subtype. </w:t>
      </w:r>
      <w:r w:rsidDel="00000000" w:rsidR="00000000" w:rsidRPr="00000000">
        <w:rPr>
          <w:rFonts w:ascii="Times New Roman" w:cs="Times New Roman" w:eastAsia="Times New Roman" w:hAnsi="Times New Roman"/>
          <w:rtl w:val="0"/>
        </w:rPr>
        <w:t>Participants are labelled using the 2023 multisociety nomenclature (Rinella et al., 2023): steatotic liver disease with at least one cardiometabolic criterion is MASLD, and MASLD with weekly alcohol intake of 140–350 g (women) or 210–420 g (men), on average 20–50 g and 30–60 g a day, is MetALD. NHANES alcohol questionnaire items are already in the dataset.</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b/>
          <w:rtl w:val="0"/>
        </w:rPr>
        <w:t xml:space="preserve">Guardrails. </w:t>
      </w:r>
      <w:r w:rsidDel="00000000" w:rsidR="00000000" w:rsidRPr="00000000">
        <w:rPr>
          <w:rFonts w:ascii="Times New Roman" w:cs="Times New Roman" w:eastAsia="Times New Roman" w:hAnsi="Times New Roman"/>
          <w:rtl w:val="0"/>
        </w:rPr>
        <w:t>Participants under 18, those with heavy alcohol intake, those taking glucose-lowering medication and those who are pregnant receive an explicit “discuss with a clinician” notice, because adult dietary guidance or unsupervised diet change may not be appropriate.</w:t>
      </w:r>
    </w:p>
    <w:p w:rsidR="00000000" w:rsidDel="00000000" w:rsidP="00000000" w:rsidRDefault="00000000" w:rsidRPr="00000000" w14:paraId="000000BB">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xj2xdaf629vx" w:id="21"/>
      <w:bookmarkEnd w:id="21"/>
      <w:r w:rsidDel="00000000" w:rsidR="00000000" w:rsidRPr="00000000">
        <w:rPr>
          <w:rFonts w:ascii="Times New Roman" w:cs="Times New Roman" w:eastAsia="Times New Roman" w:hAnsi="Times New Roman"/>
          <w:b/>
          <w:bCs w:val="1"/>
          <w:color w:val="000000"/>
          <w:sz w:val="26"/>
          <w:szCs w:val="26"/>
          <w:rtl w:val="0"/>
        </w:rPr>
        <w:t>17.4 Patient-level explanations and uncertainty</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b/>
          <w:rtl w:val="0"/>
        </w:rPr>
        <w:t xml:space="preserve">Explanations. </w:t>
      </w:r>
      <w:r w:rsidDel="00000000" w:rsidR="00000000" w:rsidRPr="00000000">
        <w:rPr>
          <w:rFonts w:ascii="Times New Roman" w:cs="Times New Roman" w:eastAsia="Times New Roman" w:hAnsi="Times New Roman"/>
          <w:rtl w:val="0"/>
        </w:rPr>
        <w:t>Per-patient SHAP values identify the measurements that raise or lower each patient’s predicted risk, complementing the global SHAP summary.</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b/>
          <w:rtl w:val="0"/>
        </w:rPr>
        <w:t xml:space="preserve">Uncertainty. </w:t>
      </w:r>
      <w:r w:rsidDel="00000000" w:rsidR="00000000" w:rsidRPr="00000000">
        <w:rPr>
          <w:rFonts w:ascii="Times New Roman" w:cs="Times New Roman" w:eastAsia="Times New Roman" w:hAnsi="Times New Roman"/>
          <w:rtl w:val="0"/>
        </w:rPr>
        <w:t>Split conformal prediction gives each predicted CAP a distribution-free interval with a target coverage of 90%, checked on the test set; bootstrap intervals accompany the calibrated probabilities.</w:t>
      </w:r>
    </w:p>
    <w:p w:rsidR="00000000" w:rsidDel="00000000" w:rsidP="00000000" w:rsidRDefault="00000000" w:rsidRPr="00000000" w14:paraId="000000BB">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xj2xdaf629vx" w:id="21"/>
      <w:bookmarkEnd w:id="21"/>
      <w:r w:rsidDel="00000000" w:rsidR="00000000" w:rsidRPr="00000000">
        <w:rPr>
          <w:rFonts w:ascii="Times New Roman" w:cs="Times New Roman" w:eastAsia="Times New Roman" w:hAnsi="Times New Roman"/>
          <w:b/>
          <w:bCs w:val="1"/>
          <w:color w:val="000000"/>
          <w:sz w:val="26"/>
          <w:szCs w:val="26"/>
          <w:rtl w:val="0"/>
        </w:rPr>
        <w:t>17.5 Re-assessment timeline</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Dated measurement sets are stored for each patient, and the twin state is recomputed whenever new measurements are entered. The observed history (re-assessed states) is displayed separately from the simulated projections of Layer 5, which keeps the distinction in §1.1 explicit while implementing the “updating with new information” property claimed in §14.</w:t>
      </w:r>
    </w:p>
    <w:p w:rsidR="00000000" w:rsidDel="00000000" w:rsidP="00000000" w:rsidRDefault="00000000" w:rsidRPr="00000000" w14:paraId="000000BB">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xj2xdaf629vx" w:id="21"/>
      <w:bookmarkEnd w:id="21"/>
      <w:r w:rsidDel="00000000" w:rsidR="00000000" w:rsidRPr="00000000">
        <w:rPr>
          <w:rFonts w:ascii="Times New Roman" w:cs="Times New Roman" w:eastAsia="Times New Roman" w:hAnsi="Times New Roman"/>
          <w:b/>
          <w:bCs w:val="1"/>
          <w:color w:val="000000"/>
          <w:sz w:val="26"/>
          <w:szCs w:val="26"/>
          <w:rtl w:val="0"/>
        </w:rPr>
        <w:t>17.6 Recommendation diversity and weekly meal plans</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b/>
          <w:rtl w:val="0"/>
        </w:rPr>
        <w:t xml:space="preserve">Diversity. </w:t>
      </w:r>
      <w:r w:rsidDel="00000000" w:rsidR="00000000" w:rsidRPr="00000000">
        <w:rPr>
          <w:rFonts w:ascii="Times New Roman" w:cs="Times New Roman" w:eastAsia="Times New Roman" w:hAnsi="Times New Roman"/>
          <w:rtl w:val="0"/>
        </w:rPr>
        <w:t>Near-duplicate recipes (for example, several chickpea dishes) are reduced with maximal-marginal-relevance re-ranking on ingredient sets.</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b/>
          <w:rtl w:val="0"/>
        </w:rPr>
        <w:t xml:space="preserve">Meal plans. </w:t>
      </w:r>
      <w:r w:rsidDel="00000000" w:rsidR="00000000" w:rsidRPr="00000000">
        <w:rPr>
          <w:rFonts w:ascii="Times New Roman" w:cs="Times New Roman" w:eastAsia="Times New Roman" w:hAnsi="Times New Roman"/>
          <w:rtl w:val="0"/>
        </w:rPr>
        <w:t>A seven-day plan is selected as a constrained optimisation problem: each day meets the evidence-linked reference values, main ingredients do not repeat, and cuisines can be mixed within the patient’s preferences.</w:t>
      </w:r>
    </w:p>
    <w:p w:rsidR="00000000" w:rsidDel="00000000" w:rsidP="00000000" w:rsidRDefault="00000000" w:rsidRPr="00000000" w14:paraId="000000BB">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xj2xdaf629vx" w:id="21"/>
      <w:bookmarkEnd w:id="21"/>
      <w:r w:rsidDel="00000000" w:rsidR="00000000" w:rsidRPr="00000000">
        <w:rPr>
          <w:rFonts w:ascii="Times New Roman" w:cs="Times New Roman" w:eastAsia="Times New Roman" w:hAnsi="Times New Roman"/>
          <w:b/>
          <w:bCs w:val="1"/>
          <w:color w:val="000000"/>
          <w:sz w:val="26"/>
          <w:szCs w:val="26"/>
          <w:rtl w:val="0"/>
        </w:rPr>
        <w:t>17.7 Grounded plain-language summaries</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 language model writes a short patient-friendly summary using only the structured twin output (state, priorities, evidence IDs and recipe values). An automatic check confirms that every number and citation in the text appears in that output; if it fails, a template summary is shown instead. This follows recent guidance that clinical language-model output be grounded and validated.</w:t>
      </w:r>
    </w:p>
    <w:p w:rsidR="00000000" w:rsidDel="00000000" w:rsidP="00000000" w:rsidRDefault="00000000" w:rsidRPr="00000000" w14:paraId="000000BB">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xj2xdaf629vx" w:id="21"/>
      <w:bookmarkEnd w:id="21"/>
      <w:r w:rsidDel="00000000" w:rsidR="00000000" w:rsidRPr="00000000">
        <w:rPr>
          <w:rFonts w:ascii="Times New Roman" w:cs="Times New Roman" w:eastAsia="Times New Roman" w:hAnsi="Times New Roman"/>
          <w:b/>
          <w:bCs w:val="1"/>
          <w:color w:val="000000"/>
          <w:sz w:val="26"/>
          <w:szCs w:val="26"/>
          <w:rtl w:val="0"/>
        </w:rPr>
        <w:t>17.8 Fairness audit</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Layer 2 performance and Layer 4 criteria satisfaction are reported by sex, race/ethnicity and age group with 95% bootstrap intervals.</w:t>
      </w:r>
    </w:p>
    <w:p w:rsidR="00000000" w:rsidDel="00000000" w:rsidP="00000000" w:rsidRDefault="00000000" w:rsidRPr="00000000" w14:paraId="000000BB">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xj2xdaf629vx" w:id="21"/>
      <w:bookmarkEnd w:id="21"/>
      <w:r w:rsidDel="00000000" w:rsidR="00000000" w:rsidRPr="00000000">
        <w:rPr>
          <w:rFonts w:ascii="Times New Roman" w:cs="Times New Roman" w:eastAsia="Times New Roman" w:hAnsi="Times New Roman"/>
          <w:b/>
          <w:bCs w:val="1"/>
          <w:color w:val="000000"/>
          <w:sz w:val="26"/>
          <w:szCs w:val="26"/>
          <w:rtl w:val="0"/>
        </w:rPr>
        <w:t>17.9 External and long-term validation with NHANES III (new data)</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b/>
          <w:rtl w:val="0"/>
        </w:rPr>
        <w:t xml:space="preserve">Data. </w:t>
      </w:r>
      <w:r w:rsidDel="00000000" w:rsidR="00000000" w:rsidRPr="00000000">
        <w:rPr>
          <w:rFonts w:ascii="Times New Roman" w:cs="Times New Roman" w:eastAsia="Times New Roman" w:hAnsi="Times New Roman"/>
          <w:rtl w:val="0"/>
        </w:rPr>
        <w:t>Archived NHANES III (1988–1994) gallbladder ultrasound images were re-read in 2009–2010 to grade hepatic steatosis in adults aged 20–74, and NHANES III participants are linked to the National Death Index through 31 December 2019 in the public-use Linked Mortality Files.</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b/>
          <w:rtl w:val="0"/>
        </w:rPr>
        <w:t xml:space="preserve">Use. </w:t>
      </w:r>
      <w:r w:rsidDel="00000000" w:rsidR="00000000" w:rsidRPr="00000000">
        <w:rPr>
          <w:rFonts w:ascii="Times New Roman" w:cs="Times New Roman" w:eastAsia="Times New Roman" w:hAnsi="Times New Roman"/>
          <w:rtl w:val="0"/>
        </w:rPr>
        <w:t>This gives (a) external validation of the twin against a different reference standard in a different era and (b) the project’s first outcome data: whether the twin’s steatosis risk and FIB-4 are associated with all-cause and liver-related mortality. It partly answers the cross-sectional limitation in §1.1 without requiring repeat imaging.</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b/>
          <w:rtl w:val="0"/>
        </w:rPr>
        <w:t xml:space="preserve">Caveats. </w:t>
      </w:r>
      <w:r w:rsidDel="00000000" w:rsidR="00000000" w:rsidRPr="00000000">
        <w:rPr>
          <w:rFonts w:ascii="Times New Roman" w:cs="Times New Roman" w:eastAsia="Times New Roman" w:hAnsi="Times New Roman"/>
          <w:rtl w:val="0"/>
        </w:rPr>
        <w:t>Assays, measurement protocols and the population have changed since 1994, some inputs may be unavailable, and the public mortality files perturb follow-up time or cause of death for selected records.</w:t>
      </w:r>
    </w:p>
    <w:p w:rsidR="00000000" w:rsidDel="00000000" w:rsidP="00000000" w:rsidRDefault="00000000" w:rsidRPr="00000000" w14:paraId="000000BB">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xj2xdaf629vx" w:id="21"/>
      <w:bookmarkEnd w:id="21"/>
      <w:r w:rsidDel="00000000" w:rsidR="00000000" w:rsidRPr="00000000">
        <w:rPr>
          <w:rFonts w:ascii="Times New Roman" w:cs="Times New Roman" w:eastAsia="Times New Roman" w:hAnsi="Times New Roman"/>
          <w:b/>
          <w:bCs w:val="1"/>
          <w:color w:val="000000"/>
          <w:sz w:val="26"/>
          <w:szCs w:val="26"/>
          <w:rtl w:val="0"/>
        </w:rPr>
        <w:t>17.10 Ultra-processing criterion (new data)</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The EASL-EASD-EASO guideline advises limiting ultra-processed foods, but the ranking cannot yet measure processing. FoodProX (Menichetti et al., 2023) estimates the NOVA processing level from nutrient profiles and was trained on FNDDS; applied to recipe ingredients, it supports a new “limit ultra-processed foods” criterion linked to the existing guideline evidence row.</w:t>
      </w:r>
    </w:p>
    <w:p w:rsidR="00000000" w:rsidDel="00000000" w:rsidP="00000000" w:rsidRDefault="00000000" w:rsidRPr="00000000" w14:paraId="000000BB">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xj2xdaf629vx" w:id="21"/>
      <w:bookmarkEnd w:id="21"/>
      <w:r w:rsidDel="00000000" w:rsidR="00000000" w:rsidRPr="00000000">
        <w:rPr>
          <w:rFonts w:ascii="Times New Roman" w:cs="Times New Roman" w:eastAsia="Times New Roman" w:hAnsi="Times New Roman"/>
          <w:b/>
          <w:bCs w:val="1"/>
          <w:color w:val="000000"/>
          <w:sz w:val="26"/>
          <w:szCs w:val="26"/>
          <w:rtl w:val="0"/>
        </w:rPr>
        <w:t>17.11 Glycaemic load criterion (new data)</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The International Tables of Glycemic Index and Glycemic Load Values 2021 (Atkinson et al., 2021; more than 4,000 items) can be mapped to recipe carbohydrate ingredients to estimate glycaemic load, supporting the glucose-related priority for patients with elevated HbA1c. An evidence row linking glycaemic load to liver outcomes is required before it is weighted.</w:t>
      </w:r>
    </w:p>
    <w:p w:rsidR="00000000" w:rsidDel="00000000" w:rsidP="00000000" w:rsidRDefault="00000000" w:rsidRPr="00000000" w14:paraId="000000BB">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xj2xdaf629vx" w:id="21"/>
      <w:bookmarkEnd w:id="21"/>
      <w:r w:rsidDel="00000000" w:rsidR="00000000" w:rsidRPr="00000000">
        <w:rPr>
          <w:rFonts w:ascii="Times New Roman" w:cs="Times New Roman" w:eastAsia="Times New Roman" w:hAnsi="Times New Roman"/>
          <w:b/>
          <w:bCs w:val="1"/>
          <w:color w:val="000000"/>
          <w:sz w:val="26"/>
          <w:szCs w:val="26"/>
          <w:rtl w:val="0"/>
        </w:rPr>
        <w:t>17.12 Recipe acceptability and larger corpora (new data)</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b/>
          <w:rtl w:val="0"/>
        </w:rPr>
        <w:t xml:space="preserve">Acceptability. </w:t>
      </w:r>
      <w:r w:rsidDel="00000000" w:rsidR="00000000" w:rsidRPr="00000000">
        <w:rPr>
          <w:rFonts w:ascii="Times New Roman" w:cs="Times New Roman" w:eastAsia="Times New Roman" w:hAnsi="Times New Roman"/>
          <w:rtl w:val="0"/>
        </w:rPr>
        <w:t>RecipeDB ratings and rating counts, already parsed, can serve as an acceptability signal. The Food.com dataset (Majumder et al., 2019; about 231,000 recipes and 1.1 million reviews) supports preference modelling and a robustness check of the ranking on a second corpus.</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b/>
          <w:rtl w:val="0"/>
        </w:rPr>
        <w:t xml:space="preserve">Regional cuisines. </w:t>
      </w:r>
      <w:r w:rsidDel="00000000" w:rsidR="00000000" w:rsidRPr="00000000">
        <w:rPr>
          <w:rFonts w:ascii="Times New Roman" w:cs="Times New Roman" w:eastAsia="Times New Roman" w:hAnsi="Times New Roman"/>
          <w:rtl w:val="0"/>
        </w:rPr>
        <w:t>The current 20,000-recipe subset contains only 19 Indian recipes. Drawing on the full RecipeDB, including Indian regional cuisines, would make cuisine compatibility meaningful for Indian users, for whom the Asian BMI thresholds are already implemented.</w:t>
      </w:r>
    </w:p>
    <w:p w:rsidR="00000000" w:rsidDel="00000000" w:rsidP="00000000" w:rsidRDefault="00000000" w:rsidRPr="00000000" w14:paraId="000000BB">
      <w:pPr>
        <w:pStyle w:val="Heading3"/>
        <w:keepNext w:val="0"/>
        <w:keepLines w:val="0"/>
        <w:spacing w:after="100" w:before="200" w:lineRule="auto"/>
        <w:rPr>
          <w:rFonts w:ascii="Times New Roman" w:cs="Times New Roman" w:eastAsia="Times New Roman" w:hAnsi="Times New Roman"/>
          <w:b w:val="1"/>
          <w:bCs w:val="1"/>
          <w:color w:val="000000"/>
          <w:sz w:val="26"/>
          <w:szCs w:val="26"/>
        </w:rPr>
      </w:pPr>
      <w:bookmarkStart w:colFirst="0" w:colLast="0" w:name="_xj2xdaf629vx" w:id="21"/>
      <w:bookmarkEnd w:id="21"/>
      <w:r w:rsidDel="00000000" w:rsidR="00000000" w:rsidRPr="00000000">
        <w:rPr>
          <w:rFonts w:ascii="Times New Roman" w:cs="Times New Roman" w:eastAsia="Times New Roman" w:hAnsi="Times New Roman"/>
          <w:b/>
          <w:bCs w:val="1"/>
          <w:color w:val="000000"/>
          <w:sz w:val="26"/>
          <w:szCs w:val="26"/>
          <w:rtl w:val="0"/>
        </w:rPr>
        <w:t>17.13 Additional evidence rows</w:t>
      </w:r>
    </w:p>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Candidate rows include coffee, which observational meta-analyses associate with lower odds of advanced fibrosis (OR 0.73; Liu et al., 2015) and significant fibrosis (Ebadi et al., 2021) but not with NAFLD incidence; fasting interventions, which reduced ALT in a 2026 meta-analysis of RCTs (Stern et al., 2026); and the null findings for omega-3 supplementation and low-carbohydrate high-fat diets from the same review. Observational associations would be labelled as such and not converted into causal effect sizes.</w:t>
      </w:r>
    </w:p>
    <w:p w:rsidR="00000000" w:rsidDel="00000000" w:rsidP="00000000" w:rsidRDefault="00000000" w:rsidRPr="00000000" w14:paraId="000000FE">
      <w:pPr>
        <w:pStyle w:val="Heading1"/>
        <w:keepNext w:val="0"/>
        <w:keepLines w:val="0"/>
        <w:spacing w:before="480" w:lineRule="auto"/>
        <w:rPr>
          <w:rFonts w:ascii="Times New Roman" w:cs="Times New Roman" w:eastAsia="Times New Roman" w:hAnsi="Times New Roman"/>
          <w:b w:val="1"/>
          <w:bCs w:val="1"/>
          <w:sz w:val="46"/>
          <w:szCs w:val="46"/>
        </w:rPr>
      </w:pPr>
      <w:bookmarkStart w:colFirst="0" w:colLast="0" w:name="_oei5s3j50g44" w:id="28"/>
      <w:bookmarkEnd w:id="28"/>
      <w:r w:rsidDel="00000000" w:rsidR="00000000" w:rsidRPr="00000000">
        <w:rPr>
          <w:rFonts w:ascii="Times New Roman" w:cs="Times New Roman" w:eastAsia="Times New Roman" w:hAnsi="Times New Roman"/>
          <w:b w:val="1"/>
          <w:bCs w:val="1"/>
          <w:sz w:val="30"/>
          <w:szCs w:val="30"/>
          <w:rtl w:val="0"/>
        </w:rPr>
        <w:t xml:space="preserve">Key References</w:t>
      </w:r>
      <w:r w:rsidDel="00000000" w:rsidR="00000000" w:rsidRPr="00000000">
        <w:rPr>
          <w:rtl w:val="0"/>
        </w:rPr>
      </w:r>
    </w:p>
    <w:p w:rsidR="00000000" w:rsidDel="00000000" w:rsidP="00000000" w:rsidRDefault="00000000" w:rsidRPr="00000000" w14:paraId="000000FF">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Bagler, G. &amp; Goel, A. (2024). Computational gastronomy: capturing culinary creativity by making food computable. npj Systems Biology and Applications.</w:t>
      </w:r>
    </w:p>
    <w:p w:rsidR="00000000" w:rsidDel="00000000" w:rsidP="00000000" w:rsidRDefault="00000000" w:rsidRPr="00000000" w14:paraId="00000100">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Ahn, Y.-Y. et al. (2011). Flavor network and the principles of food pairing. Scientific Reports.</w:t>
      </w:r>
    </w:p>
    <w:p w:rsidR="00000000" w:rsidDel="00000000" w:rsidP="00000000" w:rsidRDefault="00000000" w:rsidRPr="00000000" w14:paraId="00000101">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Jain, A., Rakhi, N.K. &amp; Bagler, G. (2015). Analysis of food pairing in regional cuisines of India. arXiv / PLoS ONE.</w:t>
      </w:r>
    </w:p>
    <w:p w:rsidR="00000000" w:rsidDel="00000000" w:rsidP="00000000" w:rsidRDefault="00000000" w:rsidRPr="00000000" w14:paraId="00000102">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Park, D. et al. (2021). FlavorGraph: a large-scale food-chemical graph for generating food representations and recommending food pairings. Scientific Reports.</w:t>
      </w:r>
    </w:p>
    <w:p w:rsidR="00000000" w:rsidDel="00000000" w:rsidP="00000000" w:rsidRDefault="00000000" w:rsidRPr="00000000" w14:paraId="00000103">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Emerson, S. et al. (2024). Optimizing ingredient substitutions using large language models to enhance phytochemical content.</w:t>
      </w:r>
    </w:p>
    <w:p w:rsidR="00000000" w:rsidDel="00000000" w:rsidP="00000000" w:rsidRDefault="00000000" w:rsidRPr="00000000" w14:paraId="00000104">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Vilar-Gomez, E. et al. (2015). Weight loss through lifestyle modification significantly reduces features of nonalcoholic steatohepatitis. Gastroenterology, 149(2), 367–378.</w:t>
      </w:r>
    </w:p>
    <w:p w:rsidR="00000000" w:rsidDel="00000000" w:rsidP="00000000" w:rsidRDefault="00000000" w:rsidRPr="00000000" w14:paraId="00000105">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Sangouni, A.A. et al. (2022). Effect of Mediterranean diet on liver enzymes: a systematic review and meta-analysis of randomised controlled trials. British Journal of Nutrition, 128(7), 1231–1239.</w:t>
      </w:r>
    </w:p>
    <w:p w:rsidR="00000000" w:rsidDel="00000000" w:rsidP="00000000" w:rsidRDefault="00000000" w:rsidRPr="00000000" w14:paraId="00000106">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Katsoulakis, E. et al. (2024). Digital twins for health: a scoping review. npj Digital Medicine.</w:t>
      </w:r>
    </w:p>
    <w:p w:rsidR="00000000" w:rsidDel="00000000" w:rsidP="00000000" w:rsidRDefault="00000000" w:rsidRPr="00000000" w14:paraId="00000107">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Joshi, S. et al. (2023). Digital Twin-Enabled Personalized Nutrition Improves MAFLD in Type 2 Diabetes. Endocrine Practice.</w:t>
      </w:r>
    </w:p>
    <w:p w:rsidR="00000000" w:rsidDel="00000000" w:rsidP="00000000" w:rsidRDefault="00000000" w:rsidRPr="00000000" w14:paraId="00000108">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iDT-diet: An Intelligent Digital Twin Model for Diet-Influenced Biomarker Trajectories. AAAI 2026 (Student Abstract).</w:t>
      </w:r>
    </w:p>
    <w:p w:rsidR="00000000" w:rsidDel="00000000" w:rsidP="00000000" w:rsidRDefault="00000000" w:rsidRPr="00000000" w14:paraId="00000109">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Identifying Ingredient Substitutions Using a Knowledge Graph of Food (2021). PMC.</w:t>
      </w:r>
    </w:p>
    <w:p w:rsidR="00000000" w:rsidDel="00000000" w:rsidP="00000000" w:rsidRDefault="00000000" w:rsidRPr="00000000" w14:paraId="0000010A">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A Survey on Food Ingredient Substitutions (2025). arXiv.</w:t>
      </w:r>
    </w:p>
    <w:p w:rsidR="00000000" w:rsidDel="00000000" w:rsidP="00000000" w:rsidRDefault="00000000" w:rsidRPr="00000000" w14:paraId="0000010B">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EASL-EASD-EASO Clinical Practice Guidelines on the management of MASLD (2024). Diabetologia.</w:t>
      </w:r>
    </w:p>
    <w:p w:rsidR="00000000" w:rsidDel="00000000" w:rsidP="00000000" w:rsidRDefault="00000000" w:rsidRPr="00000000" w14:paraId="0000010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NHANES 2017–2018 and 2017–March 2020 Liver Ultrasound Transient Elastography (LUX) documentation. National Center for Health Statistics, CDC.</w:t>
      </w:r>
    </w:p>
    <w:p w:rsidR="00000000" w:rsidDel="00000000" w:rsidP="00000000" w:rsidRDefault="00000000" w:rsidRPr="00000000" w14:paraId="0000010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Haigh, L. et al. (2022). The effectiveness and acceptability of Mediterranean diet and calorie restriction in NAFLD: a systematic review and meta-analysis. Clinical Nutrition, 41(9), 1913–1931.</w:t>
      </w:r>
    </w:p>
    <w:p w:rsidR="00000000" w:rsidDel="00000000" w:rsidP="00000000" w:rsidRDefault="00000000" w:rsidRPr="00000000" w14:paraId="0000010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Stern, U.M. et al. (2026). The impact of dietary interventions on liver health biomarkers in MASLD: a systematic review and meta-analysis of RCTs. European Journal of Nutrition, 65(2), 58.</w:t>
      </w:r>
    </w:p>
    <w:p w:rsidR="00000000" w:rsidDel="00000000" w:rsidP="00000000" w:rsidRDefault="00000000" w:rsidRPr="00000000" w14:paraId="0000010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Stine, J.G. et al. (2023). Exercise training is associated with treatment response in liver fat content by MRI independent of clinically significant body weight loss. American Journal of Gastroenterology, 118(7), 1204–1213.</w:t>
      </w:r>
    </w:p>
    <w:p w:rsidR="00000000" w:rsidDel="00000000" w:rsidP="00000000" w:rsidRDefault="00000000" w:rsidRPr="00000000" w14:paraId="0000010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Xiong, Y. et al. (2024). Effects of Mediterranean diet and low-fat diet on liver enzymes and liver fat content of NAFLD: a meta-analysis of RCTs. Food &amp; Function, 15(16), 8248–8257.</w:t>
      </w:r>
    </w:p>
    <w:p w:rsidR="00000000" w:rsidDel="00000000" w:rsidP="00000000" w:rsidRDefault="00000000" w:rsidRPr="00000000" w14:paraId="0000010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Luukkonen, P.K. et al. (2018). Saturated fat is more metabolically harmful for the human liver than unsaturated fat or simple sugars. Diabetes Care, 41(8), 1732–1739.</w:t>
      </w:r>
    </w:p>
    <w:p w:rsidR="00000000" w:rsidDel="00000000" w:rsidP="00000000" w:rsidRDefault="00000000" w:rsidRPr="00000000" w14:paraId="0000010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Chiu, S. et al. (2014). Effect of fructose on markers of NAFLD: a systematic review and meta-analysis of controlled feeding trials. European Journal of Clinical Nutrition, 68(4), 416–423.</w:t>
      </w:r>
    </w:p>
    <w:p w:rsidR="00000000" w:rsidDel="00000000" w:rsidP="00000000" w:rsidRDefault="00000000" w:rsidRPr="00000000" w14:paraId="0000010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Bedogni, G. et al. (2006). The Fatty Liver Index: a simple and accurate predictor of hepatic steatosis in the general population. BMC Gastroenterology, 6, 33.</w:t>
      </w:r>
    </w:p>
    <w:p w:rsidR="00000000" w:rsidDel="00000000" w:rsidP="00000000" w:rsidRDefault="00000000" w:rsidRPr="00000000" w14:paraId="0000010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Lee, J.H. et al. (2010). Hepatic steatosis index: a simple screening tool reflecting nonalcoholic fatty liver disease. Digestive and Liver Disease, 42(7), 503–508.</w:t>
      </w:r>
    </w:p>
    <w:p w:rsidR="00000000" w:rsidDel="00000000" w:rsidP="00000000" w:rsidRDefault="00000000" w:rsidRPr="00000000" w14:paraId="0000010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Rinella, M.E. et al. (2023). A multisociety Delphi consensus statement on new fatty liver disease nomenclature. Hepatology, 78(6), 1966–1986.</w:t>
      </w:r>
    </w:p>
    <w:p w:rsidR="00000000" w:rsidDel="00000000" w:rsidP="00000000" w:rsidRDefault="00000000" w:rsidRPr="00000000" w14:paraId="0000010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Sterling, R.K. et al. (2006). Development of a simple noninvasive index to predict significant fibrosis in patients with HIV/HCV coinfection. Hepatology, 43(6), 1317–1325.</w:t>
      </w:r>
    </w:p>
    <w:p w:rsidR="00000000" w:rsidDel="00000000" w:rsidP="00000000" w:rsidRDefault="00000000" w:rsidRPr="00000000" w14:paraId="0000010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Shams-White, M.M. et al. (2023). Healthy Eating Index-2020: review and update process to reflect the Dietary Guidelines for Americans, 2020–2025. Journal of the Academy of Nutrition and Dietetics, 123(9), 1280–1288.</w:t>
      </w:r>
    </w:p>
    <w:p w:rsidR="00000000" w:rsidDel="00000000" w:rsidP="00000000" w:rsidRDefault="00000000" w:rsidRPr="00000000" w14:paraId="0000010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Menichetti, G. et al. (2023). Machine learning prediction of the degree of food processing. Nature Communications, 14, 2312.</w:t>
      </w:r>
    </w:p>
    <w:p w:rsidR="00000000" w:rsidDel="00000000" w:rsidP="00000000" w:rsidRDefault="00000000" w:rsidRPr="00000000" w14:paraId="0000010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Atkinson, F.S. et al. (2021). International tables of glycemic index and glycemic load values 2021: a systematic review. American Journal of Clinical Nutrition, 114(5), 1625–1632.</w:t>
      </w:r>
    </w:p>
    <w:p w:rsidR="00000000" w:rsidDel="00000000" w:rsidP="00000000" w:rsidRDefault="00000000" w:rsidRPr="00000000" w14:paraId="0000010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Majumder, B.P. et al. (2019). Generating personalized recipes from historical user preferences. Proceedings of EMNLP-IJCNLP 2019.</w:t>
      </w:r>
    </w:p>
    <w:p w:rsidR="00000000" w:rsidDel="00000000" w:rsidP="00000000" w:rsidRDefault="00000000" w:rsidRPr="00000000" w14:paraId="0000010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Liu, F. et al. (2015). Coffee consumption decreases risks for hepatic fibrosis and cirrhosis: a meta-analysis. PLoS One, 10(11), e0142457.</w:t>
      </w:r>
    </w:p>
    <w:p w:rsidR="00000000" w:rsidDel="00000000" w:rsidP="00000000" w:rsidRDefault="00000000" w:rsidRPr="00000000" w14:paraId="0000010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Ebadi, M. et al. (2021). Effect of coffee consumption on NAFLD incidence, prevalence and risk of significant liver fibrosis: systematic review with meta-analysis of observational studies. Nutrients, 13(9), 3042.</w:t>
      </w:r>
    </w:p>
    <w:p w:rsidR="00000000" w:rsidDel="00000000" w:rsidP="00000000" w:rsidRDefault="00000000" w:rsidRPr="00000000" w14:paraId="0000010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NHANES III Hepatic/Gallbladder Ultrasound and Hepatic Steatosis data, and 2019 Public-Use Linked Mortality Files. National Center for Health Statistics, CDC.</w:t>
      </w:r>
    </w:p>
    <w:p w:rsidR="00000000" w:rsidDel="00000000" w:rsidP="00000000" w:rsidRDefault="00000000" w:rsidRPr="00000000" w14:paraId="0000010C">
      <w:pPr>
        <w:spacing w:after="80" w:line="268.8" w:lineRule="auto"/>
        <w:ind w:left="640" w:hanging="24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ARTEMIS: AcceleRating the Translation of Virtual Twins Towards a pErsonalised Management of Steatotic Liver Patients. Horizon Europe grant 101136299; ClinicalTrials.gov NCT07430501.</w:t>
      </w:r>
    </w:p>
    <w:p w:rsidR="00000000" w:rsidDel="00000000" w:rsidP="00000000" w:rsidRDefault="00000000" w:rsidRPr="00000000" w14:paraId="0000010D">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ungsuh"/>
  <w:font w:name="Cardo">
    <w:embedRegular w:fontKey="{00000000-0000-0000-0000-000000000000}" r:id="rId1" w:subsetted="0"/>
    <w:embedBold w:fontKey="{00000000-0000-0000-0000-000000000000}" r:id="rId2" w:subsetted="0"/>
    <w:embedItalic w:fontKey="{00000000-0000-0000-0000-000000000000}" r:id="rId3"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