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HepatoTwin</w:t>
      </w:r>
    </w:p>
    <w:p w:rsidR="00000000" w:rsidDel="00000000" w:rsidP="00000000" w:rsidRDefault="00000000" w:rsidRPr="00000000" w14:paraId="00000002">
      <w:pPr>
        <w:spacing w:after="1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HepatoTwin: A Digital Twin Framework for Personalized, Evidence-Based Dietary Intervention and Health Forecasting</w:t>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1p3ij9db1v5r" w:id="0"/>
      <w:bookmarkEnd w:id="0"/>
      <w:r w:rsidDel="00000000" w:rsidR="00000000" w:rsidRPr="00000000">
        <w:rPr>
          <w:rFonts w:ascii="Times New Roman" w:cs="Times New Roman" w:eastAsia="Times New Roman" w:hAnsi="Times New Roman"/>
          <w:b w:val="1"/>
          <w:bCs w:val="1"/>
          <w:sz w:val="30"/>
          <w:szCs w:val="30"/>
          <w:rtl w:val="0"/>
        </w:rPr>
        <w:t xml:space="preserve">1. Research Question</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230" w:hRule="atLeast"/>
          <w:tblHeader w:val="0"/>
        </w:trPr>
        <w:tc>
          <w:tcPr>
            <w:tcBorders>
              <w:top w:color="0c8f6e" w:space="0" w:sz="5" w:val="single"/>
              <w:left w:color="0c8f6e" w:space="0" w:sz="5" w:val="single"/>
              <w:bottom w:color="0c8f6e" w:space="0" w:sz="5" w:val="single"/>
              <w:right w:color="0c8f6e" w:space="0" w:sz="5"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04">
            <w:pPr>
              <w:spacing w:after="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Central question</w:t>
            </w:r>
          </w:p>
          <w:p w:rsidR="00000000" w:rsidDel="00000000" w:rsidP="00000000" w:rsidRDefault="00000000" w:rsidRPr="00000000" w14:paraId="00000005">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Can a patient-specific liver digital twin — built from clinical and biological evidence — support the evidence-grounded evaluation and ranking of existing recipes from a recipe corpus, according to their health relevance, cuisine compatibility, and cooking feasibility for an individual patient?</w:t>
            </w:r>
          </w:p>
        </w:tc>
      </w:tr>
    </w:tbl>
    <w:p w:rsidR="00000000" w:rsidDel="00000000" w:rsidP="00000000" w:rsidRDefault="00000000" w:rsidRPr="00000000" w14:paraId="00000006">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Clinical focus: metabolic dysfunction-associated steatotic liver disease (MASLD; formerly NAFLD) — diet-modifiable, with strong clinical evidence linking dietary and weight changes to measurable outcomes, giving the project a concrete, gradable success criterion. This is stated as a focus, not baked into the title, because the underlying framework — the twin's state model and its recipe evaluation and ranking engine — is domain-general and could be re-validated against any diet-modifiable condition with a comparable evidence base.</w:t>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heriaosv0ou4" w:id="1"/>
      <w:bookmarkEnd w:id="1"/>
      <w:r w:rsidDel="00000000" w:rsidR="00000000" w:rsidRPr="00000000">
        <w:rPr>
          <w:rFonts w:ascii="Times New Roman" w:cs="Times New Roman" w:eastAsia="Times New Roman" w:hAnsi="Times New Roman"/>
          <w:b w:val="1"/>
          <w:bCs w:val="1"/>
          <w:sz w:val="30"/>
          <w:szCs w:val="30"/>
          <w:rtl w:val="0"/>
        </w:rPr>
        <w:t xml:space="preserve">1.1 What Makes This a Digital Twin</w:t>
      </w:r>
    </w:p>
    <w:p w:rsidR="00000000" w:rsidDel="00000000" w:rsidP="00000000" w:rsidRDefault="00000000" w:rsidRPr="00000000" w14:paraId="00000009">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digital twin is a patient-specific computational representation of a system's state that can be updated as new patient data becomes available and used to simulate how that state may change under different interventions — not a one-shot prediction paired with a static visualization (Katsoulakis et al., 2024). HepatoTwin is designed to meet that bar:</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230" w:hRule="atLeast"/>
          <w:tblHeader w:val="0"/>
        </w:trPr>
        <w:tc>
          <w:tcPr>
            <w:tcBorders>
              <w:top w:color="c1443c" w:space="0" w:sz="5" w:val="single"/>
              <w:left w:color="c1443c" w:space="0" w:sz="5" w:val="single"/>
              <w:bottom w:color="c1443c" w:space="0" w:sz="5" w:val="single"/>
              <w:right w:color="c1443c" w:space="0" w:sz="5" w:val="single"/>
            </w:tcBorders>
            <w:shd w:fill="ffffff" w:val="clear"/>
            <w:tcMar>
              <w:top w:w="140.0" w:type="dxa"/>
              <w:left w:w="180.0" w:type="dxa"/>
              <w:bottom w:w="140.0" w:type="dxa"/>
              <w:right w:w="180.0" w:type="dxa"/>
            </w:tcMar>
            <w:vAlign w:val="top"/>
          </w:tcPr>
          <w:p w:rsidR="00000000" w:rsidDel="00000000" w:rsidP="00000000" w:rsidRDefault="00000000" w:rsidRPr="00000000" w14:paraId="0000000A">
            <w:pPr>
              <w:spacing w:after="60"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Digital Twin ≠ 3D liver</w:t>
            </w:r>
          </w:p>
          <w:p w:rsidR="00000000" w:rsidDel="00000000" w:rsidP="00000000" w:rsidRDefault="00000000" w:rsidRPr="00000000" w14:paraId="0000000B">
            <w:pP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The 3D render (Layer 6, §9) is one interface into the twin, not the twin itself. The actual digital twin is the combination of patient state, clinical prediction, biological knowledge, intervention evidence, the scenario engine, and the future-state representation — Layers 2 through 6 together.</w:t>
            </w:r>
          </w:p>
        </w:tc>
      </w:tr>
    </w:tbl>
    <w:p w:rsidR="00000000" w:rsidDel="00000000" w:rsidP="00000000" w:rsidRDefault="00000000" w:rsidRPr="00000000" w14:paraId="000000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State, not a snapshot: the twin holds a calibrated hepatic risk state plus a nutritional-exposure profile per patient, both of which update on new clinical data or a new recipe plan — not recomputed once and displayed.</w:t>
      </w:r>
    </w:p>
    <w:p w:rsidR="00000000" w:rsidDel="00000000" w:rsidP="00000000" w:rsidRDefault="00000000" w:rsidRPr="00000000" w14:paraId="0000000D">
      <w:pPr>
        <w:ind w:left="640" w:hanging="24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Simulations of future states, not lookups: The scenario engine (§8) is not looking up a static recommendation — it simulates the future state of the twin, given a specific recipe, based on effect sizes derived from the evidence rather than the risk model’s extrapolation.</w:t>
      </w:r>
    </w:p>
    <w:p w:rsidR="00000000" w:rsidDel="00000000" w:rsidP="00000000" w:rsidRDefault="00000000" w:rsidRPr="00000000" w14:paraId="0000000E">
      <w:pPr>
        <w:ind w:left="16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F">
      <w:pPr>
        <w:rPr>
          <w:b w:val="1"/>
          <w:bCs w:val="1"/>
        </w:rPr>
      </w:pPr>
      <w:r w:rsidDel="00000000" w:rsidR="00000000" w:rsidRPr="00000000">
        <w:rPr>
          <w:b w:val="1"/>
          <w:bCs w:val="1"/>
          <w:rtl w:val="0"/>
        </w:rPr>
        <w:t xml:space="preserve">Scope Note – longitudinal validation not done</w:t>
      </w:r>
    </w:p>
    <w:p w:rsidR="00000000" w:rsidDel="00000000" w:rsidP="00000000" w:rsidRDefault="00000000" w:rsidRPr="00000000" w14:paraId="00000010">
      <w:pPr>
        <w:rPr>
          <w:sz w:val="20"/>
          <w:szCs w:val="20"/>
        </w:rPr>
      </w:pPr>
      <w:r w:rsidDel="00000000" w:rsidR="00000000" w:rsidRPr="00000000">
        <w:rPr>
          <w:sz w:val="20"/>
          <w:szCs w:val="20"/>
          <w:rtl w:val="0"/>
        </w:rPr>
        <w:t xml:space="preserve">The current project does not perform longitudinal validation by comparing the projections to the true repeat measurements outcome data — the clinical data set (§13) used is a cross-sectional one. All projections of the future states are marked as “simulated projections, not a clinical prediction” and all scenarios are based on the clinical evidence (§6).</w:t>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ihju4746dwx" w:id="2"/>
      <w:bookmarkEnd w:id="2"/>
      <w:r w:rsidDel="00000000" w:rsidR="00000000" w:rsidRPr="00000000">
        <w:rPr>
          <w:rFonts w:ascii="Times New Roman" w:cs="Times New Roman" w:eastAsia="Times New Roman" w:hAnsi="Times New Roman"/>
          <w:b w:val="1"/>
          <w:bCs w:val="1"/>
          <w:sz w:val="30"/>
          <w:szCs w:val="30"/>
          <w:rtl w:val="0"/>
        </w:rPr>
        <w:t xml:space="preserve">2. System Architecture — Seven Layers</w:t>
      </w:r>
      <w:r w:rsidDel="00000000" w:rsidR="00000000" w:rsidRPr="00000000">
        <w:rPr>
          <w:rtl w:val="0"/>
        </w:rPr>
      </w:r>
    </w:p>
    <w:p w:rsidR="00000000" w:rsidDel="00000000" w:rsidP="00000000" w:rsidRDefault="00000000" w:rsidRPr="00000000" w14:paraId="00000012">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digital twin is the whole stack, not any single layer — Layer 4, the recipe evaluation and ranking engine, is the primary research contribution and is referred to internally as NutriTwin.</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4065"/>
        <w:gridCol w:w="3360"/>
        <w:tblGridChange w:id="0">
          <w:tblGrid>
            <w:gridCol w:w="1410"/>
            <w:gridCol w:w="4065"/>
            <w:gridCol w:w="3360"/>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Layer</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Contents</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Role</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6">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Patient State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Demographics, lifestyle, clinical biomarkers, current diet (as a recipe list)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Raw input</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 Liver Digital Twin — Current State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Calibrated MASLD/steatosis risk, fibrosis risk (FIB-4, §17.2), biological state representation, causal knowledge graph</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 twin's core (§5)</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 Intervention Evidence Engine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Clinical trials/meta-analyses, causal-graph gating</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Evidence-graded health signal (§6)</w:t>
            </w:r>
          </w:p>
        </w:tc>
      </w:tr>
      <w:tr>
        <w:trPr>
          <w:cantSplit w:val="0"/>
          <w:trHeight w:val="10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1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 Recipe Evaluation and Ranking Engine (NutriTwin)</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Health, cuisine, and cooking-feasibility objectives over RecipeDB</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Core research contribution (§7)</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 Scenario Engine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3">
            <w:pPr>
              <w:spacing w:after="40" w:lineRule="auto"/>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“What if the patient adopts Recipe A / B / C?” → evidence-graded projected direction</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Makes the twin interactive (§8)</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5">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6. Digital Twin Visualization</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6">
            <w:pPr>
              <w:spacing w:after="40" w:lineRule="auto"/>
              <w:rPr>
                <w:rFonts w:ascii="Times New Roman" w:cs="Times New Roman" w:eastAsia="Times New Roman" w:hAnsi="Times New Roman"/>
                <w:sz w:val="17"/>
                <w:szCs w:val="17"/>
              </w:rPr>
            </w:pPr>
            <w:r w:rsidDel="00000000" w:rsidR="00000000" w:rsidRPr="00000000">
              <w:rPr>
                <w:rFonts w:ascii="Cardo" w:cs="Cardo" w:eastAsia="Cardo" w:hAnsi="Cardo"/>
                <w:sz w:val="17"/>
                <w:szCs w:val="17"/>
                <w:rtl w:val="0"/>
              </w:rPr>
              <w:t xml:space="preserve">3D liver (simplified, S0–S3) + timeline slider (today → 3m → 6m → 1y)</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 twin's interface (§9)</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7. Explainable Dashboard</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Why this recipe, evidence sources, nutritional fit, confidence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User-facing layer (§10)</w:t>
            </w:r>
          </w:p>
        </w:tc>
      </w:tr>
    </w:tbl>
    <w:p w:rsidR="00000000" w:rsidDel="00000000" w:rsidP="00000000" w:rsidRDefault="00000000" w:rsidRPr="00000000" w14:paraId="0000002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fgoxnyuipaq" w:id="3"/>
      <w:bookmarkEnd w:id="3"/>
      <w:r w:rsidDel="00000000" w:rsidR="00000000" w:rsidRPr="00000000">
        <w:rPr>
          <w:rFonts w:ascii="Times New Roman" w:cs="Times New Roman" w:eastAsia="Times New Roman" w:hAnsi="Times New Roman"/>
          <w:b w:val="1"/>
          <w:bCs w:val="1"/>
          <w:sz w:val="30"/>
          <w:szCs w:val="30"/>
          <w:rtl w:val="0"/>
        </w:rPr>
        <w:t xml:space="preserve">3. Need for the following Databases</w:t>
      </w:r>
      <w:r w:rsidDel="00000000" w:rsidR="00000000" w:rsidRPr="00000000">
        <w:rPr>
          <w:rtl w:val="0"/>
        </w:rPr>
      </w:r>
    </w:p>
    <w:p w:rsidR="00000000" w:rsidDel="00000000" w:rsidP="00000000" w:rsidRDefault="00000000" w:rsidRPr="00000000" w14:paraId="0000002C">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Layers 3 and 4 are where the lab's own assets are load-bearing:</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80"/>
        <w:tblGridChange w:id="0">
          <w:tblGrid>
            <w:gridCol w:w="2655"/>
            <w:gridCol w:w="6180"/>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Lab asset</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Role in this project</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2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RecipeDB</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3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Source corpus for candidate recipes; supplies ingredient/process/utensil structure used for the cooking-feasibility objective.</w:t>
            </w:r>
          </w:p>
        </w:tc>
      </w:tr>
      <w:tr>
        <w:trPr>
          <w:cantSplit w:val="0"/>
          <w:trHeight w:val="10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3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FlavorDB</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3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Compound-level ingredient flavor profiles; explored during the literature review as a possible flavor-similarity signal, but not used as a core scoring component, since the flavor of a fully cooked, multi-ingredient dish cannot be reliably predicted from individual compound profiles (see §4).</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35">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Computational gastronomy methodology</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36">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The recipe evaluation methodology itself — multi-criteria scoring and ranking of structured recipe data, linked to an evidence table — extends the food-pairing / recipe-recommendation line of work already established in the lab's own literature (§4).</w:t>
            </w:r>
          </w:p>
        </w:tc>
      </w:tr>
    </w:tbl>
    <w:p w:rsidR="00000000" w:rsidDel="00000000" w:rsidP="00000000" w:rsidRDefault="00000000" w:rsidRPr="00000000" w14:paraId="00000037">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clinical model (Layer 2) is deliberately scoped as an input to the twin, not the object of study — the thing being invented is the ranking engine, not the risk predictor.</w:t>
      </w:r>
    </w:p>
    <w:p w:rsidR="00000000" w:rsidDel="00000000" w:rsidP="00000000" w:rsidRDefault="00000000" w:rsidRPr="00000000" w14:paraId="0000003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vofj7abvoasg" w:id="4"/>
      <w:bookmarkEnd w:id="4"/>
      <w:r w:rsidDel="00000000" w:rsidR="00000000" w:rsidRPr="00000000">
        <w:rPr>
          <w:rFonts w:ascii="Times New Roman" w:cs="Times New Roman" w:eastAsia="Times New Roman" w:hAnsi="Times New Roman"/>
          <w:b w:val="1"/>
          <w:bCs w:val="1"/>
          <w:sz w:val="30"/>
          <w:szCs w:val="30"/>
          <w:rtl w:val="0"/>
        </w:rPr>
        <w:t xml:space="preserve">4. Related Work — Where the Gap Sits</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related strands of research point to the open problem addressed in this work:</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Computational gastronomy and recipe databases:</w:t>
      </w:r>
      <w:r w:rsidDel="00000000" w:rsidR="00000000" w:rsidRPr="00000000">
        <w:rPr>
          <w:rFonts w:ascii="Times New Roman" w:cs="Times New Roman" w:eastAsia="Times New Roman" w:hAnsi="Times New Roman"/>
          <w:rtl w:val="0"/>
        </w:rPr>
        <w:t xml:space="preserve"> Resources such as RecipeDB provide structured information about recipes, including ingredients, nutritional profiles, cuisines, cooking processes, dietary styles, and associations with flavor and health-related resources. However, these systems are primarily designed for exploring and querying culinary data rather than evaluating existing recipes for the specific needs of an individual patient.</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Food, nutrition, and health knowledge resources:</w:t>
      </w:r>
      <w:r w:rsidDel="00000000" w:rsidR="00000000" w:rsidRPr="00000000">
        <w:rPr>
          <w:rFonts w:ascii="Times New Roman" w:cs="Times New Roman" w:eastAsia="Times New Roman" w:hAnsi="Times New Roman"/>
          <w:rtl w:val="0"/>
        </w:rPr>
        <w:t xml:space="preserve"> Clinical trials, meta-analyses and practice guidelines connect dietary interventions with measured liver outcomes. These resources provide valuable evidence that can support personalized dietary decisions. However, they do not by themselves provide a framework for evaluating complete recipes according to a patient's current health state.</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Patient-specific metabolic and liver digital twins:</w:t>
      </w:r>
      <w:r w:rsidDel="00000000" w:rsidR="00000000" w:rsidRPr="00000000">
        <w:rPr>
          <w:rFonts w:ascii="Times New Roman" w:cs="Times New Roman" w:eastAsia="Times New Roman" w:hAnsi="Times New Roman"/>
          <w:rtl w:val="0"/>
        </w:rPr>
        <w:t xml:space="preserve"> Existing work on digital twins and personalized nutrition focuses on modeling patient state, biomarkers, disease progression, and personalized interventions. However, existing recipes are generally not treated as a structured candidate space that can be systematically evaluated according to multiple criteria relevant to an individual patient.</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three areas provide complementary pieces of the problem: recipe databases provide structured descriptions of food and recipes, health knowledge resources provide evidence about food–health relationships, and patient-specific digital twins model the health state of an individual. However, these components are typically studied separately.</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Recent work shows the area is active but early. In an open-label randomised trial in 319 people with type 2 diabetes, digital-twin-guided nutrition, which selected foods by their predicted post-meal glucose response, improved liver-fat scores and MRI-PDFF over one year (Joshi et al., 2023). The Horizon Europe project ARTEMIS (grant 101136299; registered as the observational study NCT07430501) is building virtual twins of MASLD from retrospective data on about 7,700 patients across European centres, including prediction of cardiovascular events. Neither ranks existing recipes against evidence-graded, patient-specific objectives.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Research Gap</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our literature review, we identify a gap at the intersection of </w:t>
      </w:r>
      <w:r w:rsidDel="00000000" w:rsidR="00000000" w:rsidRPr="00000000">
        <w:rPr>
          <w:rFonts w:ascii="Times New Roman" w:cs="Times New Roman" w:eastAsia="Times New Roman" w:hAnsi="Times New Roman"/>
          <w:b w:val="1"/>
          <w:bCs w:val="1"/>
          <w:rtl w:val="0"/>
        </w:rPr>
        <w:t xml:space="preserve">patient-specific health modeling, evidence-based nutrition, and computational gastronomy</w:t>
      </w:r>
      <w:r w:rsidDel="00000000" w:rsidR="00000000" w:rsidRPr="00000000">
        <w:rPr>
          <w:rFonts w:ascii="Times New Roman" w:cs="Times New Roman" w:eastAsia="Times New Roman" w:hAnsi="Times New Roman"/>
          <w:rtl w:val="0"/>
        </w:rPr>
        <w:t xml:space="preserve">. While structured recipe databases allow exploration of existing recipes, and digital twin approaches support patient-specific health modeling, there is limited work connecting these components to systematically evaluate and rank existing recipes for a particular patient's health state.</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 we did not identify a framework that combines: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health relevance</w:t>
      </w:r>
      <w:r w:rsidDel="00000000" w:rsidR="00000000" w:rsidRPr="00000000">
        <w:rPr>
          <w:rFonts w:ascii="Times New Roman" w:cs="Times New Roman" w:eastAsia="Times New Roman" w:hAnsi="Times New Roman"/>
          <w:rtl w:val="0"/>
        </w:rPr>
        <w:t xml:space="preserve">, derived from the patient's current state and evidence-based dietary objectives;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cuisine compatibility</w:t>
      </w:r>
      <w:r w:rsidDel="00000000" w:rsidR="00000000" w:rsidRPr="00000000">
        <w:rPr>
          <w:rFonts w:ascii="Times New Roman" w:cs="Times New Roman" w:eastAsia="Times New Roman" w:hAnsi="Times New Roman"/>
          <w:rtl w:val="0"/>
        </w:rPr>
        <w:t xml:space="preserve">, to account for the patient's dietary and culinary context; and</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practical cooking feasibility</w:t>
      </w:r>
      <w:r w:rsidDel="00000000" w:rsidR="00000000" w:rsidRPr="00000000">
        <w:rPr>
          <w:rFonts w:ascii="Times New Roman" w:cs="Times New Roman" w:eastAsia="Times New Roman" w:hAnsi="Times New Roman"/>
          <w:rtl w:val="0"/>
        </w:rPr>
        <w:t xml:space="preserve">, based on recipe ingredients and cooking requirements;</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a transparent multi-criteria framework for patient-specific recipe evaluation.</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HepatoTwin Addresses the Gap</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generating new recipes or performing ingredient substitutions, </w:t>
      </w:r>
      <w:r w:rsidDel="00000000" w:rsidR="00000000" w:rsidRPr="00000000">
        <w:rPr>
          <w:rFonts w:ascii="Times New Roman" w:cs="Times New Roman" w:eastAsia="Times New Roman" w:hAnsi="Times New Roman"/>
          <w:b w:val="1"/>
          <w:bCs w:val="1"/>
          <w:rtl w:val="0"/>
        </w:rPr>
        <w:t xml:space="preserve">HepatoTwin evaluates existing candidate recipes</w:t>
      </w:r>
      <w:r w:rsidDel="00000000" w:rsidR="00000000" w:rsidRPr="00000000">
        <w:rPr>
          <w:rFonts w:ascii="Times New Roman" w:cs="Times New Roman" w:eastAsia="Times New Roman" w:hAnsi="Times New Roman"/>
          <w:rtl w:val="0"/>
        </w:rPr>
        <w:t xml:space="preserve"> from a structured recipe corpus. The patient's current liver and metabolic state is first represented through the digital twin, which is then used to derive evidence-based dietary objectives.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candidate recipe is subsequently evaluated according to its </w:t>
      </w:r>
      <w:r w:rsidDel="00000000" w:rsidR="00000000" w:rsidRPr="00000000">
        <w:rPr>
          <w:rFonts w:ascii="Times New Roman" w:cs="Times New Roman" w:eastAsia="Times New Roman" w:hAnsi="Times New Roman"/>
          <w:b w:val="1"/>
          <w:bCs w:val="1"/>
          <w:rtl w:val="0"/>
        </w:rPr>
        <w:t xml:space="preserve">health relevance, cuisine compatibility, and practical cooking feasibility</w:t>
      </w:r>
      <w:r w:rsidDel="00000000" w:rsidR="00000000" w:rsidRPr="00000000">
        <w:rPr>
          <w:rFonts w:ascii="Times New Roman" w:cs="Times New Roman" w:eastAsia="Times New Roman" w:hAnsi="Times New Roman"/>
          <w:rtl w:val="0"/>
        </w:rPr>
        <w:t xml:space="preserve">. These criteria are combined using a transparent multi-criteria scoring framework to produce a ranked list of the most suitable recipe options for the patient.</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central contribution of HepatoTwin is not recipe generation or flavor-preserving ingredient substitution. Instead, it provides a framework for connecting a </w:t>
      </w:r>
      <w:r w:rsidDel="00000000" w:rsidR="00000000" w:rsidRPr="00000000">
        <w:rPr>
          <w:rFonts w:ascii="Times New Roman" w:cs="Times New Roman" w:eastAsia="Times New Roman" w:hAnsi="Times New Roman"/>
          <w:b w:val="1"/>
          <w:bCs w:val="1"/>
          <w:rtl w:val="0"/>
        </w:rPr>
        <w:t xml:space="preserve">patient-specific liver digital twin with evidence-based dietary knowledge and structured recipe data to support transparent evaluation and ranking of existing recipes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vige7454co27" w:id="5"/>
      <w:bookmarkEnd w:id="5"/>
      <w:r w:rsidDel="00000000" w:rsidR="00000000" w:rsidRPr="00000000">
        <w:rPr>
          <w:rFonts w:ascii="Times New Roman" w:cs="Times New Roman" w:eastAsia="Times New Roman" w:hAnsi="Times New Roman"/>
          <w:b w:val="1"/>
          <w:bCs w:val="1"/>
          <w:sz w:val="30"/>
          <w:szCs w:val="30"/>
          <w:rtl w:val="0"/>
        </w:rPr>
        <w:t xml:space="preserve">5. Layer 2 — Liver Digital Twin Core (Current State Model)</w:t>
      </w:r>
      <w:r w:rsidDel="00000000" w:rsidR="00000000" w:rsidRPr="00000000">
        <w:rPr>
          <w:rtl w:val="0"/>
        </w:rPr>
      </w:r>
    </w:p>
    <w:p w:rsidR="00000000" w:rsidDel="00000000" w:rsidP="00000000" w:rsidRDefault="00000000" w:rsidRPr="00000000" w14:paraId="0000004C">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mgm0hsnhnzsj" w:id="6"/>
      <w:bookmarkEnd w:id="6"/>
      <w:r w:rsidDel="00000000" w:rsidR="00000000" w:rsidRPr="00000000">
        <w:rPr>
          <w:rFonts w:ascii="Times New Roman" w:cs="Times New Roman" w:eastAsia="Times New Roman" w:hAnsi="Times New Roman"/>
          <w:b w:val="1"/>
          <w:bCs w:val="1"/>
          <w:color w:val="000000"/>
          <w:sz w:val="26"/>
          <w:szCs w:val="26"/>
          <w:rtl w:val="0"/>
        </w:rPr>
        <w:t xml:space="preserve">5.1 Steatosis / MASLD risk model</w:t>
      </w:r>
    </w:p>
    <w:p w:rsidR="00000000" w:rsidDel="00000000" w:rsidP="00000000" w:rsidRDefault="00000000" w:rsidRPr="00000000" w14:paraId="0000004D">
      <w:pPr>
        <w:ind w:left="8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XGBoost main model, compared to linear regression and random forest baselines</w:t>
      </w:r>
    </w:p>
    <w:p w:rsidR="00000000" w:rsidDel="00000000" w:rsidP="00000000" w:rsidRDefault="00000000" w:rsidRPr="00000000" w14:paraId="0000004E">
      <w:pPr>
        <w:ind w:left="8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Trained and evaluated on one cohort only (§13) to prevent cross-population validation bias</w:t>
      </w:r>
    </w:p>
    <w:p w:rsidR="00000000" w:rsidDel="00000000" w:rsidP="00000000" w:rsidRDefault="00000000" w:rsidRPr="00000000" w14:paraId="0000004F">
      <w:pPr>
        <w:ind w:left="80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Postprocessed for proper calibration using Platt scaling/isotonic regression; reported together with Accuracy, F1, ROC-AUC as well as with the calibration plot and Brier score</w:t>
      </w:r>
    </w:p>
    <w:p w:rsidR="00000000" w:rsidDel="00000000" w:rsidP="00000000" w:rsidRDefault="00000000" w:rsidRPr="00000000" w14:paraId="00000050">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itr9xko9uy55" w:id="7"/>
      <w:bookmarkEnd w:id="7"/>
      <w:r w:rsidDel="00000000" w:rsidR="00000000" w:rsidRPr="00000000">
        <w:rPr>
          <w:rFonts w:ascii="Times New Roman" w:cs="Times New Roman" w:eastAsia="Times New Roman" w:hAnsi="Times New Roman"/>
          <w:b w:val="1"/>
          <w:bCs w:val="1"/>
          <w:color w:val="000000"/>
          <w:sz w:val="26"/>
          <w:szCs w:val="26"/>
          <w:rtl w:val="0"/>
        </w:rPr>
        <w:t xml:space="preserve">5.2 Explainability (SHAP)</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 determines which input features contributed most to a particular prediction of the current state, thus providing an interpretation at the level of features of the “current state” of the twin prior to intervention.</w:t>
      </w:r>
    </w:p>
    <w:p w:rsidR="00000000" w:rsidDel="00000000" w:rsidP="00000000" w:rsidRDefault="00000000" w:rsidRPr="00000000" w14:paraId="00000052">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qiu109ire880" w:id="8"/>
      <w:bookmarkEnd w:id="8"/>
      <w:r w:rsidDel="00000000" w:rsidR="00000000" w:rsidRPr="00000000">
        <w:rPr>
          <w:rFonts w:ascii="Times New Roman" w:cs="Times New Roman" w:eastAsia="Times New Roman" w:hAnsi="Times New Roman"/>
          <w:b w:val="1"/>
          <w:bCs w:val="1"/>
          <w:color w:val="000000"/>
          <w:sz w:val="26"/>
          <w:szCs w:val="26"/>
          <w:rtl w:val="0"/>
        </w:rPr>
        <w:t xml:space="preserve">5.3 Causal knowledge graph</w:t>
      </w:r>
    </w:p>
    <w:p w:rsidR="00000000" w:rsidDel="00000000" w:rsidP="00000000" w:rsidRDefault="00000000" w:rsidRPr="00000000" w14:paraId="00000053">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directed graph containing only a handful of hand-crafted relationships (~10-15), representing the well-known causal directionality of MASLD biology — for example, dietary/insulin resistance -&gt; fat deposition in the liver -&gt; consequent ALT/AST increase. This will limit the types of mutations that can be scored in Layer 3 to those that are plausibly causal within the scope of the problem definition, and ensure that the health objective does not try to act on a downstream consequence.</w:t>
      </w:r>
    </w:p>
    <w:p w:rsidR="00000000" w:rsidDel="00000000" w:rsidP="00000000" w:rsidRDefault="00000000" w:rsidRPr="00000000" w14:paraId="0000005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yf9y35593kg" w:id="9"/>
      <w:bookmarkEnd w:id="9"/>
      <w:r w:rsidDel="00000000" w:rsidR="00000000" w:rsidRPr="00000000">
        <w:rPr>
          <w:rFonts w:ascii="Times New Roman" w:cs="Times New Roman" w:eastAsia="Times New Roman" w:hAnsi="Times New Roman"/>
          <w:b w:val="1"/>
          <w:bCs w:val="1"/>
          <w:sz w:val="30"/>
          <w:szCs w:val="30"/>
          <w:rtl w:val="0"/>
        </w:rPr>
        <w:t xml:space="preserve">6. Layer 3 — Intervention Evidence Engine</w:t>
      </w:r>
      <w:r w:rsidDel="00000000" w:rsidR="00000000" w:rsidRPr="00000000">
        <w:rPr>
          <w:rtl w:val="0"/>
        </w:rPr>
      </w:r>
    </w:p>
    <w:p w:rsidR="00000000" w:rsidDel="00000000" w:rsidP="00000000" w:rsidRDefault="00000000" w:rsidRPr="00000000" w14:paraId="00000055">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Every intervention effect used by the ranking engine is pulled from a named clinical trial or meta-analysis, with an explicit evidence-strength label. The current table has 17 rows, each with an evidence ID cited by the rules; a selection is shown:</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80"/>
        <w:gridCol w:w="2295"/>
        <w:gridCol w:w="2025"/>
        <w:gridCol w:w="1320"/>
        <w:tblGridChange w:id="0">
          <w:tblGrid>
            <w:gridCol w:w="1500"/>
            <w:gridCol w:w="1680"/>
            <w:gridCol w:w="2295"/>
            <w:gridCol w:w="2025"/>
            <w:gridCol w:w="1320"/>
          </w:tblGrid>
        </w:tblGridChange>
      </w:tblGrid>
      <w:tr>
        <w:trPr>
          <w:cantSplit w:val="0"/>
          <w:trHeight w:val="58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Intervention</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Outcome measured</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Reported effect</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Source</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Evidence strength</w:t>
            </w:r>
          </w:p>
        </w:tc>
      </w:tr>
      <w:tr>
        <w:trPr>
          <w:cantSplit w:val="0"/>
          <w:trHeight w:val="1020" w:hRule="atLeast"/>
          <w:tblHeader w:val="0"/>
        </w:trPr>
        <w:tc>
          <w:tcPr>
            <w:tcBorders>
              <w:top w:color="000000" w:space="0" w:sz="0" w:val="nil"/>
              <w:left w:color="b7b7b7" w:space="0" w:sz="5" w:val="single"/>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Weight loss ≥5% of body weight</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Hepatic steatosis (biopsy)</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Reduction in steatosis observed at this threshold; dose-response with further loss</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Vilar-Gomez et al., Gastroenterology, 2015</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Strong (n=293, biopsy-paired)</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Weight loss 7–10%</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Liver inflammation / NASH activity</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Improvement in NAFLD Activity Score at this threshold</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Vilar-Gomez et al., Gastroenterology, 2015</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Strong (n=293, biopsy-paired)</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5">
            <w:pPr>
              <w:spacing w:after="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Weight loss ≥10%</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6">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NASH resolution / fibrosis</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90% NASH resolution and dose-dependent fibrosis regression at this threshold</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Vilar-Gomez et al., Gastroenterology, 2015</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Strong (n=293, biopsy-paired)</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Mediterranean diet vs. control</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AST, GGT</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Small but statistically significant reduction</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Sangouni et al., Br J Nutr, meta-analysis of 10 RCTs, 2022</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6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Moderate (meta-analysis, n=705)</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6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Mediterranean diet vs. control</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7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7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statistically significant effect; CI crosses zero</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7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Sangouni et al., Br J Nutr, meta-analysis of 10 RCTs, 2022</w:t>
            </w:r>
          </w:p>
        </w:tc>
        <w:tc>
          <w:tcPr>
            <w:tcBorders>
              <w:top w:color="000000" w:space="0" w:sz="0" w:val="nil"/>
              <w:left w:color="000000" w:space="0" w:sz="0" w:val="nil"/>
              <w:bottom w:color="b7b7b7" w:space="0" w:sz="5" w:val="single"/>
              <w:right w:color="b7b7b7"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7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Weak / inconclusive</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Mediterranean diet vs. low-fat diet</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5">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Liver enzymes, liver fat</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6">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significant difference between the two diets</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Xiong et al., Food Funct, 2024 (PubMed 39076035)</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Moderate (meta-analysis)</w:t>
            </w:r>
          </w:p>
        </w:tc>
      </w:tr>
      <w:tr>
        <w:trPr>
          <w:cantSplit w:val="0"/>
          <w:trHeight w:val="1020" w:hRule="atLeast"/>
          <w:tblHeader w:val="0"/>
        </w:trPr>
        <w:tc>
          <w:tcPr>
            <w:tcBorders>
              <w:top w:color="000000" w:space="0" w:sz="0" w:val="nil"/>
              <w:left w:color="b7b7b7" w:space="0" w:sz="5" w:val="single"/>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Structured exercise (independent of weight loss)</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Liver fat content</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Meaningful reduction reported vs. control</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Stine et al., Am J Gastroenterol, 2023; 14 RCTs, n=551</w:t>
            </w:r>
          </w:p>
        </w:tc>
        <w:tc>
          <w:tcPr>
            <w:tcBorders>
              <w:top w:color="000000" w:space="0" w:sz="0" w:val="nil"/>
              <w:left w:color="000000" w:space="0" w:sz="0" w:val="nil"/>
              <w:bottom w:color="b7b7b7" w:space="0" w:sz="5" w:val="single"/>
              <w:right w:color="b7b7b7" w:space="0" w:sz="5" w:val="single"/>
            </w:tcBorders>
            <w:shd w:fill="e2efda" w:val="clear"/>
            <w:tcMar>
              <w:top w:w="80.0" w:type="dxa"/>
              <w:left w:w="120.0" w:type="dxa"/>
              <w:bottom w:w="80.0" w:type="dxa"/>
              <w:right w:w="120.0" w:type="dxa"/>
            </w:tcMar>
            <w:vAlign w:val="top"/>
          </w:tcPr>
          <w:p w:rsidR="00000000" w:rsidDel="00000000" w:rsidP="00000000" w:rsidRDefault="00000000" w:rsidRPr="00000000" w14:paraId="0000007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Moderate (meta-analysis)</w:t>
            </w:r>
          </w:p>
        </w:tc>
      </w:tr>
    </w:tbl>
    <w:p w:rsidR="00000000" w:rsidDel="00000000" w:rsidP="00000000" w:rsidRDefault="00000000" w:rsidRPr="00000000" w14:paraId="0000007E">
      <w:pPr>
        <w:spacing w:after="160" w:line="268.8"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Effect directions are cross-checked against AASLD practice guidance and the EASL-EASD-EASO MASLD guidelines, the current clinical reference standard.</w:t>
      </w:r>
    </w:p>
    <w:p w:rsidR="00000000" w:rsidDel="00000000" w:rsidP="00000000" w:rsidRDefault="00000000" w:rsidRPr="00000000" w14:paraId="0000007F">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4utxamny6bep" w:id="10"/>
      <w:bookmarkEnd w:id="10"/>
      <w:r w:rsidDel="00000000" w:rsidR="00000000" w:rsidRPr="00000000">
        <w:rPr>
          <w:rFonts w:ascii="Times New Roman" w:cs="Times New Roman" w:eastAsia="Times New Roman" w:hAnsi="Times New Roman"/>
          <w:b w:val="1"/>
          <w:bCs w:val="1"/>
          <w:color w:val="000000"/>
          <w:sz w:val="26"/>
          <w:szCs w:val="26"/>
          <w:rtl w:val="0"/>
        </w:rPr>
        <w:t xml:space="preserve">Evidence strength system</w:t>
      </w:r>
    </w:p>
    <w:p w:rsidR="00000000" w:rsidDel="00000000" w:rsidP="00000000" w:rsidRDefault="00000000" w:rsidRPr="00000000" w14:paraId="00000080">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STRONG — biopsy-paired or large-RCT evidence, dose-response established</w:t>
      </w:r>
    </w:p>
    <w:p w:rsidR="00000000" w:rsidDel="00000000" w:rsidP="00000000" w:rsidRDefault="00000000" w:rsidRPr="00000000" w14:paraId="00000081">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MODERATE — meta-analysis or single well-powered RCT</w:t>
      </w:r>
    </w:p>
    <w:p w:rsidR="00000000" w:rsidDel="00000000" w:rsidP="00000000" w:rsidRDefault="00000000" w:rsidRPr="00000000" w14:paraId="00000082">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WEAK / INCONCLUSIVE — evidence exists but the effect is not statistically significant, or CIs cross zero</w:t>
      </w:r>
    </w:p>
    <w:p w:rsidR="00000000" w:rsidDel="00000000" w:rsidP="00000000" w:rsidRDefault="00000000" w:rsidRPr="00000000" w14:paraId="00000083">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INSUFFICIENT — no adequate evidence for this specific recipe; the ranking engine excludes or flags it rather than guessing</w:t>
      </w:r>
    </w:p>
    <w:p w:rsidR="00000000" w:rsidDel="00000000" w:rsidP="00000000" w:rsidRDefault="00000000" w:rsidRPr="00000000" w14:paraId="00000083">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GUIDELINE RECOMMENDATION — advice from a current clinical practice guideline (EASL-EASD-EASO 2024), used for its direction only and never converted into an effect size</w:t>
      </w:r>
    </w:p>
    <w:p w:rsidR="00000000" w:rsidDel="00000000" w:rsidP="00000000" w:rsidRDefault="00000000" w:rsidRPr="00000000" w14:paraId="00000084">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u1jv7ag7v7j4" w:id="11"/>
      <w:bookmarkEnd w:id="11"/>
      <w:r w:rsidDel="00000000" w:rsidR="00000000" w:rsidRPr="00000000">
        <w:rPr>
          <w:rFonts w:ascii="Times New Roman" w:cs="Times New Roman" w:eastAsia="Times New Roman" w:hAnsi="Times New Roman"/>
          <w:b w:val="1"/>
          <w:bCs w:val="1"/>
          <w:color w:val="000000"/>
          <w:sz w:val="26"/>
          <w:szCs w:val="26"/>
          <w:rtl w:val="0"/>
        </w:rPr>
        <w:t xml:space="preserve">6.1 Evidence Granularity and Intervention Mapping</w:t>
      </w:r>
    </w:p>
    <w:p w:rsidR="00000000" w:rsidDel="00000000" w:rsidP="00000000" w:rsidRDefault="00000000" w:rsidRPr="00000000" w14:paraId="00000085">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clinical data is generally documented on the level of threshold for weight loss or diets, but not at the level of an individual recipe. The framework does not assume any extrapolation of a dietary pattern effect to a single recipe, and instead determines which of the intervention categories is associated with a given recipe's nutritional profile, treating a recipe that cannot be mapped to any evidenced category as INSUFFICIENT. The most similar literature is related to identifying food ingredient substitutions using a knowledge graph of food (PMC 2021) and a survey on food ingredient substitutions (arXiv 2025).</w:t>
      </w:r>
    </w:p>
    <w:p w:rsidR="00000000" w:rsidDel="00000000" w:rsidP="00000000" w:rsidRDefault="00000000" w:rsidRPr="00000000" w14:paraId="00000086">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bcwx3tyit4sl" w:id="12"/>
      <w:bookmarkEnd w:id="12"/>
      <w:r w:rsidDel="00000000" w:rsidR="00000000" w:rsidRPr="00000000">
        <w:rPr>
          <w:rFonts w:ascii="Times New Roman" w:cs="Times New Roman" w:eastAsia="Times New Roman" w:hAnsi="Times New Roman"/>
          <w:b w:val="1"/>
          <w:bCs w:val="1"/>
          <w:sz w:val="30"/>
          <w:szCs w:val="30"/>
          <w:rtl w:val="0"/>
        </w:rPr>
        <w:t xml:space="preserve">7. Layer 4 — Recipe Evaluation and Ranking Engine (NutriTwin, Core Research Contribution)</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patient's condition at Layer 2 and the nutritional objectives derived from Layer 3, evaluate and rank candidate recipes from RecipeDB that would enhance the health relevance predictions while remaining culturally and practically appropriate for the patient</w:t>
      </w:r>
    </w:p>
    <w:p w:rsidR="00000000" w:rsidDel="00000000" w:rsidP="00000000" w:rsidRDefault="00000000" w:rsidRPr="00000000" w14:paraId="00000088">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lrv6yqwrbw8s" w:id="13"/>
      <w:bookmarkEnd w:id="13"/>
      <w:r w:rsidDel="00000000" w:rsidR="00000000" w:rsidRPr="00000000">
        <w:rPr>
          <w:rFonts w:ascii="Times New Roman" w:cs="Times New Roman" w:eastAsia="Times New Roman" w:hAnsi="Times New Roman"/>
          <w:b w:val="1"/>
          <w:bCs w:val="1"/>
          <w:color w:val="000000"/>
          <w:sz w:val="26"/>
          <w:szCs w:val="26"/>
          <w:rtl w:val="0"/>
        </w:rPr>
        <w:t xml:space="preserve">7.1 Evaluation Criteria</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4500"/>
        <w:gridCol w:w="2475"/>
        <w:tblGridChange w:id="0">
          <w:tblGrid>
            <w:gridCol w:w="1860"/>
            <w:gridCol w:w="4500"/>
            <w:gridCol w:w="2475"/>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Criterion</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Information Source</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Goal</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8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Health relevance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8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Layer 3 evidence-graded effect sizes from clinical trials, meta-analyses and guidelines</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8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Higher is better</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8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Cuisine compatibility</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Ingredient co-occurrence frequency within the recipe's cuisine cluster in RecipeDB</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Prefer recipes compatible with the patient's dietary/cultural context</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Cooking feasibility</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Predicted prep-time and skill shift, from RecipeDB process/utensil metadata</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Prefer recipes within practical constraints</w:t>
            </w:r>
          </w:p>
        </w:tc>
      </w:tr>
    </w:tbl>
    <w:p w:rsidR="00000000" w:rsidDel="00000000" w:rsidP="00000000" w:rsidRDefault="00000000" w:rsidRPr="00000000" w14:paraId="00000095">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rel9i2u4x25e" w:id="14"/>
      <w:bookmarkEnd w:id="14"/>
      <w:r w:rsidDel="00000000" w:rsidR="00000000" w:rsidRPr="00000000">
        <w:rPr>
          <w:rFonts w:ascii="Times New Roman" w:cs="Times New Roman" w:eastAsia="Times New Roman" w:hAnsi="Times New Roman"/>
          <w:b w:val="1"/>
          <w:bCs w:val="1"/>
          <w:color w:val="000000"/>
          <w:sz w:val="26"/>
          <w:szCs w:val="26"/>
          <w:rtl w:val="0"/>
        </w:rPr>
        <w:t xml:space="preserve">7.2 Recipe Scoring and Ranking</w:t>
      </w:r>
    </w:p>
    <w:p w:rsidR="00000000" w:rsidDel="00000000" w:rsidP="00000000" w:rsidRDefault="00000000" w:rsidRPr="00000000" w14:paraId="00000096">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Scoring criteria: </w:t>
      </w:r>
      <w:r w:rsidDel="00000000" w:rsidR="00000000" w:rsidRPr="00000000">
        <w:rPr>
          <w:rFonts w:ascii="Times New Roman" w:cs="Times New Roman" w:eastAsia="Times New Roman" w:hAnsi="Times New Roman"/>
          <w:rtl w:val="0"/>
        </w:rPr>
        <w:t xml:space="preserve">Each candidate recipe is evaluated using a set of evidence-based criteria. A health relevance score is calculated from the nutritional characteristics of the recipe and its relationship to evidence-supported dietary interventions for MASLD. Cuisine compatibility measures how well the recipe matches the patient's dietary or cultural context. Cooking feasibility considers practical factors such as preparation time, cooking process, ingredients, and required utensils.</w:t>
      </w:r>
    </w:p>
    <w:p w:rsidR="00000000" w:rsidDel="00000000" w:rsidP="00000000" w:rsidRDefault="00000000" w:rsidRPr="00000000" w14:paraId="00000097">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Implementation: </w:t>
      </w:r>
      <w:r w:rsidDel="00000000" w:rsidR="00000000" w:rsidRPr="00000000">
        <w:rPr>
          <w:rFonts w:ascii="Times New Roman" w:cs="Times New Roman" w:eastAsia="Times New Roman" w:hAnsi="Times New Roman"/>
          <w:rtl w:val="0"/>
        </w:rPr>
        <w:t>These criteria are normalized and combined using a transparent multi-criteria scoring framework with weights explicitly defined and reported (health 0.6, cuisine compatibility 0.2, cooking feasibility 0.2). A health gate is applied by default: recipes that meet every evidence-based nutritional reference are ranked ahead of those that do not, so a high cuisine or feasibility score cannot compensate for a weak health profile. Among recipes that meet every reference, half of the health score reflects how far a recipe goes beyond the references on the patient’s higher-priority criteria, so the patient’s priority levels continue to shape the ranking. Within each group, recipes are ordered by their overall weighted score, and a sensitivity analysis examines how changes in the criterion weights affect the ranking. The system returns the highest-ranked recipes together with the individual criterion scores so that the recommendation remains interpretable.</w:t>
      </w:r>
    </w:p>
    <w:p w:rsidR="00000000" w:rsidDel="00000000" w:rsidP="00000000" w:rsidRDefault="00000000" w:rsidRPr="00000000" w14:paraId="00000098">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wwal1p7b0t1d" w:id="15"/>
      <w:bookmarkEnd w:id="15"/>
      <w:r w:rsidDel="00000000" w:rsidR="00000000" w:rsidRPr="00000000">
        <w:rPr>
          <w:rFonts w:ascii="Times New Roman" w:cs="Times New Roman" w:eastAsia="Times New Roman" w:hAnsi="Times New Roman"/>
          <w:b w:val="1"/>
          <w:bCs w:val="1"/>
          <w:color w:val="000000"/>
          <w:sz w:val="26"/>
          <w:szCs w:val="26"/>
          <w:rtl w:val="0"/>
        </w:rPr>
        <w:t xml:space="preserve">7.3 Explanation</w:t>
      </w:r>
    </w:p>
    <w:p w:rsidR="00000000" w:rsidDel="00000000" w:rsidP="00000000" w:rsidRDefault="00000000" w:rsidRPr="00000000" w14:paraId="00000099">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Each recommended recipe is validated by working back through the knowledge graph to the evidence-table rows and strength of evidence that support it, and the cuisine/process context that kept it appropriate for the patient.</w:t>
      </w:r>
    </w:p>
    <w:p w:rsidR="00000000" w:rsidDel="00000000" w:rsidP="00000000" w:rsidRDefault="00000000" w:rsidRPr="00000000" w14:paraId="0000009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by5klkpxf7g" w:id="16"/>
      <w:bookmarkEnd w:id="16"/>
      <w:r w:rsidDel="00000000" w:rsidR="00000000" w:rsidRPr="00000000">
        <w:rPr>
          <w:rFonts w:ascii="Times New Roman" w:cs="Times New Roman" w:eastAsia="Times New Roman" w:hAnsi="Times New Roman"/>
          <w:b w:val="1"/>
          <w:bCs w:val="1"/>
          <w:sz w:val="30"/>
          <w:szCs w:val="30"/>
          <w:rtl w:val="0"/>
        </w:rPr>
        <w:t xml:space="preserve">8. Layer 5 — Scenario Engine</w:t>
      </w:r>
      <w:r w:rsidDel="00000000" w:rsidR="00000000" w:rsidRPr="00000000">
        <w:rPr>
          <w:rtl w:val="0"/>
        </w:rPr>
      </w:r>
    </w:p>
    <w:p w:rsidR="00000000" w:rsidDel="00000000" w:rsidP="00000000" w:rsidRDefault="00000000" w:rsidRPr="00000000" w14:paraId="0000009B">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patient (or physician) can compare “if I choose Recipe A” versus “if I choose Recipe B,” both based on Layer-3 evidence, not querying the Layer-2 engine.</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180"/>
        <w:tblGridChange w:id="0">
          <w:tblGrid>
            <w:gridCol w:w="2655"/>
            <w:gridCol w:w="6180"/>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Scenario</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Reported as</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Current state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9F">
            <w:pPr>
              <w:spacing w:after="40" w:lineRule="auto"/>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Calibrated model probability from Layer 2, e.g. “68% predicted probability of grade ≥S1, 95% bootstrap interval (§17.4)”</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A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Scenario A — max health</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A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“Strong evidence of improvement; larger shift from the patient's usual recipes” — evidence: STRONG</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A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Scenario B — closer to usual recipes</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A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“Moderate evidence of improvement; closer to the patient's usual recipes” — evidence: MODERATE</w:t>
            </w:r>
          </w:p>
        </w:tc>
      </w:tr>
      <w:tr>
        <w:trPr>
          <w:cantSplit w:val="0"/>
          <w:trHeight w:val="4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A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Untabulated intervention</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A5">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“Insufficient evidence in current table to simulate this scenario”</w:t>
            </w:r>
          </w:p>
        </w:tc>
      </w:tr>
    </w:tbl>
    <w:p w:rsidR="00000000" w:rsidDel="00000000" w:rsidP="00000000" w:rsidRDefault="00000000" w:rsidRPr="00000000" w14:paraId="000000A6">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remains an evidence-graded simulated projection, not a clinical forecast - no scenario is ever shown as a bare, model-invented percentage.</w:t>
      </w:r>
    </w:p>
    <w:p w:rsidR="00000000" w:rsidDel="00000000" w:rsidP="00000000" w:rsidRDefault="00000000" w:rsidRPr="00000000" w14:paraId="000000A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mg1487zw0i" w:id="17"/>
      <w:bookmarkEnd w:id="17"/>
      <w:r w:rsidDel="00000000" w:rsidR="00000000" w:rsidRPr="00000000">
        <w:rPr>
          <w:rFonts w:ascii="Times New Roman" w:cs="Times New Roman" w:eastAsia="Times New Roman" w:hAnsi="Times New Roman"/>
          <w:b w:val="1"/>
          <w:bCs w:val="1"/>
          <w:sz w:val="30"/>
          <w:szCs w:val="30"/>
          <w:rtl w:val="0"/>
        </w:rPr>
        <w:t xml:space="preserve">9. Layer 6 — Digital Twin Visualization</w:t>
      </w:r>
      <w:r w:rsidDel="00000000" w:rsidR="00000000" w:rsidRPr="00000000">
        <w:rPr>
          <w:rtl w:val="0"/>
        </w:rPr>
      </w:r>
    </w:p>
    <w:p w:rsidR="00000000" w:rsidDel="00000000" w:rsidP="00000000" w:rsidRDefault="00000000" w:rsidRPr="00000000" w14:paraId="000000A8">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Purposefully kept simple: the freely available pre-made 3D liver mesh (without creating a new one) where the colour of the material depends on the steatosis state and not on time required for modeling the anatomy.</w:t>
      </w:r>
    </w:p>
    <w:p w:rsidR="00000000" w:rsidDel="00000000" w:rsidP="00000000" w:rsidRDefault="00000000" w:rsidRPr="00000000" w14:paraId="000000A9">
      <w:pPr>
        <w:spacing w:after="16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Colour-coding for the state of liver: Normal (S0) – MILD (S1) – MODERATE (S2) – SEVERE (S3)</w:t>
      </w:r>
    </w:p>
    <w:p w:rsidR="00000000" w:rsidDel="00000000" w:rsidP="00000000" w:rsidRDefault="00000000" w:rsidRPr="00000000" w14:paraId="000000AA">
      <w:pPr>
        <w:spacing w:after="16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Timeline slider: TODAY – 3 MONTHS – 6 MONTHS – 1 YEAR demonstrating the Layer-5 evidence-based direction under a chosen scenario</w:t>
      </w:r>
    </w:p>
    <w:p w:rsidR="00000000" w:rsidDel="00000000" w:rsidP="00000000" w:rsidRDefault="00000000" w:rsidRPr="00000000" w14:paraId="000000AB">
      <w:pPr>
        <w:spacing w:after="16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Clear labeling on screen “simulated projection, not clinical forecast” for all views of future states</w:t>
      </w:r>
    </w:p>
    <w:p w:rsidR="00000000" w:rsidDel="00000000" w:rsidP="00000000" w:rsidRDefault="00000000" w:rsidRPr="00000000" w14:paraId="000000AC">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visualization is not the digital twin but just one of its interfaces (§1.1). It could be made even more simple in case of tight schedule without affecting the existence of the digital twin.</w:t>
      </w:r>
    </w:p>
    <w:p w:rsidR="00000000" w:rsidDel="00000000" w:rsidP="00000000" w:rsidRDefault="00000000" w:rsidRPr="00000000" w14:paraId="000000A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74vpvr6c9u3" w:id="18"/>
      <w:bookmarkEnd w:id="18"/>
      <w:r w:rsidDel="00000000" w:rsidR="00000000" w:rsidRPr="00000000">
        <w:rPr>
          <w:rFonts w:ascii="Times New Roman" w:cs="Times New Roman" w:eastAsia="Times New Roman" w:hAnsi="Times New Roman"/>
          <w:b w:val="1"/>
          <w:bCs w:val="1"/>
          <w:sz w:val="30"/>
          <w:szCs w:val="30"/>
          <w:rtl w:val="0"/>
        </w:rPr>
        <w:t xml:space="preserve">10. Layer 7 — Explainable Dashboard</w:t>
      </w:r>
      <w:r w:rsidDel="00000000" w:rsidR="00000000" w:rsidRPr="00000000">
        <w:rPr>
          <w:rtl w:val="0"/>
        </w:rPr>
      </w:r>
    </w:p>
    <w:p w:rsidR="00000000" w:rsidDel="00000000" w:rsidP="00000000" w:rsidRDefault="00000000" w:rsidRPr="00000000" w14:paraId="000000AE">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View the patient's current dietary choices alongside recommended existing recipes</w:t>
      </w:r>
    </w:p>
    <w:p w:rsidR="00000000" w:rsidDel="00000000" w:rsidP="00000000" w:rsidRDefault="00000000" w:rsidRPr="00000000" w14:paraId="000000AF">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Compare top-ranked recipes side by side, each with health/cuisine/feasibility scores and evidence-strength labels</w:t>
      </w:r>
    </w:p>
    <w:p w:rsidR="00000000" w:rsidDel="00000000" w:rsidP="00000000" w:rsidRDefault="00000000" w:rsidRPr="00000000" w14:paraId="000000B0">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Explore the twin's visualization and timeline for a selected scenario</w:t>
      </w:r>
    </w:p>
    <w:p w:rsidR="00000000" w:rsidDel="00000000" w:rsidP="00000000" w:rsidRDefault="00000000" w:rsidRPr="00000000" w14:paraId="000000B1">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Read the knowledge-graph-traced explanation for every recommended recipe</w:t>
      </w:r>
    </w:p>
    <w:p w:rsidR="00000000" w:rsidDel="00000000" w:rsidP="00000000" w:rsidRDefault="00000000" w:rsidRPr="00000000" w14:paraId="000000B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02debwhu074" w:id="19"/>
      <w:bookmarkEnd w:id="19"/>
      <w:r w:rsidDel="00000000" w:rsidR="00000000" w:rsidRPr="00000000">
        <w:rPr>
          <w:rFonts w:ascii="Times New Roman" w:cs="Times New Roman" w:eastAsia="Times New Roman" w:hAnsi="Times New Roman"/>
          <w:b w:val="1"/>
          <w:bCs w:val="1"/>
          <w:sz w:val="30"/>
          <w:szCs w:val="30"/>
          <w:rtl w:val="0"/>
        </w:rPr>
        <w:t xml:space="preserve">11. Integrated Pipeline</w:t>
      </w:r>
      <w:r w:rsidDel="00000000" w:rsidR="00000000" w:rsidRPr="00000000">
        <w:rPr>
          <w:rtl w:val="0"/>
        </w:rPr>
      </w:r>
    </w:p>
    <w:p w:rsidR="00000000" w:rsidDel="00000000" w:rsidP="00000000" w:rsidRDefault="00000000" w:rsidRPr="00000000" w14:paraId="000000B3">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1: Collection &amp; Pre-processing of Patient Data (Layer 1)</w:t>
      </w:r>
    </w:p>
    <w:p w:rsidR="00000000" w:rsidDel="00000000" w:rsidP="00000000" w:rsidRDefault="00000000" w:rsidRPr="00000000" w14:paraId="000000B4">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2: Steatosis/MASLD risk prediction, calibration &amp; SHAP (Layer 2)</w:t>
      </w:r>
    </w:p>
    <w:p w:rsidR="00000000" w:rsidDel="00000000" w:rsidP="00000000" w:rsidRDefault="00000000" w:rsidRPr="00000000" w14:paraId="000000B5">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3: Evidence-based dietary objectives (Layer 3)</w:t>
      </w:r>
    </w:p>
    <w:p w:rsidR="00000000" w:rsidDel="00000000" w:rsidP="00000000" w:rsidRDefault="00000000" w:rsidRPr="00000000" w14:paraId="000000B6">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4: Recipe evaluation and ranking (Layer 4)</w:t>
      </w:r>
    </w:p>
    <w:p w:rsidR="00000000" w:rsidDel="00000000" w:rsidP="00000000" w:rsidRDefault="00000000" w:rsidRPr="00000000" w14:paraId="000000B7">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5: Scenario comparison (Layer 5)</w:t>
      </w:r>
    </w:p>
    <w:p w:rsidR="00000000" w:rsidDel="00000000" w:rsidP="00000000" w:rsidRDefault="00000000" w:rsidRPr="00000000" w14:paraId="000000B8">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6: Visualization (Layer 6)</w:t>
      </w:r>
    </w:p>
    <w:p w:rsidR="00000000" w:rsidDel="00000000" w:rsidP="00000000" w:rsidRDefault="00000000" w:rsidRPr="00000000" w14:paraId="000000B9">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Step 7: Explainable dashboard (Layer 7)</w:t>
      </w:r>
    </w:p>
    <w:p w:rsidR="00000000" w:rsidDel="00000000" w:rsidP="00000000" w:rsidRDefault="00000000" w:rsidRPr="00000000" w14:paraId="000000B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blbrlgihcdy" w:id="20"/>
      <w:bookmarkEnd w:id="20"/>
      <w:r w:rsidDel="00000000" w:rsidR="00000000" w:rsidRPr="00000000">
        <w:rPr>
          <w:rFonts w:ascii="Times New Roman" w:cs="Times New Roman" w:eastAsia="Times New Roman" w:hAnsi="Times New Roman"/>
          <w:b w:val="1"/>
          <w:bCs w:val="1"/>
          <w:sz w:val="30"/>
          <w:szCs w:val="30"/>
          <w:rtl w:val="0"/>
        </w:rPr>
        <w:t xml:space="preserve">12. Evaluation Plan</w:t>
      </w:r>
      <w:r w:rsidDel="00000000" w:rsidR="00000000" w:rsidRPr="00000000">
        <w:rPr>
          <w:rtl w:val="0"/>
        </w:rPr>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val="1"/>
          <w:bCs w:val="1"/>
          <w:color w:val="000000"/>
          <w:sz w:val="26"/>
          <w:szCs w:val="26"/>
          <w:rtl w:val="0"/>
        </w:rPr>
        <w:t xml:space="preserve">12.1 Digital twin state model (Layer 2)</w:t>
      </w:r>
    </w:p>
    <w:p w:rsidR="00000000" w:rsidDel="00000000" w:rsidP="00000000" w:rsidRDefault="00000000" w:rsidRPr="00000000" w14:paraId="000000B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Held-out test split from a single cohort; calibration curve, Brier score, Accuracy/F1/ROC-AUC</w:t>
      </w:r>
    </w:p>
    <w:p w:rsidR="00000000" w:rsidDel="00000000" w:rsidP="00000000" w:rsidRDefault="00000000" w:rsidRPr="00000000" w14:paraId="000000B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Benchmark against established clinical scores: for CAP ≥ 248 dB/m the calibrated model reached an ROC-AUC of 0.860, compared with 0.842 for the Fatty Liver Index (Bedogni et al., 2006) and 0.813 for the Hepatic Steatosis Index (Lee et al., 2010) on the same test participants (Appendix A).</w:t>
      </w:r>
    </w:p>
    <w:p w:rsidR="00000000" w:rsidDel="00000000" w:rsidP="00000000" w:rsidRDefault="00000000" w:rsidRPr="00000000" w14:paraId="000000BD">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eqg31miapaz9" w:id="22"/>
      <w:bookmarkEnd w:id="22"/>
      <w:r w:rsidDel="00000000" w:rsidR="00000000" w:rsidRPr="00000000">
        <w:rPr>
          <w:rFonts w:ascii="Times New Roman" w:cs="Times New Roman" w:eastAsia="Times New Roman" w:hAnsi="Times New Roman"/>
          <w:b w:val="1"/>
          <w:bCs w:val="1"/>
          <w:color w:val="000000"/>
          <w:sz w:val="26"/>
          <w:szCs w:val="26"/>
          <w:rtl w:val="0"/>
        </w:rPr>
        <w:t xml:space="preserve">12.2 Recipe evaluation and ranking engine (Layer 4)</w:t>
      </w:r>
    </w:p>
    <w:p w:rsidR="00000000" w:rsidDel="00000000" w:rsidP="00000000" w:rsidRDefault="00000000" w:rsidRPr="00000000" w14:paraId="000000BE">
      <w:pPr>
        <w:ind w:left="640" w:hanging="24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The ranking engine was evaluated on 300 held-out test patients by the share of top-10 recipes that meet all three criteria: every evidence-based nutritional reference for the patient (energy, saturated fat, sugars and fibre), the patient’s cuisine preference, and practical limits of 60 minutes, 15 ingredients and 12 steps. The default health-gated ranking reached 0.80, and was the only method whose recommended recipes always met the nutritional references; weighted scoring alone reached 0.75, health-score-only and nutrition-only rankings 0.02, and random candidate selection 0.003. Because NHANES does not record cuisine preferences, these were simulated (Appendix B).</w:t>
      </w:r>
    </w:p>
    <w:p w:rsidR="00000000" w:rsidDel="00000000" w:rsidP="00000000" w:rsidRDefault="00000000" w:rsidRPr="00000000" w14:paraId="000000BF">
      <w:pPr>
        <w:ind w:left="640" w:hanging="24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A sensitivity analysis over 36 weight combinations found a median top-10 overlap of 0.77 with the default ranking; overlap fell most when the cuisine weight was reduced to 0.1.</w:t>
      </w:r>
    </w:p>
    <w:p w:rsidR="00000000" w:rsidDel="00000000" w:rsidP="00000000" w:rsidRDefault="00000000" w:rsidRPr="00000000" w14:paraId="000000C1">
      <w:pPr>
        <w:ind w:left="640" w:hanging="24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Finally, where feasible, a small qualitative expert or pilot evaluation may assess whether recommended recipes appear reasonable and appropriate for their intended cuisine and practical context</w:t>
      </w:r>
    </w:p>
    <w:p w:rsidR="00000000" w:rsidDel="00000000" w:rsidP="00000000" w:rsidRDefault="00000000" w:rsidRPr="00000000" w14:paraId="000000C2">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8q3zc2h6jmaj" w:id="23"/>
      <w:bookmarkEnd w:id="23"/>
      <w:r w:rsidDel="00000000" w:rsidR="00000000" w:rsidRPr="00000000">
        <w:rPr>
          <w:rFonts w:ascii="Times New Roman" w:cs="Times New Roman" w:eastAsia="Times New Roman" w:hAnsi="Times New Roman"/>
          <w:b w:val="1"/>
          <w:bCs w:val="1"/>
          <w:color w:val="000000"/>
          <w:sz w:val="26"/>
          <w:szCs w:val="26"/>
          <w:rtl w:val="0"/>
        </w:rPr>
        <w:t xml:space="preserve">12.3 Twin trajectories</w:t>
      </w:r>
    </w:p>
    <w:p w:rsidR="00000000" w:rsidDel="00000000" w:rsidP="00000000" w:rsidRDefault="00000000" w:rsidRPr="00000000" w14:paraId="000000C3">
      <w:pPr>
        <w:spacing w:after="160" w:line="26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evaluated against real longitudinal outcomes in this project — see the scope note in §1.1. Twin trajectories are reported strictly as evidence-graded simulated projections.</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12.4 Evaluation of the extensions (§17)</w:t>
      </w:r>
    </w:p>
    <w:p w:rsidR="00000000" w:rsidDel="00000000" w:rsidP="00000000" w:rsidRDefault="00000000" w:rsidRPr="00000000" w14:paraId="000000B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Fibrosis triage: discrimination of FIB-4 (and any fibrosis model) for measured liver stiffness ≥ 8 kPa on the held-out NHANES participants, and agreement of the referral category with the guideline pathway.</w:t>
      </w:r>
    </w:p>
    <w:p w:rsidR="00000000" w:rsidDel="00000000" w:rsidP="00000000" w:rsidRDefault="00000000" w:rsidRPr="00000000" w14:paraId="000000B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Uncertainty: empirical coverage of the conformal CAP intervals (target 90%) on the test set.</w:t>
      </w:r>
    </w:p>
    <w:p w:rsidR="00000000" w:rsidDel="00000000" w:rsidP="00000000" w:rsidRDefault="00000000" w:rsidRPr="00000000" w14:paraId="000000B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Personalisation: how far recommendations differ between patients with different habitual diets and priorities (top-10 overlap), before and after adding 24-hour recall data.</w:t>
      </w:r>
    </w:p>
    <w:p w:rsidR="00000000" w:rsidDel="00000000" w:rsidP="00000000" w:rsidRDefault="00000000" w:rsidRPr="00000000" w14:paraId="000000B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Recommendation diversity and meal plans: intra-list ingredient diversity and the share of plans meeting every weekly constraint.</w:t>
      </w:r>
    </w:p>
    <w:p w:rsidR="00000000" w:rsidDel="00000000" w:rsidP="00000000" w:rsidRDefault="00000000" w:rsidRPr="00000000" w14:paraId="000000B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Plain-language summaries: automatic faithfulness rate (every number and citation traceable to the twin output) and readability, plus review of a sample by the project team.</w:t>
      </w:r>
    </w:p>
    <w:p w:rsidR="00000000" w:rsidDel="00000000" w:rsidP="00000000" w:rsidRDefault="00000000" w:rsidRPr="00000000" w14:paraId="000000B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Fairness: Layer 2 metrics and Layer 4 criteria satisfaction by sex, race/ethnicity and age group, with 95% bootstrap intervals.</w:t>
      </w:r>
    </w:p>
    <w:p w:rsidR="00000000" w:rsidDel="00000000" w:rsidP="00000000" w:rsidRDefault="00000000" w:rsidRPr="00000000" w14:paraId="000000B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NHANES III: external discrimination and calibration against graded ultrasound, and association of the twin’s risk and FIB-4 with all-cause and liver-related mortality.</w:t>
      </w:r>
    </w:p>
    <w:p w:rsidR="00000000" w:rsidDel="00000000" w:rsidP="00000000" w:rsidRDefault="00000000" w:rsidRPr="00000000" w14:paraId="000000C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vi0z02zlwjv" w:id="24"/>
      <w:bookmarkEnd w:id="24"/>
      <w:r w:rsidDel="00000000" w:rsidR="00000000" w:rsidRPr="00000000">
        <w:rPr>
          <w:rFonts w:ascii="Times New Roman" w:cs="Times New Roman" w:eastAsia="Times New Roman" w:hAnsi="Times New Roman"/>
          <w:b w:val="1"/>
          <w:bCs w:val="1"/>
          <w:sz w:val="30"/>
          <w:szCs w:val="30"/>
          <w:rtl w:val="0"/>
        </w:rPr>
        <w:t xml:space="preserve">13. Dataset Strategy</w:t>
      </w:r>
      <w:r w:rsidDel="00000000" w:rsidR="00000000" w:rsidRPr="00000000">
        <w:rPr>
          <w:rtl w:val="0"/>
        </w:rPr>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360"/>
        <w:gridCol w:w="3450"/>
        <w:tblGridChange w:id="0">
          <w:tblGrid>
            <w:gridCol w:w="2025"/>
            <w:gridCol w:w="3360"/>
            <w:gridCol w:w="3450"/>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Dataset</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Used for</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Notes</w:t>
            </w:r>
          </w:p>
        </w:tc>
      </w:tr>
      <w:tr>
        <w:trPr>
          <w:cantSplit w:val="0"/>
          <w:trHeight w:val="1620"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NHANES 2017–March 2020 + August 2021–August 2023 (primary)</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Clinical training/validation cohort for Layer 2</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Liver Ultrasound Transient Elastography (LUX) component provides CAP-based steatosis grading, in the same public release as biomarkers (ALT, AST, HbA1c) and 24-hour dietary recall, linked by participant ID. Public-use files, no application — downloadable directly from the CDC NHANES data portal.</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NASH-CRN (optional, parallel)</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Secondary validation cohort if time allows</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Biopsy-confirmed clinical cohort; access typically a few weeks, applied for in parallel, not blocking</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RecipeDB</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Recipe corpus, candidate recipes, cuisine/process metadata</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Backbone of Layer 4</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FlavorDB</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Flavor-compound profiles; explored but not used as a core scoring component (see §4, §7)</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USDA FoodData Central / IFCT</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Nutrient look-up for recipe-to-nutrient conversion</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Reference table, not patient data</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NHANES III (1988–1994) hepatic steatosis ultrasound + Linked Mortality Files (proposed, §17.9)</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External validation against graded ultrasound; long-term outcome validation</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Public-use; ultrasound re-read released 2011 (adults 20–74); mortality follow-up to 31 December 2019</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NHANES 24-hour dietary recall (DR1TOT, DR1IFF) and USDA FPED 2017–March 2020 (§17.1)</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Patient’s habitual diet; HEI-2020 diet-quality score</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DR1TOT already downloaded; DR1IFF from NHANES; FPED from USDA ARS</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International GI tables 2021; FoodProX (§17.10–17.11)</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Glycaemic load and ultra-processing criteria</w:t>
            </w:r>
          </w:p>
        </w:tc>
        <w:tc>
          <w:tcPr>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Published reference tables and open model; mapped to recipe ingredients</w:t>
            </w:r>
          </w:p>
        </w:tc>
      </w:tr>
    </w:tbl>
    <w:p w:rsidR="00000000" w:rsidDel="00000000" w:rsidP="00000000" w:rsidRDefault="00000000" w:rsidRPr="00000000" w14:paraId="000000DA">
      <w:pPr>
        <w:spacing w:after="160" w:line="268.8"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UK Biobank was considered but not pursued — its longitudinal repeat-imaging subset was attractive, but its access-approval timeline is measured in months and doesn't fit this project's window. MIMIC-IV remains excluded — an ICU population is not a matched cohort for this task. Continuous NHANES cycles from 1999 to 2016 remain excluded because they have no liver imaging. NHANES III (1988–1994) is an exception: archived gallbladder ultrasound was re-read to grade hepatic steatosis, and its participants are linked to mortality through 2019, so it is now proposed as an external and long-term validation cohort (§17.9).</w:t>
      </w:r>
    </w:p>
    <w:p w:rsidR="00000000" w:rsidDel="00000000" w:rsidP="00000000" w:rsidRDefault="00000000" w:rsidRPr="00000000" w14:paraId="000000D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tquhvfj15y8" w:id="25"/>
      <w:bookmarkEnd w:id="25"/>
      <w:r w:rsidDel="00000000" w:rsidR="00000000" w:rsidRPr="00000000">
        <w:rPr>
          <w:rFonts w:ascii="Times New Roman" w:cs="Times New Roman" w:eastAsia="Times New Roman" w:hAnsi="Times New Roman"/>
          <w:b w:val="1"/>
          <w:bCs w:val="1"/>
          <w:sz w:val="30"/>
          <w:szCs w:val="30"/>
          <w:rtl w:val="0"/>
        </w:rPr>
        <w:t xml:space="preserve">14. Expected Contributions &amp; Publication Targets</w:t>
      </w:r>
      <w:r w:rsidDel="00000000" w:rsidR="00000000" w:rsidRPr="00000000">
        <w:rPr>
          <w:rtl w:val="0"/>
        </w:rPr>
      </w:r>
    </w:p>
    <w:p w:rsidR="00000000" w:rsidDel="00000000" w:rsidP="00000000" w:rsidRDefault="00000000" w:rsidRPr="00000000" w14:paraId="000000DC">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digital twin for the patient liver, where the state model is built by updating with new information from the patient, along with a simulation model for evidence-based intervention, tested using a cross-sectional analysis on the NHANES dataset; longitudinal validation left for future work</w:t>
      </w:r>
    </w:p>
    <w:p w:rsidR="00000000" w:rsidDel="00000000" w:rsidP="00000000" w:rsidRDefault="00000000" w:rsidRPr="00000000" w14:paraId="000000DD">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New scoring approach for the task of evidence-based recipe evaluation and selection (health+cuisine+feasibility), linked to an evidence table and a causal knowledge graph, which drives the intervention engine of the twin</w:t>
      </w:r>
    </w:p>
    <w:p w:rsidR="00000000" w:rsidDel="00000000" w:rsidP="00000000" w:rsidRDefault="00000000" w:rsidRPr="00000000" w14:paraId="000000DE">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evidence-linked recipe recommendation component that explains why each recipe is suitable, including its nutritional characteristics and supporting intervention evidence, along with a small-scale human evaluation experiment inspired by the Turing-Test-for-Chef framework.</w:t>
      </w:r>
    </w:p>
    <w:p w:rsidR="00000000" w:rsidDel="00000000" w:rsidP="00000000" w:rsidRDefault="00000000" w:rsidRPr="00000000" w14:paraId="000000DE">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A fibrosis-aware triage step and MASLD subtype labelling, so that diet recommendations follow the guideline care pathway rather than replacing it (§17.2–17.3)</w:t>
      </w:r>
    </w:p>
    <w:p w:rsidR="00000000" w:rsidDel="00000000" w:rsidP="00000000" w:rsidRDefault="00000000" w:rsidRPr="00000000" w14:paraId="000000DF">
      <w:pPr>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Open source, modular architecture of the twin, demonstrated and evaluated in the MASLD use case</w:t>
      </w:r>
    </w:p>
    <w:p w:rsidR="00000000" w:rsidDel="00000000" w:rsidP="00000000" w:rsidRDefault="00000000" w:rsidRPr="00000000" w14:paraId="000000E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0z6bv93y5s1" w:id="26"/>
      <w:bookmarkEnd w:id="26"/>
      <w:r w:rsidDel="00000000" w:rsidR="00000000" w:rsidRPr="00000000">
        <w:rPr>
          <w:rFonts w:ascii="Times New Roman" w:cs="Times New Roman" w:eastAsia="Times New Roman" w:hAnsi="Times New Roman"/>
          <w:b w:val="1"/>
          <w:bCs w:val="1"/>
          <w:sz w:val="30"/>
          <w:szCs w:val="30"/>
          <w:rtl w:val="0"/>
        </w:rPr>
        <w:t xml:space="preserve">15. Risks &amp; Mitigations</w:t>
      </w:r>
      <w:r w:rsidDel="00000000" w:rsidR="00000000" w:rsidRPr="00000000">
        <w:rPr>
          <w:rtl w:val="0"/>
        </w:rPr>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475"/>
        <w:tblGridChange w:id="0">
          <w:tblGrid>
            <w:gridCol w:w="3360"/>
            <w:gridCol w:w="5475"/>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Risk</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Mitigation</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NHANES is cross-sectional — no repeat-imaging validation</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Named explicitly as a scope limitation (§1.1, §12.3); twin trajectories framed as simulated projections throughout, never as validated forecasts</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5">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Evidence cannot always be mapped directly to an individual recipe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6">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 explicit evidence-strength categories and mark unsupported mappings as INSUFFICIENT rather than guessing</w:t>
            </w:r>
          </w:p>
        </w:tc>
      </w:tr>
      <w:tr>
        <w:trPr>
          <w:cantSplit w:val="0"/>
          <w:trHeight w:val="81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Pilot panel hard to recruit even at small scale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5–10 people (friends/family/department contacts who cook the relevant cuisine) is a realistic bar within the timeline; framed honestly as a pilot, not a scaled study</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Two-layer integration slips</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Thin end-to-end MVP built jointly in the opening weeks surfaces integration issues immediately, not near the deadline</w:t>
            </w:r>
          </w:p>
        </w:tc>
      </w:tr>
      <w:tr>
        <w:trPr>
          <w:cantSplit w:val="0"/>
          <w:trHeight w:val="10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Compressed timeline overall</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Weekly Friday grading meetings function as built-in checkpoints; a pre-defined cut list (3D fidelity first, then panel size, then evidence-table breadth) identifies what to trim if behind schedule, without touching the ranking engine itself</w:t>
            </w:r>
          </w:p>
        </w:tc>
      </w:tr>
      <w:tr>
        <w:trPr>
          <w:cantSplit w:val="0"/>
          <w:trHeight w:val="10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Language-model summaries state facts not in the twin output</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Generate only from the structured output; automatically check every number and evidence ID against it; fall back to a template summary when the check fails</w:t>
            </w:r>
          </w:p>
        </w:tc>
      </w:tr>
      <w:tr>
        <w:trPr>
          <w:cantSplit w:val="0"/>
          <w:trHeight w:val="10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NHANES III differs from current NHANES (era, ultrasound reference, assays)</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E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Report it as external validation of transportability, map variables explicitly, and recalibrate if needed rather than retraining</w:t>
            </w:r>
          </w:p>
        </w:tc>
      </w:tr>
    </w:tbl>
    <w:p w:rsidR="00000000" w:rsidDel="00000000" w:rsidP="00000000" w:rsidRDefault="00000000" w:rsidRPr="00000000" w14:paraId="000000E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ryb156afzsl" w:id="27"/>
      <w:bookmarkEnd w:id="27"/>
      <w:r w:rsidDel="00000000" w:rsidR="00000000" w:rsidRPr="00000000">
        <w:rPr>
          <w:rFonts w:ascii="Times New Roman" w:cs="Times New Roman" w:eastAsia="Times New Roman" w:hAnsi="Times New Roman"/>
          <w:b w:val="1"/>
          <w:bCs w:val="1"/>
          <w:sz w:val="30"/>
          <w:szCs w:val="30"/>
          <w:rtl w:val="0"/>
        </w:rPr>
        <w:t xml:space="preserve">16. Tech Stack</w:t>
      </w:r>
      <w:r w:rsidDel="00000000" w:rsidR="00000000" w:rsidRPr="00000000">
        <w:rPr>
          <w:rtl w:val="0"/>
        </w:rPr>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745"/>
        <w:tblGridChange w:id="0">
          <w:tblGrid>
            <w:gridCol w:w="3090"/>
            <w:gridCol w:w="5745"/>
          </w:tblGrid>
        </w:tblGridChange>
      </w:tblGrid>
      <w:tr>
        <w:trPr>
          <w:cantSplit w:val="0"/>
          <w:trHeight w:val="375" w:hRule="atLeast"/>
          <w:tblHeader w:val="0"/>
        </w:trPr>
        <w:tc>
          <w:tcPr>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Module</w:t>
            </w:r>
          </w:p>
        </w:tc>
        <w:tc>
          <w:tcPr>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Technology</w:t>
            </w:r>
          </w:p>
        </w:tc>
      </w:tr>
      <w:tr>
        <w:trPr>
          <w:cantSplit w:val="0"/>
          <w:trHeight w:val="4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0">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Frontend</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1">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React + Tailwind CSS</w:t>
            </w:r>
          </w:p>
        </w:tc>
      </w:tr>
      <w:tr>
        <w:trPr>
          <w:cantSplit w:val="0"/>
          <w:trHeight w:val="4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2">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Backend</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3">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FastAPI (Python)</w:t>
            </w:r>
          </w:p>
        </w:tc>
      </w:tr>
      <w:tr>
        <w:trPr>
          <w:cantSplit w:val="0"/>
          <w:trHeight w:val="4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4">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Clinical ML</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5">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XGBoost, scikit-learn (isotonic calibration on out-of-fold predictions), SHAP values (XGBoost TreeSHAP)</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6">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Recipe Evaluation &amp; Ranking</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7">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Python, pandas, NumPy/scikit-learn; health-gated, transparent weighted multi-criteria scoring with sensitivity analysis on criterion weights</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8">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Knowledge Graph</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9">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NetworkX (small, hand-curated graph — no need for a full graph database at this scale)</w:t>
            </w:r>
          </w:p>
        </w:tc>
      </w:tr>
      <w:tr>
        <w:trPr>
          <w:cantSplit w:val="0"/>
          <w:trHeight w:val="615"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A">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Twin Visualization</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Three.js / React Three Fiber, pre-built free liver mesh, state-bound colour + timeline slider</w:t>
            </w:r>
          </w:p>
        </w:tc>
      </w:tr>
      <w:tr>
        <w:trPr>
          <w:cantSplit w:val="0"/>
          <w:trHeight w:val="420" w:hRule="atLeast"/>
          <w:tblHeader w:val="0"/>
        </w:trPr>
        <w:tc>
          <w:tcPr>
            <w:tcBorders>
              <w:top w:color="000000" w:space="0" w:sz="0" w:val="nil"/>
              <w:left w:color="b7b7b7" w:space="0" w:sz="5" w:val="single"/>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Database</w:t>
            </w:r>
          </w:p>
        </w:tc>
        <w:tc>
          <w:tcPr>
            <w:tcBorders>
              <w:top w:color="000000" w:space="0" w:sz="0" w:val="nil"/>
              <w:left w:color="000000" w:space="0" w:sz="0" w:val="nil"/>
              <w:bottom w:color="b7b7b7" w:space="0" w:sz="5" w:val="single"/>
              <w:right w:color="b7b7b7" w:space="0" w:sz="5" w:val="single"/>
            </w:tcBorders>
            <w:tcMar>
              <w:top w:w="80.0" w:type="dxa"/>
              <w:left w:w="120.0" w:type="dxa"/>
              <w:bottom w:w="80.0" w:type="dxa"/>
              <w:right w:w="120.0" w:type="dxa"/>
            </w:tcMar>
            <w:vAlign w:val="top"/>
          </w:tcPr>
          <w:p w:rsidR="00000000" w:rsidDel="00000000" w:rsidP="00000000" w:rsidRDefault="00000000" w:rsidRPr="00000000" w14:paraId="000000F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PostgreSQL or SQLite (given the compressed scope, SQLite may be sufficient)</w:t>
            </w:r>
          </w:p>
        </w:tc>
      </w:tr>
    </w:tbl>
    <w:p w:rsidR="00000000" w:rsidDel="00000000" w:rsidP="00000000" w:rsidRDefault="00000000" w:rsidRPr="00000000" w14:paraId="000000BA">
      <w:pPr>
        <w:pStyle w:val="Heading1"/>
        <w:keepNext/>
        <w:keepLines w:val="0"/>
        <w:spacing w:before="480" w:lineRule="auto"/>
        <w:rPr>
          <w:rFonts w:ascii="Times New Roman" w:cs="Times New Roman" w:eastAsia="Times New Roman" w:hAnsi="Times New Roman"/>
          <w:b w:val="1"/>
          <w:bCs w:val="1"/>
          <w:sz w:val="46"/>
          <w:szCs w:val="46"/>
        </w:rPr>
      </w:pPr>
      <w:bookmarkStart w:colFirst="0" w:colLast="0" w:name="_tblbrlgihcdy" w:id="20"/>
      <w:bookmarkEnd w:id="20"/>
      <w:r w:rsidDel="00000000" w:rsidR="00000000" w:rsidRPr="00000000">
        <w:rPr>
          <w:rFonts w:ascii="Times New Roman" w:cs="Times New Roman" w:eastAsia="Times New Roman" w:hAnsi="Times New Roman"/>
          <w:b/>
          <w:bCs w:val="1"/>
          <w:sz w:val="30"/>
          <w:szCs w:val="30"/>
          <w:rtl w:val="0"/>
        </w:rPr>
        <w:t>17. Extensions Identified During Development</w:t>
      </w:r>
    </w:p>
    <w:p w:rsidR="00000000" w:rsidDel="00000000" w:rsidP="00000000" w:rsidRDefault="00000000" w:rsidRPr="00000000" w14:paraId="00000039">
      <w:pPr>
        <w:keepNex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Building and evaluating the first end-to-end version of the twin (October 2026) showed where the design could be strengthened. Extensions 17.1–17.8 use data the project already holds (17.1 also needs the DR1IFF food files and FPED); 17.9–17.13 need further public datasets. Each states the layer it extends; their evaluation is listed in §12.4.</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100"/>
        <w:gridCol w:w="1050"/>
        <w:gridCol w:w="2350"/>
        <w:gridCol w:w="2540"/>
        <w:tblGridChange w:id="0">
          <w:tblGrid>
            <w:gridCol w:w="1500"/>
            <w:gridCol w:w="1680"/>
            <w:gridCol w:w="2295"/>
            <w:gridCol w:w="2025"/>
            <w:gridCol w:w="1320"/>
          </w:tblGrid>
        </w:tblGridChange>
      </w:tblGrid>
      <w:tr>
        <w:trPr>
          <w:cantSplit w:val="0"/>
          <w:tblHeader w:val="0"/>
        </w:trPr>
        <w:tc>
          <w:tcPr>
            <w:tcW w:w="780" w:type="dxa"/>
            <w:tcBorders>
              <w:top w:color="b7b7b7" w:space="0" w:sz="5" w:val="single"/>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keepNext/>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7"/>
                <w:szCs w:val="17"/>
                <w:rtl w:val="0"/>
              </w:rPr>
              <w:t>#</w:t>
            </w:r>
          </w:p>
        </w:tc>
        <w:tc>
          <w:tcPr>
            <w:tcW w:w="2100" w:type="dxa"/>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keepNext/>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7"/>
                <w:szCs w:val="17"/>
                <w:rtl w:val="0"/>
              </w:rPr>
              <w:t>Extension</w:t>
            </w:r>
          </w:p>
        </w:tc>
        <w:tc>
          <w:tcPr>
            <w:tcW w:w="1050" w:type="dxa"/>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keepNext/>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7"/>
                <w:szCs w:val="17"/>
                <w:rtl w:val="0"/>
              </w:rPr>
              <w:t>Layer</w:t>
            </w:r>
          </w:p>
        </w:tc>
        <w:tc>
          <w:tcPr>
            <w:tcW w:w="2350" w:type="dxa"/>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keepNext/>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7"/>
                <w:szCs w:val="17"/>
                <w:rtl w:val="0"/>
              </w:rPr>
              <w:t>Data</w:t>
            </w:r>
          </w:p>
        </w:tc>
        <w:tc>
          <w:tcPr>
            <w:tcW w:w="2540" w:type="dxa"/>
            <w:tcBorders>
              <w:top w:color="b7b7b7" w:space="0" w:sz="5" w:val="single"/>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keepNext/>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bCs w:val="1"/>
                <w:sz w:val="17"/>
                <w:szCs w:val="17"/>
                <w:rtl w:val="0"/>
              </w:rPr>
              <w:t>Why it matters</w:t>
            </w:r>
          </w:p>
        </w:tc>
      </w:tr>
      <w:tr>
        <w:trPr>
          <w:cantSplit w:val="0"/>
          <w:tblHeader w:val="0"/>
        </w:trPr>
        <w:tc>
          <w:tcPr>
            <w:tcW w:w="780" w:type="dxa"/>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17.1</w:t>
            </w:r>
          </w:p>
        </w:tc>
        <w:tc>
          <w:tcPr>
            <w:tcW w:w="210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Habitual diet from 24-hour recall</w:t>
            </w:r>
          </w:p>
        </w:tc>
        <w:tc>
          <w:tcPr>
            <w:tcW w:w="10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1, 3, 5</w:t>
            </w:r>
          </w:p>
        </w:tc>
        <w:tc>
          <w:tcPr>
            <w:tcW w:w="23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NHANES DR1TOT (held); DR1IFF; FPED</w:t>
            </w:r>
          </w:p>
        </w:tc>
        <w:tc>
          <w:tcPr>
            <w:tcW w:w="254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Makes priorities personal; provides the “usual diet” for Scenario B</w:t>
            </w:r>
          </w:p>
        </w:tc>
      </w:tr>
      <w:tr>
        <w:trPr>
          <w:cantSplit w:val="0"/>
          <w:tblHeader w:val="0"/>
        </w:trPr>
        <w:tc>
          <w:tcPr>
            <w:tcW w:w="780" w:type="dxa"/>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17.2</w:t>
            </w:r>
          </w:p>
        </w:tc>
        <w:tc>
          <w:tcPr>
            <w:tcW w:w="210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Fibrosis risk and referral pathway</w:t>
            </w:r>
          </w:p>
        </w:tc>
        <w:tc>
          <w:tcPr>
            <w:tcW w:w="10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2</w:t>
            </w:r>
          </w:p>
        </w:tc>
        <w:tc>
          <w:tcPr>
            <w:tcW w:w="23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Age, AST, ALT, platelets; measured stiffness (held)</w:t>
            </w:r>
          </w:p>
        </w:tc>
        <w:tc>
          <w:tcPr>
            <w:tcW w:w="254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Follows the guideline care pathway; flags patients who need a clinician</w:t>
            </w:r>
          </w:p>
        </w:tc>
      </w:tr>
      <w:tr>
        <w:trPr>
          <w:cantSplit w:val="0"/>
          <w:tblHeader w:val="0"/>
        </w:trPr>
        <w:tc>
          <w:tcPr>
            <w:tcW w:w="780" w:type="dxa"/>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17.3</w:t>
            </w:r>
          </w:p>
        </w:tc>
        <w:tc>
          <w:tcPr>
            <w:tcW w:w="210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MASLD subtype and safety guardrails</w:t>
            </w:r>
          </w:p>
        </w:tc>
        <w:tc>
          <w:tcPr>
            <w:tcW w:w="10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2, 3</w:t>
            </w:r>
          </w:p>
        </w:tc>
        <w:tc>
          <w:tcPr>
            <w:tcW w:w="23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Alcohol, medication, age (held)</w:t>
            </w:r>
          </w:p>
        </w:tc>
        <w:tc>
          <w:tcPr>
            <w:tcW w:w="254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Avoids diet-only advice where it is inappropriate</w:t>
            </w:r>
          </w:p>
        </w:tc>
      </w:tr>
      <w:tr>
        <w:trPr>
          <w:cantSplit w:val="0"/>
          <w:tblHeader w:val="0"/>
        </w:trPr>
        <w:tc>
          <w:tcPr>
            <w:tcW w:w="780" w:type="dxa"/>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17.4</w:t>
            </w:r>
          </w:p>
        </w:tc>
        <w:tc>
          <w:tcPr>
            <w:tcW w:w="210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Patient-level explanations and uncertainty</w:t>
            </w:r>
          </w:p>
        </w:tc>
        <w:tc>
          <w:tcPr>
            <w:tcW w:w="10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2, 7</w:t>
            </w:r>
          </w:p>
        </w:tc>
        <w:tc>
          <w:tcPr>
            <w:tcW w:w="23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Existing model</w:t>
            </w:r>
          </w:p>
        </w:tc>
        <w:tc>
          <w:tcPr>
            <w:tcW w:w="254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“Why is my risk high?” with an honest range</w:t>
            </w:r>
          </w:p>
        </w:tc>
      </w:tr>
      <w:tr>
        <w:trPr>
          <w:cantSplit w:val="0"/>
          <w:tblHeader w:val="0"/>
        </w:trPr>
        <w:tc>
          <w:tcPr>
            <w:tcW w:w="780" w:type="dxa"/>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17.5</w:t>
            </w:r>
          </w:p>
        </w:tc>
        <w:tc>
          <w:tcPr>
            <w:tcW w:w="210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Re-assessment timeline</w:t>
            </w:r>
          </w:p>
        </w:tc>
        <w:tc>
          <w:tcPr>
            <w:tcW w:w="10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1, 2, 6</w:t>
            </w:r>
          </w:p>
        </w:tc>
        <w:tc>
          <w:tcPr>
            <w:tcW w:w="23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Measurements entered over time (no new dataset)</w:t>
            </w:r>
          </w:p>
        </w:tc>
        <w:tc>
          <w:tcPr>
            <w:tcW w:w="254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Implements the “updating twin” claim</w:t>
            </w:r>
          </w:p>
        </w:tc>
      </w:tr>
      <w:tr>
        <w:trPr>
          <w:cantSplit w:val="0"/>
          <w:tblHeader w:val="0"/>
        </w:trPr>
        <w:tc>
          <w:tcPr>
            <w:tcW w:w="780" w:type="dxa"/>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17.6</w:t>
            </w:r>
          </w:p>
        </w:tc>
        <w:tc>
          <w:tcPr>
            <w:tcW w:w="210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Diversity and weekly meal plans</w:t>
            </w:r>
          </w:p>
        </w:tc>
        <w:tc>
          <w:tcPr>
            <w:tcW w:w="10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4</w:t>
            </w:r>
          </w:p>
        </w:tc>
        <w:tc>
          <w:tcPr>
            <w:tcW w:w="23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RecipeDB (held)</w:t>
            </w:r>
          </w:p>
        </w:tc>
        <w:tc>
          <w:tcPr>
            <w:tcW w:w="254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Varied, usable recommendations</w:t>
            </w:r>
          </w:p>
        </w:tc>
      </w:tr>
      <w:tr>
        <w:trPr>
          <w:cantSplit w:val="0"/>
          <w:tblHeader w:val="0"/>
        </w:trPr>
        <w:tc>
          <w:tcPr>
            <w:tcW w:w="780" w:type="dxa"/>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17.7</w:t>
            </w:r>
          </w:p>
        </w:tc>
        <w:tc>
          <w:tcPr>
            <w:tcW w:w="210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Grounded plain-language summaries</w:t>
            </w:r>
          </w:p>
        </w:tc>
        <w:tc>
          <w:tcPr>
            <w:tcW w:w="10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7</w:t>
            </w:r>
          </w:p>
        </w:tc>
        <w:tc>
          <w:tcPr>
            <w:tcW w:w="23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Twin output</w:t>
            </w:r>
          </w:p>
        </w:tc>
        <w:tc>
          <w:tcPr>
            <w:tcW w:w="254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Patient-friendly, traceable explanations</w:t>
            </w:r>
          </w:p>
        </w:tc>
      </w:tr>
      <w:tr>
        <w:trPr>
          <w:cantSplit w:val="0"/>
          <w:tblHeader w:val="0"/>
        </w:trPr>
        <w:tc>
          <w:tcPr>
            <w:tcW w:w="780" w:type="dxa"/>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17.8</w:t>
            </w:r>
          </w:p>
        </w:tc>
        <w:tc>
          <w:tcPr>
            <w:tcW w:w="210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Fairness audit</w:t>
            </w:r>
          </w:p>
        </w:tc>
        <w:tc>
          <w:tcPr>
            <w:tcW w:w="10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Evaluation</w:t>
            </w:r>
          </w:p>
        </w:tc>
        <w:tc>
          <w:tcPr>
            <w:tcW w:w="23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NHANES (held)</w:t>
            </w:r>
          </w:p>
        </w:tc>
        <w:tc>
          <w:tcPr>
            <w:tcW w:w="254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Checks performance across groups</w:t>
            </w:r>
          </w:p>
        </w:tc>
      </w:tr>
      <w:tr>
        <w:trPr>
          <w:cantSplit w:val="0"/>
          <w:tblHeader w:val="0"/>
        </w:trPr>
        <w:tc>
          <w:tcPr>
            <w:tcW w:w="780" w:type="dxa"/>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17.9</w:t>
            </w:r>
          </w:p>
        </w:tc>
        <w:tc>
          <w:tcPr>
            <w:tcW w:w="210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External and long-term validation</w:t>
            </w:r>
          </w:p>
        </w:tc>
        <w:tc>
          <w:tcPr>
            <w:tcW w:w="10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2</w:t>
            </w:r>
          </w:p>
        </w:tc>
        <w:tc>
          <w:tcPr>
            <w:tcW w:w="23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NHANES III ultrasound; Linked Mortality Files</w:t>
            </w:r>
          </w:p>
        </w:tc>
        <w:tc>
          <w:tcPr>
            <w:tcW w:w="254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First outcome data for the twin; external cohort</w:t>
            </w:r>
          </w:p>
        </w:tc>
      </w:tr>
      <w:tr>
        <w:trPr>
          <w:cantSplit w:val="0"/>
          <w:tblHeader w:val="0"/>
        </w:trPr>
        <w:tc>
          <w:tcPr>
            <w:tcW w:w="780" w:type="dxa"/>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17.10</w:t>
            </w:r>
          </w:p>
        </w:tc>
        <w:tc>
          <w:tcPr>
            <w:tcW w:w="210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Ultra-processing criterion</w:t>
            </w:r>
          </w:p>
        </w:tc>
        <w:tc>
          <w:tcPr>
            <w:tcW w:w="10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4</w:t>
            </w:r>
          </w:p>
        </w:tc>
        <w:tc>
          <w:tcPr>
            <w:tcW w:w="23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FoodProX; FNDDS</w:t>
            </w:r>
          </w:p>
        </w:tc>
        <w:tc>
          <w:tcPr>
            <w:tcW w:w="254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Implements the guideline advice on ultra-processed foods</w:t>
            </w:r>
          </w:p>
        </w:tc>
      </w:tr>
      <w:tr>
        <w:trPr>
          <w:cantSplit w:val="0"/>
          <w:tblHeader w:val="0"/>
        </w:trPr>
        <w:tc>
          <w:tcPr>
            <w:tcW w:w="780" w:type="dxa"/>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17.11</w:t>
            </w:r>
          </w:p>
        </w:tc>
        <w:tc>
          <w:tcPr>
            <w:tcW w:w="210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Glycaemic load criterion</w:t>
            </w:r>
          </w:p>
        </w:tc>
        <w:tc>
          <w:tcPr>
            <w:tcW w:w="10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4</w:t>
            </w:r>
          </w:p>
        </w:tc>
        <w:tc>
          <w:tcPr>
            <w:tcW w:w="23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International GI tables 2021</w:t>
            </w:r>
          </w:p>
        </w:tc>
        <w:tc>
          <w:tcPr>
            <w:tcW w:w="254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Supports the glucose-related priority</w:t>
            </w:r>
          </w:p>
        </w:tc>
      </w:tr>
      <w:tr>
        <w:trPr>
          <w:cantSplit w:val="0"/>
          <w:tblHeader w:val="0"/>
        </w:trPr>
        <w:tc>
          <w:tcPr>
            <w:tcW w:w="780" w:type="dxa"/>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17.12</w:t>
            </w:r>
          </w:p>
        </w:tc>
        <w:tc>
          <w:tcPr>
            <w:tcW w:w="210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Acceptability and wider recipe coverage</w:t>
            </w:r>
          </w:p>
        </w:tc>
        <w:tc>
          <w:tcPr>
            <w:tcW w:w="10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4</w:t>
            </w:r>
          </w:p>
        </w:tc>
        <w:tc>
          <w:tcPr>
            <w:tcW w:w="23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RecipeDB ratings; full RecipeDB</w:t>
            </w:r>
          </w:p>
        </w:tc>
        <w:tc>
          <w:tcPr>
            <w:tcW w:w="254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Recipes people like; Indian and regional cuisines</w:t>
            </w:r>
          </w:p>
        </w:tc>
      </w:tr>
      <w:tr>
        <w:trPr>
          <w:cantSplit w:val="0"/>
          <w:tblHeader w:val="0"/>
        </w:trPr>
        <w:tc>
          <w:tcPr>
            <w:tcW w:w="780" w:type="dxa"/>
            <w:tcBorders>
              <w:top w:color="000000" w:space="0" w:sz="0" w:val="nil"/>
              <w:left w:color="b7b7b7" w:space="0" w:sz="5" w:val="single"/>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17.13</w:t>
            </w:r>
          </w:p>
        </w:tc>
        <w:tc>
          <w:tcPr>
            <w:tcW w:w="210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Additional evidence rows</w:t>
            </w:r>
          </w:p>
        </w:tc>
        <w:tc>
          <w:tcPr>
            <w:tcW w:w="10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3</w:t>
            </w:r>
          </w:p>
        </w:tc>
        <w:tc>
          <w:tcPr>
            <w:tcW w:w="235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Published meta-analyses</w:t>
            </w:r>
          </w:p>
        </w:tc>
        <w:tc>
          <w:tcPr>
            <w:tcW w:w="2540" w:type="dxa"/>
            <w:tcBorders>
              <w:top w:color="000000" w:space="0" w:sz="0" w:val="nil"/>
              <w:left w:color="000000" w:space="0" w:sz="0" w:val="nil"/>
              <w:bottom w:color="b7b7b7" w:space="0" w:sz="5" w:val="single"/>
              <w:right w:color="b7b7b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40"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Coffee, fasting and null findings</w:t>
            </w:r>
          </w:p>
        </w:tc>
      </w:tr>
    </w:tbl>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17.1 Habitual diet from 24-hour dietary recall</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Data. </w:t>
      </w:r>
      <w:r w:rsidDel="00000000" w:rsidR="00000000" w:rsidRPr="00000000">
        <w:rPr>
          <w:rFonts w:ascii="Times New Roman" w:cs="Times New Roman" w:eastAsia="Times New Roman" w:hAnsi="Times New Roman"/>
          <w:rtl w:val="0"/>
        </w:rPr>
        <w:t>NHANES records each participant’s intake on the day before the examination (DR1TOT nutrient totals and DR1IFF individual foods with FNDDS codes), in both FibroScan cycles. The USDA Food Patterns Equivalents Database for 2017–March 2020 allows a Healthy Eating Index-2020 score (Shams-White et al., 2023).</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Use. </w:t>
      </w:r>
      <w:r w:rsidDel="00000000" w:rsidR="00000000" w:rsidRPr="00000000">
        <w:rPr>
          <w:rFonts w:ascii="Times New Roman" w:cs="Times New Roman" w:eastAsia="Times New Roman" w:hAnsi="Times New Roman"/>
          <w:rtl w:val="0"/>
        </w:rPr>
        <w:t>A priority is raised only when the patient’s own intake exceeds the reference value used for recipes (for example, saturated fat above 10% of energy) and lowered when it is already met. This addresses the main limitation found in the ranking evaluation: most patients received the same priorities. With the recall, 300 test patients had 37 distinct priority profiles instead of 11 and 33 distinct top-10 lists instead of 17, and patients with a higher saturated-fat or sugar priority received recipes lower in that nutrient. The same data provide the patient’s usual diet for Scenario B (§8) and the “current dietary choices” view of the dashboard (§10).</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Caveat. </w:t>
      </w:r>
      <w:r w:rsidDel="00000000" w:rsidR="00000000" w:rsidRPr="00000000">
        <w:rPr>
          <w:rFonts w:ascii="Times New Roman" w:cs="Times New Roman" w:eastAsia="Times New Roman" w:hAnsi="Times New Roman"/>
          <w:rtl w:val="0"/>
        </w:rPr>
        <w:t>A single 24-hour recall is noisy for an individual; it is used as context for prioritisation, never as a diagnosis.</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17.2 Fibrosis risk and referral pathway</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Method. </w:t>
      </w:r>
      <w:r w:rsidDel="00000000" w:rsidR="00000000" w:rsidRPr="00000000">
        <w:rPr>
          <w:rFonts w:ascii="Times New Roman" w:cs="Times New Roman" w:eastAsia="Times New Roman" w:hAnsi="Times New Roman"/>
          <w:rtl w:val="0"/>
        </w:rPr>
        <w:t>The FIB-4 index (Sterling et al., 2006) is computed from age, AST, ALT and platelet count, all in the cohort, and categorised using the EASL-EASD-EASO 2024 pathway (below 1.3 low risk, with 2.0 used above age 65; 1.3–2.67 further testing; above 2.67 high risk).</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Validation. </w:t>
      </w:r>
      <w:r w:rsidDel="00000000" w:rsidR="00000000" w:rsidRPr="00000000">
        <w:rPr>
          <w:rFonts w:ascii="Times New Roman" w:cs="Times New Roman" w:eastAsia="Times New Roman" w:hAnsi="Times New Roman"/>
          <w:rtl w:val="0"/>
        </w:rPr>
        <w:t>NHANES measured liver stiffness in the same FibroScan examination (LUXSMED), so FIB-4 and an optional fibrosis classifier can be validated against stiffness of at least 8 kPa, the guideline’s transient-elastography threshold for ruling out advanced fibrosis (12 kPa rules it in), as was done for steatosis.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Use. </w:t>
      </w:r>
      <w:r w:rsidDel="00000000" w:rsidR="00000000" w:rsidRPr="00000000">
        <w:rPr>
          <w:rFonts w:ascii="Times New Roman" w:cs="Times New Roman" w:eastAsia="Times New Roman" w:hAnsi="Times New Roman"/>
          <w:rtl w:val="0"/>
        </w:rPr>
        <w:t>The twin state gains a second dimension, fat and scarring. Patients in the high-risk category see a recommendation to seek clinical assessment before any recipes.</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17.3 MASLD subtype and safety guardrails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Subtype. </w:t>
      </w:r>
      <w:r w:rsidDel="00000000" w:rsidR="00000000" w:rsidRPr="00000000">
        <w:rPr>
          <w:rFonts w:ascii="Times New Roman" w:cs="Times New Roman" w:eastAsia="Times New Roman" w:hAnsi="Times New Roman"/>
          <w:rtl w:val="0"/>
        </w:rPr>
        <w:t>Participants are labelled using the 2023 multisociety nomenclature (Rinella et al., 2023): steatotic liver disease with at least one cardiometabolic criterion is MASLD, and MASLD with weekly alcohol intake of 140–350 g (women) or 210–420 g (men), on average 20–50 g and 30–60 g a day, is MetALD. NHANES alcohol questionnaire items are already in the dataset.</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Guardrails. </w:t>
      </w:r>
      <w:r w:rsidDel="00000000" w:rsidR="00000000" w:rsidRPr="00000000">
        <w:rPr>
          <w:rFonts w:ascii="Times New Roman" w:cs="Times New Roman" w:eastAsia="Times New Roman" w:hAnsi="Times New Roman"/>
          <w:rtl w:val="0"/>
        </w:rPr>
        <w:t>Participants under 18, those with heavy alcohol intake, those taking glucose-lowering medication and those who are pregnant receive an explicit “discuss with a clinician” notice, because adult dietary guidance or unsupervised diet change may not be appropriate.</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17.4 Patient-level explanations and uncertainty</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Explanations. </w:t>
      </w:r>
      <w:r w:rsidDel="00000000" w:rsidR="00000000" w:rsidRPr="00000000">
        <w:rPr>
          <w:rFonts w:ascii="Times New Roman" w:cs="Times New Roman" w:eastAsia="Times New Roman" w:hAnsi="Times New Roman"/>
          <w:rtl w:val="0"/>
        </w:rPr>
        <w:t>Per-patient SHAP values identify the measurements that raise or lower each patient’s predicted risk, complementing the global SHAP summary.</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Uncertainty. </w:t>
      </w:r>
      <w:r w:rsidDel="00000000" w:rsidR="00000000" w:rsidRPr="00000000">
        <w:rPr>
          <w:rFonts w:ascii="Times New Roman" w:cs="Times New Roman" w:eastAsia="Times New Roman" w:hAnsi="Times New Roman"/>
          <w:rtl w:val="0"/>
        </w:rPr>
        <w:t>Split conformal prediction gives each predicted CAP a distribution-free interval with a target coverage of 90%, checked on the test set; bootstrap intervals accompany the calibrated probabilities.</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17.5 Re-assessment timeline</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Dated measurement sets are stored for each patient, and the twin state is recomputed whenever new measurements are entered. The observed history (re-assessed states) is displayed separately from the simulated projections of Layer 5, which keeps the distinction in §1.1 explicit while implementing the “updating with new information” property claimed in §14.</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17.6 Recommendation diversity and weekly meal plans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Diversity. </w:t>
      </w:r>
      <w:r w:rsidDel="00000000" w:rsidR="00000000" w:rsidRPr="00000000">
        <w:rPr>
          <w:rFonts w:ascii="Times New Roman" w:cs="Times New Roman" w:eastAsia="Times New Roman" w:hAnsi="Times New Roman"/>
          <w:rtl w:val="0"/>
        </w:rPr>
        <w:t>Near-duplicate recipes (for example, several chickpea dishes) are reduced with maximal-marginal-relevance re-ranking on ingredient sets.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Meal plans. </w:t>
      </w:r>
      <w:r w:rsidDel="00000000" w:rsidR="00000000" w:rsidRPr="00000000">
        <w:rPr>
          <w:rFonts w:ascii="Times New Roman" w:cs="Times New Roman" w:eastAsia="Times New Roman" w:hAnsi="Times New Roman"/>
          <w:rtl w:val="0"/>
        </w:rPr>
        <w:t>A seven-day plan is selected as a constrained optimisation problem: each day meets the evidence-linked reference values, main ingredients do not repeat, and cuisines can be mixed within the patient’s preferences.</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17.7 Grounded plain-language summaries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 language model writes a short patient-friendly summary using only the structured twin output (state, priorities, evidence IDs and recipe values). An automatic check confirms that every number and citation in the text appears in that output; if it fails, a template summary is shown instead. This follows recent guidance that clinical language-model output be grounded and validated.</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17.8 Fairness audit</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Layer 2 performance and Layer 4 criteria satisfaction are reported by sex, race/ethnicity and age group with 95% bootstrap intervals.</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17.9 External and long-term validation with NHANES III (new data)</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Data. </w:t>
      </w:r>
      <w:r w:rsidDel="00000000" w:rsidR="00000000" w:rsidRPr="00000000">
        <w:rPr>
          <w:rFonts w:ascii="Times New Roman" w:cs="Times New Roman" w:eastAsia="Times New Roman" w:hAnsi="Times New Roman"/>
          <w:rtl w:val="0"/>
        </w:rPr>
        <w:t>Archived NHANES III (1988–1994) gallbladder ultrasound images were re-read in 2009–2010 to grade hepatic steatosis in adults aged 20–74, and NHANES III participants are linked to the National Death Index through 31 December 2019 in the public-use Linked Mortality Files.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Use. </w:t>
      </w:r>
      <w:r w:rsidDel="00000000" w:rsidR="00000000" w:rsidRPr="00000000">
        <w:rPr>
          <w:rFonts w:ascii="Times New Roman" w:cs="Times New Roman" w:eastAsia="Times New Roman" w:hAnsi="Times New Roman"/>
          <w:rtl w:val="0"/>
        </w:rPr>
        <w:t>This gives (a) external validation of the twin against a different reference standard in a different era and (b) the project’s first outcome data: whether the twin’s steatosis risk and FIB-4 are associated with all-cause and liver-related mortality. It partly answers the cross-sectional limitation in §1.1 without requiring repeat imaging.</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Caveats. </w:t>
      </w:r>
      <w:r w:rsidDel="00000000" w:rsidR="00000000" w:rsidRPr="00000000">
        <w:rPr>
          <w:rFonts w:ascii="Times New Roman" w:cs="Times New Roman" w:eastAsia="Times New Roman" w:hAnsi="Times New Roman"/>
          <w:rtl w:val="0"/>
        </w:rPr>
        <w:t>Assays, measurement protocols and the population have changed since 1994, some inputs may be unavailable, and the public mortality files perturb follow-up time or cause of death for selected records.</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17.10 Ultra-processing criterion (new data)</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EASL-EASD-EASO guideline advises limiting ultra-processed foods, but the ranking cannot yet measure processing. FoodProX (Menichetti et al., 2023) estimates the NOVA processing level from nutrient profiles and was trained on FNDDS; applied to recipe ingredients, it supports a new “limit ultra-processed foods” criterion linked to the existing guideline evidence row.</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17.11 Glycaemic load criterion (new data)</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International Tables of Glycemic Index and Glycemic Load Values 2021 (Atkinson et al., 2021; more than 4,000 items) can be mapped to recipe carbohydrate ingredients to estimate glycaemic load, supporting the glucose-related priority for patients with elevated HbA1c. An evidence row linking glycaemic load to liver outcomes is required before it is weighted.</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17.12 Recipe acceptability and wider RecipeDB coverage (new data)</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Acceptability. </w:t>
      </w:r>
      <w:r w:rsidDel="00000000" w:rsidR="00000000" w:rsidRPr="00000000">
        <w:rPr>
          <w:rFonts w:ascii="Times New Roman" w:cs="Times New Roman" w:eastAsia="Times New Roman" w:hAnsi="Times New Roman"/>
          <w:rtl w:val="0"/>
        </w:rPr>
        <w:t>RecipeDB ratings and rating counts, already parsed, can serve as an acceptability signal, so that well-rated recipes are preferred among those with comparable health scores.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rtl w:val="0"/>
        </w:rPr>
        <w:t xml:space="preserve">Regional cuisines. </w:t>
      </w:r>
      <w:r w:rsidDel="00000000" w:rsidR="00000000" w:rsidRPr="00000000">
        <w:rPr>
          <w:rFonts w:ascii="Times New Roman" w:cs="Times New Roman" w:eastAsia="Times New Roman" w:hAnsi="Times New Roman"/>
          <w:rtl w:val="0"/>
        </w:rPr>
        <w:t>The current 20,000-recipe subset contains only 19 Indian recipes, and 73% of its recipes have no specific cuisine label (“Other”). Drawing on the full RecipeDB, including Indian regional cuisines, would make cuisine compatibility meaningful for Indian users, for whom the Asian BMI thresholds are already implemented.</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17.13 Additional evidence rows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Candidate rows include coffee, which observational meta-analyses associate with lower odds of advanced fibrosis (OR 0.73; Liu et al., 2015) and significant fibrosis (Ebadi et al., 2021) but not with NAFLD incidence; fasting interventions, which reduced ALT in a 2026 meta-analysis of RCTs (Stern et al., 2026); and the null findings for omega-3 supplementation and low-carbohydrate high-fat diets from the same review. Observational associations would be labelled as such and not converted into causal effect sizes.</w:t>
      </w:r>
    </w:p>
    <w:p w:rsidR="00000000" w:rsidDel="00000000" w:rsidP="00000000" w:rsidRDefault="00000000" w:rsidRPr="00000000" w14:paraId="000000BB">
      <w:pPr>
        <w:pStyle w:val="Heading3"/>
        <w:keepNext w:val="0"/>
        <w:keepLines w:val="0"/>
        <w:spacing w:after="100" w:before="200" w:lineRule="auto"/>
        <w:rPr>
          <w:rFonts w:ascii="Times New Roman" w:cs="Times New Roman" w:eastAsia="Times New Roman" w:hAnsi="Times New Roman"/>
          <w:b w:val="1"/>
          <w:bCs w:val="1"/>
          <w:color w:val="000000"/>
          <w:sz w:val="26"/>
          <w:szCs w:val="26"/>
        </w:rPr>
      </w:pPr>
      <w:bookmarkStart w:colFirst="0" w:colLast="0" w:name="_xj2xdaf629vx" w:id="21"/>
      <w:bookmarkEnd w:id="21"/>
      <w:r w:rsidDel="00000000" w:rsidR="00000000" w:rsidRPr="00000000">
        <w:rPr>
          <w:rFonts w:ascii="Times New Roman" w:cs="Times New Roman" w:eastAsia="Times New Roman" w:hAnsi="Times New Roman"/>
          <w:b/>
          <w:bCs w:val="1"/>
          <w:color w:val="000000"/>
          <w:sz w:val="26"/>
          <w:szCs w:val="26"/>
          <w:rtl w:val="0"/>
        </w:rPr>
        <w:t>17.14 Future work</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Food–disease and spice–disease association resources such as DietRx and SpiceRx could add an ingredient-level health-relevance signal to the ranking engine. Because these associations are largely literature-mined and observational, they would be kept separate from the graded intervention evidence and labelled as associations rather than effects.</w:t>
      </w:r>
    </w:p>
    <w:p w:rsidR="00000000" w:rsidDel="00000000" w:rsidP="00000000" w:rsidRDefault="00000000" w:rsidRPr="00000000" w14:paraId="000000F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ei5s3j50g44" w:id="28"/>
      <w:bookmarkEnd w:id="28"/>
      <w:r w:rsidDel="00000000" w:rsidR="00000000" w:rsidRPr="00000000">
        <w:rPr>
          <w:rFonts w:ascii="Times New Roman" w:cs="Times New Roman" w:eastAsia="Times New Roman" w:hAnsi="Times New Roman"/>
          <w:b w:val="1"/>
          <w:bCs w:val="1"/>
          <w:sz w:val="30"/>
          <w:szCs w:val="30"/>
          <w:rtl w:val="0"/>
        </w:rPr>
        <w:t xml:space="preserve">Key References</w:t>
      </w:r>
      <w:r w:rsidDel="00000000" w:rsidR="00000000" w:rsidRPr="00000000">
        <w:rPr>
          <w:rtl w:val="0"/>
        </w:rPr>
      </w:r>
    </w:p>
    <w:p w:rsidR="00000000" w:rsidDel="00000000" w:rsidP="00000000" w:rsidRDefault="00000000" w:rsidRPr="00000000" w14:paraId="000000FF">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Bagler, G. &amp; Goel, A. (2024). Computational gastronomy: capturing culinary creativity by making food computable. npj Systems Biology and Applications.</w:t>
      </w:r>
    </w:p>
    <w:p w:rsidR="00000000" w:rsidDel="00000000" w:rsidP="00000000" w:rsidRDefault="00000000" w:rsidRPr="00000000" w14:paraId="00000100">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Ahn, Y.-Y. et al. (2011). Flavor network and the principles of food pairing. Scientific Reports.</w:t>
      </w:r>
    </w:p>
    <w:p w:rsidR="00000000" w:rsidDel="00000000" w:rsidP="00000000" w:rsidRDefault="00000000" w:rsidRPr="00000000" w14:paraId="00000101">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Jain, A., Rakhi, N.K. &amp; Bagler, G. (2015). Analysis of food pairing in regional cuisines of India. arXiv / PLoS ONE.</w:t>
      </w:r>
    </w:p>
    <w:p w:rsidR="00000000" w:rsidDel="00000000" w:rsidP="00000000" w:rsidRDefault="00000000" w:rsidRPr="00000000" w14:paraId="00000102">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Park, D. et al. (2021). FlavorGraph: a large-scale food-chemical graph for generating food representations and recommending food pairings. Scientific Reports.</w:t>
      </w:r>
    </w:p>
    <w:p w:rsidR="00000000" w:rsidDel="00000000" w:rsidP="00000000" w:rsidRDefault="00000000" w:rsidRPr="00000000" w14:paraId="00000103">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Emerson, S. et al. (2024). Optimizing ingredient substitutions using large language models to enhance phytochemical content.</w:t>
      </w:r>
    </w:p>
    <w:p w:rsidR="00000000" w:rsidDel="00000000" w:rsidP="00000000" w:rsidRDefault="00000000" w:rsidRPr="00000000" w14:paraId="00000104">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Vilar-Gomez, E. et al. (2015). Weight loss through lifestyle modification significantly reduces features of nonalcoholic steatohepatitis. Gastroenterology, 149(2), 367–378.</w:t>
      </w:r>
    </w:p>
    <w:p w:rsidR="00000000" w:rsidDel="00000000" w:rsidP="00000000" w:rsidRDefault="00000000" w:rsidRPr="00000000" w14:paraId="00000105">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Sangouni, A.A. et al. (2022). Effect of Mediterranean diet on liver enzymes: a systematic review and meta-analysis of randomised controlled trials. British Journal of Nutrition, 128(7), 1231–1239.</w:t>
      </w:r>
    </w:p>
    <w:p w:rsidR="00000000" w:rsidDel="00000000" w:rsidP="00000000" w:rsidRDefault="00000000" w:rsidRPr="00000000" w14:paraId="00000106">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Katsoulakis, E. et al. (2024). Digital twins for health: a scoping review. npj Digital Medicine.</w:t>
      </w:r>
    </w:p>
    <w:p w:rsidR="00000000" w:rsidDel="00000000" w:rsidP="00000000" w:rsidRDefault="00000000" w:rsidRPr="00000000" w14:paraId="00000107">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Joshi, S. et al. (2023). Digital Twin-Enabled Personalized Nutrition Improves MAFLD in Type 2 Diabetes. Endocrine Practice.</w:t>
      </w:r>
    </w:p>
    <w:p w:rsidR="00000000" w:rsidDel="00000000" w:rsidP="00000000" w:rsidRDefault="00000000" w:rsidRPr="00000000" w14:paraId="00000108">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iDT-diet: An Intelligent Digital Twin Model for Diet-Influenced Biomarker Trajectories. AAAI 2026 (Student Abstract).</w:t>
      </w:r>
    </w:p>
    <w:p w:rsidR="00000000" w:rsidDel="00000000" w:rsidP="00000000" w:rsidRDefault="00000000" w:rsidRPr="00000000" w14:paraId="00000109">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Identifying Ingredient Substitutions Using a Knowledge Graph of Food (2021). PMC.</w:t>
      </w:r>
    </w:p>
    <w:p w:rsidR="00000000" w:rsidDel="00000000" w:rsidP="00000000" w:rsidRDefault="00000000" w:rsidRPr="00000000" w14:paraId="0000010A">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 Survey on Food Ingredient Substitutions (2025). arXiv.</w:t>
      </w:r>
    </w:p>
    <w:p w:rsidR="00000000" w:rsidDel="00000000" w:rsidP="00000000" w:rsidRDefault="00000000" w:rsidRPr="00000000" w14:paraId="0000010B">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EASL-EASD-EASO Clinical Practice Guidelines on the management of MASLD (2024). Diabetologia.</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NHANES 2017–2018 and 2017–March 2020 Liver Ultrasound Transient Elastography (LUX) documentation. National Center for Health Statistics, CDC.</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Haigh, L. et al. (2022). The effectiveness and acceptability of Mediterranean diet and calorie restriction in NAFLD: a systematic review and meta-analysis. Clinical Nutrition, 41(9), 1913–1931.</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Stern, U.M. et al. (2026). The impact of dietary interventions on liver health biomarkers in MASLD: a systematic review and meta-analysis of RCTs. European Journal of Nutrition, 65(2), 58.</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Stine, J.G. et al. (2023). Exercise training is associated with treatment response in liver fat content by MRI independent of clinically significant body weight loss. American Journal of Gastroenterology, 118(7), 1204–1213.</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Xiong, Y. et al. (2024). Effects of Mediterranean diet and low-fat diet on liver enzymes and liver fat content of NAFLD: a meta-analysis of RCTs. Food &amp; Function, 15(16), 8248–8257.</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Luukkonen, P.K. et al. (2018). Saturated fat is more metabolically harmful for the human liver than unsaturated fat or simple sugars. Diabetes Care, 41(8), 1732–1739.</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Chiu, S. et al. (2014). Effect of fructose on markers of NAFLD: a systematic review and meta-analysis of controlled feeding trials. European Journal of Clinical Nutrition, 68(4), 416–423.</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Bedogni, G. et al. (2006). The Fatty Liver Index: a simple and accurate predictor of hepatic steatosis in the general population. BMC Gastroenterology, 6, 33.</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Lee, J.H. et al. (2010). Hepatic steatosis index: a simple screening tool reflecting nonalcoholic fatty liver disease. Digestive and Liver Disease, 42(7), 503–508.</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Rinella, M.E. et al. (2023). A multisociety Delphi consensus statement on new fatty liver disease nomenclature. Hepatology, 78(6), 1966–1986.</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Sterling, R.K. et al. (2006). Development of a simple noninvasive index to predict significant fibrosis in patients with HIV/HCV coinfection. Hepatology, 43(6), 1317–1325.</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Shams-White, M.M. et al. (2023). Healthy Eating Index-2020: review and update process to reflect the Dietary Guidelines for Americans, 2020–2025. Journal of the Academy of Nutrition and Dietetics, 123(9), 1280–1288.</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Menichetti, G. et al. (2023). Machine learning prediction of the degree of food processing. Nature Communications, 14, 2312.</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Atkinson, F.S. et al. (2021). International tables of glycemic index and glycemic load values 2021: a systematic review. American Journal of Clinical Nutrition, 114(5), 1625–1632.</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Liu, F. et al. (2015). Coffee consumption decreases risks for hepatic fibrosis and cirrhosis: a meta-analysis. PLoS One, 10(11), e0142457.</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Ebadi, M. et al. (2021). Effect of coffee consumption on NAFLD incidence, prevalence and risk of significant liver fibrosis: systematic review with meta-analysis of observational studies. Nutrients, 13(9), 3042.</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NHANES III Hepatic/Gallbladder Ultrasound and Hepatic Steatosis data, and 2019 Public-Use Linked Mortality Files. National Center for Health Statistics, CDC.</w:t>
      </w:r>
    </w:p>
    <w:p w:rsidR="00000000" w:rsidDel="00000000" w:rsidP="00000000" w:rsidRDefault="00000000" w:rsidRPr="00000000" w14:paraId="0000010C">
      <w:pPr>
        <w:spacing w:after="80" w:line="268.8" w:lineRule="auto"/>
        <w:ind w:left="640" w:hanging="2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ARTEMIS: AcceleRating the Translation of Virtual Twins Towards a pErsonalised Management of Steatotic Liver Patients. Horizon Europe grant 101136299; ClinicalTrials.gov NCT07430501.</w:t>
      </w:r>
    </w:p>
    <w:p w:rsidR="00000000" w:rsidDel="00000000" w:rsidP="00000000" w:rsidRDefault="00000000" w:rsidRPr="00000000" w14:paraId="000001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