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HepatoTwin</w:t>
      </w:r>
    </w:p>
    <w:p w:rsidR="00000000" w:rsidDel="00000000" w:rsidP="00000000" w:rsidRDefault="00000000" w:rsidRPr="00000000" w14:paraId="00000002">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HepatoTwin: A Digital Twin Framework for Personalized, Evidence-Based Dietary Intervention and Health Forecasting</w:t>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1p3ij9db1v5r" w:id="0"/>
      <w:bookmarkEnd w:id="0"/>
      <w:r w:rsidDel="00000000" w:rsidR="00000000" w:rsidRPr="00000000">
        <w:rPr>
          <w:rFonts w:ascii="Times New Roman" w:cs="Times New Roman" w:eastAsia="Times New Roman" w:hAnsi="Times New Roman"/>
          <w:b w:val="1"/>
          <w:bCs w:val="1"/>
          <w:sz w:val="30"/>
          <w:szCs w:val="30"/>
          <w:rtl w:val="0"/>
        </w:rPr>
        <w:t xml:space="preserve">1. Research Question</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230" w:hRule="atLeast"/>
          <w:tblHeader w:val="0"/>
        </w:trPr>
        <w:tc>
          <w:tcPr>
            <w:tcBorders>
              <w:top w:color="0c8f6e" w:space="0" w:sz="5" w:val="single"/>
              <w:left w:color="0c8f6e" w:space="0" w:sz="5" w:val="single"/>
              <w:bottom w:color="0c8f6e" w:space="0" w:sz="5" w:val="single"/>
              <w:right w:color="0c8f6e" w:space="0" w:sz="5"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04">
            <w:pPr>
              <w:spacing w:after="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Central question</w:t>
            </w:r>
          </w:p>
          <w:p w:rsidR="00000000" w:rsidDel="00000000" w:rsidP="00000000" w:rsidRDefault="00000000" w:rsidRPr="00000000" w14:paraId="0000000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Can a patient-specific liver digital twin — built from clinical and biological evidence — support the evidence-grounded evaluation and ranking of existing recipes from a recipe corpus, according to their health relevance, cuisine compatibility, and cooking feasibility for an individual patient?</w:t>
            </w:r>
          </w:p>
        </w:tc>
      </w:tr>
    </w:tbl>
    <w:p w:rsidR="00000000" w:rsidDel="00000000" w:rsidP="00000000" w:rsidRDefault="00000000" w:rsidRPr="00000000" w14:paraId="00000006">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focus: metabolic dysfunction-associated steatotic liver disease (MASLD; formerly NAFLD) — diet-modifiable, with strong clinical evidence linking dietary and weight changes to measurable outcomes, giving the project a concrete, gradable success criterion. This is stated as a focus, not baked into the title, because the underlying framework — the twin's state model and its recipe evaluation and ranking engine — is domain-general and could be re-validated against any diet-modifiable condition DietRx/SpiceRx already cover.</w:t>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heriaosv0ou4" w:id="1"/>
      <w:bookmarkEnd w:id="1"/>
      <w:r w:rsidDel="00000000" w:rsidR="00000000" w:rsidRPr="00000000">
        <w:rPr>
          <w:rFonts w:ascii="Times New Roman" w:cs="Times New Roman" w:eastAsia="Times New Roman" w:hAnsi="Times New Roman"/>
          <w:b w:val="1"/>
          <w:bCs w:val="1"/>
          <w:sz w:val="30"/>
          <w:szCs w:val="30"/>
          <w:rtl w:val="0"/>
        </w:rPr>
        <w:t xml:space="preserve">1.1 What Makes This a Digital Twin</w:t>
      </w:r>
    </w:p>
    <w:p w:rsidR="00000000" w:rsidDel="00000000" w:rsidP="00000000" w:rsidRDefault="00000000" w:rsidRPr="00000000" w14:paraId="00000009">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digital twin is a patient-specific computational representation of a system's state that can be updated as new patient data becomes available and used to simulate how that state may change under different interventions — not a one-shot prediction paired with a static visualization (Katsoulakis et al., 2024). HepatoTwin is designed to meet that bar:</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230" w:hRule="atLeast"/>
          <w:tblHeader w:val="0"/>
        </w:trPr>
        <w:tc>
          <w:tcPr>
            <w:tcBorders>
              <w:top w:color="c1443c" w:space="0" w:sz="5" w:val="single"/>
              <w:left w:color="c1443c" w:space="0" w:sz="5" w:val="single"/>
              <w:bottom w:color="c1443c" w:space="0" w:sz="5" w:val="single"/>
              <w:right w:color="c1443c" w:space="0" w:sz="5"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0A">
            <w:pPr>
              <w:spacing w:after="6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Digital Twin ≠ 3D liver</w:t>
            </w:r>
          </w:p>
          <w:p w:rsidR="00000000" w:rsidDel="00000000" w:rsidP="00000000" w:rsidRDefault="00000000" w:rsidRPr="00000000" w14:paraId="0000000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3D render (Layer 6, §9) is one interface into the twin, not the twin itself. The actual digital twin is the combination of patient state, clinical prediction, biological knowledge, intervention evidence, the scenario engine, and the future-state representation — Layers 2 through 6 together.</w:t>
            </w:r>
          </w:p>
        </w:tc>
      </w:tr>
    </w:tbl>
    <w:p w:rsidR="00000000" w:rsidDel="00000000" w:rsidP="00000000" w:rsidRDefault="00000000" w:rsidRPr="00000000" w14:paraId="000000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State, not a snapshot: the twin holds a calibrated hepatic risk state plus a nutritional-exposure profile per patient, both of which update on new clinical data or a new recipe plan — not recomputed once and displayed.</w:t>
      </w:r>
    </w:p>
    <w:p w:rsidR="00000000" w:rsidDel="00000000" w:rsidP="00000000" w:rsidRDefault="00000000" w:rsidRPr="00000000" w14:paraId="0000000D">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Simulations of future states, not lookups: The scenario engine (§8) is not looking up a static recommendation — it simulates the future state of the twin, given a specific recipe, based on effect sizes derived from the evidence rather than the risk model’s extrapolation.</w:t>
      </w:r>
    </w:p>
    <w:p w:rsidR="00000000" w:rsidDel="00000000" w:rsidP="00000000" w:rsidRDefault="00000000" w:rsidRPr="00000000" w14:paraId="0000000E">
      <w:pPr>
        <w:ind w:left="1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F">
      <w:pPr>
        <w:rPr>
          <w:b w:val="1"/>
          <w:bCs w:val="1"/>
        </w:rPr>
      </w:pPr>
      <w:r w:rsidDel="00000000" w:rsidR="00000000" w:rsidRPr="00000000">
        <w:rPr>
          <w:b w:val="1"/>
          <w:bCs w:val="1"/>
          <w:rtl w:val="0"/>
        </w:rPr>
        <w:t xml:space="preserve">Scope Note – longitudinal validation not done</w:t>
      </w:r>
    </w:p>
    <w:p w:rsidR="00000000" w:rsidDel="00000000" w:rsidP="00000000" w:rsidRDefault="00000000" w:rsidRPr="00000000" w14:paraId="00000010">
      <w:pPr>
        <w:rPr>
          <w:sz w:val="20"/>
          <w:szCs w:val="20"/>
        </w:rPr>
      </w:pPr>
      <w:r w:rsidDel="00000000" w:rsidR="00000000" w:rsidRPr="00000000">
        <w:rPr>
          <w:sz w:val="20"/>
          <w:szCs w:val="20"/>
          <w:rtl w:val="0"/>
        </w:rPr>
        <w:t xml:space="preserve">The current project does not perform longitudinal validation by comparing the projections to the true repeat measurements outcome data — the clinical data set (§13) used is a cross-sectional one. All projections of the future states are marked as “simulated projections, not a clinical prediction” and all scenarios are based on the clinical evidence (§6).</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ihju4746dwx" w:id="2"/>
      <w:bookmarkEnd w:id="2"/>
      <w:r w:rsidDel="00000000" w:rsidR="00000000" w:rsidRPr="00000000">
        <w:rPr>
          <w:rFonts w:ascii="Times New Roman" w:cs="Times New Roman" w:eastAsia="Times New Roman" w:hAnsi="Times New Roman"/>
          <w:b w:val="1"/>
          <w:bCs w:val="1"/>
          <w:sz w:val="30"/>
          <w:szCs w:val="30"/>
          <w:rtl w:val="0"/>
        </w:rPr>
        <w:t xml:space="preserve">2. System Architecture — Seven Layers</w:t>
      </w:r>
      <w:r w:rsidDel="00000000" w:rsidR="00000000" w:rsidRPr="00000000">
        <w:rPr>
          <w:rtl w:val="0"/>
        </w:rPr>
      </w:r>
    </w:p>
    <w:p w:rsidR="00000000" w:rsidDel="00000000" w:rsidP="00000000" w:rsidRDefault="00000000" w:rsidRPr="00000000" w14:paraId="00000012">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twin is the whole stack, not any single layer — Layer 4, the recipe evaluation and ranking engine, is the primary research contribution and is referred to internally as NutriTwin.</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065"/>
        <w:gridCol w:w="3360"/>
        <w:tblGridChange w:id="0">
          <w:tblGrid>
            <w:gridCol w:w="1410"/>
            <w:gridCol w:w="4065"/>
            <w:gridCol w:w="3360"/>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Layer</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Contents</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Role</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Patient State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Demographics, lifestyle, clinical biomarkers, current diet (as a recipe list)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Raw input</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 Liver Digital Twin — Current State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Calibrated MASLD/steatosis risk, biological state representation, causal knowledge graph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twin's core (§5)</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Intervention Evidence Engine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Clinical trials/meta-analyses, DietRx/SpiceRx associations, causal-graph gating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Evidence-graded health signal (§6)</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 Recipe Evaluation and Ranking Engine (NutriTwin)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Health, cuisine, and cooking-feasibility objectives over RecipeDB</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Core research contribution (§7)</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Scenario Engine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3">
            <w:pPr>
              <w:spacing w:after="40" w:lineRule="auto"/>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“What if the patient adopts Recipe A / B / C?” → evidence-graded projected direction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Makes the twin interactive (§8)</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 Digital Twin Visualization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6">
            <w:pPr>
              <w:spacing w:after="40" w:lineRule="auto"/>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3D liver (simplified, S0–S3) + timeline slider (today → 3m → 6m → 1y)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twin's interface (§9)</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 Explainable Dashboard</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Why this recipe, evidence sources, nutritional fit, confidence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User-facing layer (§10)</w:t>
            </w:r>
          </w:p>
        </w:tc>
      </w:tr>
    </w:tbl>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fgoxnyuipaq" w:id="3"/>
      <w:bookmarkEnd w:id="3"/>
      <w:r w:rsidDel="00000000" w:rsidR="00000000" w:rsidRPr="00000000">
        <w:rPr>
          <w:rFonts w:ascii="Times New Roman" w:cs="Times New Roman" w:eastAsia="Times New Roman" w:hAnsi="Times New Roman"/>
          <w:b w:val="1"/>
          <w:bCs w:val="1"/>
          <w:sz w:val="30"/>
          <w:szCs w:val="30"/>
          <w:rtl w:val="0"/>
        </w:rPr>
        <w:t xml:space="preserve">3. Need for the following Databases</w:t>
      </w:r>
      <w:r w:rsidDel="00000000" w:rsidR="00000000" w:rsidRPr="00000000">
        <w:rPr>
          <w:rtl w:val="0"/>
        </w:rPr>
      </w:r>
    </w:p>
    <w:p w:rsidR="00000000" w:rsidDel="00000000" w:rsidP="00000000" w:rsidRDefault="00000000" w:rsidRPr="00000000" w14:paraId="0000002C">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Layers 3 and 4 are where the lab's own assets are load-bearing:</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80"/>
        <w:tblGridChange w:id="0">
          <w:tblGrid>
            <w:gridCol w:w="2655"/>
            <w:gridCol w:w="6180"/>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Lab asset</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Role in this project</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RecipeDB</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Source corpus for candidate recipes; supplies ingredient/process/utensil structure used for the cooking-feasibility objective.</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FlavorDB</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Compound-level ingredient flavor profiles; explored during the literature review as a possible flavor-similarity signal, but not used as a core scoring component, since the flavor of a fully cooked, multi-ingredient dish cannot be reliably predicted from individual compound profiles (see §4).</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DietRx / SpiceRx</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Food–disease and spice–disease association evidence, used to score the health-relevance of a candidate recipe for MASLD-relevant outcomes.</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Computational gastronomy methodology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recipe evaluation methodology itself — multi-criteria scoring and ranking over a food knowledge graph — extends the food-pairing / recipe-recommendation line of work already established in the lab's own literature (§4).</w:t>
            </w:r>
          </w:p>
        </w:tc>
      </w:tr>
    </w:tbl>
    <w:p w:rsidR="00000000" w:rsidDel="00000000" w:rsidP="00000000" w:rsidRDefault="00000000" w:rsidRPr="00000000" w14:paraId="00000037">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clinical model (Layer 2) is deliberately scoped as an input to the twin, not the object of study — the thing being invented is the ranking engine, not the risk predictor.</w:t>
      </w:r>
    </w:p>
    <w:p w:rsidR="00000000" w:rsidDel="00000000" w:rsidP="00000000" w:rsidRDefault="00000000" w:rsidRPr="00000000" w14:paraId="0000003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ofj7abvoasg" w:id="4"/>
      <w:bookmarkEnd w:id="4"/>
      <w:r w:rsidDel="00000000" w:rsidR="00000000" w:rsidRPr="00000000">
        <w:rPr>
          <w:rFonts w:ascii="Times New Roman" w:cs="Times New Roman" w:eastAsia="Times New Roman" w:hAnsi="Times New Roman"/>
          <w:b w:val="1"/>
          <w:bCs w:val="1"/>
          <w:sz w:val="30"/>
          <w:szCs w:val="30"/>
          <w:rtl w:val="0"/>
        </w:rPr>
        <w:t xml:space="preserve">4. Related Work — Where the Gap Sits</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related strands of research point to the open problem addressed in this work:</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Computational gastronomy and recipe databases:</w:t>
      </w:r>
      <w:r w:rsidDel="00000000" w:rsidR="00000000" w:rsidRPr="00000000">
        <w:rPr>
          <w:rFonts w:ascii="Times New Roman" w:cs="Times New Roman" w:eastAsia="Times New Roman" w:hAnsi="Times New Roman"/>
          <w:rtl w:val="0"/>
        </w:rPr>
        <w:t xml:space="preserve"> Resources such as RecipeDB provide structured information about recipes, including ingredients, nutritional profiles, cuisines, cooking processes, dietary styles, and associations with flavor and health-related resources. However, these systems are primarily designed for exploring and querying culinary data rather than evaluating existing recipes for the specific needs of an individual patient.</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Food, nutrition, and health knowledge resources:</w:t>
      </w:r>
      <w:r w:rsidDel="00000000" w:rsidR="00000000" w:rsidRPr="00000000">
        <w:rPr>
          <w:rFonts w:ascii="Times New Roman" w:cs="Times New Roman" w:eastAsia="Times New Roman" w:hAnsi="Times New Roman"/>
          <w:rtl w:val="0"/>
        </w:rPr>
        <w:t xml:space="preserve"> Databases such as DietRx and SpiceRx connect foods and ingredients with reported dietary and health associations. These resources provide valuable evidence that can support personalized dietary decisions. However, they do not by themselves provide a framework for evaluating complete recipes according to a patient's current health state.</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Patient-specific metabolic and liver digital twins:</w:t>
      </w:r>
      <w:r w:rsidDel="00000000" w:rsidR="00000000" w:rsidRPr="00000000">
        <w:rPr>
          <w:rFonts w:ascii="Times New Roman" w:cs="Times New Roman" w:eastAsia="Times New Roman" w:hAnsi="Times New Roman"/>
          <w:rtl w:val="0"/>
        </w:rPr>
        <w:t xml:space="preserve"> Existing work on digital twins and personalized nutrition focuses on modeling patient state, biomarkers, disease progression, and personalized interventions. However, existing recipes are generally not treated as a structured candidate space that can be systematically evaluated according to multiple criteria relevant to an individual patient.</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three areas provide complementary pieces of the problem: recipe databases provide structured descriptions of food and recipes, health knowledge resources provide evidence about food–health relationships, and patient-specific digital twins model the health state of an individual. However, these components are typically studied separately.</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Research Gap</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literature review, we identify a gap at the intersection of </w:t>
      </w:r>
      <w:r w:rsidDel="00000000" w:rsidR="00000000" w:rsidRPr="00000000">
        <w:rPr>
          <w:rFonts w:ascii="Times New Roman" w:cs="Times New Roman" w:eastAsia="Times New Roman" w:hAnsi="Times New Roman"/>
          <w:b w:val="1"/>
          <w:bCs w:val="1"/>
          <w:rtl w:val="0"/>
        </w:rPr>
        <w:t xml:space="preserve">patient-specific health modeling, evidence-based nutrition, and computational gastronomy</w:t>
      </w:r>
      <w:r w:rsidDel="00000000" w:rsidR="00000000" w:rsidRPr="00000000">
        <w:rPr>
          <w:rFonts w:ascii="Times New Roman" w:cs="Times New Roman" w:eastAsia="Times New Roman" w:hAnsi="Times New Roman"/>
          <w:rtl w:val="0"/>
        </w:rPr>
        <w:t xml:space="preserve">. While structured recipe databases allow exploration of existing recipes, and digital twin approaches support patient-specific health modeling, there is limited work connecting these components to systematically evaluate and rank existing recipes for a particular patient's health state.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 we did not identify a framework that combines: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 relevance</w:t>
      </w:r>
      <w:r w:rsidDel="00000000" w:rsidR="00000000" w:rsidRPr="00000000">
        <w:rPr>
          <w:rFonts w:ascii="Times New Roman" w:cs="Times New Roman" w:eastAsia="Times New Roman" w:hAnsi="Times New Roman"/>
          <w:rtl w:val="0"/>
        </w:rPr>
        <w:t xml:space="preserve">, derived from the patient's current state and evidence-based dietary objectives;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cuisine compatibility</w:t>
      </w:r>
      <w:r w:rsidDel="00000000" w:rsidR="00000000" w:rsidRPr="00000000">
        <w:rPr>
          <w:rFonts w:ascii="Times New Roman" w:cs="Times New Roman" w:eastAsia="Times New Roman" w:hAnsi="Times New Roman"/>
          <w:rtl w:val="0"/>
        </w:rPr>
        <w:t xml:space="preserve">, to account for the patient's dietary and culinary context; and</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practical cooking feasibility</w:t>
      </w:r>
      <w:r w:rsidDel="00000000" w:rsidR="00000000" w:rsidRPr="00000000">
        <w:rPr>
          <w:rFonts w:ascii="Times New Roman" w:cs="Times New Roman" w:eastAsia="Times New Roman" w:hAnsi="Times New Roman"/>
          <w:rtl w:val="0"/>
        </w:rPr>
        <w:t xml:space="preserve">, based on recipe ingredients and cooking requirements;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a transparent multi-criteria framework for patient-specific recipe evaluation.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HepatoTwin Addresses the Gap</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generating new recipes or performing ingredient substitutions, </w:t>
      </w:r>
      <w:r w:rsidDel="00000000" w:rsidR="00000000" w:rsidRPr="00000000">
        <w:rPr>
          <w:rFonts w:ascii="Times New Roman" w:cs="Times New Roman" w:eastAsia="Times New Roman" w:hAnsi="Times New Roman"/>
          <w:b w:val="1"/>
          <w:bCs w:val="1"/>
          <w:rtl w:val="0"/>
        </w:rPr>
        <w:t xml:space="preserve">HepatoTwin evaluates existing candidate recipes</w:t>
      </w:r>
      <w:r w:rsidDel="00000000" w:rsidR="00000000" w:rsidRPr="00000000">
        <w:rPr>
          <w:rFonts w:ascii="Times New Roman" w:cs="Times New Roman" w:eastAsia="Times New Roman" w:hAnsi="Times New Roman"/>
          <w:rtl w:val="0"/>
        </w:rPr>
        <w:t xml:space="preserve"> from a structured recipe corpus. The patient's current liver and metabolic state is first represented through the digital twin, which is then used to derive evidence-based dietary objectives.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candidate recipe is subsequently evaluated according to its </w:t>
      </w:r>
      <w:r w:rsidDel="00000000" w:rsidR="00000000" w:rsidRPr="00000000">
        <w:rPr>
          <w:rFonts w:ascii="Times New Roman" w:cs="Times New Roman" w:eastAsia="Times New Roman" w:hAnsi="Times New Roman"/>
          <w:b w:val="1"/>
          <w:bCs w:val="1"/>
          <w:rtl w:val="0"/>
        </w:rPr>
        <w:t xml:space="preserve">health relevance, cuisine compatibility, and practical cooking feasibility</w:t>
      </w:r>
      <w:r w:rsidDel="00000000" w:rsidR="00000000" w:rsidRPr="00000000">
        <w:rPr>
          <w:rFonts w:ascii="Times New Roman" w:cs="Times New Roman" w:eastAsia="Times New Roman" w:hAnsi="Times New Roman"/>
          <w:rtl w:val="0"/>
        </w:rPr>
        <w:t xml:space="preserve">. These criteria are combined using a transparent multi-criteria scoring framework to produce a ranked list of the most suitable recipe options for the patient.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central contribution of HepatoTwin is not recipe generation or flavor-preserving ingredient substitution. Instead, it provides a framework for connecting a </w:t>
      </w:r>
      <w:r w:rsidDel="00000000" w:rsidR="00000000" w:rsidRPr="00000000">
        <w:rPr>
          <w:rFonts w:ascii="Times New Roman" w:cs="Times New Roman" w:eastAsia="Times New Roman" w:hAnsi="Times New Roman"/>
          <w:b w:val="1"/>
          <w:bCs w:val="1"/>
          <w:rtl w:val="0"/>
        </w:rPr>
        <w:t xml:space="preserve">patient-specific liver digital twin with evidence-based dietary knowledge and structured recipe data to support transparent evaluation and ranking of existing recipes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ige7454co27" w:id="5"/>
      <w:bookmarkEnd w:id="5"/>
      <w:r w:rsidDel="00000000" w:rsidR="00000000" w:rsidRPr="00000000">
        <w:rPr>
          <w:rFonts w:ascii="Times New Roman" w:cs="Times New Roman" w:eastAsia="Times New Roman" w:hAnsi="Times New Roman"/>
          <w:b w:val="1"/>
          <w:bCs w:val="1"/>
          <w:sz w:val="30"/>
          <w:szCs w:val="30"/>
          <w:rtl w:val="0"/>
        </w:rPr>
        <w:t xml:space="preserve">5. Layer 2 — Liver Digital Twin Core (Current State Model)</w:t>
      </w:r>
      <w:r w:rsidDel="00000000" w:rsidR="00000000" w:rsidRPr="00000000">
        <w:rPr>
          <w:rtl w:val="0"/>
        </w:rPr>
      </w:r>
    </w:p>
    <w:p w:rsidR="00000000" w:rsidDel="00000000" w:rsidP="00000000" w:rsidRDefault="00000000" w:rsidRPr="00000000" w14:paraId="0000004C">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mgm0hsnhnzsj" w:id="6"/>
      <w:bookmarkEnd w:id="6"/>
      <w:r w:rsidDel="00000000" w:rsidR="00000000" w:rsidRPr="00000000">
        <w:rPr>
          <w:rFonts w:ascii="Times New Roman" w:cs="Times New Roman" w:eastAsia="Times New Roman" w:hAnsi="Times New Roman"/>
          <w:b w:val="1"/>
          <w:bCs w:val="1"/>
          <w:color w:val="000000"/>
          <w:sz w:val="26"/>
          <w:szCs w:val="26"/>
          <w:rtl w:val="0"/>
        </w:rPr>
        <w:t xml:space="preserve">5.1 Steatosis / MASLD risk model</w:t>
      </w:r>
    </w:p>
    <w:p w:rsidR="00000000" w:rsidDel="00000000" w:rsidP="00000000" w:rsidRDefault="00000000" w:rsidRPr="00000000" w14:paraId="0000004D">
      <w:pPr>
        <w:ind w:left="8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XGBoost main model, compared to logistic regression and random forest baselines</w:t>
      </w:r>
    </w:p>
    <w:p w:rsidR="00000000" w:rsidDel="00000000" w:rsidP="00000000" w:rsidRDefault="00000000" w:rsidRPr="00000000" w14:paraId="0000004E">
      <w:pPr>
        <w:ind w:left="8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Trained and evaluated on one cohort only (§13) to prevent cross-population validation bias</w:t>
      </w:r>
    </w:p>
    <w:p w:rsidR="00000000" w:rsidDel="00000000" w:rsidP="00000000" w:rsidRDefault="00000000" w:rsidRPr="00000000" w14:paraId="0000004F">
      <w:pPr>
        <w:ind w:left="8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Postprocessed for proper calibration using Platt scaling/isotonic regression; reported together with Accuracy, F1, ROC-AUC as well as with the calibration plot and Brier score</w:t>
      </w:r>
    </w:p>
    <w:p w:rsidR="00000000" w:rsidDel="00000000" w:rsidP="00000000" w:rsidRDefault="00000000" w:rsidRPr="00000000" w14:paraId="00000050">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itr9xko9uy55" w:id="7"/>
      <w:bookmarkEnd w:id="7"/>
      <w:r w:rsidDel="00000000" w:rsidR="00000000" w:rsidRPr="00000000">
        <w:rPr>
          <w:rFonts w:ascii="Times New Roman" w:cs="Times New Roman" w:eastAsia="Times New Roman" w:hAnsi="Times New Roman"/>
          <w:b w:val="1"/>
          <w:bCs w:val="1"/>
          <w:color w:val="000000"/>
          <w:sz w:val="26"/>
          <w:szCs w:val="26"/>
          <w:rtl w:val="0"/>
        </w:rPr>
        <w:t xml:space="preserve">5.2 Explainability (SHAP)</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determines which input features contributed most to a particular prediction of the current state, thus providing an interpretation at the level of features of the “current state” of the twin prior to intervention.</w:t>
      </w:r>
    </w:p>
    <w:p w:rsidR="00000000" w:rsidDel="00000000" w:rsidP="00000000" w:rsidRDefault="00000000" w:rsidRPr="00000000" w14:paraId="00000052">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qiu109ire880" w:id="8"/>
      <w:bookmarkEnd w:id="8"/>
      <w:r w:rsidDel="00000000" w:rsidR="00000000" w:rsidRPr="00000000">
        <w:rPr>
          <w:rFonts w:ascii="Times New Roman" w:cs="Times New Roman" w:eastAsia="Times New Roman" w:hAnsi="Times New Roman"/>
          <w:b w:val="1"/>
          <w:bCs w:val="1"/>
          <w:color w:val="000000"/>
          <w:sz w:val="26"/>
          <w:szCs w:val="26"/>
          <w:rtl w:val="0"/>
        </w:rPr>
        <w:t xml:space="preserve">5.3 Causal knowledge graph</w:t>
      </w:r>
    </w:p>
    <w:p w:rsidR="00000000" w:rsidDel="00000000" w:rsidP="00000000" w:rsidRDefault="00000000" w:rsidRPr="00000000" w14:paraId="00000053">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directed graph containing only a handful of hand-crafted relationships (~10-15), representing the well-known causal directionality of MASLD biology — for example, dietary/insulin resistance -&gt; fat deposition in the liver -&gt; consequent ALT/AST increase. This will limit the types of mutations that can be scored in Layer 3 to those that are plausibly causal within the scope of the problem definition, and ensure that the health objective does not try to act on a downstream consequence.</w:t>
      </w:r>
    </w:p>
    <w:p w:rsidR="00000000" w:rsidDel="00000000" w:rsidP="00000000" w:rsidRDefault="00000000" w:rsidRPr="00000000" w14:paraId="0000005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yf9y35593kg" w:id="9"/>
      <w:bookmarkEnd w:id="9"/>
      <w:r w:rsidDel="00000000" w:rsidR="00000000" w:rsidRPr="00000000">
        <w:rPr>
          <w:rFonts w:ascii="Times New Roman" w:cs="Times New Roman" w:eastAsia="Times New Roman" w:hAnsi="Times New Roman"/>
          <w:b w:val="1"/>
          <w:bCs w:val="1"/>
          <w:sz w:val="30"/>
          <w:szCs w:val="30"/>
          <w:rtl w:val="0"/>
        </w:rPr>
        <w:t xml:space="preserve">6. Layer 3 — Intervention Evidence Engine</w:t>
      </w:r>
      <w:r w:rsidDel="00000000" w:rsidR="00000000" w:rsidRPr="00000000">
        <w:rPr>
          <w:rtl w:val="0"/>
        </w:rPr>
      </w:r>
    </w:p>
    <w:p w:rsidR="00000000" w:rsidDel="00000000" w:rsidP="00000000" w:rsidRDefault="00000000" w:rsidRPr="00000000" w14:paraId="00000055">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intervention effect used by the ranking engine is pulled from a named clinical trial or meta-analysis, with an explicit evidence-strength label. Starter rows (target: 10–15 total):</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80"/>
        <w:gridCol w:w="2295"/>
        <w:gridCol w:w="2025"/>
        <w:gridCol w:w="1320"/>
        <w:tblGridChange w:id="0">
          <w:tblGrid>
            <w:gridCol w:w="1500"/>
            <w:gridCol w:w="1680"/>
            <w:gridCol w:w="2295"/>
            <w:gridCol w:w="2025"/>
            <w:gridCol w:w="1320"/>
          </w:tblGrid>
        </w:tblGridChange>
      </w:tblGrid>
      <w:tr>
        <w:trPr>
          <w:cantSplit w:val="0"/>
          <w:trHeight w:val="58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Intervention</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Outcome measured</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Reported effect</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Source</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Evidence strength</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Weight loss ≥5% of body weight</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Hepatic steatosis (biopsy)</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Reduction in steatosis observed at this threshold; dose-response with further loss</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Vilar-Gomez et al., Gastroenterology, 2015</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(n=293, biopsy-paired)</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Weight loss 7–10%</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Liver inflammation / NASH activity</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Improvement in NAFLD Activity Score at this threshold</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Vilar-Gomez et al., Gastroenterology, 2015</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(n=293, biopsy-paired)</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5">
            <w:pPr>
              <w:spacing w:after="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Weight loss ≥10%</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NASH resolution / fibrosis</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90% NASH resolution and dose-dependent fibrosis regression at this threshold</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Vilar-Gomez et al., Gastroenterology, 2015</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(n=293, biopsy-paired)</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Mediterranean diet vs. control</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AST, GGT</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Small but statistically significant reduction</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Haghighatdoost et al., meta-analysis of 10 RCTs, 2021</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Moderate (meta-analysis, n=705)</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Mediterranean diet vs. control</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7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7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statistically significant effect; CI crosses zero</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7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Haghighatdoost et al., meta-analysis of 10 RCTs, 2021</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7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Weak / inconclusive</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Mediterranean diet vs. low-fat diet</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Liver enzymes, liver fat</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significant difference between the two diets</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2024 meta-analysis of RCTs (PubMed 39076035)</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Moderate (meta-analysis)</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Structured exercise (independent of weight loss)</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Liver fat content</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Meaningful reduction reported vs. control</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Meta-analysis of 14 RCTs, n=551</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Moderate (meta-analysis)</w:t>
            </w:r>
          </w:p>
        </w:tc>
      </w:tr>
    </w:tbl>
    <w:p w:rsidR="00000000" w:rsidDel="00000000" w:rsidP="00000000" w:rsidRDefault="00000000" w:rsidRPr="00000000" w14:paraId="0000007E">
      <w:pPr>
        <w:spacing w:after="160" w:line="268.8"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Effect directions are cross-checked against AASLD practice guidance and the EASL-EASD-EASO MASLD guidelines, the current clinical reference standard.</w:t>
      </w:r>
    </w:p>
    <w:p w:rsidR="00000000" w:rsidDel="00000000" w:rsidP="00000000" w:rsidRDefault="00000000" w:rsidRPr="00000000" w14:paraId="0000007F">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4utxamny6bep" w:id="10"/>
      <w:bookmarkEnd w:id="10"/>
      <w:r w:rsidDel="00000000" w:rsidR="00000000" w:rsidRPr="00000000">
        <w:rPr>
          <w:rFonts w:ascii="Times New Roman" w:cs="Times New Roman" w:eastAsia="Times New Roman" w:hAnsi="Times New Roman"/>
          <w:b w:val="1"/>
          <w:bCs w:val="1"/>
          <w:color w:val="000000"/>
          <w:sz w:val="26"/>
          <w:szCs w:val="26"/>
          <w:rtl w:val="0"/>
        </w:rPr>
        <w:t xml:space="preserve">Evidence strength system</w:t>
      </w:r>
    </w:p>
    <w:p w:rsidR="00000000" w:rsidDel="00000000" w:rsidP="00000000" w:rsidRDefault="00000000" w:rsidRPr="00000000" w14:paraId="00000080">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STRONG — biopsy-paired or large-RCT evidence, dose-response established</w:t>
      </w:r>
    </w:p>
    <w:p w:rsidR="00000000" w:rsidDel="00000000" w:rsidP="00000000" w:rsidRDefault="00000000" w:rsidRPr="00000000" w14:paraId="00000081">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MODERATE — meta-analysis or single well-powered RCT</w:t>
      </w:r>
    </w:p>
    <w:p w:rsidR="00000000" w:rsidDel="00000000" w:rsidP="00000000" w:rsidRDefault="00000000" w:rsidRPr="00000000" w14:paraId="00000082">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WEAK / INCONCLUSIVE — evidence exists but the effect is not statistically significant, or CIs cross zero</w:t>
      </w:r>
    </w:p>
    <w:p w:rsidR="00000000" w:rsidDel="00000000" w:rsidP="00000000" w:rsidRDefault="00000000" w:rsidRPr="00000000" w14:paraId="00000083">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INSUFFICIENT — no adequate evidence for this specific recipe; the ranking engine excludes or flags it rather than guessing</w:t>
      </w:r>
    </w:p>
    <w:p w:rsidR="00000000" w:rsidDel="00000000" w:rsidP="00000000" w:rsidRDefault="00000000" w:rsidRPr="00000000" w14:paraId="00000084">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u1jv7ag7v7j4" w:id="11"/>
      <w:bookmarkEnd w:id="11"/>
      <w:r w:rsidDel="00000000" w:rsidR="00000000" w:rsidRPr="00000000">
        <w:rPr>
          <w:rFonts w:ascii="Times New Roman" w:cs="Times New Roman" w:eastAsia="Times New Roman" w:hAnsi="Times New Roman"/>
          <w:b w:val="1"/>
          <w:bCs w:val="1"/>
          <w:color w:val="000000"/>
          <w:sz w:val="26"/>
          <w:szCs w:val="26"/>
          <w:rtl w:val="0"/>
        </w:rPr>
        <w:t xml:space="preserve">6.1 Evidence Granularity and Intervention Mapping</w:t>
      </w:r>
    </w:p>
    <w:p w:rsidR="00000000" w:rsidDel="00000000" w:rsidP="00000000" w:rsidRDefault="00000000" w:rsidRPr="00000000" w14:paraId="00000085">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clinical data is generally documented on the level of threshold for weight loss or diets, but not at the level of an individual recipe. The framework does not assume any extrapolation of a dietary pattern effect to a single recipe, and instead determines which of the intervention categories is associated with a given recipe's nutritional profile, treating a recipe that cannot be mapped to any evidenced category as INSUFFICIENT. The most similar literature is related to identifying food ingredient substitutions using a knowledge graph of food (PMC 2021) and a survey on food ingredient substitutions (arXiv 2025).</w:t>
      </w:r>
    </w:p>
    <w:p w:rsidR="00000000" w:rsidDel="00000000" w:rsidP="00000000" w:rsidRDefault="00000000" w:rsidRPr="00000000" w14:paraId="00000086">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bcwx3tyit4sl" w:id="12"/>
      <w:bookmarkEnd w:id="12"/>
      <w:r w:rsidDel="00000000" w:rsidR="00000000" w:rsidRPr="00000000">
        <w:rPr>
          <w:rFonts w:ascii="Times New Roman" w:cs="Times New Roman" w:eastAsia="Times New Roman" w:hAnsi="Times New Roman"/>
          <w:b w:val="1"/>
          <w:bCs w:val="1"/>
          <w:sz w:val="30"/>
          <w:szCs w:val="30"/>
          <w:rtl w:val="0"/>
        </w:rPr>
        <w:t xml:space="preserve">7. Layer 4 — Recipe Evaluation and Ranking Engine (NutriTwin, Core Research Contribution)</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patient's condition at Layer 2 and the nutritional objectives derived from Layer 3, evaluate and rank candidate recipes from RecipeDB that would enhance the health relevance predictions while remaining culturally and practically appropriate for the patient</w:t>
      </w:r>
    </w:p>
    <w:p w:rsidR="00000000" w:rsidDel="00000000" w:rsidP="00000000" w:rsidRDefault="00000000" w:rsidRPr="00000000" w14:paraId="00000088">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lrv6yqwrbw8s" w:id="13"/>
      <w:bookmarkEnd w:id="13"/>
      <w:r w:rsidDel="00000000" w:rsidR="00000000" w:rsidRPr="00000000">
        <w:rPr>
          <w:rFonts w:ascii="Times New Roman" w:cs="Times New Roman" w:eastAsia="Times New Roman" w:hAnsi="Times New Roman"/>
          <w:b w:val="1"/>
          <w:bCs w:val="1"/>
          <w:color w:val="000000"/>
          <w:sz w:val="26"/>
          <w:szCs w:val="26"/>
          <w:rtl w:val="0"/>
        </w:rPr>
        <w:t xml:space="preserve">7.1 Evaluation Criteria</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500"/>
        <w:gridCol w:w="2475"/>
        <w:tblGridChange w:id="0">
          <w:tblGrid>
            <w:gridCol w:w="1860"/>
            <w:gridCol w:w="4500"/>
            <w:gridCol w:w="2475"/>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Criterion</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Information Source</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Goal</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Health relevance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8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Layer 3 evidence-graded effect sizes + DietRx/SpiceRx associations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8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Higher is better</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8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Cuisine compatibility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Ingredient co-occurrence frequency within the recipe's cuisine cluster in RecipeDB</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Prefer recipes compatible with the patient's dietary/cultural context</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Cooking feasibility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Predicted prep-time and skill shift, from RecipeDB process/utensil metadata</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Prefer recipes within practical constraints</w:t>
            </w:r>
          </w:p>
        </w:tc>
      </w:tr>
    </w:tbl>
    <w:p w:rsidR="00000000" w:rsidDel="00000000" w:rsidP="00000000" w:rsidRDefault="00000000" w:rsidRPr="00000000" w14:paraId="00000095">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rel9i2u4x25e" w:id="14"/>
      <w:bookmarkEnd w:id="14"/>
      <w:r w:rsidDel="00000000" w:rsidR="00000000" w:rsidRPr="00000000">
        <w:rPr>
          <w:rFonts w:ascii="Times New Roman" w:cs="Times New Roman" w:eastAsia="Times New Roman" w:hAnsi="Times New Roman"/>
          <w:b w:val="1"/>
          <w:bCs w:val="1"/>
          <w:color w:val="000000"/>
          <w:sz w:val="26"/>
          <w:szCs w:val="26"/>
          <w:rtl w:val="0"/>
        </w:rPr>
        <w:t xml:space="preserve">7.2 Recipe Scoring and Ranking</w:t>
      </w:r>
    </w:p>
    <w:p w:rsidR="00000000" w:rsidDel="00000000" w:rsidP="00000000" w:rsidRDefault="00000000" w:rsidRPr="00000000" w14:paraId="00000096">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Scoring criteria: </w:t>
      </w:r>
      <w:r w:rsidDel="00000000" w:rsidR="00000000" w:rsidRPr="00000000">
        <w:rPr>
          <w:rFonts w:ascii="Times New Roman" w:cs="Times New Roman" w:eastAsia="Times New Roman" w:hAnsi="Times New Roman"/>
          <w:rtl w:val="0"/>
        </w:rPr>
        <w:t xml:space="preserve">Each candidate recipe is evaluated using a set of evidence-based criteria. A health relevance score is calculated from the nutritional characteristics of the recipe and its relationship to evidence-supported dietary interventions for MASLD. Cuisine compatibility measures how well the recipe matches the patient's dietary or cultural context. Cooking feasibility considers practical factors such as preparation time, cooking process, ingredients, and required utensils.</w:t>
      </w:r>
    </w:p>
    <w:p w:rsidR="00000000" w:rsidDel="00000000" w:rsidP="00000000" w:rsidRDefault="00000000" w:rsidRPr="00000000" w14:paraId="00000097">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w:t>
      </w:r>
      <w:r w:rsidDel="00000000" w:rsidR="00000000" w:rsidRPr="00000000">
        <w:rPr>
          <w:rFonts w:ascii="Times New Roman" w:cs="Times New Roman" w:eastAsia="Times New Roman" w:hAnsi="Times New Roman"/>
          <w:rtl w:val="0"/>
        </w:rPr>
        <w:t xml:space="preserve">These criteria are normalized and combined using a transparent multi-criteria scoring framework, initially a weighted scoring approach with weights explicitly defined and reported. The candidate recipes are then ranked according to their overall suitability for the patient, and a sensitivity analysis examines how changes in the criterion weights affect the ranking. The system returns the highest-ranked recipes together with the individual criterion scores so that the recommendation remains interpretable.</w:t>
      </w:r>
    </w:p>
    <w:p w:rsidR="00000000" w:rsidDel="00000000" w:rsidP="00000000" w:rsidRDefault="00000000" w:rsidRPr="00000000" w14:paraId="00000098">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wwal1p7b0t1d" w:id="15"/>
      <w:bookmarkEnd w:id="15"/>
      <w:r w:rsidDel="00000000" w:rsidR="00000000" w:rsidRPr="00000000">
        <w:rPr>
          <w:rFonts w:ascii="Times New Roman" w:cs="Times New Roman" w:eastAsia="Times New Roman" w:hAnsi="Times New Roman"/>
          <w:b w:val="1"/>
          <w:bCs w:val="1"/>
          <w:color w:val="000000"/>
          <w:sz w:val="26"/>
          <w:szCs w:val="26"/>
          <w:rtl w:val="0"/>
        </w:rPr>
        <w:t xml:space="preserve">7.3 Explanation</w:t>
      </w:r>
    </w:p>
    <w:p w:rsidR="00000000" w:rsidDel="00000000" w:rsidP="00000000" w:rsidRDefault="00000000" w:rsidRPr="00000000" w14:paraId="00000099">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recommended recipe is validated by working back from the knowledge graph to see the specific DietRx/SpiceRx association and strength of evidence that support it, and the cuisine/process context that kept it appropriate for the patient.</w:t>
      </w:r>
    </w:p>
    <w:p w:rsidR="00000000" w:rsidDel="00000000" w:rsidP="00000000" w:rsidRDefault="00000000" w:rsidRPr="00000000" w14:paraId="0000009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by5klkpxf7g" w:id="16"/>
      <w:bookmarkEnd w:id="16"/>
      <w:r w:rsidDel="00000000" w:rsidR="00000000" w:rsidRPr="00000000">
        <w:rPr>
          <w:rFonts w:ascii="Times New Roman" w:cs="Times New Roman" w:eastAsia="Times New Roman" w:hAnsi="Times New Roman"/>
          <w:b w:val="1"/>
          <w:bCs w:val="1"/>
          <w:sz w:val="30"/>
          <w:szCs w:val="30"/>
          <w:rtl w:val="0"/>
        </w:rPr>
        <w:t xml:space="preserve">8. Layer 5 — Scenario Engine</w:t>
      </w:r>
      <w:r w:rsidDel="00000000" w:rsidR="00000000" w:rsidRPr="00000000">
        <w:rPr>
          <w:rtl w:val="0"/>
        </w:rPr>
      </w:r>
    </w:p>
    <w:p w:rsidR="00000000" w:rsidDel="00000000" w:rsidP="00000000" w:rsidRDefault="00000000" w:rsidRPr="00000000" w14:paraId="0000009B">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patient (or physician) can compare “if I choose Recipe A” versus “if I choose Recipe B,” both based on Layer-3 evidence, not querying the Layer-2 engine.</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80"/>
        <w:tblGridChange w:id="0">
          <w:tblGrid>
            <w:gridCol w:w="2655"/>
            <w:gridCol w:w="6180"/>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Scenario</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Reported as</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Current state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F">
            <w:pPr>
              <w:spacing w:after="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Calibrated model probability from Layer 2, e.g. “68% predicted probability of grade ≥S1, 95% CI from calibration curve”</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Scenario A — max health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evidence of improvement; larger shift from the patient's usual recipes” — evidence: STRONG</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Scenario B — closer to usual recipes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“Moderate evidence of improvement; closer to the patient's usual recipes” — evidence: MODERATE</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Untabulated intervention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“Insufficient evidence in current table to simulate this scenario”</w:t>
            </w:r>
          </w:p>
        </w:tc>
      </w:tr>
    </w:tbl>
    <w:p w:rsidR="00000000" w:rsidDel="00000000" w:rsidP="00000000" w:rsidRDefault="00000000" w:rsidRPr="00000000" w14:paraId="000000A6">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remains an evidence-graded simulated projection, not a clinical forecast - no scenario is ever shown as a bare, model-invented percentage.</w:t>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mg1487zw0i" w:id="17"/>
      <w:bookmarkEnd w:id="17"/>
      <w:r w:rsidDel="00000000" w:rsidR="00000000" w:rsidRPr="00000000">
        <w:rPr>
          <w:rFonts w:ascii="Times New Roman" w:cs="Times New Roman" w:eastAsia="Times New Roman" w:hAnsi="Times New Roman"/>
          <w:b w:val="1"/>
          <w:bCs w:val="1"/>
          <w:sz w:val="30"/>
          <w:szCs w:val="30"/>
          <w:rtl w:val="0"/>
        </w:rPr>
        <w:t xml:space="preserve">9. Layer 6 — Digital Twin Visualization</w:t>
      </w:r>
      <w:r w:rsidDel="00000000" w:rsidR="00000000" w:rsidRPr="00000000">
        <w:rPr>
          <w:rtl w:val="0"/>
        </w:rPr>
      </w:r>
    </w:p>
    <w:p w:rsidR="00000000" w:rsidDel="00000000" w:rsidP="00000000" w:rsidRDefault="00000000" w:rsidRPr="00000000" w14:paraId="000000A8">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Purposefully kept simple: the freely available pre-made 3D liver mesh (without creating a new one) where the colour of the material depends on the steatosis state and not on time required for modeling the anatomy.</w:t>
      </w:r>
    </w:p>
    <w:p w:rsidR="00000000" w:rsidDel="00000000" w:rsidP="00000000" w:rsidRDefault="00000000" w:rsidRPr="00000000" w14:paraId="000000A9">
      <w:pPr>
        <w:spacing w:after="16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Colour-coding for the state of liver: Normal (S0) – MILD (S1) – MODERATE (S2) – SEVERE (S3)</w:t>
      </w:r>
    </w:p>
    <w:p w:rsidR="00000000" w:rsidDel="00000000" w:rsidP="00000000" w:rsidRDefault="00000000" w:rsidRPr="00000000" w14:paraId="000000AA">
      <w:pPr>
        <w:spacing w:after="16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Timeline slider: TODAY – 3 MONTHS – 6 MONTHS – 1 YEAR demonstrating the Layer-5 evidence-based direction under a chosen scenario</w:t>
      </w:r>
    </w:p>
    <w:p w:rsidR="00000000" w:rsidDel="00000000" w:rsidP="00000000" w:rsidRDefault="00000000" w:rsidRPr="00000000" w14:paraId="000000AB">
      <w:pPr>
        <w:spacing w:after="16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Clear labeling on screen “simulated projection, not clinical forecast” for all views of future states</w:t>
      </w:r>
    </w:p>
    <w:p w:rsidR="00000000" w:rsidDel="00000000" w:rsidP="00000000" w:rsidRDefault="00000000" w:rsidRPr="00000000" w14:paraId="000000AC">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visualization is not the digital twin but just one of its interfaces (§1.1). It could be made even more simple in case of tight schedule without affecting the existence of the digital twin.</w:t>
      </w:r>
    </w:p>
    <w:p w:rsidR="00000000" w:rsidDel="00000000" w:rsidP="00000000" w:rsidRDefault="00000000" w:rsidRPr="00000000" w14:paraId="000000A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74vpvr6c9u3" w:id="18"/>
      <w:bookmarkEnd w:id="18"/>
      <w:r w:rsidDel="00000000" w:rsidR="00000000" w:rsidRPr="00000000">
        <w:rPr>
          <w:rFonts w:ascii="Times New Roman" w:cs="Times New Roman" w:eastAsia="Times New Roman" w:hAnsi="Times New Roman"/>
          <w:b w:val="1"/>
          <w:bCs w:val="1"/>
          <w:sz w:val="30"/>
          <w:szCs w:val="30"/>
          <w:rtl w:val="0"/>
        </w:rPr>
        <w:t xml:space="preserve">10. Layer 7 — Explainable Dashboard</w:t>
      </w:r>
      <w:r w:rsidDel="00000000" w:rsidR="00000000" w:rsidRPr="00000000">
        <w:rPr>
          <w:rtl w:val="0"/>
        </w:rPr>
      </w:r>
    </w:p>
    <w:p w:rsidR="00000000" w:rsidDel="00000000" w:rsidP="00000000" w:rsidRDefault="00000000" w:rsidRPr="00000000" w14:paraId="000000AE">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View the patient's current dietary choices alongside recommended existing recipes</w:t>
      </w:r>
    </w:p>
    <w:p w:rsidR="00000000" w:rsidDel="00000000" w:rsidP="00000000" w:rsidRDefault="00000000" w:rsidRPr="00000000" w14:paraId="000000AF">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Compare top-ranked recipes side by side, each with health/cuisine/feasibility scores and evidence-strength labels</w:t>
      </w:r>
    </w:p>
    <w:p w:rsidR="00000000" w:rsidDel="00000000" w:rsidP="00000000" w:rsidRDefault="00000000" w:rsidRPr="00000000" w14:paraId="000000B0">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Explore the twin's visualization and timeline for a selected scenario</w:t>
      </w:r>
    </w:p>
    <w:p w:rsidR="00000000" w:rsidDel="00000000" w:rsidP="00000000" w:rsidRDefault="00000000" w:rsidRPr="00000000" w14:paraId="000000B1">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Read the knowledge-graph-traced explanation for every recommended recipe</w:t>
      </w:r>
    </w:p>
    <w:p w:rsidR="00000000" w:rsidDel="00000000" w:rsidP="00000000" w:rsidRDefault="00000000" w:rsidRPr="00000000" w14:paraId="000000B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02debwhu074" w:id="19"/>
      <w:bookmarkEnd w:id="19"/>
      <w:r w:rsidDel="00000000" w:rsidR="00000000" w:rsidRPr="00000000">
        <w:rPr>
          <w:rFonts w:ascii="Times New Roman" w:cs="Times New Roman" w:eastAsia="Times New Roman" w:hAnsi="Times New Roman"/>
          <w:b w:val="1"/>
          <w:bCs w:val="1"/>
          <w:sz w:val="30"/>
          <w:szCs w:val="30"/>
          <w:rtl w:val="0"/>
        </w:rPr>
        <w:t xml:space="preserve">11. Integrated Pipeline</w:t>
      </w:r>
      <w:r w:rsidDel="00000000" w:rsidR="00000000" w:rsidRPr="00000000">
        <w:rPr>
          <w:rtl w:val="0"/>
        </w:rPr>
      </w:r>
    </w:p>
    <w:p w:rsidR="00000000" w:rsidDel="00000000" w:rsidP="00000000" w:rsidRDefault="00000000" w:rsidRPr="00000000" w14:paraId="000000B3">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1: Collection &amp; Pre-processing of Patient Data (Layer 1)</w:t>
      </w:r>
    </w:p>
    <w:p w:rsidR="00000000" w:rsidDel="00000000" w:rsidP="00000000" w:rsidRDefault="00000000" w:rsidRPr="00000000" w14:paraId="000000B4">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2: Steatosis/MASLD risk prediction, calibration &amp; SHAP (Layer 2)</w:t>
      </w:r>
    </w:p>
    <w:p w:rsidR="00000000" w:rsidDel="00000000" w:rsidP="00000000" w:rsidRDefault="00000000" w:rsidRPr="00000000" w14:paraId="000000B5">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3: Evidence-based dietary objectives (Layer 3)</w:t>
      </w:r>
    </w:p>
    <w:p w:rsidR="00000000" w:rsidDel="00000000" w:rsidP="00000000" w:rsidRDefault="00000000" w:rsidRPr="00000000" w14:paraId="000000B6">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4: Recipe evaluation and ranking (Layer 4)</w:t>
      </w:r>
    </w:p>
    <w:p w:rsidR="00000000" w:rsidDel="00000000" w:rsidP="00000000" w:rsidRDefault="00000000" w:rsidRPr="00000000" w14:paraId="000000B7">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5: Scenario comparison (Layer 5)</w:t>
      </w:r>
    </w:p>
    <w:p w:rsidR="00000000" w:rsidDel="00000000" w:rsidP="00000000" w:rsidRDefault="00000000" w:rsidRPr="00000000" w14:paraId="000000B8">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6: Visualization (Layer 6)</w:t>
      </w:r>
    </w:p>
    <w:p w:rsidR="00000000" w:rsidDel="00000000" w:rsidP="00000000" w:rsidRDefault="00000000" w:rsidRPr="00000000" w14:paraId="000000B9">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7: Explainable dashboard (Layer 7)</w:t>
      </w:r>
    </w:p>
    <w:p w:rsidR="00000000" w:rsidDel="00000000" w:rsidP="00000000" w:rsidRDefault="00000000" w:rsidRPr="00000000" w14:paraId="000000B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blbrlgihcdy" w:id="20"/>
      <w:bookmarkEnd w:id="20"/>
      <w:r w:rsidDel="00000000" w:rsidR="00000000" w:rsidRPr="00000000">
        <w:rPr>
          <w:rFonts w:ascii="Times New Roman" w:cs="Times New Roman" w:eastAsia="Times New Roman" w:hAnsi="Times New Roman"/>
          <w:b w:val="1"/>
          <w:bCs w:val="1"/>
          <w:sz w:val="30"/>
          <w:szCs w:val="30"/>
          <w:rtl w:val="0"/>
        </w:rPr>
        <w:t xml:space="preserve">12. Evaluation Plan</w:t>
      </w:r>
      <w:r w:rsidDel="00000000" w:rsidR="00000000" w:rsidRPr="00000000">
        <w:rPr>
          <w:rtl w:val="0"/>
        </w:rPr>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val="1"/>
          <w:bCs w:val="1"/>
          <w:color w:val="000000"/>
          <w:sz w:val="26"/>
          <w:szCs w:val="26"/>
          <w:rtl w:val="0"/>
        </w:rPr>
        <w:t xml:space="preserve">12.1 Digital twin state model (Layer 2)</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Held-out test split from a single cohort; calibration curve, Brier score, Accuracy/F1/ROC-AUC</w:t>
      </w:r>
    </w:p>
    <w:p w:rsidR="00000000" w:rsidDel="00000000" w:rsidP="00000000" w:rsidRDefault="00000000" w:rsidRPr="00000000" w14:paraId="000000BD">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eqg31miapaz9" w:id="22"/>
      <w:bookmarkEnd w:id="22"/>
      <w:r w:rsidDel="00000000" w:rsidR="00000000" w:rsidRPr="00000000">
        <w:rPr>
          <w:rFonts w:ascii="Times New Roman" w:cs="Times New Roman" w:eastAsia="Times New Roman" w:hAnsi="Times New Roman"/>
          <w:b w:val="1"/>
          <w:bCs w:val="1"/>
          <w:color w:val="000000"/>
          <w:sz w:val="26"/>
          <w:szCs w:val="26"/>
          <w:rtl w:val="0"/>
        </w:rPr>
        <w:t xml:space="preserve">12.2 Recipe evaluation and ranking engine (Layer 4)</w:t>
      </w:r>
    </w:p>
    <w:p w:rsidR="00000000" w:rsidDel="00000000" w:rsidP="00000000" w:rsidRDefault="00000000" w:rsidRPr="00000000" w14:paraId="000000BE">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recipe evaluation and ranking engine will be assessed by measuring the proportion of recommended recipes that satisfy the defined health, cuisine-compatibility, and cooking-feasibility criteria. Its performance will be compared against baseline approaches, including nutrition-only ranking, health-score-only ranking, and random candidate selection.</w:t>
      </w:r>
    </w:p>
    <w:p w:rsidR="00000000" w:rsidDel="00000000" w:rsidP="00000000" w:rsidRDefault="00000000" w:rsidRPr="00000000" w14:paraId="000000BF">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We measured the proportion of recommended recipes that satisfy the defined cuisine and cooking-feasibility constraints, and compared the proposed multi-criteria ranking against simple baselines such as a nutrition-only ranking, a health-score-only ranking, and random candidate selection.</w:t>
      </w:r>
    </w:p>
    <w:p w:rsidR="00000000" w:rsidDel="00000000" w:rsidP="00000000" w:rsidRDefault="00000000" w:rsidRPr="00000000" w14:paraId="000000C0">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We also ran a sensitivity analysis to examine whether the ranking remains reasonably stable when the relative importance of health, cuisine compatibility, and feasibility is changed.</w:t>
      </w:r>
    </w:p>
    <w:p w:rsidR="00000000" w:rsidDel="00000000" w:rsidP="00000000" w:rsidRDefault="00000000" w:rsidRPr="00000000" w14:paraId="000000C1">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Finally, where feasible, a small qualitative expert or pilot evaluation may assess whether recommended recipes appear reasonable and appropriate for their intended cuisine and practical context</w:t>
      </w:r>
    </w:p>
    <w:p w:rsidR="00000000" w:rsidDel="00000000" w:rsidP="00000000" w:rsidRDefault="00000000" w:rsidRPr="00000000" w14:paraId="000000C2">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8q3zc2h6jmaj" w:id="23"/>
      <w:bookmarkEnd w:id="23"/>
      <w:r w:rsidDel="00000000" w:rsidR="00000000" w:rsidRPr="00000000">
        <w:rPr>
          <w:rFonts w:ascii="Times New Roman" w:cs="Times New Roman" w:eastAsia="Times New Roman" w:hAnsi="Times New Roman"/>
          <w:b w:val="1"/>
          <w:bCs w:val="1"/>
          <w:color w:val="000000"/>
          <w:sz w:val="26"/>
          <w:szCs w:val="26"/>
          <w:rtl w:val="0"/>
        </w:rPr>
        <w:t xml:space="preserve">12.3 Twin trajectories</w:t>
      </w:r>
    </w:p>
    <w:p w:rsidR="00000000" w:rsidDel="00000000" w:rsidP="00000000" w:rsidRDefault="00000000" w:rsidRPr="00000000" w14:paraId="000000C3">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evaluated against real longitudinal outcomes in this project — see the scope note in §1.1. Twin trajectories are reported strictly as evidence-graded simulated projections.</w:t>
      </w:r>
    </w:p>
    <w:p w:rsidR="00000000" w:rsidDel="00000000" w:rsidP="00000000" w:rsidRDefault="00000000" w:rsidRPr="00000000" w14:paraId="000000C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vi0z02zlwjv" w:id="24"/>
      <w:bookmarkEnd w:id="24"/>
      <w:r w:rsidDel="00000000" w:rsidR="00000000" w:rsidRPr="00000000">
        <w:rPr>
          <w:rFonts w:ascii="Times New Roman" w:cs="Times New Roman" w:eastAsia="Times New Roman" w:hAnsi="Times New Roman"/>
          <w:b w:val="1"/>
          <w:bCs w:val="1"/>
          <w:sz w:val="30"/>
          <w:szCs w:val="30"/>
          <w:rtl w:val="0"/>
        </w:rPr>
        <w:t xml:space="preserve">13. Dataset Strategy</w:t>
      </w: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360"/>
        <w:gridCol w:w="3450"/>
        <w:tblGridChange w:id="0">
          <w:tblGrid>
            <w:gridCol w:w="2025"/>
            <w:gridCol w:w="3360"/>
            <w:gridCol w:w="3450"/>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Dataset</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Used for</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1620"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NHANES 2017–2018 + 2017–March 2020 (primary)</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Clinical training/validation cohort for Layer 2</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Liver Ultrasound Transient Elastography (LUX) component provides CAP-based steatosis grading, in the same public release as biomarkers (ALT, AST, HbA1c) and 24-hour dietary recall, linked by participant ID. Public-use files, no application — downloadable directly from the CDC NHANES data portal.</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NASH-CRN (optional, parallel)</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Secondary validation cohort if time allows</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Biopsy-confirmed clinical cohort; access typically a few weeks, applied for in parallel, not blocking</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RecipeDB</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Recipe corpus, candidate recipes, cuisine/process metadata</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Backbone of Layer 4</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FlavorDB</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Flavor-compound profiles; explored but not used as a core scoring component (see §4, §7)</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DietRx / SpiceRx</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Food/spice–disease association evidence for the health objective</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USDA FoodData Central / IFCT</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Nutrient look-up for recipe-to-nutrient conversion</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Reference table, not patient data</w:t>
            </w:r>
          </w:p>
        </w:tc>
      </w:tr>
    </w:tbl>
    <w:p w:rsidR="00000000" w:rsidDel="00000000" w:rsidP="00000000" w:rsidRDefault="00000000" w:rsidRPr="00000000" w14:paraId="000000DA">
      <w:pPr>
        <w:spacing w:after="160" w:line="268.8"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UK Biobank was considered but not pursued — its longitudinal repeat-imaging subset was attractive, but its access-approval timeline is measured in months and doesn't fit this project's window. MIMIC-IV remains excluded — an ICU population is not a matched cohort for this task. Older NHANES cycles (pre-2017) remain excluded for the reason originally identified: no matched steatosis grade; this is specific to those cycles and does not apply to 2017 onward.</w:t>
      </w:r>
    </w:p>
    <w:p w:rsidR="00000000" w:rsidDel="00000000" w:rsidP="00000000" w:rsidRDefault="00000000" w:rsidRPr="00000000" w14:paraId="000000D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tquhvfj15y8" w:id="25"/>
      <w:bookmarkEnd w:id="25"/>
      <w:r w:rsidDel="00000000" w:rsidR="00000000" w:rsidRPr="00000000">
        <w:rPr>
          <w:rFonts w:ascii="Times New Roman" w:cs="Times New Roman" w:eastAsia="Times New Roman" w:hAnsi="Times New Roman"/>
          <w:b w:val="1"/>
          <w:bCs w:val="1"/>
          <w:sz w:val="30"/>
          <w:szCs w:val="30"/>
          <w:rtl w:val="0"/>
        </w:rPr>
        <w:t xml:space="preserve">14. Expected Contributions &amp; Publication Targets</w:t>
      </w:r>
      <w:r w:rsidDel="00000000" w:rsidR="00000000" w:rsidRPr="00000000">
        <w:rPr>
          <w:rtl w:val="0"/>
        </w:rPr>
      </w:r>
    </w:p>
    <w:p w:rsidR="00000000" w:rsidDel="00000000" w:rsidP="00000000" w:rsidRDefault="00000000" w:rsidRPr="00000000" w14:paraId="000000DC">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digital twin for the patient liver, where the state model is built by updating with new information from the patient, along with a simulation model for evidence-based intervention, tested using a cross-sectional analysis on the NHANES dataset; longitudinal validation left for future work</w:t>
      </w:r>
    </w:p>
    <w:p w:rsidR="00000000" w:rsidDel="00000000" w:rsidP="00000000" w:rsidRDefault="00000000" w:rsidRPr="00000000" w14:paraId="000000DD">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New scoring approach for the task of evidence-based recipe evaluation and selection (health+cuisine+feasibility), based on a food knowledge graph, which drives the intervention engine of the twin</w:t>
      </w:r>
    </w:p>
    <w:p w:rsidR="00000000" w:rsidDel="00000000" w:rsidP="00000000" w:rsidRDefault="00000000" w:rsidRPr="00000000" w14:paraId="000000DE">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evidence-linked recipe recommendation component that explains why each recipe is suitable, including its nutritional characteristics and supporting intervention evidence, along with a small-scale human evaluation experiment inspired by the Turing-Test-for-Chef framework.</w:t>
      </w:r>
    </w:p>
    <w:p w:rsidR="00000000" w:rsidDel="00000000" w:rsidP="00000000" w:rsidRDefault="00000000" w:rsidRPr="00000000" w14:paraId="000000DF">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Open source, modular architecture of the twin, demonstrated and evaluated in thee MASLD use case</w:t>
      </w:r>
    </w:p>
    <w:p w:rsidR="00000000" w:rsidDel="00000000" w:rsidP="00000000" w:rsidRDefault="00000000" w:rsidRPr="00000000" w14:paraId="000000E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0z6bv93y5s1" w:id="26"/>
      <w:bookmarkEnd w:id="26"/>
      <w:r w:rsidDel="00000000" w:rsidR="00000000" w:rsidRPr="00000000">
        <w:rPr>
          <w:rFonts w:ascii="Times New Roman" w:cs="Times New Roman" w:eastAsia="Times New Roman" w:hAnsi="Times New Roman"/>
          <w:b w:val="1"/>
          <w:bCs w:val="1"/>
          <w:sz w:val="30"/>
          <w:szCs w:val="30"/>
          <w:rtl w:val="0"/>
        </w:rPr>
        <w:t xml:space="preserve">15. Risks &amp; Mitigations</w:t>
      </w:r>
      <w:r w:rsidDel="00000000" w:rsidR="00000000" w:rsidRPr="00000000">
        <w:rPr>
          <w:rtl w:val="0"/>
        </w:rPr>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475"/>
        <w:tblGridChange w:id="0">
          <w:tblGrid>
            <w:gridCol w:w="3360"/>
            <w:gridCol w:w="5475"/>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Risk</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Mitigation</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NHANES is cross-sectional — no repeat-imaging validation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Named explicitly as a scope limitation (§1.1, §12.3); twin trajectories framed as simulated projections throughout, never as validated forecasts</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Evidence cannot always be mapped directly to an individual recipe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 explicit evidence-strength categories and mark unsupported mappings as INSUFFICIENT rather than guessing</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Pilot panel hard to recruit even at small scale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5–10 people (friends/family/department contacts who cook the relevant cuisine) is a realistic bar within the timeline; framed honestly as a pilot, not a scaled study</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Two-layer integration slips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Thin end-to-end MVP built jointly in the opening weeks surfaces integration issues immediately, not near the deadline</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Compressed timeline overall</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Weekly Friday grading meetings function as built-in checkpoints; a pre-defined cut list (3D fidelity first, then panel size, then evidence-table breadth) identifies what to trim if behind schedule, without touching the ranking engine itself</w:t>
            </w:r>
          </w:p>
        </w:tc>
      </w:tr>
    </w:tbl>
    <w:p w:rsidR="00000000" w:rsidDel="00000000" w:rsidP="00000000" w:rsidRDefault="00000000" w:rsidRPr="00000000" w14:paraId="000000E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ryb156afzsl" w:id="27"/>
      <w:bookmarkEnd w:id="27"/>
      <w:r w:rsidDel="00000000" w:rsidR="00000000" w:rsidRPr="00000000">
        <w:rPr>
          <w:rFonts w:ascii="Times New Roman" w:cs="Times New Roman" w:eastAsia="Times New Roman" w:hAnsi="Times New Roman"/>
          <w:b w:val="1"/>
          <w:bCs w:val="1"/>
          <w:sz w:val="30"/>
          <w:szCs w:val="30"/>
          <w:rtl w:val="0"/>
        </w:rPr>
        <w:t xml:space="preserve">16. Tech Stack</w:t>
      </w:r>
      <w:r w:rsidDel="00000000" w:rsidR="00000000" w:rsidRPr="00000000">
        <w:rPr>
          <w:rtl w:val="0"/>
        </w:rPr>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45"/>
        <w:tblGridChange w:id="0">
          <w:tblGrid>
            <w:gridCol w:w="3090"/>
            <w:gridCol w:w="5745"/>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Module</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Technology</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Frontend</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React + Tailwind CSS</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Backend</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FastAPI (Python)</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Clinical ML</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XGBoost, scikit-learn (CalibratedClassifierCV), SHAP</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Recipe Evaluation &amp; Ranking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Python, pandas, NumPy/scikit-learn; transparent weighted multi-criteria scoring with sensitivity analysis on criterion weights</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Knowledge Graph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NetworkX (small, hand-curated graph — no need for a full graph database at this scale)</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Twin Visualization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Three.js / React Three Fiber, pre-built free liver mesh, state-bound colour + timeline slider</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Database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PostgreSQL or SQLite (given the compressed scope, SQLite may be sufficient)</w:t>
            </w:r>
          </w:p>
        </w:tc>
      </w:tr>
    </w:tbl>
    <w:p w:rsidR="00000000" w:rsidDel="00000000" w:rsidP="00000000" w:rsidRDefault="00000000" w:rsidRPr="00000000" w14:paraId="000000F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ei5s3j50g44" w:id="28"/>
      <w:bookmarkEnd w:id="28"/>
      <w:r w:rsidDel="00000000" w:rsidR="00000000" w:rsidRPr="00000000">
        <w:rPr>
          <w:rFonts w:ascii="Times New Roman" w:cs="Times New Roman" w:eastAsia="Times New Roman" w:hAnsi="Times New Roman"/>
          <w:b w:val="1"/>
          <w:bCs w:val="1"/>
          <w:sz w:val="30"/>
          <w:szCs w:val="30"/>
          <w:rtl w:val="0"/>
        </w:rPr>
        <w:t xml:space="preserve">Key References</w:t>
      </w:r>
      <w:r w:rsidDel="00000000" w:rsidR="00000000" w:rsidRPr="00000000">
        <w:rPr>
          <w:rtl w:val="0"/>
        </w:rPr>
      </w:r>
    </w:p>
    <w:p w:rsidR="00000000" w:rsidDel="00000000" w:rsidP="00000000" w:rsidRDefault="00000000" w:rsidRPr="00000000" w14:paraId="000000FF">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Bagler, G. &amp; Goel, A. (2024). Computational gastronomy: capturing culinary creativity by making food computable. npj Systems Biology and Applications.</w:t>
      </w:r>
    </w:p>
    <w:p w:rsidR="00000000" w:rsidDel="00000000" w:rsidP="00000000" w:rsidRDefault="00000000" w:rsidRPr="00000000" w14:paraId="00000100">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Ahn, Y.-Y. et al. (2011). Flavor network and the principles of food pairing. Scientific Reports.</w:t>
      </w:r>
    </w:p>
    <w:p w:rsidR="00000000" w:rsidDel="00000000" w:rsidP="00000000" w:rsidRDefault="00000000" w:rsidRPr="00000000" w14:paraId="00000101">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Jain, A., Rakhi, N.K. &amp; Bagler, G. (2015). Analysis of food pairing in regional cuisines of India. arXiv / PLoS ONE.</w:t>
      </w:r>
    </w:p>
    <w:p w:rsidR="00000000" w:rsidDel="00000000" w:rsidP="00000000" w:rsidRDefault="00000000" w:rsidRPr="00000000" w14:paraId="00000102">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Park, D. et al. (2021). FlavorGraph: a large-scale food-chemical graph for generating food representations and recommending food pairings. Scientific Reports.</w:t>
      </w:r>
    </w:p>
    <w:p w:rsidR="00000000" w:rsidDel="00000000" w:rsidP="00000000" w:rsidRDefault="00000000" w:rsidRPr="00000000" w14:paraId="00000103">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Emerson, S. et al. (2024). Optimizing ingredient substitutions using large language models to enhance phytochemical content.</w:t>
      </w:r>
    </w:p>
    <w:p w:rsidR="00000000" w:rsidDel="00000000" w:rsidP="00000000" w:rsidRDefault="00000000" w:rsidRPr="00000000" w14:paraId="00000104">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Vilar-Gomez, E. et al. (2015). Weight loss through lifestyle modification significantly reduces features of nonalcoholic steatohepatitis. Gastroenterology, 149(2), 367–378.</w:t>
      </w:r>
    </w:p>
    <w:p w:rsidR="00000000" w:rsidDel="00000000" w:rsidP="00000000" w:rsidRDefault="00000000" w:rsidRPr="00000000" w14:paraId="00000105">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Haghighatdoost, F. et al. (2021). Effect of Mediterranean diet on liver enzymes: a systematic review and meta-analysis of randomised controlled trials.</w:t>
      </w:r>
    </w:p>
    <w:p w:rsidR="00000000" w:rsidDel="00000000" w:rsidP="00000000" w:rsidRDefault="00000000" w:rsidRPr="00000000" w14:paraId="00000106">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Katsoulakis, E. et al. (2024). Digital twins for health: a scoping review. npj Digital Medicine.</w:t>
      </w:r>
    </w:p>
    <w:p w:rsidR="00000000" w:rsidDel="00000000" w:rsidP="00000000" w:rsidRDefault="00000000" w:rsidRPr="00000000" w14:paraId="00000107">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Joshi, S. et al. (2023). Digital Twin-Enabled Personalized Nutrition Improves MAFLD in Type 2 Diabetes. Endocrine Practice.</w:t>
      </w:r>
    </w:p>
    <w:p w:rsidR="00000000" w:rsidDel="00000000" w:rsidP="00000000" w:rsidRDefault="00000000" w:rsidRPr="00000000" w14:paraId="00000108">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iDT-diet: An Intelligent Digital Twin Model for Diet-Influenced Biomarker Trajectories. AAAI 2026 (Student Abstract).</w:t>
      </w:r>
    </w:p>
    <w:p w:rsidR="00000000" w:rsidDel="00000000" w:rsidP="00000000" w:rsidRDefault="00000000" w:rsidRPr="00000000" w14:paraId="00000109">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Identifying Ingredient Substitutions Using a Knowledge Graph of Food (2021). PMC.</w:t>
      </w:r>
    </w:p>
    <w:p w:rsidR="00000000" w:rsidDel="00000000" w:rsidP="00000000" w:rsidRDefault="00000000" w:rsidRPr="00000000" w14:paraId="0000010A">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 Survey on Food Ingredient Substitutions (2025). arXiv.</w:t>
      </w:r>
    </w:p>
    <w:p w:rsidR="00000000" w:rsidDel="00000000" w:rsidP="00000000" w:rsidRDefault="00000000" w:rsidRPr="00000000" w14:paraId="0000010B">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EASL-EASD-EASO Clinical Practice Guidelines on the management of MASLD (2024). Diabetologia.</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NHANES 2017–2018 and 2017–March 2020 Liver Ultrasound Transient Elastography (LUX) documentation. National Center for Health Statistics, CDC.</w:t>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