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A7A8C"/>
          <w:sz w:val="26"/>
        </w:rPr>
        <w:t>PART 1</w:t>
      </w:r>
    </w:p>
    <w:p>
      <w:pPr>
        <w:pStyle w:val="Title"/>
        <w:jc w:val="center"/>
      </w:pPr>
      <w:r>
        <w:t>Agentic Cruise Planning Assistant</w:t>
      </w:r>
    </w:p>
    <w:p>
      <w:pPr>
        <w:pStyle w:val="Subtitle"/>
        <w:jc w:val="center"/>
      </w:pPr>
      <w:r>
        <w:t>System Architecture and Technical Design</w:t>
      </w:r>
    </w:p>
    <w:p>
      <w:pPr>
        <w:spacing w:before="400"/>
        <w:jc w:val="center"/>
      </w:pPr>
      <w:r>
        <w:rPr>
          <w:color w:val="66788A"/>
          <w:sz w:val="26"/>
        </w:rPr>
        <w:t>Principal Engineer (Full-Stack) take-home technical 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84"/>
      </w:tblGrid>
      <w:tr>
        <w:tc>
          <w:tcPr>
            <w:tcW w:type="dxa" w:w="14256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SCOPE LOCKED - implementation-ready. New functionality must replace, not expand, the approved scope.</w:t>
            </w:r>
          </w:p>
        </w:tc>
        <w:trPr>
          <w:tblHeader/>
        </w:trPr>
      </w:tr>
    </w:tbl>
    <w:p>
      <w:pPr>
        <w:spacing w:before="440"/>
        <w:jc w:val="center"/>
      </w:pPr>
      <w:r>
        <w:rPr>
          <w:color w:val="66788A"/>
          <w:sz w:val="20"/>
        </w:rPr>
        <w:t>Prepared for interview presentation and technical deep-dive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256"/>
            <w:shd w:fill="FFF4CF"/>
            <w:tcBorders>
              <w:top w:val="single" w:sz="8" w:color="0B1F33"/>
              <w:left w:val="single" w:sz="8" w:color="0B1F33"/>
              <w:bottom w:val="single" w:sz="8" w:color="0B1F33"/>
              <w:right w:val="single" w:sz="8" w:color="0B1F33"/>
            </w:tcBorders>
          </w:tcPr>
          <w:p>
            <w:pPr>
              <w:jc w:val="center"/>
            </w:pPr>
            <w:r>
              <w:rPr>
                <w:b/>
                <w:color w:val="0B1F33"/>
                <w:sz w:val="20"/>
              </w:rPr>
              <w:t>This is not a chatbot that happens to search cruises. It is a governed commerce orchestration layer in which the model interprets intent while trusted enterprise systems remain authoritative for pricing, inventory, authorization, booking and payment.</w:t>
            </w:r>
          </w:p>
        </w:tc>
        <w:trPr>
          <w:tblHeader/>
        </w:trPr>
      </w:tr>
    </w:tbl>
    <w:p>
      <w:pPr>
        <w:pStyle w:val="ListBullet"/>
        <w:spacing w:after="40"/>
      </w:pPr>
      <w:r>
        <w:rPr>
          <w:b/>
        </w:rPr>
        <w:t xml:space="preserve">Selected scenario: </w:t>
      </w:r>
      <w:r>
        <w:t>Option 5 - guest-facing Agentic Cruise Planning Assistant embedded in the booking experience.</w:t>
      </w:r>
    </w:p>
    <w:p>
      <w:pPr>
        <w:pStyle w:val="ListBullet"/>
        <w:spacing w:after="40"/>
      </w:pPr>
      <w:r>
        <w:rPr>
          <w:b/>
        </w:rPr>
        <w:t xml:space="preserve">Implementation posture: </w:t>
      </w:r>
      <w:r>
        <w:t>the presentation describes the production architecture; the runnable demo proves a critical vertical slice with one hero path and one failure path.</w:t>
      </w:r>
    </w:p>
    <w:p>
      <w:pPr>
        <w:pStyle w:val="ListBullet"/>
        <w:spacing w:after="40"/>
      </w:pPr>
      <w:r>
        <w:rPr>
          <w:b/>
        </w:rPr>
        <w:t xml:space="preserve">Core boundary: </w:t>
      </w:r>
      <w:r>
        <w:t>the LLM performs language interpretation and grounded explanation; deterministic services own all commerce-sensitive state.</w:t>
      </w:r>
    </w:p>
    <w:p>
      <w:pPr>
        <w:pStyle w:val="ListBullet"/>
        <w:spacing w:after="40"/>
      </w:pPr>
      <w:r>
        <w:rPr>
          <w:b/>
        </w:rPr>
        <w:t xml:space="preserve">RCG environment alignment: </w:t>
      </w:r>
      <w:r>
        <w:t>React/AEM coexistence, Next.js, GraphQL, AWS, Redis, MongoDB and SOX-regulated high-transaction controls.</w:t>
      </w:r>
    </w:p>
    <w:p>
      <w:pPr>
        <w:pStyle w:val="ListBullet"/>
        <w:spacing w:after="40"/>
      </w:pPr>
      <w:r>
        <w:rPr>
          <w:b/>
        </w:rPr>
        <w:t xml:space="preserve">Risk posture: </w:t>
      </w:r>
      <w:r>
        <w:t>AEM remains headful, payment remains in existing checkout, no raw PII is sent to the model, and model outage degrades to a guided deterministic search.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7128"/>
            <w:shd w:fill="0B1F33"/>
          </w:tcPr>
          <w:p>
            <w:pPr>
              <w:jc w:val="center"/>
            </w:pPr>
            <w:r>
              <w:rPr>
                <w:b/>
                <w:color w:val="FFFFFF"/>
              </w:rPr>
              <w:t>In scope</w:t>
            </w:r>
          </w:p>
        </w:tc>
        <w:tc>
          <w:tcPr>
            <w:tcW w:type="dxa" w:w="7128"/>
            <w:shd w:fill="0B1F33"/>
          </w:tcPr>
          <w:p>
            <w:pPr>
              <w:jc w:val="center"/>
            </w:pPr>
            <w:r>
              <w:rPr>
                <w:b/>
                <w:color w:val="FFFFFF"/>
              </w:rPr>
              <w:t>Explicitly out of scope</w:t>
            </w:r>
          </w:p>
        </w:tc>
        <w:trPr>
          <w:tblHeader/>
        </w:trPr>
      </w:tr>
      <w:tr>
        <w:tc>
          <w:tcPr>
            <w:tcW w:type="dxa" w:w="7128"/>
            <w:shd w:fill="FFFFFF"/>
          </w:tcPr>
          <w:p>
            <w:pPr>
              <w:pStyle w:val="ListBullet"/>
            </w:pPr>
            <w:r>
              <w:t>Next.js streaming assistant and accessible structured cards</w:t>
            </w:r>
          </w:p>
          <w:p>
            <w:pPr>
              <w:pStyle w:val="ListBullet"/>
            </w:pPr>
            <w:r>
              <w:t>Typed tool adapters for search, availability, pricing, policy, hold and booking handoff</w:t>
            </w:r>
          </w:p>
          <w:p>
            <w:pPr>
              <w:pStyle w:val="ListBullet"/>
            </w:pPr>
            <w:r>
              <w:t>MongoDB-backed durable holds with Redis acceleration</w:t>
            </w:r>
          </w:p>
          <w:p>
            <w:pPr>
              <w:pStyle w:val="ListBullet"/>
            </w:pPr>
            <w:r>
              <w:t>Grounding, prompt-injection defense, evaluation and observability</w:t>
            </w:r>
          </w:p>
          <w:p>
            <w:pPr>
              <w:pStyle w:val="ListBullet"/>
            </w:pPr>
            <w:r>
              <w:t>Employee alpha to limited feature-flagged guest beta</w:t>
            </w:r>
          </w:p>
        </w:tc>
        <w:tc>
          <w:tcPr>
            <w:tcW w:type="dxa" w:w="7128"/>
            <w:shd w:fill="FFFFFF"/>
          </w:tcPr>
          <w:p>
            <w:pPr>
              <w:pStyle w:val="ListBullet"/>
            </w:pPr>
            <w:r>
              <w:t>Autonomous payment or end-to-end conversational checkout</w:t>
            </w:r>
          </w:p>
          <w:p>
            <w:pPr>
              <w:pStyle w:val="ListBullet"/>
            </w:pPr>
            <w:r>
              <w:t>Live AEM implementation or unverified Content Fragment APIs</w:t>
            </w:r>
          </w:p>
          <w:p>
            <w:pPr>
              <w:pStyle w:val="ListBullet"/>
            </w:pPr>
            <w:r>
              <w:t>Voice, multilingual support or multiple product agents</w:t>
            </w:r>
          </w:p>
          <w:p>
            <w:pPr>
              <w:pStyle w:val="ListBullet"/>
            </w:pPr>
            <w:r>
              <w:t>Large vector database, Kubernetes or broad analytics dashboard</w:t>
            </w:r>
          </w:p>
          <w:p>
            <w:pPr>
              <w:pStyle w:val="ListBullet"/>
            </w:pPr>
            <w:r>
              <w:t>More than one complete guest journey</w:t>
            </w:r>
          </w:p>
        </w:tc>
      </w:tr>
    </w:tbl>
    <w:p>
      <w:r>
        <w:br w:type="page"/>
      </w:r>
    </w:p>
    <w:p>
      <w:pPr>
        <w:pStyle w:val="Heading1"/>
      </w:pPr>
      <w:r>
        <w:t>2. Assumptions, Scope Lock and Design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904"/>
        <w:gridCol w:w="6048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Assumption / decision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 it is defensible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AEM</w:t>
            </w:r>
          </w:p>
        </w:tc>
        <w:tc>
          <w:tcPr>
            <w:tcW w:type="dxa" w:w="59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AEM marketing pages remain headful. Approved content is exposed through an implementation-neutral adapter.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Matches the stated environment without assuming an existing headless GraphQL setup.</w:t>
            </w:r>
          </w:p>
        </w:tc>
      </w:tr>
      <w:tr>
        <w:tc>
          <w:tcPr>
            <w:tcW w:type="dxa" w:w="172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Commerce APIs</w:t>
            </w:r>
          </w:p>
        </w:tc>
        <w:tc>
          <w:tcPr>
            <w:tcW w:type="dxa" w:w="59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Production uses authorized GraphQL/service APIs. The prototype uses Mongo-backed services as stand-ins.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Keeps the agent integrated with the platform and prevents direct database access.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Inventory</w:t>
            </w:r>
          </w:p>
        </w:tc>
        <w:tc>
          <w:tcPr>
            <w:tcW w:type="dxa" w:w="59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The inventory service and MongoDB are authoritative. Redis is cache/session/coordination/expiry signal only.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Correctness cannot rely on an evictable cache.</w:t>
            </w:r>
          </w:p>
        </w:tc>
      </w:tr>
      <w:tr>
        <w:tc>
          <w:tcPr>
            <w:tcW w:type="dxa" w:w="172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Payment</w:t>
            </w:r>
          </w:p>
        </w:tc>
        <w:tc>
          <w:tcPr>
            <w:tcW w:type="dxa" w:w="59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The assistant creates a short-lived hold and signed checkout context only after explicit confirmation.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Preserves PCI/SOX controls in the existing checkout.</w:t>
            </w:r>
          </w:p>
        </w:tc>
      </w:tr>
      <w:tr>
        <w:tc>
          <w:tcPr>
            <w:tcW w:type="dxa" w:w="172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Model</w:t>
            </w:r>
          </w:p>
        </w:tc>
        <w:tc>
          <w:tcPr>
            <w:tcW w:type="dxa" w:w="59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All model calls use an enterprise gateway and provider-neutral abstraction.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Supports DLP, routing, auditability, budgets and fallback.</w:t>
            </w:r>
          </w:p>
        </w:tc>
      </w:tr>
      <w:tr>
        <w:tc>
          <w:tcPr>
            <w:tcW w:type="dxa" w:w="172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Fallback</w:t>
            </w:r>
          </w:p>
        </w:tc>
        <w:tc>
          <w:tcPr>
            <w:tcW w:type="dxa" w:w="59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UI chips and a deterministic parser capture criteria before the model call.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The failure path remains usable when the model is unavailable.</w:t>
            </w:r>
          </w:p>
        </w:tc>
      </w:tr>
    </w:tbl>
    <w:p>
      <w:pPr>
        <w:pStyle w:val="ListBullet"/>
        <w:spacing w:after="40"/>
      </w:pPr>
      <w:r>
        <w:t>Design for ambiguity: state assumptions and make trust boundaries explicit.</w:t>
      </w:r>
    </w:p>
    <w:p>
      <w:pPr>
        <w:pStyle w:val="ListBullet"/>
        <w:spacing w:after="40"/>
      </w:pPr>
      <w:r>
        <w:t>Use probabilistic components for language; use deterministic components for state and money.</w:t>
      </w:r>
    </w:p>
    <w:p>
      <w:pPr>
        <w:pStyle w:val="ListBullet"/>
        <w:spacing w:after="40"/>
      </w:pPr>
      <w:r>
        <w:t>Stream progress and partial results, but never stream unverified price or inventory.</w:t>
      </w:r>
    </w:p>
    <w:p>
      <w:pPr>
        <w:pStyle w:val="ListBullet"/>
        <w:spacing w:after="40"/>
      </w:pPr>
      <w:r>
        <w:t>Make failure a first-class user journey, not an exception screen.</w:t>
      </w:r>
    </w:p>
    <w:p>
      <w:pPr>
        <w:pStyle w:val="ListBullet"/>
        <w:spacing w:after="40"/>
      </w:pPr>
      <w:r>
        <w:t>Prefer simple, typed, testable services over a large multi-agent graph for this implementation.</w:t>
      </w:r>
    </w:p>
    <w:p>
      <w:r>
        <w:br w:type="page"/>
      </w:r>
    </w:p>
    <w:p>
      <w:pPr>
        <w:pStyle w:val="Heading1"/>
      </w:pPr>
      <w:r>
        <w:t>3. Requirement Traceability to the Candidate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7920"/>
        <w:gridCol w:w="2304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Brief requirement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response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74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Streaming responses and partial results</w:t>
            </w:r>
          </w:p>
        </w:tc>
        <w:tc>
          <w:tcPr>
            <w:tcW w:type="dxa" w:w="79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SSE from Next.js BFF; status steps and verified cards emitted as each tool result completes.</w:t>
            </w:r>
          </w:p>
        </w:tc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P1-02, P1-03</w:t>
            </w:r>
          </w:p>
        </w:tc>
      </w:tr>
      <w:tr>
        <w:tc>
          <w:tcPr>
            <w:tcW w:type="dxa" w:w="374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Uncertainty states and accessibility</w:t>
            </w:r>
          </w:p>
        </w:tc>
        <w:tc>
          <w:tcPr>
            <w:tcW w:type="dxa" w:w="79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Explicit unavailable/stale/needs-detail states; keyboard, focus, aria-live, reduced motion.</w:t>
            </w:r>
          </w:p>
        </w:tc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P1-02</w:t>
            </w:r>
          </w:p>
        </w:tc>
      </w:tr>
      <w:tr>
        <w:tc>
          <w:tcPr>
            <w:tcW w:type="dxa" w:w="374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Booking handoff</w:t>
            </w:r>
          </w:p>
        </w:tc>
        <w:tc>
          <w:tcPr>
            <w:tcW w:type="dxa" w:w="79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Signed BookingContext deep link into the existing checkout; no payment authority.</w:t>
            </w:r>
          </w:p>
        </w:tc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P1-01, P1-03</w:t>
            </w:r>
          </w:p>
        </w:tc>
      </w:tr>
      <w:tr>
        <w:tc>
          <w:tcPr>
            <w:tcW w:type="dxa" w:w="374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Orchestration and retrieval</w:t>
            </w:r>
          </w:p>
        </w:tc>
        <w:tc>
          <w:tcPr>
            <w:tcW w:type="dxa" w:w="79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Node agent loop, model gateway, content adapter and approved policy RAG.</w:t>
            </w:r>
          </w:p>
        </w:tc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P1-01, P1-03</w:t>
            </w:r>
          </w:p>
        </w:tc>
      </w:tr>
      <w:tr>
        <w:tc>
          <w:tcPr>
            <w:tcW w:type="dxa" w:w="374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Live API tool calls and structured outputs</w:t>
            </w:r>
          </w:p>
        </w:tc>
        <w:tc>
          <w:tcPr>
            <w:tcW w:type="dxa" w:w="79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Typed GraphQL/service adapters and ToolResult envelopes.</w:t>
            </w:r>
          </w:p>
        </w:tc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P1-01, API contracts</w:t>
            </w:r>
          </w:p>
        </w:tc>
      </w:tr>
      <w:tr>
        <w:tc>
          <w:tcPr>
            <w:tcW w:type="dxa" w:w="374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LLM vs deterministic logic</w:t>
            </w:r>
          </w:p>
        </w:tc>
        <w:tc>
          <w:tcPr>
            <w:tcW w:type="dxa" w:w="79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Explicit decision boundary and current-turn provenance rule.</w:t>
            </w:r>
          </w:p>
        </w:tc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P1-04</w:t>
            </w:r>
          </w:p>
        </w:tc>
      </w:tr>
      <w:tr>
        <w:tc>
          <w:tcPr>
            <w:tcW w:type="dxa" w:w="374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Guardrails and prompt injection</w:t>
            </w:r>
          </w:p>
        </w:tc>
        <w:tc>
          <w:tcPr>
            <w:tcW w:type="dxa" w:w="79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Untrusted retrieval context, schema validation, server-side authz and red team.</w:t>
            </w:r>
          </w:p>
        </w:tc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P1-07</w:t>
            </w:r>
          </w:p>
        </w:tc>
      </w:tr>
      <w:tr>
        <w:tc>
          <w:tcPr>
            <w:tcW w:type="dxa" w:w="374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Grounding</w:t>
            </w:r>
          </w:p>
        </w:tc>
        <w:tc>
          <w:tcPr>
            <w:tcW w:type="dxa" w:w="79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Structured cards plus commerce-claim validator tied to ToolResults.</w:t>
            </w:r>
          </w:p>
        </w:tc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P1-04, P1-07</w:t>
            </w:r>
          </w:p>
        </w:tc>
      </w:tr>
      <w:tr>
        <w:tc>
          <w:tcPr>
            <w:tcW w:type="dxa" w:w="374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Evaluation, latency, cost and observability</w:t>
            </w:r>
          </w:p>
        </w:tc>
        <w:tc>
          <w:tcPr>
            <w:tcW w:type="dxa" w:w="79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Golden set, judge, red team, routing, caps, traces and cost telemetry.</w:t>
            </w:r>
          </w:p>
        </w:tc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P1-07</w:t>
            </w:r>
          </w:p>
        </w:tc>
      </w:tr>
      <w:tr>
        <w:tc>
          <w:tcPr>
            <w:tcW w:type="dxa" w:w="374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Safe fallback</w:t>
            </w:r>
          </w:p>
        </w:tc>
        <w:tc>
          <w:tcPr>
            <w:tcW w:type="dxa" w:w="79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Model-independent criteria capture and prefilled faceted search.</w:t>
            </w:r>
          </w:p>
        </w:tc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P1-06</w:t>
            </w:r>
          </w:p>
        </w:tc>
      </w:tr>
      <w:tr>
        <w:tc>
          <w:tcPr>
            <w:tcW w:type="dxa" w:w="374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PII, authorization and rollout</w:t>
            </w:r>
          </w:p>
        </w:tc>
        <w:tc>
          <w:tcPr>
            <w:tcW w:type="dxa" w:w="79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PII redaction, scoped auth context, offline prototype, alpha, shadow and beta.</w:t>
            </w:r>
          </w:p>
        </w:tc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Security and rollout sections</w:t>
            </w:r>
          </w:p>
        </w:tc>
      </w:tr>
    </w:tbl>
    <w:p>
      <w:r>
        <w:br w:type="page"/>
      </w:r>
    </w:p>
    <w:p>
      <w:pPr>
        <w:pStyle w:val="Heading1"/>
      </w:pPr>
      <w:r>
        <w:t>4. Production Deployment and System Context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8732520" cy="1966661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1-production-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1966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40"/>
        <w:jc w:val="center"/>
      </w:pPr>
      <w:r>
        <w:t>Figure P1-01. Production context in the stated AWS, GraphQL, Redis, MongoDB, React and AEM environment.</w:t>
      </w:r>
    </w:p>
    <w:p>
      <w:pPr>
        <w:pStyle w:val="ListBullet"/>
        <w:spacing w:after="20" w:line="240" w:lineRule="auto"/>
      </w:pPr>
      <w:r>
        <w:rPr>
          <w:sz w:val="16"/>
        </w:rPr>
        <w:t>The agent accesses commerce only through authorized adapters; it never touches databases or payment systems directly.</w:t>
      </w:r>
    </w:p>
    <w:p>
      <w:pPr>
        <w:pStyle w:val="ListBullet"/>
        <w:spacing w:after="20" w:line="240" w:lineRule="auto"/>
      </w:pPr>
      <w:r>
        <w:rPr>
          <w:sz w:val="16"/>
        </w:rPr>
        <w:t>AEM stays headful. The assistant is embedded as a web component and consumes approved content through a content adapter.</w:t>
      </w:r>
    </w:p>
    <w:p>
      <w:pPr>
        <w:pStyle w:val="ListBullet"/>
        <w:spacing w:after="20" w:line="240" w:lineRule="auto"/>
      </w:pPr>
      <w:r>
        <w:rPr>
          <w:sz w:val="16"/>
        </w:rPr>
        <w:t>Redis stores short-lived preferences, caches and expiry signals; MongoDB-backed services preserve durable correctness.</w:t>
      </w:r>
    </w:p>
    <w:p>
      <w:pPr>
        <w:pStyle w:val="ListBullet"/>
        <w:spacing w:after="20" w:line="240" w:lineRule="auto"/>
      </w:pPr>
      <w:r>
        <w:rPr>
          <w:sz w:val="16"/>
        </w:rPr>
        <w:t>OpenTelemetry provides a single trace across UI, orchestration, tools, model gateway and inventory service.</w:t>
      </w:r>
    </w:p>
    <w:p>
      <w:r>
        <w:br w:type="page"/>
      </w:r>
    </w:p>
    <w:p>
      <w:pPr>
        <w:pStyle w:val="Heading1"/>
      </w:pPr>
      <w:r>
        <w:t>5. Frontend Composition and AEM Coexistence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26291" cy="38862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2-frontend-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6291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40"/>
        <w:jc w:val="center"/>
      </w:pPr>
      <w:r>
        <w:t>Figure P1-02. Independent ownership with a shared design-system contract.</w:t>
      </w:r>
    </w:p>
    <w:p>
      <w:pPr>
        <w:pStyle w:val="ListBullet"/>
        <w:spacing w:after="20" w:line="240" w:lineRule="auto"/>
      </w:pPr>
      <w:r>
        <w:rPr>
          <w:sz w:val="16"/>
        </w:rPr>
        <w:t>Content &amp; Marketing owns AEM page composition and the stable assistant slot.</w:t>
      </w:r>
    </w:p>
    <w:p>
      <w:pPr>
        <w:pStyle w:val="ListBullet"/>
        <w:spacing w:after="20" w:line="240" w:lineRule="auto"/>
      </w:pPr>
      <w:r>
        <w:rPr>
          <w:sz w:val="16"/>
        </w:rPr>
        <w:t>The Assistant team owns the custom element, React runtime, streaming states and booking handoff.</w:t>
      </w:r>
    </w:p>
    <w:p>
      <w:pPr>
        <w:pStyle w:val="ListBullet"/>
        <w:spacing w:after="20" w:line="240" w:lineRule="auto"/>
      </w:pPr>
      <w:r>
        <w:rPr>
          <w:sz w:val="16"/>
        </w:rPr>
        <w:t>Versioned tokens and accessible primitives create visual consistency without coupling release trains.</w:t>
      </w:r>
    </w:p>
    <w:p>
      <w:pPr>
        <w:pStyle w:val="ListBullet"/>
        <w:spacing w:after="20" w:line="240" w:lineRule="auto"/>
      </w:pPr>
      <w:r>
        <w:rPr>
          <w:sz w:val="16"/>
        </w:rPr>
        <w:t>The assistant can be embedded on AEM pages or reused in a React surface without duplicating the feature.</w:t>
      </w:r>
    </w:p>
    <w:p>
      <w:r>
        <w:br w:type="page"/>
      </w:r>
    </w:p>
    <w:p>
      <w:pPr>
        <w:pStyle w:val="Heading1"/>
      </w:pPr>
      <w:r>
        <w:t>6. Hero Scenario - End-to-End Request Flow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8732520" cy="609101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3-hero-request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609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40"/>
        <w:jc w:val="center"/>
      </w:pPr>
      <w:r>
        <w:t>Figure P1-03. The successful family-of-four cruise search, policy question, hold and booking handoff.</w:t>
      </w:r>
    </w:p>
    <w:p>
      <w:pPr>
        <w:pStyle w:val="ListBullet"/>
        <w:spacing w:after="20" w:line="240" w:lineRule="auto"/>
      </w:pPr>
      <w:r>
        <w:rPr>
          <w:sz w:val="16"/>
        </w:rPr>
        <w:t>Structured criteria exist before the model call and are progressively confirmed by the guest.</w:t>
      </w:r>
    </w:p>
    <w:p>
      <w:pPr>
        <w:pStyle w:val="ListBullet"/>
        <w:spacing w:after="20" w:line="240" w:lineRule="auto"/>
      </w:pPr>
      <w:r>
        <w:rPr>
          <w:sz w:val="16"/>
        </w:rPr>
        <w:t>Search, availability and pricing are separate deterministic calls so partial cards can appear as they are verified.</w:t>
      </w:r>
    </w:p>
    <w:p>
      <w:pPr>
        <w:pStyle w:val="ListBullet"/>
        <w:spacing w:after="20" w:line="240" w:lineRule="auto"/>
      </w:pPr>
      <w:r>
        <w:rPr>
          <w:sz w:val="16"/>
        </w:rPr>
        <w:t>A hold always revalidates price and inventory. A displayed quote alone is not a reservation.</w:t>
      </w:r>
    </w:p>
    <w:p>
      <w:pPr>
        <w:pStyle w:val="ListBullet"/>
        <w:spacing w:after="20" w:line="240" w:lineRule="auto"/>
      </w:pPr>
      <w:r>
        <w:rPr>
          <w:sz w:val="16"/>
        </w:rPr>
        <w:t>Payment executes only in the existing checkout after the controlled handoff.</w:t>
      </w:r>
    </w:p>
    <w:p>
      <w:r>
        <w:br w:type="page"/>
      </w:r>
    </w:p>
    <w:p>
      <w:pPr>
        <w:pStyle w:val="Heading1"/>
      </w:pPr>
      <w:r>
        <w:t>7. LLM vs Deterministic Decision Boundary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8732520" cy="2928315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4-llm-deterministic-bound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292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40"/>
        <w:jc w:val="center"/>
      </w:pPr>
      <w:r>
        <w:t>Figure P1-04. Language flexibility is separated from commerce authority.</w:t>
      </w:r>
    </w:p>
    <w:p>
      <w:pPr>
        <w:pStyle w:val="ListBullet"/>
        <w:spacing w:after="20" w:line="240" w:lineRule="auto"/>
      </w:pPr>
      <w:r>
        <w:rPr>
          <w:sz w:val="16"/>
        </w:rPr>
        <w:t>Use an LLM for intent, clarification, summarization and grounded explanation.</w:t>
      </w:r>
    </w:p>
    <w:p>
      <w:pPr>
        <w:pStyle w:val="ListBullet"/>
        <w:spacing w:after="20" w:line="240" w:lineRule="auto"/>
      </w:pPr>
      <w:r>
        <w:rPr>
          <w:sz w:val="16"/>
        </w:rPr>
        <w:t>Use deterministic logic for filters, availability, pricing, taxes, holds, authorization, booking state and payment.</w:t>
      </w:r>
    </w:p>
    <w:p>
      <w:pPr>
        <w:pStyle w:val="ListBullet"/>
        <w:spacing w:after="20" w:line="240" w:lineRule="auto"/>
      </w:pPr>
      <w:r>
        <w:rPr>
          <w:sz w:val="16"/>
        </w:rPr>
        <w:t>The control boundary validates schemas, authorization, explicit confirmation, PII handling and provenance.</w:t>
      </w:r>
    </w:p>
    <w:p>
      <w:pPr>
        <w:pStyle w:val="ListBullet"/>
        <w:spacing w:after="20" w:line="240" w:lineRule="auto"/>
      </w:pPr>
      <w:r>
        <w:rPr>
          <w:sz w:val="16"/>
        </w:rPr>
        <w:t>The rule is based on risk and state mutation, not on whether a task appears easy for a model.</w:t>
      </w:r>
    </w:p>
    <w:p>
      <w:r>
        <w:br w:type="page"/>
      </w:r>
    </w:p>
    <w:p>
      <w:pPr>
        <w:pStyle w:val="Heading1"/>
      </w:pPr>
      <w:r>
        <w:t>8. Inventory Hold, Idempotency and Reconciliation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452267" cy="388620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5-hold-transaction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2267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40"/>
        <w:jc w:val="center"/>
      </w:pPr>
      <w:r>
        <w:t>Figure P1-05. Strong-consistency hold path and exactly-once inventory restoration effect.</w:t>
      </w:r>
    </w:p>
    <w:p>
      <w:pPr>
        <w:pStyle w:val="ListBullet"/>
        <w:spacing w:after="20" w:line="240" w:lineRule="auto"/>
      </w:pPr>
      <w:r>
        <w:rPr>
          <w:sz w:val="16"/>
        </w:rPr>
        <w:t>A single Mongo transaction checks the idempotency key, conditionally decrements inventory and inserts the durable hold.</w:t>
      </w:r>
    </w:p>
    <w:p>
      <w:pPr>
        <w:pStyle w:val="ListBullet"/>
        <w:spacing w:after="20" w:line="240" w:lineRule="auto"/>
      </w:pPr>
      <w:r>
        <w:rPr>
          <w:sz w:val="16"/>
        </w:rPr>
        <w:t>Concurrent requests for the final cabin yield exactly one success; the rest receive SOLD_OUT.</w:t>
      </w:r>
    </w:p>
    <w:p>
      <w:pPr>
        <w:pStyle w:val="ListBullet"/>
        <w:spacing w:after="20" w:line="240" w:lineRule="auto"/>
      </w:pPr>
      <w:r>
        <w:rPr>
          <w:sz w:val="16"/>
        </w:rPr>
        <w:t>Redis accelerates expiry notification but never owns the hold.</w:t>
      </w:r>
    </w:p>
    <w:p>
      <w:pPr>
        <w:pStyle w:val="ListBullet"/>
        <w:spacing w:after="20" w:line="240" w:lineRule="auto"/>
      </w:pPr>
      <w:r>
        <w:rPr>
          <w:sz w:val="16"/>
        </w:rPr>
        <w:t>Compare-and-set held-to-expired ensures parallel workers cannot restore inventory twice.</w:t>
      </w:r>
    </w:p>
    <w:p>
      <w:r>
        <w:br w:type="page"/>
      </w:r>
    </w:p>
    <w:p>
      <w:pPr>
        <w:pStyle w:val="Heading1"/>
      </w:pPr>
      <w:r>
        <w:t>9. Model-Independent Fallback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8732520" cy="696969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6-fallback-degra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696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40"/>
        <w:jc w:val="center"/>
      </w:pPr>
      <w:r>
        <w:t>Figure P1-06. The assistant degrades to guided deterministic search while preserving progress.</w:t>
      </w:r>
    </w:p>
    <w:p>
      <w:pPr>
        <w:pStyle w:val="ListBullet"/>
        <w:spacing w:after="20" w:line="240" w:lineRule="auto"/>
      </w:pPr>
      <w:r>
        <w:rPr>
          <w:sz w:val="16"/>
        </w:rPr>
        <w:t>The UI and parser capture the latest confirmed criteria before the model is invoked.</w:t>
      </w:r>
    </w:p>
    <w:p>
      <w:pPr>
        <w:pStyle w:val="ListBullet"/>
        <w:spacing w:after="20" w:line="240" w:lineRule="auto"/>
      </w:pPr>
      <w:r>
        <w:rPr>
          <w:sz w:val="16"/>
        </w:rPr>
        <w:t>Timeouts, model errors, policy blocks or circuit-breaker events switch to a prefilled faceted form.</w:t>
      </w:r>
    </w:p>
    <w:p>
      <w:pPr>
        <w:pStyle w:val="ListBullet"/>
        <w:spacing w:after="20" w:line="240" w:lineRule="auto"/>
      </w:pPr>
      <w:r>
        <w:rPr>
          <w:sz w:val="16"/>
        </w:rPr>
        <w:t>The fallback uses the same authoritative search, availability and pricing APIs as the conversational path.</w:t>
      </w:r>
    </w:p>
    <w:p>
      <w:pPr>
        <w:pStyle w:val="ListBullet"/>
        <w:spacing w:after="20" w:line="240" w:lineRule="auto"/>
      </w:pPr>
      <w:r>
        <w:rPr>
          <w:sz w:val="16"/>
        </w:rPr>
        <w:t>No guest criteria or verified result must be reconstructed from model memory.</w:t>
      </w:r>
    </w:p>
    <w:p>
      <w:r>
        <w:br w:type="page"/>
      </w:r>
    </w:p>
    <w:p>
      <w:pPr>
        <w:pStyle w:val="Heading1"/>
      </w:pPr>
      <w:r>
        <w:t>10. Safety, Grounding, Evaluation and Operations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7772400" cy="3886200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-07-production-contro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40"/>
        <w:jc w:val="center"/>
      </w:pPr>
      <w:r>
        <w:t>Figure P1-07. Layered production controls before, during and after each agent turn.</w:t>
      </w:r>
    </w:p>
    <w:p>
      <w:pPr>
        <w:pStyle w:val="ListBullet"/>
        <w:spacing w:after="20" w:line="240" w:lineRule="auto"/>
      </w:pPr>
      <w:r>
        <w:rPr>
          <w:sz w:val="16"/>
        </w:rPr>
        <w:t>Retrieved content is data, never instructions; tool calls are typed and authorization is enforced server-side.</w:t>
      </w:r>
    </w:p>
    <w:p>
      <w:pPr>
        <w:pStyle w:val="ListBullet"/>
        <w:spacing w:after="20" w:line="240" w:lineRule="auto"/>
      </w:pPr>
      <w:r>
        <w:rPr>
          <w:sz w:val="16"/>
        </w:rPr>
        <w:t>A post-turn validator removes any commerce-sensitive claim that is not backed by a current-turn deterministic result.</w:t>
      </w:r>
    </w:p>
    <w:p>
      <w:pPr>
        <w:pStyle w:val="ListBullet"/>
        <w:spacing w:after="20" w:line="240" w:lineRule="auto"/>
      </w:pPr>
      <w:r>
        <w:rPr>
          <w:sz w:val="16"/>
        </w:rPr>
        <w:t>Golden-set evaluation and red-team scenarios act as regression gates in CI.</w:t>
      </w:r>
    </w:p>
    <w:p>
      <w:pPr>
        <w:pStyle w:val="ListBullet"/>
        <w:spacing w:after="20" w:line="240" w:lineRule="auto"/>
      </w:pPr>
      <w:r>
        <w:rPr>
          <w:sz w:val="16"/>
        </w:rPr>
        <w:t>Feature flags, SLOs, circuit breakers, traces and rollback keep the standard booking flow available.</w:t>
      </w:r>
    </w:p>
    <w:p>
      <w:r>
        <w:br w:type="page"/>
      </w:r>
    </w:p>
    <w:p>
      <w:pPr>
        <w:pStyle w:val="Heading1"/>
      </w:pPr>
      <w:r>
        <w:t>11. Component Responsibilities and Runtime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048"/>
        <w:gridCol w:w="5328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Owns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Must not own</w:t>
            </w:r>
          </w:p>
        </w:tc>
      </w:tr>
      <w:tr>
        <w:tc>
          <w:tcPr>
            <w:tcW w:type="dxa" w:w="24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Next.js Assistant / BFF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Authentication context, SSE stream, UI event contract, accessibility states, booking navigation.</w:t>
            </w:r>
          </w:p>
        </w:tc>
        <w:tc>
          <w:tcPr>
            <w:tcW w:type="dxa" w:w="532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Inventory truth, payment, provider-specific model logic.</w:t>
            </w:r>
          </w:p>
        </w:tc>
      </w:tr>
      <w:tr>
        <w:tc>
          <w:tcPr>
            <w:tcW w:type="dxa" w:w="24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Agent Orchestrator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Intent workflow, tool selection, grounded synthesis, uncertainty and fallback signal.</w:t>
            </w:r>
          </w:p>
        </w:tc>
        <w:tc>
          <w:tcPr>
            <w:tcW w:type="dxa" w:w="532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Direct DB access, credentials, unrestricted tool execution.</w:t>
            </w:r>
          </w:p>
        </w:tc>
      </w:tr>
      <w:tr>
        <w:tc>
          <w:tcPr>
            <w:tcW w:type="dxa" w:w="24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Enterprise Model Gateway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Model routing, DLP, policy, version pinning, quotas, token/cost telemetry.</w:t>
            </w:r>
          </w:p>
        </w:tc>
        <w:tc>
          <w:tcPr>
            <w:tcW w:type="dxa" w:w="532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Commerce state or guest authorization decisions.</w:t>
            </w:r>
          </w:p>
        </w:tc>
      </w:tr>
      <w:tr>
        <w:tc>
          <w:tcPr>
            <w:tcW w:type="dxa" w:w="24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Tool/API adapters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Schema conversion, service calls, auth propagation, deterministic ToolResult envelopes.</w:t>
            </w:r>
          </w:p>
        </w:tc>
        <w:tc>
          <w:tcPr>
            <w:tcW w:type="dxa" w:w="532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Free-form model-generated arguments without validation.</w:t>
            </w:r>
          </w:p>
        </w:tc>
      </w:tr>
      <w:tr>
        <w:tc>
          <w:tcPr>
            <w:tcW w:type="dxa" w:w="24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Content Adapter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Approved descriptive/policy content retrieval and citations.</w:t>
            </w:r>
          </w:p>
        </w:tc>
        <w:tc>
          <w:tcPr>
            <w:tcW w:type="dxa" w:w="532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Live price, availability, discount or booking state.</w:t>
            </w:r>
          </w:p>
        </w:tc>
      </w:tr>
      <w:tr>
        <w:tc>
          <w:tcPr>
            <w:tcW w:type="dxa" w:w="24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Inventory Service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Availability, atomic holds, idempotency, expiry, reconciliation and ownership checks.</w:t>
            </w:r>
          </w:p>
        </w:tc>
        <w:tc>
          <w:tcPr>
            <w:tcW w:type="dxa" w:w="532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Language interpretation or payment processing.</w:t>
            </w:r>
          </w:p>
        </w:tc>
      </w:tr>
      <w:tr>
        <w:tc>
          <w:tcPr>
            <w:tcW w:type="dxa" w:w="24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Existing Checkout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Guest details, payment, confirmation and established PCI/SOX controls.</w:t>
            </w:r>
          </w:p>
        </w:tc>
        <w:tc>
          <w:tcPr>
            <w:tcW w:type="dxa" w:w="532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Model orchestration.</w:t>
            </w:r>
          </w:p>
        </w:tc>
      </w:tr>
      <w:tr>
        <w:tc>
          <w:tcPr>
            <w:tcW w:type="dxa" w:w="24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Redis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Short-lived preferences, cache, coordination and expiry signals.</w:t>
            </w:r>
          </w:p>
        </w:tc>
        <w:tc>
          <w:tcPr>
            <w:tcW w:type="dxa" w:w="532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Durable hold or final inventory authority.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256"/>
            <w:shd w:fill="DCEFF5"/>
            <w:tcBorders>
              <w:top w:val="single" w:sz="8" w:color="0A7A8C"/>
              <w:left w:val="single" w:sz="8" w:color="0A7A8C"/>
              <w:bottom w:val="single" w:sz="8" w:color="0A7A8C"/>
              <w:right w:val="single" w:sz="8" w:color="0A7A8C"/>
            </w:tcBorders>
          </w:tcPr>
          <w:p>
            <w:pPr>
              <w:jc w:val="center"/>
            </w:pPr>
            <w:r>
              <w:rPr>
                <w:b/>
                <w:color w:val="0A7A8C"/>
                <w:sz w:val="20"/>
              </w:rPr>
              <w:t>Interface principle: every boundary is typed, observable and independently testable. The model receives only the minimum approved tool surface.</w:t>
            </w:r>
          </w:p>
        </w:tc>
        <w:trPr>
          <w:tblHeader/>
        </w:trPr>
      </w:tr>
    </w:tbl>
    <w:p>
      <w:r>
        <w:br w:type="page"/>
      </w:r>
    </w:p>
    <w:p>
      <w:pPr>
        <w:pStyle w:val="Heading1"/>
      </w:pPr>
      <w:r>
        <w:t>12. Tool, API and Streaming Contracts</w:t>
      </w:r>
    </w:p>
    <w:p>
      <w:pPr>
        <w:pStyle w:val="CodeBlock"/>
      </w:pPr>
      <w:r>
        <w:t>search_sailings(criteria) -&gt; ToolResult&lt;Sailing[]&gt;</w:t>
      </w:r>
    </w:p>
    <w:p>
      <w:pPr>
        <w:pStyle w:val="CodeBlock"/>
      </w:pPr>
      <w:r>
        <w:t>check_availability(sailingId, cabinType) -&gt; ToolResult&lt;CabinAvailability&gt;</w:t>
      </w:r>
    </w:p>
    <w:p>
      <w:pPr>
        <w:pStyle w:val="CodeBlock"/>
      </w:pPr>
      <w:r>
        <w:t>get_pricing(sailingId, cabinType, occupancy) -&gt; ToolResult&lt;PriceQuote&gt;</w:t>
      </w:r>
    </w:p>
    <w:p>
      <w:pPr>
        <w:pStyle w:val="CodeBlock"/>
      </w:pPr>
      <w:r>
        <w:t>get_policy_content(topic, query) -&gt; ToolResult&lt;PolicyPassage[]&gt;</w:t>
      </w:r>
    </w:p>
    <w:p>
      <w:pPr>
        <w:pStyle w:val="CodeBlock"/>
      </w:pPr>
      <w:r>
        <w:t>create_hold(sailingId, cabinId, guestAuthCtx, idempotencyKey, guestConfirmed) -&gt; ToolResult&lt;Hold&gt;</w:t>
      </w:r>
    </w:p>
    <w:p>
      <w:pPr>
        <w:pStyle w:val="CodeBlock"/>
      </w:pPr>
      <w:r>
        <w:t>start_booking(holdId, guestAuthCtx) -&gt; ToolResult&lt;BookingContext&gt;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0800"/>
      </w:tblGrid>
      <w:tr>
        <w:trPr>
          <w:tblHeader w:val="true"/>
        </w:trPr>
        <w:tc>
          <w:tcPr>
            <w:tcW w:type="dxa" w:w="712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Contract rule</w:t>
            </w:r>
          </w:p>
        </w:tc>
        <w:tc>
          <w:tcPr>
            <w:tcW w:type="dxa" w:w="712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Enforcement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Schema validation</w:t>
            </w:r>
          </w:p>
        </w:tc>
        <w:tc>
          <w:tcPr>
            <w:tcW w:type="dxa" w:w="1080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Zod/JSON Schema validates all model-callable arguments and returned envelopes.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Explicit confirmation</w:t>
            </w:r>
          </w:p>
        </w:tc>
        <w:tc>
          <w:tcPr>
            <w:tcW w:type="dxa" w:w="1080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create_hold requires a UI-generated guestConfirmed=true token.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Authorization</w:t>
            </w:r>
          </w:p>
        </w:tc>
        <w:tc>
          <w:tcPr>
            <w:tcW w:type="dxa" w:w="1080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The service validates authenticated guest ownership; the LLM never receives credentials.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Freshness</w:t>
            </w:r>
          </w:p>
        </w:tc>
        <w:tc>
          <w:tcPr>
            <w:tcW w:type="dxa" w:w="1080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Availability returns asOf. Price returns quoteId, asOf and validUntil. Hold creation revalidates both.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Provenance</w:t>
            </w:r>
          </w:p>
        </w:tc>
        <w:tc>
          <w:tcPr>
            <w:tcW w:type="dxa" w:w="1080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Cards render ToolResult values. Commerce-sensitive prose must match a result from the current turn.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Idempotency</w:t>
            </w:r>
          </w:p>
        </w:tc>
        <w:tc>
          <w:tcPr>
            <w:tcW w:type="dxa" w:w="1080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All state-changing requests carry a durable idempotency key.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SSE</w:t>
            </w:r>
          </w:p>
        </w:tc>
        <w:tc>
          <w:tcPr>
            <w:tcW w:type="dxa" w:w="1080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token, status, card, handoff, fallback and error are the only public event types.</w:t>
            </w:r>
          </w:p>
        </w:tc>
      </w:tr>
    </w:tbl>
    <w:p>
      <w:pPr>
        <w:pStyle w:val="CodeBlock"/>
      </w:pPr>
      <w:r>
        <w:t>type AssistantEvent =</w:t>
      </w:r>
    </w:p>
    <w:p>
      <w:pPr>
        <w:pStyle w:val="CodeBlock"/>
      </w:pPr>
      <w:r>
        <w:t xml:space="preserve">  | { type: 'status'; step: string }</w:t>
      </w:r>
    </w:p>
    <w:p>
      <w:pPr>
        <w:pStyle w:val="CodeBlock"/>
      </w:pPr>
      <w:r>
        <w:t xml:space="preserve">  | { type: 'token'; text: string }</w:t>
      </w:r>
    </w:p>
    <w:p>
      <w:pPr>
        <w:pStyle w:val="CodeBlock"/>
      </w:pPr>
      <w:r>
        <w:t xml:space="preserve">  | { type: 'card'; cardType: 'sailing'|'cabin'|'price'; result: ToolResult&lt;unknown&gt; }</w:t>
      </w:r>
    </w:p>
    <w:p>
      <w:pPr>
        <w:pStyle w:val="CodeBlock"/>
      </w:pPr>
      <w:r>
        <w:t xml:space="preserve">  | { type: 'handoff'; bookingContext: BookingContext }</w:t>
      </w:r>
    </w:p>
    <w:p>
      <w:pPr>
        <w:pStyle w:val="CodeBlock"/>
      </w:pPr>
      <w:r>
        <w:t xml:space="preserve">  | { type: 'fallback'; criteria: SearchCriteria; reason: string }</w:t>
      </w:r>
    </w:p>
    <w:p>
      <w:pPr>
        <w:pStyle w:val="CodeBlock"/>
      </w:pPr>
      <w:r>
        <w:t xml:space="preserve">  | { type: 'error'; code: string; recoverable: boolean };</w:t>
      </w:r>
    </w:p>
    <w:p>
      <w:r>
        <w:br w:type="page"/>
      </w:r>
    </w:p>
    <w:p>
      <w:pPr>
        <w:pStyle w:val="Heading1"/>
      </w:pPr>
      <w:r>
        <w:t>13. Data Model and Consistency Invariants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904"/>
        <w:gridCol w:w="5472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Lifecycle / consistency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Sailing</w:t>
            </w:r>
          </w:p>
        </w:tc>
        <w:tc>
          <w:tcPr>
            <w:tcW w:type="dxa" w:w="59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id, shipName, destination, departureDate, nights, ports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Descriptive catalog; eventually refreshed.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Inventory</w:t>
            </w:r>
          </w:p>
        </w:tc>
        <w:tc>
          <w:tcPr>
            <w:tcW w:type="dxa" w:w="59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sailingId, cabinId/type, available, version</w:t>
            </w:r>
          </w:p>
        </w:tc>
        <w:tc>
          <w:tcPr>
            <w:tcW w:type="dxa" w:w="547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Authoritative; conditional decrement in transaction.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PriceQuote</w:t>
            </w:r>
          </w:p>
        </w:tc>
        <w:tc>
          <w:tcPr>
            <w:tcW w:type="dxa" w:w="59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quoteId, occupancy, total, breakdown, asOf, validUntil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Point-in-time; always revalidated at hold.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Hold</w:t>
            </w:r>
          </w:p>
        </w:tc>
        <w:tc>
          <w:tcPr>
            <w:tcW w:type="dxa" w:w="59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holdId, sailingId, cabinId, guestId, expiresAt, idempotencyKey, status</w:t>
            </w:r>
          </w:p>
        </w:tc>
        <w:tc>
          <w:tcPr>
            <w:tcW w:type="dxa" w:w="547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Durable state machine: held -&gt; expired or confirmed.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BookingContext</w:t>
            </w:r>
          </w:p>
        </w:tc>
        <w:tc>
          <w:tcPr>
            <w:tcW w:type="dxa" w:w="59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bookingContextId, holdId, guest binding, signed deep link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Short-lived, idempotent handoff object.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SessionCriteria</w:t>
            </w:r>
          </w:p>
        </w:tc>
        <w:tc>
          <w:tcPr>
            <w:tcW w:type="dxa" w:w="59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session/guest key, confirmed preferences, expiry</w:t>
            </w:r>
          </w:p>
        </w:tc>
        <w:tc>
          <w:tcPr>
            <w:tcW w:type="dxa" w:w="547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Short-lived Redis state; no sensitive persistence.</w:t>
            </w:r>
          </w:p>
        </w:tc>
      </w:tr>
    </w:tbl>
    <w:p>
      <w:pPr>
        <w:pStyle w:val="CodeBlock"/>
      </w:pPr>
      <w:r>
        <w:t>begin transaction</w:t>
      </w:r>
    </w:p>
    <w:p>
      <w:pPr>
        <w:pStyle w:val="CodeBlock"/>
      </w:pPr>
      <w:r>
        <w:t xml:space="preserve">  if idempotency key exists:</w:t>
      </w:r>
    </w:p>
    <w:p>
      <w:pPr>
        <w:pStyle w:val="CodeBlock"/>
      </w:pPr>
      <w:r>
        <w:t xml:space="preserve">    return existing hold</w:t>
      </w:r>
    </w:p>
    <w:p>
      <w:pPr>
        <w:pStyle w:val="CodeBlock"/>
      </w:pPr>
      <w:r>
        <w:t xml:space="preserve">  conditionally decrement inventory where available &gt; 0</w:t>
      </w:r>
    </w:p>
    <w:p>
      <w:pPr>
        <w:pStyle w:val="CodeBlock"/>
      </w:pPr>
      <w:r>
        <w:t xml:space="preserve">  insert durable hold(status='held', expiresAt=...)</w:t>
      </w:r>
    </w:p>
    <w:p>
      <w:pPr>
        <w:pStyle w:val="CodeBlock"/>
      </w:pPr>
      <w:r>
        <w:t>commit</w:t>
      </w:r>
    </w:p>
    <w:p>
      <w:pPr>
        <w:pStyle w:val="CodeBlock"/>
      </w:pPr>
      <w:r>
        <w:t>set Redis TTL signal</w:t>
      </w:r>
    </w:p>
    <w:p>
      <w:pPr>
        <w:pStyle w:val="ListBullet"/>
        <w:spacing w:after="40"/>
      </w:pPr>
      <w:r>
        <w:t>Strong consistency is required for inventory decrement, hold creation, confirmation and ownership checks.</w:t>
      </w:r>
    </w:p>
    <w:p>
      <w:pPr>
        <w:pStyle w:val="ListBullet"/>
        <w:spacing w:after="40"/>
      </w:pPr>
      <w:r>
        <w:t>Eventual consistency is acceptable for catalog indexing, approved content ingestion, telemetry aggregation and expiry notification.</w:t>
      </w:r>
    </w:p>
    <w:p>
      <w:pPr>
        <w:pStyle w:val="ListBullet"/>
        <w:spacing w:after="40"/>
      </w:pPr>
      <w:r>
        <w:t>Only a successful compare-and-set held -&gt; expired may restore inventory; confirmed holds are never reclaimed.</w:t>
      </w:r>
    </w:p>
    <w:p>
      <w:r>
        <w:br w:type="page"/>
      </w:r>
    </w:p>
    <w:p>
      <w:pPr>
        <w:pStyle w:val="Heading1"/>
      </w:pPr>
      <w:r>
        <w:t>14. Security and Threat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  <w:gridCol w:w="3888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control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Verification evidence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Prompt injection from policy/catalog content</w:t>
            </w:r>
          </w:p>
        </w:tc>
        <w:tc>
          <w:tcPr>
            <w:tcW w:type="dxa" w:w="691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Mark retrieval as untrusted, isolate it, reject embedded instructions and keep tools separately authorized.</w:t>
            </w:r>
          </w:p>
        </w:tc>
        <w:tc>
          <w:tcPr>
            <w:tcW w:type="dxa" w:w="388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Curated red-team set; no instruction-following or unauthorized calls.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Hallucinated commerce values</w:t>
            </w:r>
          </w:p>
        </w:tc>
        <w:tc>
          <w:tcPr>
            <w:tcW w:type="dxa" w:w="691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Deterministic APIs, typed cards and current-turn provenance validation.</w:t>
            </w:r>
          </w:p>
        </w:tc>
        <w:tc>
          <w:tcPr>
            <w:tcW w:type="dxa" w:w="388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Golden set requires zero invented price/date/availability/fee claims.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Unauthorized hold or booking</w:t>
            </w:r>
          </w:p>
        </w:tc>
        <w:tc>
          <w:tcPr>
            <w:tcW w:type="dxa" w:w="691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Authenticated guest context is enforced in service code and bound to hold/context.</w:t>
            </w:r>
          </w:p>
        </w:tc>
        <w:tc>
          <w:tcPr>
            <w:tcW w:type="dxa" w:w="388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Negative authz integration tests.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PII leakage</w:t>
            </w:r>
          </w:p>
        </w:tc>
        <w:tc>
          <w:tcPr>
            <w:tcW w:type="dxa" w:w="691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Field allow-lists, pre-model redaction, redacted traces and retention controls.</w:t>
            </w:r>
          </w:p>
        </w:tc>
        <w:tc>
          <w:tcPr>
            <w:tcW w:type="dxa" w:w="388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PII test fixtures and log inspection.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Oversell / duplicate action</w:t>
            </w:r>
          </w:p>
        </w:tc>
        <w:tc>
          <w:tcPr>
            <w:tcW w:type="dxa" w:w="691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Transaction, conditional update, unique idempotency key, retry-safe booking context.</w:t>
            </w:r>
          </w:p>
        </w:tc>
        <w:tc>
          <w:tcPr>
            <w:tcW w:type="dxa" w:w="388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Concurrency and replay tests.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Tampered booking link</w:t>
            </w:r>
          </w:p>
        </w:tc>
        <w:tc>
          <w:tcPr>
            <w:tcW w:type="dxa" w:w="691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Signed short-lived context bound to guest and active hold.</w:t>
            </w:r>
          </w:p>
        </w:tc>
        <w:tc>
          <w:tcPr>
            <w:tcW w:type="dxa" w:w="388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Signature and expiry tests.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Model outage / cost attack</w:t>
            </w:r>
          </w:p>
        </w:tc>
        <w:tc>
          <w:tcPr>
            <w:tcW w:type="dxa" w:w="691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Timeouts, circuit breaker, rate limits, quotas, model routing and fallback.</w:t>
            </w:r>
          </w:p>
        </w:tc>
        <w:tc>
          <w:tcPr>
            <w:tcW w:type="dxa" w:w="388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Chaos test and cost alarms.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Unsafe autonomy</w:t>
            </w:r>
          </w:p>
        </w:tc>
        <w:tc>
          <w:tcPr>
            <w:tcW w:type="dxa" w:w="691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Explicit confirmation; payment remains in existing checkout.</w:t>
            </w:r>
          </w:p>
        </w:tc>
        <w:tc>
          <w:tcPr>
            <w:tcW w:type="dxa" w:w="388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Tool schema rejects missing confirmation.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256"/>
            <w:shd w:fill="FBE9DD"/>
            <w:tcBorders>
              <w:top w:val="single" w:sz="8" w:color="C44747"/>
              <w:left w:val="single" w:sz="8" w:color="C44747"/>
              <w:bottom w:val="single" w:sz="8" w:color="C44747"/>
              <w:right w:val="single" w:sz="8" w:color="C44747"/>
            </w:tcBorders>
          </w:tcPr>
          <w:p>
            <w:pPr>
              <w:jc w:val="center"/>
            </w:pPr>
            <w:r>
              <w:rPr>
                <w:b/>
                <w:color w:val="C44747"/>
                <w:sz w:val="20"/>
              </w:rPr>
              <w:t>SOX/PCI boundary: the assistant does not perform payment, modify financial-reporting systems or bypass existing approval and audit controls.</w:t>
            </w:r>
          </w:p>
        </w:tc>
        <w:trPr>
          <w:tblHeader/>
        </w:trPr>
      </w:tr>
    </w:tbl>
    <w:p>
      <w:r>
        <w:br w:type="page"/>
      </w:r>
    </w:p>
    <w:p>
      <w:pPr>
        <w:pStyle w:val="Heading1"/>
      </w:pPr>
      <w:r>
        <w:t>15. Non-Functional Requirements and Initial SLOs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6336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Initial engineering target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Design response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Correctness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0 oversells; 0 unauthorized calls; retry-safe holds and booking contexts.</w:t>
            </w:r>
          </w:p>
        </w:tc>
        <w:tc>
          <w:tcPr>
            <w:tcW w:type="dxa" w:w="6336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Transactions, CAS, idempotency and server-side authz.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First response</w:t>
            </w:r>
          </w:p>
        </w:tc>
        <w:tc>
          <w:tcPr>
            <w:tcW w:type="dxa" w:w="504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First status/token &lt;= 2.5 s p95.</w:t>
            </w:r>
          </w:p>
        </w:tc>
        <w:tc>
          <w:tcPr>
            <w:tcW w:type="dxa" w:w="6336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Streaming, fast model tier and immediate deterministic criteria capture.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First verified card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&lt;= 4 s p95 for hero scenario.</w:t>
            </w:r>
          </w:p>
        </w:tc>
        <w:tc>
          <w:tcPr>
            <w:tcW w:type="dxa" w:w="6336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Parallelize availability/pricing with bounded concurrency; emit partial results.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Full hero response</w:t>
            </w:r>
          </w:p>
        </w:tc>
        <w:tc>
          <w:tcPr>
            <w:tcW w:type="dxa" w:w="504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&lt;= 8 s p95.</w:t>
            </w:r>
          </w:p>
        </w:tc>
        <w:tc>
          <w:tcPr>
            <w:tcW w:type="dxa" w:w="6336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Context limits, capped tool loop, caching and model routing.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Hold creation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&lt;= 1.2 s p95.</w:t>
            </w:r>
          </w:p>
        </w:tc>
        <w:tc>
          <w:tcPr>
            <w:tcW w:type="dxa" w:w="6336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Single authoritative transaction and indexed idempotency lookup.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Availability</w:t>
            </w:r>
          </w:p>
        </w:tc>
        <w:tc>
          <w:tcPr>
            <w:tcW w:type="dxa" w:w="504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Assistant 99.9%; deterministic fallback 99.95% initial target.</w:t>
            </w:r>
          </w:p>
        </w:tc>
        <w:tc>
          <w:tcPr>
            <w:tcW w:type="dxa" w:w="6336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Circuit breaker and independent search path.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Accessibility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WCAG-aligned keyboard/focus/live-region behavior.</w:t>
            </w:r>
          </w:p>
        </w:tc>
        <w:tc>
          <w:tcPr>
            <w:tcW w:type="dxa" w:w="6336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Component tests and manual screen-reader verification.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Cost</w:t>
            </w:r>
          </w:p>
        </w:tc>
        <w:tc>
          <w:tcPr>
            <w:tcW w:type="dxa" w:w="504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Per-session budget and alerting; capable model used only when required.</w:t>
            </w:r>
          </w:p>
        </w:tc>
        <w:tc>
          <w:tcPr>
            <w:tcW w:type="dxa" w:w="6336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Gateway quotas, routing and trace dimensions.</w:t>
            </w:r>
          </w:p>
        </w:tc>
      </w:tr>
    </w:tbl>
    <w:p>
      <w:pPr>
        <w:pStyle w:val="ListBullet"/>
        <w:spacing w:after="40"/>
      </w:pPr>
      <w:r>
        <w:t>These values are pilot targets, not claims about current RCG baselines; calibrate them with measured production dependencies.</w:t>
      </w:r>
    </w:p>
    <w:p>
      <w:pPr>
        <w:pStyle w:val="ListBullet"/>
        <w:spacing w:after="40"/>
      </w:pPr>
      <w:r>
        <w:t>Never trade inventory correctness, authorization or truthful sold-out behavior for lower latency.</w:t>
      </w:r>
    </w:p>
    <w:p>
      <w:pPr>
        <w:pStyle w:val="ListBullet"/>
        <w:spacing w:after="40"/>
      </w:pPr>
      <w:r>
        <w:t>If live pricing is unavailable, show an explicit uncertainty state instead of a guessed value.</w:t>
      </w:r>
    </w:p>
    <w:p>
      <w:r>
        <w:br w:type="page"/>
      </w:r>
    </w:p>
    <w:p>
      <w:pPr>
        <w:pStyle w:val="Heading1"/>
      </w:pPr>
      <w:r>
        <w:t>16. Evaluation and Test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048"/>
        <w:gridCol w:w="5472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gates</w:t>
            </w:r>
          </w:p>
        </w:tc>
      </w:tr>
      <w:tr>
        <w:tc>
          <w:tcPr>
            <w:tcW w:type="dxa" w:w="216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Deterministic core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Strict TDD with Vitest and MongoMemoryReplSet.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No oversell; concurrency, idempotency, expiry, pricing, authz and provenance tests pass.</w:t>
            </w:r>
          </w:p>
        </w:tc>
      </w:tr>
      <w:tr>
        <w:tc>
          <w:tcPr>
            <w:tcW w:type="dxa" w:w="216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Agent behavior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Versioned golden JSONL plus judge-based faithfulness scoring.</w:t>
            </w:r>
          </w:p>
        </w:tc>
        <w:tc>
          <w:tcPr>
            <w:tcW w:type="dxa" w:w="547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Correct intent/tools; zero invented commerce values; approved-content faithfulness.</w:t>
            </w:r>
          </w:p>
        </w:tc>
      </w:tr>
      <w:tr>
        <w:tc>
          <w:tcPr>
            <w:tcW w:type="dxa" w:w="216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Security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Prompt-injection and unauthorized-tool red team.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100% catch rate on the locked demo set; no tool execution outside guest scope.</w:t>
            </w:r>
          </w:p>
        </w:tc>
      </w:tr>
      <w:tr>
        <w:tc>
          <w:tcPr>
            <w:tcW w:type="dxa" w:w="216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UI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React Testing Library plus manual accessibility checks.</w:t>
            </w:r>
          </w:p>
        </w:tc>
        <w:tc>
          <w:tcPr>
            <w:tcW w:type="dxa" w:w="547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Keyboard, focus, aria-live, structured-card provenance.</w:t>
            </w:r>
          </w:p>
        </w:tc>
      </w:tr>
      <w:tr>
        <w:tc>
          <w:tcPr>
            <w:tcW w:type="dxa" w:w="216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Integration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Docker Compose with Mongo replica set and Redis.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Hero path and model-outage fallback path pass.</w:t>
            </w:r>
          </w:p>
        </w:tc>
      </w:tr>
      <w:tr>
        <w:tc>
          <w:tcPr>
            <w:tcW w:type="dxa" w:w="216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Operational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Feature flag, circuit breaker and rollback drill.</w:t>
            </w:r>
          </w:p>
        </w:tc>
        <w:tc>
          <w:tcPr>
            <w:tcW w:type="dxa" w:w="547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Standard booking remains available after assistant disablement.</w:t>
            </w:r>
          </w:p>
        </w:tc>
      </w:tr>
    </w:tbl>
    <w:p>
      <w:pPr>
        <w:pStyle w:val="ListBullet"/>
        <w:spacing w:after="40"/>
      </w:pPr>
      <w:r>
        <w:t>Deterministic tests are the specification for the correctness-critical core.</w:t>
      </w:r>
    </w:p>
    <w:p>
      <w:pPr>
        <w:pStyle w:val="ListBullet"/>
        <w:spacing w:after="40"/>
      </w:pPr>
      <w:r>
        <w:t>Model prose is not unit-tested character-for-character; the system evaluates required behavior and safety properties.</w:t>
      </w:r>
    </w:p>
    <w:p>
      <w:pPr>
        <w:pStyle w:val="ListBullet"/>
        <w:spacing w:after="40"/>
      </w:pPr>
      <w:r>
        <w:t>Every release pins model/prompt/tool versions so a failed evaluation can be traced and rolled back.</w:t>
      </w:r>
    </w:p>
    <w:p>
      <w:r>
        <w:br w:type="page"/>
      </w:r>
    </w:p>
    <w:p>
      <w:pPr>
        <w:pStyle w:val="Heading1"/>
      </w:pPr>
      <w:r>
        <w:t>17. Deployment, Rollout and Operational Runbook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464"/>
        <w:gridCol w:w="6912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Guest exposure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Exit evidence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Offline prototype</w:t>
            </w:r>
          </w:p>
        </w:tc>
        <w:tc>
          <w:tcPr>
            <w:tcW w:type="dxa" w:w="446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None; synthetic data and mocked production adapters.</w:t>
            </w:r>
          </w:p>
        </w:tc>
        <w:tc>
          <w:tcPr>
            <w:tcW w:type="dxa" w:w="691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Vertical slice, eval baseline, threat model and fallback work.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Employee alpha</w:t>
            </w:r>
          </w:p>
        </w:tc>
        <w:tc>
          <w:tcPr>
            <w:tcW w:type="dxa" w:w="446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Authenticated internal users only.</w:t>
            </w:r>
          </w:p>
        </w:tc>
        <w:tc>
          <w:tcPr>
            <w:tcW w:type="dxa" w:w="691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Red team, load test, runbooks, dashboards and support process.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Shadow mode</w:t>
            </w:r>
          </w:p>
        </w:tc>
        <w:tc>
          <w:tcPr>
            <w:tcW w:type="dxa" w:w="446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No model output shown to guests.</w:t>
            </w:r>
          </w:p>
        </w:tc>
        <w:tc>
          <w:tcPr>
            <w:tcW w:type="dxa" w:w="691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Intent/tool decisions measured against real traffic without state mutation.</w:t>
            </w:r>
          </w:p>
        </w:tc>
      </w:tr>
      <w:tr>
        <w:tc>
          <w:tcPr>
            <w:tcW w:type="dxa" w:w="230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Limited guest beta</w:t>
            </w:r>
          </w:p>
        </w:tc>
        <w:tc>
          <w:tcPr>
            <w:tcW w:type="dxa" w:w="446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Small monitored cohort behind feature flag.</w:t>
            </w:r>
          </w:p>
        </w:tc>
        <w:tc>
          <w:tcPr>
            <w:tcW w:type="dxa" w:w="691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SLOs met, grounding threshold, zero unauthorized calls, rollback verified.</w:t>
            </w:r>
          </w:p>
        </w:tc>
      </w:tr>
      <w:tr>
        <w:tc>
          <w:tcPr>
            <w:tcW w:type="dxa" w:w="230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Scaled release</w:t>
            </w:r>
          </w:p>
        </w:tc>
        <w:tc>
          <w:tcPr>
            <w:tcW w:type="dxa" w:w="446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Only after evidence-based review.</w:t>
            </w:r>
          </w:p>
        </w:tc>
        <w:tc>
          <w:tcPr>
            <w:tcW w:type="dxa" w:w="691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Stable operations, acceptable cost, guest value and safety scorecards.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048"/>
        <w:gridCol w:w="4752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Incident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Immediate action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Preserved capability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Model gateway timeout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Trip circuit breaker; emit fallback event.</w:t>
            </w:r>
          </w:p>
        </w:tc>
        <w:tc>
          <w:tcPr>
            <w:tcW w:type="dxa" w:w="475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Guided search, availability and pricing.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Pricing dependency unavailable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Suppress price; show explicit uncertainty and retry/support option.</w:t>
            </w:r>
          </w:p>
        </w:tc>
        <w:tc>
          <w:tcPr>
            <w:tcW w:type="dxa" w:w="475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Sailing discovery and policy content.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Inventory inconsistency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Disable hold creation and run durable reconciliation.</w:t>
            </w:r>
          </w:p>
        </w:tc>
        <w:tc>
          <w:tcPr>
            <w:tcW w:type="dxa" w:w="475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Search and read-only results.</w:t>
            </w:r>
          </w:p>
        </w:tc>
      </w:tr>
      <w:tr>
        <w:tc>
          <w:tcPr>
            <w:tcW w:type="dxa" w:w="28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Retrieval injection regression</w:t>
            </w:r>
          </w:p>
        </w:tc>
        <w:tc>
          <w:tcPr>
            <w:tcW w:type="dxa" w:w="6048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Disable affected source or RAG path.</w:t>
            </w:r>
          </w:p>
        </w:tc>
        <w:tc>
          <w:tcPr>
            <w:tcW w:type="dxa" w:w="4752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Deterministic commerce flow.</w:t>
            </w:r>
          </w:p>
        </w:tc>
      </w:tr>
      <w:tr>
        <w:tc>
          <w:tcPr>
            <w:tcW w:type="dxa" w:w="28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Cost anomaly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Apply quota, lower model tier, reduce context and loop cap.</w:t>
            </w:r>
          </w:p>
        </w:tc>
        <w:tc>
          <w:tcPr>
            <w:tcW w:type="dxa" w:w="4752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Bounded assistant or fallback.</w:t>
            </w:r>
          </w:p>
        </w:tc>
      </w:tr>
    </w:tbl>
    <w:p>
      <w:r>
        <w:br w:type="page"/>
      </w:r>
    </w:p>
    <w:p>
      <w:pPr>
        <w:pStyle w:val="Heading1"/>
      </w:pPr>
      <w:r>
        <w:t>18. Architecture Decisions and Trade-offs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040"/>
        <w:gridCol w:w="5184"/>
      </w:tblGrid>
      <w:tr>
        <w:trPr>
          <w:tblHeader w:val="true"/>
        </w:trPr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Benefit</w:t>
            </w:r>
          </w:p>
        </w:tc>
        <w:tc>
          <w:tcPr>
            <w:tcW w:type="dxa" w:w="4752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Trade-off / rejected alternative</w:t>
            </w:r>
          </w:p>
        </w:tc>
      </w:tr>
      <w:tr>
        <w:tc>
          <w:tcPr>
            <w:tcW w:type="dxa" w:w="3456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Single orchestrator loop, not a multi-agent graph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Simple to build, observe and defend in two weeks.</w:t>
            </w:r>
          </w:p>
        </w:tc>
        <w:tc>
          <w:tcPr>
            <w:tcW w:type="dxa" w:w="518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Less specialized; multi-agent is a future scaling pattern.</w:t>
            </w:r>
          </w:p>
        </w:tc>
      </w:tr>
      <w:tr>
        <w:tc>
          <w:tcPr>
            <w:tcW w:type="dxa" w:w="3456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Content adapter, not live AEM setup</w:t>
            </w:r>
          </w:p>
        </w:tc>
        <w:tc>
          <w:tcPr>
            <w:tcW w:type="dxa" w:w="504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Accurate boundary and reliable demo.</w:t>
            </w:r>
          </w:p>
        </w:tc>
        <w:tc>
          <w:tcPr>
            <w:tcW w:type="dxa" w:w="518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Does not prove a specific production AEM integration.</w:t>
            </w:r>
          </w:p>
        </w:tc>
      </w:tr>
      <w:tr>
        <w:tc>
          <w:tcPr>
            <w:tcW w:type="dxa" w:w="3456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Mongo authority, Redis acceleration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Durable correctness and familiar RCG-aligned technologies.</w:t>
            </w:r>
          </w:p>
        </w:tc>
        <w:tc>
          <w:tcPr>
            <w:tcW w:type="dxa" w:w="518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Requires replica-set transaction support and reconciliation worker.</w:t>
            </w:r>
          </w:p>
        </w:tc>
      </w:tr>
      <w:tr>
        <w:tc>
          <w:tcPr>
            <w:tcW w:type="dxa" w:w="3456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Web component micro-frontend</w:t>
            </w:r>
          </w:p>
        </w:tc>
        <w:tc>
          <w:tcPr>
            <w:tcW w:type="dxa" w:w="504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Embeddable in AEM or React with independent release ownership.</w:t>
            </w:r>
          </w:p>
        </w:tc>
        <w:tc>
          <w:tcPr>
            <w:tcW w:type="dxa" w:w="518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Requires careful bundle/version governance.</w:t>
            </w:r>
          </w:p>
        </w:tc>
      </w:tr>
      <w:tr>
        <w:tc>
          <w:tcPr>
            <w:tcW w:type="dxa" w:w="3456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Existing checkout handoff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Preserves PCI/SOX and limits agent authority.</w:t>
            </w:r>
          </w:p>
        </w:tc>
        <w:tc>
          <w:tcPr>
            <w:tcW w:type="dxa" w:w="518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Not a fully conversational purchase.</w:t>
            </w:r>
          </w:p>
        </w:tc>
      </w:tr>
      <w:tr>
        <w:tc>
          <w:tcPr>
            <w:tcW w:type="dxa" w:w="3456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Structured cards plus provenance validator</w:t>
            </w:r>
          </w:p>
        </w:tc>
        <w:tc>
          <w:tcPr>
            <w:tcW w:type="dxa" w:w="504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Trustworthy price and availability surface.</w:t>
            </w:r>
          </w:p>
        </w:tc>
        <w:tc>
          <w:tcPr>
            <w:tcW w:type="dxa" w:w="5184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Adds schema and output-processing complexity.</w:t>
            </w:r>
          </w:p>
        </w:tc>
      </w:tr>
      <w:tr>
        <w:tc>
          <w:tcPr>
            <w:tcW w:type="dxa" w:w="3456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Model-independent fallback</w:t>
            </w:r>
          </w:p>
        </w:tc>
        <w:tc>
          <w:tcPr>
            <w:tcW w:type="dxa" w:w="504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Real resilience and strong demo signal.</w:t>
            </w:r>
          </w:p>
        </w:tc>
        <w:tc>
          <w:tcPr>
            <w:tcW w:type="dxa" w:w="5184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Requires a small deterministic parser and duplicate UI path.</w:t>
            </w:r>
          </w:p>
        </w:tc>
      </w:tr>
    </w:tbl>
    <w:p>
      <w:r>
        <w:br w:type="page"/>
      </w:r>
    </w:p>
    <w:p>
      <w:pPr>
        <w:pStyle w:val="Heading1"/>
      </w:pPr>
      <w:r>
        <w:t>19. Demo Script and Evidence Checklist</w:t>
      </w:r>
    </w:p>
    <w:p>
      <w:pPr>
        <w:pStyle w:val="ListNumber"/>
        <w:spacing w:after="40"/>
      </w:pPr>
      <w:r>
        <w:t>Open the AEM-style host page and show the embedded assistant component.</w:t>
      </w:r>
    </w:p>
    <w:p>
      <w:pPr>
        <w:pStyle w:val="ListNumber"/>
        <w:spacing w:after="40"/>
      </w:pPr>
      <w:r>
        <w:t>Enter: "7-night Caribbean cruise in March for a family of four, balcony cabin, under $X."</w:t>
      </w:r>
    </w:p>
    <w:p>
      <w:pPr>
        <w:pStyle w:val="ListNumber"/>
        <w:spacing w:after="40"/>
      </w:pPr>
      <w:r>
        <w:t>Narrate the structured criteria chips and streamed status progression.</w:t>
      </w:r>
    </w:p>
    <w:p>
      <w:pPr>
        <w:pStyle w:val="ListNumber"/>
        <w:spacing w:after="40"/>
      </w:pPr>
      <w:r>
        <w:t>Show verified sailing, availability and pricing cards with asOf/validUntil.</w:t>
      </w:r>
    </w:p>
    <w:p>
      <w:pPr>
        <w:pStyle w:val="ListNumber"/>
        <w:spacing w:after="40"/>
      </w:pPr>
      <w:r>
        <w:t>Ask a policy question and show the approved-content citation.</w:t>
      </w:r>
    </w:p>
    <w:p>
      <w:pPr>
        <w:pStyle w:val="ListNumber"/>
        <w:spacing w:after="40"/>
      </w:pPr>
      <w:r>
        <w:t>Select a sailing, explicitly confirm and create the short-lived hold.</w:t>
      </w:r>
    </w:p>
    <w:p>
      <w:pPr>
        <w:pStyle w:val="ListNumber"/>
        <w:spacing w:after="40"/>
      </w:pPr>
      <w:r>
        <w:t>Show the booking context deep link and explain that payment remains in existing checkout.</w:t>
      </w:r>
    </w:p>
    <w:p>
      <w:pPr>
        <w:pStyle w:val="ListNumber"/>
        <w:spacing w:after="40"/>
      </w:pPr>
      <w:r>
        <w:t>Disable the model key or trigger timeout; repeat the request and show the prefilled deterministic fallback.</w:t>
      </w:r>
    </w:p>
    <w:p>
      <w:pPr>
        <w:pStyle w:val="ListNumber"/>
        <w:spacing w:after="40"/>
      </w:pPr>
      <w:r>
        <w:t>Show one prompt-injection test and the evaluation summary.</w:t>
      </w:r>
    </w:p>
    <w:p>
      <w:pPr>
        <w:pStyle w:val="ListNumber"/>
        <w:spacing w:after="40"/>
      </w:pPr>
      <w:r>
        <w:t>Use a pre-recorded backup if the live environment becomes unstable.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0080"/>
      </w:tblGrid>
      <w:tr>
        <w:trPr>
          <w:tblHeader w:val="true"/>
        </w:trPr>
        <w:tc>
          <w:tcPr>
            <w:tcW w:type="dxa" w:w="712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Evidence artifact</w:t>
            </w:r>
          </w:p>
        </w:tc>
        <w:tc>
          <w:tcPr>
            <w:tcW w:type="dxa" w:w="712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Minimum proof</w:t>
            </w:r>
          </w:p>
        </w:tc>
      </w:tr>
      <w:tr>
        <w:tc>
          <w:tcPr>
            <w:tcW w:type="dxa" w:w="360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Architecture diagrams</w:t>
            </w:r>
          </w:p>
        </w:tc>
        <w:tc>
          <w:tcPr>
            <w:tcW w:type="dxa" w:w="100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Seven Part 1 diagrams supplied as PNG, SVG, DOT and Mermaid.</w:t>
            </w:r>
          </w:p>
        </w:tc>
      </w:tr>
      <w:tr>
        <w:tc>
          <w:tcPr>
            <w:tcW w:type="dxa" w:w="360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Automated tests</w:t>
            </w:r>
          </w:p>
        </w:tc>
        <w:tc>
          <w:tcPr>
            <w:tcW w:type="dxa" w:w="100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Inventory concurrency/idempotency, grounding, authz, fallback and e2e path.</w:t>
            </w:r>
          </w:p>
        </w:tc>
      </w:tr>
      <w:tr>
        <w:tc>
          <w:tcPr>
            <w:tcW w:type="dxa" w:w="360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Evaluation output</w:t>
            </w:r>
          </w:p>
        </w:tc>
        <w:tc>
          <w:tcPr>
            <w:tcW w:type="dxa" w:w="100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Golden-set grounding/faithfulness result and red-team result.</w:t>
            </w:r>
          </w:p>
        </w:tc>
      </w:tr>
      <w:tr>
        <w:tc>
          <w:tcPr>
            <w:tcW w:type="dxa" w:w="360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Observability</w:t>
            </w:r>
          </w:p>
        </w:tc>
        <w:tc>
          <w:tcPr>
            <w:tcW w:type="dxa" w:w="100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Single trace showing model call, tools, latency, tokens/cost and redaction.</w:t>
            </w:r>
          </w:p>
        </w:tc>
      </w:tr>
      <w:tr>
        <w:tc>
          <w:tcPr>
            <w:tcW w:type="dxa" w:w="360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Runbook</w:t>
            </w:r>
          </w:p>
        </w:tc>
        <w:tc>
          <w:tcPr>
            <w:tcW w:type="dxa" w:w="1008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Feature flag disablement and fallback behavior.</w:t>
            </w:r>
          </w:p>
        </w:tc>
      </w:tr>
      <w:tr>
        <w:tc>
          <w:tcPr>
            <w:tcW w:type="dxa" w:w="360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Backup video</w:t>
            </w:r>
          </w:p>
        </w:tc>
        <w:tc>
          <w:tcPr>
            <w:tcW w:type="dxa" w:w="1008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7"/>
              </w:rPr>
              <w:t>Full hero path plus model-outage failure path.</w:t>
            </w:r>
          </w:p>
        </w:tc>
      </w:tr>
    </w:tbl>
    <w:p>
      <w:r>
        <w:br w:type="page"/>
      </w:r>
    </w:p>
    <w:p>
      <w:pPr>
        <w:pStyle w:val="Heading1"/>
      </w:pPr>
      <w:r>
        <w:t>20. Technical Deep-Dive Defense Bank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9360"/>
      </w:tblGrid>
      <w:tr>
        <w:trPr>
          <w:tblHeader w:val="true"/>
        </w:trPr>
        <w:tc>
          <w:tcPr>
            <w:tcW w:type="dxa" w:w="712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Panel question</w:t>
            </w:r>
          </w:p>
        </w:tc>
        <w:tc>
          <w:tcPr>
            <w:tcW w:type="dxa" w:w="7128"/>
            <w:shd w:fill="0B1F3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Concise defense</w:t>
            </w:r>
          </w:p>
        </w:tc>
      </w:tr>
      <w:tr>
        <w:tc>
          <w:tcPr>
            <w:tcW w:type="dxa" w:w="43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How do you prevent hallucinated prices?</w:t>
            </w:r>
          </w:p>
        </w:tc>
        <w:tc>
          <w:tcPr>
            <w:tcW w:type="dxa" w:w="936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Every commerce-sensitive claim must match a deterministic ToolResult from the current turn. Structured cards remain authoritative.</w:t>
            </w:r>
          </w:p>
        </w:tc>
      </w:tr>
      <w:tr>
        <w:tc>
          <w:tcPr>
            <w:tcW w:type="dxa" w:w="43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Why not put inventory holds in Redis?</w:t>
            </w:r>
          </w:p>
        </w:tc>
        <w:tc>
          <w:tcPr>
            <w:tcW w:type="dxa" w:w="936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Redis accelerates expiry and coordination, but durable Mongo-backed service state owns correctness. Eviction or cache loss cannot create an oversell.</w:t>
            </w:r>
          </w:p>
        </w:tc>
      </w:tr>
      <w:tr>
        <w:tc>
          <w:tcPr>
            <w:tcW w:type="dxa" w:w="43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What happens on retries?</w:t>
            </w:r>
          </w:p>
        </w:tc>
        <w:tc>
          <w:tcPr>
            <w:tcW w:type="dxa" w:w="936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 unique durable idempotency key returns the original hold or booking context without a second decrement or action.</w:t>
            </w:r>
          </w:p>
        </w:tc>
      </w:tr>
      <w:tr>
        <w:tc>
          <w:tcPr>
            <w:tcW w:type="dxa" w:w="43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How does fallback preserve intent when the model is down?</w:t>
            </w:r>
          </w:p>
        </w:tc>
        <w:tc>
          <w:tcPr>
            <w:tcW w:type="dxa" w:w="936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UI chips and a deterministic parser store the latest confirmed criteria before the model call.</w:t>
            </w:r>
          </w:p>
        </w:tc>
      </w:tr>
      <w:tr>
        <w:tc>
          <w:tcPr>
            <w:tcW w:type="dxa" w:w="43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How is prompt injection handled?</w:t>
            </w:r>
          </w:p>
        </w:tc>
        <w:tc>
          <w:tcPr>
            <w:tcW w:type="dxa" w:w="936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Retrieved text is isolated as untrusted data. It cannot grant tool authority; schemas and server-side authz remain independent.</w:t>
            </w:r>
          </w:p>
        </w:tc>
      </w:tr>
      <w:tr>
        <w:tc>
          <w:tcPr>
            <w:tcW w:type="dxa" w:w="43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What is strongly consistent?</w:t>
            </w:r>
          </w:p>
        </w:tc>
        <w:tc>
          <w:tcPr>
            <w:tcW w:type="dxa" w:w="936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Inventory decrement, hold creation, confirmation and ownership checks. Catalog/content refresh and telemetry can be eventual.</w:t>
            </w:r>
          </w:p>
        </w:tc>
      </w:tr>
      <w:tr>
        <w:tc>
          <w:tcPr>
            <w:tcW w:type="dxa" w:w="43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How is AEM integrated?</w:t>
            </w:r>
          </w:p>
        </w:tc>
        <w:tc>
          <w:tcPr>
            <w:tcW w:type="dxa" w:w="936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AEM remains headful. A content adapter consumes whichever approved publishing mechanism exists; the prototype uses a simulated export.</w:t>
            </w:r>
          </w:p>
        </w:tc>
      </w:tr>
      <w:tr>
        <w:tc>
          <w:tcPr>
            <w:tcW w:type="dxa" w:w="43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What do you sacrifice first under load?</w:t>
            </w:r>
          </w:p>
        </w:tc>
        <w:tc>
          <w:tcPr>
            <w:tcW w:type="dxa" w:w="936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Rich synthesis, extra recommendations and noncritical policy enrichment. Never inventory correctness, authorization or truthful sold-out behavior.</w:t>
            </w:r>
          </w:p>
        </w:tc>
      </w:tr>
      <w:tr>
        <w:tc>
          <w:tcPr>
            <w:tcW w:type="dxa" w:w="432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Why a web component?</w:t>
            </w:r>
          </w:p>
        </w:tc>
        <w:tc>
          <w:tcPr>
            <w:tcW w:type="dxa" w:w="9360"/>
            <w:shd w:fill="FFFFFF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It provides a stable ownership and embedding boundary across AEM and React while sharing design tokens and accessible primitives.</w:t>
            </w:r>
          </w:p>
        </w:tc>
      </w:tr>
      <w:tr>
        <w:tc>
          <w:tcPr>
            <w:tcW w:type="dxa" w:w="432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How did AI help build the solution?</w:t>
            </w:r>
          </w:p>
        </w:tc>
        <w:tc>
          <w:tcPr>
            <w:tcW w:type="dxa" w:w="9360"/>
            <w:shd w:fill="F4F7FA"/>
            <w:vAlign w:val="top"/>
          </w:tcPr>
          <w:p>
            <w:pPr>
              <w:spacing w:after="0"/>
            </w:pPr>
            <w:r>
              <w:rPr>
                <w:color w:val="172B3A"/>
                <w:sz w:val="16"/>
              </w:rPr>
              <w:t>Use AI to accelerate scaffolding, tests, diagrams and critique, while keeping human ownership of boundaries, security decisions and final evidence.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0"/>
      </w:tblGrid>
      <w:tr>
        <w:tc>
          <w:tcPr>
            <w:tcW w:type="dxa" w:w="14256"/>
            <w:shd w:fill="DCEFF5"/>
            <w:tcBorders>
              <w:top w:val="single" w:sz="8" w:color="0A7A8C"/>
              <w:left w:val="single" w:sz="8" w:color="0A7A8C"/>
              <w:bottom w:val="single" w:sz="8" w:color="0A7A8C"/>
              <w:right w:val="single" w:sz="8" w:color="0A7A8C"/>
            </w:tcBorders>
          </w:tcPr>
          <w:p>
            <w:pPr>
              <w:jc w:val="center"/>
            </w:pPr>
            <w:r>
              <w:rPr>
                <w:b/>
                <w:color w:val="0A7A8C"/>
                <w:sz w:val="20"/>
              </w:rPr>
              <w:t>Final presentation posture: clearly distinguish demonstrated prototype behavior from proposed production integration and initial pilot targets.</w:t>
            </w:r>
          </w:p>
        </w:tc>
        <w:trPr>
          <w:tblHeader/>
        </w:trPr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88A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788A"/>
        <w:sz w:val="16"/>
      </w:rPr>
      <w:t>RCG Part 1 - System Architecture and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color w:val="172B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A7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A7F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/>
      <w:i/>
      <w:iCs/>
      <w:color w:val="0A7A8C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288" w:right="288"/>
      <w:shd w:fill="F4F7FA"/>
    </w:pPr>
    <w:rPr>
      <w:rFonts w:ascii="Consolas" w:hAnsi="Consolas" w:eastAsia="Consolas"/>
      <w:color w:val="172B3A"/>
      <w:sz w:val="17"/>
    </w:rPr>
  </w:style>
  <w:style w:type="paragraph" w:customStyle="1" w:styleId="SmallNote">
    <w:name w:val="SmallNote"/>
    <w:rPr>
      <w:rFonts w:ascii="Aptos" w:hAnsi="Aptos"/>
      <w:i/>
      <w:color w:val="66788A"/>
      <w:sz w:val="16"/>
    </w:rPr>
  </w:style>
  <w:style w:type="paragraph" w:customStyle="1" w:styleId="Callout">
    <w:name w:val="Callout"/>
    <w:pPr>
      <w:shd w:fill="FFF4CF"/>
      <w:spacing w:before="80" w:after="120"/>
      <w:ind w:left="216" w:right="216"/>
    </w:pPr>
    <w:rPr>
      <w:rFonts w:ascii="Aptos" w:hAnsi="Aptos"/>
      <w:b/>
      <w:color w:val="0B1F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