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69E2E"/>
          <w:sz w:val="20"/>
        </w:rPr>
        <w:t>NAGRAKSHA</w:t>
      </w:r>
    </w:p>
    <w:p>
      <w:pPr>
        <w:pStyle w:val="Title"/>
        <w:jc w:val="center"/>
      </w:pPr>
      <w:r>
        <w:t>System Design Document</w:t>
      </w:r>
    </w:p>
    <w:p>
      <w:pPr>
        <w:jc w:val="center"/>
      </w:pPr>
      <w:r>
        <w:rPr>
          <w:color w:val="52605A"/>
          <w:sz w:val="24"/>
        </w:rPr>
        <w:t>PWA + event-driven emergency coordination architecture</w:t>
      </w:r>
    </w:p>
    <w:p/>
    <w:p>
      <w:pPr>
        <w:pStyle w:val="Heading1"/>
      </w:pPr>
      <w:r>
        <w:t>1. Architecture</w:t>
      </w:r>
    </w:p>
    <w:p>
      <w:r>
        <w:rPr>
          <w:b w:val="0"/>
        </w:rPr>
        <w:t>Use a modular monolith for the hackathon, with clear domain modules and an internal event bus. This is faster and safer to demo than premature microservices while preserving boundaries that can later be split.</w:t>
      </w:r>
    </w:p>
    <w:tbl>
      <w:tblPr>
        <w:tblStyle w:val="TableGrid"/>
        <w:tblW w:type="auto" w:w="0"/>
        <w:jc w:val="center"/>
        <w:tblLook w:firstColumn="1" w:firstRow="1" w:lastColumn="0" w:lastRow="0" w:noHBand="0" w:noVBand="1" w:val="04A0"/>
      </w:tblPr>
      <w:tblGrid>
        <w:gridCol w:w="5112"/>
        <w:gridCol w:w="5112"/>
      </w:tblGrid>
      <w:tr>
        <w:tc>
          <w:tcPr>
            <w:tcW w:type="dxa" w:w="5112"/>
            <w:shd w:fill="184D36"/>
            <w:vAlign w:val="center"/>
          </w:tcPr>
          <w:p>
            <w:r/>
            <w:r>
              <w:rPr>
                <w:b/>
                <w:color w:val="FFFFFF"/>
                <w:sz w:val="18"/>
              </w:rPr>
              <w:t>Layer</w:t>
            </w:r>
          </w:p>
        </w:tc>
        <w:tc>
          <w:tcPr>
            <w:tcW w:type="dxa" w:w="5112"/>
            <w:shd w:fill="184D36"/>
            <w:vAlign w:val="center"/>
          </w:tcPr>
          <w:p>
            <w:r/>
            <w:r>
              <w:rPr>
                <w:b/>
                <w:color w:val="FFFFFF"/>
                <w:sz w:val="18"/>
              </w:rPr>
              <w:t>Components</w:t>
            </w:r>
          </w:p>
        </w:tc>
      </w:tr>
      <w:tr>
        <w:tc>
          <w:tcPr>
            <w:tcW w:type="dxa" w:w="5112"/>
            <w:vAlign w:val="center"/>
          </w:tcPr>
          <w:p>
            <w:r/>
            <w:r>
              <w:rPr>
                <w:b w:val="0"/>
                <w:color w:val="102A20"/>
                <w:sz w:val="17"/>
              </w:rPr>
              <w:t>Client</w:t>
            </w:r>
          </w:p>
        </w:tc>
        <w:tc>
          <w:tcPr>
            <w:tcW w:type="dxa" w:w="5112"/>
            <w:vAlign w:val="center"/>
          </w:tcPr>
          <w:p>
            <w:r/>
            <w:r>
              <w:rPr>
                <w:b w:val="0"/>
                <w:color w:val="102A20"/>
                <w:sz w:val="17"/>
              </w:rPr>
              <w:t>React/TypeScript PWA; role-based routes; service worker; IndexedDB for non-sensitive queued UI state; responsive hospital/admin console.</w:t>
            </w:r>
          </w:p>
        </w:tc>
      </w:tr>
      <w:tr>
        <w:tc>
          <w:tcPr>
            <w:tcW w:type="dxa" w:w="5112"/>
            <w:shd w:fill="F2F6F3"/>
            <w:vAlign w:val="center"/>
          </w:tcPr>
          <w:p>
            <w:r/>
            <w:r>
              <w:rPr>
                <w:b w:val="0"/>
                <w:color w:val="102A20"/>
                <w:sz w:val="17"/>
              </w:rPr>
              <w:t>API</w:t>
            </w:r>
          </w:p>
        </w:tc>
        <w:tc>
          <w:tcPr>
            <w:tcW w:type="dxa" w:w="5112"/>
            <w:shd w:fill="F2F6F3"/>
            <w:vAlign w:val="center"/>
          </w:tcPr>
          <w:p>
            <w:r/>
            <w:r>
              <w:rPr>
                <w:b w:val="0"/>
                <w:color w:val="102A20"/>
                <w:sz w:val="17"/>
              </w:rPr>
              <w:t>REST endpoints plus WebSocket/SSE for live incident state. Authentication and role authorization at API boundary.</w:t>
            </w:r>
          </w:p>
        </w:tc>
      </w:tr>
      <w:tr>
        <w:tc>
          <w:tcPr>
            <w:tcW w:type="dxa" w:w="5112"/>
            <w:vAlign w:val="center"/>
          </w:tcPr>
          <w:p>
            <w:r/>
            <w:r>
              <w:rPr>
                <w:b w:val="0"/>
                <w:color w:val="102A20"/>
                <w:sz w:val="17"/>
              </w:rPr>
              <w:t>Core domains</w:t>
            </w:r>
          </w:p>
        </w:tc>
        <w:tc>
          <w:tcPr>
            <w:tcW w:type="dxa" w:w="5112"/>
            <w:vAlign w:val="center"/>
          </w:tcPr>
          <w:p>
            <w:r/>
            <w:r>
              <w:rPr>
                <w:b w:val="0"/>
                <w:color w:val="102A20"/>
                <w:sz w:val="17"/>
              </w:rPr>
              <w:t>Incident, Dispatch, Responder, Hospital/Inventory, Routing, Clinical Handoff, Notification, Content/AI, Analytics.</w:t>
            </w:r>
          </w:p>
        </w:tc>
      </w:tr>
      <w:tr>
        <w:tc>
          <w:tcPr>
            <w:tcW w:type="dxa" w:w="5112"/>
            <w:shd w:fill="F2F6F3"/>
            <w:vAlign w:val="center"/>
          </w:tcPr>
          <w:p>
            <w:r/>
            <w:r>
              <w:rPr>
                <w:b w:val="0"/>
                <w:color w:val="102A20"/>
                <w:sz w:val="17"/>
              </w:rPr>
              <w:t>Data</w:t>
            </w:r>
          </w:p>
        </w:tc>
        <w:tc>
          <w:tcPr>
            <w:tcW w:type="dxa" w:w="5112"/>
            <w:shd w:fill="F2F6F3"/>
            <w:vAlign w:val="center"/>
          </w:tcPr>
          <w:p>
            <w:r/>
            <w:r>
              <w:rPr>
                <w:b w:val="0"/>
                <w:color w:val="102A20"/>
                <w:sz w:val="17"/>
              </w:rPr>
              <w:t>PostgreSQL + PostGIS for incidents, users, facilities and geospatial queries; Redis optional for presence, locks, rate limits and short-lived dispatch state.</w:t>
            </w:r>
          </w:p>
        </w:tc>
      </w:tr>
      <w:tr>
        <w:tc>
          <w:tcPr>
            <w:tcW w:type="dxa" w:w="5112"/>
            <w:vAlign w:val="center"/>
          </w:tcPr>
          <w:p>
            <w:r/>
            <w:r>
              <w:rPr>
                <w:b w:val="0"/>
                <w:color w:val="102A20"/>
                <w:sz w:val="17"/>
              </w:rPr>
              <w:t>Async</w:t>
            </w:r>
          </w:p>
        </w:tc>
        <w:tc>
          <w:tcPr>
            <w:tcW w:type="dxa" w:w="5112"/>
            <w:vAlign w:val="center"/>
          </w:tcPr>
          <w:p>
            <w:r/>
            <w:r>
              <w:rPr>
                <w:b w:val="0"/>
                <w:color w:val="102A20"/>
                <w:sz w:val="17"/>
              </w:rPr>
              <w:t>Job queue/event worker for fan-out, retries, escalation and notification delivery.</w:t>
            </w:r>
          </w:p>
        </w:tc>
      </w:tr>
      <w:tr>
        <w:tc>
          <w:tcPr>
            <w:tcW w:type="dxa" w:w="5112"/>
            <w:shd w:fill="F2F6F3"/>
            <w:vAlign w:val="center"/>
          </w:tcPr>
          <w:p>
            <w:r/>
            <w:r>
              <w:rPr>
                <w:b w:val="0"/>
                <w:color w:val="102A20"/>
                <w:sz w:val="17"/>
              </w:rPr>
              <w:t>External</w:t>
            </w:r>
          </w:p>
        </w:tc>
        <w:tc>
          <w:tcPr>
            <w:tcW w:type="dxa" w:w="5112"/>
            <w:shd w:fill="F2F6F3"/>
            <w:vAlign w:val="center"/>
          </w:tcPr>
          <w:p>
            <w:r/>
            <w:r>
              <w:rPr>
                <w:b w:val="0"/>
                <w:color w:val="102A20"/>
                <w:sz w:val="17"/>
              </w:rPr>
              <w:t>Maps/routing provider, weather API, Web Push provider/browser push services, optional SMS gateway, object storage for snake photos.</w:t>
            </w:r>
          </w:p>
        </w:tc>
      </w:tr>
    </w:tbl>
    <w:p>
      <w:pPr>
        <w:pStyle w:val="Heading1"/>
      </w:pPr>
      <w:r>
        <w:t>2. Logical Flow</w:t>
      </w:r>
    </w:p>
    <w:p>
      <w:r>
        <w:rPr>
          <w:b w:val="0"/>
        </w:rPr>
        <w:t>PWA → API Gateway/Auth → Incident Service → transactional incident write → Dispatch Orchestrator → three independent dispatch jobs. Each job queries eligible nearby responders/facilities, attempts delivery, records outcome, and schedules escalation. Client state updates through WebSocket/SSE. Hospital routing queries fresh inventory state before ETA ranking.</w:t>
      </w:r>
    </w:p>
    <w:p>
      <w:pPr>
        <w:pStyle w:val="Heading1"/>
      </w:pPr>
      <w:r>
        <w:t>3. Critical Sequence: SOS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84D36"/>
            <w:vAlign w:val="center"/>
          </w:tcPr>
          <w:p>
            <w:r/>
            <w:r>
              <w:rPr>
                <w:b/>
                <w:color w:val="FFFFFF"/>
                <w:sz w:val="18"/>
              </w:rPr>
              <w:t>Step</w:t>
            </w:r>
          </w:p>
        </w:tc>
        <w:tc>
          <w:tcPr>
            <w:tcW w:type="dxa" w:w="3408"/>
            <w:shd w:fill="184D36"/>
            <w:vAlign w:val="center"/>
          </w:tcPr>
          <w:p>
            <w:r/>
            <w:r>
              <w:rPr>
                <w:b/>
                <w:color w:val="FFFFFF"/>
                <w:sz w:val="18"/>
              </w:rPr>
              <w:t>Action</w:t>
            </w:r>
          </w:p>
        </w:tc>
        <w:tc>
          <w:tcPr>
            <w:tcW w:type="dxa" w:w="3408"/>
            <w:shd w:fill="184D36"/>
            <w:vAlign w:val="center"/>
          </w:tcPr>
          <w:p>
            <w:r/>
            <w:r>
              <w:rPr>
                <w:b/>
                <w:color w:val="FFFFFF"/>
                <w:sz w:val="18"/>
              </w:rPr>
              <w:t>Failure behavior</w:t>
            </w:r>
          </w:p>
        </w:tc>
      </w:tr>
      <w:tr>
        <w:tc>
          <w:tcPr>
            <w:tcW w:type="dxa" w:w="3408"/>
            <w:vAlign w:val="center"/>
          </w:tcPr>
          <w:p>
            <w:r/>
            <w:r>
              <w:rPr>
                <w:b w:val="0"/>
                <w:color w:val="102A20"/>
                <w:sz w:val="17"/>
              </w:rPr>
              <w:t>1</w:t>
            </w:r>
          </w:p>
        </w:tc>
        <w:tc>
          <w:tcPr>
            <w:tcW w:type="dxa" w:w="3408"/>
            <w:vAlign w:val="center"/>
          </w:tcPr>
          <w:p>
            <w:r/>
            <w:r>
              <w:rPr>
                <w:b w:val="0"/>
                <w:color w:val="102A20"/>
                <w:sz w:val="17"/>
              </w:rPr>
              <w:t>Client obtains best available foreground location.</w:t>
            </w:r>
          </w:p>
        </w:tc>
        <w:tc>
          <w:tcPr>
            <w:tcW w:type="dxa" w:w="3408"/>
            <w:vAlign w:val="center"/>
          </w:tcPr>
          <w:p>
            <w:r/>
            <w:r>
              <w:rPr>
                <w:b w:val="0"/>
                <w:color w:val="102A20"/>
                <w:sz w:val="17"/>
              </w:rPr>
              <w:t>If denied, allow manual location/pin; do not block UI indefinitely.</w:t>
            </w:r>
          </w:p>
        </w:tc>
      </w:tr>
      <w:tr>
        <w:tc>
          <w:tcPr>
            <w:tcW w:type="dxa" w:w="3408"/>
            <w:shd w:fill="F2F6F3"/>
            <w:vAlign w:val="center"/>
          </w:tcPr>
          <w:p>
            <w:r/>
            <w:r>
              <w:rPr>
                <w:b w:val="0"/>
                <w:color w:val="102A20"/>
                <w:sz w:val="17"/>
              </w:rPr>
              <w:t>2</w:t>
            </w:r>
          </w:p>
        </w:tc>
        <w:tc>
          <w:tcPr>
            <w:tcW w:type="dxa" w:w="3408"/>
            <w:shd w:fill="F2F6F3"/>
            <w:vAlign w:val="center"/>
          </w:tcPr>
          <w:p>
            <w:r/>
            <w:r>
              <w:rPr>
                <w:b w:val="0"/>
                <w:color w:val="102A20"/>
                <w:sz w:val="17"/>
              </w:rPr>
              <w:t>POST /incidents with idempotency key.</w:t>
            </w:r>
          </w:p>
        </w:tc>
        <w:tc>
          <w:tcPr>
            <w:tcW w:type="dxa" w:w="3408"/>
            <w:shd w:fill="F2F6F3"/>
            <w:vAlign w:val="center"/>
          </w:tcPr>
          <w:p>
            <w:r/>
            <w:r>
              <w:rPr>
                <w:b w:val="0"/>
                <w:color w:val="102A20"/>
                <w:sz w:val="17"/>
              </w:rPr>
              <w:t>Retry safely; same key returns same incident.</w:t>
            </w:r>
          </w:p>
        </w:tc>
      </w:tr>
      <w:tr>
        <w:tc>
          <w:tcPr>
            <w:tcW w:type="dxa" w:w="3408"/>
            <w:vAlign w:val="center"/>
          </w:tcPr>
          <w:p>
            <w:r/>
            <w:r>
              <w:rPr>
                <w:b w:val="0"/>
                <w:color w:val="102A20"/>
                <w:sz w:val="17"/>
              </w:rPr>
              <w:t>3</w:t>
            </w:r>
          </w:p>
        </w:tc>
        <w:tc>
          <w:tcPr>
            <w:tcW w:type="dxa" w:w="3408"/>
            <w:vAlign w:val="center"/>
          </w:tcPr>
          <w:p>
            <w:r/>
            <w:r>
              <w:rPr>
                <w:b w:val="0"/>
                <w:color w:val="102A20"/>
                <w:sz w:val="17"/>
              </w:rPr>
              <w:t>Database commits incident.</w:t>
            </w:r>
          </w:p>
        </w:tc>
        <w:tc>
          <w:tcPr>
            <w:tcW w:type="dxa" w:w="3408"/>
            <w:vAlign w:val="center"/>
          </w:tcPr>
          <w:p>
            <w:r/>
            <w:r>
              <w:rPr>
                <w:b w:val="0"/>
                <w:color w:val="102A20"/>
                <w:sz w:val="17"/>
              </w:rPr>
              <w:t>Only after commit return accepted incident ID.</w:t>
            </w:r>
          </w:p>
        </w:tc>
      </w:tr>
      <w:tr>
        <w:tc>
          <w:tcPr>
            <w:tcW w:type="dxa" w:w="3408"/>
            <w:shd w:fill="F2F6F3"/>
            <w:vAlign w:val="center"/>
          </w:tcPr>
          <w:p>
            <w:r/>
            <w:r>
              <w:rPr>
                <w:b w:val="0"/>
                <w:color w:val="102A20"/>
                <w:sz w:val="17"/>
              </w:rPr>
              <w:t>4</w:t>
            </w:r>
          </w:p>
        </w:tc>
        <w:tc>
          <w:tcPr>
            <w:tcW w:type="dxa" w:w="3408"/>
            <w:shd w:fill="F2F6F3"/>
            <w:vAlign w:val="center"/>
          </w:tcPr>
          <w:p>
            <w:r/>
            <w:r>
              <w:rPr>
                <w:b w:val="0"/>
                <w:color w:val="102A20"/>
                <w:sz w:val="17"/>
              </w:rPr>
              <w:t>Outbox/event emits IncidentCreated.</w:t>
            </w:r>
          </w:p>
        </w:tc>
        <w:tc>
          <w:tcPr>
            <w:tcW w:type="dxa" w:w="3408"/>
            <w:shd w:fill="F2F6F3"/>
            <w:vAlign w:val="center"/>
          </w:tcPr>
          <w:p>
            <w:r/>
            <w:r>
              <w:rPr>
                <w:b w:val="0"/>
                <w:color w:val="102A20"/>
                <w:sz w:val="17"/>
              </w:rPr>
              <w:t>Worker retries until processed.</w:t>
            </w:r>
          </w:p>
        </w:tc>
      </w:tr>
      <w:tr>
        <w:tc>
          <w:tcPr>
            <w:tcW w:type="dxa" w:w="3408"/>
            <w:vAlign w:val="center"/>
          </w:tcPr>
          <w:p>
            <w:r/>
            <w:r>
              <w:rPr>
                <w:b w:val="0"/>
                <w:color w:val="102A20"/>
                <w:sz w:val="17"/>
              </w:rPr>
              <w:t>5</w:t>
            </w:r>
          </w:p>
        </w:tc>
        <w:tc>
          <w:tcPr>
            <w:tcW w:type="dxa" w:w="3408"/>
            <w:vAlign w:val="center"/>
          </w:tcPr>
          <w:p>
            <w:r/>
            <w:r>
              <w:rPr>
                <w:b w:val="0"/>
                <w:color w:val="102A20"/>
                <w:sz w:val="17"/>
              </w:rPr>
              <w:t>Dispatch jobs start independently for trained responder, rescue team and ambulance/hospital.</w:t>
            </w:r>
          </w:p>
        </w:tc>
        <w:tc>
          <w:tcPr>
            <w:tcW w:type="dxa" w:w="3408"/>
            <w:vAlign w:val="center"/>
          </w:tcPr>
          <w:p>
            <w:r/>
            <w:r>
              <w:rPr>
                <w:b w:val="0"/>
                <w:color w:val="102A20"/>
                <w:sz w:val="17"/>
              </w:rPr>
              <w:t>One branch failure cannot block others.</w:t>
            </w:r>
          </w:p>
        </w:tc>
      </w:tr>
      <w:tr>
        <w:tc>
          <w:tcPr>
            <w:tcW w:type="dxa" w:w="3408"/>
            <w:shd w:fill="F2F6F3"/>
            <w:vAlign w:val="center"/>
          </w:tcPr>
          <w:p>
            <w:r/>
            <w:r>
              <w:rPr>
                <w:b w:val="0"/>
                <w:color w:val="102A20"/>
                <w:sz w:val="17"/>
              </w:rPr>
              <w:t>6</w:t>
            </w:r>
          </w:p>
        </w:tc>
        <w:tc>
          <w:tcPr>
            <w:tcW w:type="dxa" w:w="3408"/>
            <w:shd w:fill="F2F6F3"/>
            <w:vAlign w:val="center"/>
          </w:tcPr>
          <w:p>
            <w:r/>
            <w:r>
              <w:rPr>
                <w:b w:val="0"/>
                <w:color w:val="102A20"/>
                <w:sz w:val="17"/>
              </w:rPr>
              <w:t>Delivery attempts are recorded.</w:t>
            </w:r>
          </w:p>
        </w:tc>
        <w:tc>
          <w:tcPr>
            <w:tcW w:type="dxa" w:w="3408"/>
            <w:shd w:fill="F2F6F3"/>
            <w:vAlign w:val="center"/>
          </w:tcPr>
          <w:p>
            <w:r/>
            <w:r>
              <w:rPr>
                <w:b w:val="0"/>
                <w:color w:val="102A20"/>
                <w:sz w:val="17"/>
              </w:rPr>
              <w:t>Timeout expands search radius / next candidate.</w:t>
            </w:r>
          </w:p>
        </w:tc>
      </w:tr>
      <w:tr>
        <w:tc>
          <w:tcPr>
            <w:tcW w:type="dxa" w:w="3408"/>
            <w:vAlign w:val="center"/>
          </w:tcPr>
          <w:p>
            <w:r/>
            <w:r>
              <w:rPr>
                <w:b w:val="0"/>
                <w:color w:val="102A20"/>
                <w:sz w:val="17"/>
              </w:rPr>
              <w:t>7</w:t>
            </w:r>
          </w:p>
        </w:tc>
        <w:tc>
          <w:tcPr>
            <w:tcW w:type="dxa" w:w="3408"/>
            <w:vAlign w:val="center"/>
          </w:tcPr>
          <w:p>
            <w:r/>
            <w:r>
              <w:rPr>
                <w:b w:val="0"/>
                <w:color w:val="102A20"/>
                <w:sz w:val="17"/>
              </w:rPr>
              <w:t>Acceptance uses atomic compare-and-set.</w:t>
            </w:r>
          </w:p>
        </w:tc>
        <w:tc>
          <w:tcPr>
            <w:tcW w:type="dxa" w:w="3408"/>
            <w:vAlign w:val="center"/>
          </w:tcPr>
          <w:p>
            <w:r/>
            <w:r>
              <w:rPr>
                <w:b w:val="0"/>
                <w:color w:val="102A20"/>
                <w:sz w:val="17"/>
              </w:rPr>
              <w:t>Prevents two responders claiming one exclusive slot.</w:t>
            </w:r>
          </w:p>
        </w:tc>
      </w:tr>
      <w:tr>
        <w:tc>
          <w:tcPr>
            <w:tcW w:type="dxa" w:w="3408"/>
            <w:shd w:fill="F2F6F3"/>
            <w:vAlign w:val="center"/>
          </w:tcPr>
          <w:p>
            <w:r/>
            <w:r>
              <w:rPr>
                <w:b w:val="0"/>
                <w:color w:val="102A20"/>
                <w:sz w:val="17"/>
              </w:rPr>
              <w:t>8</w:t>
            </w:r>
          </w:p>
        </w:tc>
        <w:tc>
          <w:tcPr>
            <w:tcW w:type="dxa" w:w="3408"/>
            <w:shd w:fill="F2F6F3"/>
            <w:vAlign w:val="center"/>
          </w:tcPr>
          <w:p>
            <w:r/>
            <w:r>
              <w:rPr>
                <w:b w:val="0"/>
                <w:color w:val="102A20"/>
                <w:sz w:val="17"/>
              </w:rPr>
              <w:t>State event reaches victim UI.</w:t>
            </w:r>
          </w:p>
        </w:tc>
        <w:tc>
          <w:tcPr>
            <w:tcW w:type="dxa" w:w="3408"/>
            <w:shd w:fill="F2F6F3"/>
            <w:vAlign w:val="center"/>
          </w:tcPr>
          <w:p>
            <w:r/>
            <w:r>
              <w:rPr>
                <w:b w:val="0"/>
                <w:color w:val="102A20"/>
                <w:sz w:val="17"/>
              </w:rPr>
              <w:t>Reconnect fetches canonical server state.</w:t>
            </w:r>
          </w:p>
        </w:tc>
      </w:tr>
    </w:tbl>
    <w:p>
      <w:pPr>
        <w:pStyle w:val="Heading1"/>
      </w:pPr>
      <w:r>
        <w:t>4. Data Model</w:t>
      </w:r>
    </w:p>
    <w:tbl>
      <w:tblPr>
        <w:tblStyle w:val="TableGrid"/>
        <w:tblW w:type="auto" w:w="0"/>
        <w:jc w:val="center"/>
        <w:tblLook w:firstColumn="1" w:firstRow="1" w:lastColumn="0" w:lastRow="0" w:noHBand="0" w:noVBand="1" w:val="04A0"/>
      </w:tblPr>
      <w:tblGrid>
        <w:gridCol w:w="5112"/>
        <w:gridCol w:w="5112"/>
      </w:tblGrid>
      <w:tr>
        <w:tc>
          <w:tcPr>
            <w:tcW w:type="dxa" w:w="5112"/>
            <w:shd w:fill="184D36"/>
            <w:vAlign w:val="center"/>
          </w:tcPr>
          <w:p>
            <w:r/>
            <w:r>
              <w:rPr>
                <w:b/>
                <w:color w:val="FFFFFF"/>
                <w:sz w:val="18"/>
              </w:rPr>
              <w:t>Entity</w:t>
            </w:r>
          </w:p>
        </w:tc>
        <w:tc>
          <w:tcPr>
            <w:tcW w:type="dxa" w:w="5112"/>
            <w:shd w:fill="184D36"/>
            <w:vAlign w:val="center"/>
          </w:tcPr>
          <w:p>
            <w:r/>
            <w:r>
              <w:rPr>
                <w:b/>
                <w:color w:val="FFFFFF"/>
                <w:sz w:val="18"/>
              </w:rPr>
              <w:t>Key fields</w:t>
            </w:r>
          </w:p>
        </w:tc>
      </w:tr>
      <w:tr>
        <w:tc>
          <w:tcPr>
            <w:tcW w:type="dxa" w:w="5112"/>
            <w:vAlign w:val="center"/>
          </w:tcPr>
          <w:p>
            <w:r/>
            <w:r>
              <w:rPr>
                <w:b w:val="0"/>
                <w:color w:val="102A20"/>
                <w:sz w:val="17"/>
              </w:rPr>
              <w:t>User</w:t>
            </w:r>
          </w:p>
        </w:tc>
        <w:tc>
          <w:tcPr>
            <w:tcW w:type="dxa" w:w="5112"/>
            <w:vAlign w:val="center"/>
          </w:tcPr>
          <w:p>
            <w:r/>
            <w:r>
              <w:rPr>
                <w:b w:val="0"/>
                <w:color w:val="102A20"/>
                <w:sz w:val="17"/>
              </w:rPr>
              <w:t>id, role, phone/auth identity, language, status</w:t>
            </w:r>
          </w:p>
        </w:tc>
      </w:tr>
      <w:tr>
        <w:tc>
          <w:tcPr>
            <w:tcW w:type="dxa" w:w="5112"/>
            <w:shd w:fill="F2F6F3"/>
            <w:vAlign w:val="center"/>
          </w:tcPr>
          <w:p>
            <w:r/>
            <w:r>
              <w:rPr>
                <w:b w:val="0"/>
                <w:color w:val="102A20"/>
                <w:sz w:val="17"/>
              </w:rPr>
              <w:t>ResponderProfile</w:t>
            </w:r>
          </w:p>
        </w:tc>
        <w:tc>
          <w:tcPr>
            <w:tcW w:type="dxa" w:w="5112"/>
            <w:shd w:fill="F2F6F3"/>
            <w:vAlign w:val="center"/>
          </w:tcPr>
          <w:p>
            <w:r/>
            <w:r>
              <w:rPr>
                <w:b w:val="0"/>
                <w:color w:val="102A20"/>
                <w:sz w:val="17"/>
              </w:rPr>
              <w:t>user_id, responder_type, certification_ref, availability, last_location, coverage_radius</w:t>
            </w:r>
          </w:p>
        </w:tc>
      </w:tr>
      <w:tr>
        <w:tc>
          <w:tcPr>
            <w:tcW w:type="dxa" w:w="5112"/>
            <w:vAlign w:val="center"/>
          </w:tcPr>
          <w:p>
            <w:r/>
            <w:r>
              <w:rPr>
                <w:b w:val="0"/>
                <w:color w:val="102A20"/>
                <w:sz w:val="17"/>
              </w:rPr>
              <w:t>Incident</w:t>
            </w:r>
          </w:p>
        </w:tc>
        <w:tc>
          <w:tcPr>
            <w:tcW w:type="dxa" w:w="5112"/>
            <w:vAlign w:val="center"/>
          </w:tcPr>
          <w:p>
            <w:r/>
            <w:r>
              <w:rPr>
                <w:b w:val="0"/>
                <w:color w:val="102A20"/>
                <w:sz w:val="17"/>
              </w:rPr>
              <w:t>id, reporter_id/token, lat/lng, created_at, bite_time?, body_part?, state</w:t>
            </w:r>
          </w:p>
        </w:tc>
      </w:tr>
      <w:tr>
        <w:tc>
          <w:tcPr>
            <w:tcW w:type="dxa" w:w="5112"/>
            <w:shd w:fill="F2F6F3"/>
            <w:vAlign w:val="center"/>
          </w:tcPr>
          <w:p>
            <w:r/>
            <w:r>
              <w:rPr>
                <w:b w:val="0"/>
                <w:color w:val="102A20"/>
                <w:sz w:val="17"/>
              </w:rPr>
              <w:t>DispatchAttempt</w:t>
            </w:r>
          </w:p>
        </w:tc>
        <w:tc>
          <w:tcPr>
            <w:tcW w:type="dxa" w:w="5112"/>
            <w:shd w:fill="F2F6F3"/>
            <w:vAlign w:val="center"/>
          </w:tcPr>
          <w:p>
            <w:r/>
            <w:r>
              <w:rPr>
                <w:b w:val="0"/>
                <w:color w:val="102A20"/>
                <w:sz w:val="17"/>
              </w:rPr>
              <w:t>incident_id, category, candidate_id, sent_at, accepted_at, outcome, sequence</w:t>
            </w:r>
          </w:p>
        </w:tc>
      </w:tr>
      <w:tr>
        <w:tc>
          <w:tcPr>
            <w:tcW w:type="dxa" w:w="5112"/>
            <w:vAlign w:val="center"/>
          </w:tcPr>
          <w:p>
            <w:r/>
            <w:r>
              <w:rPr>
                <w:b w:val="0"/>
                <w:color w:val="102A20"/>
                <w:sz w:val="17"/>
              </w:rPr>
              <w:t>Hospital</w:t>
            </w:r>
          </w:p>
        </w:tc>
        <w:tc>
          <w:tcPr>
            <w:tcW w:type="dxa" w:w="5112"/>
            <w:vAlign w:val="center"/>
          </w:tcPr>
          <w:p>
            <w:r/>
            <w:r>
              <w:rPr>
                <w:b w:val="0"/>
                <w:color w:val="102A20"/>
                <w:sz w:val="17"/>
              </w:rPr>
              <w:t>id, name, lat/lng, contact, active</w:t>
            </w:r>
          </w:p>
        </w:tc>
      </w:tr>
      <w:tr>
        <w:tc>
          <w:tcPr>
            <w:tcW w:type="dxa" w:w="5112"/>
            <w:shd w:fill="F2F6F3"/>
            <w:vAlign w:val="center"/>
          </w:tcPr>
          <w:p>
            <w:r/>
            <w:r>
              <w:rPr>
                <w:b w:val="0"/>
                <w:color w:val="102A20"/>
                <w:sz w:val="17"/>
              </w:rPr>
              <w:t>AntivenomStock</w:t>
            </w:r>
          </w:p>
        </w:tc>
        <w:tc>
          <w:tcPr>
            <w:tcW w:type="dxa" w:w="5112"/>
            <w:shd w:fill="F2F6F3"/>
            <w:vAlign w:val="center"/>
          </w:tcPr>
          <w:p>
            <w:r/>
            <w:r>
              <w:rPr>
                <w:b w:val="0"/>
                <w:color w:val="102A20"/>
                <w:sz w:val="17"/>
              </w:rPr>
              <w:t>hospital_id, product/type, status, quantity_band, verified_at, verified_by</w:t>
            </w:r>
          </w:p>
        </w:tc>
      </w:tr>
      <w:tr>
        <w:tc>
          <w:tcPr>
            <w:tcW w:type="dxa" w:w="5112"/>
            <w:vAlign w:val="center"/>
          </w:tcPr>
          <w:p>
            <w:r/>
            <w:r>
              <w:rPr>
                <w:b w:val="0"/>
                <w:color w:val="102A20"/>
                <w:sz w:val="17"/>
              </w:rPr>
              <w:t>SymptomObservation</w:t>
            </w:r>
          </w:p>
        </w:tc>
        <w:tc>
          <w:tcPr>
            <w:tcW w:type="dxa" w:w="5112"/>
            <w:vAlign w:val="center"/>
          </w:tcPr>
          <w:p>
            <w:r/>
            <w:r>
              <w:rPr>
                <w:b w:val="0"/>
                <w:color w:val="102A20"/>
                <w:sz w:val="17"/>
              </w:rPr>
              <w:t>incident_id, code, severity/value, observed_at, author_id</w:t>
            </w:r>
          </w:p>
        </w:tc>
      </w:tr>
      <w:tr>
        <w:tc>
          <w:tcPr>
            <w:tcW w:type="dxa" w:w="5112"/>
            <w:shd w:fill="F2F6F3"/>
            <w:vAlign w:val="center"/>
          </w:tcPr>
          <w:p>
            <w:r/>
            <w:r>
              <w:rPr>
                <w:b w:val="0"/>
                <w:color w:val="102A20"/>
                <w:sz w:val="17"/>
              </w:rPr>
              <w:t>SnakeObservation</w:t>
            </w:r>
          </w:p>
        </w:tc>
        <w:tc>
          <w:tcPr>
            <w:tcW w:type="dxa" w:w="5112"/>
            <w:shd w:fill="F2F6F3"/>
            <w:vAlign w:val="center"/>
          </w:tcPr>
          <w:p>
            <w:r/>
            <w:r>
              <w:rPr>
                <w:b w:val="0"/>
                <w:color w:val="102A20"/>
                <w:sz w:val="17"/>
              </w:rPr>
              <w:t>incident_id, image_ref?, predicted_class?, confidence?, rescuer_species?</w:t>
            </w:r>
          </w:p>
        </w:tc>
      </w:tr>
      <w:tr>
        <w:tc>
          <w:tcPr>
            <w:tcW w:type="dxa" w:w="5112"/>
            <w:vAlign w:val="center"/>
          </w:tcPr>
          <w:p>
            <w:r/>
            <w:r>
              <w:rPr>
                <w:b w:val="0"/>
                <w:color w:val="102A20"/>
                <w:sz w:val="17"/>
              </w:rPr>
              <w:t>AuditEvent</w:t>
            </w:r>
          </w:p>
        </w:tc>
        <w:tc>
          <w:tcPr>
            <w:tcW w:type="dxa" w:w="5112"/>
            <w:vAlign w:val="center"/>
          </w:tcPr>
          <w:p>
            <w:r/>
            <w:r>
              <w:rPr>
                <w:b w:val="0"/>
                <w:color w:val="102A20"/>
                <w:sz w:val="17"/>
              </w:rPr>
              <w:t>actor, action, entity, timestamp, metadata_minimized</w:t>
            </w:r>
          </w:p>
        </w:tc>
      </w:tr>
    </w:tbl>
    <w:p>
      <w:pPr>
        <w:pStyle w:val="Heading1"/>
      </w:pPr>
      <w:r>
        <w:t>5. Hospital Ranking</w:t>
      </w:r>
    </w:p>
    <w:p>
      <w:r>
        <w:rPr>
          <w:b w:val="0"/>
        </w:rPr>
        <w:t>Do not implement raw Dijkstra over the entire road graph inside the hackathon backend unless you already own road-graph data. Use a routing API for travel-time matrices, then implement NagRaksha's decision logic: filter/penalize hospitals by stock freshness and availability, then rank eligible hospitals by ETA. Dijkstra can remain an algorithmic explanation for shortest-path routing, but the product differentiator is the stock-aware decision layer.</w:t>
      </w:r>
    </w:p>
    <w:p>
      <w:pPr>
        <w:pStyle w:val="Heading1"/>
      </w:pPr>
      <w:r>
        <w:t>6. Offline/PWA Strategy</w:t>
      </w:r>
    </w:p>
    <w:p>
      <w:pPr>
        <w:pStyle w:val="ListBullet"/>
      </w:pPr>
      <w:r>
        <w:t>Cache app shell, translations and medically reviewed static emergency guidance.</w:t>
      </w:r>
    </w:p>
    <w:p>
      <w:pPr>
        <w:pStyle w:val="ListBullet"/>
      </w:pPr>
      <w:r>
        <w:t>Never cache active incident medical data in a shared Cache Storage response.</w:t>
      </w:r>
    </w:p>
    <w:p>
      <w:pPr>
        <w:pStyle w:val="ListBullet"/>
      </w:pPr>
      <w:r>
        <w:t>Queue only safe, explicitly designed mutations; an SOS itself must show Pending until the server acknowledges it.</w:t>
      </w:r>
    </w:p>
    <w:p>
      <w:pPr>
        <w:pStyle w:val="ListBullet"/>
      </w:pPr>
      <w:r>
        <w:t>Lazy-load maps, analytics and AI modules so the emergency shell starts first.</w:t>
      </w:r>
    </w:p>
    <w:p>
      <w:pPr>
        <w:pStyle w:val="ListBullet"/>
      </w:pPr>
      <w:r>
        <w:t>Web Push is an enhancement, not the only dispatch transport. iOS/iPadOS Web Push requires a Home Screen web app on supported versions.</w:t>
      </w:r>
    </w:p>
    <w:p>
      <w:pPr>
        <w:pStyle w:val="Heading1"/>
      </w:pPr>
      <w:r>
        <w:t>7. Security and Abuse Controls</w:t>
      </w:r>
    </w:p>
    <w:p>
      <w:pPr>
        <w:pStyle w:val="ListBullet"/>
      </w:pPr>
      <w:r>
        <w:t>RBAC: victim, responder, rescue, ambulance, hospital, admin.</w:t>
      </w:r>
    </w:p>
    <w:p>
      <w:pPr>
        <w:pStyle w:val="ListBullet"/>
      </w:pPr>
      <w:r>
        <w:t>Hospital inventory updates require authenticated hospital role and audit trail.</w:t>
      </w:r>
    </w:p>
    <w:p>
      <w:pPr>
        <w:pStyle w:val="ListBullet"/>
      </w:pPr>
      <w:r>
        <w:t>Rate-limit SOS creation per device/account while preserving an emergency override path.</w:t>
      </w:r>
    </w:p>
    <w:p>
      <w:pPr>
        <w:pStyle w:val="ListBullet"/>
      </w:pPr>
      <w:r>
        <w:t>Signed object URLs for photos; strip metadata where practical.</w:t>
      </w:r>
    </w:p>
    <w:p>
      <w:pPr>
        <w:pStyle w:val="ListBullet"/>
      </w:pPr>
      <w:r>
        <w:t>Do not expose responder personal details broadly; share only what an active incident needs.</w:t>
      </w:r>
    </w:p>
    <w:p>
      <w:pPr>
        <w:pStyle w:val="ListBullet"/>
      </w:pPr>
      <w:r>
        <w:t>Use synthetic demo data during judging.</w:t>
      </w:r>
    </w:p>
    <w:p>
      <w:pPr>
        <w:pStyle w:val="Heading1"/>
      </w:pPr>
      <w:r>
        <w:t>8. Deployment</w:t>
      </w:r>
    </w:p>
    <w:p>
      <w:r>
        <w:rPr>
          <w:b w:val="0"/>
        </w:rPr>
        <w:t>Hackathon: one frontend deployment + one API deployment + managed PostgreSQL. Add Redis/worker only if parallel jobs or presence require it. Production evolution: multi-AZ database, durable queue, independent dispatch workers, monitoring, backup/restore, regional failover, directory integrations and formal clinical/content governance.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02A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D3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2A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260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4D3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