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44EA" w14:textId="77777777" w:rsidR="002E6A0D" w:rsidRPr="00AC7317" w:rsidRDefault="00F96466" w:rsidP="00216BA2">
      <w:pPr>
        <w:pStyle w:val="Heading2"/>
        <w:spacing w:line="480" w:lineRule="auto"/>
        <w:jc w:val="both"/>
        <w:rPr>
          <w:rFonts w:ascii="Times New Roman" w:hAnsi="Times New Roman" w:cs="Times New Roman"/>
          <w:sz w:val="24"/>
          <w:szCs w:val="24"/>
        </w:rPr>
      </w:pPr>
      <w:bookmarkStart w:id="86" w:name="appendix-for-online-publication"/>
      <w:r w:rsidRPr="00AC7317">
        <w:rPr>
          <w:rFonts w:ascii="Times New Roman" w:hAnsi="Times New Roman" w:cs="Times New Roman"/>
          <w:sz w:val="24"/>
          <w:szCs w:val="24"/>
        </w:rPr>
        <w:lastRenderedPageBreak/>
        <w:t>Appendix (for online publication)</w:t>
      </w:r>
    </w:p>
    <w:p w14:paraId="4902CD27" w14:textId="77777777" w:rsidR="002E6A0D" w:rsidRPr="00AC7317" w:rsidRDefault="00F96466" w:rsidP="00216BA2">
      <w:pPr>
        <w:pStyle w:val="Heading2"/>
        <w:spacing w:line="480" w:lineRule="auto"/>
        <w:jc w:val="both"/>
        <w:rPr>
          <w:rFonts w:ascii="Times New Roman" w:hAnsi="Times New Roman" w:cs="Times New Roman"/>
          <w:sz w:val="24"/>
          <w:szCs w:val="24"/>
        </w:rPr>
      </w:pPr>
      <w:bookmarkStart w:id="87" w:name="app1"/>
      <w:bookmarkEnd w:id="86"/>
      <w:r w:rsidRPr="00AC7317">
        <w:rPr>
          <w:rFonts w:ascii="Times New Roman" w:hAnsi="Times New Roman" w:cs="Times New Roman"/>
          <w:sz w:val="24"/>
          <w:szCs w:val="24"/>
        </w:rPr>
        <w:t>A1. Selection of countries</w:t>
      </w:r>
    </w:p>
    <w:p w14:paraId="0B852CA9"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rPr>
        <w:t>We included 90 countries in the simulation exercise. However, Saudi Arabia (SAU) and Panama (PAN) were removed from the soybean analysis, seven countries (ARE, ISL, KEN, MUS, MNE, OMN, DZA) were removed from the soybean cake analysis, and two countries (ISL, GAB) were removed from the soybean oil analysis. These countries were selected because they are either significant producers or consumers of soy products.</w:t>
      </w:r>
    </w:p>
    <w:p w14:paraId="0F0EFA8E"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These countries are selected because they are either significant producers or consumers of soy products. The selected countries are: United Arab Emirates (ARE), Argentina (ARG), Australia (AUS), Austria (AUT), Belgium (BEL), Bulgaria (BGR), Bolivia (BOL), Brazil (BRA), Canada (CAN), Switzerland (CHE), Chile (CHL), China (CHN), Colombia (COL), Costa Rica (CRI), Cyprus (CYP), Czech Republic (CZE), Germany (DEU), Denmark (DNK), Algeria (DZA), Egypt (EGY), Spain (ESP), Estonia (EST), Finland (FIN), France (FRA), Gabon (GAB), United Kingdom (GBR), Greece (GRC), Hong Kong (HKG), Croatia (HRV), Hungary (HUN), Indonesia (IDN), India (IND), Ireland (IRL), Iran (IRN), Iceland (ISL), Italy (ITA), Jordan (JOR), Japan (JPN), Kenya (KEN), Cambodia (KHM), South Korea (KOR), Laos (LAO), Lebanon (LBN), Sri Lanka (LKA), Lithuania (LTU), Luxembourg (LUX), Latvia (LVA), Morocco (MAR), Madagascar (MDG), Mexico (MEX), North Macedonia (MKD), Malta (MLT), Myanmar (MMR), Montenegro (MNE), Mozambique (MOZ), Mauritius (MUS), Malaysia (MYS), Nicaragua (NIC), Netherlands (NLD), Norway (NOR), New Zealand (NZL), Oman (OMN), Panama (PAN), Peru (PER), Philippines (PHL), Poland (POL), Portugal (PRT), Paraguay (PRY), Romania (ROU), Russia (RUS), Saudi Arabia (SAU), Singapore (SGP), El Salvador (SLV), Serbia (SRB), Slovakia (SVK), Slovenia (SVN), Sweden (SWE), Thailand </w:t>
      </w:r>
      <w:r w:rsidRPr="00AC7317">
        <w:rPr>
          <w:rFonts w:ascii="Times New Roman" w:hAnsi="Times New Roman" w:cs="Times New Roman"/>
        </w:rPr>
        <w:lastRenderedPageBreak/>
        <w:t>(THA), Trinidad and Tobago (TTO), Turkey (TUR), Taiwan (TWN), Ukraine (UKR), Uruguay (URY), United States (USA), Venezuela (VEN), Vietnam (VNM), South Africa (ZAF), Zimbabwe (ZWE), Kazakhstan (KAZ), and Ecuador (ECU).</w:t>
      </w:r>
    </w:p>
    <w:p w14:paraId="4CAEE50A"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6C958719" w14:textId="5762AE11" w:rsidR="002E6A0D" w:rsidRPr="00AC7317" w:rsidRDefault="00F96466" w:rsidP="00216BA2">
      <w:pPr>
        <w:pStyle w:val="Heading2"/>
        <w:spacing w:line="480" w:lineRule="auto"/>
        <w:jc w:val="both"/>
        <w:rPr>
          <w:rFonts w:ascii="Times New Roman" w:hAnsi="Times New Roman" w:cs="Times New Roman"/>
          <w:sz w:val="24"/>
          <w:szCs w:val="24"/>
        </w:rPr>
      </w:pPr>
      <w:bookmarkStart w:id="88" w:name="str2"/>
      <w:bookmarkEnd w:id="87"/>
      <w:r w:rsidRPr="00AC7317">
        <w:rPr>
          <w:rFonts w:ascii="Times New Roman" w:hAnsi="Times New Roman" w:cs="Times New Roman"/>
          <w:sz w:val="24"/>
          <w:szCs w:val="24"/>
        </w:rPr>
        <w:lastRenderedPageBreak/>
        <w:t xml:space="preserve">A2. </w:t>
      </w:r>
      <w:r w:rsidR="0068745D" w:rsidRPr="00AC7317">
        <w:rPr>
          <w:rFonts w:ascii="Times New Roman" w:hAnsi="Times New Roman" w:cs="Times New Roman"/>
          <w:sz w:val="24"/>
          <w:szCs w:val="24"/>
        </w:rPr>
        <w:t xml:space="preserve">Decomposition </w:t>
      </w:r>
      <w:r w:rsidR="005330D0" w:rsidRPr="00AC7317">
        <w:rPr>
          <w:rFonts w:ascii="Times New Roman" w:hAnsi="Times New Roman" w:cs="Times New Roman"/>
          <w:sz w:val="24"/>
          <w:szCs w:val="24"/>
        </w:rPr>
        <w:t xml:space="preserve">of counterfactual trade </w:t>
      </w:r>
      <w:r w:rsidR="0068745D" w:rsidRPr="00AC7317">
        <w:rPr>
          <w:rFonts w:ascii="Times New Roman" w:hAnsi="Times New Roman" w:cs="Times New Roman"/>
          <w:sz w:val="24"/>
          <w:szCs w:val="24"/>
        </w:rPr>
        <w:t>under the “conditional” equilibrium</w:t>
      </w:r>
    </w:p>
    <w:p w14:paraId="367A7845" w14:textId="75603E10"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For the conditional counterfactual study, we decompose </w:t>
      </w:r>
      <w:proofErr w:type="gramStart"/>
      <w:r w:rsidRPr="00AC7317">
        <w:rPr>
          <w:rFonts w:ascii="Times New Roman" w:hAnsi="Times New Roman" w:cs="Times New Roman"/>
        </w:rPr>
        <w:t>equation</w:t>
      </w:r>
      <w:proofErr w:type="gramEnd"/>
      <w:r w:rsidRPr="00AC7317">
        <w:rPr>
          <w:rFonts w:ascii="Times New Roman" w:hAnsi="Times New Roman" w:cs="Times New Roman"/>
        </w:rPr>
        <w:t xml:space="preserve"> (1) for the base year 2022 as follows:</w:t>
      </w:r>
    </w:p>
    <w:p w14:paraId="1364BF51" w14:textId="0839EC8B" w:rsidR="002E6A0D" w:rsidRPr="00AC7317" w:rsidRDefault="00F96466" w:rsidP="00216BA2">
      <w:pPr>
        <w:pStyle w:val="BodyText"/>
        <w:spacing w:line="480" w:lineRule="auto"/>
        <w:jc w:val="both"/>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ij</m:t>
              </m:r>
            </m:sub>
            <m:sup>
              <m:r>
                <w:rPr>
                  <w:rFonts w:ascii="Cambria Math" w:hAnsi="Cambria Math" w:cs="Times New Roman"/>
                </w:rPr>
                <m:t>s</m:t>
              </m:r>
            </m:sup>
          </m:sSub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e>
          </m:d>
          <m:d>
            <m:dPr>
              <m:begChr m:val="["/>
              <m:endChr m:val="]"/>
              <m:ctrlPr>
                <w:rPr>
                  <w:rFonts w:ascii="Cambria Math" w:hAnsi="Cambria Math" w:cs="Times New Roman"/>
                </w:rPr>
              </m:ctrlPr>
            </m:dPr>
            <m:e>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s</m:t>
                  </m:r>
                </m:sup>
              </m:sSubSup>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sub>
                <m:sup>
                  <m:r>
                    <w:rPr>
                      <w:rFonts w:ascii="Cambria Math" w:hAnsi="Cambria Math" w:cs="Times New Roman"/>
                    </w:rPr>
                    <m:t>s</m:t>
                  </m:r>
                </m:sup>
              </m:sSubSup>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w:rPr>
                      <w:rFonts w:ascii="Cambria Math" w:hAnsi="Cambria Math" w:cs="Times New Roman"/>
                    </w:rPr>
                    <m:t>s</m:t>
                  </m:r>
                </m:sup>
              </m:sSubSup>
            </m:e>
          </m:d>
          <m:r>
            <w:rPr>
              <w:rFonts w:ascii="Cambria Math" w:hAnsi="Cambria Math" w:cs="Times New Roman"/>
            </w:rPr>
            <m:t xml:space="preserve"> +</m:t>
          </m:r>
          <m:r>
            <m:rPr>
              <m:sty m:val="p"/>
            </m:rPr>
            <w:rPr>
              <w:rFonts w:ascii="Cambria Math" w:hAnsi="Cambria Math"/>
            </w:rPr>
            <m:t>Δ</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r>
            <m:rPr>
              <m:sty m:val="p"/>
            </m:rPr>
            <w:rPr>
              <w:rFonts w:ascii="Cambria Math" w:hAnsi="Cambria Math"/>
            </w:rPr>
            <m:t>Δ</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j</m:t>
              </m:r>
            </m:sub>
          </m:sSub>
          <m:r>
            <w:rPr>
              <w:rFonts w:ascii="Cambria Math" w:hAnsi="Cambria Math" w:cs="Times New Roman"/>
            </w:rPr>
            <m:t>-</m:t>
          </m:r>
          <m:r>
            <m:rPr>
              <m:sty m:val="p"/>
            </m:rPr>
            <w:rPr>
              <w:rFonts w:ascii="Cambria Math" w:hAnsi="Cambria Math"/>
            </w:rPr>
            <m:t>Δ</m:t>
          </m:r>
          <m:r>
            <w:rPr>
              <w:rFonts w:ascii="Cambria Math" w:hAnsi="Cambria Math" w:cs="Times New Roman"/>
            </w:rPr>
            <m:t xml:space="preserve">Y </m:t>
          </m:r>
          <m:r>
            <m:rPr>
              <m:sty m:val="p"/>
            </m:rPr>
            <w:rPr>
              <w:rFonts w:ascii="Cambria Math" w:hAnsi="Cambria Math" w:cs="Times New Roman"/>
            </w:rPr>
            <m:t>.</m:t>
          </m:r>
          <m:r>
            <w:rPr>
              <w:rFonts w:ascii="Cambria Math" w:hAnsi="Cambria Math" w:cs="Times New Roman"/>
            </w:rPr>
            <m:t> </m:t>
          </m:r>
          <m:d>
            <m:dPr>
              <m:ctrlPr>
                <w:rPr>
                  <w:rFonts w:ascii="Cambria Math" w:hAnsi="Cambria Math" w:cs="Times New Roman"/>
                </w:rPr>
              </m:ctrlPr>
            </m:dPr>
            <m:e>
              <m:r>
                <w:rPr>
                  <w:rFonts w:ascii="Cambria Math" w:hAnsi="Cambria Math" w:cs="Times New Roman"/>
                </w:rPr>
                <m:t>A2.1</m:t>
              </m:r>
            </m:e>
          </m:d>
        </m:oMath>
      </m:oMathPara>
    </w:p>
    <w:p w14:paraId="1B0C4E82" w14:textId="61F73816" w:rsidR="002E6A0D" w:rsidRPr="00AC7317" w:rsidRDefault="0068745D" w:rsidP="00216BA2">
      <w:pPr>
        <w:pStyle w:val="FirstParagraph"/>
        <w:spacing w:line="480" w:lineRule="auto"/>
        <w:jc w:val="both"/>
        <w:rPr>
          <w:rFonts w:ascii="Times New Roman" w:eastAsiaTheme="minorEastAsia" w:hAnsi="Times New Roman" w:cs="Times New Roman"/>
        </w:rPr>
      </w:pPr>
      <w:r w:rsidRPr="00AC7317">
        <w:rPr>
          <w:rFonts w:ascii="Times New Roman" w:hAnsi="Times New Roman" w:cs="Times New Roman"/>
        </w:rPr>
        <w:t xml:space="preserve">Since under the conditional equilibrium,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=0</m:t>
        </m:r>
      </m:oMath>
      <w:r w:rsidRPr="00AC7317">
        <w:rPr>
          <w:rFonts w:ascii="Times New Roman" w:eastAsiaTheme="minorEastAsia" w:hAnsi="Times New Roman" w:cs="Times New Roman"/>
        </w:rPr>
        <w:t xml:space="preserve">,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j</m:t>
            </m:r>
          </m:sub>
        </m:sSub>
      </m:oMath>
      <w:r w:rsidRPr="00AC7317">
        <w:rPr>
          <w:rFonts w:ascii="Times New Roman" w:eastAsiaTheme="minorEastAsia" w:hAnsi="Times New Roman" w:cs="Times New Roman"/>
        </w:rPr>
        <w:t xml:space="preserve"> = 0 and </w:t>
      </w:r>
      <m:oMath>
        <m:r>
          <m:rPr>
            <m:sty m:val="p"/>
          </m:rPr>
          <w:rPr>
            <w:rFonts w:ascii="Cambria Math" w:hAnsi="Cambria Math" w:cs="Times New Roman"/>
          </w:rPr>
          <m:t>Δ</m:t>
        </m:r>
        <m:r>
          <w:rPr>
            <w:rFonts w:ascii="Cambria Math" w:hAnsi="Cambria Math" w:cs="Times New Roman"/>
          </w:rPr>
          <m:t>Y=0</m:t>
        </m:r>
      </m:oMath>
      <w:r w:rsidRPr="00AC7317">
        <w:rPr>
          <w:rFonts w:ascii="Times New Roman" w:eastAsiaTheme="minorEastAsia" w:hAnsi="Times New Roman" w:cs="Times New Roman"/>
        </w:rPr>
        <w:t>. This leads to:</w:t>
      </w:r>
    </w:p>
    <w:p w14:paraId="2641DB05" w14:textId="2394B56F" w:rsidR="0068745D" w:rsidRPr="00AC7317" w:rsidRDefault="0068745D" w:rsidP="0068745D">
      <w:pPr>
        <w:pStyle w:val="BodyText"/>
        <w:spacing w:line="480" w:lineRule="auto"/>
        <w:jc w:val="both"/>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ij</m:t>
              </m:r>
            </m:sub>
            <m:sup>
              <m:r>
                <w:rPr>
                  <w:rFonts w:ascii="Cambria Math" w:hAnsi="Cambria Math" w:cs="Times New Roman"/>
                </w:rPr>
                <m:t>s</m:t>
              </m:r>
            </m:sup>
          </m:sSub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e>
          </m:d>
          <m:d>
            <m:dPr>
              <m:begChr m:val="["/>
              <m:endChr m:val="]"/>
              <m:ctrlPr>
                <w:rPr>
                  <w:rFonts w:ascii="Cambria Math" w:hAnsi="Cambria Math" w:cs="Times New Roman"/>
                </w:rPr>
              </m:ctrlPr>
            </m:dPr>
            <m:e>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s</m:t>
                  </m:r>
                </m:sup>
              </m:sSubSup>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sub>
                <m:sup>
                  <m:r>
                    <w:rPr>
                      <w:rFonts w:ascii="Cambria Math" w:hAnsi="Cambria Math" w:cs="Times New Roman"/>
                    </w:rPr>
                    <m:t>s</m:t>
                  </m:r>
                </m:sup>
              </m:sSubSup>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w:rPr>
                      <w:rFonts w:ascii="Cambria Math" w:hAnsi="Cambria Math" w:cs="Times New Roman"/>
                    </w:rPr>
                    <m:t>s</m:t>
                  </m:r>
                </m:sup>
              </m:sSubSup>
            </m:e>
          </m:d>
          <m:r>
            <w:rPr>
              <w:rFonts w:ascii="Cambria Math" w:hAnsi="Cambria Math" w:cs="Times New Roman"/>
            </w:rPr>
            <m:t xml:space="preserve"> . </m:t>
          </m:r>
          <m:d>
            <m:dPr>
              <m:ctrlPr>
                <w:rPr>
                  <w:rFonts w:ascii="Cambria Math" w:hAnsi="Cambria Math" w:cs="Times New Roman"/>
                </w:rPr>
              </m:ctrlPr>
            </m:dPr>
            <m:e>
              <m:r>
                <w:rPr>
                  <w:rFonts w:ascii="Cambria Math" w:hAnsi="Cambria Math" w:cs="Times New Roman"/>
                </w:rPr>
                <m:t>A2.2</m:t>
              </m:r>
            </m:e>
          </m:d>
        </m:oMath>
      </m:oMathPara>
    </w:p>
    <w:p w14:paraId="5A7602FF" w14:textId="05DF8B3A" w:rsidR="0068745D" w:rsidRPr="00AC7317" w:rsidRDefault="005330D0" w:rsidP="00DC237C">
      <w:pPr>
        <w:pStyle w:val="BodyText"/>
        <w:spacing w:line="480" w:lineRule="auto"/>
        <w:jc w:val="both"/>
        <w:rPr>
          <w:rFonts w:ascii="Times New Roman" w:hAnsi="Times New Roman" w:cs="Times New Roman"/>
        </w:rPr>
      </w:pPr>
      <w:r w:rsidRPr="00AC7317">
        <w:rPr>
          <w:rFonts w:ascii="Times New Roman" w:hAnsi="Times New Roman" w:cs="Times New Roman"/>
        </w:rPr>
        <w:t xml:space="preserve">Equation (A2.2) suggests that the change in exports from the country </w:t>
      </w:r>
      <m:oMath>
        <m:r>
          <w:rPr>
            <w:rFonts w:ascii="Cambria Math" w:hAnsi="Cambria Math" w:cs="Times New Roman"/>
          </w:rPr>
          <m:t>i</m:t>
        </m:r>
      </m:oMath>
      <w:r w:rsidRPr="00AC7317">
        <w:rPr>
          <w:rFonts w:ascii="Times New Roman" w:hAnsi="Times New Roman" w:cs="Times New Roman"/>
        </w:rPr>
        <w:t xml:space="preserve"> to country </w:t>
      </w:r>
      <m:oMath>
        <m:r>
          <w:rPr>
            <w:rFonts w:ascii="Cambria Math" w:hAnsi="Cambria Math" w:cs="Times New Roman"/>
          </w:rPr>
          <m:t>j</m:t>
        </m:r>
      </m:oMath>
      <w:r w:rsidRPr="00AC7317">
        <w:rPr>
          <w:rFonts w:ascii="Times New Roman" w:eastAsiaTheme="minorEastAsia" w:hAnsi="Times New Roman" w:cs="Times New Roman"/>
        </w:rPr>
        <w:t xml:space="preserve"> is through changes in two components: (i) changes in trade cost,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ij</m:t>
            </m:r>
          </m:sub>
          <m:sup>
            <m:r>
              <w:rPr>
                <w:rFonts w:ascii="Cambria Math" w:hAnsi="Cambria Math" w:cs="Times New Roman"/>
              </w:rPr>
              <m:t>s</m:t>
            </m:r>
          </m:sup>
        </m:sSubSup>
      </m:oMath>
      <w:r w:rsidR="009370E8" w:rsidRPr="00AC7317">
        <w:rPr>
          <w:rFonts w:ascii="Times New Roman" w:eastAsiaTheme="minorEastAsia" w:hAnsi="Times New Roman" w:cs="Times New Roman"/>
        </w:rPr>
        <w:t>,</w:t>
      </w:r>
      <w:r w:rsidRPr="00AC7317">
        <w:rPr>
          <w:rFonts w:ascii="Times New Roman" w:eastAsiaTheme="minorEastAsia" w:hAnsi="Times New Roman" w:cs="Times New Roman"/>
        </w:rPr>
        <w:t xml:space="preserve"> and (ii) changes in multilateral resistances,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m:t>
            </m:r>
          </m:sub>
          <m:sup>
            <m:r>
              <w:rPr>
                <w:rFonts w:ascii="Cambria Math" w:hAnsi="Cambria Math" w:cs="Times New Roman"/>
              </w:rPr>
              <m:t>s</m:t>
            </m:r>
          </m:sup>
        </m:sSubSup>
        <m:r>
          <m:rPr>
            <m:sty m:val="p"/>
          </m:rPr>
          <w:rPr>
            <w:rFonts w:ascii="Cambria Math" w:hAnsi="Cambria Math" w:cs="Times New Roman"/>
          </w:rPr>
          <m:t xml:space="preserve">,  </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j</m:t>
            </m:r>
          </m:sub>
          <m:sup>
            <m:r>
              <w:rPr>
                <w:rFonts w:ascii="Cambria Math" w:hAnsi="Cambria Math" w:cs="Times New Roman"/>
              </w:rPr>
              <m:t>s</m:t>
            </m:r>
          </m:sup>
        </m:sSubSup>
      </m:oMath>
      <w:r w:rsidRPr="00AC7317">
        <w:rPr>
          <w:rFonts w:ascii="Times New Roman" w:eastAsiaTheme="minorEastAsia" w:hAnsi="Times New Roman" w:cs="Times New Roman"/>
        </w:rPr>
        <w:t>).</w:t>
      </w:r>
    </w:p>
    <w:p w14:paraId="0F416D35" w14:textId="77777777" w:rsidR="0068745D" w:rsidRPr="00AC7317" w:rsidRDefault="0068745D" w:rsidP="009176C8">
      <w:pPr>
        <w:pStyle w:val="BodyText"/>
      </w:pPr>
    </w:p>
    <w:p w14:paraId="6E505C9C" w14:textId="77777777" w:rsidR="00D306F2" w:rsidRPr="00AC7317" w:rsidRDefault="00D306F2" w:rsidP="00D306F2">
      <w:pPr>
        <w:pStyle w:val="BodyText"/>
      </w:pPr>
    </w:p>
    <w:p w14:paraId="781D3A9F" w14:textId="77777777" w:rsidR="00D306F2" w:rsidRPr="00AC7317" w:rsidRDefault="00D306F2" w:rsidP="00D306F2">
      <w:pPr>
        <w:pStyle w:val="BodyText"/>
      </w:pPr>
    </w:p>
    <w:p w14:paraId="0A7ACF4C" w14:textId="77777777" w:rsidR="00D306F2" w:rsidRPr="00AC7317" w:rsidRDefault="00D306F2" w:rsidP="00D306F2">
      <w:pPr>
        <w:pStyle w:val="BodyText"/>
      </w:pPr>
    </w:p>
    <w:p w14:paraId="3AD90EC7" w14:textId="77777777" w:rsidR="00D306F2" w:rsidRPr="00AC7317" w:rsidRDefault="00D306F2" w:rsidP="00D306F2">
      <w:pPr>
        <w:pStyle w:val="BodyText"/>
      </w:pPr>
    </w:p>
    <w:p w14:paraId="5A1B7CA1" w14:textId="77777777" w:rsidR="00D306F2" w:rsidRPr="00AC7317" w:rsidRDefault="00D306F2" w:rsidP="00D306F2">
      <w:pPr>
        <w:pStyle w:val="BodyText"/>
      </w:pPr>
    </w:p>
    <w:p w14:paraId="2BA53302" w14:textId="77777777" w:rsidR="00D306F2" w:rsidRPr="00AC7317" w:rsidRDefault="00D306F2" w:rsidP="00D306F2">
      <w:pPr>
        <w:pStyle w:val="BodyText"/>
      </w:pPr>
    </w:p>
    <w:p w14:paraId="52E4262D" w14:textId="77777777" w:rsidR="00D306F2" w:rsidRPr="00AC7317" w:rsidRDefault="00D306F2" w:rsidP="00D306F2">
      <w:pPr>
        <w:pStyle w:val="BodyText"/>
      </w:pPr>
    </w:p>
    <w:p w14:paraId="10335DF1" w14:textId="77777777" w:rsidR="00D306F2" w:rsidRPr="00AC7317" w:rsidRDefault="00D306F2" w:rsidP="00D306F2">
      <w:pPr>
        <w:pStyle w:val="BodyText"/>
      </w:pPr>
    </w:p>
    <w:p w14:paraId="530C5D53" w14:textId="77777777" w:rsidR="00D306F2" w:rsidRPr="00AC7317" w:rsidRDefault="00D306F2" w:rsidP="00D306F2">
      <w:pPr>
        <w:pStyle w:val="BodyText"/>
      </w:pPr>
    </w:p>
    <w:p w14:paraId="6161D70B" w14:textId="77777777" w:rsidR="00D306F2" w:rsidRPr="00AC7317" w:rsidRDefault="00D306F2" w:rsidP="00D306F2">
      <w:pPr>
        <w:pStyle w:val="BodyText"/>
      </w:pPr>
    </w:p>
    <w:p w14:paraId="7EADF4C9" w14:textId="77777777" w:rsidR="00D306F2" w:rsidRPr="00AC7317" w:rsidRDefault="00D306F2" w:rsidP="00D306F2">
      <w:pPr>
        <w:pStyle w:val="BodyText"/>
      </w:pPr>
    </w:p>
    <w:p w14:paraId="6FA507A8" w14:textId="77777777" w:rsidR="00D306F2" w:rsidRPr="00AC7317" w:rsidRDefault="00D306F2" w:rsidP="00D306F2">
      <w:pPr>
        <w:pStyle w:val="BodyText"/>
      </w:pPr>
    </w:p>
    <w:p w14:paraId="4B548017" w14:textId="77777777" w:rsidR="00D306F2" w:rsidRPr="00AC7317" w:rsidRDefault="00D306F2" w:rsidP="00D306F2">
      <w:pPr>
        <w:pStyle w:val="BodyText"/>
      </w:pPr>
    </w:p>
    <w:p w14:paraId="422CA106" w14:textId="101D00A8" w:rsidR="002E6A0D" w:rsidRPr="00AC7317" w:rsidRDefault="00F96466" w:rsidP="00216BA2">
      <w:pPr>
        <w:pStyle w:val="Heading2"/>
        <w:spacing w:line="480" w:lineRule="auto"/>
        <w:jc w:val="both"/>
        <w:rPr>
          <w:rFonts w:ascii="Times New Roman" w:hAnsi="Times New Roman" w:cs="Times New Roman"/>
          <w:sz w:val="24"/>
          <w:szCs w:val="24"/>
        </w:rPr>
      </w:pPr>
      <w:bookmarkStart w:id="89" w:name="arm3"/>
      <w:bookmarkEnd w:id="88"/>
      <w:r w:rsidRPr="00AC7317">
        <w:rPr>
          <w:rFonts w:ascii="Times New Roman" w:hAnsi="Times New Roman" w:cs="Times New Roman"/>
          <w:sz w:val="24"/>
          <w:szCs w:val="24"/>
        </w:rPr>
        <w:lastRenderedPageBreak/>
        <w:t xml:space="preserve">A3. Armington </w:t>
      </w:r>
      <w:r w:rsidR="006A4F7A" w:rsidRPr="00AC7317">
        <w:rPr>
          <w:rFonts w:ascii="Times New Roman" w:hAnsi="Times New Roman" w:cs="Times New Roman"/>
          <w:sz w:val="24"/>
          <w:szCs w:val="24"/>
        </w:rPr>
        <w:t>elasticities</w:t>
      </w:r>
    </w:p>
    <w:p w14:paraId="452A4E2D" w14:textId="77777777" w:rsidR="002E6A0D" w:rsidRPr="00AC7317" w:rsidRDefault="00F96466" w:rsidP="00216BA2">
      <w:pPr>
        <w:pStyle w:val="FirstParagraph"/>
        <w:spacing w:line="480" w:lineRule="auto"/>
        <w:jc w:val="both"/>
        <w:rPr>
          <w:rFonts w:ascii="Times New Roman" w:hAnsi="Times New Roman" w:cs="Times New Roman"/>
        </w:rPr>
      </w:pPr>
      <w:r w:rsidRPr="00AC7317">
        <w:rPr>
          <w:rFonts w:ascii="Times New Roman" w:hAnsi="Times New Roman" w:cs="Times New Roman"/>
          <w:noProof/>
        </w:rPr>
        <w:drawing>
          <wp:inline distT="0" distB="0" distL="0" distR="0" wp14:anchorId="47D2FC9F" wp14:editId="04323675">
            <wp:extent cx="4587290" cy="2752374"/>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images\armington_elasticity.png"/>
                    <pic:cNvPicPr>
                      <a:picLocks noChangeAspect="1" noChangeArrowheads="1"/>
                    </pic:cNvPicPr>
                  </pic:nvPicPr>
                  <pic:blipFill>
                    <a:blip r:embed="rId79"/>
                    <a:stretch>
                      <a:fillRect/>
                    </a:stretch>
                  </pic:blipFill>
                  <pic:spPr bwMode="auto">
                    <a:xfrm>
                      <a:off x="0" y="0"/>
                      <a:ext cx="4587290" cy="2752374"/>
                    </a:xfrm>
                    <a:prstGeom prst="rect">
                      <a:avLst/>
                    </a:prstGeom>
                    <a:noFill/>
                    <a:ln w="9525">
                      <a:noFill/>
                      <a:headEnd/>
                      <a:tailEnd/>
                    </a:ln>
                  </pic:spPr>
                </pic:pic>
              </a:graphicData>
            </a:graphic>
          </wp:inline>
        </w:drawing>
      </w:r>
    </w:p>
    <w:p w14:paraId="0305FCE0" w14:textId="358AE96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 xml:space="preserve">Figure A3.1: Estimates of Armington </w:t>
      </w:r>
      <w:r w:rsidR="00216BA2" w:rsidRPr="00AC7317">
        <w:rPr>
          <w:rFonts w:ascii="Times New Roman" w:hAnsi="Times New Roman" w:cs="Times New Roman"/>
        </w:rPr>
        <w:t>elasticities with 95% confidence</w:t>
      </w:r>
      <w:r w:rsidRPr="00AC7317">
        <w:rPr>
          <w:rFonts w:ascii="Times New Roman" w:hAnsi="Times New Roman" w:cs="Times New Roman"/>
        </w:rPr>
        <w:t xml:space="preserve"> intervals. Note: Armington elasticities are defined as 1 minus tariff elasticities. We estimate tariff elasticities using the pseudo-Poisson maximum likelihood (PPML) estimator. Exporter-year, importer-year, and country-pair fixed effects are included. Standard errors are clustered at the country-pair level. *** p&lt;0.001, ** p&lt;0.01, * p&lt;0.05</w:t>
      </w:r>
      <w:proofErr w:type="gramStart"/>
      <w:r w:rsidRPr="00AC7317">
        <w:rPr>
          <w:rFonts w:ascii="Times New Roman" w:hAnsi="Times New Roman" w:cs="Times New Roman"/>
        </w:rPr>
        <w:t>, .</w:t>
      </w:r>
      <w:proofErr w:type="gramEnd"/>
      <w:r w:rsidRPr="00AC7317">
        <w:rPr>
          <w:rFonts w:ascii="Times New Roman" w:hAnsi="Times New Roman" w:cs="Times New Roman"/>
        </w:rPr>
        <w:t xml:space="preserve"> p&lt;0.1</w:t>
      </w:r>
    </w:p>
    <w:p w14:paraId="17C2DFC4"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2A0F1323" w14:textId="26031604" w:rsidR="002E6A0D" w:rsidRPr="00AC7317" w:rsidRDefault="00F96466" w:rsidP="00216BA2">
      <w:pPr>
        <w:pStyle w:val="Heading2"/>
        <w:spacing w:line="480" w:lineRule="auto"/>
        <w:jc w:val="both"/>
        <w:rPr>
          <w:rFonts w:ascii="Times New Roman" w:hAnsi="Times New Roman" w:cs="Times New Roman"/>
          <w:sz w:val="24"/>
          <w:szCs w:val="24"/>
        </w:rPr>
      </w:pPr>
      <w:bookmarkStart w:id="90" w:name="a4.-eu-involvement-with-soy-trade"/>
      <w:bookmarkEnd w:id="89"/>
      <w:r w:rsidRPr="00AC7317">
        <w:rPr>
          <w:rFonts w:ascii="Times New Roman" w:hAnsi="Times New Roman" w:cs="Times New Roman"/>
          <w:sz w:val="24"/>
          <w:szCs w:val="24"/>
        </w:rPr>
        <w:lastRenderedPageBreak/>
        <w:t xml:space="preserve">A4. EU involvement with </w:t>
      </w:r>
      <w:r w:rsidR="009370E8" w:rsidRPr="00AC7317">
        <w:rPr>
          <w:rFonts w:ascii="Times New Roman" w:hAnsi="Times New Roman" w:cs="Times New Roman"/>
          <w:sz w:val="24"/>
          <w:szCs w:val="24"/>
        </w:rPr>
        <w:t xml:space="preserve">the </w:t>
      </w:r>
      <w:r w:rsidRPr="00AC7317">
        <w:rPr>
          <w:rFonts w:ascii="Times New Roman" w:hAnsi="Times New Roman" w:cs="Times New Roman"/>
          <w:sz w:val="24"/>
          <w:szCs w:val="24"/>
        </w:rPr>
        <w:t>soy trade</w:t>
      </w:r>
    </w:p>
    <w:p w14:paraId="1F5DE149" w14:textId="77777777" w:rsidR="002E6A0D" w:rsidRPr="00AC7317" w:rsidRDefault="00F96466" w:rsidP="00216BA2">
      <w:pPr>
        <w:pStyle w:val="FirstParagraph"/>
        <w:spacing w:line="480" w:lineRule="auto"/>
        <w:jc w:val="both"/>
        <w:rPr>
          <w:rFonts w:ascii="Times New Roman" w:hAnsi="Times New Roman" w:cs="Times New Roman"/>
        </w:rPr>
      </w:pPr>
      <w:bookmarkStart w:id="91" w:name="table41"/>
      <w:r w:rsidRPr="00AC7317">
        <w:rPr>
          <w:rFonts w:ascii="Times New Roman" w:hAnsi="Times New Roman" w:cs="Times New Roman"/>
        </w:rPr>
        <w:t>Table A4.1</w:t>
      </w:r>
      <w:bookmarkEnd w:id="91"/>
      <w:r w:rsidRPr="00AC7317">
        <w:rPr>
          <w:rFonts w:ascii="Times New Roman" w:hAnsi="Times New Roman" w:cs="Times New Roman"/>
        </w:rPr>
        <w:t>: Import share of EU-27 countries in soy products (2021-2023)</w:t>
      </w:r>
    </w:p>
    <w:tbl>
      <w:tblPr>
        <w:tblStyle w:val="Table"/>
        <w:tblW w:w="5000" w:type="pct"/>
        <w:jc w:val="center"/>
        <w:tblLook w:val="0420" w:firstRow="1" w:lastRow="0" w:firstColumn="0" w:lastColumn="0" w:noHBand="0" w:noVBand="1"/>
      </w:tblPr>
      <w:tblGrid>
        <w:gridCol w:w="2340"/>
        <w:gridCol w:w="2340"/>
        <w:gridCol w:w="2340"/>
        <w:gridCol w:w="2340"/>
      </w:tblGrid>
      <w:tr w:rsidR="002E6A0D" w:rsidRPr="00AC7317" w14:paraId="5C76A727" w14:textId="77777777" w:rsidTr="00216BA2">
        <w:trPr>
          <w:cnfStyle w:val="100000000000" w:firstRow="1" w:lastRow="0" w:firstColumn="0" w:lastColumn="0" w:oddVBand="0" w:evenVBand="0" w:oddHBand="0" w:evenHBand="0" w:firstRowFirstColumn="0" w:firstRowLastColumn="0" w:lastRowFirstColumn="0" w:lastRowLastColumn="0"/>
          <w:tblHeader/>
          <w:jc w:val="center"/>
        </w:trPr>
        <w:tc>
          <w:tcPr>
            <w:tcW w:w="12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8708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b/>
                <w:color w:val="000000"/>
              </w:rPr>
            </w:pPr>
            <w:r w:rsidRPr="00AC7317">
              <w:rPr>
                <w:rFonts w:ascii="Times New Roman" w:eastAsia="Arial" w:hAnsi="Times New Roman" w:cs="Times New Roman"/>
                <w:b/>
                <w:color w:val="000000"/>
              </w:rPr>
              <w:t>Selected Countries</w:t>
            </w:r>
          </w:p>
        </w:tc>
        <w:tc>
          <w:tcPr>
            <w:tcW w:w="12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20ED8A"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b/>
                <w:color w:val="000000"/>
              </w:rPr>
            </w:pPr>
            <w:r w:rsidRPr="00AC7317">
              <w:rPr>
                <w:rFonts w:ascii="Times New Roman" w:eastAsia="Arial" w:hAnsi="Times New Roman" w:cs="Times New Roman"/>
                <w:b/>
                <w:color w:val="000000"/>
              </w:rPr>
              <w:t>Import Share of EU-27 (%)</w:t>
            </w:r>
          </w:p>
        </w:tc>
        <w:tc>
          <w:tcPr>
            <w:tcW w:w="12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59787"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b/>
                <w:color w:val="000000"/>
              </w:rPr>
            </w:pPr>
            <w:r w:rsidRPr="00AC7317">
              <w:rPr>
                <w:rFonts w:ascii="Times New Roman" w:eastAsia="Arial" w:hAnsi="Times New Roman" w:cs="Times New Roman"/>
                <w:b/>
                <w:color w:val="000000"/>
              </w:rPr>
              <w:t>Export Share to EU-27 (%)</w:t>
            </w:r>
          </w:p>
        </w:tc>
        <w:tc>
          <w:tcPr>
            <w:tcW w:w="12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3126D"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b/>
                <w:color w:val="000000"/>
              </w:rPr>
            </w:pPr>
            <w:r w:rsidRPr="00AC7317">
              <w:rPr>
                <w:rFonts w:ascii="Times New Roman" w:eastAsia="Arial" w:hAnsi="Times New Roman" w:cs="Times New Roman"/>
                <w:b/>
                <w:color w:val="000000"/>
              </w:rPr>
              <w:t>Export Share to World (%)</w:t>
            </w:r>
          </w:p>
        </w:tc>
      </w:tr>
      <w:tr w:rsidR="002E6A0D" w:rsidRPr="00AC7317" w14:paraId="201C1C86" w14:textId="77777777" w:rsidTr="00216BA2">
        <w:trPr>
          <w:jc w:val="center"/>
        </w:trPr>
        <w:tc>
          <w:tcPr>
            <w:tcW w:w="125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F76EEA" w14:textId="6A217FCF"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B</w:t>
            </w:r>
            <w:r w:rsidR="00AB0D93" w:rsidRPr="00AC7317">
              <w:rPr>
                <w:rFonts w:ascii="Times New Roman" w:eastAsia="Arial" w:hAnsi="Times New Roman" w:cs="Times New Roman"/>
                <w:color w:val="000000"/>
              </w:rPr>
              <w:t>ra</w:t>
            </w:r>
            <w:r w:rsidR="00A46323" w:rsidRPr="00AC7317">
              <w:rPr>
                <w:rFonts w:ascii="Times New Roman" w:eastAsia="Arial" w:hAnsi="Times New Roman" w:cs="Times New Roman"/>
                <w:color w:val="000000"/>
              </w:rPr>
              <w:t>zil</w:t>
            </w:r>
          </w:p>
        </w:tc>
        <w:tc>
          <w:tcPr>
            <w:tcW w:w="125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66E87E"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39.05</w:t>
            </w:r>
          </w:p>
        </w:tc>
        <w:tc>
          <w:tcPr>
            <w:tcW w:w="125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F1E95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14.17</w:t>
            </w:r>
          </w:p>
        </w:tc>
        <w:tc>
          <w:tcPr>
            <w:tcW w:w="1250"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907D19"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42.99</w:t>
            </w:r>
          </w:p>
        </w:tc>
      </w:tr>
      <w:tr w:rsidR="002E6A0D" w:rsidRPr="00AC7317" w14:paraId="32B856F2"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EFEA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USA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FBE219"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14.45</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DB11F"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8.54</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20DC83"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26.39</w:t>
            </w:r>
          </w:p>
        </w:tc>
      </w:tr>
      <w:tr w:rsidR="002E6A0D" w:rsidRPr="00AC7317" w14:paraId="40EAFE80"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EC5515" w14:textId="40EB7D92"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A</w:t>
            </w:r>
            <w:r w:rsidR="00A46323" w:rsidRPr="00AC7317">
              <w:rPr>
                <w:rFonts w:ascii="Times New Roman" w:eastAsia="Arial" w:hAnsi="Times New Roman" w:cs="Times New Roman"/>
                <w:color w:val="000000"/>
              </w:rPr>
              <w:t>rgentina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8F84B"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11.53</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AA4423"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16.51</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04EC52"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10.90</w:t>
            </w:r>
          </w:p>
        </w:tc>
      </w:tr>
      <w:tr w:rsidR="002E6A0D" w:rsidRPr="00AC7317" w14:paraId="5EA9BDE0"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323FF5" w14:textId="1A000FE4"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U</w:t>
            </w:r>
            <w:r w:rsidR="00A46323" w:rsidRPr="00AC7317">
              <w:rPr>
                <w:rFonts w:ascii="Times New Roman" w:eastAsia="Arial" w:hAnsi="Times New Roman" w:cs="Times New Roman"/>
                <w:color w:val="000000"/>
              </w:rPr>
              <w:t>kraine</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CC4A1C"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3.67</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43DF2D"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50.54</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D5945F"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1.13</w:t>
            </w:r>
          </w:p>
        </w:tc>
      </w:tr>
      <w:tr w:rsidR="002E6A0D" w:rsidRPr="00AC7317" w14:paraId="0855E1E2"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E63183" w14:textId="637B090E"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C</w:t>
            </w:r>
            <w:r w:rsidR="00A46323" w:rsidRPr="00AC7317">
              <w:rPr>
                <w:rFonts w:ascii="Times New Roman" w:eastAsia="Arial" w:hAnsi="Times New Roman" w:cs="Times New Roman"/>
                <w:color w:val="000000"/>
              </w:rPr>
              <w:t>anada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064117"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2.36</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FBC24F"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16.81</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5A17F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2.19</w:t>
            </w:r>
          </w:p>
        </w:tc>
      </w:tr>
      <w:tr w:rsidR="002E6A0D" w:rsidRPr="00AC7317" w14:paraId="35C92991"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C74057" w14:textId="2818D2AA"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P</w:t>
            </w:r>
            <w:r w:rsidR="00A46323" w:rsidRPr="00AC7317">
              <w:rPr>
                <w:rFonts w:ascii="Times New Roman" w:eastAsia="Arial" w:hAnsi="Times New Roman" w:cs="Times New Roman"/>
                <w:color w:val="000000"/>
              </w:rPr>
              <w:t>araguay</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FC2E03"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1.14</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7DEBD9"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6.34</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CDDDF7"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2.80</w:t>
            </w:r>
          </w:p>
        </w:tc>
      </w:tr>
      <w:tr w:rsidR="002E6A0D" w:rsidRPr="00AC7317" w14:paraId="7BD90282"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4C7B8B" w14:textId="2CFB0925"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R</w:t>
            </w:r>
            <w:r w:rsidR="00A46323" w:rsidRPr="00AC7317">
              <w:rPr>
                <w:rFonts w:ascii="Times New Roman" w:eastAsia="Arial" w:hAnsi="Times New Roman" w:cs="Times New Roman"/>
                <w:color w:val="000000"/>
              </w:rPr>
              <w:t>ussia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2C2B2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0.90</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7F949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14.19</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733C31"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0.99</w:t>
            </w:r>
          </w:p>
        </w:tc>
      </w:tr>
      <w:tr w:rsidR="002E6A0D" w:rsidRPr="00AC7317" w14:paraId="4E3E82F4"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4225D8" w14:textId="7117FA43"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I</w:t>
            </w:r>
            <w:r w:rsidR="00A46323" w:rsidRPr="00AC7317">
              <w:rPr>
                <w:rFonts w:ascii="Times New Roman" w:eastAsia="Arial" w:hAnsi="Times New Roman" w:cs="Times New Roman"/>
                <w:color w:val="000000"/>
              </w:rPr>
              <w:t>ndia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B2A99C"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0.80</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218CDA"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18.14</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57678"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0.69</w:t>
            </w:r>
          </w:p>
        </w:tc>
      </w:tr>
      <w:tr w:rsidR="002E6A0D" w:rsidRPr="00AC7317" w14:paraId="032C7E4E"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32AEAB" w14:textId="355563B0"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C</w:t>
            </w:r>
            <w:r w:rsidR="000B1FB4" w:rsidRPr="00AC7317">
              <w:rPr>
                <w:rFonts w:ascii="Times New Roman" w:eastAsia="Arial" w:hAnsi="Times New Roman" w:cs="Times New Roman"/>
                <w:color w:val="000000"/>
              </w:rPr>
              <w:t>hina</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63C2C4"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0.45</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33C19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13.46</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962595"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0.53</w:t>
            </w:r>
          </w:p>
        </w:tc>
      </w:tr>
      <w:tr w:rsidR="002E6A0D" w:rsidRPr="00AC7317" w14:paraId="074049D4" w14:textId="77777777" w:rsidTr="00216BA2">
        <w:trPr>
          <w:jc w:val="center"/>
        </w:trPr>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F61A26" w14:textId="4779C372"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T</w:t>
            </w:r>
            <w:r w:rsidR="000B1FB4" w:rsidRPr="00AC7317">
              <w:rPr>
                <w:rFonts w:ascii="Times New Roman" w:eastAsia="Arial" w:hAnsi="Times New Roman" w:cs="Times New Roman"/>
                <w:color w:val="000000"/>
              </w:rPr>
              <w:t>urkey</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561D43"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0.12</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AD950A"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2.79</w:t>
            </w:r>
          </w:p>
        </w:tc>
        <w:tc>
          <w:tcPr>
            <w:tcW w:w="1250"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3B8A96"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0.64</w:t>
            </w:r>
          </w:p>
        </w:tc>
      </w:tr>
      <w:tr w:rsidR="002E6A0D" w:rsidRPr="00AC7317" w14:paraId="6FE6E477" w14:textId="77777777" w:rsidTr="00216BA2">
        <w:trPr>
          <w:jc w:val="center"/>
        </w:trPr>
        <w:tc>
          <w:tcPr>
            <w:tcW w:w="125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CF95F" w14:textId="4CF15B6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B</w:t>
            </w:r>
            <w:r w:rsidR="000B1FB4" w:rsidRPr="00AC7317">
              <w:rPr>
                <w:rFonts w:ascii="Times New Roman" w:eastAsia="Arial" w:hAnsi="Times New Roman" w:cs="Times New Roman"/>
                <w:color w:val="000000"/>
              </w:rPr>
              <w:t>olivia</w:t>
            </w:r>
          </w:p>
        </w:tc>
        <w:tc>
          <w:tcPr>
            <w:tcW w:w="125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791F0"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0.02</w:t>
            </w:r>
          </w:p>
        </w:tc>
        <w:tc>
          <w:tcPr>
            <w:tcW w:w="125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0665FA"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0.26</w:t>
            </w:r>
          </w:p>
        </w:tc>
        <w:tc>
          <w:tcPr>
            <w:tcW w:w="1250"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2EDBB" w14:textId="77777777" w:rsidR="002E6A0D" w:rsidRPr="00AC7317" w:rsidRDefault="00F96466" w:rsidP="00216BA2">
            <w:pPr>
              <w:pBdr>
                <w:top w:val="none" w:sz="0" w:space="0" w:color="000000"/>
                <w:left w:val="none" w:sz="0" w:space="0" w:color="000000"/>
                <w:bottom w:val="none" w:sz="0" w:space="0" w:color="000000"/>
                <w:right w:val="none" w:sz="0" w:space="0" w:color="000000"/>
              </w:pBdr>
              <w:spacing w:before="100" w:after="100" w:line="480" w:lineRule="auto"/>
              <w:ind w:left="100" w:right="100"/>
              <w:jc w:val="both"/>
              <w:rPr>
                <w:rFonts w:ascii="Times New Roman" w:eastAsia="Arial" w:hAnsi="Times New Roman" w:cs="Times New Roman"/>
                <w:color w:val="000000"/>
              </w:rPr>
            </w:pPr>
            <w:r w:rsidRPr="00AC7317">
              <w:rPr>
                <w:rFonts w:ascii="Times New Roman" w:eastAsia="Arial" w:hAnsi="Times New Roman" w:cs="Times New Roman"/>
                <w:color w:val="000000"/>
              </w:rPr>
              <w:t>1.34</w:t>
            </w:r>
          </w:p>
        </w:tc>
      </w:tr>
    </w:tbl>
    <w:p w14:paraId="07D798A7"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Source: Own estimation based on CEPII-BACI database (</w:t>
      </w:r>
      <w:proofErr w:type="spellStart"/>
      <w:r w:rsidR="002E6A0D" w:rsidRPr="00AC7317">
        <w:fldChar w:fldCharType="begin"/>
      </w:r>
      <w:r w:rsidR="002E6A0D" w:rsidRPr="00AC7317">
        <w:instrText>HYPERLINK \l "ref-gaulier2010" \h</w:instrText>
      </w:r>
      <w:r w:rsidR="002E6A0D" w:rsidRPr="00AC7317">
        <w:fldChar w:fldCharType="separate"/>
      </w:r>
      <w:r w:rsidR="002E6A0D" w:rsidRPr="00AC7317">
        <w:rPr>
          <w:rStyle w:val="Hyperlink"/>
          <w:rFonts w:ascii="Times New Roman" w:hAnsi="Times New Roman" w:cs="Times New Roman"/>
        </w:rPr>
        <w:t>Gaulier</w:t>
      </w:r>
      <w:proofErr w:type="spellEnd"/>
      <w:r w:rsidR="002E6A0D" w:rsidRPr="00AC7317">
        <w:rPr>
          <w:rStyle w:val="Hyperlink"/>
          <w:rFonts w:ascii="Times New Roman" w:hAnsi="Times New Roman" w:cs="Times New Roman"/>
        </w:rPr>
        <w:t xml:space="preserve"> and </w:t>
      </w:r>
      <w:proofErr w:type="spellStart"/>
      <w:r w:rsidR="002E6A0D" w:rsidRPr="00AC7317">
        <w:rPr>
          <w:rStyle w:val="Hyperlink"/>
          <w:rFonts w:ascii="Times New Roman" w:hAnsi="Times New Roman" w:cs="Times New Roman"/>
        </w:rPr>
        <w:t>Zignago</w:t>
      </w:r>
      <w:proofErr w:type="spellEnd"/>
      <w:r w:rsidR="002E6A0D" w:rsidRPr="00AC7317">
        <w:rPr>
          <w:rStyle w:val="Hyperlink"/>
          <w:rFonts w:ascii="Times New Roman" w:hAnsi="Times New Roman" w:cs="Times New Roman"/>
        </w:rPr>
        <w:t xml:space="preserve"> 2010</w:t>
      </w:r>
      <w:r w:rsidR="002E6A0D" w:rsidRPr="00AC7317">
        <w:fldChar w:fldCharType="end"/>
      </w:r>
      <w:r w:rsidRPr="00AC7317">
        <w:rPr>
          <w:rFonts w:ascii="Times New Roman" w:hAnsi="Times New Roman" w:cs="Times New Roman"/>
        </w:rPr>
        <w:t>)</w:t>
      </w:r>
    </w:p>
    <w:p w14:paraId="7507F609"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4D76C063"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155FE00D" wp14:editId="1A231962">
            <wp:extent cx="5334000" cy="444500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images/EU_relative_size.png"/>
                    <pic:cNvPicPr>
                      <a:picLocks noChangeAspect="1" noChangeArrowheads="1"/>
                    </pic:cNvPicPr>
                  </pic:nvPicPr>
                  <pic:blipFill>
                    <a:blip r:embed="rId80"/>
                    <a:stretch>
                      <a:fillRect/>
                    </a:stretch>
                  </pic:blipFill>
                  <pic:spPr bwMode="auto">
                    <a:xfrm>
                      <a:off x="0" y="0"/>
                      <a:ext cx="5334000" cy="4445000"/>
                    </a:xfrm>
                    <a:prstGeom prst="rect">
                      <a:avLst/>
                    </a:prstGeom>
                    <a:noFill/>
                    <a:ln w="9525">
                      <a:noFill/>
                      <a:headEnd/>
                      <a:tailEnd/>
                    </a:ln>
                  </pic:spPr>
                </pic:pic>
              </a:graphicData>
            </a:graphic>
          </wp:inline>
        </w:drawing>
      </w:r>
    </w:p>
    <w:p w14:paraId="5FBF7F63" w14:textId="77777777" w:rsidR="002E6A0D" w:rsidRPr="00AC7317" w:rsidRDefault="00F96466" w:rsidP="00216BA2">
      <w:pPr>
        <w:pStyle w:val="BodyText"/>
        <w:spacing w:line="480" w:lineRule="auto"/>
        <w:jc w:val="both"/>
        <w:rPr>
          <w:rFonts w:ascii="Times New Roman" w:hAnsi="Times New Roman" w:cs="Times New Roman"/>
        </w:rPr>
      </w:pPr>
      <w:bookmarkStart w:id="92" w:name="figurea42"/>
      <w:r w:rsidRPr="00AC7317">
        <w:rPr>
          <w:rFonts w:ascii="Times New Roman" w:hAnsi="Times New Roman" w:cs="Times New Roman"/>
        </w:rPr>
        <w:t>Figure A4.2</w:t>
      </w:r>
      <w:bookmarkEnd w:id="92"/>
      <w:r w:rsidRPr="00AC7317">
        <w:rPr>
          <w:rFonts w:ascii="Times New Roman" w:hAnsi="Times New Roman" w:cs="Times New Roman"/>
        </w:rPr>
        <w:t>: Relative sizes of the EU countries (among themselves) in import and export markets (cumulative 2019-2021)</w:t>
      </w:r>
    </w:p>
    <w:p w14:paraId="5086E89B"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i/>
          <w:iCs/>
        </w:rPr>
        <w:t>Note:</w:t>
      </w:r>
      <w:r w:rsidRPr="00AC7317">
        <w:rPr>
          <w:rFonts w:ascii="Times New Roman" w:hAnsi="Times New Roman" w:cs="Times New Roman"/>
        </w:rPr>
        <w:t xml:space="preserve"> Percentages denote the EU countries’ share of total EU27 imports and exports.</w:t>
      </w:r>
    </w:p>
    <w:p w14:paraId="629674DF"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410E84CD" w14:textId="77777777" w:rsidR="002E6A0D" w:rsidRPr="00AC7317" w:rsidRDefault="00F96466" w:rsidP="00216BA2">
      <w:pPr>
        <w:pStyle w:val="Heading1"/>
        <w:spacing w:line="480" w:lineRule="auto"/>
        <w:jc w:val="both"/>
        <w:rPr>
          <w:rFonts w:ascii="Times New Roman" w:hAnsi="Times New Roman" w:cs="Times New Roman"/>
          <w:sz w:val="24"/>
          <w:szCs w:val="24"/>
        </w:rPr>
      </w:pPr>
      <w:bookmarkStart w:id="93" w:name="X1ec0db1d48ae50924c2566e1801cd7d528bd885"/>
      <w:bookmarkEnd w:id="23"/>
      <w:bookmarkEnd w:id="90"/>
      <w:r w:rsidRPr="00AC7317">
        <w:rPr>
          <w:rFonts w:ascii="Times New Roman" w:hAnsi="Times New Roman" w:cs="Times New Roman"/>
          <w:sz w:val="24"/>
          <w:szCs w:val="24"/>
        </w:rPr>
        <w:lastRenderedPageBreak/>
        <w:t>A5. Additional results of the EUDR simulation</w:t>
      </w:r>
    </w:p>
    <w:p w14:paraId="0444E37D" w14:textId="258E4F13" w:rsidR="00944242" w:rsidRPr="00AC7317" w:rsidRDefault="00944242" w:rsidP="00944242">
      <w:pPr>
        <w:pStyle w:val="FirstParagraph"/>
        <w:spacing w:line="480" w:lineRule="auto"/>
        <w:jc w:val="both"/>
        <w:rPr>
          <w:rFonts w:ascii="Times New Roman" w:hAnsi="Times New Roman" w:cs="Times New Roman"/>
        </w:rPr>
      </w:pPr>
      <w:r w:rsidRPr="00AC7317">
        <w:rPr>
          <w:rFonts w:ascii="Times New Roman" w:hAnsi="Times New Roman" w:cs="Times New Roman"/>
          <w:noProof/>
        </w:rPr>
        <w:drawing>
          <wp:inline distT="0" distB="0" distL="0" distR="0" wp14:anchorId="4B11C87B" wp14:editId="422DC109">
            <wp:extent cx="5943600" cy="5943600"/>
            <wp:effectExtent l="0" t="0" r="0" b="0"/>
            <wp:docPr id="723166546" name="Picture 4" descr="A group of blue and red squares with black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6546" name="Picture 4" descr="A group of blue and red squares with black writing&#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CC1B42" w14:textId="77777777" w:rsidR="002E6A0D" w:rsidRPr="00AC7317" w:rsidRDefault="00F96466" w:rsidP="00216BA2">
      <w:pPr>
        <w:pStyle w:val="BodyText"/>
        <w:spacing w:line="480" w:lineRule="auto"/>
        <w:jc w:val="both"/>
        <w:rPr>
          <w:rFonts w:ascii="Times New Roman" w:hAnsi="Times New Roman" w:cs="Times New Roman"/>
        </w:rPr>
      </w:pPr>
      <w:bookmarkStart w:id="94" w:name="figurea61"/>
      <w:r w:rsidRPr="00AC7317">
        <w:rPr>
          <w:rFonts w:ascii="Times New Roman" w:hAnsi="Times New Roman" w:cs="Times New Roman"/>
        </w:rPr>
        <w:t>Figure A5.1</w:t>
      </w:r>
      <w:bookmarkEnd w:id="94"/>
      <w:r w:rsidRPr="00AC7317">
        <w:rPr>
          <w:rFonts w:ascii="Times New Roman" w:hAnsi="Times New Roman" w:cs="Times New Roman"/>
        </w:rPr>
        <w:t>: Effects of the EUDR on the EU countries, relative to a baseline without the EUDR. (a) Welfare changes (b) Price index changes (c) Producer price changes (d) Terms of trade change. Quartiles are measured at the scenario-product level.</w:t>
      </w:r>
    </w:p>
    <w:p w14:paraId="4F3E737D"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15C993AD" w14:textId="0C449C34" w:rsidR="00B713DB" w:rsidRPr="00AC7317" w:rsidRDefault="00B713DB" w:rsidP="00B713DB">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48984CDD" wp14:editId="21FEA74F">
            <wp:extent cx="5943600" cy="5613400"/>
            <wp:effectExtent l="0" t="0" r="0" b="0"/>
            <wp:docPr id="81210059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0593" name="Picture 2" descr="A screenshot of a computer screen&#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5613400"/>
                    </a:xfrm>
                    <a:prstGeom prst="rect">
                      <a:avLst/>
                    </a:prstGeom>
                    <a:noFill/>
                    <a:ln>
                      <a:noFill/>
                    </a:ln>
                  </pic:spPr>
                </pic:pic>
              </a:graphicData>
            </a:graphic>
          </wp:inline>
        </w:drawing>
      </w:r>
    </w:p>
    <w:p w14:paraId="47DE9AED" w14:textId="77777777" w:rsidR="002E6A0D" w:rsidRPr="00AC7317" w:rsidRDefault="00F96466" w:rsidP="00216BA2">
      <w:pPr>
        <w:pStyle w:val="BodyText"/>
        <w:spacing w:line="480" w:lineRule="auto"/>
        <w:jc w:val="both"/>
        <w:rPr>
          <w:rFonts w:ascii="Times New Roman" w:hAnsi="Times New Roman" w:cs="Times New Roman"/>
        </w:rPr>
      </w:pPr>
      <w:bookmarkStart w:id="95" w:name="figure62"/>
      <w:r w:rsidRPr="00AC7317">
        <w:rPr>
          <w:rFonts w:ascii="Times New Roman" w:hAnsi="Times New Roman" w:cs="Times New Roman"/>
        </w:rPr>
        <w:t>Figure A5.2</w:t>
      </w:r>
      <w:bookmarkEnd w:id="95"/>
      <w:r w:rsidRPr="00AC7317">
        <w:rPr>
          <w:rFonts w:ascii="Times New Roman" w:hAnsi="Times New Roman" w:cs="Times New Roman"/>
        </w:rPr>
        <w:t>: Effects of the EUDR on the selected countries, relative to a baseline without the EUDR. (a) Welfare changes (b) Price index changes (c) Producer price changes (d) Terms of trade change. Quartiles are measured at the scenario-product level.</w:t>
      </w:r>
    </w:p>
    <w:p w14:paraId="41EA5F26"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5751019B"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58430E45" wp14:editId="0C2AC4A0">
            <wp:extent cx="5857875" cy="329565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images/export_change_plot_new.png"/>
                    <pic:cNvPicPr>
                      <a:picLocks noChangeAspect="1" noChangeArrowheads="1"/>
                    </pic:cNvPicPr>
                  </pic:nvPicPr>
                  <pic:blipFill>
                    <a:blip r:embed="rId83"/>
                    <a:stretch>
                      <a:fillRect/>
                    </a:stretch>
                  </pic:blipFill>
                  <pic:spPr bwMode="auto">
                    <a:xfrm>
                      <a:off x="0" y="0"/>
                      <a:ext cx="5857875" cy="3295650"/>
                    </a:xfrm>
                    <a:prstGeom prst="rect">
                      <a:avLst/>
                    </a:prstGeom>
                    <a:noFill/>
                    <a:ln w="9525">
                      <a:noFill/>
                      <a:headEnd/>
                      <a:tailEnd/>
                    </a:ln>
                  </pic:spPr>
                </pic:pic>
              </a:graphicData>
            </a:graphic>
          </wp:inline>
        </w:drawing>
      </w:r>
    </w:p>
    <w:p w14:paraId="59B7781D" w14:textId="77777777" w:rsidR="002E6A0D" w:rsidRPr="00AC7317" w:rsidRDefault="00F96466" w:rsidP="00216BA2">
      <w:pPr>
        <w:pStyle w:val="BodyText"/>
        <w:spacing w:line="480" w:lineRule="auto"/>
        <w:jc w:val="both"/>
        <w:rPr>
          <w:rFonts w:ascii="Times New Roman" w:hAnsi="Times New Roman" w:cs="Times New Roman"/>
        </w:rPr>
      </w:pPr>
      <w:bookmarkStart w:id="96" w:name="a63"/>
      <w:r w:rsidRPr="00AC7317">
        <w:rPr>
          <w:rFonts w:ascii="Times New Roman" w:hAnsi="Times New Roman" w:cs="Times New Roman"/>
        </w:rPr>
        <w:t>Figure A5.3</w:t>
      </w:r>
      <w:bookmarkEnd w:id="96"/>
      <w:r w:rsidRPr="00AC7317">
        <w:rPr>
          <w:rFonts w:ascii="Times New Roman" w:hAnsi="Times New Roman" w:cs="Times New Roman"/>
        </w:rPr>
        <w:t xml:space="preserve">: Change in exports from BAP </w:t>
      </w:r>
      <w:proofErr w:type="gramStart"/>
      <w:r w:rsidRPr="00AC7317">
        <w:rPr>
          <w:rFonts w:ascii="Times New Roman" w:hAnsi="Times New Roman" w:cs="Times New Roman"/>
        </w:rPr>
        <w:t>assuming that</w:t>
      </w:r>
      <w:proofErr w:type="gramEnd"/>
      <w:r w:rsidRPr="00AC7317">
        <w:rPr>
          <w:rFonts w:ascii="Times New Roman" w:hAnsi="Times New Roman" w:cs="Times New Roman"/>
        </w:rPr>
        <w:t xml:space="preserve"> supply remains constant, relative to a baseline without the EUDR. Quartiles are measured at the scenario-product level. The compliance and non-compliance scenarios are denoted by Com. and Non-com.</w:t>
      </w:r>
    </w:p>
    <w:p w14:paraId="6E87E472"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6E53E98A"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2558D134" wp14:editId="4C99C815">
            <wp:extent cx="5848350" cy="3295650"/>
            <wp:effectExtent l="0" t="0" r="0" b="0"/>
            <wp:docPr id="217" name="Picture"/>
            <wp:cNvGraphicFramePr/>
            <a:graphic xmlns:a="http://schemas.openxmlformats.org/drawingml/2006/main">
              <a:graphicData uri="http://schemas.openxmlformats.org/drawingml/2006/picture">
                <pic:pic xmlns:pic="http://schemas.openxmlformats.org/drawingml/2006/picture">
                  <pic:nvPicPr>
                    <pic:cNvPr id="218" name="Picture" descr="images/export_change_plot_new1.png"/>
                    <pic:cNvPicPr>
                      <a:picLocks noChangeAspect="1" noChangeArrowheads="1"/>
                    </pic:cNvPicPr>
                  </pic:nvPicPr>
                  <pic:blipFill>
                    <a:blip r:embed="rId84"/>
                    <a:stretch>
                      <a:fillRect/>
                    </a:stretch>
                  </pic:blipFill>
                  <pic:spPr bwMode="auto">
                    <a:xfrm>
                      <a:off x="0" y="0"/>
                      <a:ext cx="5848350" cy="3295650"/>
                    </a:xfrm>
                    <a:prstGeom prst="rect">
                      <a:avLst/>
                    </a:prstGeom>
                    <a:noFill/>
                    <a:ln w="9525">
                      <a:noFill/>
                      <a:headEnd/>
                      <a:tailEnd/>
                    </a:ln>
                  </pic:spPr>
                </pic:pic>
              </a:graphicData>
            </a:graphic>
          </wp:inline>
        </w:drawing>
      </w:r>
    </w:p>
    <w:p w14:paraId="2433445A" w14:textId="77777777" w:rsidR="002E6A0D" w:rsidRPr="00AC7317" w:rsidRDefault="00F96466" w:rsidP="00216BA2">
      <w:pPr>
        <w:pStyle w:val="BodyText"/>
        <w:spacing w:line="480" w:lineRule="auto"/>
        <w:jc w:val="both"/>
        <w:rPr>
          <w:rFonts w:ascii="Times New Roman" w:hAnsi="Times New Roman" w:cs="Times New Roman"/>
        </w:rPr>
      </w:pPr>
      <w:bookmarkStart w:id="97" w:name="a64"/>
      <w:r w:rsidRPr="00AC7317">
        <w:rPr>
          <w:rFonts w:ascii="Times New Roman" w:hAnsi="Times New Roman" w:cs="Times New Roman"/>
        </w:rPr>
        <w:t>Figure A5.4</w:t>
      </w:r>
      <w:bookmarkEnd w:id="97"/>
      <w:r w:rsidRPr="00AC7317">
        <w:rPr>
          <w:rFonts w:ascii="Times New Roman" w:hAnsi="Times New Roman" w:cs="Times New Roman"/>
        </w:rPr>
        <w:t xml:space="preserve">: Change in exports from BAP with both supply and expenditure held </w:t>
      </w:r>
      <w:proofErr w:type="gramStart"/>
      <w:r w:rsidRPr="00AC7317">
        <w:rPr>
          <w:rFonts w:ascii="Times New Roman" w:hAnsi="Times New Roman" w:cs="Times New Roman"/>
        </w:rPr>
        <w:t>constant</w:t>
      </w:r>
      <w:proofErr w:type="gramEnd"/>
      <w:r w:rsidRPr="00AC7317">
        <w:rPr>
          <w:rFonts w:ascii="Times New Roman" w:hAnsi="Times New Roman" w:cs="Times New Roman"/>
        </w:rPr>
        <w:t>, relative to a baseline without the EUDR. Quartiles are measured at the scenario-product level.</w:t>
      </w:r>
    </w:p>
    <w:p w14:paraId="5DD1F5DA"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5AD19F22" w14:textId="77777777" w:rsidR="002E6A0D" w:rsidRPr="00AC7317" w:rsidRDefault="00F96466" w:rsidP="00216BA2">
      <w:pPr>
        <w:pStyle w:val="Heading2"/>
        <w:spacing w:line="480" w:lineRule="auto"/>
        <w:jc w:val="both"/>
        <w:rPr>
          <w:rFonts w:ascii="Times New Roman" w:hAnsi="Times New Roman" w:cs="Times New Roman"/>
          <w:sz w:val="24"/>
          <w:szCs w:val="24"/>
        </w:rPr>
      </w:pPr>
      <w:bookmarkStart w:id="98" w:name="app-a7"/>
      <w:r w:rsidRPr="00AC7317">
        <w:rPr>
          <w:rFonts w:ascii="Times New Roman" w:hAnsi="Times New Roman" w:cs="Times New Roman"/>
          <w:sz w:val="24"/>
          <w:szCs w:val="24"/>
        </w:rPr>
        <w:lastRenderedPageBreak/>
        <w:t>A6. Sensitivity check</w:t>
      </w:r>
    </w:p>
    <w:p w14:paraId="2685E624" w14:textId="58D1BFF7" w:rsidR="00F253EA" w:rsidRPr="00AC7317" w:rsidRDefault="00F253EA" w:rsidP="00F253EA">
      <w:pPr>
        <w:pStyle w:val="FirstParagraph"/>
        <w:spacing w:line="480" w:lineRule="auto"/>
        <w:jc w:val="both"/>
        <w:rPr>
          <w:rFonts w:ascii="Times New Roman" w:hAnsi="Times New Roman" w:cs="Times New Roman"/>
        </w:rPr>
      </w:pPr>
      <w:r w:rsidRPr="00AC7317">
        <w:rPr>
          <w:rFonts w:ascii="Times New Roman" w:hAnsi="Times New Roman" w:cs="Times New Roman"/>
          <w:noProof/>
        </w:rPr>
        <w:drawing>
          <wp:inline distT="0" distB="0" distL="0" distR="0" wp14:anchorId="3E56E46C" wp14:editId="09FCF0C6">
            <wp:extent cx="5943600" cy="3820795"/>
            <wp:effectExtent l="0" t="0" r="0" b="0"/>
            <wp:docPr id="15718352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5207" name="Picture 8" descr="A screenshot of a computer&#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50270050" w14:textId="7FDBBBF2"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A</w:t>
      </w:r>
      <w:r w:rsidR="00385674" w:rsidRPr="00AC7317">
        <w:rPr>
          <w:rFonts w:ascii="Times New Roman" w:hAnsi="Times New Roman" w:cs="Times New Roman"/>
        </w:rPr>
        <w:t>6</w:t>
      </w:r>
      <w:r w:rsidRPr="00AC7317">
        <w:rPr>
          <w:rFonts w:ascii="Times New Roman" w:hAnsi="Times New Roman" w:cs="Times New Roman"/>
        </w:rPr>
        <w:t xml:space="preserve">.1: Sensitivity check under the compliance scenario. The left value in brackets denotes the minimum and the right value denotes the maximum across nine sub-scenarios, defined by three compliance cost levels (low, medium, and high) under lower, baseline, and upper-bound Armington elasticities. The bold value indicates the change in exports relative to the 2022 baseline without the EUDR, evaluated under the medium compliance cost and baseline Armington elasticities. Low, medium, and high compliance correspond to 2%, 6%, and 10% </w:t>
      </w:r>
      <w:proofErr w:type="gramStart"/>
      <w:r w:rsidRPr="00AC7317">
        <w:rPr>
          <w:rFonts w:ascii="Times New Roman" w:hAnsi="Times New Roman" w:cs="Times New Roman"/>
        </w:rPr>
        <w:t>ad</w:t>
      </w:r>
      <w:proofErr w:type="gramEnd"/>
      <w:r w:rsidRPr="00AC7317">
        <w:rPr>
          <w:rFonts w:ascii="Times New Roman" w:hAnsi="Times New Roman" w:cs="Times New Roman"/>
        </w:rPr>
        <w:t xml:space="preserve"> valorem tariff-equivalent compliance costs for EU imports, respectively.</w:t>
      </w:r>
    </w:p>
    <w:p w14:paraId="0343D5B5"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434B3BF5" w14:textId="11B059AF" w:rsidR="00F253EA" w:rsidRPr="00AC7317" w:rsidRDefault="00F253EA" w:rsidP="00F253EA">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4AEB633F" wp14:editId="79399496">
            <wp:extent cx="5943600" cy="3820795"/>
            <wp:effectExtent l="0" t="0" r="0" b="0"/>
            <wp:docPr id="38176525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5250" name="Picture 10"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70B334FE" w14:textId="16A33A1C"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A</w:t>
      </w:r>
      <w:r w:rsidR="00385674" w:rsidRPr="00AC7317">
        <w:rPr>
          <w:rFonts w:ascii="Times New Roman" w:hAnsi="Times New Roman" w:cs="Times New Roman"/>
        </w:rPr>
        <w:t>6</w:t>
      </w:r>
      <w:r w:rsidRPr="00AC7317">
        <w:rPr>
          <w:rFonts w:ascii="Times New Roman" w:hAnsi="Times New Roman" w:cs="Times New Roman"/>
        </w:rPr>
        <w:t>.2: Sensitivity check under non-compliance</w:t>
      </w:r>
      <w:r w:rsidR="00F57157" w:rsidRPr="00AC7317">
        <w:rPr>
          <w:rFonts w:ascii="Times New Roman" w:hAnsi="Times New Roman" w:cs="Times New Roman"/>
        </w:rPr>
        <w:t xml:space="preserve"> scenario</w:t>
      </w:r>
      <w:r w:rsidRPr="00AC7317">
        <w:rPr>
          <w:rFonts w:ascii="Times New Roman" w:hAnsi="Times New Roman" w:cs="Times New Roman"/>
        </w:rPr>
        <w:t xml:space="preserve">. The left value in brackets denotes the minimum and the right value denotes the maximum across nine sub-scenarios, defined by three compliance cost levels (low, medium, and high) under lower, baseline, and upper-bound Armington elasticities. The bold value indicates the change in exports relative to the 2022 baseline without the EUDR, evaluated under the medium compliance cost and baseline Armington elasticities. Low, medium, and high compliance correspond to 2%, 6%, and 10% </w:t>
      </w:r>
      <w:proofErr w:type="gramStart"/>
      <w:r w:rsidRPr="00AC7317">
        <w:rPr>
          <w:rFonts w:ascii="Times New Roman" w:hAnsi="Times New Roman" w:cs="Times New Roman"/>
        </w:rPr>
        <w:t>ad</w:t>
      </w:r>
      <w:proofErr w:type="gramEnd"/>
      <w:r w:rsidRPr="00AC7317">
        <w:rPr>
          <w:rFonts w:ascii="Times New Roman" w:hAnsi="Times New Roman" w:cs="Times New Roman"/>
        </w:rPr>
        <w:t xml:space="preserve"> valorem tariff-equivalent compliance costs for EU imports, respectively. </w:t>
      </w:r>
    </w:p>
    <w:p w14:paraId="149237DB" w14:textId="1B8EE1B3" w:rsidR="00F96466" w:rsidRPr="00AC7317" w:rsidRDefault="00F96466" w:rsidP="00F96466">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542E702C" wp14:editId="5FE56575">
            <wp:extent cx="5943600" cy="2641600"/>
            <wp:effectExtent l="0" t="0" r="0" b="0"/>
            <wp:docPr id="100433809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38091" name="Picture 12" descr="A screenshot of a computer&#10;&#10;AI-generated content may be incorrec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27F2B4C2" w14:textId="7E2D88B1"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A</w:t>
      </w:r>
      <w:r w:rsidR="00385674" w:rsidRPr="00AC7317">
        <w:rPr>
          <w:rFonts w:ascii="Times New Roman" w:hAnsi="Times New Roman" w:cs="Times New Roman"/>
        </w:rPr>
        <w:t>6</w:t>
      </w:r>
      <w:r w:rsidRPr="00AC7317">
        <w:rPr>
          <w:rFonts w:ascii="Times New Roman" w:hAnsi="Times New Roman" w:cs="Times New Roman"/>
        </w:rPr>
        <w:t xml:space="preserve">.3: Sensitivity check for expenditure </w:t>
      </w:r>
      <w:r w:rsidR="00216BA2" w:rsidRPr="00AC7317">
        <w:rPr>
          <w:rFonts w:ascii="Times New Roman" w:hAnsi="Times New Roman" w:cs="Times New Roman"/>
        </w:rPr>
        <w:t>changes</w:t>
      </w:r>
      <w:r w:rsidRPr="00AC7317">
        <w:rPr>
          <w:rFonts w:ascii="Times New Roman" w:hAnsi="Times New Roman" w:cs="Times New Roman"/>
        </w:rPr>
        <w:t xml:space="preserve"> under different compliance </w:t>
      </w:r>
      <w:r w:rsidR="00216BA2" w:rsidRPr="00AC7317">
        <w:rPr>
          <w:rFonts w:ascii="Times New Roman" w:hAnsi="Times New Roman" w:cs="Times New Roman"/>
        </w:rPr>
        <w:t>costs</w:t>
      </w:r>
      <w:r w:rsidRPr="00AC7317">
        <w:rPr>
          <w:rFonts w:ascii="Times New Roman" w:hAnsi="Times New Roman" w:cs="Times New Roman"/>
        </w:rPr>
        <w:t>. Changes in expenditures are measured relative to the baseline year 2022 without the EUDR. Lower, medium and higher compliance denote 2%, 6% and 10% ad valorem tariff-equivalent compliance costs for EU imports.</w:t>
      </w:r>
    </w:p>
    <w:p w14:paraId="250D3AAA" w14:textId="77777777" w:rsidR="002E6A0D" w:rsidRPr="00AC7317" w:rsidRDefault="00F96466" w:rsidP="00216BA2">
      <w:pPr>
        <w:spacing w:line="480" w:lineRule="auto"/>
        <w:jc w:val="both"/>
        <w:rPr>
          <w:rFonts w:ascii="Times New Roman" w:hAnsi="Times New Roman" w:cs="Times New Roman"/>
        </w:rPr>
      </w:pPr>
      <w:r w:rsidRPr="00AC7317">
        <w:rPr>
          <w:rFonts w:ascii="Times New Roman" w:hAnsi="Times New Roman" w:cs="Times New Roman"/>
        </w:rPr>
        <w:br w:type="page"/>
      </w:r>
    </w:p>
    <w:p w14:paraId="07904A7A"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1875C101" wp14:editId="0E7F4C45">
            <wp:extent cx="5900928" cy="3169920"/>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images\sensitivity_compliance.png"/>
                    <pic:cNvPicPr>
                      <a:picLocks noChangeAspect="1" noChangeArrowheads="1"/>
                    </pic:cNvPicPr>
                  </pic:nvPicPr>
                  <pic:blipFill>
                    <a:blip r:embed="rId88"/>
                    <a:stretch>
                      <a:fillRect/>
                    </a:stretch>
                  </pic:blipFill>
                  <pic:spPr bwMode="auto">
                    <a:xfrm>
                      <a:off x="0" y="0"/>
                      <a:ext cx="5910038" cy="3174814"/>
                    </a:xfrm>
                    <a:prstGeom prst="rect">
                      <a:avLst/>
                    </a:prstGeom>
                    <a:noFill/>
                    <a:ln w="9525">
                      <a:noFill/>
                      <a:headEnd/>
                      <a:tailEnd/>
                    </a:ln>
                  </pic:spPr>
                </pic:pic>
              </a:graphicData>
            </a:graphic>
          </wp:inline>
        </w:drawing>
      </w:r>
    </w:p>
    <w:p w14:paraId="2D4D2D0D" w14:textId="3FD1F2B1" w:rsidR="00216BA2"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A</w:t>
      </w:r>
      <w:r w:rsidR="00385674" w:rsidRPr="00AC7317">
        <w:rPr>
          <w:rFonts w:ascii="Times New Roman" w:hAnsi="Times New Roman" w:cs="Times New Roman"/>
        </w:rPr>
        <w:t>6</w:t>
      </w:r>
      <w:r w:rsidRPr="00AC7317">
        <w:rPr>
          <w:rFonts w:ascii="Times New Roman" w:hAnsi="Times New Roman" w:cs="Times New Roman"/>
        </w:rPr>
        <w:t>.4: Sensitivity check for indexes under compliance</w:t>
      </w:r>
      <w:r w:rsidR="00216BA2" w:rsidRPr="00AC7317">
        <w:rPr>
          <w:rFonts w:ascii="Times New Roman" w:hAnsi="Times New Roman" w:cs="Times New Roman"/>
        </w:rPr>
        <w:t xml:space="preserve"> scenario</w:t>
      </w:r>
      <w:r w:rsidRPr="00AC7317">
        <w:rPr>
          <w:rFonts w:ascii="Times New Roman" w:hAnsi="Times New Roman" w:cs="Times New Roman"/>
        </w:rPr>
        <w:t xml:space="preserve">. </w:t>
      </w:r>
      <w:r w:rsidR="00216BA2" w:rsidRPr="00AC7317">
        <w:rPr>
          <w:rFonts w:ascii="Times New Roman" w:hAnsi="Times New Roman" w:cs="Times New Roman"/>
        </w:rPr>
        <w:t>Changes in indexes are measured relative to the baseline year 2022 without the EUDR. Points in the error bar represent indices change evaluated under the medium compliance cost and baseline Armington elasticities. Error bars represent the minimum and maximum across nine sub-scenarios, defined by three compliance cost levels (low, medium, and high) under lower, baseline, and upper-bound Armington elasticities.</w:t>
      </w:r>
    </w:p>
    <w:p w14:paraId="3BCB8A95" w14:textId="04C60678"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br w:type="page"/>
      </w:r>
    </w:p>
    <w:p w14:paraId="0A905631" w14:textId="77777777" w:rsidR="002E6A0D" w:rsidRPr="00AC7317"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noProof/>
        </w:rPr>
        <w:lastRenderedPageBreak/>
        <w:drawing>
          <wp:inline distT="0" distB="0" distL="0" distR="0" wp14:anchorId="7DD0BBCE" wp14:editId="28A900C2">
            <wp:extent cx="5925312" cy="3249168"/>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images\sensitivity_non_compliance.png"/>
                    <pic:cNvPicPr>
                      <a:picLocks noChangeAspect="1" noChangeArrowheads="1"/>
                    </pic:cNvPicPr>
                  </pic:nvPicPr>
                  <pic:blipFill>
                    <a:blip r:embed="rId89"/>
                    <a:stretch>
                      <a:fillRect/>
                    </a:stretch>
                  </pic:blipFill>
                  <pic:spPr bwMode="auto">
                    <a:xfrm>
                      <a:off x="0" y="0"/>
                      <a:ext cx="5937208" cy="3255691"/>
                    </a:xfrm>
                    <a:prstGeom prst="rect">
                      <a:avLst/>
                    </a:prstGeom>
                    <a:noFill/>
                    <a:ln w="9525">
                      <a:noFill/>
                      <a:headEnd/>
                      <a:tailEnd/>
                    </a:ln>
                  </pic:spPr>
                </pic:pic>
              </a:graphicData>
            </a:graphic>
          </wp:inline>
        </w:drawing>
      </w:r>
    </w:p>
    <w:p w14:paraId="5E474408" w14:textId="5C8EDD54" w:rsidR="002E6A0D" w:rsidRPr="00216BA2" w:rsidRDefault="00F96466" w:rsidP="00216BA2">
      <w:pPr>
        <w:pStyle w:val="BodyText"/>
        <w:spacing w:line="480" w:lineRule="auto"/>
        <w:jc w:val="both"/>
        <w:rPr>
          <w:rFonts w:ascii="Times New Roman" w:hAnsi="Times New Roman" w:cs="Times New Roman"/>
        </w:rPr>
      </w:pPr>
      <w:r w:rsidRPr="00AC7317">
        <w:rPr>
          <w:rFonts w:ascii="Times New Roman" w:hAnsi="Times New Roman" w:cs="Times New Roman"/>
        </w:rPr>
        <w:t>Figure A</w:t>
      </w:r>
      <w:r w:rsidR="00385674" w:rsidRPr="00AC7317">
        <w:rPr>
          <w:rFonts w:ascii="Times New Roman" w:hAnsi="Times New Roman" w:cs="Times New Roman"/>
        </w:rPr>
        <w:t>6</w:t>
      </w:r>
      <w:r w:rsidRPr="00AC7317">
        <w:rPr>
          <w:rFonts w:ascii="Times New Roman" w:hAnsi="Times New Roman" w:cs="Times New Roman"/>
        </w:rPr>
        <w:t>.5: Sensitivity check for indexes under non-compliance</w:t>
      </w:r>
      <w:r w:rsidR="00216BA2" w:rsidRPr="00AC7317">
        <w:rPr>
          <w:rFonts w:ascii="Times New Roman" w:hAnsi="Times New Roman" w:cs="Times New Roman"/>
        </w:rPr>
        <w:t xml:space="preserve"> scenario</w:t>
      </w:r>
      <w:r w:rsidRPr="00AC7317">
        <w:rPr>
          <w:rFonts w:ascii="Times New Roman" w:hAnsi="Times New Roman" w:cs="Times New Roman"/>
        </w:rPr>
        <w:t xml:space="preserve">. Changes in </w:t>
      </w:r>
      <w:r w:rsidR="0074272D" w:rsidRPr="00AC7317">
        <w:rPr>
          <w:rFonts w:ascii="Times New Roman" w:hAnsi="Times New Roman" w:cs="Times New Roman"/>
        </w:rPr>
        <w:t>indices</w:t>
      </w:r>
      <w:r w:rsidRPr="00AC7317">
        <w:rPr>
          <w:rFonts w:ascii="Times New Roman" w:hAnsi="Times New Roman" w:cs="Times New Roman"/>
        </w:rPr>
        <w:t xml:space="preserve"> are measured relative to the baseline year 2022 without the EUDR. Points in the error bar </w:t>
      </w:r>
      <w:r w:rsidR="00216BA2" w:rsidRPr="00AC7317">
        <w:rPr>
          <w:rFonts w:ascii="Times New Roman" w:hAnsi="Times New Roman" w:cs="Times New Roman"/>
        </w:rPr>
        <w:t>represent</w:t>
      </w:r>
      <w:r w:rsidRPr="00AC7317">
        <w:rPr>
          <w:rFonts w:ascii="Times New Roman" w:hAnsi="Times New Roman" w:cs="Times New Roman"/>
        </w:rPr>
        <w:t xml:space="preserve"> indices change evaluated under the medium compliance cost and baseline Armington elasticities. Error bars </w:t>
      </w:r>
      <w:r w:rsidR="00216BA2" w:rsidRPr="00AC7317">
        <w:rPr>
          <w:rFonts w:ascii="Times New Roman" w:hAnsi="Times New Roman" w:cs="Times New Roman"/>
        </w:rPr>
        <w:t xml:space="preserve">represent the minimum and maximum </w:t>
      </w:r>
      <w:r w:rsidRPr="00AC7317">
        <w:rPr>
          <w:rFonts w:ascii="Times New Roman" w:hAnsi="Times New Roman" w:cs="Times New Roman"/>
        </w:rPr>
        <w:t>across nine sub-scenarios, defined by three compliance cost levels (low, medium, and high) under lower, baseline, and upper-bound Armington elasticities.</w:t>
      </w:r>
      <w:bookmarkEnd w:id="93"/>
      <w:bookmarkEnd w:id="98"/>
    </w:p>
    <w:sectPr w:rsidR="002E6A0D" w:rsidRPr="00216BA2" w:rsidSect="00083044">
      <w:footerReference w:type="default" r:id="rId90"/>
      <w:footnotePr>
        <w:numRestart w:val="eachSect"/>
      </w:footnotePr>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5C36" w14:textId="77777777" w:rsidR="007B5992" w:rsidRDefault="007B5992" w:rsidP="00C271CF">
      <w:pPr>
        <w:spacing w:after="0"/>
      </w:pPr>
      <w:r>
        <w:separator/>
      </w:r>
    </w:p>
  </w:endnote>
  <w:endnote w:type="continuationSeparator" w:id="0">
    <w:p w14:paraId="39999B6B" w14:textId="77777777" w:rsidR="007B5992" w:rsidRDefault="007B5992" w:rsidP="00C271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907367"/>
      <w:docPartObj>
        <w:docPartGallery w:val="Page Numbers (Bottom of Page)"/>
        <w:docPartUnique/>
      </w:docPartObj>
    </w:sdtPr>
    <w:sdtEndPr>
      <w:rPr>
        <w:noProof/>
      </w:rPr>
    </w:sdtEndPr>
    <w:sdtContent>
      <w:p w14:paraId="0D6F675E" w14:textId="4EBC1D74" w:rsidR="00C271CF" w:rsidRDefault="00C271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2D6017" w14:textId="77777777" w:rsidR="00C271CF" w:rsidRDefault="00C27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A107" w14:textId="77777777" w:rsidR="007B5992" w:rsidRDefault="007B5992" w:rsidP="00C271CF">
      <w:pPr>
        <w:spacing w:after="0"/>
      </w:pPr>
      <w:r>
        <w:separator/>
      </w:r>
    </w:p>
  </w:footnote>
  <w:footnote w:type="continuationSeparator" w:id="0">
    <w:p w14:paraId="1D1915F3" w14:textId="77777777" w:rsidR="007B5992" w:rsidRDefault="007B5992" w:rsidP="00C271CF">
      <w:pPr>
        <w:spacing w:after="0"/>
      </w:pPr>
      <w:r>
        <w:continuationSeparator/>
      </w:r>
    </w:p>
  </w:footnote>
  <w:footnote w:id="1">
    <w:p w14:paraId="0521B4B2" w14:textId="77691CE9" w:rsidR="004D0F13" w:rsidRPr="00AA3D1D" w:rsidRDefault="004D0F13">
      <w:pPr>
        <w:pStyle w:val="FootnoteText"/>
        <w:rPr>
          <w:rFonts w:ascii="Times New Roman" w:hAnsi="Times New Roman" w:cs="Times New Roman"/>
        </w:rPr>
      </w:pPr>
      <w:r>
        <w:rPr>
          <w:rStyle w:val="FootnoteReference"/>
        </w:rPr>
        <w:footnoteRef/>
      </w:r>
      <w:r>
        <w:t xml:space="preserve"> </w:t>
      </w:r>
      <w:r w:rsidR="00D14355" w:rsidRPr="00AA3D1D">
        <w:rPr>
          <w:rFonts w:ascii="Times New Roman" w:hAnsi="Times New Roman" w:cs="Times New Roman"/>
        </w:rPr>
        <w:t>Brazil’s soy sector has long‑running zero‑deforestation efforts. In the Amazon, the Soy Moratorium</w:t>
      </w:r>
      <w:r w:rsidR="00AC3D01">
        <w:rPr>
          <w:rFonts w:ascii="Times New Roman" w:hAnsi="Times New Roman" w:cs="Times New Roman"/>
        </w:rPr>
        <w:t xml:space="preserve">- </w:t>
      </w:r>
      <w:r w:rsidR="00D14355" w:rsidRPr="00AA3D1D">
        <w:rPr>
          <w:rFonts w:ascii="Times New Roman" w:hAnsi="Times New Roman" w:cs="Times New Roman"/>
        </w:rPr>
        <w:t>implemented by firms handling ~90–95% of exports</w:t>
      </w:r>
      <w:r w:rsidR="00AC3D01">
        <w:rPr>
          <w:rFonts w:ascii="Times New Roman" w:hAnsi="Times New Roman" w:cs="Times New Roman"/>
        </w:rPr>
        <w:t xml:space="preserve">- </w:t>
      </w:r>
      <w:r w:rsidR="00D14355" w:rsidRPr="00AA3D1D">
        <w:rPr>
          <w:rFonts w:ascii="Times New Roman" w:hAnsi="Times New Roman" w:cs="Times New Roman"/>
        </w:rPr>
        <w:t>was associated with a 57% reduction in direct soy‑deforestation in treated municipalities; in the Cerrado, several traders have adopted ZDCs but implementation and coverage remain incomplete</w:t>
      </w:r>
      <w:r w:rsidR="00DC4704" w:rsidRPr="00AA3D1D">
        <w:rPr>
          <w:rFonts w:ascii="Times New Roman" w:hAnsi="Times New Roman" w:cs="Times New Roman"/>
        </w:rPr>
        <w:t xml:space="preserve"> (Gollnow et al.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66D1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8651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6A0D"/>
    <w:rsid w:val="00001B05"/>
    <w:rsid w:val="0000305A"/>
    <w:rsid w:val="000034E0"/>
    <w:rsid w:val="00003C0E"/>
    <w:rsid w:val="00011420"/>
    <w:rsid w:val="00013A19"/>
    <w:rsid w:val="00014D22"/>
    <w:rsid w:val="00017AA8"/>
    <w:rsid w:val="00017FCA"/>
    <w:rsid w:val="000218A0"/>
    <w:rsid w:val="000310EA"/>
    <w:rsid w:val="00032F7E"/>
    <w:rsid w:val="0003705A"/>
    <w:rsid w:val="00043083"/>
    <w:rsid w:val="00050D87"/>
    <w:rsid w:val="00052915"/>
    <w:rsid w:val="000571EB"/>
    <w:rsid w:val="00064820"/>
    <w:rsid w:val="00067539"/>
    <w:rsid w:val="0006788B"/>
    <w:rsid w:val="00083044"/>
    <w:rsid w:val="00091EC0"/>
    <w:rsid w:val="0009327A"/>
    <w:rsid w:val="00093BC6"/>
    <w:rsid w:val="00094856"/>
    <w:rsid w:val="000A0F21"/>
    <w:rsid w:val="000A1240"/>
    <w:rsid w:val="000B1FB4"/>
    <w:rsid w:val="000B2440"/>
    <w:rsid w:val="000B3617"/>
    <w:rsid w:val="000B3E51"/>
    <w:rsid w:val="000C07EA"/>
    <w:rsid w:val="000C344D"/>
    <w:rsid w:val="000D0D2B"/>
    <w:rsid w:val="000E063A"/>
    <w:rsid w:val="000E5E1C"/>
    <w:rsid w:val="000F4D93"/>
    <w:rsid w:val="00100368"/>
    <w:rsid w:val="00116EC6"/>
    <w:rsid w:val="001217B2"/>
    <w:rsid w:val="00122A85"/>
    <w:rsid w:val="0013228B"/>
    <w:rsid w:val="0013338B"/>
    <w:rsid w:val="00133BA0"/>
    <w:rsid w:val="00160091"/>
    <w:rsid w:val="00167074"/>
    <w:rsid w:val="0017117A"/>
    <w:rsid w:val="00177AC6"/>
    <w:rsid w:val="001806A0"/>
    <w:rsid w:val="00180D05"/>
    <w:rsid w:val="001822BB"/>
    <w:rsid w:val="00192CE5"/>
    <w:rsid w:val="001A5206"/>
    <w:rsid w:val="001A545C"/>
    <w:rsid w:val="001B2D07"/>
    <w:rsid w:val="001B6767"/>
    <w:rsid w:val="001C0246"/>
    <w:rsid w:val="001C346C"/>
    <w:rsid w:val="001C7ABE"/>
    <w:rsid w:val="001D121E"/>
    <w:rsid w:val="001D4A94"/>
    <w:rsid w:val="001E19E9"/>
    <w:rsid w:val="001E7E19"/>
    <w:rsid w:val="001F0007"/>
    <w:rsid w:val="001F7BF7"/>
    <w:rsid w:val="0020107B"/>
    <w:rsid w:val="00203DF3"/>
    <w:rsid w:val="00204255"/>
    <w:rsid w:val="00206702"/>
    <w:rsid w:val="00206EB4"/>
    <w:rsid w:val="002156B7"/>
    <w:rsid w:val="00215897"/>
    <w:rsid w:val="00216BA2"/>
    <w:rsid w:val="002265B5"/>
    <w:rsid w:val="00226874"/>
    <w:rsid w:val="00227DC4"/>
    <w:rsid w:val="00236607"/>
    <w:rsid w:val="0027011F"/>
    <w:rsid w:val="00270226"/>
    <w:rsid w:val="00270E07"/>
    <w:rsid w:val="002728B2"/>
    <w:rsid w:val="00274BAF"/>
    <w:rsid w:val="00280099"/>
    <w:rsid w:val="00285114"/>
    <w:rsid w:val="00295DCD"/>
    <w:rsid w:val="00295FA5"/>
    <w:rsid w:val="002A13FE"/>
    <w:rsid w:val="002A3A13"/>
    <w:rsid w:val="002C35A3"/>
    <w:rsid w:val="002C4DB1"/>
    <w:rsid w:val="002C57CE"/>
    <w:rsid w:val="002C5F0D"/>
    <w:rsid w:val="002E6A0D"/>
    <w:rsid w:val="002E7765"/>
    <w:rsid w:val="002F1045"/>
    <w:rsid w:val="002F3948"/>
    <w:rsid w:val="00314C78"/>
    <w:rsid w:val="00330C41"/>
    <w:rsid w:val="003369D8"/>
    <w:rsid w:val="003415A9"/>
    <w:rsid w:val="00344630"/>
    <w:rsid w:val="00344742"/>
    <w:rsid w:val="0035050B"/>
    <w:rsid w:val="00353E9F"/>
    <w:rsid w:val="0035794E"/>
    <w:rsid w:val="00357C2F"/>
    <w:rsid w:val="00362828"/>
    <w:rsid w:val="003726CD"/>
    <w:rsid w:val="00374779"/>
    <w:rsid w:val="003752C7"/>
    <w:rsid w:val="0037746F"/>
    <w:rsid w:val="00381E14"/>
    <w:rsid w:val="00382F58"/>
    <w:rsid w:val="0038500A"/>
    <w:rsid w:val="00385674"/>
    <w:rsid w:val="00390F9D"/>
    <w:rsid w:val="00392E40"/>
    <w:rsid w:val="003A4000"/>
    <w:rsid w:val="003A6A7B"/>
    <w:rsid w:val="003B7288"/>
    <w:rsid w:val="003C1241"/>
    <w:rsid w:val="003C31C5"/>
    <w:rsid w:val="003C6D8B"/>
    <w:rsid w:val="003D47F6"/>
    <w:rsid w:val="003D6738"/>
    <w:rsid w:val="003F1379"/>
    <w:rsid w:val="003F476F"/>
    <w:rsid w:val="00423201"/>
    <w:rsid w:val="00430762"/>
    <w:rsid w:val="004550F2"/>
    <w:rsid w:val="00460750"/>
    <w:rsid w:val="00463470"/>
    <w:rsid w:val="00467A2C"/>
    <w:rsid w:val="00471525"/>
    <w:rsid w:val="004727A8"/>
    <w:rsid w:val="004816A5"/>
    <w:rsid w:val="00482690"/>
    <w:rsid w:val="00487C5F"/>
    <w:rsid w:val="00492B16"/>
    <w:rsid w:val="0049410A"/>
    <w:rsid w:val="00495386"/>
    <w:rsid w:val="004A46FC"/>
    <w:rsid w:val="004C0499"/>
    <w:rsid w:val="004C11C5"/>
    <w:rsid w:val="004C7ECB"/>
    <w:rsid w:val="004D0F13"/>
    <w:rsid w:val="004D5010"/>
    <w:rsid w:val="004D729A"/>
    <w:rsid w:val="004E109F"/>
    <w:rsid w:val="004E2F78"/>
    <w:rsid w:val="004E4404"/>
    <w:rsid w:val="004F7597"/>
    <w:rsid w:val="00505F19"/>
    <w:rsid w:val="005077E6"/>
    <w:rsid w:val="00523D18"/>
    <w:rsid w:val="005264F7"/>
    <w:rsid w:val="005270B6"/>
    <w:rsid w:val="005330D0"/>
    <w:rsid w:val="00545823"/>
    <w:rsid w:val="005702E8"/>
    <w:rsid w:val="0058608E"/>
    <w:rsid w:val="00587071"/>
    <w:rsid w:val="00590124"/>
    <w:rsid w:val="005946F5"/>
    <w:rsid w:val="005A1205"/>
    <w:rsid w:val="005A2C45"/>
    <w:rsid w:val="005A2F1A"/>
    <w:rsid w:val="005A2FBB"/>
    <w:rsid w:val="005A671B"/>
    <w:rsid w:val="005B0FDC"/>
    <w:rsid w:val="005B6B62"/>
    <w:rsid w:val="005E03A8"/>
    <w:rsid w:val="005E2536"/>
    <w:rsid w:val="005E38AF"/>
    <w:rsid w:val="005E4257"/>
    <w:rsid w:val="005E5A85"/>
    <w:rsid w:val="005F3EEB"/>
    <w:rsid w:val="005F4852"/>
    <w:rsid w:val="00622CF3"/>
    <w:rsid w:val="00625005"/>
    <w:rsid w:val="00634F38"/>
    <w:rsid w:val="0063723D"/>
    <w:rsid w:val="00637E5C"/>
    <w:rsid w:val="00655F30"/>
    <w:rsid w:val="00656D98"/>
    <w:rsid w:val="0066390B"/>
    <w:rsid w:val="006678D3"/>
    <w:rsid w:val="00671DE5"/>
    <w:rsid w:val="00675780"/>
    <w:rsid w:val="00677BF0"/>
    <w:rsid w:val="00680434"/>
    <w:rsid w:val="00680524"/>
    <w:rsid w:val="00681443"/>
    <w:rsid w:val="0068745D"/>
    <w:rsid w:val="00687A3E"/>
    <w:rsid w:val="00696953"/>
    <w:rsid w:val="006A4F7A"/>
    <w:rsid w:val="006A692E"/>
    <w:rsid w:val="006B47E8"/>
    <w:rsid w:val="006B5A0E"/>
    <w:rsid w:val="006C0363"/>
    <w:rsid w:val="006C5437"/>
    <w:rsid w:val="006D0094"/>
    <w:rsid w:val="006D27DE"/>
    <w:rsid w:val="006D4388"/>
    <w:rsid w:val="006D4BFE"/>
    <w:rsid w:val="006E6F31"/>
    <w:rsid w:val="006F2257"/>
    <w:rsid w:val="006F4918"/>
    <w:rsid w:val="006F5BB5"/>
    <w:rsid w:val="007014B1"/>
    <w:rsid w:val="0070361E"/>
    <w:rsid w:val="00713E46"/>
    <w:rsid w:val="00714CAF"/>
    <w:rsid w:val="007202DC"/>
    <w:rsid w:val="007342F8"/>
    <w:rsid w:val="00735EF1"/>
    <w:rsid w:val="0074272D"/>
    <w:rsid w:val="00743D77"/>
    <w:rsid w:val="00746C20"/>
    <w:rsid w:val="00752399"/>
    <w:rsid w:val="007577FC"/>
    <w:rsid w:val="00760FE0"/>
    <w:rsid w:val="00765833"/>
    <w:rsid w:val="00765A3F"/>
    <w:rsid w:val="0077520C"/>
    <w:rsid w:val="00777096"/>
    <w:rsid w:val="00785F04"/>
    <w:rsid w:val="0079566D"/>
    <w:rsid w:val="007A0EE7"/>
    <w:rsid w:val="007A7E95"/>
    <w:rsid w:val="007B5789"/>
    <w:rsid w:val="007B5992"/>
    <w:rsid w:val="007B618F"/>
    <w:rsid w:val="007D4D57"/>
    <w:rsid w:val="007E0ECE"/>
    <w:rsid w:val="007E174C"/>
    <w:rsid w:val="007E1BED"/>
    <w:rsid w:val="007F2DCC"/>
    <w:rsid w:val="00801D7D"/>
    <w:rsid w:val="00802878"/>
    <w:rsid w:val="008054AC"/>
    <w:rsid w:val="00813255"/>
    <w:rsid w:val="00820645"/>
    <w:rsid w:val="00832AF0"/>
    <w:rsid w:val="0084207E"/>
    <w:rsid w:val="00844154"/>
    <w:rsid w:val="00851CF5"/>
    <w:rsid w:val="00853F3A"/>
    <w:rsid w:val="0086293A"/>
    <w:rsid w:val="008715ED"/>
    <w:rsid w:val="00874031"/>
    <w:rsid w:val="008760FA"/>
    <w:rsid w:val="008802EE"/>
    <w:rsid w:val="00882C2E"/>
    <w:rsid w:val="00885722"/>
    <w:rsid w:val="00885F9D"/>
    <w:rsid w:val="008879D8"/>
    <w:rsid w:val="00895AD7"/>
    <w:rsid w:val="008A369A"/>
    <w:rsid w:val="008A5A73"/>
    <w:rsid w:val="008A7E85"/>
    <w:rsid w:val="008C0ED7"/>
    <w:rsid w:val="008C4787"/>
    <w:rsid w:val="008C4FC0"/>
    <w:rsid w:val="008C6ABB"/>
    <w:rsid w:val="008E48AF"/>
    <w:rsid w:val="008E4BB5"/>
    <w:rsid w:val="008E5909"/>
    <w:rsid w:val="008F00A8"/>
    <w:rsid w:val="008F5E31"/>
    <w:rsid w:val="0090112E"/>
    <w:rsid w:val="00902F6B"/>
    <w:rsid w:val="009037A0"/>
    <w:rsid w:val="009051EC"/>
    <w:rsid w:val="009110EC"/>
    <w:rsid w:val="00911310"/>
    <w:rsid w:val="00913EA3"/>
    <w:rsid w:val="0091592D"/>
    <w:rsid w:val="009176C8"/>
    <w:rsid w:val="009370E8"/>
    <w:rsid w:val="009428DF"/>
    <w:rsid w:val="00944242"/>
    <w:rsid w:val="00975672"/>
    <w:rsid w:val="00982CB6"/>
    <w:rsid w:val="009872BE"/>
    <w:rsid w:val="00990160"/>
    <w:rsid w:val="00997A06"/>
    <w:rsid w:val="009A1785"/>
    <w:rsid w:val="009A27B3"/>
    <w:rsid w:val="009B1B78"/>
    <w:rsid w:val="009B1D44"/>
    <w:rsid w:val="009C6453"/>
    <w:rsid w:val="009C6773"/>
    <w:rsid w:val="009D6359"/>
    <w:rsid w:val="009D68BA"/>
    <w:rsid w:val="009D799F"/>
    <w:rsid w:val="009E3ECB"/>
    <w:rsid w:val="009F02C0"/>
    <w:rsid w:val="009F082B"/>
    <w:rsid w:val="009F1F08"/>
    <w:rsid w:val="009F2CA8"/>
    <w:rsid w:val="00A1098B"/>
    <w:rsid w:val="00A15481"/>
    <w:rsid w:val="00A17A87"/>
    <w:rsid w:val="00A2494E"/>
    <w:rsid w:val="00A256A5"/>
    <w:rsid w:val="00A37138"/>
    <w:rsid w:val="00A37FA9"/>
    <w:rsid w:val="00A46323"/>
    <w:rsid w:val="00A47071"/>
    <w:rsid w:val="00A56477"/>
    <w:rsid w:val="00A564B2"/>
    <w:rsid w:val="00A61AA6"/>
    <w:rsid w:val="00A81BE6"/>
    <w:rsid w:val="00A95F67"/>
    <w:rsid w:val="00AA285D"/>
    <w:rsid w:val="00AA3353"/>
    <w:rsid w:val="00AA3D1D"/>
    <w:rsid w:val="00AA5E6E"/>
    <w:rsid w:val="00AA5EBC"/>
    <w:rsid w:val="00AB0D93"/>
    <w:rsid w:val="00AB4F67"/>
    <w:rsid w:val="00AB608D"/>
    <w:rsid w:val="00AC3B8C"/>
    <w:rsid w:val="00AC3D01"/>
    <w:rsid w:val="00AC4942"/>
    <w:rsid w:val="00AC7066"/>
    <w:rsid w:val="00AC7205"/>
    <w:rsid w:val="00AC7317"/>
    <w:rsid w:val="00AC7458"/>
    <w:rsid w:val="00AC7DF3"/>
    <w:rsid w:val="00AD42FF"/>
    <w:rsid w:val="00AD5BFF"/>
    <w:rsid w:val="00AE5DE3"/>
    <w:rsid w:val="00AE76FC"/>
    <w:rsid w:val="00B03C15"/>
    <w:rsid w:val="00B05970"/>
    <w:rsid w:val="00B068E9"/>
    <w:rsid w:val="00B13C33"/>
    <w:rsid w:val="00B142C3"/>
    <w:rsid w:val="00B15B90"/>
    <w:rsid w:val="00B16045"/>
    <w:rsid w:val="00B319F7"/>
    <w:rsid w:val="00B37D25"/>
    <w:rsid w:val="00B403DF"/>
    <w:rsid w:val="00B407F9"/>
    <w:rsid w:val="00B4096C"/>
    <w:rsid w:val="00B43725"/>
    <w:rsid w:val="00B43A2E"/>
    <w:rsid w:val="00B50727"/>
    <w:rsid w:val="00B565B9"/>
    <w:rsid w:val="00B56CA2"/>
    <w:rsid w:val="00B57EFD"/>
    <w:rsid w:val="00B600C0"/>
    <w:rsid w:val="00B65407"/>
    <w:rsid w:val="00B713DB"/>
    <w:rsid w:val="00B83C9D"/>
    <w:rsid w:val="00BA5AC5"/>
    <w:rsid w:val="00BA678A"/>
    <w:rsid w:val="00BB3289"/>
    <w:rsid w:val="00BB55EF"/>
    <w:rsid w:val="00BC11A1"/>
    <w:rsid w:val="00BC1670"/>
    <w:rsid w:val="00BC3512"/>
    <w:rsid w:val="00BC52C1"/>
    <w:rsid w:val="00BC7707"/>
    <w:rsid w:val="00BC796F"/>
    <w:rsid w:val="00BD1F44"/>
    <w:rsid w:val="00BD29AE"/>
    <w:rsid w:val="00BD34D2"/>
    <w:rsid w:val="00BD38A1"/>
    <w:rsid w:val="00BD7A11"/>
    <w:rsid w:val="00BF0576"/>
    <w:rsid w:val="00BF19BB"/>
    <w:rsid w:val="00BF3029"/>
    <w:rsid w:val="00BF3F20"/>
    <w:rsid w:val="00C06E81"/>
    <w:rsid w:val="00C11DA2"/>
    <w:rsid w:val="00C271CF"/>
    <w:rsid w:val="00C324A9"/>
    <w:rsid w:val="00C335AB"/>
    <w:rsid w:val="00C34B31"/>
    <w:rsid w:val="00C43A44"/>
    <w:rsid w:val="00C45916"/>
    <w:rsid w:val="00C478AC"/>
    <w:rsid w:val="00C50071"/>
    <w:rsid w:val="00C54666"/>
    <w:rsid w:val="00C54B75"/>
    <w:rsid w:val="00C60A1B"/>
    <w:rsid w:val="00C6679B"/>
    <w:rsid w:val="00C726FD"/>
    <w:rsid w:val="00C76575"/>
    <w:rsid w:val="00C81B4E"/>
    <w:rsid w:val="00C8418F"/>
    <w:rsid w:val="00C85E2B"/>
    <w:rsid w:val="00C93A41"/>
    <w:rsid w:val="00C96603"/>
    <w:rsid w:val="00C96F47"/>
    <w:rsid w:val="00CA4796"/>
    <w:rsid w:val="00CA75E4"/>
    <w:rsid w:val="00CB1893"/>
    <w:rsid w:val="00CB2018"/>
    <w:rsid w:val="00CB3F26"/>
    <w:rsid w:val="00CB48ED"/>
    <w:rsid w:val="00CB7C8D"/>
    <w:rsid w:val="00CC0F49"/>
    <w:rsid w:val="00CD109C"/>
    <w:rsid w:val="00CD6DA5"/>
    <w:rsid w:val="00CD7835"/>
    <w:rsid w:val="00CF4BC3"/>
    <w:rsid w:val="00D00F11"/>
    <w:rsid w:val="00D05B27"/>
    <w:rsid w:val="00D07663"/>
    <w:rsid w:val="00D07DB5"/>
    <w:rsid w:val="00D131BD"/>
    <w:rsid w:val="00D14355"/>
    <w:rsid w:val="00D2142D"/>
    <w:rsid w:val="00D306F2"/>
    <w:rsid w:val="00D379AA"/>
    <w:rsid w:val="00D40D1E"/>
    <w:rsid w:val="00D5157F"/>
    <w:rsid w:val="00D5553C"/>
    <w:rsid w:val="00D855E1"/>
    <w:rsid w:val="00D9179F"/>
    <w:rsid w:val="00D939FB"/>
    <w:rsid w:val="00D96FB7"/>
    <w:rsid w:val="00DA6803"/>
    <w:rsid w:val="00DB2EC9"/>
    <w:rsid w:val="00DB3F1F"/>
    <w:rsid w:val="00DB477F"/>
    <w:rsid w:val="00DB5D30"/>
    <w:rsid w:val="00DB65A0"/>
    <w:rsid w:val="00DB71C6"/>
    <w:rsid w:val="00DC02D4"/>
    <w:rsid w:val="00DC237C"/>
    <w:rsid w:val="00DC250E"/>
    <w:rsid w:val="00DC4704"/>
    <w:rsid w:val="00DC58E6"/>
    <w:rsid w:val="00DC6D8D"/>
    <w:rsid w:val="00DD2994"/>
    <w:rsid w:val="00DD3AA7"/>
    <w:rsid w:val="00DD68FF"/>
    <w:rsid w:val="00DE1088"/>
    <w:rsid w:val="00DE5CF0"/>
    <w:rsid w:val="00DF1D96"/>
    <w:rsid w:val="00E0167B"/>
    <w:rsid w:val="00E15498"/>
    <w:rsid w:val="00E15788"/>
    <w:rsid w:val="00E16D99"/>
    <w:rsid w:val="00E223F6"/>
    <w:rsid w:val="00E31513"/>
    <w:rsid w:val="00E322B5"/>
    <w:rsid w:val="00E33B3C"/>
    <w:rsid w:val="00E33D9E"/>
    <w:rsid w:val="00E41E1E"/>
    <w:rsid w:val="00E43610"/>
    <w:rsid w:val="00E533BD"/>
    <w:rsid w:val="00E54A39"/>
    <w:rsid w:val="00E553F1"/>
    <w:rsid w:val="00E56172"/>
    <w:rsid w:val="00E61C08"/>
    <w:rsid w:val="00E62CA9"/>
    <w:rsid w:val="00E63B8F"/>
    <w:rsid w:val="00E70B3B"/>
    <w:rsid w:val="00E72F4A"/>
    <w:rsid w:val="00E9156C"/>
    <w:rsid w:val="00E9643D"/>
    <w:rsid w:val="00EB5F05"/>
    <w:rsid w:val="00EC1A2E"/>
    <w:rsid w:val="00EC785B"/>
    <w:rsid w:val="00EC7F8A"/>
    <w:rsid w:val="00ED01EC"/>
    <w:rsid w:val="00EE6EA8"/>
    <w:rsid w:val="00EF0BB4"/>
    <w:rsid w:val="00EF315E"/>
    <w:rsid w:val="00F00E6D"/>
    <w:rsid w:val="00F01A7E"/>
    <w:rsid w:val="00F0784B"/>
    <w:rsid w:val="00F13B4D"/>
    <w:rsid w:val="00F253EA"/>
    <w:rsid w:val="00F27F36"/>
    <w:rsid w:val="00F40E09"/>
    <w:rsid w:val="00F44402"/>
    <w:rsid w:val="00F476F0"/>
    <w:rsid w:val="00F543F5"/>
    <w:rsid w:val="00F57157"/>
    <w:rsid w:val="00F65135"/>
    <w:rsid w:val="00F84F33"/>
    <w:rsid w:val="00F901A8"/>
    <w:rsid w:val="00F943E6"/>
    <w:rsid w:val="00F94B01"/>
    <w:rsid w:val="00F96466"/>
    <w:rsid w:val="00FA2BDD"/>
    <w:rsid w:val="00FA390E"/>
    <w:rsid w:val="00FA4180"/>
    <w:rsid w:val="00FB3421"/>
    <w:rsid w:val="00FC204F"/>
    <w:rsid w:val="00FC50C4"/>
    <w:rsid w:val="00FD071D"/>
    <w:rsid w:val="00FD3DD2"/>
    <w:rsid w:val="00FE27C0"/>
    <w:rsid w:val="00FE507B"/>
    <w:rsid w:val="00FE629D"/>
    <w:rsid w:val="00FF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B06B3"/>
  <w15:docId w15:val="{21ECB76F-1364-4571-A47B-F51A89EB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C271CF"/>
    <w:pPr>
      <w:tabs>
        <w:tab w:val="center" w:pos="4680"/>
        <w:tab w:val="right" w:pos="9360"/>
      </w:tabs>
      <w:spacing w:after="0"/>
    </w:pPr>
  </w:style>
  <w:style w:type="character" w:customStyle="1" w:styleId="HeaderChar">
    <w:name w:val="Header Char"/>
    <w:basedOn w:val="DefaultParagraphFont"/>
    <w:link w:val="Header"/>
    <w:rsid w:val="00C271CF"/>
  </w:style>
  <w:style w:type="paragraph" w:styleId="Footer">
    <w:name w:val="footer"/>
    <w:basedOn w:val="Normal"/>
    <w:link w:val="FooterChar"/>
    <w:uiPriority w:val="99"/>
    <w:rsid w:val="00C271CF"/>
    <w:pPr>
      <w:tabs>
        <w:tab w:val="center" w:pos="4680"/>
        <w:tab w:val="right" w:pos="9360"/>
      </w:tabs>
      <w:spacing w:after="0"/>
    </w:pPr>
  </w:style>
  <w:style w:type="character" w:customStyle="1" w:styleId="FooterChar">
    <w:name w:val="Footer Char"/>
    <w:basedOn w:val="DefaultParagraphFont"/>
    <w:link w:val="Footer"/>
    <w:uiPriority w:val="99"/>
    <w:rsid w:val="00C271CF"/>
  </w:style>
  <w:style w:type="character" w:styleId="LineNumber">
    <w:name w:val="line number"/>
    <w:basedOn w:val="DefaultParagraphFont"/>
    <w:rsid w:val="00083044"/>
  </w:style>
  <w:style w:type="character" w:styleId="UnresolvedMention">
    <w:name w:val="Unresolved Mention"/>
    <w:basedOn w:val="DefaultParagraphFont"/>
    <w:uiPriority w:val="99"/>
    <w:semiHidden/>
    <w:unhideWhenUsed/>
    <w:rsid w:val="00B83C9D"/>
    <w:rPr>
      <w:color w:val="605E5C"/>
      <w:shd w:val="clear" w:color="auto" w:fill="E1DFDD"/>
    </w:rPr>
  </w:style>
  <w:style w:type="paragraph" w:styleId="Revision">
    <w:name w:val="Revision"/>
    <w:hidden/>
    <w:rsid w:val="002A3A13"/>
    <w:pPr>
      <w:spacing w:after="0"/>
    </w:pPr>
  </w:style>
  <w:style w:type="character" w:styleId="CommentReference">
    <w:name w:val="annotation reference"/>
    <w:basedOn w:val="DefaultParagraphFont"/>
    <w:rsid w:val="00BA678A"/>
    <w:rPr>
      <w:sz w:val="16"/>
      <w:szCs w:val="16"/>
    </w:rPr>
  </w:style>
  <w:style w:type="paragraph" w:styleId="CommentText">
    <w:name w:val="annotation text"/>
    <w:basedOn w:val="Normal"/>
    <w:link w:val="CommentTextChar"/>
    <w:rsid w:val="00BA678A"/>
    <w:rPr>
      <w:sz w:val="20"/>
      <w:szCs w:val="20"/>
    </w:rPr>
  </w:style>
  <w:style w:type="character" w:customStyle="1" w:styleId="CommentTextChar">
    <w:name w:val="Comment Text Char"/>
    <w:basedOn w:val="DefaultParagraphFont"/>
    <w:link w:val="CommentText"/>
    <w:rsid w:val="00BA678A"/>
    <w:rPr>
      <w:sz w:val="20"/>
      <w:szCs w:val="20"/>
    </w:rPr>
  </w:style>
  <w:style w:type="paragraph" w:styleId="CommentSubject">
    <w:name w:val="annotation subject"/>
    <w:basedOn w:val="CommentText"/>
    <w:next w:val="CommentText"/>
    <w:link w:val="CommentSubjectChar"/>
    <w:rsid w:val="00BA678A"/>
    <w:rPr>
      <w:b/>
      <w:bCs/>
    </w:rPr>
  </w:style>
  <w:style w:type="character" w:customStyle="1" w:styleId="CommentSubjectChar">
    <w:name w:val="Comment Subject Char"/>
    <w:basedOn w:val="CommentTextChar"/>
    <w:link w:val="CommentSubject"/>
    <w:rsid w:val="00BA678A"/>
    <w:rPr>
      <w:b/>
      <w:bCs/>
      <w:sz w:val="20"/>
      <w:szCs w:val="20"/>
    </w:rPr>
  </w:style>
  <w:style w:type="character" w:styleId="PlaceholderText">
    <w:name w:val="Placeholder Text"/>
    <w:basedOn w:val="DefaultParagraphFont"/>
    <w:rsid w:val="005330D0"/>
    <w:rPr>
      <w:color w:val="666666"/>
    </w:rPr>
  </w:style>
  <w:style w:type="paragraph" w:styleId="NormalWeb">
    <w:name w:val="Normal (Web)"/>
    <w:basedOn w:val="Normal"/>
    <w:rsid w:val="009A17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oris.unibe.ch/185024/1/Summary_of_the_Gurten_Event_on_Deforestation-free_Supply_Chains___28.06.2023.pdf" TargetMode="External"/><Relationship Id="rId21" Type="http://schemas.openxmlformats.org/officeDocument/2006/relationships/hyperlink" Target="https://doi.org/10.1257/000282803321455214" TargetMode="External"/><Relationship Id="rId42" Type="http://schemas.openxmlformats.org/officeDocument/2006/relationships/hyperlink" Target="https://doi.org/10.1111/joes.12628" TargetMode="External"/><Relationship Id="rId47" Type="http://schemas.openxmlformats.org/officeDocument/2006/relationships/hyperlink" Target="https://doi.org/10.1111/1746-692X.12436" TargetMode="External"/><Relationship Id="rId63" Type="http://schemas.openxmlformats.org/officeDocument/2006/relationships/hyperlink" Target="https://doi.org/10.5281/ZENODO.5886600" TargetMode="External"/><Relationship Id="rId68" Type="http://schemas.openxmlformats.org/officeDocument/2006/relationships/hyperlink" Target="https://doi.org/10.1111/roie.12793" TargetMode="External"/><Relationship Id="rId84" Type="http://schemas.openxmlformats.org/officeDocument/2006/relationships/image" Target="media/image13.png"/><Relationship Id="rId89" Type="http://schemas.openxmlformats.org/officeDocument/2006/relationships/image" Target="media/image18.png"/><Relationship Id="rId16" Type="http://schemas.openxmlformats.org/officeDocument/2006/relationships/image" Target="media/image6.png"/><Relationship Id="rId11" Type="http://schemas.openxmlformats.org/officeDocument/2006/relationships/hyperlink" Target="http://localhost:3076/?quartoPreviewReqId=1757385305104&amp;quartoPreviewThemeCategory=dark" TargetMode="External"/><Relationship Id="rId32" Type="http://schemas.openxmlformats.org/officeDocument/2006/relationships/hyperlink" Target="https://doi.org/10.1002/jaa2.77" TargetMode="External"/><Relationship Id="rId37" Type="http://schemas.openxmlformats.org/officeDocument/2006/relationships/hyperlink" Target="https://doi.org/10.1016/j.jinteco.2015.05.005" TargetMode="External"/><Relationship Id="rId53" Type="http://schemas.openxmlformats.org/officeDocument/2006/relationships/hyperlink" Target="https://www.macmap.org/" TargetMode="External"/><Relationship Id="rId58" Type="http://schemas.openxmlformats.org/officeDocument/2006/relationships/hyperlink" Target="https://doi.org/10.1016/j.jinteco.2017.09.003" TargetMode="External"/><Relationship Id="rId74" Type="http://schemas.openxmlformats.org/officeDocument/2006/relationships/hyperlink" Target="https://resources.trase.earth/documents/Briefings/soy-and-legal-compliance-in-brazil-report.pdf" TargetMode="External"/><Relationship Id="rId79" Type="http://schemas.openxmlformats.org/officeDocument/2006/relationships/image" Target="media/image8.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016/j.jinteco.2006.02.005" TargetMode="External"/><Relationship Id="rId27" Type="http://schemas.openxmlformats.org/officeDocument/2006/relationships/hyperlink" Target="https://doi.org/10.1038/s41893-020-0507-8" TargetMode="External"/><Relationship Id="rId30" Type="http://schemas.openxmlformats.org/officeDocument/2006/relationships/hyperlink" Target="https://www.cepii.fr/DATA_DOWNLOAD/gravity/doc/Gravity_documentation.pdf" TargetMode="External"/><Relationship Id="rId35" Type="http://schemas.openxmlformats.org/officeDocument/2006/relationships/hyperlink" Target="https://fefac.eu/wp-content/uploads/2024/09/24_MEMO_21-rev5-1.pdf" TargetMode="External"/><Relationship Id="rId43" Type="http://schemas.openxmlformats.org/officeDocument/2006/relationships/hyperlink" Target="https://www.jstor.org/stable/resrep59643" TargetMode="External"/><Relationship Id="rId48" Type="http://schemas.openxmlformats.org/officeDocument/2006/relationships/hyperlink" Target="https://doi.org/10.4236/ojbm.2024.126225" TargetMode="External"/><Relationship Id="rId56" Type="http://schemas.openxmlformats.org/officeDocument/2006/relationships/hyperlink" Target="https://www.usitc.gov/publications/332/working_papers/itpd_e_r03.pdf" TargetMode="External"/><Relationship Id="rId64" Type="http://schemas.openxmlformats.org/officeDocument/2006/relationships/hyperlink" Target="https://trase.earth/insights/deduce-new-data-to-inform-action-against-commodity-driven-deforestation" TargetMode="External"/><Relationship Id="rId69" Type="http://schemas.openxmlformats.org/officeDocument/2006/relationships/hyperlink" Target="https://doi.org/10.1093/qje/qjaa042" TargetMode="External"/><Relationship Id="rId77" Type="http://schemas.openxmlformats.org/officeDocument/2006/relationships/hyperlink" Target="https://www.worldbank.org/en/research/commodity-markets" TargetMode="External"/><Relationship Id="rId8" Type="http://schemas.openxmlformats.org/officeDocument/2006/relationships/image" Target="media/image1.png"/><Relationship Id="rId51" Type="http://schemas.openxmlformats.org/officeDocument/2006/relationships/hyperlink" Target="https://doi.org/10.1257/aeri.20230286" TargetMode="External"/><Relationship Id="rId72" Type="http://schemas.openxmlformats.org/officeDocument/2006/relationships/hyperlink" Target="https://doi.org/10.1038/s41893-021-00729-z" TargetMode="External"/><Relationship Id="rId80" Type="http://schemas.openxmlformats.org/officeDocument/2006/relationships/image" Target="media/image9.png"/><Relationship Id="rId85"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ecolecon.2013.12.010" TargetMode="External"/><Relationship Id="rId33" Type="http://schemas.openxmlformats.org/officeDocument/2006/relationships/hyperlink" Target="https://doi.org/10.1088/1748-9326/ab6497" TargetMode="External"/><Relationship Id="rId38" Type="http://schemas.openxmlformats.org/officeDocument/2006/relationships/hyperlink" Target="https://www.fao.org/faostat/en/" TargetMode="External"/><Relationship Id="rId46" Type="http://schemas.openxmlformats.org/officeDocument/2006/relationships/hyperlink" Target="https://doi.org/10.2139/ssrn.1994500" TargetMode="External"/><Relationship Id="rId59" Type="http://schemas.openxmlformats.org/officeDocument/2006/relationships/hyperlink" Target="https://doi.org/10.1016/j.jpolmod.2011.11.001" TargetMode="External"/><Relationship Id="rId67" Type="http://schemas.openxmlformats.org/officeDocument/2006/relationships/hyperlink" Target="https://doi.org/10.1111/1477-9552.12316" TargetMode="External"/><Relationship Id="rId20" Type="http://schemas.openxmlformats.org/officeDocument/2006/relationships/hyperlink" Target="https://doi.org/10.1111/twec.12664" TargetMode="External"/><Relationship Id="rId41" Type="http://schemas.openxmlformats.org/officeDocument/2006/relationships/hyperlink" Target="https://doi.org/10.1016/j.gloenvcha.2017.05.001" TargetMode="External"/><Relationship Id="rId54" Type="http://schemas.openxmlformats.org/officeDocument/2006/relationships/hyperlink" Target="https://kpmg.com/be/en/home/insights/2023/02/sus-the-eu-anti-deforestation-regulation.html" TargetMode="External"/><Relationship Id="rId62" Type="http://schemas.openxmlformats.org/officeDocument/2006/relationships/hyperlink" Target="https://doi.org/10.1016/j.ecolecon.2023.108053" TargetMode="External"/><Relationship Id="rId70" Type="http://schemas.openxmlformats.org/officeDocument/2006/relationships/hyperlink" Target="https://doi.org/10.1162/rest.88.4.641" TargetMode="External"/><Relationship Id="rId75" Type="http://schemas.openxmlformats.org/officeDocument/2006/relationships/hyperlink" Target="https://doi.org/10.1111/ajae.12531" TargetMode="External"/><Relationship Id="rId83" Type="http://schemas.openxmlformats.org/officeDocument/2006/relationships/image" Target="media/image12.png"/><Relationship Id="rId88" Type="http://schemas.openxmlformats.org/officeDocument/2006/relationships/image" Target="media/image17.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1016/j.eneco.2023.106673" TargetMode="External"/><Relationship Id="rId28" Type="http://schemas.openxmlformats.org/officeDocument/2006/relationships/hyperlink" Target="https://doi.org/10.1017/S1474745620000130" TargetMode="External"/><Relationship Id="rId36" Type="http://schemas.openxmlformats.org/officeDocument/2006/relationships/hyperlink" Target="https://eur-lex.europa.eu/legal-content/EN/TXT/PDF/?uri=CELEX:32023R1115" TargetMode="External"/><Relationship Id="rId49" Type="http://schemas.openxmlformats.org/officeDocument/2006/relationships/hyperlink" Target="https://www.nber.org/system/files/working_papers/w32392/w32392.pdf" TargetMode="External"/><Relationship Id="rId57" Type="http://schemas.openxmlformats.org/officeDocument/2006/relationships/hyperlink" Target="https://doi.org/10.1596/1813-9450-9791" TargetMode="External"/><Relationship Id="rId10" Type="http://schemas.openxmlformats.org/officeDocument/2006/relationships/hyperlink" Target="http://localhost:3076/?quartoPreviewReqId=1757385305104&amp;quartoPreviewThemeCategory=dark" TargetMode="External"/><Relationship Id="rId31" Type="http://schemas.openxmlformats.org/officeDocument/2006/relationships/hyperlink" Target="https://doi.org/10.1016/bs.hesint.2022.02.002" TargetMode="External"/><Relationship Id="rId44" Type="http://schemas.openxmlformats.org/officeDocument/2006/relationships/hyperlink" Target="https://doi.org/10.1016/j.dib.2022.108668" TargetMode="External"/><Relationship Id="rId52" Type="http://schemas.openxmlformats.org/officeDocument/2006/relationships/hyperlink" Target="https://doi.org/10.1111/1758-5899.12611" TargetMode="External"/><Relationship Id="rId60" Type="http://schemas.openxmlformats.org/officeDocument/2006/relationships/hyperlink" Target="https://doi.org/10.1016/j.ecolecon.2024.108389" TargetMode="External"/><Relationship Id="rId65" Type="http://schemas.openxmlformats.org/officeDocument/2006/relationships/hyperlink" Target="https://media.rabobank.com/m/49f1008d03f026ea/original/The-EU-Deforestation-Regulation-is-a-complex-and-costly-undertaking.pdf" TargetMode="External"/><Relationship Id="rId73" Type="http://schemas.openxmlformats.org/officeDocument/2006/relationships/hyperlink" Target="https://doi.org/10.1038/s41598-021-04043-8" TargetMode="External"/><Relationship Id="rId78" Type="http://schemas.openxmlformats.org/officeDocument/2006/relationships/hyperlink" Target="https://www.wto.org/english/res_e/booksp_e/advancedwtounctad2016_e.pdf" TargetMode="External"/><Relationship Id="rId81" Type="http://schemas.openxmlformats.org/officeDocument/2006/relationships/image" Target="media/image10.png"/><Relationship Id="rId86"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localhost:5544/?quartoPreviewReqId=1757377906538&amp;quartoPreviewThemeCategory=dark" TargetMode="External"/><Relationship Id="rId13" Type="http://schemas.openxmlformats.org/officeDocument/2006/relationships/image" Target="media/image3.png"/><Relationship Id="rId18" Type="http://schemas.openxmlformats.org/officeDocument/2006/relationships/hyperlink" Target="https://www.linkedin.com/pulse/unveiling-eus-green-ambitions-dual-impact-eu-deforestation-regulations-91olc" TargetMode="External"/><Relationship Id="rId39" Type="http://schemas.openxmlformats.org/officeDocument/2006/relationships/hyperlink" Target="https://alashkar.pages.iu.edu/Farrokhi_Lashkaripour_2024.pdf" TargetMode="External"/><Relationship Id="rId34" Type="http://schemas.openxmlformats.org/officeDocument/2006/relationships/hyperlink" Target="https://environment.ec.europa.eu/system/files/2021-11/SWD_2021_326_1_EN_impact_assessment_part1_v4.pdf" TargetMode="External"/><Relationship Id="rId50" Type="http://schemas.openxmlformats.org/officeDocument/2006/relationships/hyperlink" Target="http://www.nber.org/papers/w33161" TargetMode="External"/><Relationship Id="rId55" Type="http://schemas.openxmlformats.org/officeDocument/2006/relationships/hyperlink" Target="https://doi.org/10.21642/jgea.070202af" TargetMode="External"/><Relationship Id="rId76" Type="http://schemas.openxmlformats.org/officeDocument/2006/relationships/hyperlink" Target="https://doi.org/10.1038/s41467-022-33213-z" TargetMode="External"/><Relationship Id="rId7" Type="http://schemas.openxmlformats.org/officeDocument/2006/relationships/endnotes" Target="endnotes.xml"/><Relationship Id="rId71" Type="http://schemas.openxmlformats.org/officeDocument/2006/relationships/hyperlink" Target="https://doi.org/10.5281/zenodo.13624636"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comtradeplus.un.org/" TargetMode="External"/><Relationship Id="rId24" Type="http://schemas.openxmlformats.org/officeDocument/2006/relationships/hyperlink" Target="https://doi.org/10.1016/j.jpubeco.2017.03.006" TargetMode="External"/><Relationship Id="rId40" Type="http://schemas.openxmlformats.org/officeDocument/2006/relationships/hyperlink" Target="https://doi.org/10.1111/1467-9485.00244" TargetMode="External"/><Relationship Id="rId45" Type="http://schemas.openxmlformats.org/officeDocument/2006/relationships/hyperlink" Target="https://www.ers.usda.gov/webdocs/outlooks/93390/ocs-19f-01.pdf?v=226.2" TargetMode="External"/><Relationship Id="rId66" Type="http://schemas.openxmlformats.org/officeDocument/2006/relationships/hyperlink" Target="https://doi.org/10.1111/ajae.12486" TargetMode="External"/><Relationship Id="rId87" Type="http://schemas.openxmlformats.org/officeDocument/2006/relationships/image" Target="media/image16.png"/><Relationship Id="rId61" Type="http://schemas.openxmlformats.org/officeDocument/2006/relationships/hyperlink" Target="https://doi.org/10.1016/j.cosust.2024.101505" TargetMode="External"/><Relationship Id="rId82" Type="http://schemas.openxmlformats.org/officeDocument/2006/relationships/image" Target="media/image11.png"/><Relationship Id="rId19" Type="http://schemas.openxmlformats.org/officeDocument/2006/relationships/hyperlink" Target="https://doi.org/10.1162/REST_a_004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7FF95-8F8B-4D9F-91B5-29A4C4CB6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60</Pages>
  <Words>11888</Words>
  <Characters>73475</Characters>
  <Application>Microsoft Office Word</Application>
  <DocSecurity>0</DocSecurity>
  <Lines>2939</Lines>
  <Paragraphs>1778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dc:creator>
  <cp:keywords/>
  <dc:description/>
  <cp:lastModifiedBy>Manoj Sharma</cp:lastModifiedBy>
  <cp:revision>11</cp:revision>
  <cp:lastPrinted>2025-11-20T17:08:00Z</cp:lastPrinted>
  <dcterms:created xsi:type="dcterms:W3CDTF">2026-02-25T23:01:00Z</dcterms:created>
  <dcterms:modified xsi:type="dcterms:W3CDTF">2026-02-27T15:26:00Z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ajae.csl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self_contained">
    <vt:lpwstr>True</vt:lpwstr>
  </property>
  <property fmtid="{D5CDD505-2E9C-101B-9397-08002B2CF9AE}" pid="11" name="subtitle">
    <vt:lpwstr/>
  </property>
  <property fmtid="{D5CDD505-2E9C-101B-9397-08002B2CF9AE}" pid="12" name="toc-title">
    <vt:lpwstr>Table of contents</vt:lpwstr>
  </property>
  <property fmtid="{D5CDD505-2E9C-101B-9397-08002B2CF9AE}" pid="13" name="GrammarlyDocumentId">
    <vt:lpwstr>57b820b9-9550-401a-83a1-0a188d3ee83d</vt:lpwstr>
  </property>
</Properties>
</file>