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1862F" w14:textId="5249113C" w:rsidR="00216BA2" w:rsidRPr="00AC7317" w:rsidRDefault="00216BA2" w:rsidP="00216BA2">
      <w:pPr>
        <w:pStyle w:val="FirstParagraph"/>
        <w:spacing w:line="480" w:lineRule="auto"/>
        <w:jc w:val="center"/>
        <w:rPr>
          <w:rFonts w:ascii="Times New Roman" w:hAnsi="Times New Roman" w:cs="Times New Roman"/>
          <w:b/>
          <w:bCs/>
        </w:rPr>
      </w:pPr>
      <w:r w:rsidRPr="00AC7317">
        <w:rPr>
          <w:rFonts w:ascii="Times New Roman" w:hAnsi="Times New Roman" w:cs="Times New Roman"/>
          <w:b/>
          <w:bCs/>
        </w:rPr>
        <w:t>Costly Regulation, Minimal Results: The EU's Deforestation Regulation Effect on Global Soy Trade</w:t>
      </w:r>
    </w:p>
    <w:p w14:paraId="0EE1BF45" w14:textId="7250736A" w:rsidR="002E6A0D" w:rsidRPr="00AC7317" w:rsidRDefault="00F96466" w:rsidP="00216BA2">
      <w:pPr>
        <w:pStyle w:val="FirstParagraph"/>
        <w:spacing w:line="480" w:lineRule="auto"/>
        <w:jc w:val="both"/>
        <w:rPr>
          <w:rFonts w:ascii="Times New Roman" w:hAnsi="Times New Roman" w:cs="Times New Roman"/>
        </w:rPr>
      </w:pPr>
      <w:r w:rsidRPr="00AC7317">
        <w:rPr>
          <w:rFonts w:ascii="Times New Roman" w:hAnsi="Times New Roman" w:cs="Times New Roman"/>
        </w:rPr>
        <w:t xml:space="preserve">The European Union Deforestation Regulation (EUDR) </w:t>
      </w:r>
      <w:r w:rsidR="001F7BF7" w:rsidRPr="00AC7317">
        <w:rPr>
          <w:rFonts w:ascii="Times New Roman" w:hAnsi="Times New Roman" w:cs="Times New Roman"/>
        </w:rPr>
        <w:t>seeks</w:t>
      </w:r>
      <w:r w:rsidR="00E15788" w:rsidRPr="00AC7317">
        <w:rPr>
          <w:rFonts w:ascii="Times New Roman" w:hAnsi="Times New Roman" w:cs="Times New Roman"/>
        </w:rPr>
        <w:t xml:space="preserve"> to reduce deforestation by restricting market access to </w:t>
      </w:r>
      <w:r w:rsidR="004550F2" w:rsidRPr="00AC7317">
        <w:rPr>
          <w:rFonts w:ascii="Times New Roman" w:hAnsi="Times New Roman" w:cs="Times New Roman"/>
        </w:rPr>
        <w:t xml:space="preserve">deforestation-embodied </w:t>
      </w:r>
      <w:r w:rsidR="00E15788" w:rsidRPr="00AC7317">
        <w:rPr>
          <w:rFonts w:ascii="Times New Roman" w:hAnsi="Times New Roman" w:cs="Times New Roman"/>
        </w:rPr>
        <w:t xml:space="preserve">soy products </w:t>
      </w:r>
      <w:r w:rsidRPr="00AC7317">
        <w:rPr>
          <w:rFonts w:ascii="Times New Roman" w:hAnsi="Times New Roman" w:cs="Times New Roman"/>
        </w:rPr>
        <w:t xml:space="preserve">in the EU market. The </w:t>
      </w:r>
      <w:r w:rsidR="004550F2" w:rsidRPr="00AC7317">
        <w:rPr>
          <w:rFonts w:ascii="Times New Roman" w:hAnsi="Times New Roman" w:cs="Times New Roman"/>
        </w:rPr>
        <w:t>main</w:t>
      </w:r>
      <w:r w:rsidR="00C06E81" w:rsidRPr="00AC7317">
        <w:rPr>
          <w:rFonts w:ascii="Times New Roman" w:hAnsi="Times New Roman" w:cs="Times New Roman"/>
        </w:rPr>
        <w:t xml:space="preserve"> </w:t>
      </w:r>
      <w:r w:rsidR="00E15788" w:rsidRPr="00AC7317">
        <w:rPr>
          <w:rFonts w:ascii="Times New Roman" w:hAnsi="Times New Roman" w:cs="Times New Roman"/>
        </w:rPr>
        <w:t xml:space="preserve">concern is that such restrictions could shift the </w:t>
      </w:r>
      <w:r w:rsidRPr="00AC7317">
        <w:rPr>
          <w:rFonts w:ascii="Times New Roman" w:hAnsi="Times New Roman" w:cs="Times New Roman"/>
        </w:rPr>
        <w:t xml:space="preserve">soy trade to unregulated </w:t>
      </w:r>
      <w:r w:rsidR="00C06E81" w:rsidRPr="00AC7317">
        <w:rPr>
          <w:rFonts w:ascii="Times New Roman" w:hAnsi="Times New Roman" w:cs="Times New Roman"/>
        </w:rPr>
        <w:t xml:space="preserve">non-EU </w:t>
      </w:r>
      <w:r w:rsidRPr="00AC7317">
        <w:rPr>
          <w:rFonts w:ascii="Times New Roman" w:hAnsi="Times New Roman" w:cs="Times New Roman"/>
        </w:rPr>
        <w:t xml:space="preserve">markets. To shed light on this issue, we employ a gravity model, treating the EUDR compliance costs as additional trade costs for exports to the EU. We find that stricter compliance costs reallocate soy exports from South America toward non-EU markets, mainly China, </w:t>
      </w:r>
      <w:r w:rsidR="00216BA2" w:rsidRPr="00AC7317">
        <w:rPr>
          <w:rFonts w:ascii="Times New Roman" w:hAnsi="Times New Roman" w:cs="Times New Roman"/>
        </w:rPr>
        <w:t>divert</w:t>
      </w:r>
      <w:r w:rsidRPr="00AC7317">
        <w:rPr>
          <w:rFonts w:ascii="Times New Roman" w:hAnsi="Times New Roman" w:cs="Times New Roman"/>
        </w:rPr>
        <w:t xml:space="preserve"> the EU imports towards North America</w:t>
      </w:r>
      <w:r w:rsidR="00656D98" w:rsidRPr="00AC7317">
        <w:rPr>
          <w:rFonts w:ascii="Times New Roman" w:hAnsi="Times New Roman" w:cs="Times New Roman"/>
        </w:rPr>
        <w:t>, and increase the prices of soy faced by EU soy users</w:t>
      </w:r>
      <w:r w:rsidRPr="00AC7317">
        <w:rPr>
          <w:rFonts w:ascii="Times New Roman" w:hAnsi="Times New Roman" w:cs="Times New Roman"/>
        </w:rPr>
        <w:t xml:space="preserve">. Under the counterfactual </w:t>
      </w:r>
      <w:r w:rsidR="000571EB" w:rsidRPr="00AC7317">
        <w:rPr>
          <w:rFonts w:ascii="Times New Roman" w:hAnsi="Times New Roman" w:cs="Times New Roman"/>
        </w:rPr>
        <w:t>scenario in which South America does not comply with the regulation, EU consumers face even larger price increases, while South American countries experience</w:t>
      </w:r>
      <w:r w:rsidRPr="00AC7317">
        <w:rPr>
          <w:rFonts w:ascii="Times New Roman" w:hAnsi="Times New Roman" w:cs="Times New Roman"/>
        </w:rPr>
        <w:t xml:space="preserve"> minimal terms-of-trade losses. Our analysis </w:t>
      </w:r>
      <w:r w:rsidR="000571EB" w:rsidRPr="00AC7317">
        <w:rPr>
          <w:rFonts w:ascii="Times New Roman" w:hAnsi="Times New Roman" w:cs="Times New Roman"/>
        </w:rPr>
        <w:t xml:space="preserve">suggests that trade reallocation to an unregulated market could potentially dilute the impact of </w:t>
      </w:r>
      <w:proofErr w:type="gramStart"/>
      <w:r w:rsidR="000571EB" w:rsidRPr="00AC7317">
        <w:rPr>
          <w:rFonts w:ascii="Times New Roman" w:hAnsi="Times New Roman" w:cs="Times New Roman"/>
        </w:rPr>
        <w:t>the EUDR</w:t>
      </w:r>
      <w:proofErr w:type="gramEnd"/>
      <w:r w:rsidR="00E41E1E" w:rsidRPr="00AC7317">
        <w:rPr>
          <w:rFonts w:ascii="Times New Roman" w:hAnsi="Times New Roman" w:cs="Times New Roman"/>
        </w:rPr>
        <w:t>,</w:t>
      </w:r>
      <w:r w:rsidR="000571EB" w:rsidRPr="00AC7317">
        <w:rPr>
          <w:rFonts w:ascii="Times New Roman" w:hAnsi="Times New Roman" w:cs="Times New Roman"/>
        </w:rPr>
        <w:t xml:space="preserve"> making it less effective in directly reducing deforestation </w:t>
      </w:r>
      <w:r w:rsidRPr="00AC7317">
        <w:rPr>
          <w:rFonts w:ascii="Times New Roman" w:hAnsi="Times New Roman" w:cs="Times New Roman"/>
        </w:rPr>
        <w:t>linked to soy production.</w:t>
      </w:r>
    </w:p>
    <w:p w14:paraId="0573806E" w14:textId="77777777"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b/>
          <w:bCs/>
        </w:rPr>
        <w:t>JEL-Codes</w:t>
      </w:r>
      <w:r w:rsidRPr="00AC7317">
        <w:rPr>
          <w:rFonts w:ascii="Times New Roman" w:hAnsi="Times New Roman" w:cs="Times New Roman"/>
        </w:rPr>
        <w:t>: Q17, Q56, F18</w:t>
      </w:r>
    </w:p>
    <w:p w14:paraId="3B129E94" w14:textId="77777777"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b/>
          <w:bCs/>
        </w:rPr>
        <w:t>Keywords</w:t>
      </w:r>
      <w:r w:rsidRPr="00AC7317">
        <w:rPr>
          <w:rFonts w:ascii="Times New Roman" w:hAnsi="Times New Roman" w:cs="Times New Roman"/>
        </w:rPr>
        <w:t>: EUDR, Structural gravity model, Deforestation, Soy, Tariffs</w:t>
      </w:r>
    </w:p>
    <w:p w14:paraId="545A6A75" w14:textId="77777777" w:rsidR="002E6A0D" w:rsidRPr="00AC7317" w:rsidRDefault="00F96466" w:rsidP="00216BA2">
      <w:pPr>
        <w:spacing w:line="480" w:lineRule="auto"/>
        <w:jc w:val="both"/>
        <w:rPr>
          <w:rFonts w:ascii="Times New Roman" w:hAnsi="Times New Roman" w:cs="Times New Roman"/>
        </w:rPr>
      </w:pPr>
      <w:r w:rsidRPr="00AC7317">
        <w:rPr>
          <w:rFonts w:ascii="Times New Roman" w:hAnsi="Times New Roman" w:cs="Times New Roman"/>
        </w:rPr>
        <w:br w:type="page"/>
      </w:r>
    </w:p>
    <w:p w14:paraId="2BB2EA6A" w14:textId="77777777" w:rsidR="002E6A0D" w:rsidRPr="00AC7317" w:rsidRDefault="00F96466" w:rsidP="00216BA2">
      <w:pPr>
        <w:pStyle w:val="Heading1"/>
        <w:spacing w:line="480" w:lineRule="auto"/>
        <w:jc w:val="both"/>
        <w:rPr>
          <w:rFonts w:ascii="Times New Roman" w:hAnsi="Times New Roman" w:cs="Times New Roman"/>
          <w:sz w:val="24"/>
          <w:szCs w:val="24"/>
        </w:rPr>
      </w:pPr>
      <w:bookmarkStart w:id="0" w:name="introduction"/>
      <w:r w:rsidRPr="00AC7317">
        <w:rPr>
          <w:rFonts w:ascii="Times New Roman" w:hAnsi="Times New Roman" w:cs="Times New Roman"/>
          <w:sz w:val="24"/>
          <w:szCs w:val="24"/>
        </w:rPr>
        <w:lastRenderedPageBreak/>
        <w:t>1. Introduction</w:t>
      </w:r>
    </w:p>
    <w:p w14:paraId="09D7AB2B" w14:textId="5C3FB905" w:rsidR="002E6A0D" w:rsidRDefault="00F96466" w:rsidP="00216BA2">
      <w:pPr>
        <w:pStyle w:val="FirstParagraph"/>
        <w:spacing w:line="480" w:lineRule="auto"/>
        <w:jc w:val="both"/>
        <w:rPr>
          <w:rFonts w:ascii="Times New Roman" w:hAnsi="Times New Roman" w:cs="Times New Roman"/>
        </w:rPr>
      </w:pPr>
      <w:r w:rsidRPr="00AC7317">
        <w:rPr>
          <w:rFonts w:ascii="Times New Roman" w:hAnsi="Times New Roman" w:cs="Times New Roman"/>
        </w:rPr>
        <w:t xml:space="preserve">The European Union Deforestation Regulation (EUDR) prohibits the </w:t>
      </w:r>
      <w:r w:rsidR="001E19E9" w:rsidRPr="00AC7317">
        <w:rPr>
          <w:rFonts w:ascii="Times New Roman" w:hAnsi="Times New Roman" w:cs="Times New Roman"/>
        </w:rPr>
        <w:t xml:space="preserve">import </w:t>
      </w:r>
      <w:r w:rsidRPr="00AC7317">
        <w:rPr>
          <w:rFonts w:ascii="Times New Roman" w:hAnsi="Times New Roman" w:cs="Times New Roman"/>
        </w:rPr>
        <w:t>of seven commodities</w:t>
      </w:r>
      <w:r w:rsidR="001E19E9" w:rsidRPr="00AC7317">
        <w:rPr>
          <w:rFonts w:ascii="Times New Roman" w:hAnsi="Times New Roman" w:cs="Times New Roman"/>
        </w:rPr>
        <w:t>—palm oil, cattle, soy, cocoa, coffee, rubber, and wood</w:t>
      </w:r>
      <w:r w:rsidRPr="00AC7317">
        <w:rPr>
          <w:rFonts w:ascii="Times New Roman" w:hAnsi="Times New Roman" w:cs="Times New Roman"/>
        </w:rPr>
        <w:t xml:space="preserve"> (including their derivatives)</w:t>
      </w:r>
      <w:r w:rsidR="001E19E9" w:rsidRPr="00AC7317" w:rsidDel="001E19E9">
        <w:rPr>
          <w:rFonts w:ascii="Times New Roman" w:hAnsi="Times New Roman" w:cs="Times New Roman"/>
        </w:rPr>
        <w:t xml:space="preserve"> </w:t>
      </w:r>
      <w:r w:rsidRPr="00AC7317">
        <w:rPr>
          <w:rFonts w:ascii="Times New Roman" w:hAnsi="Times New Roman" w:cs="Times New Roman"/>
        </w:rPr>
        <w:t>collectively known as forest risk commodities (FRCs), unless they meet three criteria: being deforestation-free, compliant with source country legislation, and covered by a due diligence statement (</w:t>
      </w:r>
      <w:hyperlink w:anchor="ref-european2023">
        <w:r w:rsidR="002E6A0D" w:rsidRPr="00AC7317">
          <w:rPr>
            <w:rStyle w:val="Hyperlink"/>
            <w:rFonts w:ascii="Times New Roman" w:hAnsi="Times New Roman" w:cs="Times New Roman"/>
          </w:rPr>
          <w:t>European Union 2023</w:t>
        </w:r>
      </w:hyperlink>
      <w:r w:rsidRPr="00AC7317">
        <w:rPr>
          <w:rFonts w:ascii="Times New Roman" w:hAnsi="Times New Roman" w:cs="Times New Roman"/>
        </w:rPr>
        <w:t xml:space="preserve">). These requirements </w:t>
      </w:r>
      <w:r w:rsidR="001E19E9" w:rsidRPr="00AC7317">
        <w:rPr>
          <w:rFonts w:ascii="Times New Roman" w:hAnsi="Times New Roman" w:cs="Times New Roman"/>
        </w:rPr>
        <w:t xml:space="preserve">act </w:t>
      </w:r>
      <w:r w:rsidR="006D4388">
        <w:rPr>
          <w:rFonts w:ascii="Times New Roman" w:hAnsi="Times New Roman" w:cs="Times New Roman"/>
        </w:rPr>
        <w:t xml:space="preserve">potentially </w:t>
      </w:r>
      <w:r w:rsidR="00FC204F" w:rsidRPr="00AC7317">
        <w:rPr>
          <w:rFonts w:ascii="Times New Roman" w:hAnsi="Times New Roman" w:cs="Times New Roman"/>
        </w:rPr>
        <w:t xml:space="preserve">as a non-tariff measure (NTM) </w:t>
      </w:r>
      <w:r w:rsidR="001E19E9" w:rsidRPr="00AC7317">
        <w:rPr>
          <w:rFonts w:ascii="Times New Roman" w:hAnsi="Times New Roman" w:cs="Times New Roman"/>
        </w:rPr>
        <w:t>to achieve</w:t>
      </w:r>
      <w:r w:rsidR="00FC204F" w:rsidRPr="00AC7317">
        <w:rPr>
          <w:rFonts w:ascii="Times New Roman" w:hAnsi="Times New Roman" w:cs="Times New Roman"/>
        </w:rPr>
        <w:t xml:space="preserve"> environmental objective</w:t>
      </w:r>
      <w:r w:rsidR="001E19E9" w:rsidRPr="00AC7317">
        <w:rPr>
          <w:rFonts w:ascii="Times New Roman" w:hAnsi="Times New Roman" w:cs="Times New Roman"/>
        </w:rPr>
        <w:t xml:space="preserve">s by </w:t>
      </w:r>
      <w:r w:rsidR="00FC204F" w:rsidRPr="00AC7317">
        <w:rPr>
          <w:rFonts w:ascii="Times New Roman" w:hAnsi="Times New Roman" w:cs="Times New Roman"/>
        </w:rPr>
        <w:t>imposing deforestation-free production and traceability obligations on suppliers</w:t>
      </w:r>
      <w:r w:rsidR="00E62CA9">
        <w:rPr>
          <w:rFonts w:ascii="Times New Roman" w:hAnsi="Times New Roman" w:cs="Times New Roman"/>
        </w:rPr>
        <w:t xml:space="preserve"> </w:t>
      </w:r>
      <w:r w:rsidR="00F01A7E" w:rsidRPr="00F01A7E">
        <w:rPr>
          <w:rFonts w:ascii="Times New Roman" w:hAnsi="Times New Roman" w:cs="Times New Roman"/>
        </w:rPr>
        <w:t>(</w:t>
      </w:r>
      <w:hyperlink w:anchor="_References" w:history="1">
        <w:r w:rsidR="00F01A7E" w:rsidRPr="006B47E8">
          <w:rPr>
            <w:rStyle w:val="Hyperlink"/>
            <w:rFonts w:ascii="Times New Roman" w:hAnsi="Times New Roman" w:cs="Times New Roman"/>
          </w:rPr>
          <w:t>Srivastava, Banerjee, and Banerjee 2025</w:t>
        </w:r>
      </w:hyperlink>
      <w:r w:rsidR="00F01A7E" w:rsidRPr="00F01A7E">
        <w:rPr>
          <w:rFonts w:ascii="Times New Roman" w:hAnsi="Times New Roman" w:cs="Times New Roman"/>
        </w:rPr>
        <w:t>)</w:t>
      </w:r>
      <w:r w:rsidR="006D0094">
        <w:rPr>
          <w:rFonts w:ascii="Times New Roman" w:hAnsi="Times New Roman" w:cs="Times New Roman"/>
        </w:rPr>
        <w:t>.</w:t>
      </w:r>
      <w:r w:rsidRPr="00AC7317">
        <w:rPr>
          <w:rFonts w:ascii="Times New Roman" w:hAnsi="Times New Roman" w:cs="Times New Roman"/>
        </w:rPr>
        <w:t xml:space="preserve"> The regulation supports the EU’s international </w:t>
      </w:r>
      <w:r w:rsidR="005946F5" w:rsidRPr="00AC7317">
        <w:rPr>
          <w:rFonts w:ascii="Times New Roman" w:hAnsi="Times New Roman" w:cs="Times New Roman"/>
        </w:rPr>
        <w:t>commitments on climate change, including</w:t>
      </w:r>
      <w:r w:rsidRPr="00AC7317">
        <w:rPr>
          <w:rFonts w:ascii="Times New Roman" w:hAnsi="Times New Roman" w:cs="Times New Roman"/>
        </w:rPr>
        <w:t xml:space="preserve"> the EU Green Deal and the Paris Agreement</w:t>
      </w:r>
      <w:r w:rsidR="00BC796F">
        <w:rPr>
          <w:rFonts w:ascii="Times New Roman" w:hAnsi="Times New Roman" w:cs="Times New Roman"/>
        </w:rPr>
        <w:t xml:space="preserve"> </w:t>
      </w:r>
      <w:r w:rsidR="00BC796F" w:rsidRPr="00AC7317">
        <w:rPr>
          <w:rFonts w:ascii="Times New Roman" w:hAnsi="Times New Roman" w:cs="Times New Roman"/>
        </w:rPr>
        <w:t>(</w:t>
      </w:r>
      <w:hyperlink w:anchor="ref-european2023">
        <w:r w:rsidR="00BC796F" w:rsidRPr="00AC7317">
          <w:rPr>
            <w:rStyle w:val="Hyperlink"/>
            <w:rFonts w:ascii="Times New Roman" w:hAnsi="Times New Roman" w:cs="Times New Roman"/>
          </w:rPr>
          <w:t>European Union 2023</w:t>
        </w:r>
      </w:hyperlink>
      <w:r w:rsidR="00BC796F" w:rsidRPr="00AC7317">
        <w:rPr>
          <w:rFonts w:ascii="Times New Roman" w:hAnsi="Times New Roman" w:cs="Times New Roman"/>
        </w:rPr>
        <w:t>)</w:t>
      </w:r>
      <w:r w:rsidRPr="00AC7317">
        <w:rPr>
          <w:rFonts w:ascii="Times New Roman" w:hAnsi="Times New Roman" w:cs="Times New Roman"/>
        </w:rPr>
        <w:t>. The implementation of the EUDR is anticipated to reduce tropical deforestation by 71.92 thousand hectares per year (the equivalent of ~101 thousand football pitches, which is 0.72% of annual global deforestation), avoiding the emissions of 32 million tons of carbon per year (~0.09% of annual global emissions) (</w:t>
      </w:r>
      <w:hyperlink w:anchor="ref-kpmg2023">
        <w:r w:rsidR="002E6A0D" w:rsidRPr="00AC7317">
          <w:rPr>
            <w:rStyle w:val="Hyperlink"/>
            <w:rFonts w:ascii="Times New Roman" w:hAnsi="Times New Roman" w:cs="Times New Roman"/>
          </w:rPr>
          <w:t>KPMG 2023</w:t>
        </w:r>
      </w:hyperlink>
      <w:r w:rsidRPr="00AC7317">
        <w:rPr>
          <w:rFonts w:ascii="Times New Roman" w:hAnsi="Times New Roman" w:cs="Times New Roman"/>
        </w:rPr>
        <w:t>).</w:t>
      </w:r>
    </w:p>
    <w:p w14:paraId="02B4BEC1" w14:textId="6CC8033F" w:rsidR="007E1BED" w:rsidRPr="007E1BED" w:rsidRDefault="007E1BED" w:rsidP="00813255">
      <w:pPr>
        <w:pStyle w:val="BodyText"/>
        <w:spacing w:line="480" w:lineRule="auto"/>
        <w:jc w:val="both"/>
        <w:rPr>
          <w:rFonts w:ascii="Times New Roman" w:hAnsi="Times New Roman" w:cs="Times New Roman"/>
        </w:rPr>
      </w:pPr>
      <w:r>
        <w:rPr>
          <w:rFonts w:ascii="Times New Roman" w:hAnsi="Times New Roman" w:cs="Times New Roman"/>
        </w:rPr>
        <w:t>The</w:t>
      </w:r>
      <w:r w:rsidRPr="00813255">
        <w:rPr>
          <w:rFonts w:ascii="Times New Roman" w:hAnsi="Times New Roman" w:cs="Times New Roman"/>
        </w:rPr>
        <w:t xml:space="preserve"> EUDR’s unilateral and market access reduction approach to curb deforestation has raised concerns about its effectiveness. The studies of climate policy and environmental trade policies have consistently shown that the carbon and market leakage effects, whether occurring within or across borders, undermine policy effectiveness, creating tension between environment and trade goals (e.g., </w:t>
      </w:r>
      <w:r w:rsidRPr="00AA3353">
        <w:rPr>
          <w:rFonts w:ascii="Times New Roman" w:hAnsi="Times New Roman" w:cs="Times New Roman"/>
          <w:color w:val="156082" w:themeColor="accent1"/>
        </w:rPr>
        <w:t xml:space="preserve">Aichele and </w:t>
      </w:r>
      <w:proofErr w:type="spellStart"/>
      <w:r w:rsidRPr="00AA3353">
        <w:rPr>
          <w:rFonts w:ascii="Times New Roman" w:hAnsi="Times New Roman" w:cs="Times New Roman"/>
          <w:color w:val="156082" w:themeColor="accent1"/>
        </w:rPr>
        <w:t>Felbermayr</w:t>
      </w:r>
      <w:proofErr w:type="spellEnd"/>
      <w:r w:rsidRPr="00AA3353">
        <w:rPr>
          <w:rFonts w:ascii="Times New Roman" w:hAnsi="Times New Roman" w:cs="Times New Roman"/>
          <w:color w:val="156082" w:themeColor="accent1"/>
        </w:rPr>
        <w:t xml:space="preserve"> 2015; Shapiro 2021; Villoria et al. 2022</w:t>
      </w:r>
      <w:r w:rsidRPr="00813255">
        <w:rPr>
          <w:rFonts w:ascii="Times New Roman" w:hAnsi="Times New Roman" w:cs="Times New Roman"/>
        </w:rPr>
        <w:t xml:space="preserve">). In the soy sector, </w:t>
      </w:r>
      <w:r w:rsidRPr="00AA3353">
        <w:rPr>
          <w:rFonts w:ascii="Times New Roman" w:hAnsi="Times New Roman" w:cs="Times New Roman"/>
        </w:rPr>
        <w:t>Villoria et al.</w:t>
      </w:r>
      <w:r w:rsidRPr="00AA3353">
        <w:rPr>
          <w:rFonts w:ascii="Times New Roman" w:hAnsi="Times New Roman" w:cs="Times New Roman"/>
          <w:color w:val="156082" w:themeColor="accent1"/>
        </w:rPr>
        <w:t xml:space="preserve"> (2022)</w:t>
      </w:r>
      <w:r w:rsidRPr="00813255">
        <w:rPr>
          <w:rFonts w:ascii="Times New Roman" w:hAnsi="Times New Roman" w:cs="Times New Roman"/>
        </w:rPr>
        <w:t xml:space="preserve"> finds that within-border displacement of deforestation is a notable risk in Brazil, as exports exposed to restrictions in one sub-region shift deforestation pressures elsewhere within the country. More broadly, the global commodity market often reallocates deforestation pressure, particularly when relatively smaller destination markets implement </w:t>
      </w:r>
      <w:r w:rsidRPr="00813255">
        <w:rPr>
          <w:rFonts w:ascii="Times New Roman" w:hAnsi="Times New Roman" w:cs="Times New Roman"/>
        </w:rPr>
        <w:lastRenderedPageBreak/>
        <w:t>regulatory measures (</w:t>
      </w:r>
      <w:r w:rsidRPr="00AA3353">
        <w:rPr>
          <w:rFonts w:ascii="Times New Roman" w:hAnsi="Times New Roman" w:cs="Times New Roman"/>
          <w:color w:val="156082" w:themeColor="accent1"/>
        </w:rPr>
        <w:t>Muradian et al. 2025</w:t>
      </w:r>
      <w:r w:rsidRPr="00813255">
        <w:rPr>
          <w:rFonts w:ascii="Times New Roman" w:hAnsi="Times New Roman" w:cs="Times New Roman"/>
        </w:rPr>
        <w:t>). Given that the EUDR is a new regulation, it is crucial to evaluate whether its market access restrictions can effectively reduce deforestation.</w:t>
      </w:r>
    </w:p>
    <w:p w14:paraId="20756CF8" w14:textId="3315C60A" w:rsidR="00091EC0" w:rsidRDefault="005E03A8" w:rsidP="0063723D">
      <w:pPr>
        <w:pStyle w:val="BodyText"/>
        <w:spacing w:line="480" w:lineRule="auto"/>
        <w:jc w:val="both"/>
        <w:rPr>
          <w:rFonts w:ascii="Times New Roman" w:hAnsi="Times New Roman" w:cs="Times New Roman"/>
        </w:rPr>
      </w:pPr>
      <w:r>
        <w:rPr>
          <w:rFonts w:ascii="Times New Roman" w:hAnsi="Times New Roman" w:cs="Times New Roman"/>
        </w:rPr>
        <w:t>While</w:t>
      </w:r>
      <w:r w:rsidR="0084207E">
        <w:rPr>
          <w:rFonts w:ascii="Times New Roman" w:hAnsi="Times New Roman" w:cs="Times New Roman"/>
        </w:rPr>
        <w:t xml:space="preserve"> the EUDR is understood as </w:t>
      </w:r>
      <w:r w:rsidR="00C96603">
        <w:rPr>
          <w:rFonts w:ascii="Times New Roman" w:hAnsi="Times New Roman" w:cs="Times New Roman"/>
        </w:rPr>
        <w:t xml:space="preserve">an environmental </w:t>
      </w:r>
      <w:r w:rsidR="004727A8">
        <w:rPr>
          <w:rFonts w:ascii="Times New Roman" w:hAnsi="Times New Roman" w:cs="Times New Roman"/>
        </w:rPr>
        <w:t>NTM</w:t>
      </w:r>
      <w:r w:rsidR="00C81B4E">
        <w:rPr>
          <w:rFonts w:ascii="Times New Roman" w:hAnsi="Times New Roman" w:cs="Times New Roman"/>
        </w:rPr>
        <w:t xml:space="preserve"> (</w:t>
      </w:r>
      <w:r w:rsidR="00C81B4E" w:rsidRPr="00AA3353">
        <w:rPr>
          <w:rFonts w:ascii="Times New Roman" w:hAnsi="Times New Roman" w:cs="Times New Roman"/>
          <w:color w:val="156082" w:themeColor="accent1"/>
        </w:rPr>
        <w:t xml:space="preserve">Srivastava, Banerjee, and Banerjee 2025; </w:t>
      </w:r>
      <w:r w:rsidR="00E33B3C" w:rsidRPr="00AA3353">
        <w:rPr>
          <w:rFonts w:ascii="Times New Roman" w:hAnsi="Times New Roman" w:cs="Times New Roman"/>
          <w:color w:val="156082" w:themeColor="accent1"/>
        </w:rPr>
        <w:t>Zamani and Pelikan 2026</w:t>
      </w:r>
      <w:r w:rsidR="00C81B4E">
        <w:rPr>
          <w:rFonts w:ascii="Times New Roman" w:hAnsi="Times New Roman" w:cs="Times New Roman"/>
        </w:rPr>
        <w:t>)</w:t>
      </w:r>
      <w:r w:rsidR="004727A8">
        <w:rPr>
          <w:rFonts w:ascii="Times New Roman" w:hAnsi="Times New Roman" w:cs="Times New Roman"/>
        </w:rPr>
        <w:t>,</w:t>
      </w:r>
      <w:r w:rsidR="006F2257" w:rsidRPr="006F2257">
        <w:rPr>
          <w:rFonts w:ascii="Times New Roman" w:hAnsi="Times New Roman" w:cs="Times New Roman"/>
        </w:rPr>
        <w:t xml:space="preserve"> the effects are a priori, ambiguous. NTM</w:t>
      </w:r>
      <w:r w:rsidR="00206EB4">
        <w:rPr>
          <w:rFonts w:ascii="Times New Roman" w:hAnsi="Times New Roman" w:cs="Times New Roman"/>
        </w:rPr>
        <w:t>s</w:t>
      </w:r>
      <w:r w:rsidR="006F2257" w:rsidRPr="006F2257">
        <w:rPr>
          <w:rFonts w:ascii="Times New Roman" w:hAnsi="Times New Roman" w:cs="Times New Roman"/>
        </w:rPr>
        <w:t xml:space="preserve"> can either disrupt or facilitate trade, with </w:t>
      </w:r>
      <w:r w:rsidR="00CC0F49">
        <w:rPr>
          <w:rFonts w:ascii="Times New Roman" w:hAnsi="Times New Roman" w:cs="Times New Roman"/>
        </w:rPr>
        <w:t>heterogeneous effects</w:t>
      </w:r>
      <w:r w:rsidR="006F2257" w:rsidRPr="006F2257">
        <w:rPr>
          <w:rFonts w:ascii="Times New Roman" w:hAnsi="Times New Roman" w:cs="Times New Roman"/>
        </w:rPr>
        <w:t xml:space="preserve"> across products, measure types, and country pairs (</w:t>
      </w:r>
      <w:r w:rsidR="006F2257" w:rsidRPr="00AA3353">
        <w:rPr>
          <w:rFonts w:ascii="Times New Roman" w:hAnsi="Times New Roman" w:cs="Times New Roman"/>
          <w:color w:val="156082" w:themeColor="accent1"/>
        </w:rPr>
        <w:t>Li and Beghin 2012; Santeramo and Lamonaca 2019</w:t>
      </w:r>
      <w:r w:rsidR="006F2257" w:rsidRPr="006F2257">
        <w:rPr>
          <w:rFonts w:ascii="Times New Roman" w:hAnsi="Times New Roman" w:cs="Times New Roman"/>
        </w:rPr>
        <w:t xml:space="preserve">). </w:t>
      </w:r>
      <w:proofErr w:type="gramStart"/>
      <w:r w:rsidR="006F2257" w:rsidRPr="006F2257">
        <w:rPr>
          <w:rFonts w:ascii="Times New Roman" w:hAnsi="Times New Roman" w:cs="Times New Roman"/>
        </w:rPr>
        <w:t>That being said, there</w:t>
      </w:r>
      <w:proofErr w:type="gramEnd"/>
      <w:r w:rsidR="006F2257" w:rsidRPr="006F2257">
        <w:rPr>
          <w:rFonts w:ascii="Times New Roman" w:hAnsi="Times New Roman" w:cs="Times New Roman"/>
        </w:rPr>
        <w:t xml:space="preserve"> is evidence suggesting that environmental technical measures in food and agricultural products reduce trade (</w:t>
      </w:r>
      <w:proofErr w:type="spellStart"/>
      <w:r w:rsidR="006F2257" w:rsidRPr="00AA3353">
        <w:rPr>
          <w:rFonts w:ascii="Times New Roman" w:hAnsi="Times New Roman" w:cs="Times New Roman"/>
          <w:color w:val="156082" w:themeColor="accent1"/>
        </w:rPr>
        <w:t>Fontagné</w:t>
      </w:r>
      <w:proofErr w:type="spellEnd"/>
      <w:r w:rsidR="006F2257" w:rsidRPr="00AA3353">
        <w:rPr>
          <w:rFonts w:ascii="Times New Roman" w:hAnsi="Times New Roman" w:cs="Times New Roman"/>
          <w:color w:val="156082" w:themeColor="accent1"/>
        </w:rPr>
        <w:t>, Mimouni</w:t>
      </w:r>
      <w:r w:rsidR="00215897" w:rsidRPr="00AA3353">
        <w:rPr>
          <w:rFonts w:ascii="Times New Roman" w:hAnsi="Times New Roman" w:cs="Times New Roman"/>
          <w:color w:val="156082" w:themeColor="accent1"/>
        </w:rPr>
        <w:t>,</w:t>
      </w:r>
      <w:r w:rsidR="006F2257" w:rsidRPr="00AA3353">
        <w:rPr>
          <w:rFonts w:ascii="Times New Roman" w:hAnsi="Times New Roman" w:cs="Times New Roman"/>
          <w:color w:val="156082" w:themeColor="accent1"/>
        </w:rPr>
        <w:t xml:space="preserve"> </w:t>
      </w:r>
      <w:r w:rsidR="00206EB4" w:rsidRPr="00AA3353">
        <w:rPr>
          <w:rFonts w:ascii="Times New Roman" w:hAnsi="Times New Roman" w:cs="Times New Roman"/>
          <w:color w:val="156082" w:themeColor="accent1"/>
        </w:rPr>
        <w:t xml:space="preserve">and </w:t>
      </w:r>
      <w:proofErr w:type="spellStart"/>
      <w:r w:rsidR="001B6767" w:rsidRPr="00AA3353">
        <w:rPr>
          <w:rFonts w:ascii="Times New Roman" w:hAnsi="Times New Roman" w:cs="Times New Roman"/>
          <w:color w:val="156082" w:themeColor="accent1"/>
        </w:rPr>
        <w:t>Pasteels</w:t>
      </w:r>
      <w:proofErr w:type="spellEnd"/>
      <w:r w:rsidR="001B6767" w:rsidRPr="00AA3353">
        <w:rPr>
          <w:rFonts w:ascii="Times New Roman" w:hAnsi="Times New Roman" w:cs="Times New Roman"/>
          <w:color w:val="156082" w:themeColor="accent1"/>
        </w:rPr>
        <w:t xml:space="preserve">, </w:t>
      </w:r>
      <w:r w:rsidR="006F2257" w:rsidRPr="00AA3353">
        <w:rPr>
          <w:rFonts w:ascii="Times New Roman" w:hAnsi="Times New Roman" w:cs="Times New Roman"/>
          <w:color w:val="156082" w:themeColor="accent1"/>
        </w:rPr>
        <w:t>2005</w:t>
      </w:r>
      <w:r w:rsidR="006F2257" w:rsidRPr="006F2257">
        <w:rPr>
          <w:rFonts w:ascii="Times New Roman" w:hAnsi="Times New Roman" w:cs="Times New Roman"/>
        </w:rPr>
        <w:t xml:space="preserve">). Globally, environmental </w:t>
      </w:r>
      <w:r w:rsidR="00EB5F05">
        <w:rPr>
          <w:rFonts w:ascii="Times New Roman" w:hAnsi="Times New Roman" w:cs="Times New Roman"/>
        </w:rPr>
        <w:t xml:space="preserve">non-tariff measures </w:t>
      </w:r>
      <w:r w:rsidR="006F2257" w:rsidRPr="006F2257">
        <w:rPr>
          <w:rFonts w:ascii="Times New Roman" w:hAnsi="Times New Roman" w:cs="Times New Roman"/>
        </w:rPr>
        <w:t>have been expanding rapidly, increasing the coverage of 3% to 16% of world trade between 2010 and 2020, and on average, reducing trade with effects varying by sector and exporter characteristics (</w:t>
      </w:r>
      <w:r w:rsidR="006F2257" w:rsidRPr="00AA3353">
        <w:rPr>
          <w:rFonts w:ascii="Times New Roman" w:hAnsi="Times New Roman" w:cs="Times New Roman"/>
          <w:color w:val="156082" w:themeColor="accent1"/>
        </w:rPr>
        <w:t xml:space="preserve">Santeramo, Lamonaca and </w:t>
      </w:r>
      <w:proofErr w:type="spellStart"/>
      <w:r w:rsidR="006F2257" w:rsidRPr="00AA3353">
        <w:rPr>
          <w:rFonts w:ascii="Times New Roman" w:hAnsi="Times New Roman" w:cs="Times New Roman"/>
          <w:color w:val="156082" w:themeColor="accent1"/>
        </w:rPr>
        <w:t>Emlinger</w:t>
      </w:r>
      <w:proofErr w:type="spellEnd"/>
      <w:r w:rsidR="00DC250E" w:rsidRPr="00AA3353">
        <w:rPr>
          <w:rFonts w:ascii="Times New Roman" w:hAnsi="Times New Roman" w:cs="Times New Roman"/>
          <w:color w:val="156082" w:themeColor="accent1"/>
        </w:rPr>
        <w:t>,</w:t>
      </w:r>
      <w:r w:rsidR="006F2257" w:rsidRPr="00AA3353">
        <w:rPr>
          <w:rFonts w:ascii="Times New Roman" w:hAnsi="Times New Roman" w:cs="Times New Roman"/>
          <w:color w:val="156082" w:themeColor="accent1"/>
        </w:rPr>
        <w:t xml:space="preserve"> 2025</w:t>
      </w:r>
      <w:r w:rsidR="006F2257" w:rsidRPr="006F2257">
        <w:rPr>
          <w:rFonts w:ascii="Times New Roman" w:hAnsi="Times New Roman" w:cs="Times New Roman"/>
        </w:rPr>
        <w:t>).</w:t>
      </w:r>
      <w:r w:rsidR="00A37FA9">
        <w:rPr>
          <w:rFonts w:ascii="Times New Roman" w:hAnsi="Times New Roman" w:cs="Times New Roman"/>
        </w:rPr>
        <w:t xml:space="preserve"> </w:t>
      </w:r>
      <w:r w:rsidR="00BF19BB">
        <w:rPr>
          <w:rFonts w:ascii="Times New Roman" w:hAnsi="Times New Roman" w:cs="Times New Roman"/>
        </w:rPr>
        <w:t xml:space="preserve">These facts, taken together, motivate an understanding </w:t>
      </w:r>
      <w:r w:rsidR="00885722">
        <w:rPr>
          <w:rFonts w:ascii="Times New Roman" w:hAnsi="Times New Roman" w:cs="Times New Roman"/>
        </w:rPr>
        <w:t xml:space="preserve">of </w:t>
      </w:r>
      <w:r w:rsidR="00A81BE6">
        <w:rPr>
          <w:rFonts w:ascii="Times New Roman" w:hAnsi="Times New Roman" w:cs="Times New Roman"/>
        </w:rPr>
        <w:t xml:space="preserve">the </w:t>
      </w:r>
      <w:r w:rsidR="00885722">
        <w:rPr>
          <w:rFonts w:ascii="Times New Roman" w:hAnsi="Times New Roman" w:cs="Times New Roman"/>
        </w:rPr>
        <w:t>EUDR's</w:t>
      </w:r>
      <w:r w:rsidR="00A81BE6">
        <w:rPr>
          <w:rFonts w:ascii="Times New Roman" w:hAnsi="Times New Roman" w:cs="Times New Roman"/>
        </w:rPr>
        <w:t xml:space="preserve"> potentially sizeable </w:t>
      </w:r>
      <w:r w:rsidR="00885722">
        <w:rPr>
          <w:rFonts w:ascii="Times New Roman" w:hAnsi="Times New Roman" w:cs="Times New Roman"/>
        </w:rPr>
        <w:t>and heterogeneous effects across soy products and trade partners</w:t>
      </w:r>
      <w:r w:rsidR="00B15B90">
        <w:rPr>
          <w:rFonts w:ascii="Times New Roman" w:hAnsi="Times New Roman" w:cs="Times New Roman"/>
        </w:rPr>
        <w:t>.</w:t>
      </w:r>
    </w:p>
    <w:p w14:paraId="5724476E" w14:textId="0CF6F70B"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t>We analyze the impact of the proposed EU trade restrictions on the soy sector, using separate gravity models of soybeans, soybean oil, and soybean cake. We focus on the soy sector because (</w:t>
      </w:r>
      <w:proofErr w:type="spellStart"/>
      <w:r w:rsidRPr="00AC7317">
        <w:rPr>
          <w:rFonts w:ascii="Times New Roman" w:hAnsi="Times New Roman" w:cs="Times New Roman"/>
        </w:rPr>
        <w:t>i</w:t>
      </w:r>
      <w:proofErr w:type="spellEnd"/>
      <w:r w:rsidRPr="00AC7317">
        <w:rPr>
          <w:rFonts w:ascii="Times New Roman" w:hAnsi="Times New Roman" w:cs="Times New Roman"/>
        </w:rPr>
        <w:t xml:space="preserve">) soybean expansion is an important driver of deforestation in South America, particularly Brazil </w:t>
      </w:r>
      <w:r w:rsidR="00423201" w:rsidRPr="00AC7317">
        <w:rPr>
          <w:rFonts w:ascii="Times New Roman" w:hAnsi="Times New Roman" w:cs="Times New Roman"/>
        </w:rPr>
        <w:t>(</w:t>
      </w:r>
      <w:r w:rsidRPr="00AA3353">
        <w:rPr>
          <w:rFonts w:ascii="Times New Roman" w:hAnsi="Times New Roman" w:cs="Times New Roman"/>
          <w:color w:val="156082" w:themeColor="accent1"/>
        </w:rPr>
        <w:t xml:space="preserve">Song et al. </w:t>
      </w:r>
      <w:hyperlink w:anchor="ref-song2021">
        <w:r w:rsidR="002E6A0D" w:rsidRPr="00AC7317">
          <w:rPr>
            <w:rStyle w:val="Hyperlink"/>
            <w:rFonts w:ascii="Times New Roman" w:hAnsi="Times New Roman" w:cs="Times New Roman"/>
          </w:rPr>
          <w:t>2021</w:t>
        </w:r>
      </w:hyperlink>
      <w:r w:rsidR="00423201" w:rsidRPr="00AC7317">
        <w:rPr>
          <w:rFonts w:ascii="Times New Roman" w:hAnsi="Times New Roman" w:cs="Times New Roman"/>
        </w:rPr>
        <w:t>)</w:t>
      </w:r>
      <w:r w:rsidRPr="00AC7317">
        <w:rPr>
          <w:rFonts w:ascii="Times New Roman" w:hAnsi="Times New Roman" w:cs="Times New Roman"/>
        </w:rPr>
        <w:t>; (ii) the EU is the second-largest global importer of soybeans, accounting for 9.88% of global exports, and the largest importer of soybean meals—which constitutes 23.82% of global soy trade</w:t>
      </w:r>
      <w:r w:rsidR="00C34B31" w:rsidRPr="00AC7317">
        <w:rPr>
          <w:rFonts w:ascii="Times New Roman" w:hAnsi="Times New Roman" w:cs="Times New Roman"/>
        </w:rPr>
        <w:t xml:space="preserve">, </w:t>
      </w:r>
      <w:r w:rsidRPr="00AC7317">
        <w:rPr>
          <w:rFonts w:ascii="Times New Roman" w:hAnsi="Times New Roman" w:cs="Times New Roman"/>
        </w:rPr>
        <w:t>with approximately 24% of global exports (</w:t>
      </w:r>
      <w:hyperlink w:anchor="ref-comtrade2024">
        <w:r w:rsidR="002E6A0D" w:rsidRPr="00AC7317">
          <w:rPr>
            <w:rStyle w:val="Hyperlink"/>
            <w:rFonts w:ascii="Times New Roman" w:hAnsi="Times New Roman" w:cs="Times New Roman"/>
          </w:rPr>
          <w:t>Comtrade 2024</w:t>
        </w:r>
      </w:hyperlink>
      <w:r w:rsidRPr="00AC7317">
        <w:rPr>
          <w:rFonts w:ascii="Times New Roman" w:hAnsi="Times New Roman" w:cs="Times New Roman"/>
        </w:rPr>
        <w:t>); (iii) the EU’s consumption accounts for 32.80% of the deforestation associated with soybean production (</w:t>
      </w:r>
      <w:proofErr w:type="spellStart"/>
      <w:r w:rsidR="002E6A0D" w:rsidRPr="00AC7317">
        <w:fldChar w:fldCharType="begin"/>
      </w:r>
      <w:r w:rsidR="002E6A0D" w:rsidRPr="00AC7317">
        <w:instrText>HYPERLINK \l "ref-pendrill2022" \h</w:instrText>
      </w:r>
      <w:r w:rsidR="002E6A0D" w:rsidRPr="00AC7317">
        <w:fldChar w:fldCharType="separate"/>
      </w:r>
      <w:r w:rsidR="002E6A0D" w:rsidRPr="00AC7317">
        <w:rPr>
          <w:rStyle w:val="Hyperlink"/>
          <w:rFonts w:ascii="Times New Roman" w:hAnsi="Times New Roman" w:cs="Times New Roman"/>
        </w:rPr>
        <w:t>Pendrill</w:t>
      </w:r>
      <w:proofErr w:type="spellEnd"/>
      <w:r w:rsidR="002E6A0D" w:rsidRPr="00AC7317">
        <w:rPr>
          <w:rStyle w:val="Hyperlink"/>
          <w:rFonts w:ascii="Times New Roman" w:hAnsi="Times New Roman" w:cs="Times New Roman"/>
        </w:rPr>
        <w:t xml:space="preserve"> et al. 2022</w:t>
      </w:r>
      <w:r w:rsidR="002E6A0D" w:rsidRPr="00AC7317">
        <w:fldChar w:fldCharType="end"/>
      </w:r>
      <w:r w:rsidRPr="00AC7317">
        <w:rPr>
          <w:rFonts w:ascii="Times New Roman" w:hAnsi="Times New Roman" w:cs="Times New Roman"/>
        </w:rPr>
        <w:t xml:space="preserve">; </w:t>
      </w:r>
      <w:hyperlink w:anchor="ref-european2023">
        <w:r w:rsidR="002E6A0D" w:rsidRPr="00AC7317">
          <w:rPr>
            <w:rStyle w:val="Hyperlink"/>
            <w:rFonts w:ascii="Times New Roman" w:hAnsi="Times New Roman" w:cs="Times New Roman"/>
          </w:rPr>
          <w:t>European Union 2023</w:t>
        </w:r>
      </w:hyperlink>
      <w:r w:rsidRPr="00AC7317">
        <w:rPr>
          <w:rFonts w:ascii="Times New Roman" w:hAnsi="Times New Roman" w:cs="Times New Roman"/>
        </w:rPr>
        <w:t xml:space="preserve">). We estimate the </w:t>
      </w:r>
      <w:r w:rsidR="00F94B01" w:rsidRPr="00AC7317">
        <w:rPr>
          <w:rFonts w:ascii="Times New Roman" w:hAnsi="Times New Roman" w:cs="Times New Roman"/>
        </w:rPr>
        <w:t xml:space="preserve">Armington elasticity </w:t>
      </w:r>
      <w:r w:rsidRPr="00AC7317">
        <w:rPr>
          <w:rFonts w:ascii="Times New Roman" w:hAnsi="Times New Roman" w:cs="Times New Roman"/>
        </w:rPr>
        <w:t xml:space="preserve">of each product and simulate the EUDR implementation by modeling the EUDR compliance costs as increased trade frictions, consistent with the NTM literature’s treatment of technical measures as ad valorem tariff-equivalent frictions (e.g., </w:t>
      </w:r>
      <w:hyperlink w:anchor="ref-fontagne2005">
        <w:proofErr w:type="spellStart"/>
        <w:r w:rsidR="002E6A0D" w:rsidRPr="00AC7317">
          <w:rPr>
            <w:rStyle w:val="Hyperlink"/>
            <w:rFonts w:ascii="Times New Roman" w:hAnsi="Times New Roman" w:cs="Times New Roman"/>
          </w:rPr>
          <w:t>Fontagné</w:t>
        </w:r>
        <w:proofErr w:type="spellEnd"/>
        <w:r w:rsidR="002E6A0D" w:rsidRPr="00AC7317">
          <w:rPr>
            <w:rStyle w:val="Hyperlink"/>
            <w:rFonts w:ascii="Times New Roman" w:hAnsi="Times New Roman" w:cs="Times New Roman"/>
          </w:rPr>
          <w:t xml:space="preserve"> et al. 2005</w:t>
        </w:r>
      </w:hyperlink>
      <w:r w:rsidRPr="00AC7317">
        <w:rPr>
          <w:rFonts w:ascii="Times New Roman" w:hAnsi="Times New Roman" w:cs="Times New Roman"/>
        </w:rPr>
        <w:t xml:space="preserve">; </w:t>
      </w:r>
      <w:hyperlink w:anchor="ref-santeramo2019">
        <w:r w:rsidR="002E6A0D" w:rsidRPr="00AC7317">
          <w:rPr>
            <w:rStyle w:val="Hyperlink"/>
            <w:rFonts w:ascii="Times New Roman" w:hAnsi="Times New Roman" w:cs="Times New Roman"/>
          </w:rPr>
          <w:t>Santeramo and Lamonaca 2019</w:t>
        </w:r>
      </w:hyperlink>
      <w:r w:rsidRPr="00AC7317">
        <w:rPr>
          <w:rFonts w:ascii="Times New Roman" w:hAnsi="Times New Roman" w:cs="Times New Roman"/>
        </w:rPr>
        <w:t xml:space="preserve">; </w:t>
      </w:r>
      <w:hyperlink w:anchor="ref-santeramo2025">
        <w:r w:rsidR="002E6A0D" w:rsidRPr="00AC7317">
          <w:rPr>
            <w:rStyle w:val="Hyperlink"/>
            <w:rFonts w:ascii="Times New Roman" w:hAnsi="Times New Roman" w:cs="Times New Roman"/>
          </w:rPr>
          <w:t>Santeramo et al. 2025</w:t>
        </w:r>
      </w:hyperlink>
      <w:r w:rsidRPr="00AC7317">
        <w:rPr>
          <w:rFonts w:ascii="Times New Roman" w:hAnsi="Times New Roman" w:cs="Times New Roman"/>
        </w:rPr>
        <w:t>). We develop two scenarios: one in which all countries comply with the EUDR, and another in which three major deforestation-risk countries- Brazil, Argentina</w:t>
      </w:r>
      <w:r w:rsidR="00216BA2" w:rsidRPr="00AC7317">
        <w:rPr>
          <w:rFonts w:ascii="Times New Roman" w:hAnsi="Times New Roman" w:cs="Times New Roman"/>
        </w:rPr>
        <w:t>,</w:t>
      </w:r>
      <w:r w:rsidRPr="00AC7317">
        <w:rPr>
          <w:rFonts w:ascii="Times New Roman" w:hAnsi="Times New Roman" w:cs="Times New Roman"/>
        </w:rPr>
        <w:t xml:space="preserve"> and Paraguay (BAP)- do not comply. These countries account for 59.3%, 6%, and 4.4% of </w:t>
      </w:r>
      <w:r w:rsidR="00216BA2" w:rsidRPr="00AC7317">
        <w:rPr>
          <w:rFonts w:ascii="Times New Roman" w:hAnsi="Times New Roman" w:cs="Times New Roman"/>
        </w:rPr>
        <w:t>deforestation linked</w:t>
      </w:r>
      <w:r w:rsidRPr="00AC7317">
        <w:rPr>
          <w:rFonts w:ascii="Times New Roman" w:hAnsi="Times New Roman" w:cs="Times New Roman"/>
        </w:rPr>
        <w:t xml:space="preserve"> to soybean production, respectively (</w:t>
      </w:r>
      <w:hyperlink w:anchor="ref-persson2024">
        <w:r w:rsidR="002E6A0D" w:rsidRPr="00AC7317">
          <w:rPr>
            <w:rStyle w:val="Hyperlink"/>
            <w:rFonts w:ascii="Times New Roman" w:hAnsi="Times New Roman" w:cs="Times New Roman"/>
          </w:rPr>
          <w:t>Persson et al. 2024</w:t>
        </w:r>
      </w:hyperlink>
      <w:r w:rsidRPr="00AC7317">
        <w:rPr>
          <w:rFonts w:ascii="Times New Roman" w:hAnsi="Times New Roman" w:cs="Times New Roman"/>
        </w:rPr>
        <w:t>). We estimate the counterfactual trade flows under these scenarios using the procedure developed by Anderson, Larch and Yotov (</w:t>
      </w:r>
      <w:hyperlink w:anchor="ref-anderson2018">
        <w:r w:rsidR="002E6A0D" w:rsidRPr="00AC7317">
          <w:rPr>
            <w:rStyle w:val="Hyperlink"/>
            <w:rFonts w:ascii="Times New Roman" w:hAnsi="Times New Roman" w:cs="Times New Roman"/>
          </w:rPr>
          <w:t>2018</w:t>
        </w:r>
      </w:hyperlink>
      <w:r w:rsidRPr="00AC7317">
        <w:rPr>
          <w:rFonts w:ascii="Times New Roman" w:hAnsi="Times New Roman" w:cs="Times New Roman"/>
        </w:rPr>
        <w:t>)</w:t>
      </w:r>
      <w:r w:rsidR="003F1379" w:rsidRPr="00AC7317">
        <w:rPr>
          <w:rFonts w:ascii="Times New Roman" w:hAnsi="Times New Roman" w:cs="Times New Roman"/>
        </w:rPr>
        <w:t xml:space="preserve"> for the base </w:t>
      </w:r>
      <w:r w:rsidR="00C76575" w:rsidRPr="00AC7317">
        <w:rPr>
          <w:rFonts w:ascii="Times New Roman" w:hAnsi="Times New Roman" w:cs="Times New Roman"/>
        </w:rPr>
        <w:t>year 2022</w:t>
      </w:r>
      <w:r w:rsidRPr="00AC7317">
        <w:rPr>
          <w:rFonts w:ascii="Times New Roman" w:hAnsi="Times New Roman" w:cs="Times New Roman"/>
        </w:rPr>
        <w:t>, which holds supplies and expenditures constant while allowing domestic and bilateral trade to adjust in response to changes in</w:t>
      </w:r>
      <w:r w:rsidR="003752C7" w:rsidRPr="00AC7317">
        <w:rPr>
          <w:rFonts w:ascii="Times New Roman" w:hAnsi="Times New Roman" w:cs="Times New Roman"/>
        </w:rPr>
        <w:t xml:space="preserve"> trade costs and</w:t>
      </w:r>
      <w:r w:rsidRPr="00AC7317">
        <w:rPr>
          <w:rFonts w:ascii="Times New Roman" w:hAnsi="Times New Roman" w:cs="Times New Roman"/>
        </w:rPr>
        <w:t xml:space="preserve"> multilateral resistances stemming from the compliance costs. This approach enables us to evaluate the EUDR’s effects on trade flows and price indexes.</w:t>
      </w:r>
    </w:p>
    <w:p w14:paraId="25D525E6" w14:textId="77777777"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t>Three key findings emerge from our analysis. First, the EUDR is largely ineffective at reducing soy exports from the focus countries. This is because the EU accounts for only a small share of exports from BAP (~8%), while demand from China is strong. Any entry restriction into the EU faced by BAP is offset by increased Chinese imports, while the EU can substitute with soy originating in the US and Canada. As a result, deforestation-embodied trade shifts from the EU to China. Second, the EU incurs a significant increase in soy prices, as much as 51%. In contrast, China and other Asian countries benefit from lower prices. Third, major exporters see no change in their terms of trade.</w:t>
      </w:r>
    </w:p>
    <w:p w14:paraId="7D1BA159" w14:textId="0225FEAA"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t>Our study makes two main contributions. First, we provide direct evidence of trade reallocation in the soy sector under the EUDR. Specifically, we show that soy trade shifts from the EU market to China, pointing towards little to no change in deforestation pressure</w:t>
      </w:r>
      <w:r w:rsidR="001E19E9" w:rsidRPr="00AC7317">
        <w:rPr>
          <w:rFonts w:ascii="Times New Roman" w:hAnsi="Times New Roman" w:cs="Times New Roman"/>
        </w:rPr>
        <w:t xml:space="preserve">; to the extent that trade is simply relocated, on may expect </w:t>
      </w:r>
      <w:r w:rsidRPr="00AC7317">
        <w:rPr>
          <w:rFonts w:ascii="Times New Roman" w:hAnsi="Times New Roman" w:cs="Times New Roman"/>
        </w:rPr>
        <w:t xml:space="preserve">minimal cross-border </w:t>
      </w:r>
      <w:r w:rsidR="001E19E9" w:rsidRPr="00AC7317">
        <w:rPr>
          <w:rFonts w:ascii="Times New Roman" w:hAnsi="Times New Roman" w:cs="Times New Roman"/>
        </w:rPr>
        <w:t xml:space="preserve">deforestation </w:t>
      </w:r>
      <w:r w:rsidRPr="00AC7317">
        <w:rPr>
          <w:rFonts w:ascii="Times New Roman" w:hAnsi="Times New Roman" w:cs="Times New Roman"/>
        </w:rPr>
        <w:t>leakage</w:t>
      </w:r>
      <w:r w:rsidR="001E19E9" w:rsidRPr="00AC7317">
        <w:rPr>
          <w:rFonts w:ascii="Times New Roman" w:hAnsi="Times New Roman" w:cs="Times New Roman"/>
        </w:rPr>
        <w:t>, a fact suggested in the ex-ante modeling of policies with effects similar to the EUDR</w:t>
      </w:r>
      <w:r w:rsidRPr="00AC7317">
        <w:rPr>
          <w:rFonts w:ascii="Times New Roman" w:hAnsi="Times New Roman" w:cs="Times New Roman"/>
        </w:rPr>
        <w:t xml:space="preserve"> by Villoria et al. (</w:t>
      </w:r>
      <w:hyperlink w:anchor="ref-villoria2022">
        <w:r w:rsidR="002E6A0D" w:rsidRPr="00AC7317">
          <w:rPr>
            <w:rStyle w:val="Hyperlink"/>
            <w:rFonts w:ascii="Times New Roman" w:hAnsi="Times New Roman" w:cs="Times New Roman"/>
          </w:rPr>
          <w:t>2022</w:t>
        </w:r>
      </w:hyperlink>
      <w:r w:rsidRPr="00AC7317">
        <w:rPr>
          <w:rFonts w:ascii="Times New Roman" w:hAnsi="Times New Roman" w:cs="Times New Roman"/>
        </w:rPr>
        <w:t xml:space="preserve">). This finding reinforces concerns raised in research (e.g., </w:t>
      </w:r>
      <w:hyperlink w:anchor="ref-aichele2015">
        <w:r w:rsidR="002E6A0D" w:rsidRPr="00AC7317">
          <w:rPr>
            <w:rStyle w:val="Hyperlink"/>
            <w:rFonts w:ascii="Times New Roman" w:hAnsi="Times New Roman" w:cs="Times New Roman"/>
          </w:rPr>
          <w:t xml:space="preserve">Aichele and </w:t>
        </w:r>
        <w:proofErr w:type="spellStart"/>
        <w:r w:rsidR="002E6A0D" w:rsidRPr="00AC7317">
          <w:rPr>
            <w:rStyle w:val="Hyperlink"/>
            <w:rFonts w:ascii="Times New Roman" w:hAnsi="Times New Roman" w:cs="Times New Roman"/>
          </w:rPr>
          <w:t>Felbermayr</w:t>
        </w:r>
        <w:proofErr w:type="spellEnd"/>
        <w:r w:rsidR="002E6A0D" w:rsidRPr="00AC7317">
          <w:rPr>
            <w:rStyle w:val="Hyperlink"/>
            <w:rFonts w:ascii="Times New Roman" w:hAnsi="Times New Roman" w:cs="Times New Roman"/>
          </w:rPr>
          <w:t xml:space="preserve"> 2015</w:t>
        </w:r>
      </w:hyperlink>
      <w:r w:rsidRPr="00AC7317">
        <w:rPr>
          <w:rFonts w:ascii="Times New Roman" w:hAnsi="Times New Roman" w:cs="Times New Roman"/>
        </w:rPr>
        <w:t xml:space="preserve">; </w:t>
      </w:r>
      <w:hyperlink w:anchor="ref-copeland2022">
        <w:r w:rsidR="002E6A0D" w:rsidRPr="00AC7317">
          <w:rPr>
            <w:rStyle w:val="Hyperlink"/>
            <w:rFonts w:ascii="Times New Roman" w:hAnsi="Times New Roman" w:cs="Times New Roman"/>
          </w:rPr>
          <w:t>Copeland, Shapiro and Taylor 2022</w:t>
        </w:r>
      </w:hyperlink>
      <w:r w:rsidRPr="00AC7317">
        <w:rPr>
          <w:rFonts w:ascii="Times New Roman" w:hAnsi="Times New Roman" w:cs="Times New Roman"/>
        </w:rPr>
        <w:t xml:space="preserve">; </w:t>
      </w:r>
      <w:hyperlink w:anchor="ref-villoria2022">
        <w:r w:rsidR="002E6A0D" w:rsidRPr="00AC7317">
          <w:rPr>
            <w:rStyle w:val="Hyperlink"/>
            <w:rFonts w:ascii="Times New Roman" w:hAnsi="Times New Roman" w:cs="Times New Roman"/>
          </w:rPr>
          <w:t>Villoria et al. 2022</w:t>
        </w:r>
      </w:hyperlink>
      <w:r w:rsidRPr="00AC7317">
        <w:rPr>
          <w:rFonts w:ascii="Times New Roman" w:hAnsi="Times New Roman" w:cs="Times New Roman"/>
        </w:rPr>
        <w:t>) about the limited effectiveness of unilateral trade policies covering relatively smaller markets. Second, our analysis highlights the broader challenges of using trade restrictions to achieve environmental goals, contributing to the literature of environmental-trade relations (</w:t>
      </w:r>
      <w:hyperlink w:anchor="ref-shapiro2021">
        <w:r w:rsidR="002E6A0D" w:rsidRPr="00AC7317">
          <w:rPr>
            <w:rStyle w:val="Hyperlink"/>
            <w:rFonts w:ascii="Times New Roman" w:hAnsi="Times New Roman" w:cs="Times New Roman"/>
          </w:rPr>
          <w:t>Shapiro 2021</w:t>
        </w:r>
      </w:hyperlink>
      <w:r w:rsidRPr="00AC7317">
        <w:rPr>
          <w:rFonts w:ascii="Times New Roman" w:hAnsi="Times New Roman" w:cs="Times New Roman"/>
        </w:rPr>
        <w:t xml:space="preserve">; </w:t>
      </w:r>
      <w:hyperlink w:anchor="ref-felbermayr2024">
        <w:proofErr w:type="spellStart"/>
        <w:r w:rsidR="002E6A0D" w:rsidRPr="00AC7317">
          <w:rPr>
            <w:rStyle w:val="Hyperlink"/>
            <w:rFonts w:ascii="Times New Roman" w:hAnsi="Times New Roman" w:cs="Times New Roman"/>
          </w:rPr>
          <w:t>Felbermayr</w:t>
        </w:r>
        <w:proofErr w:type="spellEnd"/>
        <w:r w:rsidR="002E6A0D" w:rsidRPr="00AC7317">
          <w:rPr>
            <w:rStyle w:val="Hyperlink"/>
            <w:rFonts w:ascii="Times New Roman" w:hAnsi="Times New Roman" w:cs="Times New Roman"/>
          </w:rPr>
          <w:t xml:space="preserve">, Peterson and </w:t>
        </w:r>
        <w:proofErr w:type="spellStart"/>
        <w:r w:rsidR="002E6A0D" w:rsidRPr="00AC7317">
          <w:rPr>
            <w:rStyle w:val="Hyperlink"/>
            <w:rFonts w:ascii="Times New Roman" w:hAnsi="Times New Roman" w:cs="Times New Roman"/>
          </w:rPr>
          <w:t>Wanner</w:t>
        </w:r>
        <w:proofErr w:type="spellEnd"/>
        <w:r w:rsidR="002E6A0D" w:rsidRPr="00AC7317">
          <w:rPr>
            <w:rStyle w:val="Hyperlink"/>
            <w:rFonts w:ascii="Times New Roman" w:hAnsi="Times New Roman" w:cs="Times New Roman"/>
          </w:rPr>
          <w:t xml:space="preserve"> 2024</w:t>
        </w:r>
      </w:hyperlink>
      <w:r w:rsidRPr="00AC7317">
        <w:rPr>
          <w:rFonts w:ascii="Times New Roman" w:hAnsi="Times New Roman" w:cs="Times New Roman"/>
        </w:rPr>
        <w:t>). This issue underscores two tensions in the multilateral trade system: concerns from deforestation-risk countries about the discriminatory nature of the EUDR restrictions, and policy trade-offs between environmental objectives and market access (</w:t>
      </w:r>
      <w:hyperlink w:anchor="ref-larch2017">
        <w:r w:rsidR="002E6A0D" w:rsidRPr="00AC7317">
          <w:rPr>
            <w:rStyle w:val="Hyperlink"/>
            <w:rFonts w:ascii="Times New Roman" w:hAnsi="Times New Roman" w:cs="Times New Roman"/>
          </w:rPr>
          <w:t xml:space="preserve">Larch and </w:t>
        </w:r>
        <w:proofErr w:type="spellStart"/>
        <w:r w:rsidR="002E6A0D" w:rsidRPr="00AC7317">
          <w:rPr>
            <w:rStyle w:val="Hyperlink"/>
            <w:rFonts w:ascii="Times New Roman" w:hAnsi="Times New Roman" w:cs="Times New Roman"/>
          </w:rPr>
          <w:t>Wanner</w:t>
        </w:r>
        <w:proofErr w:type="spellEnd"/>
        <w:r w:rsidR="002E6A0D" w:rsidRPr="00AC7317">
          <w:rPr>
            <w:rStyle w:val="Hyperlink"/>
            <w:rFonts w:ascii="Times New Roman" w:hAnsi="Times New Roman" w:cs="Times New Roman"/>
          </w:rPr>
          <w:t xml:space="preserve"> 2017</w:t>
        </w:r>
      </w:hyperlink>
      <w:r w:rsidRPr="00AC7317">
        <w:rPr>
          <w:rFonts w:ascii="Times New Roman" w:hAnsi="Times New Roman" w:cs="Times New Roman"/>
        </w:rPr>
        <w:t xml:space="preserve">; </w:t>
      </w:r>
      <w:hyperlink w:anchor="ref-farrokhi2024">
        <w:r w:rsidR="002E6A0D" w:rsidRPr="00AC7317">
          <w:rPr>
            <w:rStyle w:val="Hyperlink"/>
            <w:rFonts w:ascii="Times New Roman" w:hAnsi="Times New Roman" w:cs="Times New Roman"/>
          </w:rPr>
          <w:t xml:space="preserve">Farrokhi and </w:t>
        </w:r>
        <w:proofErr w:type="spellStart"/>
        <w:r w:rsidR="002E6A0D" w:rsidRPr="00AC7317">
          <w:rPr>
            <w:rStyle w:val="Hyperlink"/>
            <w:rFonts w:ascii="Times New Roman" w:hAnsi="Times New Roman" w:cs="Times New Roman"/>
          </w:rPr>
          <w:t>Lashkaripour</w:t>
        </w:r>
        <w:proofErr w:type="spellEnd"/>
        <w:r w:rsidR="002E6A0D" w:rsidRPr="00AC7317">
          <w:rPr>
            <w:rStyle w:val="Hyperlink"/>
            <w:rFonts w:ascii="Times New Roman" w:hAnsi="Times New Roman" w:cs="Times New Roman"/>
          </w:rPr>
          <w:t xml:space="preserve"> 2024</w:t>
        </w:r>
      </w:hyperlink>
      <w:r w:rsidRPr="00AC7317">
        <w:rPr>
          <w:rFonts w:ascii="Times New Roman" w:hAnsi="Times New Roman" w:cs="Times New Roman"/>
        </w:rPr>
        <w:t>). The experience with the EU’s REACH suggests that, over time, stringent European technical regulations can diffuse as trading partners harmonize to retain market access (</w:t>
      </w:r>
      <w:hyperlink w:anchor="ref-cha2021">
        <w:r w:rsidR="002E6A0D" w:rsidRPr="00AC7317">
          <w:rPr>
            <w:rStyle w:val="Hyperlink"/>
            <w:rFonts w:ascii="Times New Roman" w:hAnsi="Times New Roman" w:cs="Times New Roman"/>
          </w:rPr>
          <w:t>Cha and Koo 2021</w:t>
        </w:r>
      </w:hyperlink>
      <w:r w:rsidRPr="00AC7317">
        <w:rPr>
          <w:rFonts w:ascii="Times New Roman" w:hAnsi="Times New Roman" w:cs="Times New Roman"/>
        </w:rPr>
        <w:t>), but the short run is characterized by compliance burdens and trade reallocation; the very dynamics we document for soy under the EUDR.</w:t>
      </w:r>
    </w:p>
    <w:p w14:paraId="2809C766" w14:textId="13600430" w:rsidR="002E6A0D" w:rsidRPr="00AC7317" w:rsidRDefault="00F96466" w:rsidP="00216BA2">
      <w:pPr>
        <w:pStyle w:val="Heading1"/>
        <w:spacing w:line="480" w:lineRule="auto"/>
        <w:jc w:val="both"/>
        <w:rPr>
          <w:rFonts w:ascii="Times New Roman" w:hAnsi="Times New Roman" w:cs="Times New Roman"/>
          <w:sz w:val="24"/>
          <w:szCs w:val="24"/>
        </w:rPr>
      </w:pPr>
      <w:bookmarkStart w:id="1" w:name="Xad4d0e3934e785df513e8cd0e9ce1d1d1177f54"/>
      <w:bookmarkEnd w:id="0"/>
      <w:r w:rsidRPr="00AC7317">
        <w:rPr>
          <w:rFonts w:ascii="Times New Roman" w:hAnsi="Times New Roman" w:cs="Times New Roman"/>
          <w:sz w:val="24"/>
          <w:szCs w:val="24"/>
        </w:rPr>
        <w:t>2. The EUDR, the global soy market</w:t>
      </w:r>
      <w:r w:rsidR="00216BA2" w:rsidRPr="00AC7317">
        <w:rPr>
          <w:rFonts w:ascii="Times New Roman" w:hAnsi="Times New Roman" w:cs="Times New Roman"/>
          <w:sz w:val="24"/>
          <w:szCs w:val="24"/>
        </w:rPr>
        <w:t>,</w:t>
      </w:r>
      <w:r w:rsidRPr="00AC7317">
        <w:rPr>
          <w:rFonts w:ascii="Times New Roman" w:hAnsi="Times New Roman" w:cs="Times New Roman"/>
          <w:sz w:val="24"/>
          <w:szCs w:val="24"/>
        </w:rPr>
        <w:t xml:space="preserve"> and </w:t>
      </w:r>
      <w:r w:rsidR="00216BA2" w:rsidRPr="00AC7317">
        <w:rPr>
          <w:rFonts w:ascii="Times New Roman" w:hAnsi="Times New Roman" w:cs="Times New Roman"/>
          <w:sz w:val="24"/>
          <w:szCs w:val="24"/>
        </w:rPr>
        <w:t>implications</w:t>
      </w:r>
      <w:r w:rsidRPr="00AC7317">
        <w:rPr>
          <w:rFonts w:ascii="Times New Roman" w:hAnsi="Times New Roman" w:cs="Times New Roman"/>
          <w:sz w:val="24"/>
          <w:szCs w:val="24"/>
        </w:rPr>
        <w:t xml:space="preserve"> </w:t>
      </w:r>
      <w:r w:rsidR="00216BA2" w:rsidRPr="00AC7317">
        <w:rPr>
          <w:rFonts w:ascii="Times New Roman" w:hAnsi="Times New Roman" w:cs="Times New Roman"/>
          <w:sz w:val="24"/>
          <w:szCs w:val="24"/>
        </w:rPr>
        <w:t>for</w:t>
      </w:r>
      <w:r w:rsidRPr="00AC7317">
        <w:rPr>
          <w:rFonts w:ascii="Times New Roman" w:hAnsi="Times New Roman" w:cs="Times New Roman"/>
          <w:sz w:val="24"/>
          <w:szCs w:val="24"/>
        </w:rPr>
        <w:t xml:space="preserve"> deforestation</w:t>
      </w:r>
    </w:p>
    <w:p w14:paraId="1A335578" w14:textId="5051C0F6" w:rsidR="002E6A0D" w:rsidRPr="00AC7317" w:rsidRDefault="00F96466" w:rsidP="00216BA2">
      <w:pPr>
        <w:pStyle w:val="FirstParagraph"/>
        <w:spacing w:line="480" w:lineRule="auto"/>
        <w:jc w:val="both"/>
        <w:rPr>
          <w:rFonts w:ascii="Times New Roman" w:hAnsi="Times New Roman" w:cs="Times New Roman"/>
        </w:rPr>
      </w:pPr>
      <w:r w:rsidRPr="00AC7317">
        <w:rPr>
          <w:rFonts w:ascii="Times New Roman" w:hAnsi="Times New Roman" w:cs="Times New Roman"/>
        </w:rPr>
        <w:t>The EUDR—Regulation (EU) 2023/1115 adopted on June 2023, and postponed to come into effect on December, 2025—repeals the EU Timber Regulation (EUTR) and goes beyond timber (wood) legality standards by including the six additional agricultural commodities (including their derivatives based on Harmonized System (HS) of classification): oil palm, cattle, soy, cocoa, coffee, and rubber (</w:t>
      </w:r>
      <w:hyperlink w:anchor="ref-european2023">
        <w:r w:rsidR="002E6A0D" w:rsidRPr="00AC7317">
          <w:rPr>
            <w:rStyle w:val="Hyperlink"/>
            <w:rFonts w:ascii="Times New Roman" w:hAnsi="Times New Roman" w:cs="Times New Roman"/>
          </w:rPr>
          <w:t>European Union 2023</w:t>
        </w:r>
      </w:hyperlink>
      <w:r w:rsidRPr="00AC7317">
        <w:rPr>
          <w:rFonts w:ascii="Times New Roman" w:hAnsi="Times New Roman" w:cs="Times New Roman"/>
        </w:rPr>
        <w:t xml:space="preserve">). The EUDR prohibits the trade of products whose supply chain is linked to either deforestation or forest degradation and mandates due diligence for tracing the origin of their products and providing evidence that they are sourced from non-deforested land. The regulation applies directly to the soy processors and supply companies that must verify the lack of deforestation along the supply chain, using geospatial data, land tenure documents, and compliance records with local laws. Enforcement of the regulation is the responsibility of the EU member states, which must establish robust monitoring </w:t>
      </w:r>
      <w:r w:rsidRPr="00AC7317">
        <w:rPr>
          <w:rFonts w:ascii="Times New Roman" w:hAnsi="Times New Roman" w:cs="Times New Roman"/>
        </w:rPr>
        <w:lastRenderedPageBreak/>
        <w:t xml:space="preserve">and evaluation mechanisms, requiring the companies to submit due diligence statements and maintain traceability throughout the supply chain. When companies are found to breach </w:t>
      </w:r>
      <w:r w:rsidR="00C324A9" w:rsidRPr="00AC7317">
        <w:rPr>
          <w:rFonts w:ascii="Times New Roman" w:hAnsi="Times New Roman" w:cs="Times New Roman"/>
        </w:rPr>
        <w:t xml:space="preserve">due </w:t>
      </w:r>
      <w:r w:rsidRPr="00AC7317">
        <w:rPr>
          <w:rFonts w:ascii="Times New Roman" w:hAnsi="Times New Roman" w:cs="Times New Roman"/>
        </w:rPr>
        <w:t xml:space="preserve">diligence statements, the member state can charge </w:t>
      </w:r>
      <w:proofErr w:type="gramStart"/>
      <w:r w:rsidRPr="00AC7317">
        <w:rPr>
          <w:rFonts w:ascii="Times New Roman" w:hAnsi="Times New Roman" w:cs="Times New Roman"/>
        </w:rPr>
        <w:t xml:space="preserve">penalties </w:t>
      </w:r>
      <w:r w:rsidR="00E43610" w:rsidRPr="00AC7317">
        <w:rPr>
          <w:rFonts w:ascii="Times New Roman" w:hAnsi="Times New Roman" w:cs="Times New Roman"/>
        </w:rPr>
        <w:t>of</w:t>
      </w:r>
      <w:r w:rsidRPr="00AC7317">
        <w:rPr>
          <w:rFonts w:ascii="Times New Roman" w:hAnsi="Times New Roman" w:cs="Times New Roman"/>
        </w:rPr>
        <w:t xml:space="preserve"> at</w:t>
      </w:r>
      <w:proofErr w:type="gramEnd"/>
      <w:r w:rsidRPr="00AC7317">
        <w:rPr>
          <w:rFonts w:ascii="Times New Roman" w:hAnsi="Times New Roman" w:cs="Times New Roman"/>
        </w:rPr>
        <w:t xml:space="preserve"> least 4% of the annual turnover, confiscate the soy products or revenue, impose a temporary exclusion from public procurement, and impose a temporary prohibition from placing soy products on the EU market. Further, member states will conduct checks based on the risk benchmarking of the country of origin, including document reviews and field inspections. For example, major soy-producing South American countries, such as Brazil, Argentina, Paraguay, and Bolivia, fall under the standard risk category, and the member states conduct compliance checks </w:t>
      </w:r>
      <w:r w:rsidR="00E43610" w:rsidRPr="00AC7317">
        <w:rPr>
          <w:rFonts w:ascii="Times New Roman" w:hAnsi="Times New Roman" w:cs="Times New Roman"/>
        </w:rPr>
        <w:t xml:space="preserve">on </w:t>
      </w:r>
      <w:r w:rsidRPr="00AC7317">
        <w:rPr>
          <w:rFonts w:ascii="Times New Roman" w:hAnsi="Times New Roman" w:cs="Times New Roman"/>
        </w:rPr>
        <w:t>at least 3% of companies sourcing soy products from these countries annually.</w:t>
      </w:r>
    </w:p>
    <w:p w14:paraId="3E62A606" w14:textId="77777777"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t>Four soy products based on the HS codes are subject to the EUDR: HS 1201 (soybeans whether or not broken), HS 120810 (Soybean flour and meal), HS 1507 (Soybean oil and its fractions, whether or not refined, but not chemically modified) and HS 2304 (oilcake and other solid residues, whether or not ground or in the form of pellets, resulting from the extraction of soybean oil). Soybeans account for 64.91% (USD 90.97 billion) of these products, followed by 0.36%, 10.34%, and 24.39%, respectively.</w:t>
      </w:r>
    </w:p>
    <w:p w14:paraId="69880E51" w14:textId="77777777"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noProof/>
        </w:rPr>
        <w:lastRenderedPageBreak/>
        <w:drawing>
          <wp:inline distT="0" distB="0" distL="0" distR="0" wp14:anchorId="6F09C384" wp14:editId="00A930F7">
            <wp:extent cx="5931408" cy="448056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figure_soybean_panel.png"/>
                    <pic:cNvPicPr>
                      <a:picLocks noChangeAspect="1" noChangeArrowheads="1"/>
                    </pic:cNvPicPr>
                  </pic:nvPicPr>
                  <pic:blipFill>
                    <a:blip r:embed="rId8"/>
                    <a:stretch>
                      <a:fillRect/>
                    </a:stretch>
                  </pic:blipFill>
                  <pic:spPr bwMode="auto">
                    <a:xfrm>
                      <a:off x="0" y="0"/>
                      <a:ext cx="5949640" cy="4494332"/>
                    </a:xfrm>
                    <a:prstGeom prst="rect">
                      <a:avLst/>
                    </a:prstGeom>
                    <a:noFill/>
                    <a:ln w="9525">
                      <a:noFill/>
                      <a:headEnd/>
                      <a:tailEnd/>
                    </a:ln>
                  </pic:spPr>
                </pic:pic>
              </a:graphicData>
            </a:graphic>
          </wp:inline>
        </w:drawing>
      </w:r>
    </w:p>
    <w:p w14:paraId="239A26F9" w14:textId="1E415807" w:rsidR="002E6A0D" w:rsidRPr="00AC7317" w:rsidRDefault="00F96466" w:rsidP="00216BA2">
      <w:pPr>
        <w:pStyle w:val="BodyText"/>
        <w:spacing w:line="480" w:lineRule="auto"/>
        <w:jc w:val="both"/>
        <w:rPr>
          <w:rFonts w:ascii="Times New Roman" w:hAnsi="Times New Roman" w:cs="Times New Roman"/>
        </w:rPr>
      </w:pPr>
      <w:bookmarkStart w:id="2" w:name="fig1"/>
      <w:r w:rsidRPr="00AC7317">
        <w:rPr>
          <w:rFonts w:ascii="Times New Roman" w:hAnsi="Times New Roman" w:cs="Times New Roman"/>
        </w:rPr>
        <w:t>Figure 1</w:t>
      </w:r>
      <w:bookmarkEnd w:id="2"/>
      <w:r w:rsidRPr="00AC7317">
        <w:rPr>
          <w:rFonts w:ascii="Times New Roman" w:hAnsi="Times New Roman" w:cs="Times New Roman"/>
        </w:rPr>
        <w:t xml:space="preserve">: Global trade flows of </w:t>
      </w:r>
      <w:r w:rsidR="00E70B3B" w:rsidRPr="00AC7317">
        <w:rPr>
          <w:rFonts w:ascii="Times New Roman" w:hAnsi="Times New Roman" w:cs="Times New Roman"/>
        </w:rPr>
        <w:t xml:space="preserve">the </w:t>
      </w:r>
      <w:r w:rsidRPr="00AC7317">
        <w:rPr>
          <w:rFonts w:ascii="Times New Roman" w:hAnsi="Times New Roman" w:cs="Times New Roman"/>
        </w:rPr>
        <w:t>soy market. (a) Soybean (HS1201) trade flow</w:t>
      </w:r>
      <w:r w:rsidR="00634F38" w:rsidRPr="00AC7317">
        <w:rPr>
          <w:rFonts w:ascii="Times New Roman" w:hAnsi="Times New Roman" w:cs="Times New Roman"/>
        </w:rPr>
        <w:t>s</w:t>
      </w:r>
      <w:r w:rsidR="00E70B3B" w:rsidRPr="00AC7317">
        <w:rPr>
          <w:rFonts w:ascii="Times New Roman" w:hAnsi="Times New Roman" w:cs="Times New Roman"/>
        </w:rPr>
        <w:t xml:space="preserve">, which share 64.91% of the </w:t>
      </w:r>
      <w:r w:rsidRPr="00AC7317">
        <w:rPr>
          <w:rFonts w:ascii="Times New Roman" w:hAnsi="Times New Roman" w:cs="Times New Roman"/>
        </w:rPr>
        <w:t>total soy trade. (b) Soybean oil (HS1507) trade flows</w:t>
      </w:r>
      <w:r w:rsidR="00E70B3B" w:rsidRPr="00AC7317">
        <w:rPr>
          <w:rFonts w:ascii="Times New Roman" w:hAnsi="Times New Roman" w:cs="Times New Roman"/>
        </w:rPr>
        <w:t>, which share 10.34% of total soy trade. (c) Soybean flour and meal (HS120810) trade flows, which share 0.36% of total soy trade. (d) Soybean oil cake (HS2304) trade flows, which share</w:t>
      </w:r>
      <w:r w:rsidRPr="00AC7317">
        <w:rPr>
          <w:rFonts w:ascii="Times New Roman" w:hAnsi="Times New Roman" w:cs="Times New Roman"/>
        </w:rPr>
        <w:t xml:space="preserve"> 24.39% of total soy trade. Trade flows are based on cumulative values from 2021 to 2023. The values in the brackets represent the average export and import values over the same period. The left side of the </w:t>
      </w:r>
      <w:r w:rsidR="00E70B3B" w:rsidRPr="00AC7317">
        <w:rPr>
          <w:rFonts w:ascii="Times New Roman" w:hAnsi="Times New Roman" w:cs="Times New Roman"/>
        </w:rPr>
        <w:t>plot</w:t>
      </w:r>
      <w:r w:rsidRPr="00AC7317">
        <w:rPr>
          <w:rFonts w:ascii="Times New Roman" w:hAnsi="Times New Roman" w:cs="Times New Roman"/>
        </w:rPr>
        <w:t xml:space="preserve"> indicates exporters, while the right side indicates importers.</w:t>
      </w:r>
    </w:p>
    <w:p w14:paraId="6BD5E75C" w14:textId="77777777" w:rsidR="002E6A0D" w:rsidRPr="00AC7317" w:rsidRDefault="00F96466" w:rsidP="00216BA2">
      <w:pPr>
        <w:pStyle w:val="BodyText"/>
        <w:spacing w:line="480" w:lineRule="auto"/>
        <w:jc w:val="both"/>
        <w:rPr>
          <w:rFonts w:ascii="Times New Roman" w:hAnsi="Times New Roman" w:cs="Times New Roman"/>
          <w:lang w:val="fr-FR"/>
        </w:rPr>
      </w:pPr>
      <w:proofErr w:type="gramStart"/>
      <w:r w:rsidRPr="00AC7317">
        <w:rPr>
          <w:rFonts w:ascii="Times New Roman" w:hAnsi="Times New Roman" w:cs="Times New Roman"/>
          <w:lang w:val="fr-FR"/>
        </w:rPr>
        <w:t>Source:</w:t>
      </w:r>
      <w:proofErr w:type="gramEnd"/>
      <w:r w:rsidRPr="00AC7317">
        <w:rPr>
          <w:rFonts w:ascii="Times New Roman" w:hAnsi="Times New Roman" w:cs="Times New Roman"/>
          <w:lang w:val="fr-FR"/>
        </w:rPr>
        <w:t xml:space="preserve"> UN </w:t>
      </w:r>
      <w:proofErr w:type="spellStart"/>
      <w:r w:rsidRPr="00AC7317">
        <w:rPr>
          <w:rFonts w:ascii="Times New Roman" w:hAnsi="Times New Roman" w:cs="Times New Roman"/>
          <w:lang w:val="fr-FR"/>
        </w:rPr>
        <w:t>Comtrade</w:t>
      </w:r>
      <w:proofErr w:type="spellEnd"/>
      <w:r w:rsidRPr="00AC7317">
        <w:rPr>
          <w:rFonts w:ascii="Times New Roman" w:hAnsi="Times New Roman" w:cs="Times New Roman"/>
          <w:lang w:val="fr-FR"/>
        </w:rPr>
        <w:t xml:space="preserve"> </w:t>
      </w:r>
      <w:proofErr w:type="spellStart"/>
      <w:r w:rsidRPr="00AC7317">
        <w:rPr>
          <w:rFonts w:ascii="Times New Roman" w:hAnsi="Times New Roman" w:cs="Times New Roman"/>
          <w:lang w:val="fr-FR"/>
        </w:rPr>
        <w:t>Database</w:t>
      </w:r>
      <w:proofErr w:type="spellEnd"/>
      <w:r w:rsidRPr="00AC7317">
        <w:rPr>
          <w:rFonts w:ascii="Times New Roman" w:hAnsi="Times New Roman" w:cs="Times New Roman"/>
          <w:lang w:val="fr-FR"/>
        </w:rPr>
        <w:t xml:space="preserve"> (</w:t>
      </w:r>
      <w:proofErr w:type="spellStart"/>
      <w:r w:rsidR="002E6A0D" w:rsidRPr="00AC7317">
        <w:fldChar w:fldCharType="begin"/>
      </w:r>
      <w:r w:rsidR="002E6A0D" w:rsidRPr="00AC7317">
        <w:rPr>
          <w:lang w:val="fr-FR"/>
        </w:rPr>
        <w:instrText>HYPERLINK \l "ref-comtrade2024" \h</w:instrText>
      </w:r>
      <w:r w:rsidR="002E6A0D" w:rsidRPr="00AC7317">
        <w:fldChar w:fldCharType="separate"/>
      </w:r>
      <w:r w:rsidR="002E6A0D" w:rsidRPr="00AC7317">
        <w:rPr>
          <w:rStyle w:val="Hyperlink"/>
          <w:rFonts w:ascii="Times New Roman" w:hAnsi="Times New Roman" w:cs="Times New Roman"/>
          <w:lang w:val="fr-FR"/>
        </w:rPr>
        <w:t>Comtrade</w:t>
      </w:r>
      <w:proofErr w:type="spellEnd"/>
      <w:r w:rsidR="002E6A0D" w:rsidRPr="00AC7317">
        <w:rPr>
          <w:rStyle w:val="Hyperlink"/>
          <w:rFonts w:ascii="Times New Roman" w:hAnsi="Times New Roman" w:cs="Times New Roman"/>
          <w:lang w:val="fr-FR"/>
        </w:rPr>
        <w:t xml:space="preserve"> 2024</w:t>
      </w:r>
      <w:r w:rsidR="002E6A0D" w:rsidRPr="00AC7317">
        <w:fldChar w:fldCharType="end"/>
      </w:r>
      <w:r w:rsidRPr="00AC7317">
        <w:rPr>
          <w:rFonts w:ascii="Times New Roman" w:hAnsi="Times New Roman" w:cs="Times New Roman"/>
          <w:lang w:val="fr-FR"/>
        </w:rPr>
        <w:t>)</w:t>
      </w:r>
    </w:p>
    <w:p w14:paraId="0819AA83" w14:textId="503D7B0C"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lastRenderedPageBreak/>
        <w:t>The global soybean market is characterized by three important features: (1) The increased production of soybeans is largely attributed to expanded land area. Between 2010 and 2021, the global harvested area for soybeans increased by 20.59%, leading to an 18% rise in production. This growth was driven primarily by land expansion (85%) and, to a lesser extent, yield improvements (15%) (</w:t>
      </w:r>
      <w:hyperlink w:anchor="ref-cassman2020">
        <w:r w:rsidR="002E6A0D" w:rsidRPr="00AC7317">
          <w:rPr>
            <w:rStyle w:val="Hyperlink"/>
            <w:rFonts w:ascii="Times New Roman" w:hAnsi="Times New Roman" w:cs="Times New Roman"/>
          </w:rPr>
          <w:t>Cassman and Grassini 2020</w:t>
        </w:r>
      </w:hyperlink>
      <w:r w:rsidRPr="00AC7317">
        <w:rPr>
          <w:rFonts w:ascii="Times New Roman" w:hAnsi="Times New Roman" w:cs="Times New Roman"/>
        </w:rPr>
        <w:t>). In Brazil, soybean production increased ninefold between 1990 and 2020, with much of this expansion occurring at the expense of natural ecosystems such as the Amazon and Cerrado (</w:t>
      </w:r>
      <w:proofErr w:type="spellStart"/>
      <w:r w:rsidR="002E6A0D" w:rsidRPr="00AC7317">
        <w:fldChar w:fldCharType="begin"/>
      </w:r>
      <w:r w:rsidR="002E6A0D" w:rsidRPr="00AC7317">
        <w:instrText>HYPERLINK \l "ref-umburanas2022" \h</w:instrText>
      </w:r>
      <w:r w:rsidR="002E6A0D" w:rsidRPr="00AC7317">
        <w:fldChar w:fldCharType="separate"/>
      </w:r>
      <w:r w:rsidR="002E6A0D" w:rsidRPr="00AC7317">
        <w:rPr>
          <w:rStyle w:val="Hyperlink"/>
          <w:rFonts w:ascii="Times New Roman" w:hAnsi="Times New Roman" w:cs="Times New Roman"/>
        </w:rPr>
        <w:t>Umburanas</w:t>
      </w:r>
      <w:proofErr w:type="spellEnd"/>
      <w:r w:rsidR="002E6A0D" w:rsidRPr="00AC7317">
        <w:rPr>
          <w:rStyle w:val="Hyperlink"/>
          <w:rFonts w:ascii="Times New Roman" w:hAnsi="Times New Roman" w:cs="Times New Roman"/>
        </w:rPr>
        <w:t xml:space="preserve"> et al. 2022</w:t>
      </w:r>
      <w:r w:rsidR="002E6A0D" w:rsidRPr="00AC7317">
        <w:fldChar w:fldCharType="end"/>
      </w:r>
      <w:r w:rsidRPr="00AC7317">
        <w:rPr>
          <w:rFonts w:ascii="Times New Roman" w:hAnsi="Times New Roman" w:cs="Times New Roman"/>
        </w:rPr>
        <w:t xml:space="preserve">; </w:t>
      </w:r>
      <w:hyperlink w:anchor="ref-fehlenberg2017">
        <w:proofErr w:type="spellStart"/>
        <w:r w:rsidR="002E6A0D" w:rsidRPr="00AC7317">
          <w:rPr>
            <w:rStyle w:val="Hyperlink"/>
            <w:rFonts w:ascii="Times New Roman" w:hAnsi="Times New Roman" w:cs="Times New Roman"/>
          </w:rPr>
          <w:t>Fehlenberg</w:t>
        </w:r>
        <w:proofErr w:type="spellEnd"/>
        <w:r w:rsidR="002E6A0D" w:rsidRPr="00AC7317">
          <w:rPr>
            <w:rStyle w:val="Hyperlink"/>
            <w:rFonts w:ascii="Times New Roman" w:hAnsi="Times New Roman" w:cs="Times New Roman"/>
          </w:rPr>
          <w:t xml:space="preserve"> et al. 2017</w:t>
        </w:r>
      </w:hyperlink>
      <w:r w:rsidRPr="00AC7317">
        <w:rPr>
          <w:rFonts w:ascii="Times New Roman" w:hAnsi="Times New Roman" w:cs="Times New Roman"/>
        </w:rPr>
        <w:t>). (2) The global soybean market represents one of the largest and most concentrated agricultural commodity trades, dominated by three major players: the US, Brazil, and China (</w:t>
      </w:r>
      <w:hyperlink w:anchor="ref-gale2019">
        <w:r w:rsidR="002E6A0D" w:rsidRPr="00AC7317">
          <w:rPr>
            <w:rStyle w:val="Hyperlink"/>
            <w:rFonts w:ascii="Times New Roman" w:hAnsi="Times New Roman" w:cs="Times New Roman"/>
          </w:rPr>
          <w:t>Gale, Valdes and Ash 2019</w:t>
        </w:r>
      </w:hyperlink>
      <w:r w:rsidRPr="00AC7317">
        <w:rPr>
          <w:rFonts w:ascii="Times New Roman" w:hAnsi="Times New Roman" w:cs="Times New Roman"/>
        </w:rPr>
        <w:t xml:space="preserve">). Brazil and the US collectively account for over 80% of global soybean exports, while China alone imports more than 60% of global soybean imports, as illustrated in </w:t>
      </w:r>
      <w:hyperlink w:anchor="fig1">
        <w:r w:rsidR="006B5A0E" w:rsidRPr="00AC7317">
          <w:rPr>
            <w:rStyle w:val="Hyperlink"/>
            <w:rFonts w:ascii="Times New Roman" w:hAnsi="Times New Roman" w:cs="Times New Roman"/>
          </w:rPr>
          <w:t>figure 1</w:t>
        </w:r>
      </w:hyperlink>
      <w:r w:rsidRPr="00AC7317">
        <w:rPr>
          <w:rFonts w:ascii="Times New Roman" w:hAnsi="Times New Roman" w:cs="Times New Roman"/>
        </w:rPr>
        <w:t xml:space="preserve">. Although a relatively minor player in raw soybean and soybean oil imports, at 9.88% and 10.34%, respectively, the EU remains the leading importer </w:t>
      </w:r>
      <w:r w:rsidR="00C324A9" w:rsidRPr="00AC7317">
        <w:rPr>
          <w:rFonts w:ascii="Times New Roman" w:hAnsi="Times New Roman" w:cs="Times New Roman"/>
        </w:rPr>
        <w:t xml:space="preserve">in </w:t>
      </w:r>
      <w:r w:rsidRPr="00AC7317">
        <w:rPr>
          <w:rFonts w:ascii="Times New Roman" w:hAnsi="Times New Roman" w:cs="Times New Roman"/>
        </w:rPr>
        <w:t>the global soybean meal and oilcake market</w:t>
      </w:r>
      <w:r w:rsidR="00C324A9" w:rsidRPr="00AC7317">
        <w:rPr>
          <w:rFonts w:ascii="Times New Roman" w:hAnsi="Times New Roman" w:cs="Times New Roman"/>
        </w:rPr>
        <w:t>s</w:t>
      </w:r>
      <w:r w:rsidRPr="00AC7317">
        <w:rPr>
          <w:rFonts w:ascii="Times New Roman" w:hAnsi="Times New Roman" w:cs="Times New Roman"/>
        </w:rPr>
        <w:t xml:space="preserve">, representing 32.16% of the imports (see </w:t>
      </w:r>
      <w:hyperlink w:anchor="table41">
        <w:r w:rsidR="00D5157F" w:rsidRPr="00AC7317">
          <w:rPr>
            <w:rStyle w:val="Hyperlink"/>
            <w:rFonts w:ascii="Times New Roman" w:hAnsi="Times New Roman" w:cs="Times New Roman"/>
          </w:rPr>
          <w:t>a</w:t>
        </w:r>
        <w:r w:rsidR="00ED01EC" w:rsidRPr="00AC7317">
          <w:rPr>
            <w:rStyle w:val="Hyperlink"/>
            <w:rFonts w:ascii="Times New Roman" w:hAnsi="Times New Roman" w:cs="Times New Roman"/>
          </w:rPr>
          <w:t xml:space="preserve">ppendix </w:t>
        </w:r>
        <w:r w:rsidR="00D5157F" w:rsidRPr="00AC7317">
          <w:rPr>
            <w:rStyle w:val="Hyperlink"/>
            <w:rFonts w:ascii="Times New Roman" w:hAnsi="Times New Roman" w:cs="Times New Roman"/>
          </w:rPr>
          <w:t>t</w:t>
        </w:r>
        <w:r w:rsidR="002E6A0D" w:rsidRPr="00AC7317">
          <w:rPr>
            <w:rStyle w:val="Hyperlink"/>
            <w:rFonts w:ascii="Times New Roman" w:hAnsi="Times New Roman" w:cs="Times New Roman"/>
          </w:rPr>
          <w:t>able 4.1</w:t>
        </w:r>
      </w:hyperlink>
      <w:r w:rsidRPr="00AC7317">
        <w:rPr>
          <w:rFonts w:ascii="Times New Roman" w:hAnsi="Times New Roman" w:cs="Times New Roman"/>
        </w:rPr>
        <w:t xml:space="preserve"> for details on the EU’s trade share). In addition, the soybean oil market is relatively </w:t>
      </w:r>
      <w:r w:rsidR="00677BF0" w:rsidRPr="00AC7317">
        <w:rPr>
          <w:rFonts w:ascii="Times New Roman" w:hAnsi="Times New Roman" w:cs="Times New Roman"/>
        </w:rPr>
        <w:t xml:space="preserve">more </w:t>
      </w:r>
      <w:r w:rsidRPr="00AC7317">
        <w:rPr>
          <w:rFonts w:ascii="Times New Roman" w:hAnsi="Times New Roman" w:cs="Times New Roman"/>
        </w:rPr>
        <w:t>fragmented than the soybean cake and soybeans</w:t>
      </w:r>
      <w:r w:rsidR="00BB3289" w:rsidRPr="00AC7317">
        <w:rPr>
          <w:rFonts w:ascii="Times New Roman" w:hAnsi="Times New Roman" w:cs="Times New Roman"/>
        </w:rPr>
        <w:t xml:space="preserve"> market</w:t>
      </w:r>
      <w:r w:rsidR="001F0007" w:rsidRPr="00AC7317">
        <w:rPr>
          <w:rFonts w:ascii="Times New Roman" w:hAnsi="Times New Roman" w:cs="Times New Roman"/>
        </w:rPr>
        <w:t xml:space="preserve">. This fragmentation distributes </w:t>
      </w:r>
      <w:r w:rsidR="00BB3289" w:rsidRPr="00AC7317">
        <w:rPr>
          <w:rFonts w:ascii="Times New Roman" w:hAnsi="Times New Roman" w:cs="Times New Roman"/>
        </w:rPr>
        <w:t xml:space="preserve">market </w:t>
      </w:r>
      <w:r w:rsidR="001F0007" w:rsidRPr="00AC7317">
        <w:rPr>
          <w:rFonts w:ascii="Times New Roman" w:hAnsi="Times New Roman" w:cs="Times New Roman"/>
        </w:rPr>
        <w:t>leverage more evenly across</w:t>
      </w:r>
      <w:r w:rsidR="00BB3289" w:rsidRPr="00AC7317">
        <w:rPr>
          <w:rFonts w:ascii="Times New Roman" w:hAnsi="Times New Roman" w:cs="Times New Roman"/>
        </w:rPr>
        <w:t xml:space="preserve"> multiple</w:t>
      </w:r>
      <w:r w:rsidR="001E7E19" w:rsidRPr="00AC7317">
        <w:rPr>
          <w:rFonts w:ascii="Times New Roman" w:hAnsi="Times New Roman" w:cs="Times New Roman"/>
        </w:rPr>
        <w:t xml:space="preserve"> sources and destinations</w:t>
      </w:r>
      <w:r w:rsidR="001F0007" w:rsidRPr="00AC7317">
        <w:rPr>
          <w:rFonts w:ascii="Times New Roman" w:hAnsi="Times New Roman" w:cs="Times New Roman"/>
        </w:rPr>
        <w:t>, unlike the concentrated markets for soybean cake and soybeans</w:t>
      </w:r>
      <w:r w:rsidRPr="00AC7317">
        <w:rPr>
          <w:rFonts w:ascii="Times New Roman" w:hAnsi="Times New Roman" w:cs="Times New Roman"/>
        </w:rPr>
        <w:t>. (3) Few companies control the global soy supply chain (</w:t>
      </w:r>
      <w:hyperlink w:anchor="ref-heron2018">
        <w:r w:rsidR="002E6A0D" w:rsidRPr="00AC7317">
          <w:rPr>
            <w:rStyle w:val="Hyperlink"/>
            <w:rFonts w:ascii="Times New Roman" w:hAnsi="Times New Roman" w:cs="Times New Roman"/>
          </w:rPr>
          <w:t>Heron, Prado and West 2018</w:t>
        </w:r>
      </w:hyperlink>
      <w:r w:rsidRPr="00AC7317">
        <w:rPr>
          <w:rFonts w:ascii="Times New Roman" w:hAnsi="Times New Roman" w:cs="Times New Roman"/>
        </w:rPr>
        <w:t xml:space="preserve">; </w:t>
      </w:r>
      <w:hyperlink w:anchor="ref-gouveris2024">
        <w:proofErr w:type="spellStart"/>
        <w:r w:rsidR="002E6A0D" w:rsidRPr="00AC7317">
          <w:rPr>
            <w:rStyle w:val="Hyperlink"/>
            <w:rFonts w:ascii="Times New Roman" w:hAnsi="Times New Roman" w:cs="Times New Roman"/>
          </w:rPr>
          <w:t>Gouveris</w:t>
        </w:r>
        <w:proofErr w:type="spellEnd"/>
        <w:r w:rsidR="002E6A0D" w:rsidRPr="00AC7317">
          <w:rPr>
            <w:rStyle w:val="Hyperlink"/>
            <w:rFonts w:ascii="Times New Roman" w:hAnsi="Times New Roman" w:cs="Times New Roman"/>
          </w:rPr>
          <w:t xml:space="preserve"> 2024</w:t>
        </w:r>
      </w:hyperlink>
      <w:r w:rsidRPr="00AC7317">
        <w:rPr>
          <w:rFonts w:ascii="Times New Roman" w:hAnsi="Times New Roman" w:cs="Times New Roman"/>
        </w:rPr>
        <w:t xml:space="preserve">). In Brazil, six multinational corporations—Archer Daniels Midland (ADM), Bunge, Cargill, Louis Dreyfus Company (LDC), Glencore, and </w:t>
      </w:r>
      <w:proofErr w:type="spellStart"/>
      <w:r w:rsidRPr="00AC7317">
        <w:rPr>
          <w:rFonts w:ascii="Times New Roman" w:hAnsi="Times New Roman" w:cs="Times New Roman"/>
        </w:rPr>
        <w:t>Amaggi</w:t>
      </w:r>
      <w:proofErr w:type="spellEnd"/>
      <w:r w:rsidRPr="00AC7317">
        <w:rPr>
          <w:rFonts w:ascii="Times New Roman" w:hAnsi="Times New Roman" w:cs="Times New Roman"/>
        </w:rPr>
        <w:t>—together were responsible for 56.6% of soy exports and 66.3% of export-related soy deforestation risk over 2008 and 2017 (</w:t>
      </w:r>
      <w:proofErr w:type="spellStart"/>
      <w:r w:rsidR="002E6A0D" w:rsidRPr="00AC7317">
        <w:fldChar w:fldCharType="begin"/>
      </w:r>
      <w:r w:rsidR="002E6A0D" w:rsidRPr="00AC7317">
        <w:instrText>HYPERLINK \l "ref-ermgassen2020" \h</w:instrText>
      </w:r>
      <w:r w:rsidR="002E6A0D" w:rsidRPr="00AC7317">
        <w:fldChar w:fldCharType="separate"/>
      </w:r>
      <w:r w:rsidR="002E6A0D" w:rsidRPr="00AC7317">
        <w:rPr>
          <w:rStyle w:val="Hyperlink"/>
          <w:rFonts w:ascii="Times New Roman" w:hAnsi="Times New Roman" w:cs="Times New Roman"/>
        </w:rPr>
        <w:t>Ermgassen</w:t>
      </w:r>
      <w:proofErr w:type="spellEnd"/>
      <w:r w:rsidR="002E6A0D" w:rsidRPr="00AC7317">
        <w:rPr>
          <w:rStyle w:val="Hyperlink"/>
          <w:rFonts w:ascii="Times New Roman" w:hAnsi="Times New Roman" w:cs="Times New Roman"/>
        </w:rPr>
        <w:t xml:space="preserve"> et al. 2020</w:t>
      </w:r>
      <w:r w:rsidR="002E6A0D" w:rsidRPr="00AC7317">
        <w:fldChar w:fldCharType="end"/>
      </w:r>
      <w:r w:rsidRPr="00AC7317">
        <w:rPr>
          <w:rFonts w:ascii="Times New Roman" w:hAnsi="Times New Roman" w:cs="Times New Roman"/>
        </w:rPr>
        <w:t>). These companies play a pivotal role in shaping supply chains and compliance with regulations.</w:t>
      </w:r>
    </w:p>
    <w:p w14:paraId="5BAF2141" w14:textId="4F7EC126"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lastRenderedPageBreak/>
        <w:t>The EUDR has faced criticism despite its aim to reduce tropical deforestation. Producer countries argue that the regulation is imposed unilaterally, ignoring their forest protection efforts (</w:t>
      </w:r>
      <w:hyperlink w:anchor="ref-vannoordwijk2025">
        <w:r w:rsidR="002E6A0D" w:rsidRPr="00AC7317">
          <w:rPr>
            <w:rStyle w:val="Hyperlink"/>
            <w:rFonts w:ascii="Times New Roman" w:hAnsi="Times New Roman" w:cs="Times New Roman"/>
          </w:rPr>
          <w:t xml:space="preserve">Noordwijk, </w:t>
        </w:r>
        <w:proofErr w:type="spellStart"/>
        <w:r w:rsidR="002E6A0D" w:rsidRPr="00AC7317">
          <w:rPr>
            <w:rStyle w:val="Hyperlink"/>
            <w:rFonts w:ascii="Times New Roman" w:hAnsi="Times New Roman" w:cs="Times New Roman"/>
          </w:rPr>
          <w:t>Leimona</w:t>
        </w:r>
        <w:proofErr w:type="spellEnd"/>
        <w:r w:rsidR="002E6A0D" w:rsidRPr="00AC7317">
          <w:rPr>
            <w:rStyle w:val="Hyperlink"/>
            <w:rFonts w:ascii="Times New Roman" w:hAnsi="Times New Roman" w:cs="Times New Roman"/>
          </w:rPr>
          <w:t xml:space="preserve"> and </w:t>
        </w:r>
        <w:proofErr w:type="spellStart"/>
        <w:r w:rsidR="002E6A0D" w:rsidRPr="00AC7317">
          <w:rPr>
            <w:rStyle w:val="Hyperlink"/>
            <w:rFonts w:ascii="Times New Roman" w:hAnsi="Times New Roman" w:cs="Times New Roman"/>
          </w:rPr>
          <w:t>Minang</w:t>
        </w:r>
        <w:proofErr w:type="spellEnd"/>
        <w:r w:rsidR="002E6A0D" w:rsidRPr="00AC7317">
          <w:rPr>
            <w:rStyle w:val="Hyperlink"/>
            <w:rFonts w:ascii="Times New Roman" w:hAnsi="Times New Roman" w:cs="Times New Roman"/>
          </w:rPr>
          <w:t xml:space="preserve"> 2025</w:t>
        </w:r>
      </w:hyperlink>
      <w:r w:rsidRPr="00AC7317">
        <w:rPr>
          <w:rFonts w:ascii="Times New Roman" w:hAnsi="Times New Roman" w:cs="Times New Roman"/>
        </w:rPr>
        <w:t xml:space="preserve">; </w:t>
      </w:r>
      <w:hyperlink w:anchor="ref-fisher2024">
        <w:r w:rsidR="002E6A0D" w:rsidRPr="00AC7317">
          <w:rPr>
            <w:rStyle w:val="Hyperlink"/>
            <w:rFonts w:ascii="Times New Roman" w:hAnsi="Times New Roman" w:cs="Times New Roman"/>
          </w:rPr>
          <w:t>Fisher et al. 2024</w:t>
        </w:r>
      </w:hyperlink>
      <w:r w:rsidRPr="00AC7317">
        <w:rPr>
          <w:rFonts w:ascii="Times New Roman" w:hAnsi="Times New Roman" w:cs="Times New Roman"/>
        </w:rPr>
        <w:t>). The regulation’s data-intensive compliance is a major challenge, especially for multinational companies that struggle to trace commodity origins. For instance, although about 95% of soy from the Amazon and Cerrado in 2020 was deforestation-free, verifying this for EU compliance remains difficult (</w:t>
      </w:r>
      <w:hyperlink w:anchor="ref-vasconcelos2023">
        <w:r w:rsidR="002E6A0D" w:rsidRPr="00AC7317">
          <w:rPr>
            <w:rStyle w:val="Hyperlink"/>
            <w:rFonts w:ascii="Times New Roman" w:hAnsi="Times New Roman" w:cs="Times New Roman"/>
          </w:rPr>
          <w:t>Vasconcelos et al. 2023</w:t>
        </w:r>
      </w:hyperlink>
      <w:r w:rsidRPr="00AC7317">
        <w:rPr>
          <w:rFonts w:ascii="Times New Roman" w:hAnsi="Times New Roman" w:cs="Times New Roman"/>
        </w:rPr>
        <w:t>). Similar administrative burdens for data verification of foreign emissions are a central concern in the EU’s Carbon Border Adjustment Mechanism (CB</w:t>
      </w:r>
      <w:r w:rsidR="00E56172" w:rsidRPr="00AC7317">
        <w:rPr>
          <w:rFonts w:ascii="Times New Roman" w:hAnsi="Times New Roman" w:cs="Times New Roman"/>
        </w:rPr>
        <w:t>A</w:t>
      </w:r>
      <w:r w:rsidRPr="00AC7317">
        <w:rPr>
          <w:rFonts w:ascii="Times New Roman" w:hAnsi="Times New Roman" w:cs="Times New Roman"/>
        </w:rPr>
        <w:t xml:space="preserve">M) debate (see </w:t>
      </w:r>
      <w:hyperlink w:anchor="ref-bellora2023">
        <w:r w:rsidR="002E6A0D" w:rsidRPr="00AC7317">
          <w:rPr>
            <w:rStyle w:val="Hyperlink"/>
            <w:rFonts w:ascii="Times New Roman" w:hAnsi="Times New Roman" w:cs="Times New Roman"/>
          </w:rPr>
          <w:t xml:space="preserve">Bellora and </w:t>
        </w:r>
        <w:proofErr w:type="spellStart"/>
        <w:r w:rsidR="002E6A0D" w:rsidRPr="00AC7317">
          <w:rPr>
            <w:rStyle w:val="Hyperlink"/>
            <w:rFonts w:ascii="Times New Roman" w:hAnsi="Times New Roman" w:cs="Times New Roman"/>
          </w:rPr>
          <w:t>Fontagné</w:t>
        </w:r>
        <w:proofErr w:type="spellEnd"/>
        <w:r w:rsidR="002E6A0D" w:rsidRPr="00AC7317">
          <w:rPr>
            <w:rStyle w:val="Hyperlink"/>
            <w:rFonts w:ascii="Times New Roman" w:hAnsi="Times New Roman" w:cs="Times New Roman"/>
          </w:rPr>
          <w:t xml:space="preserve"> 2023</w:t>
        </w:r>
      </w:hyperlink>
      <w:r w:rsidRPr="00AC7317">
        <w:rPr>
          <w:rFonts w:ascii="Times New Roman" w:hAnsi="Times New Roman" w:cs="Times New Roman"/>
        </w:rPr>
        <w:t>), highlighting that data collection costs matter a lot for environmental-cum-trade regulations. Such rules may also exclude smallholder farmers, including indigenous and local communities, as collecting geospatial data and land-tenure documents is costly and complex (</w:t>
      </w:r>
      <w:proofErr w:type="spellStart"/>
      <w:r w:rsidR="002E6A0D" w:rsidRPr="00AC7317">
        <w:fldChar w:fldCharType="begin"/>
      </w:r>
      <w:r w:rsidR="002E6A0D" w:rsidRPr="00AC7317">
        <w:instrText>HYPERLINK \l "ref-burgi2023" \h</w:instrText>
      </w:r>
      <w:r w:rsidR="002E6A0D" w:rsidRPr="00AC7317">
        <w:fldChar w:fldCharType="separate"/>
      </w:r>
      <w:r w:rsidR="002E6A0D" w:rsidRPr="00AC7317">
        <w:rPr>
          <w:rStyle w:val="Hyperlink"/>
          <w:rFonts w:ascii="Times New Roman" w:hAnsi="Times New Roman" w:cs="Times New Roman"/>
        </w:rPr>
        <w:t>Bürgi</w:t>
      </w:r>
      <w:proofErr w:type="spellEnd"/>
      <w:r w:rsidR="002E6A0D" w:rsidRPr="00AC7317">
        <w:rPr>
          <w:rStyle w:val="Hyperlink"/>
          <w:rFonts w:ascii="Times New Roman" w:hAnsi="Times New Roman" w:cs="Times New Roman"/>
        </w:rPr>
        <w:t xml:space="preserve"> and </w:t>
      </w:r>
      <w:proofErr w:type="spellStart"/>
      <w:r w:rsidR="002E6A0D" w:rsidRPr="00AC7317">
        <w:rPr>
          <w:rStyle w:val="Hyperlink"/>
          <w:rFonts w:ascii="Times New Roman" w:hAnsi="Times New Roman" w:cs="Times New Roman"/>
        </w:rPr>
        <w:t>Oberlack</w:t>
      </w:r>
      <w:proofErr w:type="spellEnd"/>
      <w:r w:rsidR="002E6A0D" w:rsidRPr="00AC7317">
        <w:rPr>
          <w:rStyle w:val="Hyperlink"/>
          <w:rFonts w:ascii="Times New Roman" w:hAnsi="Times New Roman" w:cs="Times New Roman"/>
        </w:rPr>
        <w:t xml:space="preserve"> 2023</w:t>
      </w:r>
      <w:r w:rsidR="002E6A0D" w:rsidRPr="00AC7317">
        <w:fldChar w:fldCharType="end"/>
      </w:r>
      <w:r w:rsidRPr="00AC7317">
        <w:rPr>
          <w:rFonts w:ascii="Times New Roman" w:hAnsi="Times New Roman" w:cs="Times New Roman"/>
        </w:rPr>
        <w:t xml:space="preserve">; </w:t>
      </w:r>
      <w:hyperlink w:anchor="ref-vannoordwijk2025">
        <w:r w:rsidR="002E6A0D" w:rsidRPr="00AC7317">
          <w:rPr>
            <w:rStyle w:val="Hyperlink"/>
            <w:rFonts w:ascii="Times New Roman" w:hAnsi="Times New Roman" w:cs="Times New Roman"/>
          </w:rPr>
          <w:t>Noordwijk et al. 2025</w:t>
        </w:r>
      </w:hyperlink>
      <w:r w:rsidRPr="00AC7317">
        <w:rPr>
          <w:rFonts w:ascii="Times New Roman" w:hAnsi="Times New Roman" w:cs="Times New Roman"/>
        </w:rPr>
        <w:t xml:space="preserve">; </w:t>
      </w:r>
      <w:hyperlink w:anchor="ref-fisher2024">
        <w:r w:rsidR="002E6A0D" w:rsidRPr="00AC7317">
          <w:rPr>
            <w:rStyle w:val="Hyperlink"/>
            <w:rFonts w:ascii="Times New Roman" w:hAnsi="Times New Roman" w:cs="Times New Roman"/>
          </w:rPr>
          <w:t>Fisher et al. 2024</w:t>
        </w:r>
      </w:hyperlink>
      <w:r w:rsidRPr="00AC7317">
        <w:rPr>
          <w:rFonts w:ascii="Times New Roman" w:hAnsi="Times New Roman" w:cs="Times New Roman"/>
        </w:rPr>
        <w:t>), with mapping costs estimated at $30–$40 per plot (</w:t>
      </w:r>
      <w:hyperlink w:anchor="ref-gilbert2024">
        <w:r w:rsidR="002E6A0D" w:rsidRPr="00AC7317">
          <w:rPr>
            <w:rStyle w:val="Hyperlink"/>
            <w:rFonts w:ascii="Times New Roman" w:hAnsi="Times New Roman" w:cs="Times New Roman"/>
          </w:rPr>
          <w:t>Gilbert 2024</w:t>
        </w:r>
      </w:hyperlink>
      <w:r w:rsidRPr="00AC7317">
        <w:rPr>
          <w:rFonts w:ascii="Times New Roman" w:hAnsi="Times New Roman" w:cs="Times New Roman"/>
        </w:rPr>
        <w:t>). Finally, since the EU represents a small share of the global soybean market, its influence is limited. This could result in segregated supply chains, with compliant soy sent to the EU and non-compliant ones sold elsewhere, leading to no change in deforestation (</w:t>
      </w:r>
      <w:hyperlink w:anchor="ref-deoliveira2024">
        <w:r w:rsidR="002E6A0D" w:rsidRPr="00AC7317">
          <w:rPr>
            <w:rStyle w:val="Hyperlink"/>
            <w:rFonts w:ascii="Times New Roman" w:hAnsi="Times New Roman" w:cs="Times New Roman"/>
          </w:rPr>
          <w:t>Oliveira et al. 2024</w:t>
        </w:r>
      </w:hyperlink>
      <w:r w:rsidRPr="00AC7317">
        <w:rPr>
          <w:rFonts w:ascii="Times New Roman" w:hAnsi="Times New Roman" w:cs="Times New Roman"/>
        </w:rPr>
        <w:t xml:space="preserve">; </w:t>
      </w:r>
      <w:hyperlink w:anchor="ref-agunity2023">
        <w:proofErr w:type="spellStart"/>
        <w:r w:rsidR="002E6A0D" w:rsidRPr="00AC7317">
          <w:rPr>
            <w:rStyle w:val="Hyperlink"/>
            <w:rFonts w:ascii="Times New Roman" w:hAnsi="Times New Roman" w:cs="Times New Roman"/>
          </w:rPr>
          <w:t>AgUnity</w:t>
        </w:r>
        <w:proofErr w:type="spellEnd"/>
        <w:r w:rsidR="002E6A0D" w:rsidRPr="00AC7317">
          <w:rPr>
            <w:rStyle w:val="Hyperlink"/>
            <w:rFonts w:ascii="Times New Roman" w:hAnsi="Times New Roman" w:cs="Times New Roman"/>
          </w:rPr>
          <w:t xml:space="preserve"> 2023</w:t>
        </w:r>
      </w:hyperlink>
      <w:r w:rsidRPr="00AC7317">
        <w:rPr>
          <w:rFonts w:ascii="Times New Roman" w:hAnsi="Times New Roman" w:cs="Times New Roman"/>
        </w:rPr>
        <w:t>).</w:t>
      </w:r>
    </w:p>
    <w:p w14:paraId="690BECC8" w14:textId="77777777" w:rsidR="00FE507B" w:rsidRPr="00AC7317" w:rsidRDefault="00FE507B" w:rsidP="00743D77">
      <w:pPr>
        <w:pStyle w:val="Heading1"/>
        <w:rPr>
          <w:rFonts w:ascii="Times New Roman" w:hAnsi="Times New Roman" w:cs="Times New Roman"/>
          <w:sz w:val="24"/>
          <w:szCs w:val="24"/>
        </w:rPr>
      </w:pPr>
      <w:r w:rsidRPr="00AC7317">
        <w:rPr>
          <w:rFonts w:ascii="Times New Roman" w:hAnsi="Times New Roman" w:cs="Times New Roman"/>
          <w:sz w:val="24"/>
          <w:szCs w:val="24"/>
        </w:rPr>
        <w:t>3. Conceptual framework and empirical strategy</w:t>
      </w:r>
    </w:p>
    <w:p w14:paraId="53B79A6D" w14:textId="09FBEE03" w:rsidR="00FE507B" w:rsidRPr="00AC7317" w:rsidRDefault="00FE507B" w:rsidP="00FE507B">
      <w:pPr>
        <w:pStyle w:val="FirstParagraph"/>
        <w:spacing w:line="480" w:lineRule="auto"/>
        <w:jc w:val="both"/>
        <w:rPr>
          <w:rFonts w:ascii="Times New Roman" w:hAnsi="Times New Roman" w:cs="Times New Roman"/>
        </w:rPr>
      </w:pPr>
      <w:r w:rsidRPr="00AC7317">
        <w:rPr>
          <w:rFonts w:ascii="Times New Roman" w:hAnsi="Times New Roman" w:cs="Times New Roman"/>
        </w:rPr>
        <w:t xml:space="preserve">To analyze the potential effects of the EUDR on global soy trade, we employ the structural gravity </w:t>
      </w:r>
      <w:r w:rsidR="00C324A9" w:rsidRPr="00AC7317">
        <w:rPr>
          <w:rFonts w:ascii="Times New Roman" w:hAnsi="Times New Roman" w:cs="Times New Roman"/>
        </w:rPr>
        <w:t xml:space="preserve">model </w:t>
      </w:r>
      <w:r w:rsidRPr="00AC7317">
        <w:rPr>
          <w:rFonts w:ascii="Times New Roman" w:hAnsi="Times New Roman" w:cs="Times New Roman"/>
        </w:rPr>
        <w:t xml:space="preserve">of Anderson and van </w:t>
      </w:r>
      <w:proofErr w:type="spellStart"/>
      <w:r w:rsidRPr="00AC7317">
        <w:rPr>
          <w:rFonts w:ascii="Times New Roman" w:hAnsi="Times New Roman" w:cs="Times New Roman"/>
        </w:rPr>
        <w:t>Wincoop</w:t>
      </w:r>
      <w:proofErr w:type="spellEnd"/>
      <w:r w:rsidRPr="00AC7317">
        <w:rPr>
          <w:rFonts w:ascii="Times New Roman" w:hAnsi="Times New Roman" w:cs="Times New Roman"/>
        </w:rPr>
        <w:t xml:space="preserve"> (</w:t>
      </w:r>
      <w:hyperlink w:anchor="ref-anderson2003">
        <w:r w:rsidRPr="00AC7317">
          <w:rPr>
            <w:rStyle w:val="Hyperlink"/>
            <w:rFonts w:ascii="Times New Roman" w:hAnsi="Times New Roman" w:cs="Times New Roman"/>
          </w:rPr>
          <w:t xml:space="preserve">Anderson and Van </w:t>
        </w:r>
        <w:proofErr w:type="spellStart"/>
        <w:r w:rsidRPr="00AC7317">
          <w:rPr>
            <w:rStyle w:val="Hyperlink"/>
            <w:rFonts w:ascii="Times New Roman" w:hAnsi="Times New Roman" w:cs="Times New Roman"/>
          </w:rPr>
          <w:t>Wincoop</w:t>
        </w:r>
        <w:proofErr w:type="spellEnd"/>
        <w:r w:rsidRPr="00AC7317">
          <w:rPr>
            <w:rStyle w:val="Hyperlink"/>
            <w:rFonts w:ascii="Times New Roman" w:hAnsi="Times New Roman" w:cs="Times New Roman"/>
          </w:rPr>
          <w:t xml:space="preserve"> 2003</w:t>
        </w:r>
      </w:hyperlink>
      <w:r w:rsidRPr="00AC7317">
        <w:rPr>
          <w:rFonts w:ascii="Times New Roman" w:hAnsi="Times New Roman" w:cs="Times New Roman"/>
        </w:rPr>
        <w:t>). In this framework, the bilateral trade flows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ijt</m:t>
            </m:r>
          </m:sub>
        </m:sSub>
      </m:oMath>
      <w:r w:rsidRPr="00AC7317">
        <w:rPr>
          <w:rFonts w:ascii="Times New Roman" w:hAnsi="Times New Roman" w:cs="Times New Roman"/>
        </w:rPr>
        <w:t xml:space="preserve">) of soy products at time </w:t>
      </w:r>
      <m:oMath>
        <m:r>
          <w:rPr>
            <w:rFonts w:ascii="Cambria Math" w:hAnsi="Cambria Math" w:cs="Times New Roman"/>
          </w:rPr>
          <m:t>t</m:t>
        </m:r>
      </m:oMath>
      <w:r w:rsidRPr="00AC7317">
        <w:rPr>
          <w:rFonts w:ascii="Times New Roman" w:hAnsi="Times New Roman" w:cs="Times New Roman"/>
        </w:rPr>
        <w:t xml:space="preserve">, where </w:t>
      </w:r>
      <m:oMath>
        <m:r>
          <w:rPr>
            <w:rFonts w:ascii="Cambria Math" w:hAnsi="Cambria Math" w:cs="Times New Roman"/>
          </w:rPr>
          <m:t>i</m:t>
        </m:r>
      </m:oMath>
      <w:r w:rsidRPr="00AC7317">
        <w:rPr>
          <w:rFonts w:ascii="Times New Roman" w:hAnsi="Times New Roman" w:cs="Times New Roman"/>
        </w:rPr>
        <w:t xml:space="preserve"> denotes exporters and </w:t>
      </w:r>
      <m:oMath>
        <m:r>
          <w:rPr>
            <w:rFonts w:ascii="Cambria Math" w:hAnsi="Cambria Math" w:cs="Times New Roman"/>
          </w:rPr>
          <m:t>j</m:t>
        </m:r>
      </m:oMath>
      <w:r w:rsidRPr="00AC7317">
        <w:rPr>
          <w:rFonts w:ascii="Times New Roman" w:hAnsi="Times New Roman" w:cs="Times New Roman"/>
        </w:rPr>
        <w:t xml:space="preserve"> denotes importers, are a function of </w:t>
      </w:r>
      <w:r w:rsidR="00C324A9" w:rsidRPr="00AC7317">
        <w:rPr>
          <w:rFonts w:ascii="Times New Roman" w:hAnsi="Times New Roman" w:cs="Times New Roman"/>
        </w:rPr>
        <w:t>supply and demand shifters</w:t>
      </w:r>
      <w:r w:rsidRPr="00AC7317">
        <w:rPr>
          <w:rFonts w:ascii="Times New Roman" w:hAnsi="Times New Roman" w:cs="Times New Roman"/>
        </w:rPr>
        <w:t xml:space="preserve"> and the costs associated with </w:t>
      </w:r>
      <w:r w:rsidR="00C324A9" w:rsidRPr="00AC7317">
        <w:rPr>
          <w:rFonts w:ascii="Times New Roman" w:hAnsi="Times New Roman" w:cs="Times New Roman"/>
        </w:rPr>
        <w:t xml:space="preserve">bilateral </w:t>
      </w:r>
      <w:r w:rsidRPr="00AC7317">
        <w:rPr>
          <w:rFonts w:ascii="Times New Roman" w:hAnsi="Times New Roman" w:cs="Times New Roman"/>
        </w:rPr>
        <w:t>trade</w:t>
      </w:r>
      <w:r w:rsidR="00C324A9" w:rsidRPr="00AC7317">
        <w:rPr>
          <w:rFonts w:ascii="Times New Roman" w:hAnsi="Times New Roman" w:cs="Times New Roman"/>
        </w:rPr>
        <w:t>, along the entire universe of trading partners</w:t>
      </w:r>
      <w:r w:rsidRPr="00AC7317">
        <w:rPr>
          <w:rFonts w:ascii="Times New Roman" w:hAnsi="Times New Roman" w:cs="Times New Roman"/>
        </w:rPr>
        <w:t>. The gravity equation is given by:</w:t>
      </w:r>
    </w:p>
    <w:p w14:paraId="45AC3212" w14:textId="0E457C77" w:rsidR="00FE507B" w:rsidRPr="00AC7317" w:rsidRDefault="00000000" w:rsidP="00FE507B">
      <w:pPr>
        <w:pStyle w:val="BodyText"/>
        <w:spacing w:line="48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ijt</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jt</m:t>
                  </m:r>
                </m:sub>
              </m:sSub>
            </m:num>
            <m:den>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den>
          </m:f>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ijt</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it</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jt</m:t>
                          </m:r>
                        </m:sub>
                      </m:sSub>
                    </m:den>
                  </m:f>
                </m:e>
              </m:d>
            </m:e>
            <m:sup>
              <m:r>
                <w:rPr>
                  <w:rFonts w:ascii="Cambria Math" w:hAnsi="Cambria Math" w:cs="Times New Roman"/>
                </w:rPr>
                <m:t>1</m:t>
              </m:r>
              <m:r>
                <m:rPr>
                  <m:sty m:val="p"/>
                </m:rPr>
                <w:rPr>
                  <w:rFonts w:ascii="Cambria Math" w:hAnsi="Cambria Math" w:cs="Times New Roman"/>
                </w:rPr>
                <m:t>-</m:t>
              </m:r>
              <m:r>
                <w:rPr>
                  <w:rFonts w:ascii="Cambria Math" w:hAnsi="Cambria Math" w:cs="Times New Roman"/>
                </w:rPr>
                <m:t>σ</m:t>
              </m:r>
            </m:sup>
          </m:sSup>
          <m:r>
            <m:rPr>
              <m:sty m:val="p"/>
            </m:rPr>
            <w:rPr>
              <w:rFonts w:ascii="Cambria Math" w:hAnsi="Cambria Math" w:cs="Times New Roman"/>
            </w:rPr>
            <m:t>,</m:t>
          </m:r>
          <m:r>
            <w:rPr>
              <w:rFonts w:ascii="Cambria Math" w:hAnsi="Cambria Math" w:cs="Times New Roman"/>
            </w:rPr>
            <m:t> </m:t>
          </m:r>
          <m:d>
            <m:dPr>
              <m:ctrlPr>
                <w:rPr>
                  <w:rFonts w:ascii="Cambria Math" w:hAnsi="Cambria Math" w:cs="Times New Roman"/>
                </w:rPr>
              </m:ctrlPr>
            </m:dPr>
            <m:e>
              <m:r>
                <w:rPr>
                  <w:rFonts w:ascii="Cambria Math" w:hAnsi="Cambria Math" w:cs="Times New Roman"/>
                </w:rPr>
                <m:t>1</m:t>
              </m:r>
            </m:e>
          </m:d>
        </m:oMath>
      </m:oMathPara>
    </w:p>
    <w:p w14:paraId="7A09C61C" w14:textId="77777777" w:rsidR="00FE507B" w:rsidRPr="00AC7317" w:rsidRDefault="00FE507B" w:rsidP="00FE507B">
      <w:pPr>
        <w:pStyle w:val="FirstParagraph"/>
        <w:spacing w:line="480" w:lineRule="auto"/>
        <w:jc w:val="both"/>
        <w:rPr>
          <w:rFonts w:ascii="Times New Roman" w:hAnsi="Times New Roman" w:cs="Times New Roman"/>
        </w:rPr>
      </w:pPr>
      <w:r w:rsidRPr="00AC7317">
        <w:rPr>
          <w:rFonts w:ascii="Times New Roman" w:hAnsi="Times New Roman" w:cs="Times New Roman"/>
        </w:rPr>
        <w:t>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oMath>
      <w:r w:rsidRPr="00AC7317">
        <w:rPr>
          <w:rFonts w:ascii="Times New Roman" w:hAnsi="Times New Roman" w:cs="Times New Roman"/>
        </w:rPr>
        <w:t xml:space="preserve">) is the total soy supply from the exporter </w:t>
      </w:r>
      <m:oMath>
        <m:r>
          <w:rPr>
            <w:rFonts w:ascii="Cambria Math" w:hAnsi="Cambria Math" w:cs="Times New Roman"/>
          </w:rPr>
          <m:t>i</m:t>
        </m:r>
      </m:oMath>
      <w:r w:rsidRPr="00AC7317">
        <w:rPr>
          <w:rFonts w:ascii="Times New Roman" w:hAnsi="Times New Roman" w:cs="Times New Roman"/>
        </w:rPr>
        <w:t>,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jt</m:t>
            </m:r>
          </m:sub>
        </m:sSub>
      </m:oMath>
      <w:r w:rsidRPr="00AC7317">
        <w:rPr>
          <w:rFonts w:ascii="Times New Roman" w:hAnsi="Times New Roman" w:cs="Times New Roman"/>
        </w:rPr>
        <w:t xml:space="preserve">) is the total soy expenditure of importer </w:t>
      </w:r>
      <m:oMath>
        <m:r>
          <w:rPr>
            <w:rFonts w:ascii="Cambria Math" w:hAnsi="Cambria Math" w:cs="Times New Roman"/>
          </w:rPr>
          <m:t>j</m:t>
        </m:r>
      </m:oMath>
      <w:r w:rsidRPr="00AC7317">
        <w:rPr>
          <w:rFonts w:ascii="Times New Roman" w:hAnsi="Times New Roman" w:cs="Times New Roman"/>
        </w:rPr>
        <w:t>, and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oMath>
      <w:r w:rsidRPr="00AC7317">
        <w:rPr>
          <w:rFonts w:ascii="Times New Roman" w:hAnsi="Times New Roman" w:cs="Times New Roman"/>
        </w:rPr>
        <w:t>) is total world production/consumption of soy. The parenthetical term captures trade costs, including bilateral trade cost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ijt</m:t>
            </m:r>
          </m:sub>
        </m:sSub>
      </m:oMath>
      <w:r w:rsidRPr="00AC7317">
        <w:rPr>
          <w:rFonts w:ascii="Times New Roman" w:hAnsi="Times New Roman" w:cs="Times New Roman"/>
        </w:rPr>
        <w:t xml:space="preserve">) and multilateral resistance terms: outward multilateral resistance (OMR,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it</m:t>
            </m:r>
          </m:sub>
        </m:sSub>
      </m:oMath>
      <w:r w:rsidRPr="00AC7317">
        <w:rPr>
          <w:rFonts w:ascii="Times New Roman" w:hAnsi="Times New Roman" w:cs="Times New Roman"/>
        </w:rPr>
        <w:t xml:space="preserve">) and inward multilateral resistance (IMR,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jt</m:t>
            </m:r>
          </m:sub>
        </m:sSub>
      </m:oMath>
      <w:r w:rsidRPr="00AC7317">
        <w:rPr>
          <w:rFonts w:ascii="Times New Roman" w:hAnsi="Times New Roman" w:cs="Times New Roman"/>
        </w:rPr>
        <w:t>). These resistance terms are expressed as follows:</w:t>
      </w:r>
    </w:p>
    <w:p w14:paraId="64021DC0" w14:textId="61F3C1B7" w:rsidR="00FE507B" w:rsidRPr="00AC7317" w:rsidRDefault="00000000" w:rsidP="00FE507B">
      <w:pPr>
        <w:pStyle w:val="BodyText"/>
        <w:spacing w:line="480" w:lineRule="auto"/>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it</m:t>
              </m:r>
            </m:sub>
            <m:sup>
              <m:r>
                <w:rPr>
                  <w:rFonts w:ascii="Cambria Math" w:hAnsi="Cambria Math" w:cs="Times New Roman"/>
                </w:rPr>
                <m:t>1</m:t>
              </m:r>
              <m:r>
                <m:rPr>
                  <m:sty m:val="p"/>
                </m:rPr>
                <w:rPr>
                  <w:rFonts w:ascii="Cambria Math" w:hAnsi="Cambria Math" w:cs="Times New Roman"/>
                </w:rPr>
                <m:t>-</m:t>
              </m:r>
              <m:r>
                <w:rPr>
                  <w:rFonts w:ascii="Cambria Math" w:hAnsi="Cambria Math" w:cs="Times New Roman"/>
                </w:rPr>
                <m:t>σ</m:t>
              </m:r>
            </m:sup>
          </m:sSubSup>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j</m:t>
              </m:r>
            </m:sub>
            <m:sup>
              <m:r>
                <w:rPr>
                  <w:rFonts w:ascii="Cambria Math" w:hAnsi="Cambria Math" w:cs="Times New Roman"/>
                </w:rPr>
                <m:t>​</m:t>
              </m:r>
            </m:sup>
            <m:e>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ijt</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jt</m:t>
                              </m:r>
                            </m:sub>
                          </m:sSub>
                        </m:den>
                      </m:f>
                    </m:e>
                  </m:d>
                </m:e>
                <m:sup>
                  <m:r>
                    <w:rPr>
                      <w:rFonts w:ascii="Cambria Math" w:hAnsi="Cambria Math" w:cs="Times New Roman"/>
                    </w:rPr>
                    <m:t>1</m:t>
                  </m:r>
                  <m:r>
                    <m:rPr>
                      <m:sty m:val="p"/>
                    </m:rPr>
                    <w:rPr>
                      <w:rFonts w:ascii="Cambria Math" w:hAnsi="Cambria Math" w:cs="Times New Roman"/>
                    </w:rPr>
                    <m:t>-</m:t>
                  </m:r>
                  <m:r>
                    <w:rPr>
                      <w:rFonts w:ascii="Cambria Math" w:hAnsi="Cambria Math" w:cs="Times New Roman"/>
                    </w:rPr>
                    <m:t>σ</m:t>
                  </m:r>
                </m:sup>
              </m:sSup>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jt</m:t>
                  </m:r>
                </m:sub>
              </m:sSub>
            </m:num>
            <m:den>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den>
          </m:f>
          <m:r>
            <m:rPr>
              <m:sty m:val="p"/>
            </m:rPr>
            <w:rPr>
              <w:rFonts w:ascii="Cambria Math" w:hAnsi="Cambria Math" w:cs="Times New Roman"/>
            </w:rPr>
            <m:t>,</m:t>
          </m:r>
          <m:r>
            <w:rPr>
              <w:rFonts w:ascii="Cambria Math" w:hAnsi="Cambria Math" w:cs="Times New Roman"/>
            </w:rPr>
            <m:t> </m:t>
          </m:r>
          <m:d>
            <m:dPr>
              <m:ctrlPr>
                <w:rPr>
                  <w:rFonts w:ascii="Cambria Math" w:hAnsi="Cambria Math" w:cs="Times New Roman"/>
                </w:rPr>
              </m:ctrlPr>
            </m:dPr>
            <m:e>
              <m:r>
                <w:rPr>
                  <w:rFonts w:ascii="Cambria Math" w:hAnsi="Cambria Math" w:cs="Times New Roman"/>
                </w:rPr>
                <m:t>2</m:t>
              </m:r>
            </m:e>
          </m:d>
        </m:oMath>
      </m:oMathPara>
    </w:p>
    <w:p w14:paraId="403C3913" w14:textId="100C945E" w:rsidR="00FE507B" w:rsidRPr="00AC7317" w:rsidRDefault="00000000" w:rsidP="00FE507B">
      <w:pPr>
        <w:pStyle w:val="FirstParagraph"/>
        <w:spacing w:line="480" w:lineRule="auto"/>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jt</m:t>
              </m:r>
            </m:sub>
            <m:sup>
              <m:r>
                <w:rPr>
                  <w:rFonts w:ascii="Cambria Math" w:hAnsi="Cambria Math" w:cs="Times New Roman"/>
                </w:rPr>
                <m:t>1</m:t>
              </m:r>
              <m:r>
                <m:rPr>
                  <m:sty m:val="p"/>
                </m:rPr>
                <w:rPr>
                  <w:rFonts w:ascii="Cambria Math" w:hAnsi="Cambria Math" w:cs="Times New Roman"/>
                </w:rPr>
                <m:t>-</m:t>
              </m:r>
              <m:r>
                <w:rPr>
                  <w:rFonts w:ascii="Cambria Math" w:hAnsi="Cambria Math" w:cs="Times New Roman"/>
                </w:rPr>
                <m:t>σ</m:t>
              </m:r>
            </m:sup>
          </m:sSubSup>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ijt</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it</m:t>
                              </m:r>
                            </m:sub>
                          </m:sSub>
                        </m:den>
                      </m:f>
                    </m:e>
                  </m:d>
                </m:e>
                <m:sup>
                  <m:r>
                    <w:rPr>
                      <w:rFonts w:ascii="Cambria Math" w:hAnsi="Cambria Math" w:cs="Times New Roman"/>
                    </w:rPr>
                    <m:t>1</m:t>
                  </m:r>
                  <m:r>
                    <m:rPr>
                      <m:sty m:val="p"/>
                    </m:rPr>
                    <w:rPr>
                      <w:rFonts w:ascii="Cambria Math" w:hAnsi="Cambria Math" w:cs="Times New Roman"/>
                    </w:rPr>
                    <m:t>-</m:t>
                  </m:r>
                  <m:r>
                    <w:rPr>
                      <w:rFonts w:ascii="Cambria Math" w:hAnsi="Cambria Math" w:cs="Times New Roman"/>
                    </w:rPr>
                    <m:t>σ</m:t>
                  </m:r>
                </m:sup>
              </m:sSup>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num>
            <m:den>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den>
          </m:f>
          <m:r>
            <m:rPr>
              <m:sty m:val="p"/>
            </m:rPr>
            <w:rPr>
              <w:rFonts w:ascii="Cambria Math" w:hAnsi="Cambria Math" w:cs="Times New Roman"/>
            </w:rPr>
            <m:t>.</m:t>
          </m:r>
          <m:r>
            <w:rPr>
              <w:rFonts w:ascii="Cambria Math" w:hAnsi="Cambria Math" w:cs="Times New Roman"/>
            </w:rPr>
            <m:t> </m:t>
          </m:r>
          <m:d>
            <m:dPr>
              <m:ctrlPr>
                <w:rPr>
                  <w:rFonts w:ascii="Cambria Math" w:hAnsi="Cambria Math" w:cs="Times New Roman"/>
                </w:rPr>
              </m:ctrlPr>
            </m:dPr>
            <m:e>
              <m:r>
                <w:rPr>
                  <w:rFonts w:ascii="Cambria Math" w:hAnsi="Cambria Math" w:cs="Times New Roman"/>
                </w:rPr>
                <m:t>3</m:t>
              </m:r>
            </m:e>
          </m:d>
        </m:oMath>
      </m:oMathPara>
    </w:p>
    <w:p w14:paraId="61665E13" w14:textId="4CE597C2" w:rsidR="00FE507B" w:rsidRPr="00AC7317" w:rsidRDefault="00FE507B" w:rsidP="00FE507B">
      <w:pPr>
        <w:pStyle w:val="FirstParagraph"/>
        <w:spacing w:line="480" w:lineRule="auto"/>
        <w:jc w:val="both"/>
        <w:rPr>
          <w:rFonts w:ascii="Times New Roman" w:hAnsi="Times New Roman" w:cs="Times New Roman"/>
        </w:rPr>
      </w:pPr>
      <w:r w:rsidRPr="00AC7317">
        <w:rPr>
          <w:rFonts w:ascii="Times New Roman" w:hAnsi="Times New Roman" w:cs="Times New Roman"/>
        </w:rPr>
        <w:t xml:space="preserve">These equations illustrate the interconnectedness of </w:t>
      </w:r>
      <w:r w:rsidR="00C324A9" w:rsidRPr="00AC7317">
        <w:rPr>
          <w:rFonts w:ascii="Times New Roman" w:hAnsi="Times New Roman" w:cs="Times New Roman"/>
        </w:rPr>
        <w:t>bilateral trade flows across all the countries that participate in trade</w:t>
      </w:r>
      <w:r w:rsidRPr="00AC7317">
        <w:rPr>
          <w:rFonts w:ascii="Times New Roman" w:hAnsi="Times New Roman" w:cs="Times New Roman"/>
        </w:rPr>
        <w:t xml:space="preserve">. For example, when China imposed a 25% retaliatory tariff on US soybeans in 2018, the resulting increase in trade costs between the US and China directly reduced their bilateral trade. At the same time, trade between China and Brazil increased as the relative trade costs between these two countries decreased. Such relationships are captured by the trade cost term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ijt</m:t>
            </m:r>
          </m:sub>
        </m:sSub>
      </m:oMath>
      <w:r w:rsidRPr="00AC7317">
        <w:rPr>
          <w:rFonts w:ascii="Times New Roman" w:hAnsi="Times New Roman" w:cs="Times New Roman"/>
        </w:rPr>
        <w:t xml:space="preserve"> within the OMR and IMR, reflecting how changes in trade costs in one bilateral relationship can affect trade flows across </w:t>
      </w:r>
      <w:r w:rsidR="00C324A9" w:rsidRPr="00AC7317">
        <w:rPr>
          <w:rFonts w:ascii="Times New Roman" w:hAnsi="Times New Roman" w:cs="Times New Roman"/>
        </w:rPr>
        <w:t xml:space="preserve">all the </w:t>
      </w:r>
      <w:r w:rsidRPr="00AC7317">
        <w:rPr>
          <w:rFonts w:ascii="Times New Roman" w:hAnsi="Times New Roman" w:cs="Times New Roman"/>
        </w:rPr>
        <w:t>country pairs</w:t>
      </w:r>
      <w:r w:rsidR="00C324A9" w:rsidRPr="00AC7317">
        <w:rPr>
          <w:rFonts w:ascii="Times New Roman" w:hAnsi="Times New Roman" w:cs="Times New Roman"/>
        </w:rPr>
        <w:t xml:space="preserve"> that are connected through trade</w:t>
      </w:r>
      <w:r w:rsidRPr="00AC7317">
        <w:rPr>
          <w:rFonts w:ascii="Times New Roman" w:hAnsi="Times New Roman" w:cs="Times New Roman"/>
        </w:rPr>
        <w:t>.</w:t>
      </w:r>
    </w:p>
    <w:p w14:paraId="2F33E661" w14:textId="4674EE03" w:rsidR="00FE507B" w:rsidRPr="00AC7317" w:rsidRDefault="00FE507B" w:rsidP="00FE507B">
      <w:pPr>
        <w:pStyle w:val="BodyText"/>
        <w:spacing w:line="480" w:lineRule="auto"/>
        <w:jc w:val="both"/>
        <w:rPr>
          <w:rFonts w:ascii="Times New Roman" w:hAnsi="Times New Roman" w:cs="Times New Roman"/>
        </w:rPr>
      </w:pPr>
      <w:r w:rsidRPr="00AC7317">
        <w:rPr>
          <w:rFonts w:ascii="Times New Roman" w:hAnsi="Times New Roman" w:cs="Times New Roman"/>
        </w:rPr>
        <w:t xml:space="preserve">Following Silva and </w:t>
      </w:r>
      <w:proofErr w:type="spellStart"/>
      <w:r w:rsidRPr="00AC7317">
        <w:rPr>
          <w:rFonts w:ascii="Times New Roman" w:hAnsi="Times New Roman" w:cs="Times New Roman"/>
        </w:rPr>
        <w:t>Tenreyro</w:t>
      </w:r>
      <w:proofErr w:type="spellEnd"/>
      <w:r w:rsidRPr="00AC7317">
        <w:rPr>
          <w:rFonts w:ascii="Times New Roman" w:hAnsi="Times New Roman" w:cs="Times New Roman"/>
        </w:rPr>
        <w:t xml:space="preserve"> (</w:t>
      </w:r>
      <w:hyperlink w:anchor="ref-silva2006">
        <w:r w:rsidRPr="00AC7317">
          <w:rPr>
            <w:rStyle w:val="Hyperlink"/>
            <w:rFonts w:ascii="Times New Roman" w:hAnsi="Times New Roman" w:cs="Times New Roman"/>
          </w:rPr>
          <w:t>2006</w:t>
        </w:r>
      </w:hyperlink>
      <w:r w:rsidRPr="00AC7317">
        <w:rPr>
          <w:rFonts w:ascii="Times New Roman" w:hAnsi="Times New Roman" w:cs="Times New Roman"/>
        </w:rPr>
        <w:t>), equation (1) can be expressed in multiplicative form as:</w:t>
      </w:r>
    </w:p>
    <w:p w14:paraId="7519EB28" w14:textId="1B40EE9C" w:rsidR="00FE507B" w:rsidRPr="00AC7317" w:rsidRDefault="00000000" w:rsidP="00FE507B">
      <w:pPr>
        <w:pStyle w:val="BodyText"/>
        <w:spacing w:line="48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ijt</m:t>
              </m:r>
            </m:sub>
          </m:sSub>
          <m:r>
            <m:rPr>
              <m:sty m:val="p"/>
            </m:rPr>
            <w:rPr>
              <w:rFonts w:ascii="Cambria Math" w:hAnsi="Cambria Math" w:cs="Times New Roman"/>
            </w:rPr>
            <m:t>=exp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jt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ij</m:t>
                  </m:r>
                </m:sub>
              </m:sSub>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k</m:t>
                      </m:r>
                    </m:sub>
                  </m:sSub>
                </m:e>
              </m:nary>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ijt</m:t>
                  </m:r>
                </m:sub>
              </m:sSub>
            </m:e>
          </m:d>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ijt</m:t>
              </m:r>
            </m:sub>
          </m:sSub>
          <m:r>
            <m:rPr>
              <m:sty m:val="p"/>
            </m:rPr>
            <w:rPr>
              <w:rFonts w:ascii="Cambria Math" w:hAnsi="Cambria Math" w:cs="Times New Roman"/>
            </w:rPr>
            <m:t>,</m:t>
          </m:r>
          <m:r>
            <w:rPr>
              <w:rFonts w:ascii="Cambria Math" w:hAnsi="Cambria Math" w:cs="Times New Roman"/>
            </w:rPr>
            <m:t> </m:t>
          </m:r>
          <m:d>
            <m:dPr>
              <m:ctrlPr>
                <w:rPr>
                  <w:rFonts w:ascii="Cambria Math" w:hAnsi="Cambria Math" w:cs="Times New Roman"/>
                </w:rPr>
              </m:ctrlPr>
            </m:dPr>
            <m:e>
              <m:r>
                <w:rPr>
                  <w:rFonts w:ascii="Cambria Math" w:hAnsi="Cambria Math" w:cs="Times New Roman"/>
                </w:rPr>
                <m:t>4</m:t>
              </m:r>
            </m:e>
          </m:d>
        </m:oMath>
      </m:oMathPara>
    </w:p>
    <w:p w14:paraId="7E5F4827" w14:textId="11A0F8D4" w:rsidR="00FE507B" w:rsidRPr="00AC7317" w:rsidRDefault="00FE507B" w:rsidP="00FE507B">
      <w:pPr>
        <w:pStyle w:val="FirstParagraph"/>
        <w:spacing w:line="480" w:lineRule="auto"/>
        <w:jc w:val="both"/>
        <w:rPr>
          <w:rFonts w:ascii="Times New Roman" w:hAnsi="Times New Roman" w:cs="Times New Roman"/>
        </w:rPr>
      </w:pPr>
      <w:r w:rsidRPr="00AC7317">
        <w:rPr>
          <w:rFonts w:ascii="Times New Roman" w:hAnsi="Times New Roman" w:cs="Times New Roman"/>
        </w:rPr>
        <w:lastRenderedPageBreak/>
        <w:t>where, bilateral trade cost (</w:t>
      </w:r>
      <m:oMath>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ijt</m:t>
            </m:r>
          </m:sub>
          <m:sup>
            <m:r>
              <w:rPr>
                <w:rFonts w:ascii="Cambria Math" w:hAnsi="Cambria Math" w:cs="Times New Roman"/>
              </w:rPr>
              <m:t>1</m:t>
            </m:r>
            <m:r>
              <m:rPr>
                <m:sty m:val="p"/>
              </m:rPr>
              <w:rPr>
                <w:rFonts w:ascii="Cambria Math" w:hAnsi="Cambria Math" w:cs="Times New Roman"/>
              </w:rPr>
              <m:t>-</m:t>
            </m:r>
            <m:r>
              <w:rPr>
                <w:rFonts w:ascii="Cambria Math" w:hAnsi="Cambria Math" w:cs="Times New Roman"/>
              </w:rPr>
              <m:t>σ</m:t>
            </m:r>
          </m:sup>
        </m:sSubSup>
      </m:oMath>
      <w:r w:rsidRPr="00AC7317">
        <w:rPr>
          <w:rFonts w:ascii="Times New Roman" w:hAnsi="Times New Roman" w:cs="Times New Roman"/>
        </w:rPr>
        <w:t xml:space="preserve">) is captured by </w:t>
      </w:r>
      <m:oMath>
        <m:r>
          <m:rPr>
            <m:sty m:val="p"/>
          </m:rPr>
          <w:rPr>
            <w:rFonts w:ascii="Cambria Math" w:hAnsi="Cambria Math" w:cs="Times New Roman"/>
          </w:rPr>
          <m:t>exp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ij</m:t>
                </m:r>
              </m:sub>
            </m:sSub>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k</m:t>
                    </m:r>
                  </m:sub>
                </m:sSub>
              </m:e>
            </m:nary>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ijt</m:t>
                </m:r>
              </m:sub>
            </m:sSub>
          </m:e>
        </m:d>
      </m:oMath>
      <w:r w:rsidRPr="00AC7317">
        <w:rPr>
          <w:rFonts w:ascii="Times New Roman" w:hAnsi="Times New Roman" w:cs="Times New Roman"/>
        </w:rPr>
        <w:t xml:space="preserve">, incorporating both time-invariant costs (e.g., geographic distance, contiguity) through </w:t>
      </w:r>
      <m:oMath>
        <m:r>
          <m:rPr>
            <m:sty m:val="p"/>
          </m:rPr>
          <w:rPr>
            <w:rFonts w:ascii="Cambria Math" w:hAnsi="Cambria Math" w:cs="Times New Roman"/>
          </w:rPr>
          <m:t>exp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ij</m:t>
                </m:r>
              </m:sub>
            </m:sSub>
          </m:e>
        </m:d>
      </m:oMath>
      <w:r w:rsidRPr="00AC7317">
        <w:rPr>
          <w:rFonts w:ascii="Times New Roman" w:hAnsi="Times New Roman" w:cs="Times New Roman"/>
        </w:rPr>
        <w:t xml:space="preserve"> and </w:t>
      </w:r>
      <m:oMath>
        <m:r>
          <w:rPr>
            <w:rFonts w:ascii="Cambria Math" w:hAnsi="Cambria Math" w:cs="Times New Roman"/>
          </w:rPr>
          <m:t>k</m:t>
        </m:r>
      </m:oMath>
      <w:r w:rsidRPr="00AC7317">
        <w:rPr>
          <w:rFonts w:ascii="Times New Roman" w:hAnsi="Times New Roman" w:cs="Times New Roman"/>
        </w:rPr>
        <w:t xml:space="preserve"> number of time-varying costs (e.g., tariffs, trade agreements) through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ijt</m:t>
            </m:r>
          </m:sub>
        </m:sSub>
      </m:oMath>
      <w:r w:rsidRPr="00AC7317">
        <w:rPr>
          <w:rFonts w:ascii="Times New Roman" w:hAnsi="Times New Roman" w:cs="Times New Roman"/>
        </w:rPr>
        <w:t>. Baier and Bergstrand (</w:t>
      </w:r>
      <w:hyperlink w:anchor="ref-baier2007">
        <w:r w:rsidRPr="00AC7317">
          <w:rPr>
            <w:rStyle w:val="Hyperlink"/>
            <w:rFonts w:ascii="Times New Roman" w:hAnsi="Times New Roman" w:cs="Times New Roman"/>
          </w:rPr>
          <w:t>2007</w:t>
        </w:r>
      </w:hyperlink>
      <w:r w:rsidRPr="00AC7317">
        <w:rPr>
          <w:rFonts w:ascii="Times New Roman" w:hAnsi="Times New Roman" w:cs="Times New Roman"/>
        </w:rPr>
        <w:t>) emphasize to include country-pair fixed effects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ij</m:t>
            </m:r>
          </m:sub>
        </m:sSub>
      </m:oMath>
      <w:r w:rsidRPr="00AC7317">
        <w:rPr>
          <w:rFonts w:ascii="Times New Roman" w:hAnsi="Times New Roman" w:cs="Times New Roman"/>
        </w:rPr>
        <w:t xml:space="preserve">) which captures time-invariant factors sepific to each country pair. These fixed effects also address the potential by accounting for unobserved, long-term factors such as historical trade relationships that might otherwise bias the estimates. The term </w:t>
      </w:r>
      <m:oMath>
        <m:r>
          <m:rPr>
            <m:sty m:val="p"/>
          </m:rPr>
          <w:rPr>
            <w:rFonts w:ascii="Cambria Math" w:hAnsi="Cambria Math" w:cs="Times New Roman"/>
          </w:rPr>
          <m:t>exp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jt</m:t>
                </m:r>
              </m:sub>
            </m:sSub>
          </m:e>
        </m:d>
      </m:oMath>
      <w:r w:rsidRPr="00AC7317">
        <w:rPr>
          <w:rFonts w:ascii="Times New Roman" w:hAnsi="Times New Roman" w:cs="Times New Roman"/>
        </w:rPr>
        <w:t xml:space="preserve"> represents exporter-time and importer-time fixed effects, corresponding to </w:t>
      </w:r>
      <m:oMath>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jt</m:t>
                </m:r>
              </m:sub>
            </m:sSub>
          </m:num>
          <m:den>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den>
        </m:f>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it</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jt</m:t>
                        </m:r>
                      </m:sub>
                    </m:sSub>
                  </m:den>
                </m:f>
              </m:e>
            </m:d>
          </m:e>
          <m:sup>
            <m:r>
              <w:rPr>
                <w:rFonts w:ascii="Cambria Math" w:hAnsi="Cambria Math" w:cs="Times New Roman"/>
              </w:rPr>
              <m:t>1</m:t>
            </m:r>
            <m:r>
              <m:rPr>
                <m:sty m:val="p"/>
              </m:rPr>
              <w:rPr>
                <w:rFonts w:ascii="Cambria Math" w:hAnsi="Cambria Math" w:cs="Times New Roman"/>
              </w:rPr>
              <m:t>-</m:t>
            </m:r>
            <m:r>
              <w:rPr>
                <w:rFonts w:ascii="Cambria Math" w:hAnsi="Cambria Math" w:cs="Times New Roman"/>
              </w:rPr>
              <m:t>σ</m:t>
            </m:r>
          </m:sup>
        </m:sSup>
      </m:oMath>
      <w:r w:rsidRPr="00AC7317">
        <w:rPr>
          <w:rFonts w:ascii="Times New Roman" w:hAnsi="Times New Roman" w:cs="Times New Roman"/>
        </w:rPr>
        <w:t>. As Feenstra (</w:t>
      </w:r>
      <w:hyperlink w:anchor="ref-feenstra2002">
        <w:r w:rsidRPr="00AC7317">
          <w:rPr>
            <w:rStyle w:val="Hyperlink"/>
            <w:rFonts w:ascii="Times New Roman" w:hAnsi="Times New Roman" w:cs="Times New Roman"/>
          </w:rPr>
          <w:t>2002</w:t>
        </w:r>
      </w:hyperlink>
      <w:r w:rsidRPr="00AC7317">
        <w:rPr>
          <w:rFonts w:ascii="Times New Roman" w:hAnsi="Times New Roman" w:cs="Times New Roman"/>
        </w:rPr>
        <w:t xml:space="preserve">) suggests, these fixed effects capture OMR, IMR, and market sizes that vary at the exporter-year and importer-year levels. Santos Silva and </w:t>
      </w:r>
      <w:proofErr w:type="spellStart"/>
      <w:r w:rsidRPr="00AC7317">
        <w:rPr>
          <w:rFonts w:ascii="Times New Roman" w:hAnsi="Times New Roman" w:cs="Times New Roman"/>
        </w:rPr>
        <w:t>Tenreyro</w:t>
      </w:r>
      <w:proofErr w:type="spellEnd"/>
      <w:r w:rsidRPr="00AC7317">
        <w:rPr>
          <w:rFonts w:ascii="Times New Roman" w:hAnsi="Times New Roman" w:cs="Times New Roman"/>
        </w:rPr>
        <w:t xml:space="preserve"> (</w:t>
      </w:r>
      <w:hyperlink w:anchor="ref-silva2006">
        <w:r w:rsidRPr="00AC7317">
          <w:rPr>
            <w:rStyle w:val="Hyperlink"/>
            <w:rFonts w:ascii="Times New Roman" w:hAnsi="Times New Roman" w:cs="Times New Roman"/>
          </w:rPr>
          <w:t>2006</w:t>
        </w:r>
      </w:hyperlink>
      <w:r w:rsidRPr="00AC7317">
        <w:rPr>
          <w:rFonts w:ascii="Times New Roman" w:hAnsi="Times New Roman" w:cs="Times New Roman"/>
        </w:rPr>
        <w:t xml:space="preserve">) recommend estimating </w:t>
      </w:r>
      <w:proofErr w:type="gramStart"/>
      <w:r w:rsidRPr="00AC7317">
        <w:rPr>
          <w:rFonts w:ascii="Times New Roman" w:hAnsi="Times New Roman" w:cs="Times New Roman"/>
        </w:rPr>
        <w:t>equation</w:t>
      </w:r>
      <w:proofErr w:type="gramEnd"/>
      <w:r w:rsidRPr="00AC7317">
        <w:rPr>
          <w:rFonts w:ascii="Times New Roman" w:hAnsi="Times New Roman" w:cs="Times New Roman"/>
        </w:rPr>
        <w:t xml:space="preserve"> (4) using the pseudo-Poisson maximum likelihood (PPML) approach, which allows including zero trade flows in the dependent variable. In addition, this leads to unbiased and consistent estimation of the parameter under heteroskedasticity.</w:t>
      </w:r>
    </w:p>
    <w:p w14:paraId="39F3F2C4" w14:textId="77777777" w:rsidR="002E6A0D" w:rsidRPr="00AC7317" w:rsidRDefault="00F96466" w:rsidP="00216BA2">
      <w:pPr>
        <w:pStyle w:val="Heading2"/>
        <w:spacing w:line="480" w:lineRule="auto"/>
        <w:jc w:val="both"/>
        <w:rPr>
          <w:rFonts w:ascii="Times New Roman" w:hAnsi="Times New Roman" w:cs="Times New Roman"/>
          <w:sz w:val="24"/>
          <w:szCs w:val="24"/>
        </w:rPr>
      </w:pPr>
      <w:bookmarkStart w:id="3" w:name="estimation-of-armington-elasticities"/>
      <w:bookmarkStart w:id="4" w:name="data-and-empirical-strategy"/>
      <w:bookmarkEnd w:id="1"/>
      <w:r w:rsidRPr="00AC7317">
        <w:rPr>
          <w:rFonts w:ascii="Times New Roman" w:hAnsi="Times New Roman" w:cs="Times New Roman"/>
          <w:sz w:val="24"/>
          <w:szCs w:val="24"/>
        </w:rPr>
        <w:t>3.2 Estimation of Armington elasticities</w:t>
      </w:r>
    </w:p>
    <w:p w14:paraId="5EB50C0A" w14:textId="71093010" w:rsidR="002E6A0D" w:rsidRPr="00AC7317" w:rsidRDefault="00F96466" w:rsidP="00216BA2">
      <w:pPr>
        <w:pStyle w:val="FirstParagraph"/>
        <w:spacing w:line="480" w:lineRule="auto"/>
        <w:jc w:val="both"/>
        <w:rPr>
          <w:rFonts w:ascii="Times New Roman" w:hAnsi="Times New Roman" w:cs="Times New Roman"/>
        </w:rPr>
      </w:pPr>
      <w:r w:rsidRPr="00AC7317">
        <w:rPr>
          <w:rFonts w:ascii="Times New Roman" w:hAnsi="Times New Roman" w:cs="Times New Roman"/>
        </w:rPr>
        <w:t>We estimate separate gravity models for soybeans, soybean oil, and soybean cake. Our empirical model employs the PPML-gravity specification</w:t>
      </w:r>
      <w:r w:rsidR="005330D0" w:rsidRPr="00AC7317">
        <w:rPr>
          <w:rFonts w:ascii="Times New Roman" w:hAnsi="Times New Roman" w:cs="Times New Roman"/>
        </w:rPr>
        <w:t xml:space="preserve">, </w:t>
      </w:r>
      <w:r w:rsidRPr="00AC7317">
        <w:rPr>
          <w:rFonts w:ascii="Times New Roman" w:hAnsi="Times New Roman" w:cs="Times New Roman"/>
        </w:rPr>
        <w:t>as shown below:</w:t>
      </w:r>
    </w:p>
    <w:p w14:paraId="629BB65F" w14:textId="0885D5F2" w:rsidR="002E6A0D" w:rsidRPr="00AC7317" w:rsidRDefault="00000000" w:rsidP="00216BA2">
      <w:pPr>
        <w:pStyle w:val="BodyText"/>
        <w:spacing w:line="480" w:lineRule="auto"/>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ijt</m:t>
              </m:r>
            </m:sub>
            <m:sup>
              <m:r>
                <w:rPr>
                  <w:rFonts w:ascii="Cambria Math" w:hAnsi="Cambria Math" w:cs="Times New Roman"/>
                </w:rPr>
                <m:t>s</m:t>
              </m:r>
            </m:sup>
          </m:sSubSup>
          <m:r>
            <m:rPr>
              <m:sty m:val="p"/>
            </m:rPr>
            <w:rPr>
              <w:rFonts w:ascii="Cambria Math" w:hAnsi="Cambria Math" w:cs="Times New Roman"/>
            </w:rPr>
            <m:t>=exp</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γ</m:t>
                  </m:r>
                </m:e>
                <m:sub>
                  <m:r>
                    <w:rPr>
                      <w:rFonts w:ascii="Cambria Math" w:hAnsi="Cambria Math" w:cs="Times New Roman"/>
                    </w:rPr>
                    <m:t>it</m:t>
                  </m:r>
                </m:sub>
                <m:sup>
                  <m:r>
                    <w:rPr>
                      <w:rFonts w:ascii="Cambria Math" w:hAnsi="Cambria Math" w:cs="Times New Roman"/>
                    </w:rPr>
                    <m:t>s</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γ</m:t>
                  </m:r>
                </m:e>
                <m:sub>
                  <m:r>
                    <w:rPr>
                      <w:rFonts w:ascii="Cambria Math" w:hAnsi="Cambria Math" w:cs="Times New Roman"/>
                    </w:rPr>
                    <m:t>jt</m:t>
                  </m:r>
                </m:sub>
                <m:sup>
                  <m:r>
                    <w:rPr>
                      <w:rFonts w:ascii="Cambria Math" w:hAnsi="Cambria Math" w:cs="Times New Roman"/>
                    </w:rPr>
                    <m:t>s</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γ</m:t>
                  </m:r>
                </m:e>
                <m:sub>
                  <m:r>
                    <w:rPr>
                      <w:rFonts w:ascii="Cambria Math" w:hAnsi="Cambria Math" w:cs="Times New Roman"/>
                    </w:rPr>
                    <m:t>ij</m:t>
                  </m:r>
                </m:sub>
                <m:sup>
                  <m:r>
                    <w:rPr>
                      <w:rFonts w:ascii="Cambria Math" w:hAnsi="Cambria Math" w:cs="Times New Roman"/>
                    </w:rPr>
                    <m:t>s</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γ</m:t>
                  </m:r>
                </m:e>
                <m:sub>
                  <m:r>
                    <w:rPr>
                      <w:rFonts w:ascii="Cambria Math" w:hAnsi="Cambria Math" w:cs="Times New Roman"/>
                    </w:rPr>
                    <m:t>1</m:t>
                  </m:r>
                </m:sub>
                <m:sup>
                  <m:r>
                    <w:rPr>
                      <w:rFonts w:ascii="Cambria Math" w:hAnsi="Cambria Math" w:cs="Times New Roman"/>
                    </w:rPr>
                    <m:t>s</m:t>
                  </m:r>
                </m:sup>
              </m:sSubSup>
              <m:r>
                <m:rPr>
                  <m:sty m:val="p"/>
                </m:rPr>
                <w:rPr>
                  <w:rFonts w:ascii="Cambria Math" w:hAnsi="Cambria Math" w:cs="Times New Roman"/>
                </w:rPr>
                <m:t>log</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τ</m:t>
                      </m:r>
                    </m:e>
                    <m:sub>
                      <m:r>
                        <w:rPr>
                          <w:rFonts w:ascii="Cambria Math" w:hAnsi="Cambria Math" w:cs="Times New Roman"/>
                        </w:rPr>
                        <m:t>ijt</m:t>
                      </m:r>
                    </m:sub>
                    <m:sup>
                      <m:r>
                        <w:rPr>
                          <w:rFonts w:ascii="Cambria Math" w:hAnsi="Cambria Math" w:cs="Times New Roman"/>
                        </w:rPr>
                        <m:t>s</m:t>
                      </m:r>
                    </m:sup>
                  </m:sSubSup>
                </m:e>
              </m:d>
            </m:e>
          </m:d>
          <m:sSubSup>
            <m:sSubSupPr>
              <m:ctrlPr>
                <w:rPr>
                  <w:rFonts w:ascii="Cambria Math" w:hAnsi="Cambria Math" w:cs="Times New Roman"/>
                </w:rPr>
              </m:ctrlPr>
            </m:sSubSupPr>
            <m:e>
              <m:r>
                <w:rPr>
                  <w:rFonts w:ascii="Cambria Math" w:hAnsi="Cambria Math" w:cs="Times New Roman"/>
                </w:rPr>
                <m:t>ε</m:t>
              </m:r>
            </m:e>
            <m:sub>
              <m:r>
                <w:rPr>
                  <w:rFonts w:ascii="Cambria Math" w:hAnsi="Cambria Math" w:cs="Times New Roman"/>
                </w:rPr>
                <m:t>ijt</m:t>
              </m:r>
            </m:sub>
            <m:sup>
              <m:r>
                <w:rPr>
                  <w:rFonts w:ascii="Cambria Math" w:hAnsi="Cambria Math" w:cs="Times New Roman"/>
                </w:rPr>
                <m:t>s</m:t>
              </m:r>
            </m:sup>
          </m:sSubSup>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m:t>
          </m:r>
          <m:r>
            <m:rPr>
              <m:nor/>
            </m:rPr>
            <w:rPr>
              <w:rFonts w:ascii="Cambria Math" w:hAnsi="Times New Roman" w:cs="Times New Roman"/>
            </w:rPr>
            <m:t>5</m:t>
          </m:r>
          <m:r>
            <m:rPr>
              <m:nor/>
            </m:rPr>
            <w:rPr>
              <w:rFonts w:ascii="Times New Roman" w:hAnsi="Times New Roman" w:cs="Times New Roman"/>
            </w:rPr>
            <m:t>)</m:t>
          </m:r>
        </m:oMath>
      </m:oMathPara>
    </w:p>
    <w:p w14:paraId="0AB03315" w14:textId="1EFBC42C" w:rsidR="002E6A0D" w:rsidRPr="00AC7317" w:rsidRDefault="00F96466" w:rsidP="00216BA2">
      <w:pPr>
        <w:pStyle w:val="FirstParagraph"/>
        <w:spacing w:line="480" w:lineRule="auto"/>
        <w:jc w:val="both"/>
        <w:rPr>
          <w:rFonts w:ascii="Times New Roman" w:hAnsi="Times New Roman" w:cs="Times New Roman"/>
        </w:rPr>
      </w:pPr>
      <w:r w:rsidRPr="00AC7317">
        <w:rPr>
          <w:rFonts w:ascii="Times New Roman" w:hAnsi="Times New Roman" w:cs="Times New Roman"/>
        </w:rPr>
        <w:t xml:space="preserve">where </w:t>
      </w:r>
      <m:oMath>
        <m:r>
          <w:rPr>
            <w:rFonts w:ascii="Cambria Math" w:hAnsi="Cambria Math" w:cs="Times New Roman"/>
          </w:rPr>
          <m:t>s</m:t>
        </m:r>
      </m:oMath>
      <w:r w:rsidRPr="00AC7317">
        <w:rPr>
          <w:rFonts w:ascii="Times New Roman" w:hAnsi="Times New Roman" w:cs="Times New Roman"/>
        </w:rPr>
        <w:t xml:space="preserve"> indexes the soy products, with </w:t>
      </w:r>
      <m:oMath>
        <m:r>
          <w:rPr>
            <w:rFonts w:ascii="Cambria Math" w:hAnsi="Cambria Math" w:cs="Times New Roman"/>
          </w:rPr>
          <m:t>s</m:t>
        </m:r>
        <m:r>
          <m:rPr>
            <m:sty m:val="p"/>
          </m:rPr>
          <w:rPr>
            <w:rFonts w:ascii="Cambria Math" w:hAnsi="Cambria Math" w:cs="Times New Roman"/>
          </w:rPr>
          <m:t>∈{</m:t>
        </m:r>
        <m:r>
          <m:rPr>
            <m:nor/>
          </m:rPr>
          <w:rPr>
            <w:rFonts w:ascii="Times New Roman" w:hAnsi="Times New Roman" w:cs="Times New Roman"/>
          </w:rPr>
          <m:t>soybean</m:t>
        </m:r>
        <m:r>
          <m:rPr>
            <m:sty m:val="p"/>
          </m:rPr>
          <w:rPr>
            <w:rFonts w:ascii="Cambria Math" w:hAnsi="Cambria Math" w:cs="Times New Roman"/>
          </w:rPr>
          <m:t>,</m:t>
        </m:r>
        <m:r>
          <m:rPr>
            <m:nor/>
          </m:rPr>
          <w:rPr>
            <w:rFonts w:ascii="Times New Roman" w:hAnsi="Times New Roman" w:cs="Times New Roman"/>
          </w:rPr>
          <m:t>soyoil</m:t>
        </m:r>
        <m:r>
          <m:rPr>
            <m:sty m:val="p"/>
          </m:rPr>
          <w:rPr>
            <w:rFonts w:ascii="Cambria Math" w:hAnsi="Cambria Math" w:cs="Times New Roman"/>
          </w:rPr>
          <m:t>,</m:t>
        </m:r>
        <m:r>
          <m:rPr>
            <m:nor/>
          </m:rPr>
          <w:rPr>
            <w:rFonts w:ascii="Times New Roman" w:hAnsi="Times New Roman" w:cs="Times New Roman"/>
          </w:rPr>
          <m:t>soycake</m:t>
        </m:r>
        <m:r>
          <m:rPr>
            <m:sty m:val="p"/>
          </m:rPr>
          <w:rPr>
            <w:rFonts w:ascii="Cambria Math" w:hAnsi="Cambria Math" w:cs="Times New Roman"/>
          </w:rPr>
          <m:t>}</m:t>
        </m:r>
      </m:oMath>
      <w:r w:rsidRPr="00AC7317">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ijt</m:t>
            </m:r>
          </m:sub>
          <m:sup>
            <m:r>
              <w:rPr>
                <w:rFonts w:ascii="Cambria Math" w:hAnsi="Cambria Math" w:cs="Times New Roman"/>
              </w:rPr>
              <m:t>s</m:t>
            </m:r>
          </m:sup>
        </m:sSubSup>
      </m:oMath>
      <w:r w:rsidRPr="00AC7317">
        <w:rPr>
          <w:rFonts w:ascii="Times New Roman" w:hAnsi="Times New Roman" w:cs="Times New Roman"/>
        </w:rPr>
        <w:t xml:space="preserve"> </w:t>
      </w:r>
      <w:r w:rsidR="003369D8" w:rsidRPr="00AC7317">
        <w:rPr>
          <w:rFonts w:ascii="Times New Roman" w:hAnsi="Times New Roman" w:cs="Times New Roman"/>
        </w:rPr>
        <w:t xml:space="preserve">are </w:t>
      </w:r>
      <w:r w:rsidRPr="00AC7317">
        <w:rPr>
          <w:rFonts w:ascii="Times New Roman" w:hAnsi="Times New Roman" w:cs="Times New Roman"/>
        </w:rPr>
        <w:t xml:space="preserve">the exports of soy products country </w:t>
      </w:r>
      <m:oMath>
        <m:r>
          <w:rPr>
            <w:rFonts w:ascii="Cambria Math" w:hAnsi="Cambria Math" w:cs="Times New Roman"/>
          </w:rPr>
          <m:t>i</m:t>
        </m:r>
      </m:oMath>
      <w:r w:rsidRPr="00AC7317">
        <w:rPr>
          <w:rFonts w:ascii="Times New Roman" w:hAnsi="Times New Roman" w:cs="Times New Roman"/>
        </w:rPr>
        <w:t xml:space="preserve"> to country </w:t>
      </w:r>
      <m:oMath>
        <m:r>
          <w:rPr>
            <w:rFonts w:ascii="Cambria Math" w:hAnsi="Cambria Math" w:cs="Times New Roman"/>
          </w:rPr>
          <m:t>j</m:t>
        </m:r>
      </m:oMath>
      <w:r w:rsidRPr="00AC7317">
        <w:rPr>
          <w:rFonts w:ascii="Times New Roman" w:hAnsi="Times New Roman" w:cs="Times New Roman"/>
        </w:rPr>
        <w:t xml:space="preserve"> at time </w:t>
      </w:r>
      <m:oMath>
        <m:r>
          <w:rPr>
            <w:rFonts w:ascii="Cambria Math" w:hAnsi="Cambria Math" w:cs="Times New Roman"/>
          </w:rPr>
          <m:t>t</m:t>
        </m:r>
      </m:oMath>
      <w:r w:rsidRPr="00AC7317">
        <w:rPr>
          <w:rFonts w:ascii="Times New Roman" w:hAnsi="Times New Roman" w:cs="Times New Roman"/>
        </w:rPr>
        <w:t xml:space="preserve"> and </w:t>
      </w:r>
      <m:oMath>
        <m:sSubSup>
          <m:sSubSupPr>
            <m:ctrlPr>
              <w:rPr>
                <w:rFonts w:ascii="Cambria Math" w:hAnsi="Cambria Math" w:cs="Times New Roman"/>
              </w:rPr>
            </m:ctrlPr>
          </m:sSubSupPr>
          <m:e>
            <m:r>
              <w:rPr>
                <w:rFonts w:ascii="Cambria Math" w:hAnsi="Cambria Math" w:cs="Times New Roman"/>
              </w:rPr>
              <m:t>τ</m:t>
            </m:r>
          </m:e>
          <m:sub>
            <m:r>
              <w:rPr>
                <w:rFonts w:ascii="Cambria Math" w:hAnsi="Cambria Math" w:cs="Times New Roman"/>
              </w:rPr>
              <m:t>ijt</m:t>
            </m:r>
          </m:sub>
          <m:sup>
            <m:r>
              <w:rPr>
                <w:rFonts w:ascii="Cambria Math" w:hAnsi="Cambria Math" w:cs="Times New Roman"/>
              </w:rPr>
              <m:t>s</m:t>
            </m:r>
          </m:sup>
        </m:sSubSup>
      </m:oMath>
      <w:r w:rsidRPr="00AC7317">
        <w:rPr>
          <w:rFonts w:ascii="Times New Roman" w:hAnsi="Times New Roman" w:cs="Times New Roman"/>
        </w:rPr>
        <w:t xml:space="preserve"> is the corresponding effectively applied </w:t>
      </w:r>
      <w:r w:rsidRPr="00AC7317">
        <w:rPr>
          <w:rFonts w:ascii="Times New Roman" w:hAnsi="Times New Roman" w:cs="Times New Roman"/>
          <w:i/>
          <w:iCs/>
        </w:rPr>
        <w:t>ad valorem</w:t>
      </w:r>
      <w:r w:rsidRPr="00AC7317">
        <w:rPr>
          <w:rFonts w:ascii="Times New Roman" w:hAnsi="Times New Roman" w:cs="Times New Roman"/>
        </w:rPr>
        <w:t xml:space="preserve"> tariff rate. </w:t>
      </w:r>
      <m:oMath>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it</m:t>
            </m:r>
          </m:sub>
        </m:sSub>
      </m:oMath>
      <w:r w:rsidRPr="00AC7317">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jt</m:t>
            </m:r>
          </m:sub>
        </m:sSub>
      </m:oMath>
      <w:r w:rsidRPr="00AC7317">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ij</m:t>
            </m:r>
          </m:sub>
        </m:sSub>
      </m:oMath>
      <w:r w:rsidRPr="00AC7317">
        <w:rPr>
          <w:rFonts w:ascii="Times New Roman" w:hAnsi="Times New Roman" w:cs="Times New Roman"/>
        </w:rPr>
        <w:t xml:space="preserve"> are exporter-year fixed effects, importer-year fixed effects and country-pairs fixed effects, respectively. The purpose of using effectively applied tariffs is two-</w:t>
      </w:r>
      <w:r w:rsidRPr="00AC7317">
        <w:rPr>
          <w:rFonts w:ascii="Times New Roman" w:hAnsi="Times New Roman" w:cs="Times New Roman"/>
        </w:rPr>
        <w:lastRenderedPageBreak/>
        <w:t>fold: first, to estimate Armington elasticities; and second</w:t>
      </w:r>
      <w:r w:rsidR="00FD071D" w:rsidRPr="00AC7317">
        <w:rPr>
          <w:rFonts w:ascii="Times New Roman" w:hAnsi="Times New Roman" w:cs="Times New Roman"/>
        </w:rPr>
        <w:t>,</w:t>
      </w:r>
      <w:r w:rsidRPr="00AC7317">
        <w:rPr>
          <w:rFonts w:ascii="Times New Roman" w:hAnsi="Times New Roman" w:cs="Times New Roman"/>
        </w:rPr>
        <w:t xml:space="preserve"> to incorporate an ad valorem tariff‑equivalent of the EUDR compliance cost on the EU imports, which facilitates counterfactual computations in the absence of separate non‑tariff elasticities. Following Anderson et al. (</w:t>
      </w:r>
      <w:hyperlink w:anchor="ref-anderson2018">
        <w:r w:rsidR="002E6A0D" w:rsidRPr="00AC7317">
          <w:rPr>
            <w:rStyle w:val="Hyperlink"/>
            <w:rFonts w:ascii="Times New Roman" w:hAnsi="Times New Roman" w:cs="Times New Roman"/>
          </w:rPr>
          <w:t>2018</w:t>
        </w:r>
      </w:hyperlink>
      <w:r w:rsidRPr="00AC7317">
        <w:rPr>
          <w:rFonts w:ascii="Times New Roman" w:hAnsi="Times New Roman" w:cs="Times New Roman"/>
        </w:rPr>
        <w:t xml:space="preserve">) and </w:t>
      </w:r>
      <w:proofErr w:type="spellStart"/>
      <w:r w:rsidRPr="00AC7317">
        <w:rPr>
          <w:rFonts w:ascii="Times New Roman" w:hAnsi="Times New Roman" w:cs="Times New Roman"/>
        </w:rPr>
        <w:t>Fontagné</w:t>
      </w:r>
      <w:proofErr w:type="spellEnd"/>
      <w:r w:rsidRPr="00AC7317">
        <w:rPr>
          <w:rFonts w:ascii="Times New Roman" w:hAnsi="Times New Roman" w:cs="Times New Roman"/>
        </w:rPr>
        <w:t xml:space="preserve">, </w:t>
      </w:r>
      <w:proofErr w:type="spellStart"/>
      <w:r w:rsidRPr="00AC7317">
        <w:rPr>
          <w:rFonts w:ascii="Times New Roman" w:hAnsi="Times New Roman" w:cs="Times New Roman"/>
        </w:rPr>
        <w:t>Guimbard</w:t>
      </w:r>
      <w:proofErr w:type="spellEnd"/>
      <w:r w:rsidRPr="00AC7317">
        <w:rPr>
          <w:rFonts w:ascii="Times New Roman" w:hAnsi="Times New Roman" w:cs="Times New Roman"/>
        </w:rPr>
        <w:t xml:space="preserve"> and Orefice (</w:t>
      </w:r>
      <w:hyperlink w:anchor="ref-fontagne2022">
        <w:r w:rsidR="002E6A0D" w:rsidRPr="00AC7317">
          <w:rPr>
            <w:rStyle w:val="Hyperlink"/>
            <w:rFonts w:ascii="Times New Roman" w:hAnsi="Times New Roman" w:cs="Times New Roman"/>
          </w:rPr>
          <w:t>2022</w:t>
        </w:r>
      </w:hyperlink>
      <w:r w:rsidRPr="00AC7317">
        <w:rPr>
          <w:rFonts w:ascii="Times New Roman" w:hAnsi="Times New Roman" w:cs="Times New Roman"/>
        </w:rPr>
        <w:t xml:space="preserve">), the elasticity estimation of any price shifter (i.e. tariff) in the gravity model can be used to recover Armington </w:t>
      </w:r>
      <w:r w:rsidR="00C11DA2" w:rsidRPr="00AC7317">
        <w:rPr>
          <w:rFonts w:ascii="Times New Roman" w:hAnsi="Times New Roman" w:cs="Times New Roman"/>
        </w:rPr>
        <w:t>elasticities</w:t>
      </w:r>
      <w:r w:rsidRPr="00AC7317">
        <w:rPr>
          <w:rFonts w:ascii="Times New Roman" w:hAnsi="Times New Roman" w:cs="Times New Roman"/>
        </w:rPr>
        <w:t xml:space="preserve"> which are </w:t>
      </w:r>
      <m:oMath>
        <m:r>
          <w:rPr>
            <w:rFonts w:ascii="Cambria Math" w:hAnsi="Cambria Math" w:cs="Times New Roman"/>
          </w:rPr>
          <m:t>1</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γ</m:t>
            </m:r>
          </m:e>
          <m:sub>
            <m:r>
              <w:rPr>
                <w:rFonts w:ascii="Cambria Math" w:hAnsi="Cambria Math" w:cs="Times New Roman"/>
              </w:rPr>
              <m:t>1</m:t>
            </m:r>
          </m:sub>
          <m:sup>
            <m:r>
              <w:rPr>
                <w:rFonts w:ascii="Cambria Math" w:hAnsi="Cambria Math" w:cs="Times New Roman"/>
              </w:rPr>
              <m:t>s</m:t>
            </m:r>
          </m:sup>
        </m:sSubSup>
      </m:oMath>
      <w:r w:rsidRPr="00AC7317">
        <w:rPr>
          <w:rFonts w:ascii="Times New Roman" w:hAnsi="Times New Roman" w:cs="Times New Roman"/>
        </w:rPr>
        <w:t xml:space="preserve"> i</w:t>
      </w:r>
      <w:r w:rsidR="00BB55EF" w:rsidRPr="00AC7317">
        <w:rPr>
          <w:rFonts w:ascii="Times New Roman" w:hAnsi="Times New Roman" w:cs="Times New Roman"/>
        </w:rPr>
        <w:t>n</w:t>
      </w:r>
      <w:r w:rsidRPr="00AC7317">
        <w:rPr>
          <w:rFonts w:ascii="Times New Roman" w:hAnsi="Times New Roman" w:cs="Times New Roman"/>
        </w:rPr>
        <w:t xml:space="preserve"> our case.</w:t>
      </w:r>
    </w:p>
    <w:p w14:paraId="24A45491" w14:textId="77777777" w:rsidR="002E6A0D" w:rsidRPr="00AC7317" w:rsidRDefault="00F96466" w:rsidP="00216BA2">
      <w:pPr>
        <w:pStyle w:val="Heading2"/>
        <w:spacing w:line="480" w:lineRule="auto"/>
        <w:jc w:val="both"/>
        <w:rPr>
          <w:rFonts w:ascii="Times New Roman" w:hAnsi="Times New Roman" w:cs="Times New Roman"/>
          <w:sz w:val="24"/>
          <w:szCs w:val="24"/>
        </w:rPr>
      </w:pPr>
      <w:bookmarkStart w:id="5" w:name="the-eudr-simulation"/>
      <w:bookmarkEnd w:id="3"/>
      <w:r w:rsidRPr="00AC7317">
        <w:rPr>
          <w:rFonts w:ascii="Times New Roman" w:hAnsi="Times New Roman" w:cs="Times New Roman"/>
          <w:sz w:val="24"/>
          <w:szCs w:val="24"/>
        </w:rPr>
        <w:t>3.3 The EUDR simulation</w:t>
      </w:r>
    </w:p>
    <w:p w14:paraId="03D9DF35" w14:textId="71645072" w:rsidR="003A4000" w:rsidRPr="00AC7317" w:rsidRDefault="00F96466" w:rsidP="00216BA2">
      <w:pPr>
        <w:pStyle w:val="FirstParagraph"/>
        <w:spacing w:line="480" w:lineRule="auto"/>
        <w:jc w:val="both"/>
        <w:rPr>
          <w:rFonts w:ascii="Times New Roman" w:hAnsi="Times New Roman" w:cs="Times New Roman"/>
        </w:rPr>
      </w:pPr>
      <w:r w:rsidRPr="00AC7317">
        <w:rPr>
          <w:rFonts w:ascii="Times New Roman" w:hAnsi="Times New Roman" w:cs="Times New Roman"/>
        </w:rPr>
        <w:t xml:space="preserve">We </w:t>
      </w:r>
      <w:r w:rsidR="003369D8" w:rsidRPr="00AC7317">
        <w:rPr>
          <w:rFonts w:ascii="Times New Roman" w:hAnsi="Times New Roman" w:cs="Times New Roman"/>
        </w:rPr>
        <w:t xml:space="preserve">simulate </w:t>
      </w:r>
      <w:r w:rsidRPr="00AC7317">
        <w:rPr>
          <w:rFonts w:ascii="Times New Roman" w:hAnsi="Times New Roman" w:cs="Times New Roman"/>
        </w:rPr>
        <w:t xml:space="preserve">the </w:t>
      </w:r>
      <w:r w:rsidR="003369D8" w:rsidRPr="00AC7317">
        <w:rPr>
          <w:rFonts w:ascii="Times New Roman" w:hAnsi="Times New Roman" w:cs="Times New Roman"/>
        </w:rPr>
        <w:t xml:space="preserve">effects of the </w:t>
      </w:r>
      <w:r w:rsidRPr="00AC7317">
        <w:rPr>
          <w:rFonts w:ascii="Times New Roman" w:hAnsi="Times New Roman" w:cs="Times New Roman"/>
        </w:rPr>
        <w:t xml:space="preserve">EUDR </w:t>
      </w:r>
      <w:r w:rsidR="003369D8" w:rsidRPr="00AC7317">
        <w:rPr>
          <w:rFonts w:ascii="Times New Roman" w:hAnsi="Times New Roman" w:cs="Times New Roman"/>
        </w:rPr>
        <w:t xml:space="preserve">by computing the changes in trade costs incurred by South American exports when entering the EU and re-estimating the multilateral resistance terms in equations 2 and 3 that satisfy the new equilibrium. Under the structure of the gravity model, the multilateral resistance terms capture changes in CES price indices, which are a </w:t>
      </w:r>
      <w:proofErr w:type="spellStart"/>
      <w:r w:rsidR="003369D8" w:rsidRPr="00AC7317">
        <w:rPr>
          <w:rFonts w:ascii="Times New Roman" w:hAnsi="Times New Roman" w:cs="Times New Roman"/>
        </w:rPr>
        <w:t>mesure</w:t>
      </w:r>
      <w:proofErr w:type="spellEnd"/>
      <w:r w:rsidR="003369D8" w:rsidRPr="00AC7317">
        <w:rPr>
          <w:rFonts w:ascii="Times New Roman" w:hAnsi="Times New Roman" w:cs="Times New Roman"/>
        </w:rPr>
        <w:t xml:space="preserve"> of the costs to consumers of soy products. The multilateral resistance terms also allow computing supply prices, which capture the effects of the EUDR on suppliers. The CES price index is an indirect utility function, and as such, it is the cost of achieving a given level of utility. The supply prices </w:t>
      </w:r>
      <w:proofErr w:type="gramStart"/>
      <w:r w:rsidR="003369D8" w:rsidRPr="00AC7317">
        <w:rPr>
          <w:rFonts w:ascii="Times New Roman" w:hAnsi="Times New Roman" w:cs="Times New Roman"/>
        </w:rPr>
        <w:t>along</w:t>
      </w:r>
      <w:proofErr w:type="gramEnd"/>
      <w:r w:rsidR="003369D8" w:rsidRPr="00AC7317">
        <w:rPr>
          <w:rFonts w:ascii="Times New Roman" w:hAnsi="Times New Roman" w:cs="Times New Roman"/>
        </w:rPr>
        <w:t xml:space="preserve"> the CES price indices can be used to compute changes in the terms of trade. The process of estimating the equilibrium quantities and prices is parsimonious in so far it only requires estimating equation (5) to get the estimated fixed effects and the trade elasticity (more on this below)</w:t>
      </w:r>
      <w:r w:rsidR="003A4000" w:rsidRPr="00AC7317">
        <w:rPr>
          <w:rFonts w:ascii="Times New Roman" w:hAnsi="Times New Roman" w:cs="Times New Roman"/>
        </w:rPr>
        <w:t xml:space="preserve">; with the estimated elasticities in hands, new trade costs are calculated, and equation  5 is estimated again subject to the constraint that </w:t>
      </w:r>
      <m:oMath>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1</m:t>
            </m:r>
          </m:sub>
        </m:sSub>
      </m:oMath>
      <w:r w:rsidR="00C34B31" w:rsidRPr="00AC7317">
        <w:rPr>
          <w:rFonts w:ascii="Times New Roman" w:eastAsiaTheme="minorEastAsia" w:hAnsi="Times New Roman" w:cs="Times New Roman"/>
        </w:rPr>
        <w:t xml:space="preserve"> </w:t>
      </w:r>
      <w:r w:rsidR="003A4000" w:rsidRPr="00AC7317">
        <w:rPr>
          <w:rFonts w:ascii="Times New Roman" w:hAnsi="Times New Roman" w:cs="Times New Roman"/>
        </w:rPr>
        <w:t xml:space="preserve">in equation 5 equals one. This constrained optimization generates the importer- and exporter-year fixed effects that are consistent with the modified trade costs. </w:t>
      </w:r>
      <w:proofErr w:type="gramStart"/>
      <w:r w:rsidR="003A4000" w:rsidRPr="00AC7317">
        <w:rPr>
          <w:rFonts w:ascii="Times New Roman" w:hAnsi="Times New Roman" w:cs="Times New Roman"/>
        </w:rPr>
        <w:t>These equilibrium</w:t>
      </w:r>
      <w:proofErr w:type="gramEnd"/>
      <w:r w:rsidR="003A4000" w:rsidRPr="00AC7317">
        <w:rPr>
          <w:rFonts w:ascii="Times New Roman" w:hAnsi="Times New Roman" w:cs="Times New Roman"/>
        </w:rPr>
        <w:t xml:space="preserve"> fixed effects are in turn used to retrieve the new equilibrium prices and quantities.</w:t>
      </w:r>
    </w:p>
    <w:p w14:paraId="6514ECFA" w14:textId="306F1F66" w:rsidR="002728B2" w:rsidRPr="00AC7317" w:rsidRDefault="003A4000" w:rsidP="00216BA2">
      <w:pPr>
        <w:pStyle w:val="FirstParagraph"/>
        <w:spacing w:line="480" w:lineRule="auto"/>
        <w:jc w:val="both"/>
        <w:rPr>
          <w:rFonts w:ascii="Times New Roman" w:hAnsi="Times New Roman" w:cs="Times New Roman"/>
        </w:rPr>
      </w:pPr>
      <w:r w:rsidRPr="00AC7317">
        <w:rPr>
          <w:rFonts w:ascii="Times New Roman" w:hAnsi="Times New Roman" w:cs="Times New Roman"/>
        </w:rPr>
        <w:lastRenderedPageBreak/>
        <w:t>The cost of this parsimony, is tha</w:t>
      </w:r>
      <w:r w:rsidR="002728B2" w:rsidRPr="00AC7317">
        <w:rPr>
          <w:rFonts w:ascii="Times New Roman" w:hAnsi="Times New Roman" w:cs="Times New Roman"/>
        </w:rPr>
        <w:t>t</w:t>
      </w:r>
      <w:r w:rsidR="00F96466" w:rsidRPr="00AC7317">
        <w:rPr>
          <w:rFonts w:ascii="Times New Roman" w:hAnsi="Times New Roman" w:cs="Times New Roman"/>
        </w:rPr>
        <w:t xml:space="preserve"> </w:t>
      </w:r>
      <w:r w:rsidR="002728B2" w:rsidRPr="00AC7317">
        <w:rPr>
          <w:rFonts w:ascii="Times New Roman" w:hAnsi="Times New Roman" w:cs="Times New Roman"/>
        </w:rPr>
        <w:t xml:space="preserve">aggregated supply </w:t>
      </w:r>
      <w:r w:rsidR="00F96466" w:rsidRPr="00AC7317">
        <w:rPr>
          <w:rFonts w:ascii="Times New Roman" w:hAnsi="Times New Roman" w:cs="Times New Roman"/>
        </w:rPr>
        <w:t xml:space="preserve">and expenditures of each country </w:t>
      </w:r>
      <w:r w:rsidRPr="00AC7317">
        <w:rPr>
          <w:rFonts w:ascii="Times New Roman" w:hAnsi="Times New Roman" w:cs="Times New Roman"/>
        </w:rPr>
        <w:t xml:space="preserve">are </w:t>
      </w:r>
      <w:r w:rsidR="00F96466" w:rsidRPr="00AC7317">
        <w:rPr>
          <w:rFonts w:ascii="Times New Roman" w:hAnsi="Times New Roman" w:cs="Times New Roman"/>
        </w:rPr>
        <w:t>unchanged, with the change in trade pattern</w:t>
      </w:r>
      <w:r w:rsidR="005330D0" w:rsidRPr="00AC7317">
        <w:rPr>
          <w:rFonts w:ascii="Times New Roman" w:hAnsi="Times New Roman" w:cs="Times New Roman"/>
        </w:rPr>
        <w:t>s</w:t>
      </w:r>
      <w:r w:rsidR="00F96466" w:rsidRPr="00AC7317">
        <w:rPr>
          <w:rFonts w:ascii="Times New Roman" w:hAnsi="Times New Roman" w:cs="Times New Roman"/>
        </w:rPr>
        <w:t xml:space="preserve"> driven directly </w:t>
      </w:r>
      <w:r w:rsidR="005330D0" w:rsidRPr="00AC7317">
        <w:rPr>
          <w:rFonts w:ascii="Times New Roman" w:hAnsi="Times New Roman" w:cs="Times New Roman"/>
        </w:rPr>
        <w:t>by</w:t>
      </w:r>
      <w:r w:rsidR="00F96466" w:rsidRPr="00AC7317">
        <w:rPr>
          <w:rFonts w:ascii="Times New Roman" w:hAnsi="Times New Roman" w:cs="Times New Roman"/>
        </w:rPr>
        <w:t xml:space="preserve"> compliance costs</w:t>
      </w:r>
      <w:r w:rsidR="002728B2" w:rsidRPr="00AC7317">
        <w:rPr>
          <w:rFonts w:ascii="Times New Roman" w:hAnsi="Times New Roman" w:cs="Times New Roman"/>
        </w:rPr>
        <w:t>: directly for the affected exporters,</w:t>
      </w:r>
      <w:r w:rsidR="00F96466" w:rsidRPr="00AC7317">
        <w:rPr>
          <w:rFonts w:ascii="Times New Roman" w:hAnsi="Times New Roman" w:cs="Times New Roman"/>
        </w:rPr>
        <w:t xml:space="preserve"> and indirectly </w:t>
      </w:r>
      <w:r w:rsidR="005330D0" w:rsidRPr="00AC7317">
        <w:rPr>
          <w:rFonts w:ascii="Times New Roman" w:hAnsi="Times New Roman" w:cs="Times New Roman"/>
        </w:rPr>
        <w:t>by</w:t>
      </w:r>
      <w:r w:rsidR="00F96466" w:rsidRPr="00AC7317">
        <w:rPr>
          <w:rFonts w:ascii="Times New Roman" w:hAnsi="Times New Roman" w:cs="Times New Roman"/>
        </w:rPr>
        <w:t xml:space="preserve"> shifts in trade patterns with third countries </w:t>
      </w:r>
      <w:r w:rsidR="005330D0" w:rsidRPr="00AC7317">
        <w:rPr>
          <w:rFonts w:ascii="Times New Roman" w:hAnsi="Times New Roman" w:cs="Times New Roman"/>
        </w:rPr>
        <w:t>through</w:t>
      </w:r>
      <w:r w:rsidR="00F96466" w:rsidRPr="00AC7317">
        <w:rPr>
          <w:rFonts w:ascii="Times New Roman" w:hAnsi="Times New Roman" w:cs="Times New Roman"/>
        </w:rPr>
        <w:t xml:space="preserve"> multilateral resistance terms (see </w:t>
      </w:r>
      <w:hyperlink w:anchor="app14">
        <w:r w:rsidR="00D5157F" w:rsidRPr="00AC7317">
          <w:rPr>
            <w:rStyle w:val="Hyperlink"/>
            <w:rFonts w:ascii="Times New Roman" w:hAnsi="Times New Roman" w:cs="Times New Roman"/>
          </w:rPr>
          <w:t>a</w:t>
        </w:r>
        <w:r w:rsidR="002E6A0D" w:rsidRPr="00AC7317">
          <w:rPr>
            <w:rStyle w:val="Hyperlink"/>
            <w:rFonts w:ascii="Times New Roman" w:hAnsi="Times New Roman" w:cs="Times New Roman"/>
          </w:rPr>
          <w:t>ppendix A</w:t>
        </w:r>
        <w:r w:rsidR="00344742" w:rsidRPr="00AC7317">
          <w:rPr>
            <w:rStyle w:val="Hyperlink"/>
            <w:rFonts w:ascii="Times New Roman" w:hAnsi="Times New Roman" w:cs="Times New Roman"/>
          </w:rPr>
          <w:t>2</w:t>
        </w:r>
      </w:hyperlink>
      <w:r w:rsidR="00F96466" w:rsidRPr="00AC7317">
        <w:rPr>
          <w:rFonts w:ascii="Times New Roman" w:hAnsi="Times New Roman" w:cs="Times New Roman"/>
        </w:rPr>
        <w:t xml:space="preserve"> for the decomposition). </w:t>
      </w:r>
    </w:p>
    <w:p w14:paraId="4F4D1165" w14:textId="3EE7FE56" w:rsidR="002E6A0D" w:rsidRPr="00AC7317" w:rsidRDefault="00885F9D" w:rsidP="00216BA2">
      <w:pPr>
        <w:pStyle w:val="FirstParagraph"/>
        <w:spacing w:line="480" w:lineRule="auto"/>
        <w:jc w:val="both"/>
        <w:rPr>
          <w:rFonts w:ascii="Times New Roman" w:hAnsi="Times New Roman" w:cs="Times New Roman"/>
        </w:rPr>
      </w:pPr>
      <w:r w:rsidRPr="00AC7317">
        <w:rPr>
          <w:rFonts w:ascii="Times New Roman" w:hAnsi="Times New Roman" w:cs="Times New Roman"/>
        </w:rPr>
        <w:t xml:space="preserve">Further, </w:t>
      </w:r>
      <w:r w:rsidR="008E48AF" w:rsidRPr="00AC7317">
        <w:rPr>
          <w:rFonts w:ascii="Times New Roman" w:hAnsi="Times New Roman" w:cs="Times New Roman"/>
        </w:rPr>
        <w:t xml:space="preserve">we model the EUDR as </w:t>
      </w:r>
      <w:r w:rsidR="000E5E1C" w:rsidRPr="00AC7317">
        <w:rPr>
          <w:rFonts w:ascii="Times New Roman" w:hAnsi="Times New Roman" w:cs="Times New Roman"/>
        </w:rPr>
        <w:t>a destination-speci</w:t>
      </w:r>
      <w:r w:rsidR="00B05970" w:rsidRPr="00AC7317">
        <w:rPr>
          <w:rFonts w:ascii="Times New Roman" w:hAnsi="Times New Roman" w:cs="Times New Roman"/>
        </w:rPr>
        <w:t>fic measure that raises the marginal cost of delivering soy from origin to the EU</w:t>
      </w:r>
      <w:r w:rsidR="00622CF3" w:rsidRPr="00AC7317">
        <w:rPr>
          <w:rFonts w:ascii="Times New Roman" w:hAnsi="Times New Roman" w:cs="Times New Roman"/>
        </w:rPr>
        <w:t>.</w:t>
      </w:r>
      <w:r w:rsidR="00AE76FC" w:rsidRPr="00AC7317">
        <w:rPr>
          <w:rFonts w:ascii="Times New Roman" w:hAnsi="Times New Roman" w:cs="Times New Roman"/>
        </w:rPr>
        <w:t xml:space="preserve"> </w:t>
      </w:r>
      <w:r w:rsidR="003D47F6" w:rsidRPr="00AC7317">
        <w:rPr>
          <w:rFonts w:ascii="Times New Roman" w:hAnsi="Times New Roman" w:cs="Times New Roman"/>
        </w:rPr>
        <w:t>A</w:t>
      </w:r>
      <w:r w:rsidR="00AC7DF3" w:rsidRPr="00AC7317">
        <w:rPr>
          <w:rFonts w:ascii="Times New Roman" w:hAnsi="Times New Roman" w:cs="Times New Roman"/>
        </w:rPr>
        <w:t>s</w:t>
      </w:r>
      <w:r w:rsidR="00CB2018" w:rsidRPr="00AC7317">
        <w:rPr>
          <w:rFonts w:ascii="Times New Roman" w:hAnsi="Times New Roman" w:cs="Times New Roman"/>
        </w:rPr>
        <w:t xml:space="preserve"> the legal obligation</w:t>
      </w:r>
      <w:r w:rsidR="0035794E" w:rsidRPr="00AC7317">
        <w:rPr>
          <w:rFonts w:ascii="Times New Roman" w:hAnsi="Times New Roman" w:cs="Times New Roman"/>
        </w:rPr>
        <w:t xml:space="preserve"> </w:t>
      </w:r>
      <w:r w:rsidR="00CB2018" w:rsidRPr="00AC7317">
        <w:rPr>
          <w:rFonts w:ascii="Times New Roman" w:hAnsi="Times New Roman" w:cs="Times New Roman"/>
        </w:rPr>
        <w:t xml:space="preserve">falls on ‘operators’ (importers, traders, </w:t>
      </w:r>
      <w:r w:rsidR="00495386" w:rsidRPr="00AC7317">
        <w:rPr>
          <w:rFonts w:ascii="Times New Roman" w:hAnsi="Times New Roman" w:cs="Times New Roman"/>
        </w:rPr>
        <w:t xml:space="preserve">and processors), these firm-level expenditures can be passed on to upstream and downstream </w:t>
      </w:r>
      <w:r w:rsidR="00913EA3" w:rsidRPr="00AC7317">
        <w:rPr>
          <w:rFonts w:ascii="Times New Roman" w:hAnsi="Times New Roman" w:cs="Times New Roman"/>
        </w:rPr>
        <w:t>depending on market</w:t>
      </w:r>
      <w:r w:rsidR="00B4096C" w:rsidRPr="00AC7317">
        <w:rPr>
          <w:rFonts w:ascii="Times New Roman" w:hAnsi="Times New Roman" w:cs="Times New Roman"/>
        </w:rPr>
        <w:t>ing structure</w:t>
      </w:r>
      <w:r w:rsidR="00AE76FC" w:rsidRPr="00AC7317">
        <w:rPr>
          <w:rFonts w:ascii="Times New Roman" w:hAnsi="Times New Roman" w:cs="Times New Roman"/>
        </w:rPr>
        <w:t xml:space="preserve">, creating an effective ad valorem (iceberg) wedge on </w:t>
      </w:r>
      <w:r w:rsidR="003D47F6" w:rsidRPr="00AC7317">
        <w:rPr>
          <w:rFonts w:ascii="Times New Roman" w:hAnsi="Times New Roman" w:cs="Times New Roman"/>
        </w:rPr>
        <w:t xml:space="preserve">the EU-bounded </w:t>
      </w:r>
      <w:r w:rsidR="00AE76FC" w:rsidRPr="00AC7317">
        <w:rPr>
          <w:rFonts w:ascii="Times New Roman" w:hAnsi="Times New Roman" w:cs="Times New Roman"/>
        </w:rPr>
        <w:t>flow. In a structural gravity framework, what matters for bilateral trade is this price wedge</w:t>
      </w:r>
      <w:r w:rsidR="00AC7458" w:rsidRPr="00AC7317">
        <w:rPr>
          <w:rFonts w:ascii="Times New Roman" w:hAnsi="Times New Roman" w:cs="Times New Roman"/>
        </w:rPr>
        <w:t>, which we represent in the form of ‘tariff-equivalent”.</w:t>
      </w:r>
      <w:r w:rsidR="00495386" w:rsidRPr="00AC7317">
        <w:rPr>
          <w:rFonts w:ascii="Times New Roman" w:hAnsi="Times New Roman" w:cs="Times New Roman"/>
        </w:rPr>
        <w:t xml:space="preserve"> </w:t>
      </w:r>
      <w:r w:rsidR="00F96466" w:rsidRPr="00AC7317">
        <w:rPr>
          <w:rFonts w:ascii="Times New Roman" w:hAnsi="Times New Roman" w:cs="Times New Roman"/>
        </w:rPr>
        <w:t xml:space="preserve">Our focus is </w:t>
      </w:r>
      <w:r w:rsidR="005330D0" w:rsidRPr="00AC7317">
        <w:rPr>
          <w:rFonts w:ascii="Times New Roman" w:hAnsi="Times New Roman" w:cs="Times New Roman"/>
        </w:rPr>
        <w:t xml:space="preserve">on </w:t>
      </w:r>
      <w:r w:rsidR="00F96466" w:rsidRPr="00AC7317">
        <w:rPr>
          <w:rFonts w:ascii="Times New Roman" w:hAnsi="Times New Roman" w:cs="Times New Roman"/>
        </w:rPr>
        <w:t>the EUDR’s effectiveness in mitigating soybean-related deforestation by examining economic pressure faced by high-risk countries, particularly Brazil and other South American countries. If these countries experience unfavorable changes in export potential, price indexes, producer prices, and terms of trade, it suggests that compliance pressures can incentivize anti-deforestation practices. The methodology for measuring these effects is described below:</w:t>
      </w:r>
    </w:p>
    <w:p w14:paraId="5AA13DE9" w14:textId="77777777"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b/>
          <w:bCs/>
        </w:rPr>
        <w:t>Step 1: Estimation of baseline trade costs</w:t>
      </w:r>
    </w:p>
    <w:p w14:paraId="76D0F4E6" w14:textId="74921E6B"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t>Using the trade elasticities derived from equation (</w:t>
      </w:r>
      <w:r w:rsidR="00C45916" w:rsidRPr="00AC7317">
        <w:rPr>
          <w:rFonts w:ascii="Times New Roman" w:hAnsi="Times New Roman" w:cs="Times New Roman"/>
        </w:rPr>
        <w:t>5</w:t>
      </w:r>
      <w:r w:rsidRPr="00AC7317">
        <w:rPr>
          <w:rFonts w:ascii="Times New Roman" w:hAnsi="Times New Roman" w:cs="Times New Roman"/>
        </w:rPr>
        <w:t xml:space="preserve">), we estimate the country-pair fixed effects, exporter fixed effects, and importer fixed effects. We then fit these fixed effects, taking the base year 2022, as shown in equation 6. For the ease of notation, we omit product superscripts, </w:t>
      </w:r>
      <m:oMath>
        <m:r>
          <w:rPr>
            <w:rFonts w:ascii="Cambria Math" w:hAnsi="Cambria Math" w:cs="Times New Roman"/>
          </w:rPr>
          <m:t>s</m:t>
        </m:r>
      </m:oMath>
      <w:r w:rsidRPr="00AC7317">
        <w:rPr>
          <w:rFonts w:ascii="Times New Roman" w:hAnsi="Times New Roman" w:cs="Times New Roman"/>
        </w:rPr>
        <w:t>:</w:t>
      </w:r>
    </w:p>
    <w:p w14:paraId="495012EA" w14:textId="24A5EEC7" w:rsidR="002E6A0D" w:rsidRPr="00AC7317" w:rsidRDefault="00000000" w:rsidP="00216BA2">
      <w:pPr>
        <w:pStyle w:val="BodyText"/>
        <w:spacing w:line="48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m:t>
              </m:r>
            </m:sub>
          </m:sSub>
          <m:r>
            <m:rPr>
              <m:sty m:val="p"/>
            </m:rPr>
            <w:rPr>
              <w:rFonts w:ascii="Cambria Math" w:hAnsi="Cambria Math" w:cs="Times New Roman"/>
            </w:rPr>
            <m:t>=exp</m:t>
          </m:r>
          <m:d>
            <m:dPr>
              <m:ctrlPr>
                <w:rPr>
                  <w:rFonts w:ascii="Cambria Math" w:hAnsi="Cambria Math" w:cs="Times New Roman"/>
                </w:rPr>
              </m:ctrlPr>
            </m:dPr>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γ</m:t>
                      </m:r>
                    </m:e>
                  </m:acc>
                </m:e>
                <m:sub>
                  <m:r>
                    <w:rPr>
                      <w:rFonts w:ascii="Cambria Math" w:hAnsi="Cambria Math" w:cs="Times New Roman"/>
                    </w:rPr>
                    <m:t>1</m:t>
                  </m:r>
                </m:sub>
              </m:sSub>
              <m:r>
                <m:rPr>
                  <m:sty m:val="p"/>
                </m:rPr>
                <w:rPr>
                  <w:rFonts w:ascii="Cambria Math" w:hAnsi="Cambria Math" w:cs="Times New Roman"/>
                </w:rPr>
                <m:t>log</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ij</m:t>
                      </m:r>
                    </m:sub>
                  </m:sSub>
                </m:e>
              </m:d>
              <m:r>
                <m:rPr>
                  <m:sty m:val="p"/>
                </m:rPr>
                <w:rPr>
                  <w:rFonts w:ascii="Cambria Math" w:hAnsi="Cambria Math" w:cs="Times New Roman"/>
                </w:rPr>
                <m:t>+</m:t>
              </m:r>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γ</m:t>
                      </m:r>
                    </m:e>
                  </m:acc>
                </m:e>
                <m:sub>
                  <m:r>
                    <w:rPr>
                      <w:rFonts w:ascii="Cambria Math" w:hAnsi="Cambria Math" w:cs="Times New Roman"/>
                    </w:rPr>
                    <m:t>i</m:t>
                  </m:r>
                </m:sub>
                <m:sup>
                  <m:d>
                    <m:dPr>
                      <m:begChr m:val="["/>
                      <m:endChr m:val="]"/>
                      <m:ctrlPr>
                        <w:rPr>
                          <w:rFonts w:ascii="Cambria Math" w:hAnsi="Cambria Math" w:cs="Times New Roman"/>
                        </w:rPr>
                      </m:ctrlPr>
                    </m:dPr>
                    <m:e>
                      <m:r>
                        <w:rPr>
                          <w:rFonts w:ascii="Cambria Math" w:hAnsi="Cambria Math" w:cs="Times New Roman"/>
                        </w:rPr>
                        <m:t>BLN</m:t>
                      </m:r>
                    </m:e>
                  </m:d>
                </m:sup>
              </m:sSubSup>
              <m:r>
                <m:rPr>
                  <m:sty m:val="p"/>
                </m:rPr>
                <w:rPr>
                  <w:rFonts w:ascii="Cambria Math" w:hAnsi="Cambria Math" w:cs="Times New Roman"/>
                </w:rPr>
                <m:t>+</m:t>
              </m:r>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γ</m:t>
                      </m:r>
                    </m:e>
                  </m:acc>
                </m:e>
                <m:sub>
                  <m:r>
                    <w:rPr>
                      <w:rFonts w:ascii="Cambria Math" w:hAnsi="Cambria Math" w:cs="Times New Roman"/>
                    </w:rPr>
                    <m:t>j</m:t>
                  </m:r>
                </m:sub>
                <m:sup>
                  <m:d>
                    <m:dPr>
                      <m:begChr m:val="["/>
                      <m:endChr m:val="]"/>
                      <m:ctrlPr>
                        <w:rPr>
                          <w:rFonts w:ascii="Cambria Math" w:hAnsi="Cambria Math" w:cs="Times New Roman"/>
                        </w:rPr>
                      </m:ctrlPr>
                    </m:dPr>
                    <m:e>
                      <m:r>
                        <w:rPr>
                          <w:rFonts w:ascii="Cambria Math" w:hAnsi="Cambria Math" w:cs="Times New Roman"/>
                        </w:rPr>
                        <m:t>BLN</m:t>
                      </m:r>
                    </m:e>
                  </m:d>
                </m:sup>
              </m:sSubSup>
              <m:r>
                <m:rPr>
                  <m:sty m:val="p"/>
                </m:rPr>
                <w:rPr>
                  <w:rFonts w:ascii="Cambria Math" w:hAnsi="Cambria Math" w:cs="Times New Roman"/>
                </w:rPr>
                <m:t>+</m:t>
              </m:r>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γ</m:t>
                      </m:r>
                    </m:e>
                  </m:acc>
                </m:e>
                <m:sub>
                  <m:r>
                    <w:rPr>
                      <w:rFonts w:ascii="Cambria Math" w:hAnsi="Cambria Math" w:cs="Times New Roman"/>
                    </w:rPr>
                    <m:t>ij</m:t>
                  </m:r>
                </m:sub>
                <m:sup>
                  <m:d>
                    <m:dPr>
                      <m:begChr m:val="["/>
                      <m:endChr m:val="]"/>
                      <m:ctrlPr>
                        <w:rPr>
                          <w:rFonts w:ascii="Cambria Math" w:hAnsi="Cambria Math" w:cs="Times New Roman"/>
                        </w:rPr>
                      </m:ctrlPr>
                    </m:dPr>
                    <m:e>
                      <m:r>
                        <w:rPr>
                          <w:rFonts w:ascii="Cambria Math" w:hAnsi="Cambria Math" w:cs="Times New Roman"/>
                        </w:rPr>
                        <m:t>BLN</m:t>
                      </m:r>
                    </m:e>
                  </m:d>
                </m:sup>
              </m:sSubSup>
            </m:e>
          </m:d>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m:t>
          </m:r>
          <m:r>
            <m:rPr>
              <m:nor/>
            </m:rPr>
            <w:rPr>
              <w:rFonts w:ascii="Cambria Math" w:hAnsi="Times New Roman" w:cs="Times New Roman"/>
            </w:rPr>
            <m:t>6</m:t>
          </m:r>
          <m:r>
            <m:rPr>
              <m:nor/>
            </m:rPr>
            <w:rPr>
              <w:rFonts w:ascii="Times New Roman" w:hAnsi="Times New Roman" w:cs="Times New Roman"/>
            </w:rPr>
            <m:t>)</m:t>
          </m:r>
        </m:oMath>
      </m:oMathPara>
    </w:p>
    <w:p w14:paraId="1FF2827C" w14:textId="0CC5FE2B" w:rsidR="002E6A0D" w:rsidRPr="00AC7317" w:rsidRDefault="00F96466" w:rsidP="00216BA2">
      <w:pPr>
        <w:pStyle w:val="FirstParagraph"/>
        <w:spacing w:line="480" w:lineRule="auto"/>
        <w:jc w:val="both"/>
        <w:rPr>
          <w:rFonts w:ascii="Times New Roman" w:hAnsi="Times New Roman" w:cs="Times New Roman"/>
        </w:rPr>
      </w:pPr>
      <w:r w:rsidRPr="00AC7317">
        <w:rPr>
          <w:rFonts w:ascii="Times New Roman" w:hAnsi="Times New Roman" w:cs="Times New Roman"/>
        </w:rPr>
        <w:t>Using the expenditure, sales</w:t>
      </w:r>
      <w:r w:rsidR="00C45916" w:rsidRPr="00AC7317">
        <w:rPr>
          <w:rFonts w:ascii="Times New Roman" w:hAnsi="Times New Roman" w:cs="Times New Roman"/>
        </w:rPr>
        <w:t>,</w:t>
      </w:r>
      <w:r w:rsidRPr="00AC7317">
        <w:rPr>
          <w:rFonts w:ascii="Times New Roman" w:hAnsi="Times New Roman" w:cs="Times New Roman"/>
        </w:rPr>
        <w:t xml:space="preserve"> and PPML fixed effects, we recover OMR and IMR consistent with the structural gravity terms, as demonstrated by </w:t>
      </w:r>
      <w:proofErr w:type="spellStart"/>
      <w:r w:rsidRPr="00AC7317">
        <w:rPr>
          <w:rFonts w:ascii="Times New Roman" w:hAnsi="Times New Roman" w:cs="Times New Roman"/>
        </w:rPr>
        <w:t>Fally</w:t>
      </w:r>
      <w:proofErr w:type="spellEnd"/>
      <w:r w:rsidRPr="00AC7317">
        <w:rPr>
          <w:rFonts w:ascii="Times New Roman" w:hAnsi="Times New Roman" w:cs="Times New Roman"/>
        </w:rPr>
        <w:t xml:space="preserve"> (</w:t>
      </w:r>
      <w:hyperlink w:anchor="ref-fally2015">
        <w:r w:rsidR="002E6A0D" w:rsidRPr="00AC7317">
          <w:rPr>
            <w:rStyle w:val="Hyperlink"/>
            <w:rFonts w:ascii="Times New Roman" w:hAnsi="Times New Roman" w:cs="Times New Roman"/>
          </w:rPr>
          <w:t>2015</w:t>
        </w:r>
      </w:hyperlink>
      <w:r w:rsidRPr="00AC7317">
        <w:rPr>
          <w:rFonts w:ascii="Times New Roman" w:hAnsi="Times New Roman" w:cs="Times New Roman"/>
        </w:rPr>
        <w:t xml:space="preserve">). The PPML ensures that the fixed </w:t>
      </w:r>
      <w:r w:rsidRPr="00AC7317">
        <w:rPr>
          <w:rFonts w:ascii="Times New Roman" w:hAnsi="Times New Roman" w:cs="Times New Roman"/>
        </w:rPr>
        <w:lastRenderedPageBreak/>
        <w:t xml:space="preserve">effects </w:t>
      </w:r>
      <w:r w:rsidR="00C45916" w:rsidRPr="00AC7317">
        <w:rPr>
          <w:rFonts w:ascii="Times New Roman" w:hAnsi="Times New Roman" w:cs="Times New Roman"/>
        </w:rPr>
        <w:t xml:space="preserve">are adjusted so that the corresponding multilateral resistances are consistent with the </w:t>
      </w:r>
      <w:r w:rsidRPr="00AC7317">
        <w:rPr>
          <w:rFonts w:ascii="Times New Roman" w:hAnsi="Times New Roman" w:cs="Times New Roman"/>
        </w:rPr>
        <w:t xml:space="preserve">tariff elasticity. A unique feature of the PPML is that fitted expenditures (or sales) equal observed expenditures (sales), resulting in: </w:t>
      </w:r>
      <m:oMath>
        <m:nary>
          <m:naryPr>
            <m:chr m:val="∑"/>
            <m:limLoc m:val="undOvr"/>
            <m:supHide m:val="1"/>
            <m:ctrlPr>
              <w:rPr>
                <w:rFonts w:ascii="Cambria Math" w:hAnsi="Cambria Math" w:cs="Times New Roman"/>
              </w:rPr>
            </m:ctrlPr>
          </m:naryPr>
          <m:sub>
            <m:r>
              <w:rPr>
                <w:rFonts w:ascii="Cambria Math" w:hAnsi="Cambria Math" w:cs="Times New Roman"/>
              </w:rPr>
              <m:t>j</m:t>
            </m:r>
          </m:sub>
          <m:sup>
            <m:r>
              <w:rPr>
                <w:rFonts w:ascii="Cambria Math" w:hAnsi="Cambria Math" w:cs="Times New Roman"/>
              </w:rPr>
              <m:t>​</m:t>
            </m:r>
          </m:sup>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ij</m:t>
                </m:r>
              </m:sub>
            </m:sSub>
          </m:e>
        </m:nary>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j</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m:t>
                </m:r>
              </m:sub>
            </m:sSub>
          </m:e>
        </m:nary>
        <m:r>
          <m:rPr>
            <m:sty m:val="p"/>
          </m:rPr>
          <w:rPr>
            <w:rFonts w:ascii="Cambria Math" w:hAnsi="Cambria Math" w:cs="Times New Roman"/>
          </w:rPr>
          <m:t>=</m:t>
        </m:r>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w:rPr>
                <w:rFonts w:ascii="Cambria Math" w:hAnsi="Cambria Math" w:cs="Times New Roman"/>
              </w:rPr>
              <m:t>BLN</m:t>
            </m:r>
          </m:sup>
        </m:sSubSup>
      </m:oMath>
      <w:r w:rsidRPr="00AC7317">
        <w:rPr>
          <w:rFonts w:ascii="Times New Roman" w:hAnsi="Times New Roman" w:cs="Times New Roman"/>
        </w:rPr>
        <w:t xml:space="preserve"> and </w:t>
      </w:r>
      <m:oMath>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ij</m:t>
                </m:r>
              </m:sub>
            </m:sSub>
          </m:e>
        </m:nary>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m:t>
                </m:r>
              </m:sub>
            </m:sSub>
          </m:e>
        </m:nary>
        <m:r>
          <m:rPr>
            <m:sty m:val="p"/>
          </m:rPr>
          <w:rPr>
            <w:rFonts w:ascii="Cambria Math" w:hAnsi="Cambria Math" w:cs="Times New Roman"/>
          </w:rPr>
          <m:t>=</m:t>
        </m:r>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E</m:t>
                </m:r>
              </m:e>
            </m:acc>
          </m:e>
          <m:sub>
            <m:r>
              <w:rPr>
                <w:rFonts w:ascii="Cambria Math" w:hAnsi="Cambria Math" w:cs="Times New Roman"/>
              </w:rPr>
              <m:t>j</m:t>
            </m:r>
          </m:sub>
          <m:sup>
            <m:r>
              <w:rPr>
                <w:rFonts w:ascii="Cambria Math" w:hAnsi="Cambria Math" w:cs="Times New Roman"/>
              </w:rPr>
              <m:t>BLN</m:t>
            </m:r>
          </m:sup>
        </m:sSubSup>
      </m:oMath>
      <w:r w:rsidRPr="00AC7317">
        <w:rPr>
          <w:rFonts w:ascii="Times New Roman" w:hAnsi="Times New Roman" w:cs="Times New Roman"/>
        </w:rPr>
        <w:t>.</w:t>
      </w:r>
    </w:p>
    <w:p w14:paraId="3584A2F8" w14:textId="22B4821A"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t xml:space="preserve">To construct baseline OMR and IMR, we normalize all the fixed effects relative to Australia, denoted as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0</m:t>
            </m:r>
          </m:sub>
        </m:sSub>
      </m:oMath>
      <w:r w:rsidRPr="00AC7317">
        <w:rPr>
          <w:rFonts w:ascii="Times New Roman" w:hAnsi="Times New Roman" w:cs="Times New Roman"/>
        </w:rPr>
        <w:t>. According to Yotov et al. (</w:t>
      </w:r>
      <w:hyperlink w:anchor="ref-yotov2016">
        <w:r w:rsidR="002E6A0D" w:rsidRPr="00AC7317">
          <w:rPr>
            <w:rStyle w:val="Hyperlink"/>
            <w:rFonts w:ascii="Times New Roman" w:hAnsi="Times New Roman" w:cs="Times New Roman"/>
          </w:rPr>
          <w:t>2016</w:t>
        </w:r>
      </w:hyperlink>
      <w:r w:rsidRPr="00AC7317">
        <w:rPr>
          <w:rFonts w:ascii="Times New Roman" w:hAnsi="Times New Roman" w:cs="Times New Roman"/>
        </w:rPr>
        <w:t xml:space="preserve">), the reference country should be the one that is presumably not significantly affected by the counterfactual shock. </w:t>
      </w:r>
      <w:r w:rsidR="00C45916" w:rsidRPr="00AC7317">
        <w:rPr>
          <w:rFonts w:ascii="Times New Roman" w:hAnsi="Times New Roman" w:cs="Times New Roman"/>
        </w:rPr>
        <w:t>The idea is to make the “relative” counterfactual changes in multilateral resistances as close as possible to their “absolute” counterparts</w:t>
      </w:r>
      <w:r w:rsidRPr="00AC7317">
        <w:rPr>
          <w:rFonts w:ascii="Times New Roman" w:hAnsi="Times New Roman" w:cs="Times New Roman"/>
        </w:rPr>
        <w:t>.</w:t>
      </w:r>
    </w:p>
    <w:p w14:paraId="3C6CC85B" w14:textId="01EFE80E" w:rsidR="002E6A0D" w:rsidRPr="00AC7317" w:rsidRDefault="00000000" w:rsidP="00216BA2">
      <w:pPr>
        <w:pStyle w:val="BodyText"/>
        <w:spacing w:line="480" w:lineRule="auto"/>
        <w:jc w:val="both"/>
        <w:rPr>
          <w:rFonts w:ascii="Times New Roman" w:hAnsi="Times New Roman" w:cs="Times New Roman"/>
        </w:rPr>
      </w:pPr>
      <m:oMathPara>
        <m:oMathParaPr>
          <m:jc m:val="center"/>
        </m:oMathParaPr>
        <m:oMath>
          <m:sSup>
            <m:sSupPr>
              <m:ctrlPr>
                <w:rPr>
                  <w:rFonts w:ascii="Cambria Math" w:hAnsi="Cambria Math" w:cs="Times New Roman"/>
                </w:rPr>
              </m:ctrlPr>
            </m:sSupPr>
            <m:e>
              <m:acc>
                <m:accPr>
                  <m:chr m:val="̃"/>
                  <m:ctrlPr>
                    <w:rPr>
                      <w:rFonts w:ascii="Cambria Math" w:hAnsi="Cambria Math" w:cs="Times New Roman"/>
                    </w:rPr>
                  </m:ctrlPr>
                </m:accPr>
                <m:e>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i</m:t>
                          </m:r>
                        </m:sub>
                        <m:sup>
                          <m:r>
                            <w:rPr>
                              <w:rFonts w:ascii="Cambria Math" w:hAnsi="Cambria Math" w:cs="Times New Roman"/>
                            </w:rPr>
                            <m:t>1</m:t>
                          </m:r>
                          <m:r>
                            <m:rPr>
                              <m:sty m:val="p"/>
                            </m:rPr>
                            <w:rPr>
                              <w:rFonts w:ascii="Cambria Math" w:hAnsi="Cambria Math" w:cs="Times New Roman"/>
                            </w:rPr>
                            <m:t>-</m:t>
                          </m:r>
                          <m:r>
                            <w:rPr>
                              <w:rFonts w:ascii="Cambria Math" w:hAnsi="Cambria Math" w:cs="Times New Roman"/>
                            </w:rPr>
                            <m:t>σ</m:t>
                          </m:r>
                        </m:sup>
                      </m:sSubSup>
                    </m:e>
                  </m:d>
                </m:e>
              </m:acc>
            </m:e>
            <m:sup>
              <m:r>
                <w:rPr>
                  <w:rFonts w:ascii="Cambria Math" w:hAnsi="Cambria Math" w:cs="Times New Roman"/>
                </w:rPr>
                <m:t>BLN</m:t>
              </m:r>
            </m:sup>
          </m:sSup>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E</m:t>
                      </m:r>
                    </m:e>
                  </m:acc>
                </m:e>
                <m:sub>
                  <m:r>
                    <w:rPr>
                      <w:rFonts w:ascii="Cambria Math" w:hAnsi="Cambria Math" w:cs="Times New Roman"/>
                    </w:rPr>
                    <m:t>0</m:t>
                  </m:r>
                </m:sub>
              </m:sSub>
            </m:num>
            <m:den>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den>
          </m:f>
          <m:r>
            <m:rPr>
              <m:sty m:val="p"/>
            </m:rPr>
            <w:rPr>
              <w:rFonts w:ascii="Cambria Math" w:hAnsi="Cambria Math" w:cs="Times New Roman"/>
            </w:rPr>
            <m:t>exp</m:t>
          </m:r>
          <m:d>
            <m:dPr>
              <m:ctrlPr>
                <w:rPr>
                  <w:rFonts w:ascii="Cambria Math" w:hAnsi="Cambria Math" w:cs="Times New Roman"/>
                </w:rPr>
              </m:ctrlPr>
            </m:dPr>
            <m:e>
              <m:r>
                <m:rPr>
                  <m:sty m:val="p"/>
                </m:rPr>
                <w:rPr>
                  <w:rFonts w:ascii="Cambria Math" w:hAnsi="Cambria Math" w:cs="Times New Roman"/>
                </w:rPr>
                <m:t>-</m:t>
              </m:r>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γ</m:t>
                      </m:r>
                    </m:e>
                  </m:acc>
                </m:e>
                <m:sub>
                  <m:r>
                    <w:rPr>
                      <w:rFonts w:ascii="Cambria Math" w:hAnsi="Cambria Math" w:cs="Times New Roman"/>
                    </w:rPr>
                    <m:t>i</m:t>
                  </m:r>
                </m:sub>
                <m:sup>
                  <m:d>
                    <m:dPr>
                      <m:begChr m:val="["/>
                      <m:endChr m:val="]"/>
                      <m:ctrlPr>
                        <w:rPr>
                          <w:rFonts w:ascii="Cambria Math" w:hAnsi="Cambria Math" w:cs="Times New Roman"/>
                        </w:rPr>
                      </m:ctrlPr>
                    </m:dPr>
                    <m:e>
                      <m:r>
                        <w:rPr>
                          <w:rFonts w:ascii="Cambria Math" w:hAnsi="Cambria Math" w:cs="Times New Roman"/>
                        </w:rPr>
                        <m:t>BLN</m:t>
                      </m:r>
                    </m:e>
                  </m:d>
                </m:sup>
              </m:sSubSup>
            </m:e>
          </m:d>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m:t>
          </m:r>
          <m:r>
            <m:rPr>
              <m:nor/>
            </m:rPr>
            <w:rPr>
              <w:rFonts w:ascii="Cambria Math" w:hAnsi="Times New Roman" w:cs="Times New Roman"/>
            </w:rPr>
            <m:t>7</m:t>
          </m:r>
          <m:r>
            <m:rPr>
              <m:nor/>
            </m:rPr>
            <w:rPr>
              <w:rFonts w:ascii="Times New Roman" w:hAnsi="Times New Roman" w:cs="Times New Roman"/>
            </w:rPr>
            <m:t>)</m:t>
          </m:r>
        </m:oMath>
      </m:oMathPara>
    </w:p>
    <w:p w14:paraId="344F10BE" w14:textId="6BA614EF" w:rsidR="002E6A0D" w:rsidRPr="00AC7317" w:rsidRDefault="00000000" w:rsidP="00216BA2">
      <w:pPr>
        <w:pStyle w:val="FirstParagraph"/>
        <w:spacing w:line="480" w:lineRule="auto"/>
        <w:jc w:val="both"/>
        <w:rPr>
          <w:rFonts w:ascii="Times New Roman" w:hAnsi="Times New Roman" w:cs="Times New Roman"/>
        </w:rPr>
      </w:pPr>
      <m:oMathPara>
        <m:oMathParaPr>
          <m:jc m:val="center"/>
        </m:oMathParaPr>
        <m:oMath>
          <m:sSup>
            <m:sSupPr>
              <m:ctrlPr>
                <w:rPr>
                  <w:rFonts w:ascii="Cambria Math" w:hAnsi="Cambria Math" w:cs="Times New Roman"/>
                </w:rPr>
              </m:ctrlPr>
            </m:sSupPr>
            <m:e>
              <m:acc>
                <m:accPr>
                  <m:chr m:val="̃"/>
                  <m:ctrlPr>
                    <w:rPr>
                      <w:rFonts w:ascii="Cambria Math" w:hAnsi="Cambria Math" w:cs="Times New Roman"/>
                    </w:rPr>
                  </m:ctrlPr>
                </m:accPr>
                <m:e>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j</m:t>
                          </m:r>
                        </m:sub>
                        <m:sup>
                          <m:r>
                            <w:rPr>
                              <w:rFonts w:ascii="Cambria Math" w:hAnsi="Cambria Math" w:cs="Times New Roman"/>
                            </w:rPr>
                            <m:t>1</m:t>
                          </m:r>
                          <m:r>
                            <m:rPr>
                              <m:sty m:val="p"/>
                            </m:rPr>
                            <w:rPr>
                              <w:rFonts w:ascii="Cambria Math" w:hAnsi="Cambria Math" w:cs="Times New Roman"/>
                            </w:rPr>
                            <m:t>-</m:t>
                          </m:r>
                          <m:r>
                            <w:rPr>
                              <w:rFonts w:ascii="Cambria Math" w:hAnsi="Cambria Math" w:cs="Times New Roman"/>
                            </w:rPr>
                            <m:t>σ</m:t>
                          </m:r>
                        </m:sup>
                      </m:sSubSup>
                    </m:e>
                  </m:d>
                </m:e>
              </m:acc>
            </m:e>
            <m:sup>
              <m:r>
                <w:rPr>
                  <w:rFonts w:ascii="Cambria Math" w:hAnsi="Cambria Math" w:cs="Times New Roman"/>
                </w:rPr>
                <m:t>BLN</m:t>
              </m:r>
            </m:sup>
          </m:sSup>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E</m:t>
                      </m:r>
                    </m:e>
                  </m:acc>
                </m:e>
                <m:sub>
                  <m:r>
                    <w:rPr>
                      <w:rFonts w:ascii="Cambria Math" w:hAnsi="Cambria Math" w:cs="Times New Roman"/>
                    </w:rPr>
                    <m:t>j</m:t>
                  </m:r>
                </m:sub>
              </m:sSub>
            </m:num>
            <m:den>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E</m:t>
                      </m:r>
                    </m:e>
                  </m:acc>
                </m:e>
                <m:sub>
                  <m:r>
                    <w:rPr>
                      <w:rFonts w:ascii="Cambria Math" w:hAnsi="Cambria Math" w:cs="Times New Roman"/>
                    </w:rPr>
                    <m:t>0</m:t>
                  </m:r>
                </m:sub>
              </m:sSub>
            </m:den>
          </m:f>
          <m:r>
            <m:rPr>
              <m:sty m:val="p"/>
            </m:rPr>
            <w:rPr>
              <w:rFonts w:ascii="Cambria Math" w:hAnsi="Cambria Math" w:cs="Times New Roman"/>
            </w:rPr>
            <m:t>exp</m:t>
          </m:r>
          <m:d>
            <m:dPr>
              <m:ctrlPr>
                <w:rPr>
                  <w:rFonts w:ascii="Cambria Math" w:hAnsi="Cambria Math" w:cs="Times New Roman"/>
                </w:rPr>
              </m:ctrlPr>
            </m:dPr>
            <m:e>
              <m:r>
                <m:rPr>
                  <m:sty m:val="p"/>
                </m:rPr>
                <w:rPr>
                  <w:rFonts w:ascii="Cambria Math" w:hAnsi="Cambria Math" w:cs="Times New Roman"/>
                </w:rPr>
                <m:t>-</m:t>
              </m:r>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γ</m:t>
                      </m:r>
                    </m:e>
                  </m:acc>
                </m:e>
                <m:sub>
                  <m:r>
                    <w:rPr>
                      <w:rFonts w:ascii="Cambria Math" w:hAnsi="Cambria Math" w:cs="Times New Roman"/>
                    </w:rPr>
                    <m:t>j</m:t>
                  </m:r>
                </m:sub>
                <m:sup>
                  <m:d>
                    <m:dPr>
                      <m:begChr m:val="["/>
                      <m:endChr m:val="]"/>
                      <m:ctrlPr>
                        <w:rPr>
                          <w:rFonts w:ascii="Cambria Math" w:hAnsi="Cambria Math" w:cs="Times New Roman"/>
                        </w:rPr>
                      </m:ctrlPr>
                    </m:dPr>
                    <m:e>
                      <m:r>
                        <w:rPr>
                          <w:rFonts w:ascii="Cambria Math" w:hAnsi="Cambria Math" w:cs="Times New Roman"/>
                        </w:rPr>
                        <m:t>BLN</m:t>
                      </m:r>
                    </m:e>
                  </m:d>
                </m:sup>
              </m:sSubSup>
            </m:e>
          </m:d>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m:t>
          </m:r>
          <m:r>
            <m:rPr>
              <m:nor/>
            </m:rPr>
            <w:rPr>
              <w:rFonts w:ascii="Cambria Math" w:hAnsi="Times New Roman" w:cs="Times New Roman"/>
            </w:rPr>
            <m:t>8</m:t>
          </m:r>
          <m:r>
            <m:rPr>
              <m:nor/>
            </m:rPr>
            <w:rPr>
              <w:rFonts w:ascii="Times New Roman" w:hAnsi="Times New Roman" w:cs="Times New Roman"/>
            </w:rPr>
            <m:t>)</m:t>
          </m:r>
        </m:oMath>
      </m:oMathPara>
    </w:p>
    <w:p w14:paraId="58422004" w14:textId="5D7E0957" w:rsidR="002E6A0D" w:rsidRPr="00AC7317" w:rsidRDefault="00F96466" w:rsidP="00216BA2">
      <w:pPr>
        <w:pStyle w:val="FirstParagraph"/>
        <w:spacing w:line="480" w:lineRule="auto"/>
        <w:jc w:val="both"/>
        <w:rPr>
          <w:rFonts w:ascii="Times New Roman" w:hAnsi="Times New Roman" w:cs="Times New Roman"/>
        </w:rPr>
      </w:pPr>
      <w:r w:rsidRPr="00AC7317">
        <w:rPr>
          <w:rFonts w:ascii="Times New Roman" w:hAnsi="Times New Roman" w:cs="Times New Roman"/>
        </w:rPr>
        <w:t xml:space="preserve">Practically, many country pairs involve zero trade flows. For such pairs, </w:t>
      </w:r>
      <m:oMath>
        <m:r>
          <m:rPr>
            <m:sty m:val="p"/>
          </m:rPr>
          <w:rPr>
            <w:rFonts w:ascii="Cambria Math" w:hAnsi="Cambria Math" w:cs="Times New Roman"/>
          </w:rPr>
          <m:t>exp</m:t>
        </m:r>
        <m:d>
          <m:dPr>
            <m:ctrlPr>
              <w:rPr>
                <w:rFonts w:ascii="Cambria Math" w:hAnsi="Cambria Math" w:cs="Times New Roman"/>
              </w:rPr>
            </m:ctrlPr>
          </m:dPr>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γ</m:t>
                    </m:r>
                  </m:e>
                </m:acc>
              </m:e>
              <m:sub>
                <m:r>
                  <w:rPr>
                    <w:rFonts w:ascii="Cambria Math" w:hAnsi="Cambria Math" w:cs="Times New Roman"/>
                  </w:rPr>
                  <m:t>ij</m:t>
                </m:r>
              </m:sub>
            </m:sSub>
          </m:e>
        </m:d>
      </m:oMath>
      <w:r w:rsidRPr="00AC7317">
        <w:rPr>
          <w:rFonts w:ascii="Times New Roman" w:hAnsi="Times New Roman" w:cs="Times New Roman"/>
        </w:rPr>
        <w:t xml:space="preserve"> is not available. To recover the fixed effects of all country pairs, we conduct the regression using equation (</w:t>
      </w:r>
      <w:r w:rsidR="005330D0" w:rsidRPr="00AC7317">
        <w:rPr>
          <w:rFonts w:ascii="Times New Roman" w:hAnsi="Times New Roman" w:cs="Times New Roman"/>
        </w:rPr>
        <w:t>6</w:t>
      </w:r>
      <w:r w:rsidRPr="00AC7317">
        <w:rPr>
          <w:rFonts w:ascii="Times New Roman" w:hAnsi="Times New Roman" w:cs="Times New Roman"/>
        </w:rPr>
        <w:t xml:space="preserve">) for those with available country pair fixed effects. We then estimate all </w:t>
      </w:r>
      <m:oMath>
        <m:r>
          <w:rPr>
            <w:rFonts w:ascii="Cambria Math" w:hAnsi="Cambria Math" w:cs="Times New Roman"/>
          </w:rPr>
          <m:t>γ</m:t>
        </m:r>
      </m:oMath>
      <w:r w:rsidRPr="00AC7317">
        <w:rPr>
          <w:rFonts w:ascii="Times New Roman" w:hAnsi="Times New Roman" w:cs="Times New Roman"/>
        </w:rPr>
        <w:t xml:space="preserve"> parameters and predict </w:t>
      </w:r>
      <m:oMath>
        <m:r>
          <m:rPr>
            <m:sty m:val="p"/>
          </m:rPr>
          <w:rPr>
            <w:rFonts w:ascii="Cambria Math" w:hAnsi="Cambria Math" w:cs="Times New Roman"/>
          </w:rPr>
          <m:t>exp</m:t>
        </m:r>
        <m:d>
          <m:dPr>
            <m:ctrlPr>
              <w:rPr>
                <w:rFonts w:ascii="Cambria Math" w:hAnsi="Cambria Math" w:cs="Times New Roman"/>
              </w:rPr>
            </m:ctrlPr>
          </m:dPr>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γ</m:t>
                    </m:r>
                  </m:e>
                </m:acc>
              </m:e>
              <m:sub>
                <m:r>
                  <w:rPr>
                    <w:rFonts w:ascii="Cambria Math" w:hAnsi="Cambria Math" w:cs="Times New Roman"/>
                  </w:rPr>
                  <m:t>ij</m:t>
                </m:r>
              </m:sub>
            </m:sSub>
          </m:e>
        </m:d>
      </m:oMath>
      <w:r w:rsidRPr="00AC7317">
        <w:rPr>
          <w:rFonts w:ascii="Times New Roman" w:hAnsi="Times New Roman" w:cs="Times New Roman"/>
        </w:rPr>
        <w:t xml:space="preserve"> for the missing country pair fixed effects.</w:t>
      </w:r>
    </w:p>
    <w:p w14:paraId="7BD30EDE" w14:textId="47392A64" w:rsidR="002E6A0D" w:rsidRPr="00AC7317" w:rsidRDefault="00F96466" w:rsidP="00216BA2">
      <w:pPr>
        <w:pStyle w:val="BodyText"/>
        <w:spacing w:line="480" w:lineRule="auto"/>
        <w:jc w:val="both"/>
        <w:rPr>
          <w:rFonts w:ascii="Times New Roman" w:hAnsi="Times New Roman" w:cs="Times New Roman"/>
        </w:rPr>
      </w:pPr>
      <m:oMathPara>
        <m:oMathParaPr>
          <m:jc m:val="center"/>
        </m:oMathParaPr>
        <m:oMath>
          <m:r>
            <m:rPr>
              <m:sty m:val="p"/>
            </m:rPr>
            <w:rPr>
              <w:rFonts w:ascii="Cambria Math" w:hAnsi="Cambria Math" w:cs="Times New Roman"/>
            </w:rPr>
            <m:t>exp</m:t>
          </m:r>
          <m:d>
            <m:dPr>
              <m:ctrlPr>
                <w:rPr>
                  <w:rFonts w:ascii="Cambria Math" w:hAnsi="Cambria Math" w:cs="Times New Roman"/>
                </w:rPr>
              </m:ctrlPr>
            </m:dPr>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γ</m:t>
                      </m:r>
                    </m:e>
                  </m:acc>
                </m:e>
                <m:sub>
                  <m:r>
                    <w:rPr>
                      <w:rFonts w:ascii="Cambria Math" w:hAnsi="Cambria Math" w:cs="Times New Roman"/>
                    </w:rPr>
                    <m:t>ij</m:t>
                  </m:r>
                </m:sub>
              </m:sSub>
            </m:e>
          </m:d>
          <m:r>
            <m:rPr>
              <m:sty m:val="p"/>
            </m:rPr>
            <w:rPr>
              <w:rFonts w:ascii="Cambria Math" w:hAnsi="Cambria Math" w:cs="Times New Roman"/>
            </w:rPr>
            <m:t>=exp</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2</m:t>
                  </m:r>
                </m:sub>
              </m:sSub>
              <m:r>
                <m:rPr>
                  <m:sty m:val="p"/>
                </m:rPr>
                <w:rPr>
                  <w:rFonts w:ascii="Cambria Math" w:hAnsi="Cambria Math" w:cs="Times New Roman"/>
                </w:rPr>
                <m:t>ln</m:t>
              </m:r>
              <m:d>
                <m:dPr>
                  <m:ctrlPr>
                    <w:rPr>
                      <w:rFonts w:ascii="Cambria Math" w:hAnsi="Cambria Math" w:cs="Times New Roman"/>
                    </w:rPr>
                  </m:ctrlPr>
                </m:dPr>
                <m:e>
                  <m:r>
                    <w:rPr>
                      <w:rFonts w:ascii="Cambria Math" w:hAnsi="Cambria Math" w:cs="Times New Roman"/>
                    </w:rPr>
                    <m:t>DIS</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ij</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3</m:t>
                  </m:r>
                </m:sub>
              </m:sSub>
              <m:r>
                <w:rPr>
                  <w:rFonts w:ascii="Cambria Math" w:hAnsi="Cambria Math" w:cs="Times New Roman"/>
                </w:rPr>
                <m:t>CNT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4</m:t>
                  </m:r>
                </m:sub>
              </m:sSub>
              <m:r>
                <w:rPr>
                  <w:rFonts w:ascii="Cambria Math" w:hAnsi="Cambria Math" w:cs="Times New Roman"/>
                </w:rPr>
                <m:t>LAN</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5</m:t>
                  </m:r>
                </m:sub>
              </m:sSub>
              <m:r>
                <w:rPr>
                  <w:rFonts w:ascii="Cambria Math" w:hAnsi="Cambria Math" w:cs="Times New Roman"/>
                </w:rPr>
                <m:t>CLN</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m:t>
          </m:r>
          <m:r>
            <m:rPr>
              <m:nor/>
            </m:rPr>
            <w:rPr>
              <w:rFonts w:ascii="Cambria Math" w:hAnsi="Times New Roman" w:cs="Times New Roman"/>
            </w:rPr>
            <m:t>9</m:t>
          </m:r>
          <m:r>
            <m:rPr>
              <m:nor/>
            </m:rPr>
            <w:rPr>
              <w:rFonts w:ascii="Times New Roman" w:hAnsi="Times New Roman" w:cs="Times New Roman"/>
            </w:rPr>
            <m:t>)</m:t>
          </m:r>
        </m:oMath>
      </m:oMathPara>
    </w:p>
    <w:p w14:paraId="6AEE5D8C" w14:textId="77777777" w:rsidR="002E6A0D" w:rsidRPr="00AC7317" w:rsidRDefault="00F96466" w:rsidP="00216BA2">
      <w:pPr>
        <w:pStyle w:val="FirstParagraph"/>
        <w:spacing w:line="480" w:lineRule="auto"/>
        <w:jc w:val="both"/>
        <w:rPr>
          <w:rFonts w:ascii="Times New Roman" w:hAnsi="Times New Roman" w:cs="Times New Roman"/>
        </w:rPr>
      </w:pPr>
      <w:r w:rsidRPr="00AC7317">
        <w:rPr>
          <w:rFonts w:ascii="Times New Roman" w:hAnsi="Times New Roman" w:cs="Times New Roman"/>
        </w:rPr>
        <w:t>Therefore, the baseline trade cost is estimated as below:</w:t>
      </w:r>
    </w:p>
    <w:p w14:paraId="5587AA49" w14:textId="771C2BB8" w:rsidR="002E6A0D" w:rsidRPr="00AC7317" w:rsidRDefault="00000000" w:rsidP="00216BA2">
      <w:pPr>
        <w:pStyle w:val="BodyText"/>
        <w:spacing w:line="480" w:lineRule="auto"/>
        <w:jc w:val="both"/>
        <w:rPr>
          <w:rFonts w:ascii="Times New Roman" w:hAnsi="Times New Roman" w:cs="Times New Roman"/>
        </w:rPr>
      </w:pPr>
      <m:oMathPara>
        <m:oMathParaPr>
          <m:jc m:val="center"/>
        </m:oMathParaPr>
        <m:oMath>
          <m:sSup>
            <m:sSupPr>
              <m:ctrlPr>
                <w:rPr>
                  <w:rFonts w:ascii="Cambria Math" w:hAnsi="Cambria Math" w:cs="Times New Roman"/>
                </w:rPr>
              </m:ctrlPr>
            </m:sSupPr>
            <m:e>
              <m:acc>
                <m:accPr>
                  <m:chr m:val="̃"/>
                  <m:ctrlPr>
                    <w:rPr>
                      <w:rFonts w:ascii="Cambria Math" w:hAnsi="Cambria Math" w:cs="Times New Roman"/>
                    </w:rPr>
                  </m:ctrlPr>
                </m:accPr>
                <m:e>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ij</m:t>
                          </m:r>
                        </m:sub>
                        <m:sup>
                          <m:r>
                            <w:rPr>
                              <w:rFonts w:ascii="Cambria Math" w:hAnsi="Cambria Math" w:cs="Times New Roman"/>
                            </w:rPr>
                            <m:t>1</m:t>
                          </m:r>
                          <m:r>
                            <m:rPr>
                              <m:sty m:val="p"/>
                            </m:rPr>
                            <w:rPr>
                              <w:rFonts w:ascii="Cambria Math" w:hAnsi="Cambria Math" w:cs="Times New Roman"/>
                            </w:rPr>
                            <m:t>-</m:t>
                          </m:r>
                          <m:r>
                            <w:rPr>
                              <w:rFonts w:ascii="Cambria Math" w:hAnsi="Cambria Math" w:cs="Times New Roman"/>
                            </w:rPr>
                            <m:t>σ</m:t>
                          </m:r>
                        </m:sup>
                      </m:sSubSup>
                    </m:e>
                  </m:d>
                </m:e>
              </m:acc>
            </m:e>
            <m:sup>
              <m:r>
                <w:rPr>
                  <w:rFonts w:ascii="Cambria Math" w:hAnsi="Cambria Math" w:cs="Times New Roman"/>
                </w:rPr>
                <m:t>BLN</m:t>
              </m:r>
            </m:sup>
          </m:sSup>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r>
                      <m:rPr>
                        <m:sty m:val="p"/>
                      </m:rPr>
                      <w:rPr>
                        <w:rFonts w:ascii="Cambria Math" w:hAnsi="Cambria Math" w:cs="Times New Roman"/>
                      </w:rPr>
                      <m:t>exp</m:t>
                    </m:r>
                    <m:d>
                      <m:dPr>
                        <m:ctrlPr>
                          <w:rPr>
                            <w:rFonts w:ascii="Cambria Math" w:hAnsi="Cambria Math" w:cs="Times New Roman"/>
                          </w:rPr>
                        </m:ctrlPr>
                      </m:dPr>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γ</m:t>
                                </m:r>
                              </m:e>
                            </m:acc>
                          </m:e>
                          <m:sub>
                            <m:r>
                              <w:rPr>
                                <w:rFonts w:ascii="Cambria Math" w:hAnsi="Cambria Math" w:cs="Times New Roman"/>
                              </w:rPr>
                              <m:t>ij</m:t>
                            </m:r>
                          </m:sub>
                        </m:sSub>
                      </m:e>
                    </m:d>
                    <m:r>
                      <m:rPr>
                        <m:sty m:val="p"/>
                      </m:rPr>
                      <w:rPr>
                        <w:rFonts w:ascii="Cambria Math" w:hAnsi="Cambria Math" w:cs="Times New Roman"/>
                      </w:rPr>
                      <m:t>exp</m:t>
                    </m:r>
                    <m:d>
                      <m:dPr>
                        <m:ctrlPr>
                          <w:rPr>
                            <w:rFonts w:ascii="Cambria Math" w:hAnsi="Cambria Math" w:cs="Times New Roman"/>
                          </w:rPr>
                        </m:ctrlPr>
                      </m:dPr>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γ</m:t>
                                </m:r>
                              </m:e>
                            </m:acc>
                          </m:e>
                          <m:sub>
                            <m:r>
                              <w:rPr>
                                <w:rFonts w:ascii="Cambria Math" w:hAnsi="Cambria Math" w:cs="Times New Roman"/>
                              </w:rPr>
                              <m:t>1</m:t>
                            </m:r>
                          </m:sub>
                        </m:sSub>
                        <m:r>
                          <m:rPr>
                            <m:sty m:val="p"/>
                          </m:rPr>
                          <w:rPr>
                            <w:rFonts w:ascii="Cambria Math" w:hAnsi="Cambria Math" w:cs="Times New Roman"/>
                          </w:rPr>
                          <m:t>log</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ij</m:t>
                                </m:r>
                              </m:sub>
                            </m:sSub>
                          </m:e>
                        </m:d>
                      </m:e>
                    </m:d>
                    <m:r>
                      <m:rPr>
                        <m:sty m:val="p"/>
                      </m:rPr>
                      <w:rPr>
                        <w:rFonts w:ascii="Cambria Math" w:hAnsi="Cambria Math" w:cs="Times New Roman"/>
                      </w:rPr>
                      <m:t>,</m:t>
                    </m:r>
                  </m:e>
                  <m:e>
                    <m:r>
                      <m:rPr>
                        <m:nor/>
                      </m:rPr>
                      <w:rPr>
                        <w:rFonts w:ascii="Times New Roman" w:hAnsi="Times New Roman" w:cs="Times New Roman"/>
                      </w:rPr>
                      <m:t xml:space="preserve">if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m:t>
                        </m:r>
                      </m:sub>
                    </m:sSub>
                    <m:r>
                      <m:rPr>
                        <m:sty m:val="p"/>
                      </m:rPr>
                      <w:rPr>
                        <w:rFonts w:ascii="Cambria Math" w:hAnsi="Cambria Math" w:cs="Times New Roman"/>
                      </w:rPr>
                      <m:t>&gt;</m:t>
                    </m:r>
                    <m:r>
                      <w:rPr>
                        <w:rFonts w:ascii="Cambria Math" w:hAnsi="Cambria Math" w:cs="Times New Roman"/>
                      </w:rPr>
                      <m:t>0</m:t>
                    </m:r>
                    <m:r>
                      <m:rPr>
                        <m:nor/>
                      </m:rPr>
                      <w:rPr>
                        <w:rFonts w:ascii="Times New Roman" w:hAnsi="Times New Roman" w:cs="Times New Roman"/>
                      </w:rPr>
                      <m:t xml:space="preserve"> for at least one period,</m:t>
                    </m:r>
                  </m:e>
                </m:mr>
                <m:mr>
                  <m:e>
                    <m:acc>
                      <m:accPr>
                        <m:chr m:val="̃"/>
                        <m:ctrlPr>
                          <w:rPr>
                            <w:rFonts w:ascii="Cambria Math" w:hAnsi="Cambria Math" w:cs="Times New Roman"/>
                          </w:rPr>
                        </m:ctrlPr>
                      </m:accPr>
                      <m:e>
                        <m:r>
                          <m:rPr>
                            <m:sty m:val="p"/>
                          </m:rPr>
                          <w:rPr>
                            <w:rFonts w:ascii="Cambria Math" w:hAnsi="Cambria Math" w:cs="Times New Roman"/>
                          </w:rPr>
                          <m:t>exp</m:t>
                        </m:r>
                        <m:d>
                          <m:dPr>
                            <m:ctrlPr>
                              <w:rPr>
                                <w:rFonts w:ascii="Cambria Math" w:hAnsi="Cambria Math" w:cs="Times New Roman"/>
                              </w:rPr>
                            </m:ctrlPr>
                          </m:dPr>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γ</m:t>
                                    </m:r>
                                  </m:e>
                                </m:acc>
                              </m:e>
                              <m:sub>
                                <m:r>
                                  <w:rPr>
                                    <w:rFonts w:ascii="Cambria Math" w:hAnsi="Cambria Math" w:cs="Times New Roman"/>
                                  </w:rPr>
                                  <m:t>ij</m:t>
                                </m:r>
                              </m:sub>
                            </m:sSub>
                          </m:e>
                        </m:d>
                      </m:e>
                    </m:acc>
                    <m:r>
                      <m:rPr>
                        <m:sty m:val="p"/>
                      </m:rPr>
                      <w:rPr>
                        <w:rFonts w:ascii="Cambria Math" w:hAnsi="Cambria Math" w:cs="Times New Roman"/>
                      </w:rPr>
                      <m:t>exp</m:t>
                    </m:r>
                    <m:d>
                      <m:dPr>
                        <m:ctrlPr>
                          <w:rPr>
                            <w:rFonts w:ascii="Cambria Math" w:hAnsi="Cambria Math" w:cs="Times New Roman"/>
                          </w:rPr>
                        </m:ctrlPr>
                      </m:dPr>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γ</m:t>
                                </m:r>
                              </m:e>
                            </m:acc>
                          </m:e>
                          <m:sub>
                            <m:r>
                              <w:rPr>
                                <w:rFonts w:ascii="Cambria Math" w:hAnsi="Cambria Math" w:cs="Times New Roman"/>
                              </w:rPr>
                              <m:t>1</m:t>
                            </m:r>
                          </m:sub>
                        </m:sSub>
                        <m:r>
                          <m:rPr>
                            <m:sty m:val="p"/>
                          </m:rPr>
                          <w:rPr>
                            <w:rFonts w:ascii="Cambria Math" w:hAnsi="Cambria Math" w:cs="Times New Roman"/>
                          </w:rPr>
                          <m:t>log</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ij</m:t>
                                </m:r>
                              </m:sub>
                            </m:sSub>
                          </m:e>
                        </m:d>
                      </m:e>
                    </m:d>
                    <m:r>
                      <m:rPr>
                        <m:sty m:val="p"/>
                      </m:rPr>
                      <w:rPr>
                        <w:rFonts w:ascii="Cambria Math" w:hAnsi="Cambria Math" w:cs="Times New Roman"/>
                      </w:rPr>
                      <m:t>,</m:t>
                    </m:r>
                  </m:e>
                  <m:e>
                    <m:r>
                      <m:rPr>
                        <m:nor/>
                      </m:rPr>
                      <w:rPr>
                        <w:rFonts w:ascii="Times New Roman" w:hAnsi="Times New Roman" w:cs="Times New Roman"/>
                      </w:rPr>
                      <m:t xml:space="preserve">if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0</m:t>
                    </m:r>
                    <m:r>
                      <m:rPr>
                        <m:nor/>
                      </m:rPr>
                      <w:rPr>
                        <w:rFonts w:ascii="Times New Roman" w:hAnsi="Times New Roman" w:cs="Times New Roman"/>
                      </w:rPr>
                      <m:t xml:space="preserve"> for all periods.</m:t>
                    </m:r>
                  </m:e>
                </m:mr>
              </m:m>
            </m:e>
          </m:d>
          <m:r>
            <w:rPr>
              <w:rFonts w:ascii="Cambria Math" w:hAnsi="Cambria Math" w:cs="Times New Roman"/>
            </w:rPr>
            <m:t> </m:t>
          </m:r>
          <m:r>
            <m:rPr>
              <m:nor/>
            </m:rPr>
            <w:rPr>
              <w:rFonts w:ascii="Times New Roman" w:hAnsi="Times New Roman" w:cs="Times New Roman"/>
            </w:rPr>
            <m:t>(</m:t>
          </m:r>
          <m:r>
            <m:rPr>
              <m:nor/>
            </m:rPr>
            <w:rPr>
              <w:rFonts w:ascii="Cambria Math" w:hAnsi="Times New Roman" w:cs="Times New Roman"/>
            </w:rPr>
            <m:t>10</m:t>
          </m:r>
          <m:r>
            <m:rPr>
              <m:nor/>
            </m:rPr>
            <w:rPr>
              <w:rFonts w:ascii="Times New Roman" w:hAnsi="Times New Roman" w:cs="Times New Roman"/>
            </w:rPr>
            <m:t>)</m:t>
          </m:r>
        </m:oMath>
      </m:oMathPara>
    </w:p>
    <w:p w14:paraId="509C980C" w14:textId="77777777" w:rsidR="002E6A0D" w:rsidRPr="00AC7317" w:rsidRDefault="00F96466" w:rsidP="00216BA2">
      <w:pPr>
        <w:pStyle w:val="FirstParagraph"/>
        <w:spacing w:line="480" w:lineRule="auto"/>
        <w:jc w:val="both"/>
        <w:rPr>
          <w:rFonts w:ascii="Times New Roman" w:hAnsi="Times New Roman" w:cs="Times New Roman"/>
        </w:rPr>
      </w:pPr>
      <w:r w:rsidRPr="00AC7317">
        <w:rPr>
          <w:rFonts w:ascii="Times New Roman" w:hAnsi="Times New Roman" w:cs="Times New Roman"/>
          <w:b/>
          <w:bCs/>
        </w:rPr>
        <w:t>Step 2: Construction of scenarios and counterfactuals</w:t>
      </w:r>
    </w:p>
    <w:p w14:paraId="2281E2EC" w14:textId="0EC6398B"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lastRenderedPageBreak/>
        <w:t>We estimate counterfactual trade costs by adding ad valorem tariff-equivalent to unilateral EUDR compliance costs on the tariffs for the exports to the EU countries in equation (</w:t>
      </w:r>
      <w:r w:rsidR="005330D0" w:rsidRPr="00AC7317">
        <w:rPr>
          <w:rFonts w:ascii="Times New Roman" w:hAnsi="Times New Roman" w:cs="Times New Roman"/>
        </w:rPr>
        <w:t>10</w:t>
      </w:r>
      <w:r w:rsidRPr="00AC7317">
        <w:rPr>
          <w:rFonts w:ascii="Times New Roman" w:hAnsi="Times New Roman" w:cs="Times New Roman"/>
        </w:rPr>
        <w:t>):</w:t>
      </w:r>
    </w:p>
    <w:p w14:paraId="6BEB340D" w14:textId="659A3B2C" w:rsidR="002E6A0D" w:rsidRPr="00AC7317" w:rsidRDefault="00000000" w:rsidP="00216BA2">
      <w:pPr>
        <w:pStyle w:val="BodyText"/>
        <w:spacing w:line="480" w:lineRule="auto"/>
        <w:jc w:val="both"/>
        <w:rPr>
          <w:rFonts w:ascii="Times New Roman" w:hAnsi="Times New Roman" w:cs="Times New Roman"/>
        </w:rPr>
      </w:pPr>
      <m:oMathPara>
        <m:oMathParaPr>
          <m:jc m:val="center"/>
        </m:oMathParaPr>
        <m:oMath>
          <m:sSup>
            <m:sSupPr>
              <m:ctrlPr>
                <w:rPr>
                  <w:rFonts w:ascii="Cambria Math" w:hAnsi="Cambria Math" w:cs="Times New Roman"/>
                </w:rPr>
              </m:ctrlPr>
            </m:sSupPr>
            <m:e>
              <m:acc>
                <m:accPr>
                  <m:chr m:val="̃"/>
                  <m:ctrlPr>
                    <w:rPr>
                      <w:rFonts w:ascii="Cambria Math" w:hAnsi="Cambria Math" w:cs="Times New Roman"/>
                    </w:rPr>
                  </m:ctrlPr>
                </m:accPr>
                <m:e>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ij</m:t>
                          </m:r>
                        </m:sub>
                        <m:sup>
                          <m:r>
                            <w:rPr>
                              <w:rFonts w:ascii="Cambria Math" w:hAnsi="Cambria Math" w:cs="Times New Roman"/>
                            </w:rPr>
                            <m:t>1</m:t>
                          </m:r>
                          <m:r>
                            <m:rPr>
                              <m:sty m:val="p"/>
                            </m:rPr>
                            <w:rPr>
                              <w:rFonts w:ascii="Cambria Math" w:hAnsi="Cambria Math" w:cs="Times New Roman"/>
                            </w:rPr>
                            <m:t>-</m:t>
                          </m:r>
                          <m:r>
                            <w:rPr>
                              <w:rFonts w:ascii="Cambria Math" w:hAnsi="Cambria Math" w:cs="Times New Roman"/>
                            </w:rPr>
                            <m:t>σ</m:t>
                          </m:r>
                        </m:sup>
                      </m:sSubSup>
                    </m:e>
                  </m:d>
                </m:e>
              </m:acc>
            </m:e>
            <m:sup>
              <m:r>
                <w:rPr>
                  <w:rFonts w:ascii="Cambria Math" w:hAnsi="Cambria Math" w:cs="Times New Roman"/>
                </w:rPr>
                <m:t>CFL</m:t>
              </m:r>
            </m:sup>
          </m:sSup>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1"/>
                        <m:mcJc m:val="left"/>
                      </m:mcPr>
                    </m:mc>
                  </m:mcs>
                  <m:ctrlPr>
                    <w:rPr>
                      <w:rFonts w:ascii="Cambria Math" w:hAnsi="Cambria Math" w:cs="Times New Roman"/>
                    </w:rPr>
                  </m:ctrlPr>
                </m:mPr>
                <m:mr>
                  <m:e>
                    <m:r>
                      <m:rPr>
                        <m:sty m:val="p"/>
                      </m:rPr>
                      <w:rPr>
                        <w:rFonts w:ascii="Cambria Math" w:hAnsi="Cambria Math" w:cs="Times New Roman"/>
                      </w:rPr>
                      <m:t>exp</m:t>
                    </m:r>
                    <m:d>
                      <m:dPr>
                        <m:ctrlPr>
                          <w:rPr>
                            <w:rFonts w:ascii="Cambria Math" w:hAnsi="Cambria Math" w:cs="Times New Roman"/>
                          </w:rPr>
                        </m:ctrlPr>
                      </m:dPr>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γ</m:t>
                                </m:r>
                              </m:e>
                            </m:acc>
                          </m:e>
                          <m:sub>
                            <m:r>
                              <w:rPr>
                                <w:rFonts w:ascii="Cambria Math" w:hAnsi="Cambria Math" w:cs="Times New Roman"/>
                              </w:rPr>
                              <m:t>ij</m:t>
                            </m:r>
                          </m:sub>
                        </m:sSub>
                      </m:e>
                    </m:d>
                    <m:r>
                      <m:rPr>
                        <m:sty m:val="p"/>
                      </m:rPr>
                      <w:rPr>
                        <w:rFonts w:ascii="Cambria Math" w:hAnsi="Cambria Math" w:cs="Times New Roman"/>
                      </w:rPr>
                      <m:t>exp</m:t>
                    </m:r>
                    <m:d>
                      <m:dPr>
                        <m:ctrlPr>
                          <w:rPr>
                            <w:rFonts w:ascii="Cambria Math" w:hAnsi="Cambria Math" w:cs="Times New Roman"/>
                          </w:rPr>
                        </m:ctrlPr>
                      </m:dPr>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γ</m:t>
                                </m:r>
                              </m:e>
                            </m:acc>
                          </m:e>
                          <m:sub>
                            <m:r>
                              <w:rPr>
                                <w:rFonts w:ascii="Cambria Math" w:hAnsi="Cambria Math" w:cs="Times New Roman"/>
                              </w:rPr>
                              <m:t>1</m:t>
                            </m:r>
                          </m:sub>
                        </m:sSub>
                        <m:r>
                          <m:rPr>
                            <m:sty m:val="p"/>
                          </m:rPr>
                          <w:rPr>
                            <w:rFonts w:ascii="Cambria Math" w:hAnsi="Cambria Math" w:cs="Times New Roman"/>
                          </w:rPr>
                          <m:t>log</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τ</m:t>
                                </m:r>
                              </m:e>
                              <m:sub>
                                <m:r>
                                  <w:rPr>
                                    <w:rFonts w:ascii="Cambria Math" w:hAnsi="Cambria Math" w:cs="Times New Roman"/>
                                  </w:rPr>
                                  <m:t>ij</m:t>
                                </m:r>
                              </m:sub>
                              <m:sup>
                                <m:r>
                                  <w:rPr>
                                    <w:rFonts w:ascii="Cambria Math" w:hAnsi="Cambria Math" w:cs="Times New Roman"/>
                                  </w:rPr>
                                  <m:t>CFL</m:t>
                                </m:r>
                              </m:sup>
                            </m:sSubSup>
                          </m:e>
                        </m:d>
                      </m:e>
                    </m:d>
                  </m:e>
                </m:mr>
                <m:mr>
                  <m:e>
                    <m:acc>
                      <m:accPr>
                        <m:chr m:val="̃"/>
                        <m:ctrlPr>
                          <w:rPr>
                            <w:rFonts w:ascii="Cambria Math" w:hAnsi="Cambria Math" w:cs="Times New Roman"/>
                          </w:rPr>
                        </m:ctrlPr>
                      </m:accPr>
                      <m:e>
                        <m:r>
                          <m:rPr>
                            <m:sty m:val="p"/>
                          </m:rPr>
                          <w:rPr>
                            <w:rFonts w:ascii="Cambria Math" w:hAnsi="Cambria Math" w:cs="Times New Roman"/>
                          </w:rPr>
                          <m:t>exp</m:t>
                        </m:r>
                      </m:e>
                    </m:acc>
                    <m:d>
                      <m:dPr>
                        <m:ctrlPr>
                          <w:rPr>
                            <w:rFonts w:ascii="Cambria Math" w:hAnsi="Cambria Math" w:cs="Times New Roman"/>
                          </w:rPr>
                        </m:ctrlPr>
                      </m:dPr>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γ</m:t>
                                </m:r>
                              </m:e>
                            </m:acc>
                          </m:e>
                          <m:sub>
                            <m:r>
                              <w:rPr>
                                <w:rFonts w:ascii="Cambria Math" w:hAnsi="Cambria Math" w:cs="Times New Roman"/>
                              </w:rPr>
                              <m:t>ij</m:t>
                            </m:r>
                          </m:sub>
                        </m:sSub>
                      </m:e>
                    </m:d>
                    <m:r>
                      <m:rPr>
                        <m:sty m:val="p"/>
                      </m:rPr>
                      <w:rPr>
                        <w:rFonts w:ascii="Cambria Math" w:hAnsi="Cambria Math" w:cs="Times New Roman"/>
                      </w:rPr>
                      <m:t>exp</m:t>
                    </m:r>
                    <m:d>
                      <m:dPr>
                        <m:ctrlPr>
                          <w:rPr>
                            <w:rFonts w:ascii="Cambria Math" w:hAnsi="Cambria Math" w:cs="Times New Roman"/>
                          </w:rPr>
                        </m:ctrlPr>
                      </m:dPr>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γ</m:t>
                                </m:r>
                              </m:e>
                            </m:acc>
                          </m:e>
                          <m:sub>
                            <m:r>
                              <w:rPr>
                                <w:rFonts w:ascii="Cambria Math" w:hAnsi="Cambria Math" w:cs="Times New Roman"/>
                              </w:rPr>
                              <m:t>1</m:t>
                            </m:r>
                          </m:sub>
                        </m:sSub>
                        <m:r>
                          <m:rPr>
                            <m:sty m:val="p"/>
                          </m:rPr>
                          <w:rPr>
                            <w:rFonts w:ascii="Cambria Math" w:hAnsi="Cambria Math" w:cs="Times New Roman"/>
                          </w:rPr>
                          <m:t>log</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τ</m:t>
                                </m:r>
                              </m:e>
                              <m:sub>
                                <m:r>
                                  <w:rPr>
                                    <w:rFonts w:ascii="Cambria Math" w:hAnsi="Cambria Math" w:cs="Times New Roman"/>
                                  </w:rPr>
                                  <m:t>ij</m:t>
                                </m:r>
                              </m:sub>
                              <m:sup>
                                <m:r>
                                  <w:rPr>
                                    <w:rFonts w:ascii="Cambria Math" w:hAnsi="Cambria Math" w:cs="Times New Roman"/>
                                  </w:rPr>
                                  <m:t>CFL</m:t>
                                </m:r>
                              </m:sup>
                            </m:sSubSup>
                          </m:e>
                        </m:d>
                      </m:e>
                    </m:d>
                    <m:r>
                      <w:rPr>
                        <w:rFonts w:ascii="Cambria Math" w:hAnsi="Cambria Math" w:cs="Times New Roman"/>
                      </w:rPr>
                      <m:t>,</m:t>
                    </m:r>
                  </m:e>
                </m:mr>
              </m:m>
            </m:e>
          </m:d>
          <m:r>
            <w:rPr>
              <w:rFonts w:ascii="Cambria Math" w:hAnsi="Cambria Math" w:cs="Times New Roman"/>
            </w:rPr>
            <m:t> </m:t>
          </m:r>
          <m:r>
            <m:rPr>
              <m:nor/>
            </m:rPr>
            <w:rPr>
              <w:rFonts w:ascii="Times New Roman" w:hAnsi="Times New Roman" w:cs="Times New Roman"/>
            </w:rPr>
            <m:t>(</m:t>
          </m:r>
          <m:r>
            <m:rPr>
              <m:nor/>
            </m:rPr>
            <w:rPr>
              <w:rFonts w:ascii="Cambria Math" w:hAnsi="Times New Roman" w:cs="Times New Roman"/>
            </w:rPr>
            <m:t>11</m:t>
          </m:r>
          <m:r>
            <m:rPr>
              <m:nor/>
            </m:rPr>
            <w:rPr>
              <w:rFonts w:ascii="Times New Roman" w:hAnsi="Times New Roman" w:cs="Times New Roman"/>
            </w:rPr>
            <m:t>)</m:t>
          </m:r>
        </m:oMath>
      </m:oMathPara>
    </w:p>
    <w:p w14:paraId="3938B908" w14:textId="6036ACE6" w:rsidR="002E6A0D" w:rsidRPr="00AC7317" w:rsidRDefault="00F96466" w:rsidP="00216BA2">
      <w:pPr>
        <w:pStyle w:val="FirstParagraph"/>
        <w:spacing w:line="480" w:lineRule="auto"/>
        <w:jc w:val="both"/>
        <w:rPr>
          <w:rFonts w:ascii="Times New Roman" w:hAnsi="Times New Roman" w:cs="Times New Roman"/>
        </w:rPr>
      </w:pPr>
      <w:r w:rsidRPr="00AC7317">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τ</m:t>
            </m:r>
          </m:e>
          <m:sub>
            <m:r>
              <w:rPr>
                <w:rFonts w:ascii="Cambria Math" w:hAnsi="Cambria Math" w:cs="Times New Roman"/>
              </w:rPr>
              <m:t>ij</m:t>
            </m:r>
          </m:sub>
          <m:sup>
            <m:r>
              <w:rPr>
                <w:rFonts w:ascii="Cambria Math" w:hAnsi="Cambria Math" w:cs="Times New Roman"/>
              </w:rPr>
              <m:t>CFL</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EUDR</m:t>
        </m:r>
        <m:r>
          <m:rPr>
            <m:sty m:val="p"/>
          </m:rPr>
          <w:rPr>
            <w:rFonts w:ascii="Cambria Math" w:hAnsi="Cambria Math" w:cs="Times New Roman"/>
          </w:rPr>
          <m:t>_</m:t>
        </m:r>
        <m:r>
          <w:rPr>
            <w:rFonts w:ascii="Cambria Math" w:hAnsi="Cambria Math" w:cs="Times New Roman"/>
          </w:rPr>
          <m:t>AV</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i,EU</m:t>
            </m:r>
          </m:sub>
        </m:sSub>
      </m:oMath>
      <w:r w:rsidRPr="00AC7317">
        <w:rPr>
          <w:rFonts w:ascii="Times New Roman" w:hAnsi="Times New Roman" w:cs="Times New Roman"/>
        </w:rPr>
        <w:t xml:space="preserve">. Under the baseline condition of the year 2022, the </w:t>
      </w:r>
      <m:oMath>
        <m:r>
          <w:rPr>
            <w:rFonts w:ascii="Cambria Math" w:hAnsi="Cambria Math" w:cs="Times New Roman"/>
          </w:rPr>
          <m:t>EUDR</m:t>
        </m:r>
        <m:r>
          <m:rPr>
            <m:sty m:val="p"/>
          </m:rPr>
          <w:rPr>
            <w:rFonts w:ascii="Cambria Math" w:hAnsi="Cambria Math" w:cs="Times New Roman"/>
          </w:rPr>
          <m:t>_</m:t>
        </m:r>
        <m:r>
          <w:rPr>
            <w:rFonts w:ascii="Cambria Math" w:hAnsi="Cambria Math" w:cs="Times New Roman"/>
          </w:rPr>
          <m:t>AV</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i,EU</m:t>
            </m:r>
          </m:sub>
        </m:sSub>
      </m:oMath>
      <w:r w:rsidRPr="00AC7317">
        <w:rPr>
          <w:rFonts w:ascii="Times New Roman" w:hAnsi="Times New Roman" w:cs="Times New Roman"/>
        </w:rPr>
        <w:t xml:space="preserve"> is zero, meaning there is no effect of the EUDR trade restriction.</w:t>
      </w:r>
      <w:r w:rsidR="00B83C9D" w:rsidRPr="00AC7317">
        <w:rPr>
          <w:rFonts w:ascii="Times New Roman" w:hAnsi="Times New Roman" w:cs="Times New Roman"/>
        </w:rPr>
        <w:t xml:space="preserve"> We model EUDR as an ad valorem compliance wedge on EU-bound imports, consistent with structural gravity practice of representing policy change as ad valorem trade-cost changes (</w:t>
      </w:r>
      <w:hyperlink r:id="rId9" w:anchor="ref-larch2021" w:history="1">
        <w:r w:rsidR="00B83C9D" w:rsidRPr="00AC7317">
          <w:rPr>
            <w:rStyle w:val="Hyperlink"/>
            <w:rFonts w:ascii="Times New Roman" w:hAnsi="Times New Roman" w:cs="Times New Roman"/>
          </w:rPr>
          <w:t>Larch, Tan and Yotov 2021</w:t>
        </w:r>
      </w:hyperlink>
      <w:r w:rsidR="00B83C9D" w:rsidRPr="00AC7317">
        <w:rPr>
          <w:rFonts w:ascii="Times New Roman" w:hAnsi="Times New Roman" w:cs="Times New Roman"/>
        </w:rPr>
        <w:t xml:space="preserve">). </w:t>
      </w:r>
      <w:r w:rsidR="00AA5E6E" w:rsidRPr="00AC7317">
        <w:rPr>
          <w:rFonts w:ascii="Times New Roman" w:hAnsi="Times New Roman" w:cs="Times New Roman"/>
        </w:rPr>
        <w:t>We</w:t>
      </w:r>
      <w:r w:rsidR="006D4BFE" w:rsidRPr="00AC7317">
        <w:rPr>
          <w:rFonts w:ascii="Times New Roman" w:hAnsi="Times New Roman" w:cs="Times New Roman"/>
        </w:rPr>
        <w:t xml:space="preserve"> </w:t>
      </w:r>
      <w:r w:rsidR="001B2D07" w:rsidRPr="00AC7317">
        <w:rPr>
          <w:rFonts w:ascii="Times New Roman" w:hAnsi="Times New Roman" w:cs="Times New Roman"/>
        </w:rPr>
        <w:t>assign</w:t>
      </w:r>
      <w:r w:rsidR="00B83C9D" w:rsidRPr="00AC7317">
        <w:rPr>
          <w:rFonts w:ascii="Times New Roman" w:hAnsi="Times New Roman" w:cs="Times New Roman"/>
        </w:rPr>
        <w:t> </w:t>
      </w:r>
      <m:oMath>
        <m:r>
          <w:rPr>
            <w:rFonts w:ascii="Cambria Math" w:hAnsi="Cambria Math" w:cs="Times New Roman"/>
          </w:rPr>
          <m:t>EUDR</m:t>
        </m:r>
        <m:r>
          <m:rPr>
            <m:sty m:val="p"/>
          </m:rPr>
          <w:rPr>
            <w:rFonts w:ascii="Cambria Math" w:hAnsi="Cambria Math" w:cs="Times New Roman"/>
          </w:rPr>
          <m:t>_</m:t>
        </m:r>
        <m:r>
          <w:rPr>
            <w:rFonts w:ascii="Cambria Math" w:hAnsi="Cambria Math" w:cs="Times New Roman"/>
          </w:rPr>
          <m:t>AV</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i,EU</m:t>
            </m:r>
          </m:sub>
        </m:sSub>
      </m:oMath>
      <w:r w:rsidR="00B83C9D" w:rsidRPr="00AC7317">
        <w:rPr>
          <w:rFonts w:ascii="Times New Roman" w:eastAsiaTheme="minorEastAsia" w:hAnsi="Times New Roman" w:cs="Times New Roman"/>
        </w:rPr>
        <w:t xml:space="preserve"> </w:t>
      </w:r>
      <w:r w:rsidR="00B83C9D" w:rsidRPr="00AC7317">
        <w:rPr>
          <w:rFonts w:ascii="Times New Roman" w:hAnsi="Times New Roman" w:cs="Times New Roman"/>
        </w:rPr>
        <w:t>from external estimates on scenario-specific price-wedge at the EU border</w:t>
      </w:r>
      <w:r w:rsidR="00206702" w:rsidRPr="00AC7317">
        <w:rPr>
          <w:rFonts w:ascii="Times New Roman" w:hAnsi="Times New Roman" w:cs="Times New Roman"/>
        </w:rPr>
        <w:t xml:space="preserve"> in the spirit of pric</w:t>
      </w:r>
      <w:r w:rsidR="002C4DB1" w:rsidRPr="00AC7317">
        <w:rPr>
          <w:rFonts w:ascii="Times New Roman" w:hAnsi="Times New Roman" w:cs="Times New Roman"/>
        </w:rPr>
        <w:t>e</w:t>
      </w:r>
      <w:r w:rsidR="008C6ABB" w:rsidRPr="00AC7317">
        <w:rPr>
          <w:rFonts w:ascii="Times New Roman" w:hAnsi="Times New Roman" w:cs="Times New Roman"/>
        </w:rPr>
        <w:t>-wedge/tariff-equivalent</w:t>
      </w:r>
      <w:r w:rsidR="002C4DB1" w:rsidRPr="00AC7317">
        <w:rPr>
          <w:rFonts w:ascii="Times New Roman" w:hAnsi="Times New Roman" w:cs="Times New Roman"/>
        </w:rPr>
        <w:t xml:space="preserve"> AVE </w:t>
      </w:r>
      <w:r w:rsidR="008C6ABB" w:rsidRPr="00AC7317">
        <w:rPr>
          <w:rFonts w:ascii="Times New Roman" w:hAnsi="Times New Roman" w:cs="Times New Roman"/>
        </w:rPr>
        <w:t>discussed</w:t>
      </w:r>
      <w:r w:rsidR="002C4DB1" w:rsidRPr="00AC7317">
        <w:rPr>
          <w:rFonts w:ascii="Times New Roman" w:hAnsi="Times New Roman" w:cs="Times New Roman"/>
        </w:rPr>
        <w:t xml:space="preserve"> by</w:t>
      </w:r>
      <w:r w:rsidR="00206702" w:rsidRPr="00AC7317">
        <w:rPr>
          <w:rFonts w:ascii="Times New Roman" w:hAnsi="Times New Roman" w:cs="Times New Roman"/>
        </w:rPr>
        <w:t xml:space="preserve"> </w:t>
      </w:r>
      <w:r w:rsidR="00844154" w:rsidRPr="00AC7317">
        <w:rPr>
          <w:rFonts w:ascii="Times New Roman" w:hAnsi="Times New Roman" w:cs="Times New Roman"/>
        </w:rPr>
        <w:t>Kravchenko et al. (</w:t>
      </w:r>
      <w:hyperlink r:id="rId10" w:anchor="ref-kravchenko2022" w:history="1">
        <w:r w:rsidR="00844154" w:rsidRPr="00AC7317">
          <w:rPr>
            <w:rStyle w:val="Hyperlink"/>
            <w:rFonts w:ascii="Times New Roman" w:hAnsi="Times New Roman" w:cs="Times New Roman"/>
          </w:rPr>
          <w:t>2022</w:t>
        </w:r>
      </w:hyperlink>
      <w:r w:rsidR="00844154" w:rsidRPr="00AC7317">
        <w:rPr>
          <w:rFonts w:ascii="Times New Roman" w:hAnsi="Times New Roman" w:cs="Times New Roman"/>
        </w:rPr>
        <w:t xml:space="preserve">) and Bellora and </w:t>
      </w:r>
      <w:proofErr w:type="spellStart"/>
      <w:r w:rsidR="00844154" w:rsidRPr="00AC7317">
        <w:rPr>
          <w:rFonts w:ascii="Times New Roman" w:hAnsi="Times New Roman" w:cs="Times New Roman"/>
        </w:rPr>
        <w:t>Fontagné</w:t>
      </w:r>
      <w:proofErr w:type="spellEnd"/>
      <w:r w:rsidR="00844154" w:rsidRPr="00AC7317">
        <w:rPr>
          <w:rFonts w:ascii="Times New Roman" w:hAnsi="Times New Roman" w:cs="Times New Roman"/>
        </w:rPr>
        <w:t xml:space="preserve"> (</w:t>
      </w:r>
      <w:hyperlink r:id="rId11" w:anchor="ref-bellora2023" w:history="1">
        <w:r w:rsidR="00844154" w:rsidRPr="00AC7317">
          <w:rPr>
            <w:rStyle w:val="Hyperlink"/>
            <w:rFonts w:ascii="Times New Roman" w:hAnsi="Times New Roman" w:cs="Times New Roman"/>
          </w:rPr>
          <w:t>2023</w:t>
        </w:r>
      </w:hyperlink>
      <w:r w:rsidR="00844154" w:rsidRPr="00AC7317">
        <w:rPr>
          <w:rFonts w:ascii="Times New Roman" w:hAnsi="Times New Roman" w:cs="Times New Roman"/>
        </w:rPr>
        <w:t>).</w:t>
      </w:r>
    </w:p>
    <w:p w14:paraId="501F275F" w14:textId="77777777"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t>We simulate two scenarios for the implementation of the EUDR. In the first scenario, all countries comply with the regulation, which we will refer to as the “compliance” scenario hereafter. We assume that compliance costs impose trade frictions to enter the EU market. According to the EU impact assessment paper (</w:t>
      </w:r>
      <w:hyperlink w:anchor="ref-EC2021">
        <w:r w:rsidR="002E6A0D" w:rsidRPr="00AC7317">
          <w:rPr>
            <w:rStyle w:val="Hyperlink"/>
            <w:rFonts w:ascii="Times New Roman" w:hAnsi="Times New Roman" w:cs="Times New Roman"/>
          </w:rPr>
          <w:t>European Commission 2021</w:t>
        </w:r>
      </w:hyperlink>
      <w:r w:rsidRPr="00AC7317">
        <w:rPr>
          <w:rFonts w:ascii="Times New Roman" w:hAnsi="Times New Roman" w:cs="Times New Roman"/>
        </w:rPr>
        <w:t>), the estimated compliance costs for soy range from 32.3 to 478.7 million euros. Adding these compliance costs to the EU’s imports, the rough estimate of the increase in expenditure lies between 0.29% and 4.29% (</w:t>
      </w:r>
      <w:hyperlink w:anchor="ref-rabobank2023">
        <w:r w:rsidR="002E6A0D" w:rsidRPr="00AC7317">
          <w:rPr>
            <w:rStyle w:val="Hyperlink"/>
            <w:rFonts w:ascii="Times New Roman" w:hAnsi="Times New Roman" w:cs="Times New Roman"/>
          </w:rPr>
          <w:t>Rabobank 2023</w:t>
        </w:r>
      </w:hyperlink>
      <w:r w:rsidRPr="00AC7317">
        <w:rPr>
          <w:rFonts w:ascii="Times New Roman" w:hAnsi="Times New Roman" w:cs="Times New Roman"/>
        </w:rPr>
        <w:t>). Additionally, the European Feed Manufacturers’ Federation (FEFAC) projects that procurement costs for EUDR-compliant soy meal will rise by 5–10%, potentially leading to a similar increase in the price index of the soybean cake in the EU (</w:t>
      </w:r>
      <w:hyperlink w:anchor="ref-FEFAC2024">
        <w:r w:rsidR="002E6A0D" w:rsidRPr="00AC7317">
          <w:rPr>
            <w:rStyle w:val="Hyperlink"/>
            <w:rFonts w:ascii="Times New Roman" w:hAnsi="Times New Roman" w:cs="Times New Roman"/>
          </w:rPr>
          <w:t>European Feed Manufacturers’ Federation (FEFAC) 2024</w:t>
        </w:r>
      </w:hyperlink>
      <w:r w:rsidRPr="00AC7317">
        <w:rPr>
          <w:rFonts w:ascii="Times New Roman" w:hAnsi="Times New Roman" w:cs="Times New Roman"/>
        </w:rPr>
        <w:t xml:space="preserve">). Further, the suppliers may incur additional costs to demonstrate and transition to deforestation-free production. We model this as an increase in trade </w:t>
      </w:r>
      <w:r w:rsidRPr="00AC7317">
        <w:rPr>
          <w:rFonts w:ascii="Times New Roman" w:hAnsi="Times New Roman" w:cs="Times New Roman"/>
        </w:rPr>
        <w:lastRenderedPageBreak/>
        <w:t>costs of a magnitude equivalent to the estimated increase in price or expenditure. We choose a conservative middle value trade cost increase of 6%, equivalent to an increase in a 6% ad valorem tariff, to simulate the compliance scenario as shown below:</w:t>
      </w:r>
    </w:p>
    <w:p w14:paraId="56363B95" w14:textId="68DCF13B" w:rsidR="002E6A0D" w:rsidRPr="00AC7317" w:rsidRDefault="00C50071" w:rsidP="00216BA2">
      <w:pPr>
        <w:pStyle w:val="BodyText"/>
        <w:spacing w:line="480" w:lineRule="auto"/>
        <w:jc w:val="both"/>
        <w:rPr>
          <w:rFonts w:ascii="Times New Roman" w:hAnsi="Times New Roman" w:cs="Times New Roman"/>
        </w:rPr>
      </w:pPr>
      <m:oMathPara>
        <m:oMathParaPr>
          <m:jc m:val="center"/>
        </m:oMathParaPr>
        <m:oMath>
          <m:r>
            <w:rPr>
              <w:rFonts w:ascii="Cambria Math" w:hAnsi="Cambria Math" w:cs="Times New Roman"/>
            </w:rPr>
            <m:t>EUD</m:t>
          </m:r>
          <m:sSubSup>
            <m:sSubSupPr>
              <m:ctrlPr>
                <w:rPr>
                  <w:rFonts w:ascii="Cambria Math" w:hAnsi="Cambria Math" w:cs="Times New Roman"/>
                </w:rPr>
              </m:ctrlPr>
            </m:sSubSupPr>
            <m:e>
              <m:r>
                <m:rPr>
                  <m:sty m:val="p"/>
                </m:rPr>
                <w:rPr>
                  <w:rFonts w:ascii="Cambria Math" w:hAnsi="Cambria Math" w:cs="Times New Roman"/>
                </w:rPr>
                <m:t>R_AVE</m:t>
              </m:r>
            </m:e>
            <m:sub>
              <m:r>
                <m:rPr>
                  <m:sty m:val="p"/>
                </m:rPr>
                <w:rPr>
                  <w:rFonts w:ascii="Cambria Math" w:hAnsi="Cambria Math" w:cs="Times New Roman"/>
                </w:rPr>
                <m:t>i,EU</m:t>
              </m:r>
            </m:sub>
            <m:sup>
              <m:r>
                <m:rPr>
                  <m:sty m:val="p"/>
                </m:rPr>
                <w:rPr>
                  <w:rFonts w:ascii="Cambria Math" w:hAnsi="Cambria Math" w:cs="Times New Roman"/>
                </w:rPr>
                <m:t>comp</m:t>
              </m:r>
            </m:sup>
          </m:sSubSup>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r>
                      <w:rPr>
                        <w:rFonts w:ascii="Cambria Math" w:hAnsi="Cambria Math" w:cs="Times New Roman"/>
                      </w:rPr>
                      <m:t>0.06</m:t>
                    </m:r>
                    <m:r>
                      <m:rPr>
                        <m:sty m:val="p"/>
                      </m:rPr>
                      <w:rPr>
                        <w:rFonts w:ascii="Cambria Math" w:hAnsi="Cambria Math" w:cs="Times New Roman"/>
                      </w:rPr>
                      <m:t>,</m:t>
                    </m:r>
                  </m:e>
                  <m:e>
                    <m:r>
                      <m:rPr>
                        <m:nor/>
                      </m:rPr>
                      <w:rPr>
                        <w:rFonts w:ascii="Times New Roman" w:hAnsi="Times New Roman" w:cs="Times New Roman"/>
                      </w:rPr>
                      <m:t xml:space="preserve">if </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EU</m:t>
                    </m:r>
                    <m:r>
                      <m:rPr>
                        <m:nor/>
                      </m:rPr>
                      <w:rPr>
                        <w:rFonts w:ascii="Times New Roman" w:hAnsi="Times New Roman" w:cs="Times New Roman"/>
                      </w:rPr>
                      <m:t xml:space="preserve"> and </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EU</m:t>
                    </m:r>
                  </m:e>
                </m:mr>
                <m:mr>
                  <m:e>
                    <m:r>
                      <w:rPr>
                        <w:rFonts w:ascii="Cambria Math" w:hAnsi="Cambria Math" w:cs="Times New Roman"/>
                      </w:rPr>
                      <m:t>0</m:t>
                    </m:r>
                    <m:r>
                      <m:rPr>
                        <m:sty m:val="p"/>
                      </m:rPr>
                      <w:rPr>
                        <w:rFonts w:ascii="Cambria Math" w:hAnsi="Cambria Math" w:cs="Times New Roman"/>
                      </w:rPr>
                      <m:t>,</m:t>
                    </m:r>
                  </m:e>
                  <m:e>
                    <m:r>
                      <m:rPr>
                        <m:nor/>
                      </m:rPr>
                      <w:rPr>
                        <w:rFonts w:ascii="Times New Roman" w:hAnsi="Times New Roman" w:cs="Times New Roman"/>
                      </w:rPr>
                      <m:t>otherwise</m:t>
                    </m:r>
                  </m:e>
                </m:mr>
              </m:m>
              <m:r>
                <w:rPr>
                  <w:rFonts w:ascii="Cambria Math" w:hAnsi="Cambria Math" w:cs="Times New Roman"/>
                </w:rPr>
                <m:t>,</m:t>
              </m:r>
            </m:e>
          </m:d>
          <m:r>
            <w:rPr>
              <w:rFonts w:ascii="Cambria Math" w:hAnsi="Cambria Math" w:cs="Times New Roman"/>
            </w:rPr>
            <m:t xml:space="preserve">   (12)</m:t>
          </m:r>
        </m:oMath>
      </m:oMathPara>
    </w:p>
    <w:p w14:paraId="79989552" w14:textId="3E2B5C16" w:rsidR="002E6A0D" w:rsidRPr="00AC7317" w:rsidRDefault="00F96466" w:rsidP="00216BA2">
      <w:pPr>
        <w:pStyle w:val="FirstParagraph"/>
        <w:spacing w:line="480" w:lineRule="auto"/>
        <w:jc w:val="both"/>
        <w:rPr>
          <w:rFonts w:ascii="Times New Roman" w:hAnsi="Times New Roman" w:cs="Times New Roman"/>
        </w:rPr>
      </w:pPr>
      <w:r w:rsidRPr="00AC7317">
        <w:rPr>
          <w:rFonts w:ascii="Times New Roman" w:hAnsi="Times New Roman" w:cs="Times New Roman"/>
        </w:rPr>
        <w:t xml:space="preserve">In the second scenario, termed “non-compliance” scenario hereafter, the EU market is closed to selected deforestation-risk tropical countries- Brazil, Argentina, and Paraguay. These countries are chosen because they are the largest suppliers of soy to the EU, accounting for 39.05%, 11.53%, and 1.14% of total EU soy imports, respectively (see </w:t>
      </w:r>
      <w:hyperlink w:anchor="table41">
        <w:r w:rsidR="00E223F6" w:rsidRPr="00AC7317">
          <w:rPr>
            <w:rStyle w:val="Hyperlink"/>
            <w:rFonts w:ascii="Times New Roman" w:hAnsi="Times New Roman" w:cs="Times New Roman"/>
          </w:rPr>
          <w:t>a</w:t>
        </w:r>
        <w:r w:rsidR="002E6A0D" w:rsidRPr="00AC7317">
          <w:rPr>
            <w:rStyle w:val="Hyperlink"/>
            <w:rFonts w:ascii="Times New Roman" w:hAnsi="Times New Roman" w:cs="Times New Roman"/>
          </w:rPr>
          <w:t xml:space="preserve">ppendix </w:t>
        </w:r>
        <w:r w:rsidR="00E223F6" w:rsidRPr="00AC7317">
          <w:rPr>
            <w:rStyle w:val="Hyperlink"/>
            <w:rFonts w:ascii="Times New Roman" w:hAnsi="Times New Roman" w:cs="Times New Roman"/>
          </w:rPr>
          <w:t>t</w:t>
        </w:r>
        <w:r w:rsidR="002E6A0D" w:rsidRPr="00AC7317">
          <w:rPr>
            <w:rStyle w:val="Hyperlink"/>
            <w:rFonts w:ascii="Times New Roman" w:hAnsi="Times New Roman" w:cs="Times New Roman"/>
          </w:rPr>
          <w:t>able A4.1</w:t>
        </w:r>
      </w:hyperlink>
      <w:r w:rsidRPr="00AC7317">
        <w:rPr>
          <w:rFonts w:ascii="Times New Roman" w:hAnsi="Times New Roman" w:cs="Times New Roman"/>
        </w:rPr>
        <w:t>), and are also major contributors to deforestation. An analysis conducted by Singh and Persson (</w:t>
      </w:r>
      <w:hyperlink w:anchor="ref-singh2024">
        <w:r w:rsidR="002E6A0D" w:rsidRPr="00AC7317">
          <w:rPr>
            <w:rStyle w:val="Hyperlink"/>
            <w:rFonts w:ascii="Times New Roman" w:hAnsi="Times New Roman" w:cs="Times New Roman"/>
          </w:rPr>
          <w:t>2024</w:t>
        </w:r>
      </w:hyperlink>
      <w:r w:rsidRPr="00AC7317">
        <w:rPr>
          <w:rFonts w:ascii="Times New Roman" w:hAnsi="Times New Roman" w:cs="Times New Roman"/>
        </w:rPr>
        <w:t>) using a four-year attribution window for deforestation measurement identifies Brazil as the largest contributor, with 59.3% of global soybean-related deforestation, followed by Bolivia (15.5%), Argentina (6.0%), and Paraguay (4.4%) in 2020. However, the EU’s share in the exports of Brazil, Argentina, and Paraguay is only 8.06%. If these countries expect that compliance costs outweigh their benefits from compliance, it is possible that exporters may shift to alternative markets. This economic logic is consistent with the analytical model proposed by Gilbert (</w:t>
      </w:r>
      <w:hyperlink w:anchor="ref-gilbert2024">
        <w:r w:rsidR="002E6A0D" w:rsidRPr="00AC7317">
          <w:rPr>
            <w:rStyle w:val="Hyperlink"/>
            <w:rFonts w:ascii="Times New Roman" w:hAnsi="Times New Roman" w:cs="Times New Roman"/>
          </w:rPr>
          <w:t>2024</w:t>
        </w:r>
      </w:hyperlink>
      <w:r w:rsidRPr="00AC7317">
        <w:rPr>
          <w:rFonts w:ascii="Times New Roman" w:hAnsi="Times New Roman" w:cs="Times New Roman"/>
        </w:rPr>
        <w:t>), which illustrates that producers will invest in the EUDR compliance only when the European premium exceeds their compliance costs plus the logistic costs of selling to non-EU markets. We model the second scenario for an increase in trade costs to a prohibitive level, effectively shutting down exports to the EU market</w:t>
      </w:r>
      <w:r w:rsidR="005330D0" w:rsidRPr="00AC7317">
        <w:rPr>
          <w:rFonts w:ascii="Times New Roman" w:hAnsi="Times New Roman" w:cs="Times New Roman"/>
        </w:rPr>
        <w:t>,</w:t>
      </w:r>
      <w:r w:rsidRPr="00AC7317">
        <w:rPr>
          <w:rFonts w:ascii="Times New Roman" w:hAnsi="Times New Roman" w:cs="Times New Roman"/>
        </w:rPr>
        <w:t xml:space="preserve"> as shown below:</w:t>
      </w:r>
    </w:p>
    <w:p w14:paraId="6DA574F4" w14:textId="7F1F5400" w:rsidR="002E6A0D" w:rsidRPr="00AC7317" w:rsidRDefault="00C50071" w:rsidP="00216BA2">
      <w:pPr>
        <w:pStyle w:val="BodyText"/>
        <w:spacing w:line="480" w:lineRule="auto"/>
        <w:jc w:val="both"/>
        <w:rPr>
          <w:rFonts w:ascii="Times New Roman" w:hAnsi="Times New Roman" w:cs="Times New Roman"/>
        </w:rPr>
      </w:pPr>
      <m:oMathPara>
        <m:oMathParaPr>
          <m:jc m:val="center"/>
        </m:oMathParaPr>
        <m:oMath>
          <m:r>
            <w:rPr>
              <w:rFonts w:ascii="Cambria Math" w:hAnsi="Cambria Math" w:cs="Times New Roman"/>
            </w:rPr>
            <m:t>EUD</m:t>
          </m:r>
          <m:sSubSup>
            <m:sSubSupPr>
              <m:ctrlPr>
                <w:rPr>
                  <w:rFonts w:ascii="Cambria Math" w:hAnsi="Cambria Math" w:cs="Times New Roman"/>
                </w:rPr>
              </m:ctrlPr>
            </m:sSubSupPr>
            <m:e>
              <m:r>
                <m:rPr>
                  <m:sty m:val="p"/>
                </m:rPr>
                <w:rPr>
                  <w:rFonts w:ascii="Cambria Math" w:hAnsi="Cambria Math" w:cs="Times New Roman"/>
                </w:rPr>
                <m:t>R_AVE</m:t>
              </m:r>
            </m:e>
            <m:sub>
              <m:r>
                <m:rPr>
                  <m:sty m:val="p"/>
                </m:rPr>
                <w:rPr>
                  <w:rFonts w:ascii="Cambria Math" w:hAnsi="Cambria Math" w:cs="Times New Roman"/>
                </w:rPr>
                <m:t>i,EU</m:t>
              </m:r>
            </m:sub>
            <m:sup>
              <m:r>
                <m:rPr>
                  <m:sty m:val="p"/>
                </m:rPr>
                <w:rPr>
                  <w:rFonts w:ascii="Cambria Math" w:hAnsi="Cambria Math" w:cs="Times New Roman"/>
                </w:rPr>
                <m:t>ncomp</m:t>
              </m:r>
            </m:sup>
          </m:sSubSup>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s</m:t>
                        </m:r>
                      </m:sub>
                    </m:sSub>
                    <m:r>
                      <m:rPr>
                        <m:sty m:val="p"/>
                      </m:rPr>
                      <w:rPr>
                        <w:rFonts w:ascii="Cambria Math" w:hAnsi="Cambria Math" w:cs="Times New Roman"/>
                      </w:rPr>
                      <m:t>,</m:t>
                    </m:r>
                  </m:e>
                  <m:e>
                    <m:r>
                      <m:rPr>
                        <m:nor/>
                      </m:rPr>
                      <w:rPr>
                        <w:rFonts w:ascii="Times New Roman" w:hAnsi="Times New Roman" w:cs="Times New Roman"/>
                      </w:rPr>
                      <m:t xml:space="preserve">if </m:t>
                    </m:r>
                    <m:r>
                      <w:rPr>
                        <w:rFonts w:ascii="Cambria Math" w:hAnsi="Cambria Math" w:cs="Times New Roman"/>
                      </w:rPr>
                      <m:t>i</m:t>
                    </m:r>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BRA</m:t>
                        </m:r>
                        <m:r>
                          <m:rPr>
                            <m:sty m:val="p"/>
                          </m:rPr>
                          <w:rPr>
                            <w:rFonts w:ascii="Cambria Math" w:hAnsi="Cambria Math" w:cs="Times New Roman"/>
                          </w:rPr>
                          <m:t>,</m:t>
                        </m:r>
                        <m:r>
                          <w:rPr>
                            <w:rFonts w:ascii="Cambria Math" w:hAnsi="Cambria Math" w:cs="Times New Roman"/>
                          </w:rPr>
                          <m:t>ARG</m:t>
                        </m:r>
                        <m:r>
                          <m:rPr>
                            <m:sty m:val="p"/>
                          </m:rPr>
                          <w:rPr>
                            <w:rFonts w:ascii="Cambria Math" w:hAnsi="Cambria Math" w:cs="Times New Roman"/>
                          </w:rPr>
                          <m:t>,</m:t>
                        </m:r>
                        <m:r>
                          <w:rPr>
                            <w:rFonts w:ascii="Cambria Math" w:hAnsi="Cambria Math" w:cs="Times New Roman"/>
                          </w:rPr>
                          <m:t>PRY</m:t>
                        </m:r>
                      </m:e>
                    </m:d>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EU</m:t>
                    </m:r>
                  </m:e>
                </m:mr>
                <m:mr>
                  <m:e>
                    <m:r>
                      <w:rPr>
                        <w:rFonts w:ascii="Cambria Math" w:hAnsi="Cambria Math" w:cs="Times New Roman"/>
                      </w:rPr>
                      <m:t>0.06</m:t>
                    </m:r>
                    <m:r>
                      <m:rPr>
                        <m:sty m:val="p"/>
                      </m:rPr>
                      <w:rPr>
                        <w:rFonts w:ascii="Cambria Math" w:hAnsi="Cambria Math" w:cs="Times New Roman"/>
                      </w:rPr>
                      <m:t>,</m:t>
                    </m:r>
                  </m:e>
                  <m:e>
                    <m:r>
                      <m:rPr>
                        <m:nor/>
                      </m:rPr>
                      <w:rPr>
                        <w:rFonts w:ascii="Times New Roman" w:hAnsi="Times New Roman" w:cs="Times New Roman"/>
                      </w:rPr>
                      <m:t xml:space="preserve">if </m:t>
                    </m:r>
                    <m:r>
                      <w:rPr>
                        <w:rFonts w:ascii="Cambria Math" w:hAnsi="Cambria Math" w:cs="Times New Roman"/>
                      </w:rPr>
                      <m:t>i</m:t>
                    </m:r>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BRA</m:t>
                        </m:r>
                        <m:r>
                          <m:rPr>
                            <m:sty m:val="p"/>
                          </m:rPr>
                          <w:rPr>
                            <w:rFonts w:ascii="Cambria Math" w:hAnsi="Cambria Math" w:cs="Times New Roman"/>
                          </w:rPr>
                          <m:t>,</m:t>
                        </m:r>
                        <m:r>
                          <w:rPr>
                            <w:rFonts w:ascii="Cambria Math" w:hAnsi="Cambria Math" w:cs="Times New Roman"/>
                          </w:rPr>
                          <m:t>ARG</m:t>
                        </m:r>
                        <m:r>
                          <m:rPr>
                            <m:sty m:val="p"/>
                          </m:rPr>
                          <w:rPr>
                            <w:rFonts w:ascii="Cambria Math" w:hAnsi="Cambria Math" w:cs="Times New Roman"/>
                          </w:rPr>
                          <m:t>,</m:t>
                        </m:r>
                        <m:r>
                          <w:rPr>
                            <w:rFonts w:ascii="Cambria Math" w:hAnsi="Cambria Math" w:cs="Times New Roman"/>
                          </w:rPr>
                          <m:t>PRY</m:t>
                        </m:r>
                        <m:r>
                          <m:rPr>
                            <m:sty m:val="p"/>
                          </m:rPr>
                          <w:rPr>
                            <w:rFonts w:ascii="Cambria Math" w:hAnsi="Cambria Math" w:cs="Times New Roman"/>
                          </w:rPr>
                          <m:t>,</m:t>
                        </m:r>
                        <m:r>
                          <w:rPr>
                            <w:rFonts w:ascii="Cambria Math" w:hAnsi="Cambria Math" w:cs="Times New Roman"/>
                          </w:rPr>
                          <m:t>EU</m:t>
                        </m:r>
                      </m:e>
                    </m:d>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EU</m:t>
                    </m:r>
                  </m:e>
                </m:mr>
                <m:mr>
                  <m:e>
                    <m:r>
                      <w:rPr>
                        <w:rFonts w:ascii="Cambria Math" w:hAnsi="Cambria Math" w:cs="Times New Roman"/>
                      </w:rPr>
                      <m:t>0</m:t>
                    </m:r>
                    <m:r>
                      <m:rPr>
                        <m:sty m:val="p"/>
                      </m:rPr>
                      <w:rPr>
                        <w:rFonts w:ascii="Cambria Math" w:hAnsi="Cambria Math" w:cs="Times New Roman"/>
                      </w:rPr>
                      <m:t>,</m:t>
                    </m:r>
                  </m:e>
                  <m:e>
                    <m:r>
                      <m:rPr>
                        <m:nor/>
                      </m:rPr>
                      <w:rPr>
                        <w:rFonts w:ascii="Times New Roman" w:hAnsi="Times New Roman" w:cs="Times New Roman"/>
                      </w:rPr>
                      <m:t>otherwise</m:t>
                    </m:r>
                  </m:e>
                </m:mr>
              </m:m>
            </m:e>
          </m:d>
          <m:r>
            <w:rPr>
              <w:rFonts w:ascii="Cambria Math" w:hAnsi="Cambria Math" w:cs="Times New Roman"/>
            </w:rPr>
            <m:t>,  (13)</m:t>
          </m:r>
        </m:oMath>
      </m:oMathPara>
    </w:p>
    <w:p w14:paraId="7F84B2BE" w14:textId="77777777" w:rsidR="002E6A0D" w:rsidRPr="00AC7317" w:rsidRDefault="00F96466" w:rsidP="00216BA2">
      <w:pPr>
        <w:pStyle w:val="FirstParagraph"/>
        <w:spacing w:line="480" w:lineRule="auto"/>
        <w:jc w:val="both"/>
        <w:rPr>
          <w:rFonts w:ascii="Times New Roman" w:hAnsi="Times New Roman" w:cs="Times New Roman"/>
        </w:rPr>
      </w:pPr>
      <w:r w:rsidRPr="00AC7317">
        <w:rPr>
          <w:rFonts w:ascii="Times New Roman" w:hAnsi="Times New Roman" w:cs="Times New Roman"/>
        </w:rPr>
        <w:lastRenderedPageBreak/>
        <w:t xml:space="preserve">where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s</m:t>
            </m:r>
          </m:sub>
        </m:sSub>
      </m:oMath>
      <w:r w:rsidRPr="00AC7317">
        <w:rPr>
          <w:rFonts w:ascii="Times New Roman" w:hAnsi="Times New Roman" w:cs="Times New Roman"/>
        </w:rPr>
        <w:t xml:space="preserve"> is a product-specific prohibitive wedge. In our counterfactual gravity estimation, a 5000% AVE shuts down the export of soybeans to the EU market, while a lower AVE (~700%) shuts down the export of soybean oil and cake. This is reasonable because the trade elasticity of soybeans is lower than that of soybean oil and cake.</w:t>
      </w:r>
    </w:p>
    <w:p w14:paraId="20CA17D7" w14:textId="77777777"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b/>
          <w:bCs/>
        </w:rPr>
        <w:t>Step 3: Estimate conditional gravity</w:t>
      </w:r>
    </w:p>
    <w:p w14:paraId="04014D7B" w14:textId="76541420"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t xml:space="preserve">Using counterfactual bilateral trade costs from </w:t>
      </w:r>
      <w:proofErr w:type="gramStart"/>
      <w:r w:rsidRPr="00AC7317">
        <w:rPr>
          <w:rFonts w:ascii="Times New Roman" w:hAnsi="Times New Roman" w:cs="Times New Roman"/>
        </w:rPr>
        <w:t>equation</w:t>
      </w:r>
      <w:proofErr w:type="gramEnd"/>
      <w:r w:rsidRPr="00AC7317">
        <w:rPr>
          <w:rFonts w:ascii="Times New Roman" w:hAnsi="Times New Roman" w:cs="Times New Roman"/>
        </w:rPr>
        <w:t xml:space="preserve"> (</w:t>
      </w:r>
      <w:r w:rsidR="005330D0" w:rsidRPr="00AC7317">
        <w:rPr>
          <w:rFonts w:ascii="Times New Roman" w:hAnsi="Times New Roman" w:cs="Times New Roman"/>
        </w:rPr>
        <w:t>11</w:t>
      </w:r>
      <w:r w:rsidRPr="00AC7317">
        <w:rPr>
          <w:rFonts w:ascii="Times New Roman" w:hAnsi="Times New Roman" w:cs="Times New Roman"/>
        </w:rPr>
        <w:t>), we estimate counterfactual fixed effects with the constrained regression in equation (</w:t>
      </w:r>
      <w:r w:rsidR="005330D0" w:rsidRPr="00AC7317">
        <w:rPr>
          <w:rFonts w:ascii="Times New Roman" w:hAnsi="Times New Roman" w:cs="Times New Roman"/>
        </w:rPr>
        <w:t>14</w:t>
      </w:r>
      <w:r w:rsidRPr="00AC7317">
        <w:rPr>
          <w:rFonts w:ascii="Times New Roman" w:hAnsi="Times New Roman" w:cs="Times New Roman"/>
        </w:rPr>
        <w:t>), holding trade costs fixed and allowing fixed effects to adjust for changes in multilateral resistance due to compliance costs.</w:t>
      </w:r>
    </w:p>
    <w:p w14:paraId="410607E7" w14:textId="1294FDD9" w:rsidR="002E6A0D" w:rsidRPr="00AC7317" w:rsidRDefault="00000000" w:rsidP="00216BA2">
      <w:pPr>
        <w:pStyle w:val="BodyText"/>
        <w:spacing w:line="48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m:t>
              </m:r>
            </m:sub>
          </m:sSub>
          <m:r>
            <m:rPr>
              <m:sty m:val="p"/>
            </m:rPr>
            <w:rPr>
              <w:rFonts w:ascii="Cambria Math" w:hAnsi="Cambria Math" w:cs="Times New Roman"/>
            </w:rPr>
            <m:t>=exp</m:t>
          </m:r>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γ</m:t>
                  </m:r>
                </m:e>
                <m:sub>
                  <m:r>
                    <w:rPr>
                      <w:rFonts w:ascii="Cambria Math" w:hAnsi="Cambria Math" w:cs="Times New Roman"/>
                    </w:rPr>
                    <m:t>i</m:t>
                  </m:r>
                </m:sub>
                <m:sup>
                  <m:r>
                    <w:rPr>
                      <w:rFonts w:ascii="Cambria Math" w:hAnsi="Cambria Math" w:cs="Times New Roman"/>
                    </w:rPr>
                    <m:t>CFL</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γ</m:t>
                  </m:r>
                </m:e>
                <m:sub>
                  <m:r>
                    <w:rPr>
                      <w:rFonts w:ascii="Cambria Math" w:hAnsi="Cambria Math" w:cs="Times New Roman"/>
                    </w:rPr>
                    <m:t>j</m:t>
                  </m:r>
                </m:sub>
                <m:sup>
                  <m:r>
                    <w:rPr>
                      <w:rFonts w:ascii="Cambria Math" w:hAnsi="Cambria Math" w:cs="Times New Roman"/>
                    </w:rPr>
                    <m:t>CFL</m:t>
                  </m:r>
                </m:sup>
              </m:sSubSup>
              <m:r>
                <m:rPr>
                  <m:sty m:val="p"/>
                </m:rPr>
                <w:rPr>
                  <w:rFonts w:ascii="Cambria Math" w:hAnsi="Cambria Math" w:cs="Times New Roman"/>
                </w:rPr>
                <m:t>+</m:t>
              </m:r>
              <m:r>
                <w:rPr>
                  <w:rFonts w:ascii="Cambria Math" w:hAnsi="Cambria Math" w:cs="Times New Roman"/>
                </w:rPr>
                <m:t>θ</m:t>
              </m:r>
              <m:r>
                <m:rPr>
                  <m:sty m:val="p"/>
                </m:rPr>
                <w:rPr>
                  <w:rFonts w:ascii="Cambria Math" w:hAnsi="Cambria Math" w:cs="Times New Roman"/>
                </w:rPr>
                <m:t>log</m:t>
              </m:r>
              <m:sSup>
                <m:sSupPr>
                  <m:ctrlPr>
                    <w:rPr>
                      <w:rFonts w:ascii="Cambria Math" w:hAnsi="Cambria Math" w:cs="Times New Roman"/>
                    </w:rPr>
                  </m:ctrlPr>
                </m:sSupPr>
                <m:e>
                  <m:acc>
                    <m:accPr>
                      <m:chr m:val="̃"/>
                      <m:ctrlPr>
                        <w:rPr>
                          <w:rFonts w:ascii="Cambria Math" w:hAnsi="Cambria Math" w:cs="Times New Roman"/>
                        </w:rPr>
                      </m:ctrlPr>
                    </m:accPr>
                    <m:e>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ij</m:t>
                              </m:r>
                            </m:sub>
                            <m:sup>
                              <m:r>
                                <w:rPr>
                                  <w:rFonts w:ascii="Cambria Math" w:hAnsi="Cambria Math" w:cs="Times New Roman"/>
                                </w:rPr>
                                <m:t>1</m:t>
                              </m:r>
                              <m:r>
                                <m:rPr>
                                  <m:sty m:val="p"/>
                                </m:rPr>
                                <w:rPr>
                                  <w:rFonts w:ascii="Cambria Math" w:hAnsi="Cambria Math" w:cs="Times New Roman"/>
                                </w:rPr>
                                <m:t>-</m:t>
                              </m:r>
                              <m:r>
                                <w:rPr>
                                  <w:rFonts w:ascii="Cambria Math" w:hAnsi="Cambria Math" w:cs="Times New Roman"/>
                                </w:rPr>
                                <m:t>σ</m:t>
                              </m:r>
                            </m:sup>
                          </m:sSubSup>
                        </m:e>
                      </m:d>
                    </m:e>
                  </m:acc>
                </m:e>
                <m:sup>
                  <m:r>
                    <w:rPr>
                      <w:rFonts w:ascii="Cambria Math" w:hAnsi="Cambria Math" w:cs="Times New Roman"/>
                    </w:rPr>
                    <m:t>CFL</m:t>
                  </m:r>
                </m:sup>
              </m:sSup>
            </m:e>
          </m:d>
          <m:sSubSup>
            <m:sSubSupPr>
              <m:ctrlPr>
                <w:rPr>
                  <w:rFonts w:ascii="Cambria Math" w:hAnsi="Cambria Math" w:cs="Times New Roman"/>
                </w:rPr>
              </m:ctrlPr>
            </m:sSubSupPr>
            <m:e>
              <m:r>
                <w:rPr>
                  <w:rFonts w:ascii="Cambria Math" w:hAnsi="Cambria Math" w:cs="Times New Roman"/>
                </w:rPr>
                <m:t>ε</m:t>
              </m:r>
            </m:e>
            <m:sub>
              <m:r>
                <w:rPr>
                  <w:rFonts w:ascii="Cambria Math" w:hAnsi="Cambria Math" w:cs="Times New Roman"/>
                </w:rPr>
                <m:t>ij</m:t>
              </m:r>
            </m:sub>
            <m:sup>
              <m:r>
                <w:rPr>
                  <w:rFonts w:ascii="Cambria Math" w:hAnsi="Cambria Math" w:cs="Times New Roman"/>
                </w:rPr>
                <m:t>CFL</m:t>
              </m:r>
            </m:sup>
          </m:sSubSup>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θ</m:t>
          </m:r>
          <m:r>
            <m:rPr>
              <m:sty m:val="p"/>
            </m:rPr>
            <w:rPr>
              <w:rFonts w:ascii="Cambria Math" w:hAnsi="Cambria Math" w:cs="Times New Roman"/>
            </w:rPr>
            <m:t>=</m:t>
          </m:r>
          <m:r>
            <w:rPr>
              <w:rFonts w:ascii="Cambria Math" w:hAnsi="Cambria Math" w:cs="Times New Roman"/>
            </w:rPr>
            <m:t>1 </m:t>
          </m:r>
          <m:r>
            <m:rPr>
              <m:nor/>
            </m:rPr>
            <w:rPr>
              <w:rFonts w:ascii="Times New Roman" w:hAnsi="Times New Roman" w:cs="Times New Roman"/>
            </w:rPr>
            <m:t>(1</m:t>
          </m:r>
          <m:r>
            <m:rPr>
              <m:nor/>
            </m:rPr>
            <w:rPr>
              <w:rFonts w:ascii="Cambria Math" w:hAnsi="Times New Roman" w:cs="Times New Roman"/>
            </w:rPr>
            <m:t>4</m:t>
          </m:r>
          <m:r>
            <m:rPr>
              <m:nor/>
            </m:rPr>
            <w:rPr>
              <w:rFonts w:ascii="Times New Roman" w:hAnsi="Times New Roman" w:cs="Times New Roman"/>
            </w:rPr>
            <m:t>)</m:t>
          </m:r>
        </m:oMath>
      </m:oMathPara>
    </w:p>
    <w:p w14:paraId="1F6A06CE" w14:textId="77777777" w:rsidR="002E6A0D" w:rsidRPr="00AC7317" w:rsidRDefault="00F96466" w:rsidP="00216BA2">
      <w:pPr>
        <w:pStyle w:val="FirstParagraph"/>
        <w:spacing w:line="480" w:lineRule="auto"/>
        <w:jc w:val="both"/>
        <w:rPr>
          <w:rFonts w:ascii="Times New Roman" w:hAnsi="Times New Roman" w:cs="Times New Roman"/>
        </w:rPr>
      </w:pPr>
      <w:r w:rsidRPr="00AC7317">
        <w:rPr>
          <w:rFonts w:ascii="Times New Roman" w:hAnsi="Times New Roman" w:cs="Times New Roman"/>
        </w:rPr>
        <w:t>With the estimated counterfactual fixed effects and trade cost, the counterfactual trade flows are predicted as:</w:t>
      </w:r>
    </w:p>
    <w:p w14:paraId="4193D72A" w14:textId="78DB28CC" w:rsidR="002E6A0D" w:rsidRPr="00AC7317" w:rsidRDefault="00000000" w:rsidP="00216BA2">
      <w:pPr>
        <w:pStyle w:val="BodyText"/>
        <w:spacing w:line="480" w:lineRule="auto"/>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ij</m:t>
              </m:r>
            </m:sub>
            <m:sup>
              <m:r>
                <w:rPr>
                  <w:rFonts w:ascii="Cambria Math" w:hAnsi="Cambria Math" w:cs="Times New Roman"/>
                </w:rPr>
                <m:t>CFL</m:t>
              </m:r>
            </m:sup>
          </m:sSubSup>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ij</m:t>
                          </m:r>
                        </m:sub>
                        <m:sup>
                          <m:r>
                            <w:rPr>
                              <w:rFonts w:ascii="Cambria Math" w:hAnsi="Cambria Math" w:cs="Times New Roman"/>
                            </w:rPr>
                            <m:t>1</m:t>
                          </m:r>
                          <m:r>
                            <m:rPr>
                              <m:sty m:val="p"/>
                            </m:rPr>
                            <w:rPr>
                              <w:rFonts w:ascii="Cambria Math" w:hAnsi="Cambria Math" w:cs="Times New Roman"/>
                            </w:rPr>
                            <m:t>-</m:t>
                          </m:r>
                          <m:r>
                            <w:rPr>
                              <w:rFonts w:ascii="Cambria Math" w:hAnsi="Cambria Math" w:cs="Times New Roman"/>
                            </w:rPr>
                            <m:t>σ</m:t>
                          </m:r>
                        </m:sup>
                      </m:sSubSup>
                    </m:e>
                  </m:d>
                </m:e>
              </m:acc>
            </m:e>
            <m:sup>
              <m:r>
                <w:rPr>
                  <w:rFonts w:ascii="Cambria Math" w:hAnsi="Cambria Math" w:cs="Times New Roman"/>
                </w:rPr>
                <m:t>CFL</m:t>
              </m:r>
            </m:sup>
          </m:sSup>
          <m:r>
            <m:rPr>
              <m:sty m:val="p"/>
            </m:rPr>
            <w:rPr>
              <w:rFonts w:ascii="Cambria Math" w:hAnsi="Cambria Math" w:cs="Times New Roman"/>
            </w:rPr>
            <m:t>exp</m:t>
          </m:r>
          <m:d>
            <m:dPr>
              <m:begChr m:val="["/>
              <m:endChr m:val="]"/>
              <m:ctrlPr>
                <w:rPr>
                  <w:rFonts w:ascii="Cambria Math" w:hAnsi="Cambria Math" w:cs="Times New Roman"/>
                </w:rPr>
              </m:ctrlPr>
            </m:dPr>
            <m:e>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γ</m:t>
                      </m:r>
                    </m:e>
                  </m:acc>
                </m:e>
                <m:sub>
                  <m:r>
                    <w:rPr>
                      <w:rFonts w:ascii="Cambria Math" w:hAnsi="Cambria Math" w:cs="Times New Roman"/>
                    </w:rPr>
                    <m:t>i</m:t>
                  </m:r>
                </m:sub>
                <m:sup>
                  <m:r>
                    <w:rPr>
                      <w:rFonts w:ascii="Cambria Math" w:hAnsi="Cambria Math" w:cs="Times New Roman"/>
                    </w:rPr>
                    <m:t>CFL</m:t>
                  </m:r>
                </m:sup>
              </m:sSubSup>
              <m:r>
                <m:rPr>
                  <m:sty m:val="p"/>
                </m:rPr>
                <w:rPr>
                  <w:rFonts w:ascii="Cambria Math" w:hAnsi="Cambria Math" w:cs="Times New Roman"/>
                </w:rPr>
                <m:t>+</m:t>
              </m:r>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γ</m:t>
                      </m:r>
                    </m:e>
                  </m:acc>
                </m:e>
                <m:sub>
                  <m:r>
                    <w:rPr>
                      <w:rFonts w:ascii="Cambria Math" w:hAnsi="Cambria Math" w:cs="Times New Roman"/>
                    </w:rPr>
                    <m:t>j</m:t>
                  </m:r>
                </m:sub>
                <m:sup>
                  <m:r>
                    <w:rPr>
                      <w:rFonts w:ascii="Cambria Math" w:hAnsi="Cambria Math" w:cs="Times New Roman"/>
                    </w:rPr>
                    <m:t>CFL</m:t>
                  </m:r>
                </m:sup>
              </m:sSubSup>
            </m:e>
          </m:d>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(1</m:t>
          </m:r>
          <m:r>
            <m:rPr>
              <m:nor/>
            </m:rPr>
            <w:rPr>
              <w:rFonts w:ascii="Cambria Math" w:hAnsi="Times New Roman" w:cs="Times New Roman"/>
            </w:rPr>
            <m:t>5</m:t>
          </m:r>
          <m:r>
            <m:rPr>
              <m:nor/>
            </m:rPr>
            <w:rPr>
              <w:rFonts w:ascii="Times New Roman" w:hAnsi="Times New Roman" w:cs="Times New Roman"/>
            </w:rPr>
            <m:t>)</m:t>
          </m:r>
        </m:oMath>
      </m:oMathPara>
    </w:p>
    <w:p w14:paraId="5FB2474A" w14:textId="77777777" w:rsidR="002E6A0D" w:rsidRPr="00AC7317" w:rsidRDefault="00F96466" w:rsidP="00216BA2">
      <w:pPr>
        <w:pStyle w:val="FirstParagraph"/>
        <w:spacing w:line="480" w:lineRule="auto"/>
        <w:jc w:val="both"/>
        <w:rPr>
          <w:rFonts w:ascii="Times New Roman" w:hAnsi="Times New Roman" w:cs="Times New Roman"/>
        </w:rPr>
      </w:pPr>
      <w:r w:rsidRPr="00AC7317">
        <w:rPr>
          <w:rFonts w:ascii="Times New Roman" w:hAnsi="Times New Roman" w:cs="Times New Roman"/>
          <w:b/>
          <w:bCs/>
        </w:rPr>
        <w:t>Step 4: Estimate and report effects</w:t>
      </w:r>
    </w:p>
    <w:p w14:paraId="5565C456" w14:textId="4180B3D7" w:rsidR="002E6A0D" w:rsidRPr="00AC7317" w:rsidRDefault="00F96466" w:rsidP="00216BA2">
      <w:pPr>
        <w:pStyle w:val="BodyText"/>
        <w:spacing w:line="480" w:lineRule="auto"/>
        <w:jc w:val="both"/>
        <w:rPr>
          <w:rFonts w:ascii="Times New Roman" w:hAnsi="Times New Roman" w:cs="Times New Roman"/>
        </w:rPr>
      </w:pPr>
      <w:bookmarkStart w:id="6" w:name="_Hlk211254835"/>
      <w:r w:rsidRPr="00AC7317">
        <w:rPr>
          <w:rFonts w:ascii="Times New Roman" w:hAnsi="Times New Roman" w:cs="Times New Roman"/>
        </w:rPr>
        <w:t xml:space="preserve">We measure compliance-induced change in </w:t>
      </w:r>
      <w:r w:rsidR="005330D0" w:rsidRPr="00AC7317">
        <w:rPr>
          <w:rFonts w:ascii="Times New Roman" w:hAnsi="Times New Roman" w:cs="Times New Roman"/>
        </w:rPr>
        <w:t xml:space="preserve">exports </w:t>
      </w:r>
      <w:r w:rsidRPr="00AC7317">
        <w:rPr>
          <w:rFonts w:ascii="Times New Roman" w:hAnsi="Times New Roman" w:cs="Times New Roman"/>
        </w:rPr>
        <w:t xml:space="preserve">from </w:t>
      </w:r>
      <w:r w:rsidR="005330D0" w:rsidRPr="00AC7317">
        <w:rPr>
          <w:rFonts w:ascii="Times New Roman" w:hAnsi="Times New Roman" w:cs="Times New Roman"/>
        </w:rPr>
        <w:t xml:space="preserve">the </w:t>
      </w:r>
      <w:r w:rsidRPr="00AC7317">
        <w:rPr>
          <w:rFonts w:ascii="Times New Roman" w:hAnsi="Times New Roman" w:cs="Times New Roman"/>
        </w:rPr>
        <w:t xml:space="preserve">country </w:t>
      </w:r>
      <m:oMath>
        <m:r>
          <w:rPr>
            <w:rFonts w:ascii="Cambria Math" w:hAnsi="Cambria Math" w:cs="Times New Roman"/>
          </w:rPr>
          <m:t>i</m:t>
        </m:r>
      </m:oMath>
      <w:r w:rsidRPr="00AC7317">
        <w:rPr>
          <w:rFonts w:ascii="Times New Roman" w:hAnsi="Times New Roman" w:cs="Times New Roman"/>
        </w:rPr>
        <w:t xml:space="preserve"> to country </w:t>
      </w:r>
      <m:oMath>
        <m:r>
          <w:rPr>
            <w:rFonts w:ascii="Cambria Math" w:hAnsi="Cambria Math" w:cs="Times New Roman"/>
          </w:rPr>
          <m:t>j</m:t>
        </m:r>
      </m:oMath>
      <w:r w:rsidRPr="00AC7317">
        <w:rPr>
          <w:rFonts w:ascii="Times New Roman" w:hAnsi="Times New Roman" w:cs="Times New Roman"/>
        </w:rPr>
        <w:t xml:space="preserve"> in percent as: </w:t>
      </w:r>
      <m:oMath>
        <m:d>
          <m:dPr>
            <m:ctrlPr>
              <w:rPr>
                <w:rFonts w:ascii="Cambria Math" w:hAnsi="Cambria Math" w:cs="Times New Roman"/>
              </w:rPr>
            </m:ctrlPr>
          </m:dPr>
          <m:e>
            <m:f>
              <m:fPr>
                <m:ctrlPr>
                  <w:rPr>
                    <w:rFonts w:ascii="Cambria Math" w:hAnsi="Cambria Math" w:cs="Times New Roman"/>
                  </w:rPr>
                </m:ctrlPr>
              </m:fPr>
              <m:num>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ij</m:t>
                    </m:r>
                  </m:sub>
                  <m:sup>
                    <m:r>
                      <w:rPr>
                        <w:rFonts w:ascii="Cambria Math" w:hAnsi="Cambria Math" w:cs="Times New Roman"/>
                      </w:rPr>
                      <m:t>CFL</m:t>
                    </m:r>
                  </m:sup>
                </m:sSubSup>
              </m:num>
              <m:den>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ij</m:t>
                    </m:r>
                  </m:sub>
                  <m:sup>
                    <m:r>
                      <w:rPr>
                        <w:rFonts w:ascii="Cambria Math" w:hAnsi="Cambria Math" w:cs="Times New Roman"/>
                      </w:rPr>
                      <m:t>BLN</m:t>
                    </m:r>
                  </m:sup>
                </m:sSubSup>
              </m:den>
            </m:f>
            <m:r>
              <m:rPr>
                <m:sty m:val="p"/>
              </m:rPr>
              <w:rPr>
                <w:rFonts w:ascii="Cambria Math" w:hAnsi="Cambria Math" w:cs="Times New Roman"/>
              </w:rPr>
              <m:t>-</m:t>
            </m:r>
            <m:r>
              <w:rPr>
                <w:rFonts w:ascii="Cambria Math" w:hAnsi="Cambria Math" w:cs="Times New Roman"/>
              </w:rPr>
              <m:t>1</m:t>
            </m:r>
          </m:e>
        </m:d>
        <m:r>
          <m:rPr>
            <m:sty m:val="p"/>
          </m:rPr>
          <w:rPr>
            <w:rFonts w:ascii="Cambria Math" w:hAnsi="Cambria Math" w:cs="Times New Roman"/>
          </w:rPr>
          <m:t>*</m:t>
        </m:r>
        <m:r>
          <w:rPr>
            <w:rFonts w:ascii="Cambria Math" w:hAnsi="Cambria Math" w:cs="Times New Roman"/>
          </w:rPr>
          <m:t>100</m:t>
        </m:r>
        <m:r>
          <m:rPr>
            <m:sty m:val="p"/>
          </m:rPr>
          <w:rPr>
            <w:rFonts w:ascii="Cambria Math" w:hAnsi="Cambria Math" w:cs="Times New Roman"/>
          </w:rPr>
          <m:t>%</m:t>
        </m:r>
      </m:oMath>
      <w:r w:rsidRPr="00AC7317">
        <w:rPr>
          <w:rFonts w:ascii="Times New Roman" w:hAnsi="Times New Roman" w:cs="Times New Roman"/>
        </w:rPr>
        <w:t xml:space="preserve">. A positive value indicates </w:t>
      </w:r>
      <w:r w:rsidR="005330D0" w:rsidRPr="00AC7317">
        <w:rPr>
          <w:rFonts w:ascii="Times New Roman" w:hAnsi="Times New Roman" w:cs="Times New Roman"/>
        </w:rPr>
        <w:t>an increase in exports</w:t>
      </w:r>
      <w:r w:rsidRPr="00AC7317">
        <w:rPr>
          <w:rFonts w:ascii="Times New Roman" w:hAnsi="Times New Roman" w:cs="Times New Roman"/>
        </w:rPr>
        <w:t xml:space="preserve"> </w:t>
      </w:r>
      <w:r w:rsidR="005330D0" w:rsidRPr="00AC7317">
        <w:rPr>
          <w:rFonts w:ascii="Times New Roman" w:hAnsi="Times New Roman" w:cs="Times New Roman"/>
        </w:rPr>
        <w:t>from</w:t>
      </w:r>
      <w:r w:rsidRPr="00AC7317">
        <w:rPr>
          <w:rFonts w:ascii="Times New Roman" w:hAnsi="Times New Roman" w:cs="Times New Roman"/>
        </w:rPr>
        <w:t xml:space="preserve"> </w:t>
      </w:r>
      <m:oMath>
        <m:r>
          <w:rPr>
            <w:rFonts w:ascii="Cambria Math" w:hAnsi="Cambria Math" w:cs="Times New Roman"/>
          </w:rPr>
          <m:t>i</m:t>
        </m:r>
      </m:oMath>
      <w:r w:rsidRPr="00AC7317">
        <w:rPr>
          <w:rFonts w:ascii="Times New Roman" w:hAnsi="Times New Roman" w:cs="Times New Roman"/>
        </w:rPr>
        <w:t xml:space="preserve"> </w:t>
      </w:r>
      <w:r w:rsidR="005330D0" w:rsidRPr="00AC7317">
        <w:rPr>
          <w:rFonts w:ascii="Times New Roman" w:hAnsi="Times New Roman" w:cs="Times New Roman"/>
        </w:rPr>
        <w:t>to</w:t>
      </w:r>
      <w:r w:rsidRPr="00AC7317">
        <w:rPr>
          <w:rFonts w:ascii="Times New Roman" w:hAnsi="Times New Roman" w:cs="Times New Roman"/>
        </w:rPr>
        <w:t xml:space="preserve"> </w:t>
      </w:r>
      <m:oMath>
        <m:r>
          <w:rPr>
            <w:rFonts w:ascii="Cambria Math" w:hAnsi="Cambria Math" w:cs="Times New Roman"/>
          </w:rPr>
          <m:t>j</m:t>
        </m:r>
      </m:oMath>
      <w:r w:rsidR="005330D0" w:rsidRPr="00AC7317">
        <w:rPr>
          <w:rFonts w:ascii="Times New Roman" w:hAnsi="Times New Roman" w:cs="Times New Roman"/>
        </w:rPr>
        <w:t xml:space="preserve"> while</w:t>
      </w:r>
      <w:r w:rsidRPr="00AC7317">
        <w:rPr>
          <w:rFonts w:ascii="Times New Roman" w:hAnsi="Times New Roman" w:cs="Times New Roman"/>
        </w:rPr>
        <w:t xml:space="preserve"> a negative value indicates </w:t>
      </w:r>
      <w:r w:rsidR="005330D0" w:rsidRPr="00AC7317">
        <w:rPr>
          <w:rFonts w:ascii="Times New Roman" w:hAnsi="Times New Roman" w:cs="Times New Roman"/>
        </w:rPr>
        <w:t>a decrease in exports</w:t>
      </w:r>
      <w:r w:rsidRPr="00AC7317">
        <w:rPr>
          <w:rFonts w:ascii="Times New Roman" w:hAnsi="Times New Roman" w:cs="Times New Roman"/>
        </w:rPr>
        <w:t>.</w:t>
      </w:r>
    </w:p>
    <w:bookmarkEnd w:id="6"/>
    <w:p w14:paraId="3C2A0B02" w14:textId="08A29528"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t>As suggested by Anderson et al. (</w:t>
      </w:r>
      <w:hyperlink w:anchor="ref-anderson2018">
        <w:r w:rsidR="002E6A0D" w:rsidRPr="00AC7317">
          <w:rPr>
            <w:rStyle w:val="Hyperlink"/>
            <w:rFonts w:ascii="Times New Roman" w:hAnsi="Times New Roman" w:cs="Times New Roman"/>
          </w:rPr>
          <w:t>2018</w:t>
        </w:r>
      </w:hyperlink>
      <w:r w:rsidRPr="00AC7317">
        <w:rPr>
          <w:rFonts w:ascii="Times New Roman" w:hAnsi="Times New Roman" w:cs="Times New Roman"/>
        </w:rPr>
        <w:t xml:space="preserve">), welfare change in the conditional scenario is equivalent to </w:t>
      </w:r>
      <w:r w:rsidR="005330D0" w:rsidRPr="00AC7317">
        <w:rPr>
          <w:rFonts w:ascii="Times New Roman" w:hAnsi="Times New Roman" w:cs="Times New Roman"/>
        </w:rPr>
        <w:t xml:space="preserve">a </w:t>
      </w:r>
      <w:r w:rsidRPr="00AC7317">
        <w:rPr>
          <w:rFonts w:ascii="Times New Roman" w:hAnsi="Times New Roman" w:cs="Times New Roman"/>
        </w:rPr>
        <w:t xml:space="preserve">change in </w:t>
      </w:r>
      <w:r w:rsidR="005330D0" w:rsidRPr="00AC7317">
        <w:rPr>
          <w:rFonts w:ascii="Times New Roman" w:hAnsi="Times New Roman" w:cs="Times New Roman"/>
        </w:rPr>
        <w:t xml:space="preserve">the </w:t>
      </w:r>
      <w:r w:rsidRPr="00AC7317">
        <w:rPr>
          <w:rFonts w:ascii="Times New Roman" w:hAnsi="Times New Roman" w:cs="Times New Roman"/>
        </w:rPr>
        <w:t>price index, as calculated below:</w:t>
      </w:r>
    </w:p>
    <w:p w14:paraId="33F5178E" w14:textId="25FC01C3" w:rsidR="002E6A0D" w:rsidRPr="00AC7317" w:rsidRDefault="00000000" w:rsidP="00216BA2">
      <w:pPr>
        <w:pStyle w:val="BodyText"/>
        <w:spacing w:line="48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W</m:t>
                  </m:r>
                </m:e>
              </m:acc>
            </m:e>
            <m:sub>
              <m:r>
                <w:rPr>
                  <w:rFonts w:ascii="Cambria Math" w:hAnsi="Cambria Math" w:cs="Times New Roman"/>
                </w:rPr>
                <m:t>i</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w:rPr>
                          <w:rFonts w:ascii="Cambria Math" w:hAnsi="Cambria Math" w:cs="Times New Roman"/>
                        </w:rPr>
                        <m:t>CFL</m:t>
                      </m:r>
                    </m:sup>
                  </m:sSubSup>
                </m:num>
                <m:den>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up>
                      <m:r>
                        <w:rPr>
                          <w:rFonts w:ascii="Cambria Math" w:hAnsi="Cambria Math" w:cs="Times New Roman"/>
                        </w:rPr>
                        <m:t>CFL</m:t>
                      </m:r>
                    </m:sup>
                  </m:sSubSup>
                </m:den>
              </m:f>
            </m:e>
          </m:d>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w:rPr>
                              <w:rFonts w:ascii="Cambria Math" w:hAnsi="Cambria Math" w:cs="Times New Roman"/>
                            </w:rPr>
                            <m:t>BLN</m:t>
                          </m:r>
                        </m:sup>
                      </m:sSubSup>
                    </m:num>
                    <m:den>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up>
                          <m:r>
                            <w:rPr>
                              <w:rFonts w:ascii="Cambria Math" w:hAnsi="Cambria Math" w:cs="Times New Roman"/>
                            </w:rPr>
                            <m:t>BLN</m:t>
                          </m:r>
                        </m:sup>
                      </m:sSubSup>
                    </m:den>
                  </m:f>
                </m:e>
              </m:d>
            </m:e>
            <m:sup>
              <m:r>
                <m:rPr>
                  <m:sty m:val="p"/>
                </m:rPr>
                <w:rPr>
                  <w:rFonts w:ascii="Cambria Math" w:hAnsi="Cambria Math" w:cs="Times New Roman"/>
                </w:rPr>
                <m:t>-</m:t>
              </m:r>
              <m:r>
                <w:rPr>
                  <w:rFonts w:ascii="Cambria Math" w:hAnsi="Cambria Math" w:cs="Times New Roman"/>
                </w:rPr>
                <m:t>1</m:t>
              </m:r>
            </m:sup>
          </m:sSup>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up>
                  <m:r>
                    <w:rPr>
                      <w:rFonts w:ascii="Cambria Math" w:hAnsi="Cambria Math" w:cs="Times New Roman"/>
                    </w:rPr>
                    <m:t>BLN</m:t>
                  </m:r>
                </m:sup>
              </m:sSubSup>
            </m:num>
            <m:den>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up>
                  <m:r>
                    <w:rPr>
                      <w:rFonts w:ascii="Cambria Math" w:hAnsi="Cambria Math" w:cs="Times New Roman"/>
                    </w:rPr>
                    <m:t>CFL</m:t>
                  </m:r>
                </m:sup>
              </m:sSubSup>
            </m:den>
          </m:f>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(1</m:t>
          </m:r>
          <m:r>
            <m:rPr>
              <m:nor/>
            </m:rPr>
            <w:rPr>
              <w:rFonts w:ascii="Cambria Math" w:hAnsi="Times New Roman" w:cs="Times New Roman"/>
            </w:rPr>
            <m:t>5</m:t>
          </m:r>
          <m:r>
            <m:rPr>
              <m:nor/>
            </m:rPr>
            <w:rPr>
              <w:rFonts w:ascii="Times New Roman" w:hAnsi="Times New Roman" w:cs="Times New Roman"/>
            </w:rPr>
            <m:t>)</m:t>
          </m:r>
        </m:oMath>
      </m:oMathPara>
    </w:p>
    <w:p w14:paraId="5C957588" w14:textId="5265698B" w:rsidR="002E6A0D" w:rsidRPr="00AC7317" w:rsidRDefault="00F96466" w:rsidP="00216BA2">
      <w:pPr>
        <w:pStyle w:val="FirstParagraph"/>
        <w:spacing w:line="480" w:lineRule="auto"/>
        <w:jc w:val="both"/>
        <w:rPr>
          <w:rFonts w:ascii="Times New Roman" w:hAnsi="Times New Roman" w:cs="Times New Roman"/>
        </w:rPr>
      </w:pPr>
      <w:r w:rsidRPr="00AC7317">
        <w:rPr>
          <w:rFonts w:ascii="Times New Roman" w:hAnsi="Times New Roman" w:cs="Times New Roman"/>
        </w:rPr>
        <w:t>where, the output is kept exogenous in the ‘conditional’ scenario, i.e. </w:t>
      </w:r>
      <m:oMath>
        <m:acc>
          <m:accPr>
            <m:chr m:val="̃"/>
            <m:ctrlPr>
              <w:rPr>
                <w:rFonts w:ascii="Cambria Math" w:hAnsi="Cambria Math" w:cs="Times New Roman"/>
              </w:rPr>
            </m:ctrlPr>
          </m:accPr>
          <m:e>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CFL</m:t>
                </m:r>
              </m:sup>
            </m:sSubSup>
          </m:e>
        </m:acc>
        <m:r>
          <m:rPr>
            <m:sty m:val="p"/>
          </m:rPr>
          <w:rPr>
            <w:rFonts w:ascii="Cambria Math" w:hAnsi="Cambria Math" w:cs="Times New Roman"/>
          </w:rPr>
          <m:t>=</m:t>
        </m:r>
        <m:acc>
          <m:accPr>
            <m:chr m:val="̃"/>
            <m:ctrlPr>
              <w:rPr>
                <w:rFonts w:ascii="Cambria Math" w:hAnsi="Cambria Math" w:cs="Times New Roman"/>
              </w:rPr>
            </m:ctrlPr>
          </m:accPr>
          <m:e>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BLN</m:t>
                </m:r>
              </m:sup>
            </m:sSubSup>
          </m:e>
        </m:acc>
      </m:oMath>
      <w:r w:rsidRPr="00AC7317">
        <w:rPr>
          <w:rFonts w:ascii="Times New Roman" w:hAnsi="Times New Roman" w:cs="Times New Roman"/>
        </w:rPr>
        <w:t xml:space="preserve">. </w:t>
      </w:r>
      <m:oMath>
        <m:acc>
          <m:accPr>
            <m:chr m:val="̃"/>
            <m:ctrlPr>
              <w:rPr>
                <w:rFonts w:ascii="Cambria Math" w:hAnsi="Cambria Math" w:cs="Times New Roman"/>
              </w:rPr>
            </m:ctrlPr>
          </m:accPr>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i</m:t>
                </m:r>
              </m:sub>
              <m:sup>
                <m:r>
                  <w:rPr>
                    <w:rFonts w:ascii="Cambria Math" w:hAnsi="Cambria Math" w:cs="Times New Roman"/>
                  </w:rPr>
                  <m:t>BLN</m:t>
                </m:r>
              </m:sup>
            </m:sSubSup>
          </m:e>
        </m:acc>
      </m:oMath>
      <w:r w:rsidRPr="00AC7317">
        <w:rPr>
          <w:rFonts w:ascii="Times New Roman" w:hAnsi="Times New Roman" w:cs="Times New Roman"/>
        </w:rPr>
        <w:t xml:space="preserve"> is estimated using equation (</w:t>
      </w:r>
      <w:r w:rsidR="00777096" w:rsidRPr="00AC7317">
        <w:rPr>
          <w:rFonts w:ascii="Times New Roman" w:hAnsi="Times New Roman" w:cs="Times New Roman"/>
        </w:rPr>
        <w:t>8</w:t>
      </w:r>
      <w:r w:rsidRPr="00AC7317">
        <w:rPr>
          <w:rFonts w:ascii="Times New Roman" w:hAnsi="Times New Roman" w:cs="Times New Roman"/>
        </w:rPr>
        <w:t xml:space="preserve">), while </w:t>
      </w:r>
      <m:oMath>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up>
            <m:r>
              <w:rPr>
                <w:rFonts w:ascii="Cambria Math" w:hAnsi="Cambria Math" w:cs="Times New Roman"/>
              </w:rPr>
              <m:t>CFL</m:t>
            </m:r>
          </m:sup>
        </m:sSubSup>
      </m:oMath>
      <w:r w:rsidRPr="00AC7317">
        <w:rPr>
          <w:rFonts w:ascii="Times New Roman" w:hAnsi="Times New Roman" w:cs="Times New Roman"/>
        </w:rPr>
        <w:t xml:space="preserve"> is estimated analogously using the corresponding counterfactuals. However, </w:t>
      </w:r>
      <w:r w:rsidR="005330D0" w:rsidRPr="00AC7317">
        <w:rPr>
          <w:rFonts w:ascii="Times New Roman" w:hAnsi="Times New Roman" w:cs="Times New Roman"/>
        </w:rPr>
        <w:t>this is only possible</w:t>
      </w:r>
      <w:r w:rsidRPr="00AC7317">
        <w:rPr>
          <w:rFonts w:ascii="Times New Roman" w:hAnsi="Times New Roman" w:cs="Times New Roman"/>
        </w:rPr>
        <w:t xml:space="preserve"> after obtaining the power transformation of the IMRs. We estimate the elasticity of substitution </w:t>
      </w:r>
      <m:oMath>
        <m:d>
          <m:dPr>
            <m:ctrlPr>
              <w:rPr>
                <w:rFonts w:ascii="Cambria Math" w:hAnsi="Cambria Math" w:cs="Times New Roman"/>
              </w:rPr>
            </m:ctrlPr>
          </m:dPr>
          <m:e>
            <m:r>
              <w:rPr>
                <w:rFonts w:ascii="Cambria Math" w:hAnsi="Cambria Math" w:cs="Times New Roman"/>
              </w:rPr>
              <m:t>σ</m:t>
            </m:r>
          </m:e>
        </m:d>
      </m:oMath>
      <w:r w:rsidRPr="00AC7317">
        <w:rPr>
          <w:rFonts w:ascii="Times New Roman" w:hAnsi="Times New Roman" w:cs="Times New Roman"/>
        </w:rPr>
        <w:t xml:space="preserve"> from the tariff elasticity </w:t>
      </w:r>
      <m:oMath>
        <m:d>
          <m:dPr>
            <m:ctrlPr>
              <w:rPr>
                <w:rFonts w:ascii="Cambria Math" w:hAnsi="Cambria Math" w:cs="Times New Roman"/>
              </w:rPr>
            </m:ctrlPr>
          </m:dPr>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γ</m:t>
                    </m:r>
                  </m:e>
                </m:acc>
              </m:e>
              <m:sub>
                <m:r>
                  <w:rPr>
                    <w:rFonts w:ascii="Cambria Math" w:hAnsi="Cambria Math" w:cs="Times New Roman"/>
                  </w:rPr>
                  <m:t>1</m:t>
                </m:r>
              </m:sub>
            </m:sSub>
          </m:e>
        </m:d>
      </m:oMath>
      <w:r w:rsidRPr="00AC7317">
        <w:rPr>
          <w:rFonts w:ascii="Times New Roman" w:hAnsi="Times New Roman" w:cs="Times New Roman"/>
        </w:rPr>
        <w:t xml:space="preserve"> as </w:t>
      </w:r>
      <m:oMath>
        <m:r>
          <w:rPr>
            <w:rFonts w:ascii="Cambria Math" w:hAnsi="Cambria Math" w:cs="Times New Roman"/>
          </w:rPr>
          <m:t>σ</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γ</m:t>
                </m:r>
              </m:e>
            </m:acc>
          </m:e>
          <m:sub>
            <m:r>
              <w:rPr>
                <w:rFonts w:ascii="Cambria Math" w:hAnsi="Cambria Math" w:cs="Times New Roman"/>
              </w:rPr>
              <m:t>1</m:t>
            </m:r>
          </m:sub>
        </m:sSub>
      </m:oMath>
      <w:r w:rsidRPr="00AC7317">
        <w:rPr>
          <w:rFonts w:ascii="Times New Roman" w:hAnsi="Times New Roman" w:cs="Times New Roman"/>
        </w:rPr>
        <w:t>.</w:t>
      </w:r>
    </w:p>
    <w:p w14:paraId="6CCABF2A" w14:textId="77777777"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t>Further, as discussed in Anderson et al. (</w:t>
      </w:r>
      <w:hyperlink w:anchor="ref-anderson2018">
        <w:r w:rsidR="002E6A0D" w:rsidRPr="00AC7317">
          <w:rPr>
            <w:rStyle w:val="Hyperlink"/>
            <w:rFonts w:ascii="Times New Roman" w:hAnsi="Times New Roman" w:cs="Times New Roman"/>
          </w:rPr>
          <w:t>2018</w:t>
        </w:r>
      </w:hyperlink>
      <w:r w:rsidRPr="00AC7317">
        <w:rPr>
          <w:rFonts w:ascii="Times New Roman" w:hAnsi="Times New Roman" w:cs="Times New Roman"/>
        </w:rPr>
        <w:t xml:space="preserve">), this procedure allows the estimation of the changes in producer prices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it</m:t>
            </m:r>
          </m:sub>
        </m:sSub>
      </m:oMath>
      <w:r w:rsidRPr="00AC7317">
        <w:rPr>
          <w:rFonts w:ascii="Times New Roman" w:hAnsi="Times New Roman" w:cs="Times New Roman"/>
        </w:rPr>
        <w:t xml:space="preserve"> between the baseline and counterfactual scenarios. These are derived from the change in outward MRTs implied by the estimates </w:t>
      </w:r>
      <m:oMath>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γ</m:t>
                </m:r>
              </m:e>
            </m:acc>
          </m:e>
          <m:sub>
            <m:r>
              <w:rPr>
                <w:rFonts w:ascii="Cambria Math" w:hAnsi="Cambria Math" w:cs="Times New Roman"/>
              </w:rPr>
              <m:t>i</m:t>
            </m:r>
          </m:sub>
          <m:sup>
            <m:r>
              <w:rPr>
                <w:rFonts w:ascii="Cambria Math" w:hAnsi="Cambria Math" w:cs="Times New Roman"/>
              </w:rPr>
              <m:t>CFL</m:t>
            </m:r>
          </m:sup>
        </m:sSubSup>
      </m:oMath>
      <w:r w:rsidRPr="00AC7317">
        <w:rPr>
          <w:rFonts w:ascii="Times New Roman" w:hAnsi="Times New Roman" w:cs="Times New Roman"/>
        </w:rPr>
        <w:t xml:space="preserve"> and </w:t>
      </w:r>
      <m:oMath>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γ</m:t>
                </m:r>
              </m:e>
            </m:acc>
          </m:e>
          <m:sub>
            <m:r>
              <w:rPr>
                <w:rFonts w:ascii="Cambria Math" w:hAnsi="Cambria Math" w:cs="Times New Roman"/>
              </w:rPr>
              <m:t>i</m:t>
            </m:r>
          </m:sub>
          <m:sup>
            <m:r>
              <w:rPr>
                <w:rFonts w:ascii="Cambria Math" w:hAnsi="Cambria Math" w:cs="Times New Roman"/>
              </w:rPr>
              <m:t>BLN</m:t>
            </m:r>
          </m:sup>
        </m:sSubSup>
      </m:oMath>
      <w:r w:rsidRPr="00AC7317">
        <w:rPr>
          <w:rFonts w:ascii="Times New Roman" w:hAnsi="Times New Roman" w:cs="Times New Roman"/>
        </w:rPr>
        <w:t>. Within the structural gravity framework, these price changes and terms of trade can be calculated as:</w:t>
      </w:r>
    </w:p>
    <w:p w14:paraId="3914A984" w14:textId="178EDC7B" w:rsidR="002E6A0D" w:rsidRPr="00AC7317" w:rsidRDefault="00000000" w:rsidP="00216BA2">
      <w:pPr>
        <w:pStyle w:val="BodyText"/>
        <w:spacing w:line="48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up>
                  <m:d>
                    <m:dPr>
                      <m:begChr m:val="["/>
                      <m:endChr m:val="]"/>
                      <m:ctrlPr>
                        <w:rPr>
                          <w:rFonts w:ascii="Cambria Math" w:hAnsi="Cambria Math" w:cs="Times New Roman"/>
                        </w:rPr>
                      </m:ctrlPr>
                    </m:dPr>
                    <m:e>
                      <m:r>
                        <w:rPr>
                          <w:rFonts w:ascii="Cambria Math" w:hAnsi="Cambria Math" w:cs="Times New Roman"/>
                        </w:rPr>
                        <m:t>CFL</m:t>
                      </m:r>
                    </m:e>
                  </m:d>
                </m:sup>
              </m:sSubSup>
            </m:num>
            <m:den>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up>
                  <m:d>
                    <m:dPr>
                      <m:begChr m:val="["/>
                      <m:endChr m:val="]"/>
                      <m:ctrlPr>
                        <w:rPr>
                          <w:rFonts w:ascii="Cambria Math" w:hAnsi="Cambria Math" w:cs="Times New Roman"/>
                        </w:rPr>
                      </m:ctrlPr>
                    </m:dPr>
                    <m:e>
                      <m:r>
                        <w:rPr>
                          <w:rFonts w:ascii="Cambria Math" w:hAnsi="Cambria Math" w:cs="Times New Roman"/>
                        </w:rPr>
                        <m:t>BLN</m:t>
                      </m:r>
                    </m:e>
                  </m:d>
                </m:sup>
              </m:sSubSup>
            </m:den>
          </m:f>
          <m:r>
            <m:rPr>
              <m:sty m:val="p"/>
            </m:rPr>
            <w:rPr>
              <w:rFonts w:ascii="Cambria Math" w:hAnsi="Cambria Math" w:cs="Times New Roman"/>
            </w:rPr>
            <m:t>=</m:t>
          </m:r>
          <m:sSup>
            <m:sSupPr>
              <m:ctrlPr>
                <w:rPr>
                  <w:rFonts w:ascii="Cambria Math" w:hAnsi="Cambria Math" w:cs="Times New Roman"/>
                </w:rPr>
              </m:ctrlPr>
            </m:sSupPr>
            <m:e>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exp</m:t>
                      </m:r>
                      <m:d>
                        <m:dPr>
                          <m:ctrlPr>
                            <w:rPr>
                              <w:rFonts w:ascii="Cambria Math" w:hAnsi="Cambria Math" w:cs="Times New Roman"/>
                            </w:rPr>
                          </m:ctrlPr>
                        </m:dPr>
                        <m:e>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γ</m:t>
                                  </m:r>
                                </m:e>
                              </m:acc>
                            </m:e>
                            <m:sub>
                              <m:r>
                                <w:rPr>
                                  <w:rFonts w:ascii="Cambria Math" w:hAnsi="Cambria Math" w:cs="Times New Roman"/>
                                </w:rPr>
                                <m:t>i</m:t>
                              </m:r>
                            </m:sub>
                            <m:sup>
                              <m:r>
                                <w:rPr>
                                  <w:rFonts w:ascii="Cambria Math" w:hAnsi="Cambria Math" w:cs="Times New Roman"/>
                                </w:rPr>
                                <m:t>CFL</m:t>
                              </m:r>
                            </m:sup>
                          </m:sSubSup>
                        </m:e>
                      </m:d>
                    </m:num>
                    <m:den>
                      <m:r>
                        <m:rPr>
                          <m:sty m:val="p"/>
                        </m:rPr>
                        <w:rPr>
                          <w:rFonts w:ascii="Cambria Math" w:hAnsi="Cambria Math" w:cs="Times New Roman"/>
                        </w:rPr>
                        <m:t>exp</m:t>
                      </m:r>
                      <m:d>
                        <m:dPr>
                          <m:ctrlPr>
                            <w:rPr>
                              <w:rFonts w:ascii="Cambria Math" w:hAnsi="Cambria Math" w:cs="Times New Roman"/>
                            </w:rPr>
                          </m:ctrlPr>
                        </m:dPr>
                        <m:e>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γ</m:t>
                                  </m:r>
                                </m:e>
                              </m:acc>
                            </m:e>
                            <m:sub>
                              <m:r>
                                <w:rPr>
                                  <w:rFonts w:ascii="Cambria Math" w:hAnsi="Cambria Math" w:cs="Times New Roman"/>
                                </w:rPr>
                                <m:t>i</m:t>
                              </m:r>
                            </m:sub>
                            <m:sup>
                              <m:r>
                                <w:rPr>
                                  <w:rFonts w:ascii="Cambria Math" w:hAnsi="Cambria Math" w:cs="Times New Roman"/>
                                </w:rPr>
                                <m:t>BLN</m:t>
                              </m:r>
                            </m:sup>
                          </m:sSubSup>
                        </m:e>
                      </m:d>
                    </m:den>
                  </m:f>
                </m:e>
              </m:d>
            </m:e>
            <m:sup>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m:t>
                  </m:r>
                  <m:r>
                    <w:rPr>
                      <w:rFonts w:ascii="Cambria Math" w:hAnsi="Cambria Math" w:cs="Times New Roman"/>
                    </w:rPr>
                    <m:t>σ</m:t>
                  </m:r>
                </m:den>
              </m:f>
            </m:sup>
          </m:sSup>
          <m:r>
            <w:rPr>
              <w:rFonts w:ascii="Cambria Math" w:hAnsi="Cambria Math" w:cs="Times New Roman"/>
            </w:rPr>
            <m:t> </m:t>
          </m:r>
          <m:r>
            <m:rPr>
              <m:nor/>
            </m:rPr>
            <w:rPr>
              <w:rFonts w:ascii="Times New Roman" w:hAnsi="Times New Roman" w:cs="Times New Roman"/>
            </w:rPr>
            <m:t>(1</m:t>
          </m:r>
          <m:r>
            <m:rPr>
              <m:nor/>
            </m:rPr>
            <w:rPr>
              <w:rFonts w:ascii="Cambria Math" w:hAnsi="Times New Roman" w:cs="Times New Roman"/>
            </w:rPr>
            <m:t>6</m:t>
          </m:r>
          <m:r>
            <m:rPr>
              <m:nor/>
            </m:rPr>
            <w:rPr>
              <w:rFonts w:ascii="Times New Roman" w:hAnsi="Times New Roman" w:cs="Times New Roman"/>
            </w:rPr>
            <m:t>)</m:t>
          </m:r>
        </m:oMath>
      </m:oMathPara>
    </w:p>
    <w:p w14:paraId="68B7FF26" w14:textId="5EAD0C22" w:rsidR="002E6A0D" w:rsidRPr="00AC7317" w:rsidRDefault="00000000" w:rsidP="00216BA2">
      <w:pPr>
        <w:pStyle w:val="FirstParagraph"/>
        <w:spacing w:line="480" w:lineRule="auto"/>
        <w:jc w:val="both"/>
        <w:rPr>
          <w:rFonts w:ascii="Times New Roman" w:eastAsiaTheme="minorEastAsia" w:hAnsi="Times New Roman" w:cs="Times New Roman"/>
        </w:rPr>
      </w:pPr>
      <m:oMathPara>
        <m:oMathParaPr>
          <m:jc m:val="center"/>
        </m:oMathParaPr>
        <m:oMath>
          <m:acc>
            <m:accPr>
              <m:ctrlPr>
                <w:rPr>
                  <w:rFonts w:ascii="Cambria Math" w:hAnsi="Cambria Math" w:cs="Times New Roman"/>
                </w:rPr>
              </m:ctrlPr>
            </m:accPr>
            <m:e>
              <m:r>
                <w:rPr>
                  <w:rFonts w:ascii="Cambria Math" w:hAnsi="Cambria Math" w:cs="Times New Roman"/>
                </w:rPr>
                <m:t>TO</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e>
          </m:acc>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Sub>
            </m:num>
            <m:den>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Sub>
            </m:den>
          </m:f>
          <m:r>
            <w:rPr>
              <w:rFonts w:ascii="Cambria Math" w:hAnsi="Cambria Math" w:cs="Times New Roman"/>
            </w:rPr>
            <m:t> </m:t>
          </m:r>
          <m:r>
            <m:rPr>
              <m:nor/>
            </m:rPr>
            <w:rPr>
              <w:rFonts w:ascii="Times New Roman" w:hAnsi="Times New Roman" w:cs="Times New Roman"/>
            </w:rPr>
            <m:t>(1</m:t>
          </m:r>
          <m:r>
            <m:rPr>
              <m:nor/>
            </m:rPr>
            <w:rPr>
              <w:rFonts w:ascii="Cambria Math" w:hAnsi="Times New Roman" w:cs="Times New Roman"/>
            </w:rPr>
            <m:t>7</m:t>
          </m:r>
          <m:r>
            <m:rPr>
              <m:nor/>
            </m:rPr>
            <w:rPr>
              <w:rFonts w:ascii="Times New Roman" w:hAnsi="Times New Roman" w:cs="Times New Roman"/>
            </w:rPr>
            <m:t>)</m:t>
          </m:r>
        </m:oMath>
      </m:oMathPara>
    </w:p>
    <w:p w14:paraId="62DB3C8E" w14:textId="77777777" w:rsidR="00FE507B" w:rsidRPr="00AC7317" w:rsidRDefault="00FE507B" w:rsidP="000C07EA">
      <w:pPr>
        <w:pStyle w:val="Heading1"/>
        <w:rPr>
          <w:rFonts w:ascii="Times New Roman" w:hAnsi="Times New Roman" w:cs="Times New Roman"/>
          <w:sz w:val="24"/>
          <w:szCs w:val="24"/>
        </w:rPr>
      </w:pPr>
      <w:r w:rsidRPr="00AC7317">
        <w:rPr>
          <w:rFonts w:ascii="Times New Roman" w:hAnsi="Times New Roman" w:cs="Times New Roman"/>
          <w:sz w:val="24"/>
          <w:szCs w:val="24"/>
        </w:rPr>
        <w:t>4. Data</w:t>
      </w:r>
    </w:p>
    <w:p w14:paraId="0FAEFAB1" w14:textId="15155DB9" w:rsidR="00FE507B" w:rsidRPr="00AC7317" w:rsidRDefault="00FE507B" w:rsidP="00FE507B">
      <w:pPr>
        <w:pStyle w:val="FirstParagraph"/>
        <w:spacing w:line="480" w:lineRule="auto"/>
        <w:jc w:val="both"/>
        <w:rPr>
          <w:rFonts w:ascii="Times New Roman" w:hAnsi="Times New Roman" w:cs="Times New Roman"/>
        </w:rPr>
      </w:pPr>
      <w:r w:rsidRPr="00AC7317">
        <w:rPr>
          <w:rFonts w:ascii="Times New Roman" w:hAnsi="Times New Roman" w:cs="Times New Roman"/>
        </w:rPr>
        <w:t xml:space="preserve">To conduct empirical analyses, we construct a panel dataset </w:t>
      </w:r>
      <w:r w:rsidR="005330D0" w:rsidRPr="00AC7317">
        <w:rPr>
          <w:rFonts w:ascii="Times New Roman" w:hAnsi="Times New Roman" w:cs="Times New Roman"/>
        </w:rPr>
        <w:t>comprising</w:t>
      </w:r>
      <w:r w:rsidRPr="00AC7317">
        <w:rPr>
          <w:rFonts w:ascii="Times New Roman" w:hAnsi="Times New Roman" w:cs="Times New Roman"/>
        </w:rPr>
        <w:t xml:space="preserve"> 90 countries (see </w:t>
      </w:r>
      <w:hyperlink w:anchor="app1">
        <w:r w:rsidR="00E223F6" w:rsidRPr="00AC7317">
          <w:rPr>
            <w:rStyle w:val="Hyperlink"/>
            <w:rFonts w:ascii="Times New Roman" w:hAnsi="Times New Roman" w:cs="Times New Roman"/>
          </w:rPr>
          <w:t>a</w:t>
        </w:r>
        <w:r w:rsidRPr="00AC7317">
          <w:rPr>
            <w:rStyle w:val="Hyperlink"/>
            <w:rFonts w:ascii="Times New Roman" w:hAnsi="Times New Roman" w:cs="Times New Roman"/>
          </w:rPr>
          <w:t>ppendix A1</w:t>
        </w:r>
      </w:hyperlink>
      <w:r w:rsidRPr="00AC7317">
        <w:rPr>
          <w:rFonts w:ascii="Times New Roman" w:hAnsi="Times New Roman" w:cs="Times New Roman"/>
        </w:rPr>
        <w:t xml:space="preserve">) covering </w:t>
      </w:r>
      <w:r w:rsidR="005330D0" w:rsidRPr="00AC7317">
        <w:rPr>
          <w:rFonts w:ascii="Times New Roman" w:hAnsi="Times New Roman" w:cs="Times New Roman"/>
        </w:rPr>
        <w:t xml:space="preserve">the period </w:t>
      </w:r>
      <w:r w:rsidRPr="00AC7317">
        <w:rPr>
          <w:rFonts w:ascii="Times New Roman" w:hAnsi="Times New Roman" w:cs="Times New Roman"/>
        </w:rPr>
        <w:t>2007</w:t>
      </w:r>
      <w:r w:rsidR="005330D0" w:rsidRPr="00AC7317">
        <w:rPr>
          <w:rFonts w:ascii="Times New Roman" w:hAnsi="Times New Roman" w:cs="Times New Roman"/>
        </w:rPr>
        <w:t xml:space="preserve"> to </w:t>
      </w:r>
      <w:r w:rsidRPr="00AC7317">
        <w:rPr>
          <w:rFonts w:ascii="Times New Roman" w:hAnsi="Times New Roman" w:cs="Times New Roman"/>
        </w:rPr>
        <w:t xml:space="preserve">2022. We </w:t>
      </w:r>
      <w:r w:rsidR="005330D0" w:rsidRPr="00AC7317">
        <w:rPr>
          <w:rFonts w:ascii="Times New Roman" w:hAnsi="Times New Roman" w:cs="Times New Roman"/>
        </w:rPr>
        <w:t>chose this period because data on effective applied tariffs are available only from</w:t>
      </w:r>
      <w:r w:rsidRPr="00AC7317">
        <w:rPr>
          <w:rFonts w:ascii="Times New Roman" w:hAnsi="Times New Roman" w:cs="Times New Roman"/>
        </w:rPr>
        <w:t xml:space="preserve"> 2007 onward, and the bilateral and domestic sales data needed to construct intranational trade flows are available through 2022. Our data covers four key components: (</w:t>
      </w:r>
      <w:proofErr w:type="spellStart"/>
      <w:r w:rsidRPr="00AC7317">
        <w:rPr>
          <w:rFonts w:ascii="Times New Roman" w:hAnsi="Times New Roman" w:cs="Times New Roman"/>
        </w:rPr>
        <w:t>i</w:t>
      </w:r>
      <w:proofErr w:type="spellEnd"/>
      <w:r w:rsidRPr="00AC7317">
        <w:rPr>
          <w:rFonts w:ascii="Times New Roman" w:hAnsi="Times New Roman" w:cs="Times New Roman"/>
        </w:rPr>
        <w:t>) international trade flows, (ii) intra-national trade flows, (iii) effectively applied tariffs, and (iv) standard gravity variables.</w:t>
      </w:r>
    </w:p>
    <w:p w14:paraId="46D40961" w14:textId="77777777" w:rsidR="00FE507B" w:rsidRPr="00AC7317" w:rsidRDefault="00FE507B" w:rsidP="00FE507B">
      <w:pPr>
        <w:pStyle w:val="BodyText"/>
        <w:spacing w:line="480" w:lineRule="auto"/>
        <w:jc w:val="both"/>
        <w:rPr>
          <w:rFonts w:ascii="Times New Roman" w:hAnsi="Times New Roman" w:cs="Times New Roman"/>
        </w:rPr>
      </w:pPr>
      <w:r w:rsidRPr="00AC7317">
        <w:rPr>
          <w:rFonts w:ascii="Times New Roman" w:hAnsi="Times New Roman" w:cs="Times New Roman"/>
          <w:i/>
          <w:iCs/>
        </w:rPr>
        <w:lastRenderedPageBreak/>
        <w:t>International trade flows</w:t>
      </w:r>
      <w:r w:rsidRPr="00AC7317">
        <w:rPr>
          <w:rFonts w:ascii="Times New Roman" w:hAnsi="Times New Roman" w:cs="Times New Roman"/>
        </w:rPr>
        <w:t>. We compiled a dataset on bilateral trade flows for soy products using the CEPII-BACI database, which is recognized for its detailed and reliable dataset. The BACI database offers several key advantages: (</w:t>
      </w:r>
      <w:proofErr w:type="spellStart"/>
      <w:r w:rsidRPr="00AC7317">
        <w:rPr>
          <w:rFonts w:ascii="Times New Roman" w:hAnsi="Times New Roman" w:cs="Times New Roman"/>
        </w:rPr>
        <w:t>i</w:t>
      </w:r>
      <w:proofErr w:type="spellEnd"/>
      <w:r w:rsidRPr="00AC7317">
        <w:rPr>
          <w:rFonts w:ascii="Times New Roman" w:hAnsi="Times New Roman" w:cs="Times New Roman"/>
        </w:rPr>
        <w:t>) it provides data at the product level, categorized using Harmonized System (HS) codes, and (ii) it is more reliable than raw data from Comtrade as it reconciles mirror figures to address discrepancies and improve accuracy (</w:t>
      </w:r>
      <w:proofErr w:type="spellStart"/>
      <w:r w:rsidRPr="00AC7317">
        <w:fldChar w:fldCharType="begin"/>
      </w:r>
      <w:r w:rsidRPr="00AC7317">
        <w:instrText>HYPERLINK \l "ref-gaulier2010" \h</w:instrText>
      </w:r>
      <w:r w:rsidRPr="00AC7317">
        <w:fldChar w:fldCharType="separate"/>
      </w:r>
      <w:r w:rsidRPr="00AC7317">
        <w:rPr>
          <w:rStyle w:val="Hyperlink"/>
          <w:rFonts w:ascii="Times New Roman" w:hAnsi="Times New Roman" w:cs="Times New Roman"/>
        </w:rPr>
        <w:t>Gaulier</w:t>
      </w:r>
      <w:proofErr w:type="spellEnd"/>
      <w:r w:rsidRPr="00AC7317">
        <w:rPr>
          <w:rStyle w:val="Hyperlink"/>
          <w:rFonts w:ascii="Times New Roman" w:hAnsi="Times New Roman" w:cs="Times New Roman"/>
        </w:rPr>
        <w:t xml:space="preserve"> and </w:t>
      </w:r>
      <w:proofErr w:type="spellStart"/>
      <w:r w:rsidRPr="00AC7317">
        <w:rPr>
          <w:rStyle w:val="Hyperlink"/>
          <w:rFonts w:ascii="Times New Roman" w:hAnsi="Times New Roman" w:cs="Times New Roman"/>
        </w:rPr>
        <w:t>Zignago</w:t>
      </w:r>
      <w:proofErr w:type="spellEnd"/>
      <w:r w:rsidRPr="00AC7317">
        <w:rPr>
          <w:rStyle w:val="Hyperlink"/>
          <w:rFonts w:ascii="Times New Roman" w:hAnsi="Times New Roman" w:cs="Times New Roman"/>
        </w:rPr>
        <w:t xml:space="preserve"> 2010</w:t>
      </w:r>
      <w:r w:rsidRPr="00AC7317">
        <w:fldChar w:fldCharType="end"/>
      </w:r>
      <w:r w:rsidRPr="00AC7317">
        <w:rPr>
          <w:rFonts w:ascii="Times New Roman" w:hAnsi="Times New Roman" w:cs="Times New Roman"/>
        </w:rPr>
        <w:t>). For soybeans, the data is constructed using HS code 1200100 for the period before 2012, and HS codes 120110 and 120190 for the period from 2012 onward. Similarly, the trade flows for soybean oil are based on HS codes 150710 and 150790, while those for soybean cake are based on HS code 230400.</w:t>
      </w:r>
    </w:p>
    <w:p w14:paraId="4F78A71A" w14:textId="77777777" w:rsidR="00FE507B" w:rsidRPr="00AC7317" w:rsidRDefault="00FE507B" w:rsidP="00FE507B">
      <w:pPr>
        <w:pStyle w:val="BodyText"/>
        <w:spacing w:line="480" w:lineRule="auto"/>
        <w:jc w:val="both"/>
        <w:rPr>
          <w:rFonts w:ascii="Times New Roman" w:hAnsi="Times New Roman" w:cs="Times New Roman"/>
        </w:rPr>
      </w:pPr>
      <w:r w:rsidRPr="00AC7317">
        <w:rPr>
          <w:rFonts w:ascii="Times New Roman" w:hAnsi="Times New Roman" w:cs="Times New Roman"/>
          <w:i/>
          <w:iCs/>
        </w:rPr>
        <w:t>Intra-national trade flows</w:t>
      </w:r>
      <w:r w:rsidRPr="00AC7317">
        <w:rPr>
          <w:rFonts w:ascii="Times New Roman" w:hAnsi="Times New Roman" w:cs="Times New Roman"/>
        </w:rPr>
        <w:t>. Following Villoria (</w:t>
      </w:r>
      <w:hyperlink w:anchor="ref-villoria2025trade">
        <w:r w:rsidRPr="00AC7317">
          <w:rPr>
            <w:rStyle w:val="Hyperlink"/>
            <w:rFonts w:ascii="Times New Roman" w:hAnsi="Times New Roman" w:cs="Times New Roman"/>
          </w:rPr>
          <w:t>2025</w:t>
        </w:r>
      </w:hyperlink>
      <w:r w:rsidRPr="00AC7317">
        <w:rPr>
          <w:rFonts w:ascii="Times New Roman" w:hAnsi="Times New Roman" w:cs="Times New Roman"/>
        </w:rPr>
        <w:t>), we estimate intranational trade quantity as production minus exports plus stock variation, using the FAOSTAT Food Balance Sheets database (</w:t>
      </w:r>
      <w:hyperlink w:anchor="ref-faostat2024">
        <w:r w:rsidRPr="00AC7317">
          <w:rPr>
            <w:rStyle w:val="Hyperlink"/>
            <w:rFonts w:ascii="Times New Roman" w:hAnsi="Times New Roman" w:cs="Times New Roman"/>
          </w:rPr>
          <w:t>FAOSTAT 2024</w:t>
        </w:r>
      </w:hyperlink>
      <w:r w:rsidRPr="00AC7317">
        <w:rPr>
          <w:rFonts w:ascii="Times New Roman" w:hAnsi="Times New Roman" w:cs="Times New Roman"/>
        </w:rPr>
        <w:t>). We convert intranational trade quantities to values using prices from the World Bank’s Pink Sheet (</w:t>
      </w:r>
      <w:hyperlink w:anchor="ref-worldbank_pink">
        <w:r w:rsidRPr="00AC7317">
          <w:rPr>
            <w:rStyle w:val="Hyperlink"/>
            <w:rFonts w:ascii="Times New Roman" w:hAnsi="Times New Roman" w:cs="Times New Roman"/>
          </w:rPr>
          <w:t>World Bank 2025</w:t>
        </w:r>
      </w:hyperlink>
      <w:r w:rsidRPr="00AC7317">
        <w:rPr>
          <w:rFonts w:ascii="Times New Roman" w:hAnsi="Times New Roman" w:cs="Times New Roman"/>
        </w:rPr>
        <w:t>). Because the International Trade and Production Database for Estimation (ITPDE) (</w:t>
      </w:r>
      <w:hyperlink w:anchor="ref-larch2025">
        <w:r w:rsidRPr="00AC7317">
          <w:rPr>
            <w:rStyle w:val="Hyperlink"/>
            <w:rFonts w:ascii="Times New Roman" w:hAnsi="Times New Roman" w:cs="Times New Roman"/>
          </w:rPr>
          <w:t xml:space="preserve">Larch, </w:t>
        </w:r>
        <w:proofErr w:type="spellStart"/>
        <w:r w:rsidRPr="00AC7317">
          <w:rPr>
            <w:rStyle w:val="Hyperlink"/>
            <w:rFonts w:ascii="Times New Roman" w:hAnsi="Times New Roman" w:cs="Times New Roman"/>
          </w:rPr>
          <w:t>Shikher</w:t>
        </w:r>
        <w:proofErr w:type="spellEnd"/>
        <w:r w:rsidRPr="00AC7317">
          <w:rPr>
            <w:rStyle w:val="Hyperlink"/>
            <w:rFonts w:ascii="Times New Roman" w:hAnsi="Times New Roman" w:cs="Times New Roman"/>
          </w:rPr>
          <w:t xml:space="preserve"> and Yotov 2025</w:t>
        </w:r>
      </w:hyperlink>
      <w:r w:rsidRPr="00AC7317">
        <w:rPr>
          <w:rFonts w:ascii="Times New Roman" w:hAnsi="Times New Roman" w:cs="Times New Roman"/>
        </w:rPr>
        <w:t>) includes only soybean intranational trade flows, our soybean intranational trade values correlate with ITPDE’s at 0.95.</w:t>
      </w:r>
    </w:p>
    <w:p w14:paraId="62AF7A9E" w14:textId="77777777" w:rsidR="00FE507B" w:rsidRPr="00AC7317" w:rsidRDefault="00FE507B" w:rsidP="00FE507B">
      <w:pPr>
        <w:pStyle w:val="BodyText"/>
        <w:spacing w:line="480" w:lineRule="auto"/>
        <w:jc w:val="both"/>
        <w:rPr>
          <w:rFonts w:ascii="Times New Roman" w:hAnsi="Times New Roman" w:cs="Times New Roman"/>
        </w:rPr>
      </w:pPr>
      <w:r w:rsidRPr="00AC7317">
        <w:rPr>
          <w:rFonts w:ascii="Times New Roman" w:hAnsi="Times New Roman" w:cs="Times New Roman"/>
          <w:i/>
          <w:iCs/>
        </w:rPr>
        <w:t>Effectively applied tariffs</w:t>
      </w:r>
      <w:r w:rsidRPr="00AC7317">
        <w:rPr>
          <w:rFonts w:ascii="Times New Roman" w:hAnsi="Times New Roman" w:cs="Times New Roman"/>
        </w:rPr>
        <w:t xml:space="preserve">. We use bilateral, effectively applied tariff rates obtained from the ITC </w:t>
      </w:r>
      <w:proofErr w:type="spellStart"/>
      <w:r w:rsidRPr="00AC7317">
        <w:rPr>
          <w:rFonts w:ascii="Times New Roman" w:hAnsi="Times New Roman" w:cs="Times New Roman"/>
        </w:rPr>
        <w:t>MacMap</w:t>
      </w:r>
      <w:proofErr w:type="spellEnd"/>
      <w:r w:rsidRPr="00AC7317">
        <w:rPr>
          <w:rFonts w:ascii="Times New Roman" w:hAnsi="Times New Roman" w:cs="Times New Roman"/>
        </w:rPr>
        <w:t xml:space="preserve"> database, which ensures accurate representation of tariff rates applied to a particular import during the study period (</w:t>
      </w:r>
      <w:hyperlink w:anchor="ref-itc2024">
        <w:r w:rsidRPr="00AC7317">
          <w:rPr>
            <w:rStyle w:val="Hyperlink"/>
            <w:rFonts w:ascii="Times New Roman" w:hAnsi="Times New Roman" w:cs="Times New Roman"/>
          </w:rPr>
          <w:t>International Trade Centre 2024</w:t>
        </w:r>
      </w:hyperlink>
      <w:r w:rsidRPr="00AC7317">
        <w:rPr>
          <w:rFonts w:ascii="Times New Roman" w:hAnsi="Times New Roman" w:cs="Times New Roman"/>
        </w:rPr>
        <w:t>). If a preferential tariff exists, it is used as the effectively applied tariff, otherwise the most favored nation (MFN) applied tariff is used.</w:t>
      </w:r>
    </w:p>
    <w:p w14:paraId="00FFE801" w14:textId="7303A844" w:rsidR="00FE507B" w:rsidRPr="00AC7317" w:rsidRDefault="00FE507B" w:rsidP="00FE507B">
      <w:pPr>
        <w:pStyle w:val="BodyText"/>
        <w:spacing w:line="480" w:lineRule="auto"/>
        <w:jc w:val="both"/>
        <w:rPr>
          <w:rFonts w:ascii="Times New Roman" w:hAnsi="Times New Roman" w:cs="Times New Roman"/>
        </w:rPr>
      </w:pPr>
      <w:r w:rsidRPr="00AC7317">
        <w:rPr>
          <w:rFonts w:ascii="Times New Roman" w:hAnsi="Times New Roman" w:cs="Times New Roman"/>
          <w:i/>
          <w:iCs/>
        </w:rPr>
        <w:t>Standard gravity variables</w:t>
      </w:r>
      <w:r w:rsidRPr="00AC7317">
        <w:rPr>
          <w:rFonts w:ascii="Times New Roman" w:hAnsi="Times New Roman" w:cs="Times New Roman"/>
        </w:rPr>
        <w:t>. In addition to trade and tariff data, we include variables capturing geographic and historical relationships between trading partners. These variables</w:t>
      </w:r>
      <w:r w:rsidR="001F0007" w:rsidRPr="00AC7317">
        <w:rPr>
          <w:rFonts w:ascii="Times New Roman" w:hAnsi="Times New Roman" w:cs="Times New Roman"/>
        </w:rPr>
        <w:t xml:space="preserve">, </w:t>
      </w:r>
      <w:r w:rsidRPr="00AC7317">
        <w:rPr>
          <w:rFonts w:ascii="Times New Roman" w:hAnsi="Times New Roman" w:cs="Times New Roman"/>
        </w:rPr>
        <w:t xml:space="preserve">such as </w:t>
      </w:r>
      <w:r w:rsidRPr="00AC7317">
        <w:rPr>
          <w:rFonts w:ascii="Times New Roman" w:hAnsi="Times New Roman" w:cs="Times New Roman"/>
        </w:rPr>
        <w:lastRenderedPageBreak/>
        <w:t>distance, shared language, contiguity, and colonial ties</w:t>
      </w:r>
      <w:r w:rsidR="001F0007" w:rsidRPr="00AC7317">
        <w:rPr>
          <w:rFonts w:ascii="Times New Roman" w:hAnsi="Times New Roman" w:cs="Times New Roman"/>
        </w:rPr>
        <w:t xml:space="preserve">, </w:t>
      </w:r>
      <w:r w:rsidRPr="00AC7317">
        <w:rPr>
          <w:rFonts w:ascii="Times New Roman" w:hAnsi="Times New Roman" w:cs="Times New Roman"/>
        </w:rPr>
        <w:t>are sourced from CEPII’s gravity database, which is a standard reference for gravity model analyses in international trade (</w:t>
      </w:r>
      <w:hyperlink w:anchor="ref-conte2023">
        <w:r w:rsidRPr="00AC7317">
          <w:rPr>
            <w:rStyle w:val="Hyperlink"/>
            <w:rFonts w:ascii="Times New Roman" w:hAnsi="Times New Roman" w:cs="Times New Roman"/>
          </w:rPr>
          <w:t xml:space="preserve">Conte, </w:t>
        </w:r>
        <w:proofErr w:type="spellStart"/>
        <w:r w:rsidRPr="00AC7317">
          <w:rPr>
            <w:rStyle w:val="Hyperlink"/>
            <w:rFonts w:ascii="Times New Roman" w:hAnsi="Times New Roman" w:cs="Times New Roman"/>
          </w:rPr>
          <w:t>Cotterlaz</w:t>
        </w:r>
        <w:proofErr w:type="spellEnd"/>
        <w:r w:rsidRPr="00AC7317">
          <w:rPr>
            <w:rStyle w:val="Hyperlink"/>
            <w:rFonts w:ascii="Times New Roman" w:hAnsi="Times New Roman" w:cs="Times New Roman"/>
          </w:rPr>
          <w:t xml:space="preserve"> and Mayer 2023</w:t>
        </w:r>
      </w:hyperlink>
      <w:r w:rsidRPr="00AC7317">
        <w:rPr>
          <w:rFonts w:ascii="Times New Roman" w:hAnsi="Times New Roman" w:cs="Times New Roman"/>
        </w:rPr>
        <w:t>).</w:t>
      </w:r>
    </w:p>
    <w:p w14:paraId="7474115A" w14:textId="77777777" w:rsidR="00FE507B" w:rsidRPr="00AC7317" w:rsidRDefault="00FE507B" w:rsidP="00FE507B">
      <w:pPr>
        <w:pStyle w:val="BodyText"/>
        <w:spacing w:line="480" w:lineRule="auto"/>
        <w:jc w:val="both"/>
        <w:rPr>
          <w:rFonts w:ascii="Times New Roman" w:hAnsi="Times New Roman" w:cs="Times New Roman"/>
        </w:rPr>
      </w:pPr>
      <w:hyperlink w:anchor="tbl-summary">
        <w:r w:rsidRPr="00AC7317">
          <w:rPr>
            <w:rStyle w:val="Hyperlink"/>
            <w:rFonts w:ascii="Times New Roman" w:hAnsi="Times New Roman" w:cs="Times New Roman"/>
          </w:rPr>
          <w:t>Table 1</w:t>
        </w:r>
      </w:hyperlink>
      <w:r w:rsidRPr="00AC7317">
        <w:rPr>
          <w:rFonts w:ascii="Times New Roman" w:hAnsi="Times New Roman" w:cs="Times New Roman"/>
        </w:rPr>
        <w:t xml:space="preserve"> presents summary statistics for our dataset, which covers 90 countries as both exporters and importers, resulting in 129600 observations. In our sample, average tariff rates are approximately 10.6% for soybeans, 8.8% for soybean oil, and 4.2% for soybean cake. </w:t>
      </w:r>
      <w:hyperlink w:anchor="fig-tariff1">
        <w:r w:rsidRPr="00AC7317">
          <w:rPr>
            <w:rStyle w:val="Hyperlink"/>
            <w:rFonts w:ascii="Times New Roman" w:hAnsi="Times New Roman" w:cs="Times New Roman"/>
          </w:rPr>
          <w:t>Figure 2</w:t>
        </w:r>
      </w:hyperlink>
      <w:r w:rsidRPr="00AC7317">
        <w:rPr>
          <w:rFonts w:ascii="Times New Roman" w:hAnsi="Times New Roman" w:cs="Times New Roman"/>
        </w:rPr>
        <w:t xml:space="preserve"> displays the average tariffs imposed by EU countries on major exporters from 2007 to 2022. Notably, EU tariffs on soybean and soybean cake imports from Brazil, Argentina, Paraguay, and the USA are zero, and tariffs on soybean oil are also very low. Additionally, about 2.9% of country pairs in the sample share a border, 8.2% share a common language, and 3% have colonial ties.</w:t>
      </w:r>
    </w:p>
    <w:tbl>
      <w:tblPr>
        <w:tblStyle w:val="Table"/>
        <w:tblW w:w="5000" w:type="pct"/>
        <w:tblLayout w:type="fixed"/>
        <w:tblLook w:val="0000" w:firstRow="0" w:lastRow="0" w:firstColumn="0" w:lastColumn="0" w:noHBand="0" w:noVBand="0"/>
      </w:tblPr>
      <w:tblGrid>
        <w:gridCol w:w="9576"/>
      </w:tblGrid>
      <w:tr w:rsidR="00FE507B" w:rsidRPr="00AC7317" w14:paraId="455F2A73" w14:textId="77777777" w:rsidTr="00E63B8F">
        <w:tc>
          <w:tcPr>
            <w:tcW w:w="7920" w:type="dxa"/>
          </w:tcPr>
          <w:p w14:paraId="23CAA33B" w14:textId="77777777" w:rsidR="00FE507B" w:rsidRPr="00AC7317" w:rsidRDefault="00FE507B" w:rsidP="00E63B8F">
            <w:pPr>
              <w:pStyle w:val="ImageCaption"/>
              <w:spacing w:before="200" w:line="480" w:lineRule="auto"/>
              <w:jc w:val="both"/>
              <w:rPr>
                <w:rFonts w:ascii="Times New Roman" w:hAnsi="Times New Roman" w:cs="Times New Roman"/>
              </w:rPr>
            </w:pPr>
            <w:r w:rsidRPr="00AC7317">
              <w:rPr>
                <w:rFonts w:ascii="Times New Roman" w:hAnsi="Times New Roman" w:cs="Times New Roman"/>
              </w:rPr>
              <w:t>Table 1: Summary statistics of variables used in the study</w:t>
            </w:r>
          </w:p>
          <w:tbl>
            <w:tblPr>
              <w:tblStyle w:val="Table"/>
              <w:tblW w:w="5000" w:type="pct"/>
              <w:jc w:val="center"/>
              <w:tblLook w:val="0420" w:firstRow="1" w:lastRow="0" w:firstColumn="0" w:lastColumn="0" w:noHBand="0" w:noVBand="1"/>
            </w:tblPr>
            <w:tblGrid>
              <w:gridCol w:w="1872"/>
              <w:gridCol w:w="1872"/>
              <w:gridCol w:w="1872"/>
              <w:gridCol w:w="1872"/>
              <w:gridCol w:w="1872"/>
            </w:tblGrid>
            <w:tr w:rsidR="00FE507B" w:rsidRPr="00AC7317" w14:paraId="12BA5B72" w14:textId="77777777" w:rsidTr="00E63B8F">
              <w:trPr>
                <w:cnfStyle w:val="100000000000" w:firstRow="1" w:lastRow="0" w:firstColumn="0" w:lastColumn="0" w:oddVBand="0" w:evenVBand="0" w:oddHBand="0" w:evenHBand="0" w:firstRowFirstColumn="0" w:firstRowLastColumn="0" w:lastRowFirstColumn="0" w:lastRowLastColumn="0"/>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E4E547"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b/>
                      <w:color w:val="000000"/>
                    </w:rPr>
                  </w:pPr>
                  <w:r w:rsidRPr="00AC7317">
                    <w:rPr>
                      <w:rFonts w:ascii="Times New Roman" w:eastAsia="Arial" w:hAnsi="Times New Roman" w:cs="Times New Roman"/>
                      <w:b/>
                      <w:color w:val="000000"/>
                    </w:rPr>
                    <w:t>Variable</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3C9C45"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b/>
                      <w:color w:val="000000"/>
                    </w:rPr>
                  </w:pPr>
                  <w:r w:rsidRPr="00AC7317">
                    <w:rPr>
                      <w:rFonts w:ascii="Times New Roman" w:eastAsia="Arial" w:hAnsi="Times New Roman" w:cs="Times New Roman"/>
                      <w:b/>
                      <w:color w:val="000000"/>
                    </w:rPr>
                    <w:t>Mean or proportion</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440E35"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b/>
                      <w:color w:val="000000"/>
                    </w:rPr>
                  </w:pPr>
                  <w:r w:rsidRPr="00AC7317">
                    <w:rPr>
                      <w:rFonts w:ascii="Times New Roman" w:eastAsia="Arial" w:hAnsi="Times New Roman" w:cs="Times New Roman"/>
                      <w:b/>
                      <w:color w:val="000000"/>
                    </w:rPr>
                    <w:t>Standard Deviation</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E1ECEE"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b/>
                      <w:color w:val="000000"/>
                    </w:rPr>
                  </w:pPr>
                  <w:r w:rsidRPr="00AC7317">
                    <w:rPr>
                      <w:rFonts w:ascii="Times New Roman" w:eastAsia="Arial" w:hAnsi="Times New Roman" w:cs="Times New Roman"/>
                      <w:b/>
                      <w:color w:val="000000"/>
                    </w:rPr>
                    <w:t>Minimum</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4B52F6"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b/>
                      <w:color w:val="000000"/>
                    </w:rPr>
                  </w:pPr>
                  <w:r w:rsidRPr="00AC7317">
                    <w:rPr>
                      <w:rFonts w:ascii="Times New Roman" w:eastAsia="Arial" w:hAnsi="Times New Roman" w:cs="Times New Roman"/>
                      <w:b/>
                      <w:color w:val="000000"/>
                    </w:rPr>
                    <w:t>Maximum</w:t>
                  </w:r>
                </w:p>
              </w:tc>
            </w:tr>
            <w:tr w:rsidR="00FE507B" w:rsidRPr="00AC7317" w14:paraId="14B36894" w14:textId="77777777" w:rsidTr="00E63B8F">
              <w:trPr>
                <w:jc w:val="center"/>
              </w:trPr>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52E11C"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Year</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92A799"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344370"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0C1BFF"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2007</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9AC639"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2022</w:t>
                  </w:r>
                </w:p>
              </w:tc>
            </w:tr>
            <w:tr w:rsidR="00FE507B" w:rsidRPr="00AC7317" w14:paraId="0D85591D" w14:textId="77777777" w:rsidTr="00E63B8F">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BFB082"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Soybean (000' USD)</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E354A6"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16442.776</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3353F3"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486355.389</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285DA2"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0.000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9CC6DA"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35442703.415</w:t>
                  </w:r>
                </w:p>
              </w:tc>
            </w:tr>
            <w:tr w:rsidR="00FE507B" w:rsidRPr="00AC7317" w14:paraId="5542240A" w14:textId="77777777" w:rsidTr="00E63B8F">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B86A2F"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proofErr w:type="spellStart"/>
                  <w:r w:rsidRPr="00AC7317">
                    <w:rPr>
                      <w:rFonts w:ascii="Times New Roman" w:eastAsia="Arial" w:hAnsi="Times New Roman" w:cs="Times New Roman"/>
                      <w:color w:val="000000"/>
                    </w:rPr>
                    <w:t>Soyoil</w:t>
                  </w:r>
                  <w:proofErr w:type="spellEnd"/>
                  <w:r w:rsidRPr="00AC7317">
                    <w:rPr>
                      <w:rFonts w:ascii="Times New Roman" w:eastAsia="Arial" w:hAnsi="Times New Roman" w:cs="Times New Roman"/>
                      <w:color w:val="000000"/>
                    </w:rPr>
                    <w:t xml:space="preserve"> (000' USD)</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CE73EE"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5576.757</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42623B"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194287.663</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BF3324"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0.000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19F7BE"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26468744.300</w:t>
                  </w:r>
                </w:p>
              </w:tc>
            </w:tr>
            <w:tr w:rsidR="00FE507B" w:rsidRPr="00AC7317" w14:paraId="4A59208C" w14:textId="77777777" w:rsidTr="00E63B8F">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6D82AD"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proofErr w:type="spellStart"/>
                  <w:r w:rsidRPr="00AC7317">
                    <w:rPr>
                      <w:rFonts w:ascii="Times New Roman" w:eastAsia="Arial" w:hAnsi="Times New Roman" w:cs="Times New Roman"/>
                      <w:color w:val="000000"/>
                    </w:rPr>
                    <w:t>Soycake</w:t>
                  </w:r>
                  <w:proofErr w:type="spellEnd"/>
                  <w:r w:rsidRPr="00AC7317">
                    <w:rPr>
                      <w:rFonts w:ascii="Times New Roman" w:eastAsia="Arial" w:hAnsi="Times New Roman" w:cs="Times New Roman"/>
                      <w:color w:val="000000"/>
                    </w:rPr>
                    <w:t xml:space="preserve"> (000' </w:t>
                  </w:r>
                  <w:r w:rsidRPr="00AC7317">
                    <w:rPr>
                      <w:rFonts w:ascii="Times New Roman" w:eastAsia="Arial" w:hAnsi="Times New Roman" w:cs="Times New Roman"/>
                      <w:color w:val="000000"/>
                    </w:rPr>
                    <w:lastRenderedPageBreak/>
                    <w:t>USD)</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3B0808"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lastRenderedPageBreak/>
                    <w:t>9865.004</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AFE4F0"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311705.833</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EE9058"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0.000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2472EA"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40749116.550</w:t>
                  </w:r>
                </w:p>
              </w:tc>
            </w:tr>
            <w:tr w:rsidR="00FE507B" w:rsidRPr="00AC7317" w14:paraId="6DA5B5A0" w14:textId="77777777" w:rsidTr="00E63B8F">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4274C6"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Tariff Soybean</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86A893"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0.106</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FDBE4F"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0.684</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7AAB4D"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0.000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0A7135"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7.574</w:t>
                  </w:r>
                </w:p>
              </w:tc>
            </w:tr>
            <w:tr w:rsidR="00FE507B" w:rsidRPr="00AC7317" w14:paraId="69090A46" w14:textId="77777777" w:rsidTr="00E63B8F">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359DE2"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Tariff Soybean oil</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F6AA29"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0.088</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EAD689"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0.179</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353856"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0.000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BF0AAB"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1.900</w:t>
                  </w:r>
                </w:p>
              </w:tc>
            </w:tr>
            <w:tr w:rsidR="00FE507B" w:rsidRPr="00AC7317" w14:paraId="6C1B7EF7" w14:textId="77777777" w:rsidTr="00E63B8F">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DC1C90"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Tariff Soybean cake</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4080D4"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0.042</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9B078E"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0.102</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7D9173"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0.000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41D1D5"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0.715</w:t>
                  </w:r>
                </w:p>
              </w:tc>
            </w:tr>
            <w:tr w:rsidR="00FE507B" w:rsidRPr="00AC7317" w14:paraId="27898502" w14:textId="77777777" w:rsidTr="00E63B8F">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E2B879"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Distance (KM)</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CBE5C8"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7496.085</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3AEBD1"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4761.858</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7599AD"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7.000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955924"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19845.000</w:t>
                  </w:r>
                </w:p>
              </w:tc>
            </w:tr>
            <w:tr w:rsidR="00FE507B" w:rsidRPr="00AC7317" w14:paraId="40670B75" w14:textId="77777777" w:rsidTr="00E63B8F">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C069C7"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Contiguity</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A6DF25"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2.9%</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CB5ED6"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023420"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0.000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96772E"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1.000</w:t>
                  </w:r>
                </w:p>
              </w:tc>
            </w:tr>
            <w:tr w:rsidR="00FE507B" w:rsidRPr="00AC7317" w14:paraId="1C10E1BF" w14:textId="77777777" w:rsidTr="00E63B8F">
              <w:trPr>
                <w:jc w:val="center"/>
              </w:trPr>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2F6923"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Common Language</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E13131"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8.2%</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28F799"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AF7769"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0.000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84ADEB"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1.000</w:t>
                  </w:r>
                </w:p>
              </w:tc>
            </w:tr>
            <w:tr w:rsidR="00FE507B" w:rsidRPr="00AC7317" w14:paraId="77F15FF4" w14:textId="77777777" w:rsidTr="00E63B8F">
              <w:trPr>
                <w:jc w:val="center"/>
              </w:trPr>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B119E7"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Colonial Ties</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3B91A0"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3.0%</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4E97BE"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202E29"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0.000</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97C871"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80" w:after="80" w:line="480" w:lineRule="auto"/>
                    <w:ind w:left="80" w:right="80"/>
                    <w:jc w:val="both"/>
                    <w:rPr>
                      <w:rFonts w:ascii="Times New Roman" w:eastAsia="Arial" w:hAnsi="Times New Roman" w:cs="Times New Roman"/>
                      <w:color w:val="000000"/>
                    </w:rPr>
                  </w:pPr>
                  <w:r w:rsidRPr="00AC7317">
                    <w:rPr>
                      <w:rFonts w:ascii="Times New Roman" w:eastAsia="Arial" w:hAnsi="Times New Roman" w:cs="Times New Roman"/>
                      <w:color w:val="000000"/>
                    </w:rPr>
                    <w:t>1.000</w:t>
                  </w:r>
                </w:p>
              </w:tc>
            </w:tr>
            <w:tr w:rsidR="00FE507B" w:rsidRPr="00AC7317" w14:paraId="16B1089A" w14:textId="77777777" w:rsidTr="00E63B8F">
              <w:trPr>
                <w:jc w:val="center"/>
              </w:trPr>
              <w:tc>
                <w:tcPr>
                  <w:tcW w:w="1800"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1FB09BB" w14:textId="77777777" w:rsidR="00FE507B" w:rsidRPr="00AC7317" w:rsidRDefault="00FE507B" w:rsidP="00E63B8F">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Notes: The total number of observations is 129600 (90 exporters * 90 importers * 16 years).</w:t>
                  </w:r>
                </w:p>
              </w:tc>
            </w:tr>
          </w:tbl>
          <w:p w14:paraId="20A3C23C" w14:textId="77777777" w:rsidR="00FE507B" w:rsidRPr="00AC7317" w:rsidRDefault="00FE507B" w:rsidP="00E63B8F">
            <w:pPr>
              <w:spacing w:after="0" w:line="480" w:lineRule="auto"/>
              <w:jc w:val="both"/>
              <w:rPr>
                <w:rFonts w:ascii="Times New Roman" w:hAnsi="Times New Roman" w:cs="Times New Roman"/>
              </w:rPr>
            </w:pPr>
          </w:p>
        </w:tc>
      </w:tr>
      <w:tr w:rsidR="00FE507B" w:rsidRPr="00AC7317" w14:paraId="594251E3" w14:textId="77777777" w:rsidTr="00E63B8F">
        <w:tc>
          <w:tcPr>
            <w:tcW w:w="7920" w:type="dxa"/>
          </w:tcPr>
          <w:p w14:paraId="6EEC4F86" w14:textId="77777777" w:rsidR="00FE507B" w:rsidRPr="00AC7317" w:rsidRDefault="00FE507B" w:rsidP="00E63B8F">
            <w:pPr>
              <w:pStyle w:val="Compact"/>
              <w:spacing w:line="480" w:lineRule="auto"/>
              <w:jc w:val="both"/>
              <w:rPr>
                <w:rFonts w:ascii="Times New Roman" w:hAnsi="Times New Roman" w:cs="Times New Roman"/>
              </w:rPr>
            </w:pPr>
            <w:r w:rsidRPr="00AC7317">
              <w:rPr>
                <w:rFonts w:ascii="Times New Roman" w:hAnsi="Times New Roman" w:cs="Times New Roman"/>
                <w:noProof/>
              </w:rPr>
              <w:lastRenderedPageBreak/>
              <w:drawing>
                <wp:inline distT="0" distB="0" distL="0" distR="0" wp14:anchorId="339FEAAE" wp14:editId="1137BBDF">
                  <wp:extent cx="5334000" cy="2286000"/>
                  <wp:effectExtent l="0" t="0" r="0" b="0"/>
                  <wp:docPr id="437902160" name="Picture" descr="A graph of growth and growth of oil&#10;&#10;AI-generated content may be incorrect."/>
                  <wp:cNvGraphicFramePr/>
                  <a:graphic xmlns:a="http://schemas.openxmlformats.org/drawingml/2006/main">
                    <a:graphicData uri="http://schemas.openxmlformats.org/drawingml/2006/picture">
                      <pic:pic xmlns:pic="http://schemas.openxmlformats.org/drawingml/2006/picture">
                        <pic:nvPicPr>
                          <pic:cNvPr id="437902160" name="Picture" descr="A graph of growth and growth of oil&#10;&#10;AI-generated content may be incorrect."/>
                          <pic:cNvPicPr>
                            <a:picLocks noChangeAspect="1" noChangeArrowheads="1"/>
                          </pic:cNvPicPr>
                        </pic:nvPicPr>
                        <pic:blipFill>
                          <a:blip r:embed="rId12"/>
                          <a:stretch>
                            <a:fillRect/>
                          </a:stretch>
                        </pic:blipFill>
                        <pic:spPr bwMode="auto">
                          <a:xfrm>
                            <a:off x="0" y="0"/>
                            <a:ext cx="5334000" cy="2286000"/>
                          </a:xfrm>
                          <a:prstGeom prst="rect">
                            <a:avLst/>
                          </a:prstGeom>
                          <a:noFill/>
                          <a:ln w="9525">
                            <a:noFill/>
                            <a:headEnd/>
                            <a:tailEnd/>
                          </a:ln>
                        </pic:spPr>
                      </pic:pic>
                    </a:graphicData>
                  </a:graphic>
                </wp:inline>
              </w:drawing>
            </w:r>
          </w:p>
          <w:p w14:paraId="7AB3A809" w14:textId="3FF3E35B" w:rsidR="00FE507B" w:rsidRPr="00AC7317" w:rsidRDefault="00FE507B" w:rsidP="00E63B8F">
            <w:pPr>
              <w:pStyle w:val="ImageCaption"/>
              <w:spacing w:before="200" w:line="480" w:lineRule="auto"/>
              <w:jc w:val="both"/>
              <w:rPr>
                <w:rFonts w:ascii="Times New Roman" w:hAnsi="Times New Roman" w:cs="Times New Roman"/>
              </w:rPr>
            </w:pPr>
            <w:r w:rsidRPr="00AC7317">
              <w:rPr>
                <w:rFonts w:ascii="Times New Roman" w:hAnsi="Times New Roman" w:cs="Times New Roman"/>
              </w:rPr>
              <w:t>Figure 2: Import-weighted tariffs (%) faced by exporters globally and in EU countries.</w:t>
            </w:r>
          </w:p>
        </w:tc>
      </w:tr>
    </w:tbl>
    <w:p w14:paraId="604C4B9A" w14:textId="77777777" w:rsidR="00FE507B" w:rsidRPr="00AC7317" w:rsidRDefault="00FE507B" w:rsidP="00FE507B">
      <w:pPr>
        <w:pStyle w:val="BodyText"/>
        <w:spacing w:line="480" w:lineRule="auto"/>
        <w:jc w:val="both"/>
        <w:rPr>
          <w:rFonts w:ascii="Times New Roman" w:hAnsi="Times New Roman" w:cs="Times New Roman"/>
        </w:rPr>
      </w:pPr>
      <w:r w:rsidRPr="00AC7317">
        <w:rPr>
          <w:rFonts w:ascii="Times New Roman" w:hAnsi="Times New Roman" w:cs="Times New Roman"/>
        </w:rPr>
        <w:lastRenderedPageBreak/>
        <w:t>Source: Own illustration based on trade data from the BACI database (</w:t>
      </w:r>
      <w:proofErr w:type="spellStart"/>
      <w:r w:rsidRPr="00AC7317">
        <w:rPr>
          <w:rFonts w:ascii="Times New Roman" w:hAnsi="Times New Roman" w:cs="Times New Roman"/>
        </w:rPr>
        <w:t>Gaulier</w:t>
      </w:r>
      <w:proofErr w:type="spellEnd"/>
      <w:r w:rsidRPr="00AC7317">
        <w:rPr>
          <w:rFonts w:ascii="Times New Roman" w:hAnsi="Times New Roman" w:cs="Times New Roman"/>
        </w:rPr>
        <w:t xml:space="preserve"> and </w:t>
      </w:r>
      <w:proofErr w:type="spellStart"/>
      <w:r w:rsidRPr="00AC7317">
        <w:rPr>
          <w:rFonts w:ascii="Times New Roman" w:hAnsi="Times New Roman" w:cs="Times New Roman"/>
        </w:rPr>
        <w:t>Zignago</w:t>
      </w:r>
      <w:proofErr w:type="spellEnd"/>
      <w:r w:rsidRPr="00AC7317">
        <w:rPr>
          <w:rFonts w:ascii="Times New Roman" w:hAnsi="Times New Roman" w:cs="Times New Roman"/>
        </w:rPr>
        <w:t xml:space="preserve"> (</w:t>
      </w:r>
      <w:hyperlink w:anchor="ref-gaulier2010">
        <w:r w:rsidRPr="00AC7317">
          <w:rPr>
            <w:rStyle w:val="Hyperlink"/>
            <w:rFonts w:ascii="Times New Roman" w:hAnsi="Times New Roman" w:cs="Times New Roman"/>
          </w:rPr>
          <w:t>2010</w:t>
        </w:r>
      </w:hyperlink>
      <w:r w:rsidRPr="00AC7317">
        <w:rPr>
          <w:rFonts w:ascii="Times New Roman" w:hAnsi="Times New Roman" w:cs="Times New Roman"/>
        </w:rPr>
        <w:t xml:space="preserve">)) and tariffs data from the ITC </w:t>
      </w:r>
      <w:proofErr w:type="spellStart"/>
      <w:r w:rsidRPr="00AC7317">
        <w:rPr>
          <w:rFonts w:ascii="Times New Roman" w:hAnsi="Times New Roman" w:cs="Times New Roman"/>
        </w:rPr>
        <w:t>MacMap</w:t>
      </w:r>
      <w:proofErr w:type="spellEnd"/>
      <w:r w:rsidRPr="00AC7317">
        <w:rPr>
          <w:rFonts w:ascii="Times New Roman" w:hAnsi="Times New Roman" w:cs="Times New Roman"/>
        </w:rPr>
        <w:t xml:space="preserve"> (International Trade Centre (</w:t>
      </w:r>
      <w:hyperlink w:anchor="ref-itc2024">
        <w:r w:rsidRPr="00AC7317">
          <w:rPr>
            <w:rStyle w:val="Hyperlink"/>
            <w:rFonts w:ascii="Times New Roman" w:hAnsi="Times New Roman" w:cs="Times New Roman"/>
          </w:rPr>
          <w:t>2024</w:t>
        </w:r>
      </w:hyperlink>
      <w:r w:rsidRPr="00AC7317">
        <w:rPr>
          <w:rFonts w:ascii="Times New Roman" w:hAnsi="Times New Roman" w:cs="Times New Roman"/>
        </w:rPr>
        <w:t>)).</w:t>
      </w:r>
    </w:p>
    <w:p w14:paraId="69FD407D" w14:textId="63BCB55E" w:rsidR="00FE507B" w:rsidRPr="00AC7317" w:rsidRDefault="00FE507B" w:rsidP="00FE507B">
      <w:pPr>
        <w:pStyle w:val="BodyText"/>
        <w:spacing w:line="480" w:lineRule="auto"/>
        <w:jc w:val="both"/>
        <w:rPr>
          <w:rFonts w:ascii="Times New Roman" w:hAnsi="Times New Roman" w:cs="Times New Roman"/>
        </w:rPr>
      </w:pPr>
      <w:r w:rsidRPr="00AC7317">
        <w:rPr>
          <w:rFonts w:ascii="Times New Roman" w:hAnsi="Times New Roman" w:cs="Times New Roman"/>
        </w:rPr>
        <w:t xml:space="preserve">Note: The </w:t>
      </w:r>
      <w:r w:rsidR="006B5A0E" w:rsidRPr="00AC7317">
        <w:rPr>
          <w:rFonts w:ascii="Times New Roman" w:hAnsi="Times New Roman" w:cs="Times New Roman"/>
        </w:rPr>
        <w:t>spikes in</w:t>
      </w:r>
      <w:r w:rsidRPr="00AC7317">
        <w:rPr>
          <w:rFonts w:ascii="Times New Roman" w:hAnsi="Times New Roman" w:cs="Times New Roman"/>
        </w:rPr>
        <w:t xml:space="preserve"> import-weighted tariffs</w:t>
      </w:r>
      <w:r w:rsidR="006B5A0E" w:rsidRPr="00AC7317">
        <w:rPr>
          <w:rFonts w:ascii="Times New Roman" w:hAnsi="Times New Roman" w:cs="Times New Roman"/>
        </w:rPr>
        <w:t xml:space="preserve"> for </w:t>
      </w:r>
      <w:r w:rsidR="00C54B75" w:rsidRPr="00AC7317">
        <w:rPr>
          <w:rFonts w:ascii="Times New Roman" w:hAnsi="Times New Roman" w:cs="Times New Roman"/>
        </w:rPr>
        <w:t>all</w:t>
      </w:r>
      <w:r w:rsidR="006B5A0E" w:rsidRPr="00AC7317">
        <w:rPr>
          <w:rFonts w:ascii="Times New Roman" w:hAnsi="Times New Roman" w:cs="Times New Roman"/>
        </w:rPr>
        <w:t xml:space="preserve"> </w:t>
      </w:r>
      <w:r w:rsidR="00C54B75" w:rsidRPr="00AC7317">
        <w:rPr>
          <w:rFonts w:ascii="Times New Roman" w:hAnsi="Times New Roman" w:cs="Times New Roman"/>
        </w:rPr>
        <w:t>countries</w:t>
      </w:r>
      <w:r w:rsidRPr="00AC7317">
        <w:rPr>
          <w:rFonts w:ascii="Times New Roman" w:hAnsi="Times New Roman" w:cs="Times New Roman"/>
        </w:rPr>
        <w:t xml:space="preserve"> for soybean oil</w:t>
      </w:r>
      <w:r w:rsidR="006B5A0E" w:rsidRPr="00AC7317">
        <w:rPr>
          <w:rFonts w:ascii="Times New Roman" w:hAnsi="Times New Roman" w:cs="Times New Roman"/>
        </w:rPr>
        <w:t xml:space="preserve"> in</w:t>
      </w:r>
      <w:r w:rsidRPr="00AC7317">
        <w:rPr>
          <w:rFonts w:ascii="Times New Roman" w:hAnsi="Times New Roman" w:cs="Times New Roman"/>
        </w:rPr>
        <w:t xml:space="preserve"> 2017–2020</w:t>
      </w:r>
      <w:r w:rsidR="00382F58" w:rsidRPr="00AC7317">
        <w:rPr>
          <w:rFonts w:ascii="Times New Roman" w:hAnsi="Times New Roman" w:cs="Times New Roman"/>
        </w:rPr>
        <w:t xml:space="preserve"> reflect</w:t>
      </w:r>
      <w:r w:rsidRPr="00AC7317">
        <w:rPr>
          <w:rFonts w:ascii="Times New Roman" w:hAnsi="Times New Roman" w:cs="Times New Roman"/>
        </w:rPr>
        <w:t xml:space="preserve"> increased tariffs by India from 4% in 2016 to 36% in 2020.</w:t>
      </w:r>
    </w:p>
    <w:p w14:paraId="75C4389B" w14:textId="215D14EE" w:rsidR="002E6A0D" w:rsidRPr="00AC7317" w:rsidRDefault="00FE507B" w:rsidP="00216BA2">
      <w:pPr>
        <w:pStyle w:val="Heading1"/>
        <w:spacing w:line="480" w:lineRule="auto"/>
        <w:jc w:val="both"/>
        <w:rPr>
          <w:rFonts w:ascii="Times New Roman" w:hAnsi="Times New Roman" w:cs="Times New Roman"/>
          <w:sz w:val="24"/>
          <w:szCs w:val="24"/>
        </w:rPr>
      </w:pPr>
      <w:bookmarkStart w:id="7" w:name="results"/>
      <w:bookmarkEnd w:id="4"/>
      <w:bookmarkEnd w:id="5"/>
      <w:r w:rsidRPr="00AC7317">
        <w:rPr>
          <w:rFonts w:ascii="Times New Roman" w:hAnsi="Times New Roman" w:cs="Times New Roman"/>
          <w:sz w:val="24"/>
          <w:szCs w:val="24"/>
        </w:rPr>
        <w:t>5</w:t>
      </w:r>
      <w:r w:rsidR="00F96466" w:rsidRPr="00AC7317">
        <w:rPr>
          <w:rFonts w:ascii="Times New Roman" w:hAnsi="Times New Roman" w:cs="Times New Roman"/>
          <w:sz w:val="24"/>
          <w:szCs w:val="24"/>
        </w:rPr>
        <w:t>. Results</w:t>
      </w:r>
    </w:p>
    <w:p w14:paraId="03BC906B" w14:textId="0AF8A636" w:rsidR="002E6A0D" w:rsidRPr="00AC7317" w:rsidRDefault="00FE507B" w:rsidP="00216BA2">
      <w:pPr>
        <w:pStyle w:val="Heading2"/>
        <w:spacing w:line="480" w:lineRule="auto"/>
        <w:jc w:val="both"/>
        <w:rPr>
          <w:rFonts w:ascii="Times New Roman" w:hAnsi="Times New Roman" w:cs="Times New Roman"/>
          <w:sz w:val="24"/>
          <w:szCs w:val="24"/>
        </w:rPr>
      </w:pPr>
      <w:bookmarkStart w:id="8" w:name="Xf03be2a507a937502c8b455f1a19086e2503e15"/>
      <w:r w:rsidRPr="00AC7317">
        <w:rPr>
          <w:rFonts w:ascii="Times New Roman" w:hAnsi="Times New Roman" w:cs="Times New Roman"/>
          <w:sz w:val="24"/>
          <w:szCs w:val="24"/>
        </w:rPr>
        <w:t>5</w:t>
      </w:r>
      <w:r w:rsidR="00F96466" w:rsidRPr="00AC7317">
        <w:rPr>
          <w:rFonts w:ascii="Times New Roman" w:hAnsi="Times New Roman" w:cs="Times New Roman"/>
          <w:sz w:val="24"/>
          <w:szCs w:val="24"/>
        </w:rPr>
        <w:t xml:space="preserve">.1 Tariffs represent a significant trade cost in </w:t>
      </w:r>
      <w:r w:rsidR="00E70B3B" w:rsidRPr="00AC7317">
        <w:rPr>
          <w:rFonts w:ascii="Times New Roman" w:hAnsi="Times New Roman" w:cs="Times New Roman"/>
          <w:sz w:val="24"/>
          <w:szCs w:val="24"/>
        </w:rPr>
        <w:t>the soy</w:t>
      </w:r>
      <w:r w:rsidR="00F96466" w:rsidRPr="00AC7317">
        <w:rPr>
          <w:rFonts w:ascii="Times New Roman" w:hAnsi="Times New Roman" w:cs="Times New Roman"/>
          <w:sz w:val="24"/>
          <w:szCs w:val="24"/>
        </w:rPr>
        <w:t xml:space="preserve"> market</w:t>
      </w:r>
    </w:p>
    <w:p w14:paraId="73FD00F4" w14:textId="6B8EC62E" w:rsidR="002E6A0D" w:rsidRPr="00AC7317" w:rsidRDefault="002E6A0D" w:rsidP="00216BA2">
      <w:pPr>
        <w:pStyle w:val="FirstParagraph"/>
        <w:spacing w:line="480" w:lineRule="auto"/>
        <w:jc w:val="both"/>
        <w:rPr>
          <w:rFonts w:ascii="Times New Roman" w:hAnsi="Times New Roman" w:cs="Times New Roman"/>
        </w:rPr>
      </w:pPr>
      <w:hyperlink w:anchor="tbl-tariff">
        <w:r w:rsidRPr="00AC7317">
          <w:rPr>
            <w:rStyle w:val="Hyperlink"/>
            <w:rFonts w:ascii="Times New Roman" w:hAnsi="Times New Roman" w:cs="Times New Roman"/>
          </w:rPr>
          <w:t>Table 2</w:t>
        </w:r>
      </w:hyperlink>
      <w:r w:rsidRPr="00AC7317">
        <w:rPr>
          <w:rFonts w:ascii="Times New Roman" w:hAnsi="Times New Roman" w:cs="Times New Roman"/>
        </w:rPr>
        <w:t xml:space="preserve"> reports the estimated effects of tariffs on the soy product trade flows for the period 2007–2017. We exclude post-2018 trade flows from the trade elasticity estimation to avoid endogeneity arising from China’s retaliatory tariffs on the US soybean export to China. This would also represent normal market responses. Our results reveal trade elasticities of -1.883, -6.394, and -6.227 for soybean, soybean oil, and soybean cake, respectively. Our soybean tariff elasticity (-1.883) is comparable to </w:t>
      </w:r>
      <w:proofErr w:type="spellStart"/>
      <w:r w:rsidRPr="00AC7317">
        <w:rPr>
          <w:rFonts w:ascii="Times New Roman" w:hAnsi="Times New Roman" w:cs="Times New Roman"/>
        </w:rPr>
        <w:t>Fontagné</w:t>
      </w:r>
      <w:proofErr w:type="spellEnd"/>
      <w:r w:rsidRPr="00AC7317">
        <w:rPr>
          <w:rFonts w:ascii="Times New Roman" w:hAnsi="Times New Roman" w:cs="Times New Roman"/>
        </w:rPr>
        <w:t xml:space="preserve"> et al. (</w:t>
      </w:r>
      <w:hyperlink w:anchor="ref-fontagne2022">
        <w:r w:rsidRPr="00AC7317">
          <w:rPr>
            <w:rStyle w:val="Hyperlink"/>
            <w:rFonts w:ascii="Times New Roman" w:hAnsi="Times New Roman" w:cs="Times New Roman"/>
          </w:rPr>
          <w:t>2022</w:t>
        </w:r>
      </w:hyperlink>
      <w:r w:rsidRPr="00AC7317">
        <w:rPr>
          <w:rFonts w:ascii="Times New Roman" w:hAnsi="Times New Roman" w:cs="Times New Roman"/>
        </w:rPr>
        <w:t xml:space="preserve">) ’s estimate of -1.254. The estimate is lower than </w:t>
      </w:r>
      <w:proofErr w:type="spellStart"/>
      <w:r w:rsidRPr="00AC7317">
        <w:rPr>
          <w:rFonts w:ascii="Times New Roman" w:hAnsi="Times New Roman" w:cs="Times New Roman"/>
        </w:rPr>
        <w:t>Dhoubhadel</w:t>
      </w:r>
      <w:proofErr w:type="spellEnd"/>
      <w:r w:rsidRPr="00AC7317">
        <w:rPr>
          <w:rFonts w:ascii="Times New Roman" w:hAnsi="Times New Roman" w:cs="Times New Roman"/>
        </w:rPr>
        <w:t>, Ridley and Devadoss (</w:t>
      </w:r>
      <w:hyperlink w:anchor="ref-dhoubhadel2023">
        <w:r w:rsidRPr="00AC7317">
          <w:rPr>
            <w:rStyle w:val="Hyperlink"/>
            <w:rFonts w:ascii="Times New Roman" w:hAnsi="Times New Roman" w:cs="Times New Roman"/>
          </w:rPr>
          <w:t>2023</w:t>
        </w:r>
      </w:hyperlink>
      <w:r w:rsidRPr="00AC7317">
        <w:rPr>
          <w:rFonts w:ascii="Times New Roman" w:hAnsi="Times New Roman" w:cs="Times New Roman"/>
        </w:rPr>
        <w:t>)’s estimate of -5.83, but higher than the estimates reported by Ridley and Shirin (</w:t>
      </w:r>
      <w:hyperlink w:anchor="ref-ridley2024effectiveness">
        <w:r w:rsidRPr="00AC7317">
          <w:rPr>
            <w:rStyle w:val="Hyperlink"/>
            <w:rFonts w:ascii="Times New Roman" w:hAnsi="Times New Roman" w:cs="Times New Roman"/>
          </w:rPr>
          <w:t>2024</w:t>
        </w:r>
      </w:hyperlink>
      <w:r w:rsidRPr="00AC7317">
        <w:rPr>
          <w:rFonts w:ascii="Times New Roman" w:hAnsi="Times New Roman" w:cs="Times New Roman"/>
        </w:rPr>
        <w:t>) (-0.879). For soybean oil, our estimate (-6.394) is slightly higher than Ridley and Shirin (</w:t>
      </w:r>
      <w:hyperlink w:anchor="ref-ridley2024effectiveness">
        <w:r w:rsidRPr="00AC7317">
          <w:rPr>
            <w:rStyle w:val="Hyperlink"/>
            <w:rFonts w:ascii="Times New Roman" w:hAnsi="Times New Roman" w:cs="Times New Roman"/>
          </w:rPr>
          <w:t>2024</w:t>
        </w:r>
      </w:hyperlink>
      <w:r w:rsidRPr="00AC7317">
        <w:rPr>
          <w:rFonts w:ascii="Times New Roman" w:hAnsi="Times New Roman" w:cs="Times New Roman"/>
        </w:rPr>
        <w:t xml:space="preserve">)’s finding of -5.338. However, our soybean cake elasticity (-6.227) is somewhat lower than </w:t>
      </w:r>
      <w:proofErr w:type="spellStart"/>
      <w:r w:rsidRPr="00AC7317">
        <w:rPr>
          <w:rFonts w:ascii="Times New Roman" w:hAnsi="Times New Roman" w:cs="Times New Roman"/>
        </w:rPr>
        <w:t>Fontagné</w:t>
      </w:r>
      <w:proofErr w:type="spellEnd"/>
      <w:r w:rsidRPr="00AC7317">
        <w:rPr>
          <w:rFonts w:ascii="Times New Roman" w:hAnsi="Times New Roman" w:cs="Times New Roman"/>
        </w:rPr>
        <w:t xml:space="preserve"> et al. (</w:t>
      </w:r>
      <w:hyperlink w:anchor="ref-fontagne2022">
        <w:r w:rsidRPr="00AC7317">
          <w:rPr>
            <w:rStyle w:val="Hyperlink"/>
            <w:rFonts w:ascii="Times New Roman" w:hAnsi="Times New Roman" w:cs="Times New Roman"/>
          </w:rPr>
          <w:t>2022</w:t>
        </w:r>
      </w:hyperlink>
      <w:r w:rsidRPr="00AC7317">
        <w:rPr>
          <w:rFonts w:ascii="Times New Roman" w:hAnsi="Times New Roman" w:cs="Times New Roman"/>
        </w:rPr>
        <w:t xml:space="preserve">)’s estimate of -11.92. Using these estimates, we recover </w:t>
      </w:r>
      <w:r w:rsidR="003F476F" w:rsidRPr="00AC7317">
        <w:rPr>
          <w:rFonts w:ascii="Times New Roman" w:hAnsi="Times New Roman" w:cs="Times New Roman"/>
        </w:rPr>
        <w:t xml:space="preserve">the </w:t>
      </w:r>
      <w:r w:rsidRPr="00AC7317">
        <w:rPr>
          <w:rFonts w:ascii="Times New Roman" w:hAnsi="Times New Roman" w:cs="Times New Roman"/>
        </w:rPr>
        <w:t xml:space="preserve">Armington elasticities, </w:t>
      </w:r>
      <w:r w:rsidR="003F476F" w:rsidRPr="00AC7317">
        <w:rPr>
          <w:rFonts w:ascii="Times New Roman" w:hAnsi="Times New Roman" w:cs="Times New Roman"/>
        </w:rPr>
        <w:t xml:space="preserve">which are </w:t>
      </w:r>
      <w:r w:rsidRPr="00AC7317">
        <w:rPr>
          <w:rFonts w:ascii="Times New Roman" w:hAnsi="Times New Roman" w:cs="Times New Roman"/>
        </w:rPr>
        <w:t xml:space="preserve">shown in </w:t>
      </w:r>
      <w:hyperlink w:anchor="arm3">
        <w:r w:rsidR="00E223F6" w:rsidRPr="00AC7317">
          <w:rPr>
            <w:rStyle w:val="Hyperlink"/>
            <w:rFonts w:ascii="Times New Roman" w:hAnsi="Times New Roman" w:cs="Times New Roman"/>
          </w:rPr>
          <w:t>a</w:t>
        </w:r>
        <w:r w:rsidRPr="00AC7317">
          <w:rPr>
            <w:rStyle w:val="Hyperlink"/>
            <w:rFonts w:ascii="Times New Roman" w:hAnsi="Times New Roman" w:cs="Times New Roman"/>
          </w:rPr>
          <w:t xml:space="preserve">ppendix </w:t>
        </w:r>
        <w:r w:rsidR="00430762" w:rsidRPr="00AC7317">
          <w:rPr>
            <w:rStyle w:val="Hyperlink"/>
            <w:rFonts w:ascii="Times New Roman" w:hAnsi="Times New Roman" w:cs="Times New Roman"/>
          </w:rPr>
          <w:t>A</w:t>
        </w:r>
        <w:r w:rsidRPr="00AC7317">
          <w:rPr>
            <w:rStyle w:val="Hyperlink"/>
            <w:rFonts w:ascii="Times New Roman" w:hAnsi="Times New Roman" w:cs="Times New Roman"/>
          </w:rPr>
          <w:t>3</w:t>
        </w:r>
      </w:hyperlink>
      <w:r w:rsidRPr="00AC7317">
        <w:rPr>
          <w:rFonts w:ascii="Times New Roman" w:hAnsi="Times New Roman" w:cs="Times New Roman"/>
        </w:rPr>
        <w:t xml:space="preserve">. The elasticity of substitution is lower for soybeans than for processed soy products. A plausible explanation could be that processed products (oil and cake) have </w:t>
      </w:r>
      <w:r w:rsidR="003F476F" w:rsidRPr="00AC7317">
        <w:rPr>
          <w:rFonts w:ascii="Times New Roman" w:hAnsi="Times New Roman" w:cs="Times New Roman"/>
        </w:rPr>
        <w:t xml:space="preserve">numerous substitutes and are readily available across countries, whereas soybeans are relatively homogeneous, which limits their </w:t>
      </w:r>
      <w:r w:rsidRPr="00AC7317">
        <w:rPr>
          <w:rFonts w:ascii="Times New Roman" w:hAnsi="Times New Roman" w:cs="Times New Roman"/>
        </w:rPr>
        <w:t>rapid reallocation across sources. Therefore, countries respond with more substitution in processed products despite smaller changes in trade costs relative to soybeans.</w:t>
      </w:r>
    </w:p>
    <w:tbl>
      <w:tblPr>
        <w:tblStyle w:val="Table"/>
        <w:tblW w:w="5000" w:type="pct"/>
        <w:tblLook w:val="0000" w:firstRow="0" w:lastRow="0" w:firstColumn="0" w:lastColumn="0" w:noHBand="0" w:noVBand="0"/>
      </w:tblPr>
      <w:tblGrid>
        <w:gridCol w:w="9576"/>
      </w:tblGrid>
      <w:tr w:rsidR="002E6A0D" w:rsidRPr="00AC7317" w14:paraId="1CC2EA5F" w14:textId="77777777" w:rsidTr="00D05B27">
        <w:tc>
          <w:tcPr>
            <w:tcW w:w="5000" w:type="pct"/>
          </w:tcPr>
          <w:p w14:paraId="4C1A97A9" w14:textId="77777777" w:rsidR="002E6A0D" w:rsidRPr="00AC7317" w:rsidRDefault="00F96466" w:rsidP="00216BA2">
            <w:pPr>
              <w:pStyle w:val="ImageCaption"/>
              <w:spacing w:before="200" w:line="480" w:lineRule="auto"/>
              <w:jc w:val="both"/>
              <w:rPr>
                <w:rFonts w:ascii="Times New Roman" w:hAnsi="Times New Roman" w:cs="Times New Roman"/>
              </w:rPr>
            </w:pPr>
            <w:bookmarkStart w:id="9" w:name="tbl-tariff"/>
            <w:r w:rsidRPr="00AC7317">
              <w:rPr>
                <w:rFonts w:ascii="Times New Roman" w:hAnsi="Times New Roman" w:cs="Times New Roman"/>
              </w:rPr>
              <w:lastRenderedPageBreak/>
              <w:t>Table 2: Effects of import tariffs on soy products using PPML estimates</w:t>
            </w:r>
          </w:p>
          <w:tbl>
            <w:tblPr>
              <w:tblStyle w:val="Table"/>
              <w:tblW w:w="5000" w:type="pct"/>
              <w:jc w:val="center"/>
              <w:tblLook w:val="0420" w:firstRow="1" w:lastRow="0" w:firstColumn="0" w:lastColumn="0" w:noHBand="0" w:noVBand="1"/>
            </w:tblPr>
            <w:tblGrid>
              <w:gridCol w:w="2894"/>
              <w:gridCol w:w="1745"/>
              <w:gridCol w:w="2194"/>
              <w:gridCol w:w="2527"/>
            </w:tblGrid>
            <w:tr w:rsidR="002E6A0D" w:rsidRPr="00AC7317" w14:paraId="68BE2432" w14:textId="77777777" w:rsidTr="00D05B27">
              <w:trPr>
                <w:cnfStyle w:val="100000000000" w:firstRow="1" w:lastRow="0" w:firstColumn="0" w:lastColumn="0" w:oddVBand="0" w:evenVBand="0" w:oddHBand="0" w:evenHBand="0" w:firstRowFirstColumn="0" w:firstRowLastColumn="0" w:lastRowFirstColumn="0" w:lastRowLastColumn="0"/>
                <w:tblHeader/>
                <w:jc w:val="center"/>
              </w:trPr>
              <w:tc>
                <w:tcPr>
                  <w:tcW w:w="154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391486"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 xml:space="preserve"> </w:t>
                  </w:r>
                </w:p>
              </w:tc>
              <w:tc>
                <w:tcPr>
                  <w:tcW w:w="93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D52243"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Soybean</w:t>
                  </w:r>
                </w:p>
              </w:tc>
              <w:tc>
                <w:tcPr>
                  <w:tcW w:w="11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90260E"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Soybean Oil</w:t>
                  </w:r>
                </w:p>
              </w:tc>
              <w:tc>
                <w:tcPr>
                  <w:tcW w:w="135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10A607"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Soybean Cake</w:t>
                  </w:r>
                </w:p>
              </w:tc>
            </w:tr>
            <w:tr w:rsidR="002E6A0D" w:rsidRPr="00AC7317" w14:paraId="6A3DF803" w14:textId="77777777" w:rsidTr="00D05B27">
              <w:trPr>
                <w:jc w:val="center"/>
              </w:trPr>
              <w:tc>
                <w:tcPr>
                  <w:tcW w:w="154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F8135"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proofErr w:type="gramStart"/>
                  <w:r w:rsidRPr="00AC7317">
                    <w:rPr>
                      <w:rFonts w:ascii="Times New Roman" w:eastAsia="Arial" w:hAnsi="Times New Roman" w:cs="Times New Roman"/>
                      <w:color w:val="000000"/>
                    </w:rPr>
                    <w:t>Log(</w:t>
                  </w:r>
                  <w:proofErr w:type="gramEnd"/>
                  <w:r w:rsidRPr="00AC7317">
                    <w:rPr>
                      <w:rFonts w:ascii="Times New Roman" w:eastAsia="Arial" w:hAnsi="Times New Roman" w:cs="Times New Roman"/>
                      <w:color w:val="000000"/>
                    </w:rPr>
                    <w:t>1 + Tariff)</w:t>
                  </w:r>
                </w:p>
              </w:tc>
              <w:tc>
                <w:tcPr>
                  <w:tcW w:w="93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CAF6F"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-1.883</w:t>
                  </w:r>
                </w:p>
              </w:tc>
              <w:tc>
                <w:tcPr>
                  <w:tcW w:w="117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325B7"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-6.394*</w:t>
                  </w:r>
                </w:p>
              </w:tc>
              <w:tc>
                <w:tcPr>
                  <w:tcW w:w="135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AC902"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-6.227*</w:t>
                  </w:r>
                </w:p>
              </w:tc>
            </w:tr>
            <w:tr w:rsidR="002E6A0D" w:rsidRPr="00AC7317" w14:paraId="34DF1D8B" w14:textId="77777777" w:rsidTr="00D05B27">
              <w:trPr>
                <w:jc w:val="center"/>
              </w:trPr>
              <w:tc>
                <w:tcPr>
                  <w:tcW w:w="1546" w:type="pct"/>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608453" w14:textId="77777777" w:rsidR="002E6A0D" w:rsidRPr="00AC7317" w:rsidRDefault="002E6A0D"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p>
              </w:tc>
              <w:tc>
                <w:tcPr>
                  <w:tcW w:w="932" w:type="pct"/>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C14855"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(1.253)</w:t>
                  </w:r>
                </w:p>
              </w:tc>
              <w:tc>
                <w:tcPr>
                  <w:tcW w:w="1172" w:type="pct"/>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00B919"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(2.667)</w:t>
                  </w:r>
                </w:p>
              </w:tc>
              <w:tc>
                <w:tcPr>
                  <w:tcW w:w="1351" w:type="pct"/>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C9D438"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(2.993)</w:t>
                  </w:r>
                </w:p>
              </w:tc>
            </w:tr>
            <w:tr w:rsidR="002E6A0D" w:rsidRPr="00AC7317" w14:paraId="6442F144" w14:textId="77777777" w:rsidTr="00D05B27">
              <w:trPr>
                <w:jc w:val="center"/>
              </w:trPr>
              <w:tc>
                <w:tcPr>
                  <w:tcW w:w="1546" w:type="pct"/>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D35FC"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Observations</w:t>
                  </w:r>
                </w:p>
              </w:tc>
              <w:tc>
                <w:tcPr>
                  <w:tcW w:w="932" w:type="pct"/>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CF23E"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26619</w:t>
                  </w:r>
                </w:p>
              </w:tc>
              <w:tc>
                <w:tcPr>
                  <w:tcW w:w="1172" w:type="pct"/>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60B5E"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26651</w:t>
                  </w:r>
                </w:p>
              </w:tc>
              <w:tc>
                <w:tcPr>
                  <w:tcW w:w="1351" w:type="pct"/>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EDCA1"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20748</w:t>
                  </w:r>
                </w:p>
              </w:tc>
            </w:tr>
            <w:tr w:rsidR="002E6A0D" w:rsidRPr="00AC7317" w14:paraId="6A217300" w14:textId="77777777" w:rsidTr="00D05B27">
              <w:trPr>
                <w:jc w:val="center"/>
              </w:trPr>
              <w:tc>
                <w:tcPr>
                  <w:tcW w:w="15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EA34E"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R-squared</w:t>
                  </w:r>
                </w:p>
              </w:tc>
              <w:tc>
                <w:tcPr>
                  <w:tcW w:w="9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BCCDD"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0.995</w:t>
                  </w:r>
                </w:p>
              </w:tc>
              <w:tc>
                <w:tcPr>
                  <w:tcW w:w="11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F18EC"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0.991</w:t>
                  </w:r>
                </w:p>
              </w:tc>
              <w:tc>
                <w:tcPr>
                  <w:tcW w:w="135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BD906"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0.990</w:t>
                  </w:r>
                </w:p>
              </w:tc>
            </w:tr>
            <w:tr w:rsidR="002E6A0D" w:rsidRPr="00AC7317" w14:paraId="65721D5B" w14:textId="77777777" w:rsidTr="00D05B27">
              <w:trPr>
                <w:jc w:val="center"/>
              </w:trPr>
              <w:tc>
                <w:tcPr>
                  <w:tcW w:w="15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5AD35"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Exporter-Year FE</w:t>
                  </w:r>
                </w:p>
              </w:tc>
              <w:tc>
                <w:tcPr>
                  <w:tcW w:w="9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28B71"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X</w:t>
                  </w:r>
                </w:p>
              </w:tc>
              <w:tc>
                <w:tcPr>
                  <w:tcW w:w="11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C48F0"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X</w:t>
                  </w:r>
                </w:p>
              </w:tc>
              <w:tc>
                <w:tcPr>
                  <w:tcW w:w="135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705B0"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X</w:t>
                  </w:r>
                </w:p>
              </w:tc>
            </w:tr>
            <w:tr w:rsidR="002E6A0D" w:rsidRPr="00AC7317" w14:paraId="052CE409" w14:textId="77777777" w:rsidTr="00D05B27">
              <w:trPr>
                <w:jc w:val="center"/>
              </w:trPr>
              <w:tc>
                <w:tcPr>
                  <w:tcW w:w="15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D25E4"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Importer-Year FE</w:t>
                  </w:r>
                </w:p>
              </w:tc>
              <w:tc>
                <w:tcPr>
                  <w:tcW w:w="9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38300"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X</w:t>
                  </w:r>
                </w:p>
              </w:tc>
              <w:tc>
                <w:tcPr>
                  <w:tcW w:w="11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59BC6"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X</w:t>
                  </w:r>
                </w:p>
              </w:tc>
              <w:tc>
                <w:tcPr>
                  <w:tcW w:w="135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5CFAD"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X</w:t>
                  </w:r>
                </w:p>
              </w:tc>
            </w:tr>
            <w:tr w:rsidR="002E6A0D" w:rsidRPr="00AC7317" w14:paraId="598AD4FB" w14:textId="77777777" w:rsidTr="00D05B27">
              <w:trPr>
                <w:jc w:val="center"/>
              </w:trPr>
              <w:tc>
                <w:tcPr>
                  <w:tcW w:w="154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34EBFD"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Pair FE</w:t>
                  </w:r>
                </w:p>
              </w:tc>
              <w:tc>
                <w:tcPr>
                  <w:tcW w:w="93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4DFDA9"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X</w:t>
                  </w:r>
                </w:p>
              </w:tc>
              <w:tc>
                <w:tcPr>
                  <w:tcW w:w="117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091170"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X</w:t>
                  </w:r>
                </w:p>
              </w:tc>
              <w:tc>
                <w:tcPr>
                  <w:tcW w:w="135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EED5C0"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X</w:t>
                  </w:r>
                </w:p>
              </w:tc>
            </w:tr>
            <w:tr w:rsidR="002E6A0D" w:rsidRPr="00AC7317" w14:paraId="72FBC210" w14:textId="77777777" w:rsidTr="00D05B27">
              <w:trPr>
                <w:jc w:val="center"/>
              </w:trPr>
              <w:tc>
                <w:tcPr>
                  <w:tcW w:w="5000" w:type="pct"/>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E197DCC"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 p &lt; 0.1, * p &lt; 0.05, ** p &lt; 0.01, *** p &lt; 0.001</w:t>
                  </w:r>
                </w:p>
              </w:tc>
            </w:tr>
            <w:bookmarkEnd w:id="9"/>
          </w:tbl>
          <w:p w14:paraId="3F50E08A" w14:textId="77777777" w:rsidR="00100368" w:rsidRPr="00AC7317" w:rsidRDefault="00100368" w:rsidP="00216BA2">
            <w:pPr>
              <w:spacing w:after="0" w:line="480" w:lineRule="auto"/>
              <w:jc w:val="both"/>
              <w:rPr>
                <w:rFonts w:ascii="Times New Roman" w:hAnsi="Times New Roman" w:cs="Times New Roman"/>
              </w:rPr>
            </w:pPr>
          </w:p>
        </w:tc>
      </w:tr>
    </w:tbl>
    <w:p w14:paraId="7CA608FD" w14:textId="0C9CCC19"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b/>
          <w:bCs/>
        </w:rPr>
        <w:t>Note:</w:t>
      </w:r>
      <w:r w:rsidRPr="00AC7317">
        <w:rPr>
          <w:rFonts w:ascii="Times New Roman" w:hAnsi="Times New Roman" w:cs="Times New Roman"/>
        </w:rPr>
        <w:t xml:space="preserve"> The dependent variables are the unidirectional value (1000 USD) of exports. Standard errors clustered at the country-pairs level. All estimations include exporter-year, importer-year, and pair fixed effects. </w:t>
      </w:r>
      <w:r w:rsidR="00B142C3" w:rsidRPr="00AC7317">
        <w:rPr>
          <w:rFonts w:ascii="Times New Roman" w:hAnsi="Times New Roman" w:cs="Times New Roman"/>
        </w:rPr>
        <w:t>The inclusion of country-pair fixed effects results in a significant reduction in the number of observations due to persistent zero trade flows between country pairs</w:t>
      </w:r>
      <w:r w:rsidRPr="00AC7317">
        <w:rPr>
          <w:rFonts w:ascii="Times New Roman" w:hAnsi="Times New Roman" w:cs="Times New Roman"/>
        </w:rPr>
        <w:t>.</w:t>
      </w:r>
    </w:p>
    <w:p w14:paraId="08B3C0E2" w14:textId="764E8530" w:rsidR="002E6A0D" w:rsidRPr="00AC7317" w:rsidRDefault="00B142C3" w:rsidP="00216BA2">
      <w:pPr>
        <w:pStyle w:val="Heading2"/>
        <w:spacing w:line="480" w:lineRule="auto"/>
        <w:jc w:val="both"/>
        <w:rPr>
          <w:rFonts w:ascii="Times New Roman" w:hAnsi="Times New Roman" w:cs="Times New Roman"/>
          <w:sz w:val="24"/>
          <w:szCs w:val="24"/>
        </w:rPr>
      </w:pPr>
      <w:bookmarkStart w:id="10" w:name="X726e71811988699aab06f283aba2491a32ce4bb"/>
      <w:bookmarkEnd w:id="8"/>
      <w:r w:rsidRPr="00AC7317">
        <w:rPr>
          <w:rFonts w:ascii="Times New Roman" w:hAnsi="Times New Roman" w:cs="Times New Roman"/>
          <w:sz w:val="24"/>
          <w:szCs w:val="24"/>
        </w:rPr>
        <w:t>5</w:t>
      </w:r>
      <w:r w:rsidR="00F96466" w:rsidRPr="00AC7317">
        <w:rPr>
          <w:rFonts w:ascii="Times New Roman" w:hAnsi="Times New Roman" w:cs="Times New Roman"/>
          <w:sz w:val="24"/>
          <w:szCs w:val="24"/>
        </w:rPr>
        <w:t xml:space="preserve">.2 China, including the rest of the world, absorbs </w:t>
      </w:r>
      <w:r w:rsidR="00E70B3B" w:rsidRPr="00AC7317">
        <w:rPr>
          <w:rFonts w:ascii="Times New Roman" w:hAnsi="Times New Roman" w:cs="Times New Roman"/>
          <w:sz w:val="24"/>
          <w:szCs w:val="24"/>
        </w:rPr>
        <w:t xml:space="preserve">the </w:t>
      </w:r>
      <w:r w:rsidR="00F96466" w:rsidRPr="00AC7317">
        <w:rPr>
          <w:rFonts w:ascii="Times New Roman" w:hAnsi="Times New Roman" w:cs="Times New Roman"/>
          <w:sz w:val="24"/>
          <w:szCs w:val="24"/>
        </w:rPr>
        <w:t xml:space="preserve">trade </w:t>
      </w:r>
      <w:r w:rsidR="00E70B3B" w:rsidRPr="00AC7317">
        <w:rPr>
          <w:rFonts w:ascii="Times New Roman" w:hAnsi="Times New Roman" w:cs="Times New Roman"/>
          <w:sz w:val="24"/>
          <w:szCs w:val="24"/>
        </w:rPr>
        <w:t>restrictions</w:t>
      </w:r>
      <w:r w:rsidR="00F96466" w:rsidRPr="00AC7317">
        <w:rPr>
          <w:rFonts w:ascii="Times New Roman" w:hAnsi="Times New Roman" w:cs="Times New Roman"/>
          <w:sz w:val="24"/>
          <w:szCs w:val="24"/>
        </w:rPr>
        <w:t xml:space="preserve"> imposed on BAP</w:t>
      </w:r>
    </w:p>
    <w:p w14:paraId="72FB5206" w14:textId="0E754A19" w:rsidR="002E6A0D" w:rsidRPr="00AC7317" w:rsidRDefault="00F96466" w:rsidP="00216BA2">
      <w:pPr>
        <w:pStyle w:val="FirstParagraph"/>
        <w:spacing w:line="480" w:lineRule="auto"/>
        <w:jc w:val="both"/>
        <w:rPr>
          <w:rFonts w:ascii="Times New Roman" w:hAnsi="Times New Roman" w:cs="Times New Roman"/>
        </w:rPr>
      </w:pPr>
      <w:r w:rsidRPr="00AC7317">
        <w:rPr>
          <w:rFonts w:ascii="Times New Roman" w:hAnsi="Times New Roman" w:cs="Times New Roman"/>
        </w:rPr>
        <w:t xml:space="preserve">The trade reallocation effects, as shown in </w:t>
      </w:r>
      <w:hyperlink w:anchor="figure3">
        <w:r w:rsidR="006B5A0E" w:rsidRPr="00AC7317">
          <w:rPr>
            <w:rStyle w:val="Hyperlink"/>
            <w:rFonts w:ascii="Times New Roman" w:hAnsi="Times New Roman" w:cs="Times New Roman"/>
          </w:rPr>
          <w:t>figures 3</w:t>
        </w:r>
      </w:hyperlink>
      <w:r w:rsidR="006B5A0E" w:rsidRPr="00AC7317">
        <w:rPr>
          <w:rFonts w:ascii="Times New Roman" w:hAnsi="Times New Roman" w:cs="Times New Roman"/>
        </w:rPr>
        <w:t>-5</w:t>
      </w:r>
      <w:r w:rsidRPr="00AC7317">
        <w:rPr>
          <w:rFonts w:ascii="Times New Roman" w:hAnsi="Times New Roman" w:cs="Times New Roman"/>
        </w:rPr>
        <w:t>, are higher for non-compliance. Under compliance, the trade relationship could possibly remain the same as it is. Under non-compliance, soybean exports to China increase substantially</w:t>
      </w:r>
      <w:r w:rsidR="00314C78" w:rsidRPr="00AC7317">
        <w:rPr>
          <w:rFonts w:ascii="Times New Roman" w:hAnsi="Times New Roman" w:cs="Times New Roman"/>
        </w:rPr>
        <w:t xml:space="preserve">, with Brazil up 12% and Paraguay </w:t>
      </w:r>
      <w:r w:rsidR="00314C78" w:rsidRPr="00AC7317">
        <w:rPr>
          <w:rFonts w:ascii="Times New Roman" w:hAnsi="Times New Roman" w:cs="Times New Roman"/>
        </w:rPr>
        <w:lastRenderedPageBreak/>
        <w:t>up</w:t>
      </w:r>
      <w:r w:rsidRPr="00AC7317">
        <w:rPr>
          <w:rFonts w:ascii="Times New Roman" w:hAnsi="Times New Roman" w:cs="Times New Roman"/>
        </w:rPr>
        <w:t xml:space="preserve"> 16.7%. The soybean oil exports to China from Brazil, Argentina, and Paraguay increased by 2.9%, 0.8%, and 22.5%, respectively. The largest changes appear in soybean cake exports. Brazil’s soybean cake exports to China surge by 1184.3%, Argentina’s increase by 679.5%, and Paraguay’s increase by 562.5%. Further, all three countries also experience an increase in their exports to the rest of the world.</w:t>
      </w:r>
    </w:p>
    <w:p w14:paraId="4270C3DD" w14:textId="2D0DA681" w:rsidR="009A1785" w:rsidRPr="00AC7317" w:rsidRDefault="009A1785" w:rsidP="009A1785">
      <w:pPr>
        <w:pStyle w:val="BodyText"/>
        <w:spacing w:line="480" w:lineRule="auto"/>
        <w:jc w:val="both"/>
      </w:pPr>
      <w:r w:rsidRPr="00AC7317">
        <w:rPr>
          <w:noProof/>
        </w:rPr>
        <w:drawing>
          <wp:inline distT="0" distB="0" distL="0" distR="0" wp14:anchorId="0433632F" wp14:editId="1BED11D6">
            <wp:extent cx="5943600" cy="3302000"/>
            <wp:effectExtent l="0" t="0" r="0" b="0"/>
            <wp:docPr id="2112185614" name="Picture 2"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85614" name="Picture 2" descr="A table of numbers and symbol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p>
    <w:p w14:paraId="6C7BE19E" w14:textId="7B16BB31" w:rsidR="00E70B3B"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t xml:space="preserve"> </w:t>
      </w:r>
      <w:bookmarkStart w:id="11" w:name="figure3"/>
    </w:p>
    <w:p w14:paraId="2E86ABAA" w14:textId="44A86C3C"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t>Figure 3</w:t>
      </w:r>
      <w:bookmarkEnd w:id="11"/>
      <w:r w:rsidRPr="00AC7317">
        <w:rPr>
          <w:rFonts w:ascii="Times New Roman" w:hAnsi="Times New Roman" w:cs="Times New Roman"/>
        </w:rPr>
        <w:t>: Trade reallocation effect of the EUDR in soybean trade</w:t>
      </w:r>
      <w:r w:rsidR="00C726FD" w:rsidRPr="00AC7317">
        <w:rPr>
          <w:rFonts w:ascii="Times New Roman" w:hAnsi="Times New Roman" w:cs="Times New Roman"/>
        </w:rPr>
        <w:t xml:space="preserve"> under compliance and non-compliance scenarios</w:t>
      </w:r>
      <w:r w:rsidRPr="00AC7317">
        <w:rPr>
          <w:rFonts w:ascii="Times New Roman" w:hAnsi="Times New Roman" w:cs="Times New Roman"/>
        </w:rPr>
        <w:t xml:space="preserve">. The </w:t>
      </w:r>
      <w:r w:rsidR="002A3A13" w:rsidRPr="00AC7317">
        <w:rPr>
          <w:rFonts w:ascii="Times New Roman" w:hAnsi="Times New Roman" w:cs="Times New Roman"/>
        </w:rPr>
        <w:t xml:space="preserve">figure shows the </w:t>
      </w:r>
      <w:r w:rsidRPr="00AC7317">
        <w:rPr>
          <w:rFonts w:ascii="Times New Roman" w:hAnsi="Times New Roman" w:cs="Times New Roman"/>
        </w:rPr>
        <w:t>percentage change in export</w:t>
      </w:r>
      <w:r w:rsidR="002A3A13" w:rsidRPr="00AC7317">
        <w:rPr>
          <w:rFonts w:ascii="Times New Roman" w:hAnsi="Times New Roman" w:cs="Times New Roman"/>
        </w:rPr>
        <w:t xml:space="preserve">s </w:t>
      </w:r>
      <w:r w:rsidR="0079566D" w:rsidRPr="00AC7317">
        <w:rPr>
          <w:rFonts w:ascii="Times New Roman" w:hAnsi="Times New Roman" w:cs="Times New Roman"/>
        </w:rPr>
        <w:t>from the</w:t>
      </w:r>
      <w:r w:rsidR="002A3A13" w:rsidRPr="00AC7317">
        <w:rPr>
          <w:rFonts w:ascii="Times New Roman" w:hAnsi="Times New Roman" w:cs="Times New Roman"/>
        </w:rPr>
        <w:t xml:space="preserve"> countr</w:t>
      </w:r>
      <w:r w:rsidR="0079566D" w:rsidRPr="00AC7317">
        <w:rPr>
          <w:rFonts w:ascii="Times New Roman" w:hAnsi="Times New Roman" w:cs="Times New Roman"/>
        </w:rPr>
        <w:t>ies</w:t>
      </w:r>
      <w:r w:rsidR="00C726FD" w:rsidRPr="00AC7317">
        <w:rPr>
          <w:rFonts w:ascii="Times New Roman" w:hAnsi="Times New Roman" w:cs="Times New Roman"/>
        </w:rPr>
        <w:t xml:space="preserve"> and regions</w:t>
      </w:r>
      <w:r w:rsidR="0079566D" w:rsidRPr="00AC7317">
        <w:rPr>
          <w:rFonts w:ascii="Times New Roman" w:hAnsi="Times New Roman" w:cs="Times New Roman"/>
        </w:rPr>
        <w:t xml:space="preserve"> in the rows to </w:t>
      </w:r>
      <w:r w:rsidR="00C726FD" w:rsidRPr="00AC7317">
        <w:rPr>
          <w:rFonts w:ascii="Times New Roman" w:hAnsi="Times New Roman" w:cs="Times New Roman"/>
        </w:rPr>
        <w:t>China, the EU</w:t>
      </w:r>
      <w:r w:rsidR="00B142C3" w:rsidRPr="00AC7317">
        <w:rPr>
          <w:rFonts w:ascii="Times New Roman" w:hAnsi="Times New Roman" w:cs="Times New Roman"/>
        </w:rPr>
        <w:t>,</w:t>
      </w:r>
      <w:r w:rsidR="00C726FD" w:rsidRPr="00AC7317">
        <w:rPr>
          <w:rFonts w:ascii="Times New Roman" w:hAnsi="Times New Roman" w:cs="Times New Roman"/>
        </w:rPr>
        <w:t xml:space="preserve"> and the rest of the world (ROW)</w:t>
      </w:r>
      <w:r w:rsidRPr="00AC7317">
        <w:rPr>
          <w:rFonts w:ascii="Times New Roman" w:hAnsi="Times New Roman" w:cs="Times New Roman"/>
        </w:rPr>
        <w:t xml:space="preserve"> relative to </w:t>
      </w:r>
      <w:r w:rsidR="002A3A13" w:rsidRPr="00AC7317">
        <w:rPr>
          <w:rFonts w:ascii="Times New Roman" w:hAnsi="Times New Roman" w:cs="Times New Roman"/>
        </w:rPr>
        <w:t xml:space="preserve">a </w:t>
      </w:r>
      <w:r w:rsidRPr="00AC7317">
        <w:rPr>
          <w:rFonts w:ascii="Times New Roman" w:hAnsi="Times New Roman" w:cs="Times New Roman"/>
        </w:rPr>
        <w:t xml:space="preserve">baseline without the EUDR. </w:t>
      </w:r>
      <w:r w:rsidR="00E70B3B" w:rsidRPr="00AC7317">
        <w:rPr>
          <w:rFonts w:ascii="Times New Roman" w:hAnsi="Times New Roman" w:cs="Times New Roman"/>
        </w:rPr>
        <w:t>Red denotes</w:t>
      </w:r>
      <w:r w:rsidRPr="00AC7317">
        <w:rPr>
          <w:rFonts w:ascii="Times New Roman" w:hAnsi="Times New Roman" w:cs="Times New Roman"/>
        </w:rPr>
        <w:t xml:space="preserve"> </w:t>
      </w:r>
      <w:r w:rsidR="00B142C3" w:rsidRPr="00AC7317">
        <w:rPr>
          <w:rFonts w:ascii="Times New Roman" w:hAnsi="Times New Roman" w:cs="Times New Roman"/>
        </w:rPr>
        <w:t>a reduction in exports; blue denotes an increase</w:t>
      </w:r>
      <w:r w:rsidRPr="00AC7317">
        <w:rPr>
          <w:rFonts w:ascii="Times New Roman" w:hAnsi="Times New Roman" w:cs="Times New Roman"/>
        </w:rPr>
        <w:t>. ROSA: Rest of South America, ROE: Rest of Europe</w:t>
      </w:r>
    </w:p>
    <w:p w14:paraId="44C91A97" w14:textId="3B39FB04" w:rsidR="005264F7" w:rsidRPr="00AC7317" w:rsidRDefault="005264F7" w:rsidP="005264F7">
      <w:pPr>
        <w:pStyle w:val="BodyText"/>
        <w:spacing w:line="480" w:lineRule="auto"/>
        <w:jc w:val="both"/>
        <w:rPr>
          <w:rFonts w:ascii="Times New Roman" w:hAnsi="Times New Roman" w:cs="Times New Roman"/>
        </w:rPr>
      </w:pPr>
      <w:r w:rsidRPr="00AC7317">
        <w:rPr>
          <w:rFonts w:ascii="Times New Roman" w:hAnsi="Times New Roman" w:cs="Times New Roman"/>
          <w:noProof/>
        </w:rPr>
        <w:lastRenderedPageBreak/>
        <w:drawing>
          <wp:inline distT="0" distB="0" distL="0" distR="0" wp14:anchorId="181DA82A" wp14:editId="68B64F5D">
            <wp:extent cx="5943600" cy="3302000"/>
            <wp:effectExtent l="0" t="0" r="0" b="0"/>
            <wp:docPr id="827226183" name="Picture 4"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26183" name="Picture 4" descr="A table with numbers and symbol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p>
    <w:p w14:paraId="42F238D4" w14:textId="265AE219" w:rsidR="006B5A0E" w:rsidRPr="00AC7317" w:rsidRDefault="00F96466" w:rsidP="006B5A0E">
      <w:pPr>
        <w:pStyle w:val="BodyText"/>
        <w:spacing w:line="480" w:lineRule="auto"/>
        <w:jc w:val="both"/>
        <w:rPr>
          <w:rFonts w:ascii="Times New Roman" w:hAnsi="Times New Roman" w:cs="Times New Roman"/>
        </w:rPr>
      </w:pPr>
      <w:r w:rsidRPr="00AC7317">
        <w:rPr>
          <w:rFonts w:ascii="Times New Roman" w:hAnsi="Times New Roman" w:cs="Times New Roman"/>
        </w:rPr>
        <w:t xml:space="preserve"> </w:t>
      </w:r>
      <w:bookmarkStart w:id="12" w:name="figure4"/>
      <w:r w:rsidRPr="00AC7317">
        <w:rPr>
          <w:rFonts w:ascii="Times New Roman" w:hAnsi="Times New Roman" w:cs="Times New Roman"/>
        </w:rPr>
        <w:t>Figure 4</w:t>
      </w:r>
      <w:bookmarkEnd w:id="12"/>
      <w:r w:rsidRPr="00AC7317">
        <w:rPr>
          <w:rFonts w:ascii="Times New Roman" w:hAnsi="Times New Roman" w:cs="Times New Roman"/>
        </w:rPr>
        <w:t xml:space="preserve">: Trade reallocation effect of the EUDR in </w:t>
      </w:r>
      <w:r w:rsidR="005E5A85" w:rsidRPr="00AC7317">
        <w:rPr>
          <w:rFonts w:ascii="Times New Roman" w:hAnsi="Times New Roman" w:cs="Times New Roman"/>
        </w:rPr>
        <w:t xml:space="preserve">the </w:t>
      </w:r>
      <w:r w:rsidRPr="00AC7317">
        <w:rPr>
          <w:rFonts w:ascii="Times New Roman" w:hAnsi="Times New Roman" w:cs="Times New Roman"/>
        </w:rPr>
        <w:t xml:space="preserve">soybean oil </w:t>
      </w:r>
      <w:r w:rsidR="00C726FD" w:rsidRPr="00AC7317">
        <w:rPr>
          <w:rFonts w:ascii="Times New Roman" w:hAnsi="Times New Roman" w:cs="Times New Roman"/>
        </w:rPr>
        <w:t>trade under compliance and non-compliance scenarios</w:t>
      </w:r>
      <w:r w:rsidRPr="00AC7317">
        <w:rPr>
          <w:rFonts w:ascii="Times New Roman" w:hAnsi="Times New Roman" w:cs="Times New Roman"/>
        </w:rPr>
        <w:t xml:space="preserve">. </w:t>
      </w:r>
      <w:r w:rsidR="006B5A0E" w:rsidRPr="00AC7317">
        <w:rPr>
          <w:rFonts w:ascii="Times New Roman" w:hAnsi="Times New Roman" w:cs="Times New Roman"/>
        </w:rPr>
        <w:t>The figure shows the percentage change in exports from the countries and regions in the rows to China, the EU, and the rest of the world (ROW) relative to a baseline without the EUDR. Red denotes a reduction in exports; blue denotes an increase. ROSA: Rest of South America, ROE: Rest of Europe.</w:t>
      </w:r>
    </w:p>
    <w:p w14:paraId="46A4D4A0" w14:textId="17715B1E" w:rsidR="00DB477F" w:rsidRPr="00AC7317" w:rsidRDefault="00DB477F" w:rsidP="00DB477F">
      <w:pPr>
        <w:pStyle w:val="BodyText"/>
        <w:spacing w:line="480" w:lineRule="auto"/>
        <w:jc w:val="both"/>
        <w:rPr>
          <w:rFonts w:ascii="Times New Roman" w:hAnsi="Times New Roman" w:cs="Times New Roman"/>
        </w:rPr>
      </w:pPr>
      <w:r w:rsidRPr="00AC7317">
        <w:rPr>
          <w:rFonts w:ascii="Times New Roman" w:hAnsi="Times New Roman" w:cs="Times New Roman"/>
          <w:noProof/>
        </w:rPr>
        <w:lastRenderedPageBreak/>
        <w:drawing>
          <wp:inline distT="0" distB="0" distL="0" distR="0" wp14:anchorId="43985940" wp14:editId="7CDB68F3">
            <wp:extent cx="5943600" cy="3302000"/>
            <wp:effectExtent l="0" t="0" r="0" b="0"/>
            <wp:docPr id="242772202" name="Picture 6"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72202" name="Picture 6" descr="A table of numbers and symbol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p>
    <w:p w14:paraId="5065FE6E" w14:textId="25F42829" w:rsidR="006B5A0E" w:rsidRPr="00AC7317" w:rsidRDefault="00F96466" w:rsidP="006B5A0E">
      <w:pPr>
        <w:pStyle w:val="BodyText"/>
        <w:spacing w:line="480" w:lineRule="auto"/>
        <w:jc w:val="both"/>
        <w:rPr>
          <w:rFonts w:ascii="Times New Roman" w:hAnsi="Times New Roman" w:cs="Times New Roman"/>
        </w:rPr>
      </w:pPr>
      <w:bookmarkStart w:id="13" w:name="figure5"/>
      <w:r w:rsidRPr="00AC7317">
        <w:rPr>
          <w:rFonts w:ascii="Times New Roman" w:hAnsi="Times New Roman" w:cs="Times New Roman"/>
        </w:rPr>
        <w:t>Figure 5</w:t>
      </w:r>
      <w:bookmarkEnd w:id="13"/>
      <w:r w:rsidRPr="00AC7317">
        <w:rPr>
          <w:rFonts w:ascii="Times New Roman" w:hAnsi="Times New Roman" w:cs="Times New Roman"/>
        </w:rPr>
        <w:t xml:space="preserve">: Trade reallocation effect of the EUDR in </w:t>
      </w:r>
      <w:r w:rsidR="005E5A85" w:rsidRPr="00AC7317">
        <w:rPr>
          <w:rFonts w:ascii="Times New Roman" w:hAnsi="Times New Roman" w:cs="Times New Roman"/>
        </w:rPr>
        <w:t xml:space="preserve">the </w:t>
      </w:r>
      <w:r w:rsidRPr="00AC7317">
        <w:rPr>
          <w:rFonts w:ascii="Times New Roman" w:hAnsi="Times New Roman" w:cs="Times New Roman"/>
        </w:rPr>
        <w:t xml:space="preserve">soybean </w:t>
      </w:r>
      <w:r w:rsidR="005E5A85" w:rsidRPr="00AC7317">
        <w:rPr>
          <w:rFonts w:ascii="Times New Roman" w:hAnsi="Times New Roman" w:cs="Times New Roman"/>
        </w:rPr>
        <w:t>cake</w:t>
      </w:r>
      <w:r w:rsidRPr="00AC7317">
        <w:rPr>
          <w:rFonts w:ascii="Times New Roman" w:hAnsi="Times New Roman" w:cs="Times New Roman"/>
        </w:rPr>
        <w:t xml:space="preserve"> trade</w:t>
      </w:r>
      <w:r w:rsidR="0079566D" w:rsidRPr="00AC7317">
        <w:rPr>
          <w:rFonts w:ascii="Times New Roman" w:hAnsi="Times New Roman" w:cs="Times New Roman"/>
        </w:rPr>
        <w:t xml:space="preserve"> under compliance and non-compliance scenarios</w:t>
      </w:r>
      <w:r w:rsidRPr="00AC7317">
        <w:rPr>
          <w:rFonts w:ascii="Times New Roman" w:hAnsi="Times New Roman" w:cs="Times New Roman"/>
        </w:rPr>
        <w:t xml:space="preserve">. </w:t>
      </w:r>
      <w:r w:rsidR="006B5A0E" w:rsidRPr="00AC7317">
        <w:rPr>
          <w:rFonts w:ascii="Times New Roman" w:hAnsi="Times New Roman" w:cs="Times New Roman"/>
        </w:rPr>
        <w:t xml:space="preserve"> The figure shows the percentage change in exports from the countries and regions in the rows to China, the EU, and the rest of the world (ROW) relative to a baseline without the EUDR. Red denotes a reduction in exports; blue denotes an increase. ROSA: Rest of South America, ROE: Rest of Europe.</w:t>
      </w:r>
    </w:p>
    <w:p w14:paraId="219980E4" w14:textId="1A674A22" w:rsidR="002E6A0D" w:rsidRPr="00AC7317" w:rsidRDefault="00C43A44" w:rsidP="00AA3D1D">
      <w:pPr>
        <w:pStyle w:val="BodyText"/>
        <w:spacing w:line="480" w:lineRule="auto"/>
        <w:jc w:val="both"/>
        <w:rPr>
          <w:rFonts w:ascii="Times New Roman" w:hAnsi="Times New Roman" w:cs="Times New Roman"/>
        </w:rPr>
      </w:pPr>
      <w:bookmarkStart w:id="14" w:name="Xdd2dbe34b6b9fbd1ca1ea41ba71af226c2400b3"/>
      <w:bookmarkEnd w:id="10"/>
      <w:r w:rsidRPr="00AC7317">
        <w:rPr>
          <w:rFonts w:ascii="Times New Roman" w:hAnsi="Times New Roman" w:cs="Times New Roman"/>
        </w:rPr>
        <w:t>5</w:t>
      </w:r>
      <w:r w:rsidR="00F96466" w:rsidRPr="00AC7317">
        <w:rPr>
          <w:rFonts w:ascii="Times New Roman" w:hAnsi="Times New Roman" w:cs="Times New Roman"/>
        </w:rPr>
        <w:t>.3 The US and Canada export increase substantially to the EU if restrictions target BAP</w:t>
      </w:r>
    </w:p>
    <w:p w14:paraId="18F27C34" w14:textId="77777777" w:rsidR="002E6A0D" w:rsidRPr="00AC7317" w:rsidRDefault="00F96466" w:rsidP="00216BA2">
      <w:pPr>
        <w:pStyle w:val="FirstParagraph"/>
        <w:spacing w:line="480" w:lineRule="auto"/>
        <w:jc w:val="both"/>
        <w:rPr>
          <w:rFonts w:ascii="Times New Roman" w:hAnsi="Times New Roman" w:cs="Times New Roman"/>
        </w:rPr>
      </w:pPr>
      <w:r w:rsidRPr="00AC7317">
        <w:rPr>
          <w:rFonts w:ascii="Times New Roman" w:hAnsi="Times New Roman" w:cs="Times New Roman"/>
        </w:rPr>
        <w:t xml:space="preserve">In the non-compliance scenario, there is a significant shift of exports to the EU market from the US and Canada. US soybean exports to the EU rise by 198.2%, while Canadian exports increase by 118.2%. Soybean oil exports from both countries </w:t>
      </w:r>
      <w:proofErr w:type="gramStart"/>
      <w:r w:rsidRPr="00AC7317">
        <w:rPr>
          <w:rFonts w:ascii="Times New Roman" w:hAnsi="Times New Roman" w:cs="Times New Roman"/>
        </w:rPr>
        <w:t>grow</w:t>
      </w:r>
      <w:proofErr w:type="gramEnd"/>
      <w:r w:rsidRPr="00AC7317">
        <w:rPr>
          <w:rFonts w:ascii="Times New Roman" w:hAnsi="Times New Roman" w:cs="Times New Roman"/>
        </w:rPr>
        <w:t xml:space="preserve"> by about 22-23%. The most dramatic changes are seen in soybean cake exports, with US exports soaring by 968.5% and Canadian exports by 549.1%. This surge is driven by the EU’s large share of the global import market (32.16%, or USD 10,989.3 million), with Brazil and Argentina the top suppliers of soybean cake to the EU with around 65% share of the EU imports.</w:t>
      </w:r>
    </w:p>
    <w:p w14:paraId="29939469" w14:textId="0793ACC8" w:rsidR="002E6A0D" w:rsidRPr="00AC7317" w:rsidRDefault="00C43A44" w:rsidP="00216BA2">
      <w:pPr>
        <w:pStyle w:val="Heading2"/>
        <w:spacing w:line="480" w:lineRule="auto"/>
        <w:jc w:val="both"/>
        <w:rPr>
          <w:rFonts w:ascii="Times New Roman" w:hAnsi="Times New Roman" w:cs="Times New Roman"/>
          <w:sz w:val="24"/>
          <w:szCs w:val="24"/>
        </w:rPr>
      </w:pPr>
      <w:bookmarkStart w:id="15" w:name="Xa5f4c5435b3184eaef42308776bca5aa611cabd"/>
      <w:bookmarkEnd w:id="14"/>
      <w:r w:rsidRPr="00AC7317">
        <w:rPr>
          <w:rFonts w:ascii="Times New Roman" w:hAnsi="Times New Roman" w:cs="Times New Roman"/>
          <w:sz w:val="24"/>
          <w:szCs w:val="24"/>
        </w:rPr>
        <w:lastRenderedPageBreak/>
        <w:t>5</w:t>
      </w:r>
      <w:r w:rsidR="00F96466" w:rsidRPr="00AC7317">
        <w:rPr>
          <w:rFonts w:ascii="Times New Roman" w:hAnsi="Times New Roman" w:cs="Times New Roman"/>
          <w:sz w:val="24"/>
          <w:szCs w:val="24"/>
        </w:rPr>
        <w:t>.4 The EU faces rising prices and declining terms of trade</w:t>
      </w:r>
    </w:p>
    <w:p w14:paraId="1DB1387E" w14:textId="142B1CD8" w:rsidR="002E6A0D" w:rsidRPr="00AC7317" w:rsidRDefault="00F96466" w:rsidP="00216BA2">
      <w:pPr>
        <w:pStyle w:val="FirstParagraph"/>
        <w:spacing w:line="480" w:lineRule="auto"/>
        <w:jc w:val="both"/>
        <w:rPr>
          <w:rFonts w:ascii="Times New Roman" w:hAnsi="Times New Roman" w:cs="Times New Roman"/>
        </w:rPr>
      </w:pPr>
      <w:r w:rsidRPr="00AC7317">
        <w:rPr>
          <w:rFonts w:ascii="Times New Roman" w:hAnsi="Times New Roman" w:cs="Times New Roman"/>
        </w:rPr>
        <w:t xml:space="preserve">As illustrated in </w:t>
      </w:r>
      <w:r w:rsidR="009C6453" w:rsidRPr="00AC7317">
        <w:rPr>
          <w:rFonts w:ascii="Times New Roman" w:hAnsi="Times New Roman" w:cs="Times New Roman"/>
        </w:rPr>
        <w:t>f</w:t>
      </w:r>
      <w:r w:rsidRPr="00AC7317">
        <w:rPr>
          <w:rFonts w:ascii="Times New Roman" w:hAnsi="Times New Roman" w:cs="Times New Roman"/>
        </w:rPr>
        <w:t xml:space="preserve">igure 6, the EU would bear substantial expenditure loss if BAP </w:t>
      </w:r>
      <w:proofErr w:type="gramStart"/>
      <w:r w:rsidRPr="00AC7317">
        <w:rPr>
          <w:rFonts w:ascii="Times New Roman" w:hAnsi="Times New Roman" w:cs="Times New Roman"/>
        </w:rPr>
        <w:t>do</w:t>
      </w:r>
      <w:proofErr w:type="gramEnd"/>
      <w:r w:rsidRPr="00AC7317">
        <w:rPr>
          <w:rFonts w:ascii="Times New Roman" w:hAnsi="Times New Roman" w:cs="Times New Roman"/>
        </w:rPr>
        <w:t xml:space="preserve"> not comply with the EUDR. Among the three products, the EU experiences the highest welfare losses in soybeans, followed by soybean cake and soybean oil. In the soybean trade, EU expenditure losses can reach $18,179.84 million, accompanied by average price increases of 60.26%. The EU could face expenditure losses </w:t>
      </w:r>
      <w:r w:rsidR="00EF0BB4" w:rsidRPr="00AC7317">
        <w:rPr>
          <w:rFonts w:ascii="Times New Roman" w:hAnsi="Times New Roman" w:cs="Times New Roman"/>
        </w:rPr>
        <w:t>of</w:t>
      </w:r>
      <w:r w:rsidRPr="00AC7317">
        <w:rPr>
          <w:rFonts w:ascii="Times New Roman" w:hAnsi="Times New Roman" w:cs="Times New Roman"/>
        </w:rPr>
        <w:t xml:space="preserve"> $</w:t>
      </w:r>
      <w:r w:rsidR="008879D8" w:rsidRPr="00AC7317">
        <w:rPr>
          <w:rFonts w:ascii="Times New Roman" w:hAnsi="Times New Roman" w:cs="Times New Roman"/>
        </w:rPr>
        <w:t xml:space="preserve"> 1,357.54 million for soybean oil and $ 16,481.93</w:t>
      </w:r>
      <w:r w:rsidRPr="00AC7317">
        <w:rPr>
          <w:rFonts w:ascii="Times New Roman" w:hAnsi="Times New Roman" w:cs="Times New Roman"/>
        </w:rPr>
        <w:t xml:space="preserve"> million for soybean cake. The economic burden is disproportionately concentrated among major European importers, which have larger relative shares of imports (see </w:t>
      </w:r>
      <w:hyperlink w:anchor="figurea42">
        <w:r w:rsidR="008879D8" w:rsidRPr="00AC7317">
          <w:rPr>
            <w:rStyle w:val="Hyperlink"/>
            <w:rFonts w:ascii="Times New Roman" w:hAnsi="Times New Roman" w:cs="Times New Roman"/>
          </w:rPr>
          <w:t>a</w:t>
        </w:r>
        <w:r w:rsidR="002E6A0D" w:rsidRPr="00AC7317">
          <w:rPr>
            <w:rStyle w:val="Hyperlink"/>
            <w:rFonts w:ascii="Times New Roman" w:hAnsi="Times New Roman" w:cs="Times New Roman"/>
          </w:rPr>
          <w:t xml:space="preserve">ppendix </w:t>
        </w:r>
        <w:r w:rsidR="008879D8" w:rsidRPr="00AC7317">
          <w:rPr>
            <w:rStyle w:val="Hyperlink"/>
            <w:rFonts w:ascii="Times New Roman" w:hAnsi="Times New Roman" w:cs="Times New Roman"/>
          </w:rPr>
          <w:t>f</w:t>
        </w:r>
        <w:r w:rsidR="002E6A0D" w:rsidRPr="00AC7317">
          <w:rPr>
            <w:rStyle w:val="Hyperlink"/>
            <w:rFonts w:ascii="Times New Roman" w:hAnsi="Times New Roman" w:cs="Times New Roman"/>
          </w:rPr>
          <w:t>igure A4.2</w:t>
        </w:r>
      </w:hyperlink>
      <w:r w:rsidRPr="00AC7317">
        <w:rPr>
          <w:rFonts w:ascii="Times New Roman" w:hAnsi="Times New Roman" w:cs="Times New Roman"/>
        </w:rPr>
        <w:t xml:space="preserve">). Spain, the Netherlands, Italy, and Germany face the </w:t>
      </w:r>
      <w:r w:rsidR="008879D8" w:rsidRPr="00AC7317">
        <w:rPr>
          <w:rFonts w:ascii="Times New Roman" w:hAnsi="Times New Roman" w:cs="Times New Roman"/>
        </w:rPr>
        <w:t>largest expenditure losses on</w:t>
      </w:r>
      <w:r w:rsidRPr="00AC7317">
        <w:rPr>
          <w:rFonts w:ascii="Times New Roman" w:hAnsi="Times New Roman" w:cs="Times New Roman"/>
        </w:rPr>
        <w:t xml:space="preserve"> soybeans. Similarly, these countries, along with Poland, France, Denmark, and Belgium, experience the highest expenditure losses in soybean cake and soybean oil. Most EU countries experience expenditure losses, increases in producer prices, and increases in price indices but experience decreases in terms of trade (see </w:t>
      </w:r>
      <w:hyperlink w:anchor="figurea61">
        <w:r w:rsidR="008879D8" w:rsidRPr="00AC7317">
          <w:rPr>
            <w:rStyle w:val="Hyperlink"/>
            <w:rFonts w:ascii="Times New Roman" w:hAnsi="Times New Roman" w:cs="Times New Roman"/>
          </w:rPr>
          <w:t>a</w:t>
        </w:r>
        <w:r w:rsidR="002E6A0D" w:rsidRPr="00AC7317">
          <w:rPr>
            <w:rStyle w:val="Hyperlink"/>
            <w:rFonts w:ascii="Times New Roman" w:hAnsi="Times New Roman" w:cs="Times New Roman"/>
          </w:rPr>
          <w:t>ppendix A5.1(d)</w:t>
        </w:r>
      </w:hyperlink>
      <w:r w:rsidRPr="00AC7317">
        <w:rPr>
          <w:rFonts w:ascii="Times New Roman" w:hAnsi="Times New Roman" w:cs="Times New Roman"/>
        </w:rPr>
        <w:t>). This indicates that the EU lacks sufficient market leverage to benefit from import restrictions, as it remains heavily dependent on imports.</w:t>
      </w:r>
    </w:p>
    <w:p w14:paraId="0DB02803" w14:textId="77777777" w:rsidR="00EF0BB4" w:rsidRPr="00AC7317" w:rsidRDefault="00F96466" w:rsidP="00216BA2">
      <w:pPr>
        <w:pStyle w:val="BodyText"/>
        <w:spacing w:line="480" w:lineRule="auto"/>
        <w:jc w:val="both"/>
        <w:rPr>
          <w:rFonts w:ascii="Times New Roman" w:hAnsi="Times New Roman" w:cs="Times New Roman"/>
        </w:rPr>
      </w:pPr>
      <w:bookmarkStart w:id="16" w:name="fig-n1"/>
      <w:r w:rsidRPr="00AC7317">
        <w:rPr>
          <w:rFonts w:ascii="Times New Roman" w:hAnsi="Times New Roman" w:cs="Times New Roman"/>
          <w:noProof/>
        </w:rPr>
        <w:drawing>
          <wp:inline distT="0" distB="0" distL="0" distR="0" wp14:anchorId="35D36359" wp14:editId="09972620">
            <wp:extent cx="5334000" cy="266700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images/welfare_loss_eu1.png"/>
                    <pic:cNvPicPr>
                      <a:picLocks noChangeAspect="1" noChangeArrowheads="1"/>
                    </pic:cNvPicPr>
                  </pic:nvPicPr>
                  <pic:blipFill>
                    <a:blip r:embed="rId16"/>
                    <a:stretch>
                      <a:fillRect/>
                    </a:stretch>
                  </pic:blipFill>
                  <pic:spPr bwMode="auto">
                    <a:xfrm>
                      <a:off x="0" y="0"/>
                      <a:ext cx="5334000" cy="2667000"/>
                    </a:xfrm>
                    <a:prstGeom prst="rect">
                      <a:avLst/>
                    </a:prstGeom>
                    <a:noFill/>
                    <a:ln w="9525">
                      <a:noFill/>
                      <a:headEnd/>
                      <a:tailEnd/>
                    </a:ln>
                  </pic:spPr>
                </pic:pic>
              </a:graphicData>
            </a:graphic>
          </wp:inline>
        </w:drawing>
      </w:r>
      <w:bookmarkEnd w:id="16"/>
      <w:r w:rsidRPr="00AC7317">
        <w:rPr>
          <w:rFonts w:ascii="Times New Roman" w:hAnsi="Times New Roman" w:cs="Times New Roman"/>
        </w:rPr>
        <w:t xml:space="preserve"> </w:t>
      </w:r>
    </w:p>
    <w:p w14:paraId="32D10407" w14:textId="1050FABF"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lastRenderedPageBreak/>
        <w:t xml:space="preserve">Figure 6: Expenditure loss (million USD) faced by EU27 under the EUDR simulation. The loss is measured relative to the baseline without the EUDR. The </w:t>
      </w:r>
      <w:r w:rsidR="00EF0BB4" w:rsidRPr="00AC7317">
        <w:rPr>
          <w:rFonts w:ascii="Times New Roman" w:hAnsi="Times New Roman" w:cs="Times New Roman"/>
        </w:rPr>
        <w:t>percentages in parentheses</w:t>
      </w:r>
      <w:r w:rsidRPr="00AC7317">
        <w:rPr>
          <w:rFonts w:ascii="Times New Roman" w:hAnsi="Times New Roman" w:cs="Times New Roman"/>
        </w:rPr>
        <w:t xml:space="preserve"> denote </w:t>
      </w:r>
      <w:r w:rsidR="00EF0BB4" w:rsidRPr="00AC7317">
        <w:rPr>
          <w:rFonts w:ascii="Times New Roman" w:hAnsi="Times New Roman" w:cs="Times New Roman"/>
        </w:rPr>
        <w:t>the average</w:t>
      </w:r>
      <w:r w:rsidRPr="00AC7317">
        <w:rPr>
          <w:rFonts w:ascii="Times New Roman" w:hAnsi="Times New Roman" w:cs="Times New Roman"/>
        </w:rPr>
        <w:t xml:space="preserve"> change in </w:t>
      </w:r>
      <w:r w:rsidR="00EF0BB4" w:rsidRPr="00AC7317">
        <w:rPr>
          <w:rFonts w:ascii="Times New Roman" w:hAnsi="Times New Roman" w:cs="Times New Roman"/>
        </w:rPr>
        <w:t xml:space="preserve">the </w:t>
      </w:r>
      <w:r w:rsidRPr="00AC7317">
        <w:rPr>
          <w:rFonts w:ascii="Times New Roman" w:hAnsi="Times New Roman" w:cs="Times New Roman"/>
        </w:rPr>
        <w:t>price index in the EU countries.</w:t>
      </w:r>
    </w:p>
    <w:p w14:paraId="17945A9C" w14:textId="77777777"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t xml:space="preserve">Note: The expenditure loss is measured as </w:t>
      </w:r>
      <m:oMath>
        <m:d>
          <m:dPr>
            <m:begChr m:val="["/>
            <m:endChr m:val="]"/>
            <m:ctrlPr>
              <w:rPr>
                <w:rFonts w:ascii="Cambria Math" w:hAnsi="Cambria Math" w:cs="Times New Roman"/>
              </w:rPr>
            </m:ctrlPr>
          </m:dPr>
          <m:e>
            <m:f>
              <m:fPr>
                <m:ctrlPr>
                  <w:rPr>
                    <w:rFonts w:ascii="Cambria Math" w:hAnsi="Cambria Math" w:cs="Times New Roman"/>
                  </w:rPr>
                </m:ctrlPr>
              </m:fPr>
              <m:num>
                <m:acc>
                  <m:accPr>
                    <m:chr m:val="̃"/>
                    <m:ctrlPr>
                      <w:rPr>
                        <w:rFonts w:ascii="Cambria Math" w:hAnsi="Cambria Math" w:cs="Times New Roman"/>
                      </w:rPr>
                    </m:ctrlPr>
                  </m:accPr>
                  <m:e>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i</m:t>
                        </m:r>
                      </m:sub>
                      <m:sup>
                        <m:r>
                          <w:rPr>
                            <w:rFonts w:ascii="Cambria Math" w:hAnsi="Cambria Math" w:cs="Times New Roman"/>
                          </w:rPr>
                          <m:t>CFL</m:t>
                        </m:r>
                      </m:sup>
                    </m:sSubSup>
                  </m:e>
                </m:acc>
              </m:num>
              <m:den>
                <m:acc>
                  <m:accPr>
                    <m:chr m:val="̃"/>
                    <m:ctrlPr>
                      <w:rPr>
                        <w:rFonts w:ascii="Cambria Math" w:hAnsi="Cambria Math" w:cs="Times New Roman"/>
                      </w:rPr>
                    </m:ctrlPr>
                  </m:accPr>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i</m:t>
                        </m:r>
                      </m:sub>
                      <m:sup>
                        <m:r>
                          <w:rPr>
                            <w:rFonts w:ascii="Cambria Math" w:hAnsi="Cambria Math" w:cs="Times New Roman"/>
                          </w:rPr>
                          <m:t>CFL</m:t>
                        </m:r>
                      </m:sup>
                    </m:sSubSup>
                  </m:e>
                </m:acc>
              </m:den>
            </m:f>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i</m:t>
                        </m:r>
                      </m:sub>
                      <m:sup>
                        <m:r>
                          <w:rPr>
                            <w:rFonts w:ascii="Cambria Math" w:hAnsi="Cambria Math" w:cs="Times New Roman"/>
                          </w:rPr>
                          <m:t>BLN</m:t>
                        </m:r>
                      </m:sup>
                    </m:sSubSup>
                  </m:e>
                </m:acc>
              </m:num>
              <m:den>
                <m:acc>
                  <m:accPr>
                    <m:chr m:val="̃"/>
                    <m:ctrlPr>
                      <w:rPr>
                        <w:rFonts w:ascii="Cambria Math" w:hAnsi="Cambria Math" w:cs="Times New Roman"/>
                      </w:rPr>
                    </m:ctrlPr>
                  </m:accPr>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i</m:t>
                        </m:r>
                      </m:sub>
                      <m:sup>
                        <m:r>
                          <w:rPr>
                            <w:rFonts w:ascii="Cambria Math" w:hAnsi="Cambria Math" w:cs="Times New Roman"/>
                          </w:rPr>
                          <m:t>BLN</m:t>
                        </m:r>
                      </m:sup>
                    </m:sSubSup>
                  </m:e>
                </m:acc>
              </m:den>
            </m:f>
          </m:e>
        </m:d>
      </m:oMath>
      <w:r w:rsidRPr="00AC7317">
        <w:rPr>
          <w:rFonts w:ascii="Times New Roman" w:hAnsi="Times New Roman" w:cs="Times New Roman"/>
        </w:rPr>
        <w:t>.</w:t>
      </w:r>
    </w:p>
    <w:p w14:paraId="3164D2E3" w14:textId="4758317F" w:rsidR="002E6A0D" w:rsidRPr="00AC7317" w:rsidRDefault="00C43A44" w:rsidP="00216BA2">
      <w:pPr>
        <w:pStyle w:val="Heading2"/>
        <w:spacing w:line="480" w:lineRule="auto"/>
        <w:jc w:val="both"/>
        <w:rPr>
          <w:rFonts w:ascii="Times New Roman" w:hAnsi="Times New Roman" w:cs="Times New Roman"/>
          <w:sz w:val="24"/>
          <w:szCs w:val="24"/>
        </w:rPr>
      </w:pPr>
      <w:bookmarkStart w:id="17" w:name="X375c6c45b216d205832de3b2fff7bc29c918215"/>
      <w:bookmarkEnd w:id="15"/>
      <w:r w:rsidRPr="00AC7317">
        <w:rPr>
          <w:rFonts w:ascii="Times New Roman" w:hAnsi="Times New Roman" w:cs="Times New Roman"/>
          <w:sz w:val="24"/>
          <w:szCs w:val="24"/>
        </w:rPr>
        <w:t>5</w:t>
      </w:r>
      <w:r w:rsidR="00F96466" w:rsidRPr="00AC7317">
        <w:rPr>
          <w:rFonts w:ascii="Times New Roman" w:hAnsi="Times New Roman" w:cs="Times New Roman"/>
          <w:sz w:val="24"/>
          <w:szCs w:val="24"/>
        </w:rPr>
        <w:t>.5 Import restrictions could boost demand for soy products from target countries</w:t>
      </w:r>
    </w:p>
    <w:p w14:paraId="03FB1B7F" w14:textId="511B85FC" w:rsidR="002E6A0D" w:rsidRPr="00AC7317" w:rsidRDefault="00F96466" w:rsidP="00216BA2">
      <w:pPr>
        <w:pStyle w:val="FirstParagraph"/>
        <w:spacing w:line="480" w:lineRule="auto"/>
        <w:jc w:val="both"/>
        <w:rPr>
          <w:rFonts w:ascii="Times New Roman" w:hAnsi="Times New Roman" w:cs="Times New Roman"/>
        </w:rPr>
      </w:pPr>
      <w:r w:rsidRPr="00AC7317">
        <w:rPr>
          <w:rFonts w:ascii="Times New Roman" w:hAnsi="Times New Roman" w:cs="Times New Roman"/>
        </w:rPr>
        <w:t xml:space="preserve">Our analysis </w:t>
      </w:r>
      <w:proofErr w:type="gramStart"/>
      <w:r w:rsidRPr="00AC7317">
        <w:rPr>
          <w:rFonts w:ascii="Times New Roman" w:hAnsi="Times New Roman" w:cs="Times New Roman"/>
        </w:rPr>
        <w:t>reveals</w:t>
      </w:r>
      <w:proofErr w:type="gramEnd"/>
      <w:r w:rsidRPr="00AC7317">
        <w:rPr>
          <w:rFonts w:ascii="Times New Roman" w:hAnsi="Times New Roman" w:cs="Times New Roman"/>
        </w:rPr>
        <w:t xml:space="preserve"> no significant change in total exports from target countries under either scenario (see </w:t>
      </w:r>
      <w:hyperlink w:anchor="a64">
        <w:r w:rsidR="008879D8" w:rsidRPr="00AC7317">
          <w:rPr>
            <w:rStyle w:val="Hyperlink"/>
            <w:rFonts w:ascii="Times New Roman" w:hAnsi="Times New Roman" w:cs="Times New Roman"/>
          </w:rPr>
          <w:t>f</w:t>
        </w:r>
        <w:r w:rsidR="002E6A0D" w:rsidRPr="00AC7317">
          <w:rPr>
            <w:rStyle w:val="Hyperlink"/>
            <w:rFonts w:ascii="Times New Roman" w:hAnsi="Times New Roman" w:cs="Times New Roman"/>
          </w:rPr>
          <w:t>igure A5.4</w:t>
        </w:r>
      </w:hyperlink>
      <w:r w:rsidRPr="00AC7317">
        <w:rPr>
          <w:rFonts w:ascii="Times New Roman" w:hAnsi="Times New Roman" w:cs="Times New Roman"/>
        </w:rPr>
        <w:t xml:space="preserve">). </w:t>
      </w:r>
      <w:r w:rsidR="00EF0BB4" w:rsidRPr="00AC7317">
        <w:rPr>
          <w:rFonts w:ascii="Times New Roman" w:hAnsi="Times New Roman" w:cs="Times New Roman"/>
        </w:rPr>
        <w:t>These</w:t>
      </w:r>
      <w:r w:rsidRPr="00AC7317">
        <w:rPr>
          <w:rFonts w:ascii="Times New Roman" w:hAnsi="Times New Roman" w:cs="Times New Roman"/>
        </w:rPr>
        <w:t xml:space="preserve"> results </w:t>
      </w:r>
      <w:r w:rsidR="00EF0BB4" w:rsidRPr="00AC7317">
        <w:rPr>
          <w:rFonts w:ascii="Times New Roman" w:hAnsi="Times New Roman" w:cs="Times New Roman"/>
        </w:rPr>
        <w:t>reflect</w:t>
      </w:r>
      <w:r w:rsidRPr="00AC7317">
        <w:rPr>
          <w:rFonts w:ascii="Times New Roman" w:hAnsi="Times New Roman" w:cs="Times New Roman"/>
        </w:rPr>
        <w:t xml:space="preserve"> the short-run nature of our simulation, which holds total output and expenditures constant and assumes zero supply elasticity. Notably, the decline in producer prices for Brazil, Argentina</w:t>
      </w:r>
      <w:r w:rsidR="008879D8" w:rsidRPr="00AC7317">
        <w:rPr>
          <w:rFonts w:ascii="Times New Roman" w:hAnsi="Times New Roman" w:cs="Times New Roman"/>
        </w:rPr>
        <w:t>,</w:t>
      </w:r>
      <w:r w:rsidRPr="00AC7317">
        <w:rPr>
          <w:rFonts w:ascii="Times New Roman" w:hAnsi="Times New Roman" w:cs="Times New Roman"/>
        </w:rPr>
        <w:t xml:space="preserve"> and Paraguay points to increased export competitiveness driven by lower prices. We further confirm this by keeping </w:t>
      </w:r>
      <w:r w:rsidR="00EF0BB4" w:rsidRPr="00AC7317">
        <w:rPr>
          <w:rFonts w:ascii="Times New Roman" w:hAnsi="Times New Roman" w:cs="Times New Roman"/>
        </w:rPr>
        <w:t xml:space="preserve">the </w:t>
      </w:r>
      <w:r w:rsidRPr="00AC7317">
        <w:rPr>
          <w:rFonts w:ascii="Times New Roman" w:hAnsi="Times New Roman" w:cs="Times New Roman"/>
        </w:rPr>
        <w:t xml:space="preserve">supply constant for each country but allowing expenditures to change. Under these conditions, we find </w:t>
      </w:r>
      <w:r w:rsidR="00EF0BB4" w:rsidRPr="00AC7317">
        <w:rPr>
          <w:rFonts w:ascii="Times New Roman" w:hAnsi="Times New Roman" w:cs="Times New Roman"/>
        </w:rPr>
        <w:t>export growth significant</w:t>
      </w:r>
      <w:r w:rsidRPr="00AC7317">
        <w:rPr>
          <w:rFonts w:ascii="Times New Roman" w:hAnsi="Times New Roman" w:cs="Times New Roman"/>
        </w:rPr>
        <w:t xml:space="preserve"> (see </w:t>
      </w:r>
      <w:hyperlink w:anchor="a63">
        <w:r w:rsidR="008879D8" w:rsidRPr="00AC7317">
          <w:rPr>
            <w:rStyle w:val="Hyperlink"/>
            <w:rFonts w:ascii="Times New Roman" w:hAnsi="Times New Roman" w:cs="Times New Roman"/>
          </w:rPr>
          <w:t>f</w:t>
        </w:r>
        <w:r w:rsidR="002E6A0D" w:rsidRPr="00AC7317">
          <w:rPr>
            <w:rStyle w:val="Hyperlink"/>
            <w:rFonts w:ascii="Times New Roman" w:hAnsi="Times New Roman" w:cs="Times New Roman"/>
          </w:rPr>
          <w:t>igure A5.3</w:t>
        </w:r>
      </w:hyperlink>
      <w:r w:rsidRPr="00AC7317">
        <w:rPr>
          <w:rFonts w:ascii="Times New Roman" w:hAnsi="Times New Roman" w:cs="Times New Roman"/>
        </w:rPr>
        <w:t>). Soybean exports increased by 7.4% for Brazil, 3.1% for Argentina, and 4.8% for Paraguay, directly resulting from lower producer prices in these countries. The effects emerged pronounced in soybean cake exports, with increases of 69.6% for Argentina, 106.3% for Brazil, and a surge of 93.2% for Paraguay. Moreover, soybean oil exports showed minimal growth across these countries, increasing by less than 0.5%.</w:t>
      </w:r>
    </w:p>
    <w:p w14:paraId="535A801F" w14:textId="1D6FC1DC" w:rsidR="002E6A0D" w:rsidRPr="00AC7317" w:rsidRDefault="00C43A44" w:rsidP="00216BA2">
      <w:pPr>
        <w:pStyle w:val="Heading2"/>
        <w:spacing w:line="480" w:lineRule="auto"/>
        <w:jc w:val="both"/>
        <w:rPr>
          <w:rFonts w:ascii="Times New Roman" w:hAnsi="Times New Roman" w:cs="Times New Roman"/>
          <w:sz w:val="24"/>
          <w:szCs w:val="24"/>
        </w:rPr>
      </w:pPr>
      <w:bookmarkStart w:id="18" w:name="X5a818e32270183f43f0402fab8a742f75524a56"/>
      <w:bookmarkEnd w:id="17"/>
      <w:r w:rsidRPr="00AC7317">
        <w:rPr>
          <w:rFonts w:ascii="Times New Roman" w:hAnsi="Times New Roman" w:cs="Times New Roman"/>
          <w:sz w:val="24"/>
          <w:szCs w:val="24"/>
        </w:rPr>
        <w:t>5</w:t>
      </w:r>
      <w:r w:rsidR="00F96466" w:rsidRPr="00AC7317">
        <w:rPr>
          <w:rFonts w:ascii="Times New Roman" w:hAnsi="Times New Roman" w:cs="Times New Roman"/>
          <w:sz w:val="24"/>
          <w:szCs w:val="24"/>
        </w:rPr>
        <w:t xml:space="preserve">.6 BAP </w:t>
      </w:r>
      <w:proofErr w:type="gramStart"/>
      <w:r w:rsidR="00EF0BB4" w:rsidRPr="00AC7317">
        <w:rPr>
          <w:rFonts w:ascii="Times New Roman" w:hAnsi="Times New Roman" w:cs="Times New Roman"/>
          <w:sz w:val="24"/>
          <w:szCs w:val="24"/>
        </w:rPr>
        <w:t>face</w:t>
      </w:r>
      <w:proofErr w:type="gramEnd"/>
      <w:r w:rsidR="00F96466" w:rsidRPr="00AC7317">
        <w:rPr>
          <w:rFonts w:ascii="Times New Roman" w:hAnsi="Times New Roman" w:cs="Times New Roman"/>
          <w:sz w:val="24"/>
          <w:szCs w:val="24"/>
        </w:rPr>
        <w:t xml:space="preserve"> </w:t>
      </w:r>
      <w:r w:rsidR="00EF0BB4" w:rsidRPr="00AC7317">
        <w:rPr>
          <w:rFonts w:ascii="Times New Roman" w:hAnsi="Times New Roman" w:cs="Times New Roman"/>
          <w:sz w:val="24"/>
          <w:szCs w:val="24"/>
        </w:rPr>
        <w:t xml:space="preserve">a </w:t>
      </w:r>
      <w:r w:rsidR="00F96466" w:rsidRPr="00AC7317">
        <w:rPr>
          <w:rFonts w:ascii="Times New Roman" w:hAnsi="Times New Roman" w:cs="Times New Roman"/>
          <w:sz w:val="24"/>
          <w:szCs w:val="24"/>
        </w:rPr>
        <w:t xml:space="preserve">decrease in </w:t>
      </w:r>
      <w:r w:rsidR="00EF0BB4" w:rsidRPr="00AC7317">
        <w:rPr>
          <w:rFonts w:ascii="Times New Roman" w:hAnsi="Times New Roman" w:cs="Times New Roman"/>
          <w:sz w:val="24"/>
          <w:szCs w:val="24"/>
        </w:rPr>
        <w:t xml:space="preserve">the </w:t>
      </w:r>
      <w:r w:rsidR="00F96466" w:rsidRPr="00AC7317">
        <w:rPr>
          <w:rFonts w:ascii="Times New Roman" w:hAnsi="Times New Roman" w:cs="Times New Roman"/>
          <w:sz w:val="24"/>
          <w:szCs w:val="24"/>
        </w:rPr>
        <w:t xml:space="preserve">price index of </w:t>
      </w:r>
      <w:r w:rsidR="00EF0BB4" w:rsidRPr="00AC7317">
        <w:rPr>
          <w:rFonts w:ascii="Times New Roman" w:hAnsi="Times New Roman" w:cs="Times New Roman"/>
          <w:sz w:val="24"/>
          <w:szCs w:val="24"/>
        </w:rPr>
        <w:t>soybeans</w:t>
      </w:r>
      <w:r w:rsidR="00F96466" w:rsidRPr="00AC7317">
        <w:rPr>
          <w:rFonts w:ascii="Times New Roman" w:hAnsi="Times New Roman" w:cs="Times New Roman"/>
          <w:sz w:val="24"/>
          <w:szCs w:val="24"/>
        </w:rPr>
        <w:t>, but some declines in terms of trade</w:t>
      </w:r>
    </w:p>
    <w:p w14:paraId="51F20CD0" w14:textId="5C066A7A" w:rsidR="002E6A0D" w:rsidRPr="00AC7317" w:rsidRDefault="002E6A0D" w:rsidP="00216BA2">
      <w:pPr>
        <w:pStyle w:val="FirstParagraph"/>
        <w:spacing w:line="480" w:lineRule="auto"/>
        <w:jc w:val="both"/>
        <w:rPr>
          <w:rFonts w:ascii="Times New Roman" w:hAnsi="Times New Roman" w:cs="Times New Roman"/>
        </w:rPr>
      </w:pPr>
      <w:hyperlink w:anchor="figure7">
        <w:r w:rsidRPr="00AC7317">
          <w:rPr>
            <w:rStyle w:val="Hyperlink"/>
            <w:rFonts w:ascii="Times New Roman" w:hAnsi="Times New Roman" w:cs="Times New Roman"/>
          </w:rPr>
          <w:t>Figure 7</w:t>
        </w:r>
      </w:hyperlink>
      <w:r w:rsidRPr="00AC7317">
        <w:rPr>
          <w:rFonts w:ascii="Times New Roman" w:hAnsi="Times New Roman" w:cs="Times New Roman"/>
        </w:rPr>
        <w:t xml:space="preserve"> illustrates the effects of the EUDR on exporting countries. In the soybean and soybean oil, BAP experiences </w:t>
      </w:r>
      <w:r w:rsidR="00EF0BB4" w:rsidRPr="00AC7317">
        <w:rPr>
          <w:rFonts w:ascii="Times New Roman" w:hAnsi="Times New Roman" w:cs="Times New Roman"/>
        </w:rPr>
        <w:t>a decline in price indexes and producer prices; however,</w:t>
      </w:r>
      <w:r w:rsidRPr="00AC7317">
        <w:rPr>
          <w:rFonts w:ascii="Times New Roman" w:hAnsi="Times New Roman" w:cs="Times New Roman"/>
        </w:rPr>
        <w:t xml:space="preserve"> they see little to no change in terms of trade. However, for soybean cake, BAP </w:t>
      </w:r>
      <w:r w:rsidR="00EF0BB4" w:rsidRPr="00AC7317">
        <w:rPr>
          <w:rFonts w:ascii="Times New Roman" w:hAnsi="Times New Roman" w:cs="Times New Roman"/>
        </w:rPr>
        <w:t>sees an increase in price index and a decrease in terms of trade, illustrating</w:t>
      </w:r>
      <w:r w:rsidRPr="00AC7317">
        <w:rPr>
          <w:rFonts w:ascii="Times New Roman" w:hAnsi="Times New Roman" w:cs="Times New Roman"/>
        </w:rPr>
        <w:t xml:space="preserve"> the effects of the EUDR on major soy traders. In </w:t>
      </w:r>
      <w:r w:rsidRPr="00AC7317">
        <w:rPr>
          <w:rFonts w:ascii="Times New Roman" w:hAnsi="Times New Roman" w:cs="Times New Roman"/>
        </w:rPr>
        <w:lastRenderedPageBreak/>
        <w:t>soybeans and soybean oil, BAP experiences a decline in price indexes and producer prices; however, it sees little to no change in terms of trade. In soybean cake, Paraguay and Argentina see an increase in price index and producer price, while Brazil sees a decrease in both prices.</w:t>
      </w:r>
    </w:p>
    <w:p w14:paraId="313BE6F4" w14:textId="662C2760" w:rsidR="00270E07" w:rsidRPr="00AC7317" w:rsidRDefault="00270E07" w:rsidP="00270E07">
      <w:pPr>
        <w:pStyle w:val="BodyText"/>
        <w:spacing w:line="480" w:lineRule="auto"/>
        <w:jc w:val="both"/>
        <w:rPr>
          <w:rFonts w:ascii="Times New Roman" w:hAnsi="Times New Roman" w:cs="Times New Roman"/>
        </w:rPr>
      </w:pPr>
      <w:r w:rsidRPr="00AC7317">
        <w:rPr>
          <w:rFonts w:ascii="Times New Roman" w:hAnsi="Times New Roman" w:cs="Times New Roman"/>
          <w:noProof/>
        </w:rPr>
        <w:drawing>
          <wp:inline distT="0" distB="0" distL="0" distR="0" wp14:anchorId="4B164AAF" wp14:editId="04C01715">
            <wp:extent cx="5943600" cy="5943600"/>
            <wp:effectExtent l="0" t="0" r="0" b="0"/>
            <wp:docPr id="1464124108" name="Picture 6" descr="A chart of different colored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24108" name="Picture 6" descr="A chart of different colored squares with number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0E7BC49" w14:textId="4D498A29" w:rsidR="002E6A0D" w:rsidRPr="00AC7317" w:rsidRDefault="00F96466" w:rsidP="00216BA2">
      <w:pPr>
        <w:pStyle w:val="BodyText"/>
        <w:spacing w:line="480" w:lineRule="auto"/>
        <w:jc w:val="both"/>
        <w:rPr>
          <w:rFonts w:ascii="Times New Roman" w:hAnsi="Times New Roman" w:cs="Times New Roman"/>
        </w:rPr>
      </w:pPr>
      <w:bookmarkStart w:id="19" w:name="figure7"/>
      <w:r w:rsidRPr="00AC7317">
        <w:rPr>
          <w:rFonts w:ascii="Times New Roman" w:hAnsi="Times New Roman" w:cs="Times New Roman"/>
        </w:rPr>
        <w:t>Figure 7</w:t>
      </w:r>
      <w:bookmarkEnd w:id="19"/>
      <w:r w:rsidRPr="00AC7317">
        <w:rPr>
          <w:rFonts w:ascii="Times New Roman" w:hAnsi="Times New Roman" w:cs="Times New Roman"/>
        </w:rPr>
        <w:t xml:space="preserve">: Changes in indices under compliance and non-compliance scenarios relative to a baseline without the EUDR. Quartile is measured at the scenario-product level for each index. (a) </w:t>
      </w:r>
      <w:r w:rsidRPr="00AC7317">
        <w:rPr>
          <w:rFonts w:ascii="Times New Roman" w:hAnsi="Times New Roman" w:cs="Times New Roman"/>
        </w:rPr>
        <w:lastRenderedPageBreak/>
        <w:t>percentage change in welfare. (b) percentage change in price index (c) percentage change in producer price. (d) percentage change in terms of trade</w:t>
      </w:r>
    </w:p>
    <w:p w14:paraId="552EDC37" w14:textId="5DA8035D" w:rsidR="002E6A0D" w:rsidRPr="00AC7317" w:rsidRDefault="00C43A44" w:rsidP="00216BA2">
      <w:pPr>
        <w:pStyle w:val="Heading1"/>
        <w:spacing w:line="480" w:lineRule="auto"/>
        <w:jc w:val="both"/>
        <w:rPr>
          <w:rFonts w:ascii="Times New Roman" w:hAnsi="Times New Roman" w:cs="Times New Roman"/>
          <w:sz w:val="24"/>
          <w:szCs w:val="24"/>
        </w:rPr>
      </w:pPr>
      <w:bookmarkStart w:id="20" w:name="calibration-and-sensitivity-checks"/>
      <w:bookmarkEnd w:id="7"/>
      <w:bookmarkEnd w:id="18"/>
      <w:r w:rsidRPr="00AC7317">
        <w:rPr>
          <w:rFonts w:ascii="Times New Roman" w:hAnsi="Times New Roman" w:cs="Times New Roman"/>
          <w:sz w:val="24"/>
          <w:szCs w:val="24"/>
        </w:rPr>
        <w:t>6</w:t>
      </w:r>
      <w:r w:rsidR="00F96466" w:rsidRPr="00AC7317">
        <w:rPr>
          <w:rFonts w:ascii="Times New Roman" w:hAnsi="Times New Roman" w:cs="Times New Roman"/>
          <w:sz w:val="24"/>
          <w:szCs w:val="24"/>
        </w:rPr>
        <w:t xml:space="preserve">. </w:t>
      </w:r>
      <w:r w:rsidR="007202DC" w:rsidRPr="00AC7317">
        <w:rPr>
          <w:rFonts w:ascii="Times New Roman" w:hAnsi="Times New Roman" w:cs="Times New Roman"/>
          <w:sz w:val="24"/>
          <w:szCs w:val="24"/>
        </w:rPr>
        <w:t>S</w:t>
      </w:r>
      <w:r w:rsidR="00F96466" w:rsidRPr="00AC7317">
        <w:rPr>
          <w:rFonts w:ascii="Times New Roman" w:hAnsi="Times New Roman" w:cs="Times New Roman"/>
          <w:sz w:val="24"/>
          <w:szCs w:val="24"/>
        </w:rPr>
        <w:t>ensitivity checks</w:t>
      </w:r>
    </w:p>
    <w:p w14:paraId="01C2FD75" w14:textId="67A57E65" w:rsidR="002E6A0D" w:rsidRPr="00AC7317" w:rsidRDefault="00F96466" w:rsidP="00216BA2">
      <w:pPr>
        <w:pStyle w:val="FirstParagraph"/>
        <w:spacing w:line="480" w:lineRule="auto"/>
        <w:jc w:val="both"/>
        <w:rPr>
          <w:rFonts w:ascii="Times New Roman" w:hAnsi="Times New Roman" w:cs="Times New Roman"/>
        </w:rPr>
      </w:pPr>
      <w:r w:rsidRPr="00AC7317">
        <w:rPr>
          <w:rFonts w:ascii="Times New Roman" w:hAnsi="Times New Roman" w:cs="Times New Roman"/>
        </w:rPr>
        <w:t xml:space="preserve">Our exercise is an ex‑ante assessment of the regulation based on the 2022 base year. </w:t>
      </w:r>
      <w:r w:rsidR="000E063A" w:rsidRPr="00AC7317">
        <w:rPr>
          <w:rFonts w:ascii="Times New Roman" w:hAnsi="Times New Roman" w:cs="Times New Roman"/>
        </w:rPr>
        <w:t>W</w:t>
      </w:r>
      <w:r w:rsidRPr="00AC7317">
        <w:rPr>
          <w:rFonts w:ascii="Times New Roman" w:hAnsi="Times New Roman" w:cs="Times New Roman"/>
        </w:rPr>
        <w:t xml:space="preserve">e report </w:t>
      </w:r>
      <w:r w:rsidR="0017117A" w:rsidRPr="00AC7317">
        <w:rPr>
          <w:rFonts w:ascii="Times New Roman" w:hAnsi="Times New Roman" w:cs="Times New Roman"/>
        </w:rPr>
        <w:t xml:space="preserve">findings </w:t>
      </w:r>
      <w:r w:rsidRPr="00AC7317">
        <w:rPr>
          <w:rFonts w:ascii="Times New Roman" w:hAnsi="Times New Roman" w:cs="Times New Roman"/>
        </w:rPr>
        <w:t xml:space="preserve">over plausible lower and upper bounds corresponding to 2% and 10% ad valorem tariff-equivalent </w:t>
      </w:r>
      <w:r w:rsidR="00681443" w:rsidRPr="00AC7317">
        <w:rPr>
          <w:rFonts w:ascii="Times New Roman" w:hAnsi="Times New Roman" w:cs="Times New Roman"/>
        </w:rPr>
        <w:t>compliance</w:t>
      </w:r>
      <w:r w:rsidRPr="00AC7317">
        <w:rPr>
          <w:rFonts w:ascii="Times New Roman" w:hAnsi="Times New Roman" w:cs="Times New Roman"/>
        </w:rPr>
        <w:t xml:space="preserve"> costs under Armington elasticities at the lower and upper bounds of the 95% confidence intervals. Across these ranges, the qualitative results are stable (see </w:t>
      </w:r>
      <w:hyperlink w:anchor="app-a7">
        <w:r w:rsidR="008879D8" w:rsidRPr="00AC7317">
          <w:rPr>
            <w:rStyle w:val="Hyperlink"/>
            <w:rFonts w:ascii="Times New Roman" w:hAnsi="Times New Roman" w:cs="Times New Roman"/>
          </w:rPr>
          <w:t>a</w:t>
        </w:r>
        <w:r w:rsidR="002E6A0D" w:rsidRPr="00AC7317">
          <w:rPr>
            <w:rStyle w:val="Hyperlink"/>
            <w:rFonts w:ascii="Times New Roman" w:hAnsi="Times New Roman" w:cs="Times New Roman"/>
          </w:rPr>
          <w:t>ppendix A6</w:t>
        </w:r>
      </w:hyperlink>
      <w:r w:rsidRPr="00AC7317">
        <w:rPr>
          <w:rFonts w:ascii="Times New Roman" w:hAnsi="Times New Roman" w:cs="Times New Roman"/>
        </w:rPr>
        <w:t xml:space="preserve">): EU substitution toward compliant suppliers and reallocation of restricted South American volumes to non‑EU destinations, mainly China. Higher </w:t>
      </w:r>
      <w:r w:rsidR="00681443" w:rsidRPr="00AC7317">
        <w:rPr>
          <w:rFonts w:ascii="Times New Roman" w:hAnsi="Times New Roman" w:cs="Times New Roman"/>
        </w:rPr>
        <w:t>compliance</w:t>
      </w:r>
      <w:r w:rsidRPr="00AC7317">
        <w:rPr>
          <w:rFonts w:ascii="Times New Roman" w:hAnsi="Times New Roman" w:cs="Times New Roman"/>
        </w:rPr>
        <w:t xml:space="preserve"> </w:t>
      </w:r>
      <w:r w:rsidR="003C31C5" w:rsidRPr="00AC7317">
        <w:rPr>
          <w:rFonts w:ascii="Times New Roman" w:hAnsi="Times New Roman" w:cs="Times New Roman"/>
        </w:rPr>
        <w:t>costs increase the EU price index and amplify welfare losses, but do not reverse</w:t>
      </w:r>
      <w:r w:rsidRPr="00AC7317">
        <w:rPr>
          <w:rFonts w:ascii="Times New Roman" w:hAnsi="Times New Roman" w:cs="Times New Roman"/>
        </w:rPr>
        <w:t xml:space="preserve"> the direction of reallocation.</w:t>
      </w:r>
    </w:p>
    <w:p w14:paraId="3082176B" w14:textId="6289BD9C" w:rsidR="002E6A0D" w:rsidRPr="00AC7317" w:rsidRDefault="00C43A44" w:rsidP="00216BA2">
      <w:pPr>
        <w:pStyle w:val="Heading1"/>
        <w:spacing w:line="480" w:lineRule="auto"/>
        <w:jc w:val="both"/>
        <w:rPr>
          <w:rFonts w:ascii="Times New Roman" w:hAnsi="Times New Roman" w:cs="Times New Roman"/>
          <w:sz w:val="24"/>
          <w:szCs w:val="24"/>
        </w:rPr>
      </w:pPr>
      <w:bookmarkStart w:id="21" w:name="discussions"/>
      <w:bookmarkEnd w:id="20"/>
      <w:r w:rsidRPr="00AC7317">
        <w:rPr>
          <w:rFonts w:ascii="Times New Roman" w:hAnsi="Times New Roman" w:cs="Times New Roman"/>
          <w:sz w:val="24"/>
          <w:szCs w:val="24"/>
        </w:rPr>
        <w:t>7</w:t>
      </w:r>
      <w:r w:rsidR="00F96466" w:rsidRPr="00AC7317">
        <w:rPr>
          <w:rFonts w:ascii="Times New Roman" w:hAnsi="Times New Roman" w:cs="Times New Roman"/>
          <w:sz w:val="24"/>
          <w:szCs w:val="24"/>
        </w:rPr>
        <w:t>. Discussions</w:t>
      </w:r>
    </w:p>
    <w:p w14:paraId="1FF8FD5D" w14:textId="13956457" w:rsidR="00B16045" w:rsidRDefault="00B16045" w:rsidP="00DF1D96">
      <w:pPr>
        <w:pStyle w:val="FirstParagraph"/>
        <w:spacing w:line="480" w:lineRule="auto"/>
        <w:jc w:val="both"/>
        <w:rPr>
          <w:rFonts w:ascii="Times New Roman" w:hAnsi="Times New Roman" w:cs="Times New Roman"/>
        </w:rPr>
      </w:pPr>
      <w:r w:rsidRPr="00B16045">
        <w:rPr>
          <w:rFonts w:ascii="Times New Roman" w:hAnsi="Times New Roman" w:cs="Times New Roman"/>
        </w:rPr>
        <w:t>Our analysis indicates that the EUDR faces notable limitations in reducing exports that drive</w:t>
      </w:r>
      <w:r w:rsidR="00032F7E">
        <w:rPr>
          <w:rFonts w:ascii="Times New Roman" w:hAnsi="Times New Roman" w:cs="Times New Roman"/>
        </w:rPr>
        <w:t xml:space="preserve"> </w:t>
      </w:r>
      <w:r w:rsidRPr="00B16045">
        <w:rPr>
          <w:rFonts w:ascii="Times New Roman" w:hAnsi="Times New Roman" w:cs="Times New Roman"/>
        </w:rPr>
        <w:t xml:space="preserve">tropical deforestation linked to the soy sector. The direct competitors to South American soy exporters are the US and Canada, which are largely deforestation-free producers and redirect their exports to the EU under the EUDR implementation. As a result, the soy supply restricted from BAP is reallocated to China. </w:t>
      </w:r>
      <w:r w:rsidRPr="00192CE5">
        <w:rPr>
          <w:rFonts w:ascii="Times New Roman" w:hAnsi="Times New Roman" w:cs="Times New Roman"/>
        </w:rPr>
        <w:t xml:space="preserve">These patterns </w:t>
      </w:r>
      <w:r w:rsidR="00471525" w:rsidRPr="00192CE5">
        <w:rPr>
          <w:rFonts w:ascii="Times New Roman" w:hAnsi="Times New Roman" w:cs="Times New Roman"/>
        </w:rPr>
        <w:t xml:space="preserve">are consistent with the </w:t>
      </w:r>
      <w:r w:rsidR="001C0246" w:rsidRPr="00192CE5">
        <w:rPr>
          <w:rFonts w:ascii="Times New Roman" w:hAnsi="Times New Roman" w:cs="Times New Roman"/>
        </w:rPr>
        <w:t>literature on</w:t>
      </w:r>
      <w:r w:rsidR="00471525" w:rsidRPr="00192CE5">
        <w:rPr>
          <w:rFonts w:ascii="Times New Roman" w:hAnsi="Times New Roman" w:cs="Times New Roman"/>
        </w:rPr>
        <w:t xml:space="preserve"> unilateral regulations</w:t>
      </w:r>
      <w:r w:rsidR="00192CE5">
        <w:rPr>
          <w:rFonts w:ascii="Times New Roman" w:hAnsi="Times New Roman" w:cs="Times New Roman"/>
        </w:rPr>
        <w:t xml:space="preserve">, which emphasizes that such measures often induce substantial reallocation of trade and production across countries (Li and Beghin 2012; Branger and Quirion 2014; </w:t>
      </w:r>
      <w:proofErr w:type="spellStart"/>
      <w:r w:rsidR="00192CE5">
        <w:rPr>
          <w:rFonts w:ascii="Times New Roman" w:hAnsi="Times New Roman" w:cs="Times New Roman"/>
        </w:rPr>
        <w:t>Böhringer</w:t>
      </w:r>
      <w:proofErr w:type="spellEnd"/>
      <w:r w:rsidR="00192CE5">
        <w:rPr>
          <w:rFonts w:ascii="Times New Roman" w:hAnsi="Times New Roman" w:cs="Times New Roman"/>
        </w:rPr>
        <w:t>, Rosendahl</w:t>
      </w:r>
      <w:r w:rsidR="00B43A2E" w:rsidRPr="00B43A2E">
        <w:rPr>
          <w:rFonts w:ascii="Times New Roman" w:hAnsi="Times New Roman" w:cs="Times New Roman"/>
        </w:rPr>
        <w:t xml:space="preserve"> and </w:t>
      </w:r>
      <w:proofErr w:type="spellStart"/>
      <w:r w:rsidR="00B43A2E" w:rsidRPr="00B43A2E">
        <w:rPr>
          <w:rFonts w:ascii="Times New Roman" w:hAnsi="Times New Roman" w:cs="Times New Roman"/>
        </w:rPr>
        <w:t>Storrøsten</w:t>
      </w:r>
      <w:proofErr w:type="spellEnd"/>
      <w:r w:rsidR="00B43A2E" w:rsidRPr="00B43A2E">
        <w:rPr>
          <w:rFonts w:ascii="Times New Roman" w:hAnsi="Times New Roman" w:cs="Times New Roman"/>
        </w:rPr>
        <w:t xml:space="preserve"> 2017).</w:t>
      </w:r>
      <w:r w:rsidR="00B43A2E">
        <w:rPr>
          <w:rFonts w:ascii="Times New Roman" w:hAnsi="Times New Roman" w:cs="Times New Roman"/>
        </w:rPr>
        <w:t xml:space="preserve"> This also aligns with</w:t>
      </w:r>
      <w:r w:rsidR="00A2494E">
        <w:rPr>
          <w:rFonts w:ascii="Times New Roman" w:hAnsi="Times New Roman" w:cs="Times New Roman"/>
        </w:rPr>
        <w:t xml:space="preserve"> </w:t>
      </w:r>
      <w:r w:rsidR="00820645">
        <w:rPr>
          <w:rFonts w:ascii="Times New Roman" w:hAnsi="Times New Roman" w:cs="Times New Roman"/>
        </w:rPr>
        <w:t>empirical evidence on environmental technical measures and</w:t>
      </w:r>
      <w:r w:rsidR="002C35A3">
        <w:rPr>
          <w:rFonts w:ascii="Times New Roman" w:hAnsi="Times New Roman" w:cs="Times New Roman"/>
        </w:rPr>
        <w:t xml:space="preserve"> technical barriers to trade, which</w:t>
      </w:r>
      <w:r w:rsidR="00882C2E">
        <w:rPr>
          <w:rFonts w:ascii="Times New Roman" w:hAnsi="Times New Roman" w:cs="Times New Roman"/>
        </w:rPr>
        <w:t>,</w:t>
      </w:r>
      <w:r w:rsidR="002C35A3">
        <w:rPr>
          <w:rFonts w:ascii="Times New Roman" w:hAnsi="Times New Roman" w:cs="Times New Roman"/>
        </w:rPr>
        <w:t xml:space="preserve"> on average, tend to reduce </w:t>
      </w:r>
      <w:r w:rsidR="00C85E2B">
        <w:rPr>
          <w:rFonts w:ascii="Times New Roman" w:hAnsi="Times New Roman" w:cs="Times New Roman"/>
        </w:rPr>
        <w:t>trade, particularly</w:t>
      </w:r>
      <w:r w:rsidR="00AD5BFF">
        <w:rPr>
          <w:rFonts w:ascii="Times New Roman" w:hAnsi="Times New Roman" w:cs="Times New Roman"/>
        </w:rPr>
        <w:t xml:space="preserve"> for exporters that struggle to comply, while in</w:t>
      </w:r>
      <w:r w:rsidR="00DB3F1F">
        <w:rPr>
          <w:rFonts w:ascii="Times New Roman" w:hAnsi="Times New Roman" w:cs="Times New Roman"/>
        </w:rPr>
        <w:t xml:space="preserve"> some cases facilitating or preserving trade for </w:t>
      </w:r>
      <w:r w:rsidR="00DF1D96">
        <w:rPr>
          <w:rFonts w:ascii="Times New Roman" w:hAnsi="Times New Roman" w:cs="Times New Roman"/>
        </w:rPr>
        <w:t>compliant origins</w:t>
      </w:r>
      <w:r w:rsidR="00820645">
        <w:rPr>
          <w:rFonts w:ascii="Times New Roman" w:hAnsi="Times New Roman" w:cs="Times New Roman"/>
        </w:rPr>
        <w:t xml:space="preserve"> </w:t>
      </w:r>
      <w:r w:rsidRPr="00B16045">
        <w:rPr>
          <w:rFonts w:ascii="Times New Roman" w:hAnsi="Times New Roman" w:cs="Times New Roman"/>
        </w:rPr>
        <w:t>(</w:t>
      </w:r>
      <w:proofErr w:type="spellStart"/>
      <w:r w:rsidRPr="00B16045">
        <w:rPr>
          <w:rFonts w:ascii="Times New Roman" w:hAnsi="Times New Roman" w:cs="Times New Roman"/>
        </w:rPr>
        <w:t>Fontagné</w:t>
      </w:r>
      <w:proofErr w:type="spellEnd"/>
      <w:r w:rsidRPr="00B16045">
        <w:rPr>
          <w:rFonts w:ascii="Times New Roman" w:hAnsi="Times New Roman" w:cs="Times New Roman"/>
        </w:rPr>
        <w:t xml:space="preserve"> et al. 2005; Santeramo and Lamonaca 2019; Santeramo et </w:t>
      </w:r>
      <w:r w:rsidRPr="00B16045">
        <w:rPr>
          <w:rFonts w:ascii="Times New Roman" w:hAnsi="Times New Roman" w:cs="Times New Roman"/>
        </w:rPr>
        <w:lastRenderedPageBreak/>
        <w:t xml:space="preserve">al. 2025). </w:t>
      </w:r>
      <w:r w:rsidR="00BD38A1" w:rsidRPr="00BD38A1">
        <w:rPr>
          <w:rFonts w:ascii="Times New Roman" w:hAnsi="Times New Roman" w:cs="Times New Roman"/>
        </w:rPr>
        <w:t xml:space="preserve">Recent EUDR-focused modelling studies similarly anticipate that an EU-only measure will mainly reallocate forest-risk commodity trade rather than sharply curtail global production, with displacement toward alternative markets and </w:t>
      </w:r>
      <w:r w:rsidR="00BD38A1" w:rsidRPr="00CB7C8D">
        <w:rPr>
          <w:rFonts w:ascii="Times New Roman" w:hAnsi="Times New Roman" w:cs="Times New Roman"/>
        </w:rPr>
        <w:t xml:space="preserve">suppliers (Gilbert 2024; Muradian et al. 2025; de la Vega 2025; Hu et al. 2025). </w:t>
      </w:r>
      <w:r w:rsidR="00BD38A1" w:rsidRPr="00BD38A1">
        <w:rPr>
          <w:rFonts w:ascii="Times New Roman" w:hAnsi="Times New Roman" w:cs="Times New Roman"/>
        </w:rPr>
        <w:t xml:space="preserve">Our results can thus be seen as a soy-specific, model-consistent illustration of this canonical response to unilateral NTMs: supply from high-risk exporters is diverted to third markets, while the EU, under the EUDR, increasingly sources from compliant, largely deforestation-free origins. </w:t>
      </w:r>
    </w:p>
    <w:p w14:paraId="36A6A3AD" w14:textId="4AE3CB3F" w:rsidR="00B13C33" w:rsidRPr="00AC7317" w:rsidRDefault="00F543F5" w:rsidP="00B16045">
      <w:pPr>
        <w:pStyle w:val="FirstParagraph"/>
        <w:spacing w:line="480" w:lineRule="auto"/>
        <w:jc w:val="both"/>
        <w:rPr>
          <w:rFonts w:ascii="Times New Roman" w:hAnsi="Times New Roman" w:cs="Times New Roman"/>
        </w:rPr>
      </w:pPr>
      <w:r w:rsidRPr="00AC7317">
        <w:rPr>
          <w:rFonts w:ascii="Times New Roman" w:hAnsi="Times New Roman" w:cs="Times New Roman"/>
        </w:rPr>
        <w:t xml:space="preserve">With the EUDR in place, </w:t>
      </w:r>
      <w:r w:rsidR="00A1098B" w:rsidRPr="00AC7317">
        <w:rPr>
          <w:rFonts w:ascii="Times New Roman" w:hAnsi="Times New Roman" w:cs="Times New Roman"/>
        </w:rPr>
        <w:t xml:space="preserve">the trade reallocation pattern </w:t>
      </w:r>
      <w:r w:rsidR="00DC02D4" w:rsidRPr="00AC7317">
        <w:rPr>
          <w:rFonts w:ascii="Times New Roman" w:hAnsi="Times New Roman" w:cs="Times New Roman"/>
        </w:rPr>
        <w:t xml:space="preserve">indicates </w:t>
      </w:r>
      <w:r w:rsidR="00463470" w:rsidRPr="00AC7317">
        <w:rPr>
          <w:rFonts w:ascii="Times New Roman" w:hAnsi="Times New Roman" w:cs="Times New Roman"/>
        </w:rPr>
        <w:t>two seg</w:t>
      </w:r>
      <w:r w:rsidR="009037A0" w:rsidRPr="00AC7317">
        <w:rPr>
          <w:rFonts w:ascii="Times New Roman" w:hAnsi="Times New Roman" w:cs="Times New Roman"/>
        </w:rPr>
        <w:t xml:space="preserve">regated supply </w:t>
      </w:r>
      <w:r w:rsidR="00832AF0" w:rsidRPr="00AC7317">
        <w:rPr>
          <w:rFonts w:ascii="Times New Roman" w:hAnsi="Times New Roman" w:cs="Times New Roman"/>
        </w:rPr>
        <w:t>chains</w:t>
      </w:r>
      <w:r w:rsidR="009037A0" w:rsidRPr="00AC7317">
        <w:rPr>
          <w:rFonts w:ascii="Times New Roman" w:hAnsi="Times New Roman" w:cs="Times New Roman"/>
        </w:rPr>
        <w:t xml:space="preserve">: </w:t>
      </w:r>
      <w:r w:rsidR="00832AF0" w:rsidRPr="00AC7317">
        <w:rPr>
          <w:rFonts w:ascii="Times New Roman" w:hAnsi="Times New Roman" w:cs="Times New Roman"/>
        </w:rPr>
        <w:t>First</w:t>
      </w:r>
      <w:r w:rsidR="00093BC6" w:rsidRPr="00AC7317">
        <w:rPr>
          <w:rFonts w:ascii="Times New Roman" w:hAnsi="Times New Roman" w:cs="Times New Roman"/>
        </w:rPr>
        <w:t>,</w:t>
      </w:r>
      <w:r w:rsidR="00B319F7" w:rsidRPr="00AC7317">
        <w:rPr>
          <w:rFonts w:ascii="Times New Roman" w:hAnsi="Times New Roman" w:cs="Times New Roman"/>
        </w:rPr>
        <w:t xml:space="preserve"> </w:t>
      </w:r>
      <w:r w:rsidRPr="00AC7317">
        <w:rPr>
          <w:rFonts w:ascii="Times New Roman" w:hAnsi="Times New Roman" w:cs="Times New Roman"/>
        </w:rPr>
        <w:t>the EU can import verifiabl</w:t>
      </w:r>
      <w:r w:rsidR="00DC02D4" w:rsidRPr="00AC7317">
        <w:rPr>
          <w:rFonts w:ascii="Times New Roman" w:hAnsi="Times New Roman" w:cs="Times New Roman"/>
        </w:rPr>
        <w:t>e</w:t>
      </w:r>
      <w:r w:rsidRPr="00AC7317">
        <w:rPr>
          <w:rFonts w:ascii="Times New Roman" w:hAnsi="Times New Roman" w:cs="Times New Roman"/>
        </w:rPr>
        <w:t xml:space="preserve"> deforestation-free soy from North America and</w:t>
      </w:r>
      <w:r w:rsidR="00760FE0" w:rsidRPr="00AC7317">
        <w:rPr>
          <w:rFonts w:ascii="Times New Roman" w:hAnsi="Times New Roman" w:cs="Times New Roman"/>
        </w:rPr>
        <w:t>,</w:t>
      </w:r>
      <w:r w:rsidRPr="00AC7317">
        <w:rPr>
          <w:rFonts w:ascii="Times New Roman" w:hAnsi="Times New Roman" w:cs="Times New Roman"/>
        </w:rPr>
        <w:t xml:space="preserve"> </w:t>
      </w:r>
      <w:r w:rsidR="001A545C" w:rsidRPr="00AC7317">
        <w:rPr>
          <w:rFonts w:ascii="Times New Roman" w:hAnsi="Times New Roman" w:cs="Times New Roman"/>
        </w:rPr>
        <w:t>to a limited extent</w:t>
      </w:r>
      <w:r w:rsidR="00760FE0" w:rsidRPr="00AC7317">
        <w:rPr>
          <w:rFonts w:ascii="Times New Roman" w:hAnsi="Times New Roman" w:cs="Times New Roman"/>
        </w:rPr>
        <w:t>,</w:t>
      </w:r>
      <w:r w:rsidRPr="00AC7317">
        <w:rPr>
          <w:rFonts w:ascii="Times New Roman" w:hAnsi="Times New Roman" w:cs="Times New Roman"/>
        </w:rPr>
        <w:t xml:space="preserve"> from South America</w:t>
      </w:r>
      <w:r w:rsidR="00FB3421" w:rsidRPr="00AC7317">
        <w:rPr>
          <w:rFonts w:ascii="Times New Roman" w:hAnsi="Times New Roman" w:cs="Times New Roman"/>
        </w:rPr>
        <w:t>,</w:t>
      </w:r>
      <w:r w:rsidRPr="00AC7317">
        <w:rPr>
          <w:rFonts w:ascii="Times New Roman" w:hAnsi="Times New Roman" w:cs="Times New Roman"/>
        </w:rPr>
        <w:t xml:space="preserve"> wh</w:t>
      </w:r>
      <w:r w:rsidR="00FB3421" w:rsidRPr="00AC7317">
        <w:rPr>
          <w:rFonts w:ascii="Times New Roman" w:hAnsi="Times New Roman" w:cs="Times New Roman"/>
        </w:rPr>
        <w:t>ere</w:t>
      </w:r>
      <w:r w:rsidRPr="00AC7317">
        <w:rPr>
          <w:rFonts w:ascii="Times New Roman" w:hAnsi="Times New Roman" w:cs="Times New Roman"/>
        </w:rPr>
        <w:t xml:space="preserve"> </w:t>
      </w:r>
      <w:r w:rsidR="00FB3421" w:rsidRPr="00AC7317">
        <w:rPr>
          <w:rFonts w:ascii="Times New Roman" w:hAnsi="Times New Roman" w:cs="Times New Roman"/>
        </w:rPr>
        <w:t>supplies are</w:t>
      </w:r>
      <w:r w:rsidRPr="00AC7317">
        <w:rPr>
          <w:rFonts w:ascii="Times New Roman" w:hAnsi="Times New Roman" w:cs="Times New Roman"/>
        </w:rPr>
        <w:t xml:space="preserve"> already deforestation-free</w:t>
      </w:r>
      <w:r w:rsidR="004D0F13" w:rsidRPr="00AC7317">
        <w:rPr>
          <w:rStyle w:val="FootnoteReference"/>
          <w:rFonts w:ascii="Times New Roman" w:hAnsi="Times New Roman" w:cs="Times New Roman"/>
        </w:rPr>
        <w:footnoteReference w:id="1"/>
      </w:r>
      <w:r w:rsidRPr="00AC7317">
        <w:rPr>
          <w:rFonts w:ascii="Times New Roman" w:hAnsi="Times New Roman" w:cs="Times New Roman"/>
        </w:rPr>
        <w:t xml:space="preserve">. </w:t>
      </w:r>
      <w:proofErr w:type="gramStart"/>
      <w:r w:rsidR="005E38AF" w:rsidRPr="00AC7317">
        <w:rPr>
          <w:rFonts w:ascii="Times New Roman" w:hAnsi="Times New Roman" w:cs="Times New Roman"/>
        </w:rPr>
        <w:t>Actually, this</w:t>
      </w:r>
      <w:proofErr w:type="gramEnd"/>
      <w:r w:rsidR="005E38AF" w:rsidRPr="00AC7317">
        <w:rPr>
          <w:rFonts w:ascii="Times New Roman" w:hAnsi="Times New Roman" w:cs="Times New Roman"/>
        </w:rPr>
        <w:t xml:space="preserve"> partial compliance of South America represents the distributional consequences. Smallholders and smaller firms would lose access to the EU market. </w:t>
      </w:r>
      <w:r w:rsidRPr="00AC7317">
        <w:rPr>
          <w:rFonts w:ascii="Times New Roman" w:hAnsi="Times New Roman" w:cs="Times New Roman"/>
        </w:rPr>
        <w:t xml:space="preserve">Nevertheless, this compliance supply chain represents </w:t>
      </w:r>
      <w:r w:rsidR="00DE1088" w:rsidRPr="00AC7317">
        <w:rPr>
          <w:rFonts w:ascii="Times New Roman" w:hAnsi="Times New Roman" w:cs="Times New Roman"/>
        </w:rPr>
        <w:t xml:space="preserve">a small fraction of </w:t>
      </w:r>
      <w:r w:rsidRPr="00AC7317">
        <w:rPr>
          <w:rFonts w:ascii="Times New Roman" w:hAnsi="Times New Roman" w:cs="Times New Roman"/>
        </w:rPr>
        <w:t>the total supply chain</w:t>
      </w:r>
      <w:r w:rsidR="00DE1088" w:rsidRPr="00AC7317">
        <w:rPr>
          <w:rFonts w:ascii="Times New Roman" w:hAnsi="Times New Roman" w:cs="Times New Roman"/>
        </w:rPr>
        <w:t xml:space="preserve"> (~15%)</w:t>
      </w:r>
      <w:r w:rsidRPr="00AC7317">
        <w:rPr>
          <w:rFonts w:ascii="Times New Roman" w:hAnsi="Times New Roman" w:cs="Times New Roman"/>
        </w:rPr>
        <w:t>. Consequently, with the changed composition of the destination market, the pressure on deforestation in South America does not necessarily decrease. Even with full compliance of South American soy targeted at the EU market, particularly from Brazil, it does not guarantee a reduction in deforestation, as long as the demand pressure for soy</w:t>
      </w:r>
      <w:r w:rsidR="00BA5AC5" w:rsidRPr="00AC7317">
        <w:rPr>
          <w:rFonts w:ascii="Times New Roman" w:hAnsi="Times New Roman" w:cs="Times New Roman"/>
        </w:rPr>
        <w:t xml:space="preserve"> from the non-EU market</w:t>
      </w:r>
      <w:r w:rsidRPr="00AC7317">
        <w:rPr>
          <w:rFonts w:ascii="Times New Roman" w:hAnsi="Times New Roman" w:cs="Times New Roman"/>
        </w:rPr>
        <w:t xml:space="preserve"> remains constant. Evidence of substantial domestic leakage within Brazil</w:t>
      </w:r>
      <w:r w:rsidR="008054AC" w:rsidRPr="00AC7317">
        <w:rPr>
          <w:rFonts w:ascii="Times New Roman" w:hAnsi="Times New Roman" w:cs="Times New Roman"/>
        </w:rPr>
        <w:t xml:space="preserve">, </w:t>
      </w:r>
      <w:r w:rsidRPr="00AC7317">
        <w:rPr>
          <w:rFonts w:ascii="Times New Roman" w:hAnsi="Times New Roman" w:cs="Times New Roman"/>
        </w:rPr>
        <w:t>on the order of 43–50%</w:t>
      </w:r>
      <w:r w:rsidR="008054AC" w:rsidRPr="00AC7317">
        <w:rPr>
          <w:rFonts w:ascii="Times New Roman" w:hAnsi="Times New Roman" w:cs="Times New Roman"/>
        </w:rPr>
        <w:t xml:space="preserve">, </w:t>
      </w:r>
      <w:r w:rsidRPr="00AC7317">
        <w:rPr>
          <w:rFonts w:ascii="Times New Roman" w:hAnsi="Times New Roman" w:cs="Times New Roman"/>
        </w:rPr>
        <w:t xml:space="preserve">suggests that reductions in deforestation in some locations can be offset by increases elsewhere (Villoria et al. 2022). </w:t>
      </w:r>
    </w:p>
    <w:p w14:paraId="09C93A45" w14:textId="44D8C9E3" w:rsidR="002E6A0D" w:rsidRPr="00AC7317" w:rsidRDefault="00093BC6" w:rsidP="00832AF0">
      <w:pPr>
        <w:pStyle w:val="FirstParagraph"/>
        <w:spacing w:line="480" w:lineRule="auto"/>
        <w:jc w:val="both"/>
        <w:rPr>
          <w:rFonts w:ascii="Times New Roman" w:hAnsi="Times New Roman" w:cs="Times New Roman"/>
        </w:rPr>
      </w:pPr>
      <w:r w:rsidRPr="00AC7317">
        <w:rPr>
          <w:rFonts w:ascii="Times New Roman" w:hAnsi="Times New Roman" w:cs="Times New Roman"/>
        </w:rPr>
        <w:lastRenderedPageBreak/>
        <w:t>Second,</w:t>
      </w:r>
      <w:r w:rsidR="003415A9" w:rsidRPr="00AC7317">
        <w:rPr>
          <w:rFonts w:ascii="Times New Roman" w:hAnsi="Times New Roman" w:cs="Times New Roman"/>
        </w:rPr>
        <w:t xml:space="preserve"> </w:t>
      </w:r>
      <w:r w:rsidR="00FF5D33" w:rsidRPr="00AC7317">
        <w:rPr>
          <w:rFonts w:ascii="Times New Roman" w:hAnsi="Times New Roman" w:cs="Times New Roman"/>
        </w:rPr>
        <w:t xml:space="preserve">a </w:t>
      </w:r>
      <w:r w:rsidR="00655F30" w:rsidRPr="00AC7317">
        <w:rPr>
          <w:rFonts w:ascii="Times New Roman" w:hAnsi="Times New Roman" w:cs="Times New Roman"/>
        </w:rPr>
        <w:t>conventional supply chain</w:t>
      </w:r>
      <w:r w:rsidR="00982CB6" w:rsidRPr="00AC7317">
        <w:rPr>
          <w:rFonts w:ascii="Times New Roman" w:hAnsi="Times New Roman" w:cs="Times New Roman"/>
        </w:rPr>
        <w:t xml:space="preserve"> </w:t>
      </w:r>
      <w:r w:rsidR="00FF5D33" w:rsidRPr="00AC7317">
        <w:rPr>
          <w:rFonts w:ascii="Times New Roman" w:hAnsi="Times New Roman" w:cs="Times New Roman"/>
        </w:rPr>
        <w:t>serving the non-EU market</w:t>
      </w:r>
      <w:r w:rsidR="0038500A" w:rsidRPr="00AC7317">
        <w:rPr>
          <w:rFonts w:ascii="Times New Roman" w:hAnsi="Times New Roman" w:cs="Times New Roman"/>
        </w:rPr>
        <w:t xml:space="preserve"> (notably China)</w:t>
      </w:r>
      <w:r w:rsidR="00FF5D33" w:rsidRPr="00AC7317">
        <w:rPr>
          <w:rFonts w:ascii="Times New Roman" w:hAnsi="Times New Roman" w:cs="Times New Roman"/>
        </w:rPr>
        <w:t xml:space="preserve"> </w:t>
      </w:r>
      <w:r w:rsidR="00982CB6" w:rsidRPr="00AC7317">
        <w:rPr>
          <w:rFonts w:ascii="Times New Roman" w:hAnsi="Times New Roman" w:cs="Times New Roman"/>
        </w:rPr>
        <w:t>wi</w:t>
      </w:r>
      <w:r w:rsidR="008C4787" w:rsidRPr="00AC7317">
        <w:rPr>
          <w:rFonts w:ascii="Times New Roman" w:hAnsi="Times New Roman" w:cs="Times New Roman"/>
        </w:rPr>
        <w:t xml:space="preserve">thout compliance </w:t>
      </w:r>
      <w:r w:rsidR="00FF5D33" w:rsidRPr="00AC7317">
        <w:rPr>
          <w:rFonts w:ascii="Times New Roman" w:hAnsi="Times New Roman" w:cs="Times New Roman"/>
        </w:rPr>
        <w:t>requirements</w:t>
      </w:r>
      <w:r w:rsidR="00CB1893" w:rsidRPr="00AC7317">
        <w:rPr>
          <w:rFonts w:ascii="Times New Roman" w:hAnsi="Times New Roman" w:cs="Times New Roman"/>
        </w:rPr>
        <w:t>.</w:t>
      </w:r>
      <w:r w:rsidR="00655F30" w:rsidRPr="00AC7317">
        <w:rPr>
          <w:rFonts w:ascii="Times New Roman" w:hAnsi="Times New Roman" w:cs="Times New Roman"/>
        </w:rPr>
        <w:t xml:space="preserve"> </w:t>
      </w:r>
      <w:r w:rsidR="004D729A" w:rsidRPr="00AC7317">
        <w:rPr>
          <w:rFonts w:ascii="Times New Roman" w:hAnsi="Times New Roman" w:cs="Times New Roman"/>
        </w:rPr>
        <w:t xml:space="preserve"> </w:t>
      </w:r>
      <w:r w:rsidR="00F96466" w:rsidRPr="00AC7317">
        <w:rPr>
          <w:rFonts w:ascii="Times New Roman" w:hAnsi="Times New Roman" w:cs="Times New Roman"/>
        </w:rPr>
        <w:t xml:space="preserve">The increasing reliance of South America on the Chinese market may further erode the EU’s leverage in promoting environmental compliance in the future. Understanding the long-term consequences of these trade reallocation patterns is therefore important. </w:t>
      </w:r>
      <w:r w:rsidR="00CA4796" w:rsidRPr="00AC7317">
        <w:rPr>
          <w:rFonts w:ascii="Times New Roman" w:hAnsi="Times New Roman" w:cs="Times New Roman"/>
        </w:rPr>
        <w:t xml:space="preserve">In our baseline EUDR simulation, producer prices in BAP fall, and constrained volumes are reallocated toward China. Over longer horizons, the net effect on production and land use in </w:t>
      </w:r>
      <w:r w:rsidR="00B50727" w:rsidRPr="00AC7317">
        <w:rPr>
          <w:rFonts w:ascii="Times New Roman" w:hAnsi="Times New Roman" w:cs="Times New Roman"/>
        </w:rPr>
        <w:t>high-risk areas depends on the magnitude and persistence of the price signal, supply elasticities, and how fully China/ROW) absorb</w:t>
      </w:r>
      <w:r w:rsidR="00CA4796" w:rsidRPr="00AC7317">
        <w:rPr>
          <w:rFonts w:ascii="Times New Roman" w:hAnsi="Times New Roman" w:cs="Times New Roman"/>
        </w:rPr>
        <w:t xml:space="preserve"> displaced flows. Because the EU accounts for a relatively small share of BAP exports, an EU‑only signal may be too weak to induce contraction; if China’s demand expansion keeps producer prices near baseline, output could be </w:t>
      </w:r>
      <w:r w:rsidR="00094856" w:rsidRPr="00AC7317">
        <w:rPr>
          <w:rFonts w:ascii="Times New Roman" w:hAnsi="Times New Roman" w:cs="Times New Roman"/>
        </w:rPr>
        <w:t>sustained,</w:t>
      </w:r>
      <w:r w:rsidR="00CA4796" w:rsidRPr="00AC7317">
        <w:rPr>
          <w:rFonts w:ascii="Times New Roman" w:hAnsi="Times New Roman" w:cs="Times New Roman"/>
        </w:rPr>
        <w:t xml:space="preserve"> and deforestation pressures may persist or even rise</w:t>
      </w:r>
      <w:r w:rsidR="000C344D" w:rsidRPr="00AC7317">
        <w:rPr>
          <w:rFonts w:ascii="Times New Roman" w:hAnsi="Times New Roman" w:cs="Times New Roman"/>
        </w:rPr>
        <w:t xml:space="preserve">, raising </w:t>
      </w:r>
      <w:r w:rsidR="00FD3DD2" w:rsidRPr="00AC7317">
        <w:rPr>
          <w:rFonts w:ascii="Times New Roman" w:hAnsi="Times New Roman" w:cs="Times New Roman"/>
        </w:rPr>
        <w:t xml:space="preserve">the prospect of </w:t>
      </w:r>
      <w:r w:rsidR="00713E46" w:rsidRPr="00AC7317">
        <w:rPr>
          <w:rFonts w:ascii="Times New Roman" w:hAnsi="Times New Roman" w:cs="Times New Roman"/>
        </w:rPr>
        <w:t xml:space="preserve">a fragmented global soy </w:t>
      </w:r>
      <w:r w:rsidR="0077520C" w:rsidRPr="00AC7317">
        <w:rPr>
          <w:rFonts w:ascii="Times New Roman" w:hAnsi="Times New Roman" w:cs="Times New Roman"/>
        </w:rPr>
        <w:t xml:space="preserve">market </w:t>
      </w:r>
      <w:r w:rsidR="00F96466" w:rsidRPr="00AC7317">
        <w:rPr>
          <w:rFonts w:ascii="Times New Roman" w:hAnsi="Times New Roman" w:cs="Times New Roman"/>
        </w:rPr>
        <w:t>less responsive to EU regulations</w:t>
      </w:r>
      <w:r w:rsidR="0077520C" w:rsidRPr="00AC7317">
        <w:rPr>
          <w:rFonts w:ascii="Times New Roman" w:hAnsi="Times New Roman" w:cs="Times New Roman"/>
        </w:rPr>
        <w:t>.</w:t>
      </w:r>
    </w:p>
    <w:p w14:paraId="07CD1DBF" w14:textId="6CF48F84"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t xml:space="preserve">The economic implications for the EU are substantial. Certain EU members, such as the Netherlands, Poland, Spain, Germany, France, and Italy, bear disproportionate burdens, reflecting differences in import dependency, processing capacity, and </w:t>
      </w:r>
      <w:r w:rsidR="00853F3A" w:rsidRPr="00AC7317">
        <w:rPr>
          <w:rFonts w:ascii="Times New Roman" w:hAnsi="Times New Roman" w:cs="Times New Roman"/>
        </w:rPr>
        <w:t xml:space="preserve">the </w:t>
      </w:r>
      <w:r w:rsidR="00B565B9" w:rsidRPr="00AC7317">
        <w:rPr>
          <w:rFonts w:ascii="Times New Roman" w:hAnsi="Times New Roman" w:cs="Times New Roman"/>
        </w:rPr>
        <w:t xml:space="preserve">degree of integration in </w:t>
      </w:r>
      <w:r w:rsidR="00853F3A" w:rsidRPr="00AC7317">
        <w:rPr>
          <w:rFonts w:ascii="Times New Roman" w:hAnsi="Times New Roman" w:cs="Times New Roman"/>
        </w:rPr>
        <w:t>their supply chains</w:t>
      </w:r>
      <w:r w:rsidRPr="00AC7317">
        <w:rPr>
          <w:rFonts w:ascii="Times New Roman" w:hAnsi="Times New Roman" w:cs="Times New Roman"/>
        </w:rPr>
        <w:t>. Gilbert (</w:t>
      </w:r>
      <w:hyperlink w:anchor="ref-gilbert2024">
        <w:r w:rsidR="002E6A0D" w:rsidRPr="00AC7317">
          <w:rPr>
            <w:rStyle w:val="Hyperlink"/>
            <w:rFonts w:ascii="Times New Roman" w:hAnsi="Times New Roman" w:cs="Times New Roman"/>
          </w:rPr>
          <w:t>2024</w:t>
        </w:r>
      </w:hyperlink>
      <w:r w:rsidRPr="00AC7317">
        <w:rPr>
          <w:rFonts w:ascii="Times New Roman" w:hAnsi="Times New Roman" w:cs="Times New Roman"/>
        </w:rPr>
        <w:t xml:space="preserve">) </w:t>
      </w:r>
      <w:r w:rsidR="002F1045" w:rsidRPr="00AC7317">
        <w:rPr>
          <w:rFonts w:ascii="Times New Roman" w:hAnsi="Times New Roman" w:cs="Times New Roman"/>
        </w:rPr>
        <w:t xml:space="preserve">notes that this creates a “European premium” over global prices, with compliance costs being directly passed on </w:t>
      </w:r>
      <w:r w:rsidRPr="00AC7317">
        <w:rPr>
          <w:rFonts w:ascii="Times New Roman" w:hAnsi="Times New Roman" w:cs="Times New Roman"/>
        </w:rPr>
        <w:t>to EU consumers</w:t>
      </w:r>
      <w:r w:rsidR="0058608E" w:rsidRPr="00AC7317">
        <w:rPr>
          <w:rFonts w:ascii="Times New Roman" w:hAnsi="Times New Roman" w:cs="Times New Roman"/>
        </w:rPr>
        <w:t>.</w:t>
      </w:r>
      <w:r w:rsidRPr="00AC7317">
        <w:rPr>
          <w:rFonts w:ascii="Times New Roman" w:hAnsi="Times New Roman" w:cs="Times New Roman"/>
        </w:rPr>
        <w:t xml:space="preserve"> Further, the loss is also pronounced in soybean cake, despite its lower share in global soy trade, which is due to the higher elasticity of substitution for soybean cake. This result is consistent with the studies by Branger and Quirion (</w:t>
      </w:r>
      <w:hyperlink w:anchor="ref-branger2014">
        <w:r w:rsidR="002E6A0D" w:rsidRPr="00AC7317">
          <w:rPr>
            <w:rStyle w:val="Hyperlink"/>
            <w:rFonts w:ascii="Times New Roman" w:hAnsi="Times New Roman" w:cs="Times New Roman"/>
          </w:rPr>
          <w:t>2014</w:t>
        </w:r>
      </w:hyperlink>
      <w:r w:rsidRPr="00AC7317">
        <w:rPr>
          <w:rFonts w:ascii="Times New Roman" w:hAnsi="Times New Roman" w:cs="Times New Roman"/>
        </w:rPr>
        <w:t xml:space="preserve">) and </w:t>
      </w:r>
      <w:proofErr w:type="spellStart"/>
      <w:r w:rsidRPr="00AC7317">
        <w:rPr>
          <w:rFonts w:ascii="Times New Roman" w:hAnsi="Times New Roman" w:cs="Times New Roman"/>
        </w:rPr>
        <w:t>Böhringer</w:t>
      </w:r>
      <w:proofErr w:type="spellEnd"/>
      <w:r w:rsidRPr="00AC7317">
        <w:rPr>
          <w:rFonts w:ascii="Times New Roman" w:hAnsi="Times New Roman" w:cs="Times New Roman"/>
        </w:rPr>
        <w:t xml:space="preserve">, Rosendahl and </w:t>
      </w:r>
      <w:proofErr w:type="spellStart"/>
      <w:r w:rsidRPr="00AC7317">
        <w:rPr>
          <w:rFonts w:ascii="Times New Roman" w:hAnsi="Times New Roman" w:cs="Times New Roman"/>
        </w:rPr>
        <w:t>Storrøsten</w:t>
      </w:r>
      <w:proofErr w:type="spellEnd"/>
      <w:r w:rsidRPr="00AC7317">
        <w:rPr>
          <w:rFonts w:ascii="Times New Roman" w:hAnsi="Times New Roman" w:cs="Times New Roman"/>
        </w:rPr>
        <w:t xml:space="preserve"> (</w:t>
      </w:r>
      <w:hyperlink w:anchor="ref-bohringer2017">
        <w:r w:rsidR="002E6A0D" w:rsidRPr="00AC7317">
          <w:rPr>
            <w:rStyle w:val="Hyperlink"/>
            <w:rFonts w:ascii="Times New Roman" w:hAnsi="Times New Roman" w:cs="Times New Roman"/>
          </w:rPr>
          <w:t>2017</w:t>
        </w:r>
      </w:hyperlink>
      <w:r w:rsidRPr="00AC7317">
        <w:rPr>
          <w:rFonts w:ascii="Times New Roman" w:hAnsi="Times New Roman" w:cs="Times New Roman"/>
        </w:rPr>
        <w:t>), which show that higher trade elasticities increase trade reallocations. According to Noordwijk et al. (</w:t>
      </w:r>
      <w:hyperlink w:anchor="ref-vannoordwijk2025">
        <w:r w:rsidR="002E6A0D" w:rsidRPr="00AC7317">
          <w:rPr>
            <w:rStyle w:val="Hyperlink"/>
            <w:rFonts w:ascii="Times New Roman" w:hAnsi="Times New Roman" w:cs="Times New Roman"/>
          </w:rPr>
          <w:t>2025</w:t>
        </w:r>
      </w:hyperlink>
      <w:r w:rsidRPr="00AC7317">
        <w:rPr>
          <w:rFonts w:ascii="Times New Roman" w:hAnsi="Times New Roman" w:cs="Times New Roman"/>
        </w:rPr>
        <w:t xml:space="preserve">), the EUDR may cause “collateral damage” to unintended stakeholders. For example, in our analysis, </w:t>
      </w:r>
      <w:r w:rsidRPr="00AC7317">
        <w:rPr>
          <w:rFonts w:ascii="Times New Roman" w:hAnsi="Times New Roman" w:cs="Times New Roman"/>
        </w:rPr>
        <w:lastRenderedPageBreak/>
        <w:t>restrictions on BAP increase welfare losses in the US and Canada due to an increase in the price index.</w:t>
      </w:r>
    </w:p>
    <w:p w14:paraId="62FAD019" w14:textId="3029A49C"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t xml:space="preserve">The EUDR, </w:t>
      </w:r>
      <w:proofErr w:type="gramStart"/>
      <w:r w:rsidRPr="00AC7317">
        <w:rPr>
          <w:rFonts w:ascii="Times New Roman" w:hAnsi="Times New Roman" w:cs="Times New Roman"/>
        </w:rPr>
        <w:t>similar to</w:t>
      </w:r>
      <w:proofErr w:type="gramEnd"/>
      <w:r w:rsidRPr="00AC7317">
        <w:rPr>
          <w:rFonts w:ascii="Times New Roman" w:hAnsi="Times New Roman" w:cs="Times New Roman"/>
        </w:rPr>
        <w:t xml:space="preserve"> non‑tariff measures, appears </w:t>
      </w:r>
      <w:r w:rsidR="00216BA2" w:rsidRPr="00AC7317">
        <w:rPr>
          <w:rFonts w:ascii="Times New Roman" w:hAnsi="Times New Roman" w:cs="Times New Roman"/>
        </w:rPr>
        <w:t>to be</w:t>
      </w:r>
      <w:r w:rsidRPr="00AC7317">
        <w:rPr>
          <w:rFonts w:ascii="Times New Roman" w:hAnsi="Times New Roman" w:cs="Times New Roman"/>
        </w:rPr>
        <w:t xml:space="preserve"> both a trade catalyst and a barrier. For forest‑risk countries, it functions as a trade barrier, as these countries will be under higher scrutiny and compliance costs could rise. However, the EUDR can </w:t>
      </w:r>
      <w:proofErr w:type="spellStart"/>
      <w:r w:rsidRPr="00AC7317">
        <w:rPr>
          <w:rFonts w:ascii="Times New Roman" w:hAnsi="Times New Roman" w:cs="Times New Roman"/>
        </w:rPr>
        <w:t>catalyse</w:t>
      </w:r>
      <w:proofErr w:type="spellEnd"/>
      <w:r w:rsidRPr="00AC7317">
        <w:rPr>
          <w:rFonts w:ascii="Times New Roman" w:hAnsi="Times New Roman" w:cs="Times New Roman"/>
        </w:rPr>
        <w:t xml:space="preserve"> trade within the EU; this provides an opportunity for soy producers and producers of substitute products, such as other vegetable oils and cake, from EU countries. This is evidenced by increased producer prices for soy products in EU countries (see </w:t>
      </w:r>
      <w:hyperlink w:anchor="figurea61">
        <w:r w:rsidR="008879D8" w:rsidRPr="00AC7317">
          <w:rPr>
            <w:rStyle w:val="Hyperlink"/>
            <w:rFonts w:ascii="Times New Roman" w:hAnsi="Times New Roman" w:cs="Times New Roman"/>
          </w:rPr>
          <w:t>a</w:t>
        </w:r>
        <w:r w:rsidR="002E6A0D" w:rsidRPr="00AC7317">
          <w:rPr>
            <w:rStyle w:val="Hyperlink"/>
            <w:rFonts w:ascii="Times New Roman" w:hAnsi="Times New Roman" w:cs="Times New Roman"/>
          </w:rPr>
          <w:t xml:space="preserve">ppendix </w:t>
        </w:r>
        <w:r w:rsidR="008879D8" w:rsidRPr="00AC7317">
          <w:rPr>
            <w:rStyle w:val="Hyperlink"/>
            <w:rFonts w:ascii="Times New Roman" w:hAnsi="Times New Roman" w:cs="Times New Roman"/>
          </w:rPr>
          <w:t>f</w:t>
        </w:r>
        <w:r w:rsidR="002E6A0D" w:rsidRPr="00AC7317">
          <w:rPr>
            <w:rStyle w:val="Hyperlink"/>
            <w:rFonts w:ascii="Times New Roman" w:hAnsi="Times New Roman" w:cs="Times New Roman"/>
          </w:rPr>
          <w:t>igure A5.1</w:t>
        </w:r>
      </w:hyperlink>
      <w:r w:rsidRPr="00AC7317">
        <w:rPr>
          <w:rFonts w:ascii="Times New Roman" w:hAnsi="Times New Roman" w:cs="Times New Roman"/>
        </w:rPr>
        <w:t>). Trade between compliers (most likely North American exporters) and the EU also rises. This finding is in line with Santeramo et al. (</w:t>
      </w:r>
      <w:hyperlink w:anchor="ref-santeramo2025">
        <w:r w:rsidR="002E6A0D" w:rsidRPr="00AC7317">
          <w:rPr>
            <w:rStyle w:val="Hyperlink"/>
            <w:rFonts w:ascii="Times New Roman" w:hAnsi="Times New Roman" w:cs="Times New Roman"/>
          </w:rPr>
          <w:t>2025</w:t>
        </w:r>
      </w:hyperlink>
      <w:r w:rsidRPr="00AC7317">
        <w:rPr>
          <w:rFonts w:ascii="Times New Roman" w:hAnsi="Times New Roman" w:cs="Times New Roman"/>
        </w:rPr>
        <w:t>), which highlights that the EU TBT has the capacity to redirect imports towards compliant origins.</w:t>
      </w:r>
    </w:p>
    <w:p w14:paraId="4B0E3343" w14:textId="77777777"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t>Our findings on the consequences of the EUDR simulation underscore the limitations of a purely demand-side regulatory. A more effective approach would combine demand-side and supply-side measures, including direct forest conservation incentives, carbon payments, and Contingent Trade Agreements (CTAs) that penalize exporters based on changes in forest cover. Muradian et al. (</w:t>
      </w:r>
      <w:hyperlink w:anchor="ref-muradian2025">
        <w:r w:rsidR="002E6A0D" w:rsidRPr="00AC7317">
          <w:rPr>
            <w:rStyle w:val="Hyperlink"/>
            <w:rFonts w:ascii="Times New Roman" w:hAnsi="Times New Roman" w:cs="Times New Roman"/>
          </w:rPr>
          <w:t>2025</w:t>
        </w:r>
      </w:hyperlink>
      <w:r w:rsidRPr="00AC7317">
        <w:rPr>
          <w:rFonts w:ascii="Times New Roman" w:hAnsi="Times New Roman" w:cs="Times New Roman"/>
        </w:rPr>
        <w:t>) argue that territorial approaches, such as Brazil’s Amazon Soy Moratorium and the Action Plan for the Prevention and Control of Deforestation in the Legal Amazon (</w:t>
      </w:r>
      <w:proofErr w:type="spellStart"/>
      <w:r w:rsidRPr="00AC7317">
        <w:rPr>
          <w:rFonts w:ascii="Times New Roman" w:hAnsi="Times New Roman" w:cs="Times New Roman"/>
        </w:rPr>
        <w:t>PPCDAm</w:t>
      </w:r>
      <w:proofErr w:type="spellEnd"/>
      <w:r w:rsidRPr="00AC7317">
        <w:rPr>
          <w:rFonts w:ascii="Times New Roman" w:hAnsi="Times New Roman" w:cs="Times New Roman"/>
        </w:rPr>
        <w:t>), have been more effective in reducing deforestation by aligning with local public governance. In contrast, the EUDR’s focus on value chain interventions fails to address underlying drivers of deforestation, such as weak governance and land speculation. Harstad (</w:t>
      </w:r>
      <w:hyperlink w:anchor="ref-harstad2024b">
        <w:r w:rsidR="002E6A0D" w:rsidRPr="00AC7317">
          <w:rPr>
            <w:rStyle w:val="Hyperlink"/>
            <w:rFonts w:ascii="Times New Roman" w:hAnsi="Times New Roman" w:cs="Times New Roman"/>
          </w:rPr>
          <w:t>2024b</w:t>
        </w:r>
      </w:hyperlink>
      <w:r w:rsidRPr="00AC7317">
        <w:rPr>
          <w:rFonts w:ascii="Times New Roman" w:hAnsi="Times New Roman" w:cs="Times New Roman"/>
        </w:rPr>
        <w:t xml:space="preserve">) also emphasizes the importance of balancing depth and breadth in environmental agreements. The EUDR, as a “deep-but-narrow” policy, imposes strict deforestation-free requirements on imports but applies only to the EU market. A “broader-but-shallow” agreement involving multiple major importers </w:t>
      </w:r>
      <w:r w:rsidRPr="00AC7317">
        <w:rPr>
          <w:rFonts w:ascii="Times New Roman" w:hAnsi="Times New Roman" w:cs="Times New Roman"/>
        </w:rPr>
        <w:lastRenderedPageBreak/>
        <w:t>with less ambitious regulations could reduce leakage and achieve greater global impact. For instance, a CTA between the EU and the US could potentially reduce agricultural expansion in Brazil by up to 27% compared to unrestricted free trade scenarios (</w:t>
      </w:r>
      <w:hyperlink w:anchor="ref-harstad2024a">
        <w:r w:rsidR="002E6A0D" w:rsidRPr="00AC7317">
          <w:rPr>
            <w:rStyle w:val="Hyperlink"/>
            <w:rFonts w:ascii="Times New Roman" w:hAnsi="Times New Roman" w:cs="Times New Roman"/>
          </w:rPr>
          <w:t>Harstad 2024a</w:t>
        </w:r>
      </w:hyperlink>
      <w:r w:rsidRPr="00AC7317">
        <w:rPr>
          <w:rFonts w:ascii="Times New Roman" w:hAnsi="Times New Roman" w:cs="Times New Roman"/>
        </w:rPr>
        <w:t xml:space="preserve">; </w:t>
      </w:r>
      <w:hyperlink w:anchor="ref-harstad2024c">
        <w:r w:rsidR="002E6A0D" w:rsidRPr="00AC7317">
          <w:rPr>
            <w:rStyle w:val="Hyperlink"/>
            <w:rFonts w:ascii="Times New Roman" w:hAnsi="Times New Roman" w:cs="Times New Roman"/>
          </w:rPr>
          <w:t>Harstad 2024c</w:t>
        </w:r>
      </w:hyperlink>
      <w:r w:rsidRPr="00AC7317">
        <w:rPr>
          <w:rFonts w:ascii="Times New Roman" w:hAnsi="Times New Roman" w:cs="Times New Roman"/>
        </w:rPr>
        <w:t>).</w:t>
      </w:r>
    </w:p>
    <w:p w14:paraId="7AD1658E" w14:textId="593BE994" w:rsidR="002E6A0D" w:rsidRPr="00AC7317" w:rsidRDefault="00C43A44" w:rsidP="00216BA2">
      <w:pPr>
        <w:pStyle w:val="Heading1"/>
        <w:spacing w:line="480" w:lineRule="auto"/>
        <w:jc w:val="both"/>
        <w:rPr>
          <w:rFonts w:ascii="Times New Roman" w:hAnsi="Times New Roman" w:cs="Times New Roman"/>
          <w:sz w:val="24"/>
          <w:szCs w:val="24"/>
        </w:rPr>
      </w:pPr>
      <w:bookmarkStart w:id="22" w:name="conclusion"/>
      <w:bookmarkEnd w:id="21"/>
      <w:r w:rsidRPr="00AC7317">
        <w:rPr>
          <w:rFonts w:ascii="Times New Roman" w:hAnsi="Times New Roman" w:cs="Times New Roman"/>
          <w:sz w:val="24"/>
          <w:szCs w:val="24"/>
        </w:rPr>
        <w:t>8</w:t>
      </w:r>
      <w:r w:rsidR="00F96466" w:rsidRPr="00AC7317">
        <w:rPr>
          <w:rFonts w:ascii="Times New Roman" w:hAnsi="Times New Roman" w:cs="Times New Roman"/>
          <w:sz w:val="24"/>
          <w:szCs w:val="24"/>
        </w:rPr>
        <w:t>. Conclusion</w:t>
      </w:r>
    </w:p>
    <w:p w14:paraId="4E31FF15" w14:textId="32145ACE" w:rsidR="002E6A0D" w:rsidRPr="00AC7317" w:rsidRDefault="00F96466" w:rsidP="00216BA2">
      <w:pPr>
        <w:pStyle w:val="FirstParagraph"/>
        <w:spacing w:line="480" w:lineRule="auto"/>
        <w:jc w:val="both"/>
        <w:rPr>
          <w:rFonts w:ascii="Times New Roman" w:hAnsi="Times New Roman" w:cs="Times New Roman"/>
        </w:rPr>
      </w:pPr>
      <w:r w:rsidRPr="00AC7317">
        <w:rPr>
          <w:rFonts w:ascii="Times New Roman" w:hAnsi="Times New Roman" w:cs="Times New Roman"/>
        </w:rPr>
        <w:t xml:space="preserve">The EUDR is the EU’s first regulatory initiative to curb tropical deforestation through </w:t>
      </w:r>
      <w:r w:rsidR="00CD109C" w:rsidRPr="00AC7317">
        <w:rPr>
          <w:rFonts w:ascii="Times New Roman" w:hAnsi="Times New Roman" w:cs="Times New Roman"/>
        </w:rPr>
        <w:t xml:space="preserve">a </w:t>
      </w:r>
      <w:r w:rsidRPr="00AC7317">
        <w:rPr>
          <w:rFonts w:ascii="Times New Roman" w:hAnsi="Times New Roman" w:cs="Times New Roman"/>
        </w:rPr>
        <w:t xml:space="preserve">market access restriction approach on the soy sector. We </w:t>
      </w:r>
      <w:r w:rsidR="002265B5" w:rsidRPr="00AC7317">
        <w:rPr>
          <w:rFonts w:ascii="Times New Roman" w:hAnsi="Times New Roman" w:cs="Times New Roman"/>
        </w:rPr>
        <w:t>used a</w:t>
      </w:r>
      <w:r w:rsidRPr="00AC7317">
        <w:rPr>
          <w:rFonts w:ascii="Times New Roman" w:hAnsi="Times New Roman" w:cs="Times New Roman"/>
        </w:rPr>
        <w:t xml:space="preserve"> </w:t>
      </w:r>
      <w:r w:rsidR="002265B5" w:rsidRPr="00AC7317">
        <w:rPr>
          <w:rFonts w:ascii="Times New Roman" w:hAnsi="Times New Roman" w:cs="Times New Roman"/>
        </w:rPr>
        <w:t xml:space="preserve">structural </w:t>
      </w:r>
      <w:r w:rsidRPr="00AC7317">
        <w:rPr>
          <w:rFonts w:ascii="Times New Roman" w:hAnsi="Times New Roman" w:cs="Times New Roman"/>
        </w:rPr>
        <w:t xml:space="preserve">gravity model, taking the base year 2022, and assessed the effects of the EUDR under two scenarios: one in which exporters comply with the regulation and another in which BAP do not export soy to the EU. We chose these three countries for the non-compliance scenario because they have faced significant forest loss directly attributable to soybean expansion, are characterized by weak environmental governance, and hold a substantial share of global soy production. Our results show that restrictions on South American exports redirect soy flows toward non-EU markets, mainly China, while EU imports are substituted by US and Canadian suppliers. The regulation appears to be </w:t>
      </w:r>
      <w:r w:rsidR="004C0499" w:rsidRPr="00AC7317">
        <w:rPr>
          <w:rFonts w:ascii="Times New Roman" w:hAnsi="Times New Roman" w:cs="Times New Roman"/>
        </w:rPr>
        <w:t>a catalyst for the trade of compliant soy, most likely from North America, and the EU-intra trade, however,</w:t>
      </w:r>
      <w:r w:rsidRPr="00AC7317">
        <w:rPr>
          <w:rFonts w:ascii="Times New Roman" w:hAnsi="Times New Roman" w:cs="Times New Roman"/>
        </w:rPr>
        <w:t xml:space="preserve"> at the cost of consumer welfare. The EU experiences expenditure losses due to increased prices arising from compliance costs, leading to deteriorated terms of trade. The expenditure losses are even more severe when South American countries do not comply with the EUDR at all. Conversely, South American countries face declining soy price indices and producer prices with no change in terms-of-trade effects. These findings suggest that the EU lacks sufficient market leverage to incentivize pro-forest </w:t>
      </w:r>
      <w:r w:rsidR="008A5A73" w:rsidRPr="00AC7317">
        <w:rPr>
          <w:rFonts w:ascii="Times New Roman" w:hAnsi="Times New Roman" w:cs="Times New Roman"/>
        </w:rPr>
        <w:t>land-use decisions among</w:t>
      </w:r>
      <w:r w:rsidRPr="00AC7317">
        <w:rPr>
          <w:rFonts w:ascii="Times New Roman" w:hAnsi="Times New Roman" w:cs="Times New Roman"/>
        </w:rPr>
        <w:t xml:space="preserve"> major South American soy producers.</w:t>
      </w:r>
    </w:p>
    <w:p w14:paraId="3C79E94F" w14:textId="33F6E168" w:rsidR="002C57CE"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lastRenderedPageBreak/>
        <w:t>We acknowledge some limitations in our study. Our results are under “conditional” equilibrium in the sense of Anderson et al. (</w:t>
      </w:r>
      <w:hyperlink w:anchor="ref-anderson2018">
        <w:r w:rsidR="002E6A0D" w:rsidRPr="00AC7317">
          <w:rPr>
            <w:rStyle w:val="Hyperlink"/>
            <w:rFonts w:ascii="Times New Roman" w:hAnsi="Times New Roman" w:cs="Times New Roman"/>
          </w:rPr>
          <w:t>2018</w:t>
        </w:r>
      </w:hyperlink>
      <w:r w:rsidRPr="00AC7317">
        <w:rPr>
          <w:rFonts w:ascii="Times New Roman" w:hAnsi="Times New Roman" w:cs="Times New Roman"/>
        </w:rPr>
        <w:t>), which captures short-run and static trade reallocation and price index effects of the EUDR</w:t>
      </w:r>
      <w:r w:rsidR="00050D87" w:rsidRPr="00AC7317">
        <w:rPr>
          <w:rFonts w:ascii="Times New Roman" w:hAnsi="Times New Roman" w:cs="Times New Roman"/>
        </w:rPr>
        <w:t xml:space="preserve">. This model falls short in offering a discussion on long-run environmental impacts, including endogenous output responses in major producing countries, EU domestic supply responses, and cross-commodity substitution in the vegetable oils complex (e.g., palm, sunflower, rapeseed). Importantly, the model also abstracts from substitution from soybeans toward other oilseeds, which could, for example, shift deforestation from tropical soy production areas to oil palm regions such as Indonesia. </w:t>
      </w:r>
      <w:r w:rsidR="004F7597" w:rsidRPr="00AC7317">
        <w:rPr>
          <w:rFonts w:ascii="Times New Roman" w:hAnsi="Times New Roman" w:cs="Times New Roman"/>
        </w:rPr>
        <w:t>Further, if</w:t>
      </w:r>
      <w:r w:rsidR="00050D87" w:rsidRPr="00AC7317">
        <w:rPr>
          <w:rFonts w:ascii="Times New Roman" w:hAnsi="Times New Roman" w:cs="Times New Roman"/>
        </w:rPr>
        <w:t xml:space="preserve"> demand </w:t>
      </w:r>
      <w:r w:rsidR="004F7597" w:rsidRPr="00AC7317">
        <w:rPr>
          <w:rFonts w:ascii="Times New Roman" w:hAnsi="Times New Roman" w:cs="Times New Roman"/>
        </w:rPr>
        <w:t xml:space="preserve">from the non-EU market </w:t>
      </w:r>
      <w:r w:rsidR="00050D87" w:rsidRPr="00AC7317">
        <w:rPr>
          <w:rFonts w:ascii="Times New Roman" w:hAnsi="Times New Roman" w:cs="Times New Roman"/>
        </w:rPr>
        <w:t xml:space="preserve">contracts in the future, production by South American producers could </w:t>
      </w:r>
      <w:r w:rsidR="00E0167B" w:rsidRPr="00AC7317">
        <w:rPr>
          <w:rFonts w:ascii="Times New Roman" w:hAnsi="Times New Roman" w:cs="Times New Roman"/>
        </w:rPr>
        <w:t xml:space="preserve">also </w:t>
      </w:r>
      <w:r w:rsidR="00050D87" w:rsidRPr="00AC7317">
        <w:rPr>
          <w:rFonts w:ascii="Times New Roman" w:hAnsi="Times New Roman" w:cs="Times New Roman"/>
        </w:rPr>
        <w:t>contract, leading to increased avoided deforestation</w:t>
      </w:r>
      <w:r w:rsidR="005702E8" w:rsidRPr="00AC7317">
        <w:rPr>
          <w:rFonts w:ascii="Times New Roman" w:hAnsi="Times New Roman" w:cs="Times New Roman"/>
        </w:rPr>
        <w:t xml:space="preserve">. </w:t>
      </w:r>
      <w:r w:rsidR="00050D87" w:rsidRPr="00AC7317">
        <w:rPr>
          <w:rFonts w:ascii="Times New Roman" w:hAnsi="Times New Roman" w:cs="Times New Roman"/>
        </w:rPr>
        <w:t xml:space="preserve">Modeling these channels requires a multi-sectoral </w:t>
      </w:r>
      <w:r w:rsidR="00E15498" w:rsidRPr="00AC7317">
        <w:rPr>
          <w:rFonts w:ascii="Times New Roman" w:hAnsi="Times New Roman" w:cs="Times New Roman"/>
        </w:rPr>
        <w:t xml:space="preserve">dynamic </w:t>
      </w:r>
      <w:r w:rsidR="00050D87" w:rsidRPr="00AC7317">
        <w:rPr>
          <w:rFonts w:ascii="Times New Roman" w:hAnsi="Times New Roman" w:cs="Times New Roman"/>
        </w:rPr>
        <w:t>equilibrium framework with endogenous supply responses, which is beyond the scope of this paper.</w:t>
      </w:r>
      <w:r w:rsidR="00330C41" w:rsidRPr="00AC7317">
        <w:rPr>
          <w:rFonts w:ascii="Times New Roman" w:hAnsi="Times New Roman" w:cs="Times New Roman"/>
        </w:rPr>
        <w:t xml:space="preserve"> Finally, we do not model heterogeneous compliance capacity (e.g., partial compliance by larger firms with </w:t>
      </w:r>
      <w:r w:rsidR="001F0007" w:rsidRPr="00AC7317">
        <w:rPr>
          <w:rFonts w:ascii="Times New Roman" w:hAnsi="Times New Roman" w:cs="Times New Roman"/>
        </w:rPr>
        <w:t xml:space="preserve">the </w:t>
      </w:r>
      <w:r w:rsidR="00330C41" w:rsidRPr="00AC7317">
        <w:rPr>
          <w:rFonts w:ascii="Times New Roman" w:hAnsi="Times New Roman" w:cs="Times New Roman"/>
        </w:rPr>
        <w:t xml:space="preserve">exclusion of smaller producers) or subnational leakage dynamics. A subregional </w:t>
      </w:r>
      <w:r w:rsidR="00F00E6D" w:rsidRPr="00AC7317">
        <w:rPr>
          <w:rFonts w:ascii="Times New Roman" w:hAnsi="Times New Roman" w:cs="Times New Roman"/>
        </w:rPr>
        <w:t>trade–land–use model linking destination-specific demand to producing sub-regions would be better suited to assess how EUDR-induced demand shifts affect frontier expansion versus consolidated, low-forest</w:t>
      </w:r>
      <w:r w:rsidR="00330C41" w:rsidRPr="00AC7317">
        <w:rPr>
          <w:rFonts w:ascii="Times New Roman" w:hAnsi="Times New Roman" w:cs="Times New Roman"/>
        </w:rPr>
        <w:t xml:space="preserve"> areas.</w:t>
      </w:r>
    </w:p>
    <w:p w14:paraId="5F91A429" w14:textId="41BEFFA8"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t xml:space="preserve">While our study focuses on the soy sector, future research should also examine the trade reallocation and the possible deforestation leakage for commodities covered by the EUDR, such as palm oil, rubber, cattle, cocoa, coffee, and wood products. Examining indirect land use changes, </w:t>
      </w:r>
      <w:r w:rsidR="00E54A39" w:rsidRPr="00AC7317">
        <w:rPr>
          <w:rFonts w:ascii="Times New Roman" w:hAnsi="Times New Roman" w:cs="Times New Roman"/>
        </w:rPr>
        <w:t>which may result from a shift in land use pressures to commodities not covered by the EUDR, can be a significant</w:t>
      </w:r>
      <w:r w:rsidRPr="00AC7317">
        <w:rPr>
          <w:rFonts w:ascii="Times New Roman" w:hAnsi="Times New Roman" w:cs="Times New Roman"/>
        </w:rPr>
        <w:t xml:space="preserve"> concern. Furthermore, governance and implementation challenges, such as traceability and interactions with local governance, deserve research attention to ensure the regulation’s success.</w:t>
      </w:r>
    </w:p>
    <w:p w14:paraId="7153A29E" w14:textId="77777777" w:rsidR="002E6A0D" w:rsidRPr="00AC7317" w:rsidRDefault="00F96466" w:rsidP="00216BA2">
      <w:pPr>
        <w:spacing w:line="480" w:lineRule="auto"/>
        <w:jc w:val="both"/>
        <w:rPr>
          <w:rFonts w:ascii="Times New Roman" w:hAnsi="Times New Roman" w:cs="Times New Roman"/>
        </w:rPr>
      </w:pPr>
      <w:r w:rsidRPr="00AC7317">
        <w:rPr>
          <w:rFonts w:ascii="Times New Roman" w:hAnsi="Times New Roman" w:cs="Times New Roman"/>
        </w:rPr>
        <w:lastRenderedPageBreak/>
        <w:br w:type="page"/>
      </w:r>
    </w:p>
    <w:p w14:paraId="30926C8E" w14:textId="77777777" w:rsidR="002E6A0D" w:rsidRPr="00AC7317" w:rsidRDefault="00F96466" w:rsidP="00216BA2">
      <w:pPr>
        <w:pStyle w:val="Heading1"/>
        <w:spacing w:line="480" w:lineRule="auto"/>
        <w:jc w:val="both"/>
        <w:rPr>
          <w:rFonts w:ascii="Times New Roman" w:hAnsi="Times New Roman" w:cs="Times New Roman"/>
          <w:sz w:val="24"/>
          <w:szCs w:val="24"/>
        </w:rPr>
      </w:pPr>
      <w:bookmarkStart w:id="23" w:name="_References"/>
      <w:bookmarkStart w:id="24" w:name="references"/>
      <w:bookmarkEnd w:id="22"/>
      <w:bookmarkEnd w:id="23"/>
      <w:r w:rsidRPr="00AC7317">
        <w:rPr>
          <w:rFonts w:ascii="Times New Roman" w:hAnsi="Times New Roman" w:cs="Times New Roman"/>
          <w:sz w:val="24"/>
          <w:szCs w:val="24"/>
        </w:rPr>
        <w:lastRenderedPageBreak/>
        <w:t>References</w:t>
      </w:r>
    </w:p>
    <w:p w14:paraId="7C5B3F73" w14:textId="77777777" w:rsidR="002E6A0D" w:rsidRPr="00AC7317" w:rsidRDefault="00F96466" w:rsidP="00216BA2">
      <w:pPr>
        <w:pStyle w:val="Bibliography"/>
        <w:spacing w:line="480" w:lineRule="auto"/>
        <w:jc w:val="both"/>
        <w:rPr>
          <w:rFonts w:ascii="Times New Roman" w:hAnsi="Times New Roman" w:cs="Times New Roman"/>
        </w:rPr>
      </w:pPr>
      <w:bookmarkStart w:id="25" w:name="ref-agunity2023"/>
      <w:bookmarkStart w:id="26" w:name="refs"/>
      <w:proofErr w:type="spellStart"/>
      <w:r w:rsidRPr="00AC7317">
        <w:rPr>
          <w:rFonts w:ascii="Times New Roman" w:hAnsi="Times New Roman" w:cs="Times New Roman"/>
        </w:rPr>
        <w:t>AgUnity</w:t>
      </w:r>
      <w:proofErr w:type="spellEnd"/>
      <w:r w:rsidRPr="00AC7317">
        <w:rPr>
          <w:rFonts w:ascii="Times New Roman" w:hAnsi="Times New Roman" w:cs="Times New Roman"/>
        </w:rPr>
        <w:t xml:space="preserve">. 2023. “Unveiling EU’s green ambitions: The dual impact of EU deforestation regulations on global trade and developing economies.” Available at: </w:t>
      </w:r>
      <w:hyperlink r:id="rId18">
        <w:r w:rsidR="002E6A0D" w:rsidRPr="00AC7317">
          <w:rPr>
            <w:rStyle w:val="Hyperlink"/>
            <w:rFonts w:ascii="Times New Roman" w:hAnsi="Times New Roman" w:cs="Times New Roman"/>
          </w:rPr>
          <w:t>https://www.linkedin.com/pulse/unveiling-eus-green-ambitions-dual-impact-eu-deforestation-regulations-91olc</w:t>
        </w:r>
      </w:hyperlink>
      <w:r w:rsidRPr="00AC7317">
        <w:rPr>
          <w:rFonts w:ascii="Times New Roman" w:hAnsi="Times New Roman" w:cs="Times New Roman"/>
        </w:rPr>
        <w:t xml:space="preserve"> [Accessed March 9, 2024].</w:t>
      </w:r>
    </w:p>
    <w:p w14:paraId="539E2400" w14:textId="77777777" w:rsidR="002E6A0D" w:rsidRPr="00AC7317" w:rsidRDefault="00F96466" w:rsidP="00216BA2">
      <w:pPr>
        <w:pStyle w:val="Bibliography"/>
        <w:spacing w:line="480" w:lineRule="auto"/>
        <w:jc w:val="both"/>
        <w:rPr>
          <w:rFonts w:ascii="Times New Roman" w:hAnsi="Times New Roman" w:cs="Times New Roman"/>
        </w:rPr>
      </w:pPr>
      <w:bookmarkStart w:id="27" w:name="ref-aichele2015"/>
      <w:bookmarkEnd w:id="25"/>
      <w:r w:rsidRPr="00AC7317">
        <w:rPr>
          <w:rFonts w:ascii="Times New Roman" w:hAnsi="Times New Roman" w:cs="Times New Roman"/>
        </w:rPr>
        <w:t xml:space="preserve">Aichele, R., and G. </w:t>
      </w:r>
      <w:proofErr w:type="spellStart"/>
      <w:r w:rsidRPr="00AC7317">
        <w:rPr>
          <w:rFonts w:ascii="Times New Roman" w:hAnsi="Times New Roman" w:cs="Times New Roman"/>
        </w:rPr>
        <w:t>Felbermayr</w:t>
      </w:r>
      <w:proofErr w:type="spellEnd"/>
      <w:r w:rsidRPr="00AC7317">
        <w:rPr>
          <w:rFonts w:ascii="Times New Roman" w:hAnsi="Times New Roman" w:cs="Times New Roman"/>
        </w:rPr>
        <w:t>. 2015. “</w:t>
      </w:r>
      <w:hyperlink r:id="rId19">
        <w:r w:rsidR="002E6A0D" w:rsidRPr="00AC7317">
          <w:rPr>
            <w:rStyle w:val="Hyperlink"/>
            <w:rFonts w:ascii="Times New Roman" w:hAnsi="Times New Roman" w:cs="Times New Roman"/>
          </w:rPr>
          <w:t>Kyoto and carbon leakage: An empirical analysis of the carbon content of bilateral trade</w:t>
        </w:r>
      </w:hyperlink>
      <w:r w:rsidRPr="00AC7317">
        <w:rPr>
          <w:rFonts w:ascii="Times New Roman" w:hAnsi="Times New Roman" w:cs="Times New Roman"/>
        </w:rPr>
        <w:t xml:space="preserve">.” </w:t>
      </w:r>
      <w:r w:rsidRPr="00AC7317">
        <w:rPr>
          <w:rFonts w:ascii="Times New Roman" w:hAnsi="Times New Roman" w:cs="Times New Roman"/>
          <w:i/>
          <w:iCs/>
        </w:rPr>
        <w:t>Review of Economics and Statistics</w:t>
      </w:r>
      <w:r w:rsidRPr="00AC7317">
        <w:rPr>
          <w:rFonts w:ascii="Times New Roman" w:hAnsi="Times New Roman" w:cs="Times New Roman"/>
        </w:rPr>
        <w:t xml:space="preserve"> 97(1):104–115.</w:t>
      </w:r>
    </w:p>
    <w:p w14:paraId="74D7EC56" w14:textId="77777777" w:rsidR="002E6A0D" w:rsidRPr="00AC7317" w:rsidRDefault="00F96466" w:rsidP="00216BA2">
      <w:pPr>
        <w:pStyle w:val="Bibliography"/>
        <w:spacing w:line="480" w:lineRule="auto"/>
        <w:jc w:val="both"/>
        <w:rPr>
          <w:rFonts w:ascii="Times New Roman" w:hAnsi="Times New Roman" w:cs="Times New Roman"/>
        </w:rPr>
      </w:pPr>
      <w:bookmarkStart w:id="28" w:name="ref-anderson2018"/>
      <w:bookmarkEnd w:id="27"/>
      <w:r w:rsidRPr="00AC7317">
        <w:rPr>
          <w:rFonts w:ascii="Times New Roman" w:hAnsi="Times New Roman" w:cs="Times New Roman"/>
        </w:rPr>
        <w:t>Anderson, J.E., M. Larch, and Y.V. Yotov. 2018. “</w:t>
      </w:r>
      <w:hyperlink r:id="rId20">
        <w:r w:rsidR="002E6A0D" w:rsidRPr="00AC7317">
          <w:rPr>
            <w:rStyle w:val="Hyperlink"/>
            <w:rFonts w:ascii="Times New Roman" w:hAnsi="Times New Roman" w:cs="Times New Roman"/>
          </w:rPr>
          <w:t>GEPPML: General equilibrium analysis with PPML</w:t>
        </w:r>
      </w:hyperlink>
      <w:r w:rsidRPr="00AC7317">
        <w:rPr>
          <w:rFonts w:ascii="Times New Roman" w:hAnsi="Times New Roman" w:cs="Times New Roman"/>
        </w:rPr>
        <w:t xml:space="preserve">.” </w:t>
      </w:r>
      <w:r w:rsidRPr="00AC7317">
        <w:rPr>
          <w:rFonts w:ascii="Times New Roman" w:hAnsi="Times New Roman" w:cs="Times New Roman"/>
          <w:i/>
          <w:iCs/>
        </w:rPr>
        <w:t>The World Economy</w:t>
      </w:r>
      <w:r w:rsidRPr="00AC7317">
        <w:rPr>
          <w:rFonts w:ascii="Times New Roman" w:hAnsi="Times New Roman" w:cs="Times New Roman"/>
        </w:rPr>
        <w:t xml:space="preserve"> 41(10):2750–2782.</w:t>
      </w:r>
    </w:p>
    <w:p w14:paraId="1A92A55E" w14:textId="77777777" w:rsidR="002E6A0D" w:rsidRPr="00AC7317" w:rsidRDefault="00F96466" w:rsidP="00216BA2">
      <w:pPr>
        <w:pStyle w:val="Bibliography"/>
        <w:spacing w:line="480" w:lineRule="auto"/>
        <w:jc w:val="both"/>
        <w:rPr>
          <w:rFonts w:ascii="Times New Roman" w:hAnsi="Times New Roman" w:cs="Times New Roman"/>
        </w:rPr>
      </w:pPr>
      <w:bookmarkStart w:id="29" w:name="ref-anderson2003"/>
      <w:bookmarkEnd w:id="28"/>
      <w:r w:rsidRPr="00AC7317">
        <w:rPr>
          <w:rFonts w:ascii="Times New Roman" w:hAnsi="Times New Roman" w:cs="Times New Roman"/>
        </w:rPr>
        <w:t>Anderson, J.E., and E. Van Wincoop. 2003. “</w:t>
      </w:r>
      <w:hyperlink r:id="rId21">
        <w:r w:rsidR="002E6A0D" w:rsidRPr="00AC7317">
          <w:rPr>
            <w:rStyle w:val="Hyperlink"/>
            <w:rFonts w:ascii="Times New Roman" w:hAnsi="Times New Roman" w:cs="Times New Roman"/>
          </w:rPr>
          <w:t>Gravity with gravitas: A solution to the border puzzle</w:t>
        </w:r>
      </w:hyperlink>
      <w:r w:rsidRPr="00AC7317">
        <w:rPr>
          <w:rFonts w:ascii="Times New Roman" w:hAnsi="Times New Roman" w:cs="Times New Roman"/>
        </w:rPr>
        <w:t xml:space="preserve">.” </w:t>
      </w:r>
      <w:r w:rsidRPr="00AC7317">
        <w:rPr>
          <w:rFonts w:ascii="Times New Roman" w:hAnsi="Times New Roman" w:cs="Times New Roman"/>
          <w:i/>
          <w:iCs/>
        </w:rPr>
        <w:t>American Economic Review</w:t>
      </w:r>
      <w:r w:rsidRPr="00AC7317">
        <w:rPr>
          <w:rFonts w:ascii="Times New Roman" w:hAnsi="Times New Roman" w:cs="Times New Roman"/>
        </w:rPr>
        <w:t xml:space="preserve"> 93(1):170–192.</w:t>
      </w:r>
    </w:p>
    <w:p w14:paraId="06DEC006" w14:textId="77777777" w:rsidR="002E6A0D" w:rsidRPr="00AC7317" w:rsidRDefault="00F96466" w:rsidP="00216BA2">
      <w:pPr>
        <w:pStyle w:val="Bibliography"/>
        <w:spacing w:line="480" w:lineRule="auto"/>
        <w:jc w:val="both"/>
        <w:rPr>
          <w:rFonts w:ascii="Times New Roman" w:hAnsi="Times New Roman" w:cs="Times New Roman"/>
        </w:rPr>
      </w:pPr>
      <w:bookmarkStart w:id="30" w:name="ref-baier2007"/>
      <w:bookmarkEnd w:id="29"/>
      <w:r w:rsidRPr="00AC7317">
        <w:rPr>
          <w:rFonts w:ascii="Times New Roman" w:hAnsi="Times New Roman" w:cs="Times New Roman"/>
        </w:rPr>
        <w:t>Baier, S.L., and J.H. Bergstrand. 2007. “</w:t>
      </w:r>
      <w:hyperlink r:id="rId22">
        <w:r w:rsidR="002E6A0D" w:rsidRPr="00AC7317">
          <w:rPr>
            <w:rStyle w:val="Hyperlink"/>
            <w:rFonts w:ascii="Times New Roman" w:hAnsi="Times New Roman" w:cs="Times New Roman"/>
          </w:rPr>
          <w:t>Do free trade agreements actually increase members’ international trade?</w:t>
        </w:r>
      </w:hyperlink>
      <w:r w:rsidRPr="00AC7317">
        <w:rPr>
          <w:rFonts w:ascii="Times New Roman" w:hAnsi="Times New Roman" w:cs="Times New Roman"/>
        </w:rPr>
        <w:t xml:space="preserve">” </w:t>
      </w:r>
      <w:r w:rsidRPr="00AC7317">
        <w:rPr>
          <w:rFonts w:ascii="Times New Roman" w:hAnsi="Times New Roman" w:cs="Times New Roman"/>
          <w:i/>
          <w:iCs/>
        </w:rPr>
        <w:t>Journal of International Economics</w:t>
      </w:r>
      <w:r w:rsidRPr="00AC7317">
        <w:rPr>
          <w:rFonts w:ascii="Times New Roman" w:hAnsi="Times New Roman" w:cs="Times New Roman"/>
        </w:rPr>
        <w:t xml:space="preserve"> 71(1):72–95.</w:t>
      </w:r>
    </w:p>
    <w:p w14:paraId="2A79547D" w14:textId="77777777" w:rsidR="002E6A0D" w:rsidRPr="00AC7317" w:rsidRDefault="00F96466" w:rsidP="00216BA2">
      <w:pPr>
        <w:pStyle w:val="Bibliography"/>
        <w:spacing w:line="480" w:lineRule="auto"/>
        <w:jc w:val="both"/>
        <w:rPr>
          <w:rFonts w:ascii="Times New Roman" w:hAnsi="Times New Roman" w:cs="Times New Roman"/>
        </w:rPr>
      </w:pPr>
      <w:bookmarkStart w:id="31" w:name="ref-bellora2023"/>
      <w:bookmarkEnd w:id="30"/>
      <w:r w:rsidRPr="00AC7317">
        <w:rPr>
          <w:rFonts w:ascii="Times New Roman" w:hAnsi="Times New Roman" w:cs="Times New Roman"/>
        </w:rPr>
        <w:t xml:space="preserve">Bellora, C., and L. </w:t>
      </w:r>
      <w:proofErr w:type="spellStart"/>
      <w:r w:rsidRPr="00AC7317">
        <w:rPr>
          <w:rFonts w:ascii="Times New Roman" w:hAnsi="Times New Roman" w:cs="Times New Roman"/>
        </w:rPr>
        <w:t>Fontagné</w:t>
      </w:r>
      <w:proofErr w:type="spellEnd"/>
      <w:r w:rsidRPr="00AC7317">
        <w:rPr>
          <w:rFonts w:ascii="Times New Roman" w:hAnsi="Times New Roman" w:cs="Times New Roman"/>
        </w:rPr>
        <w:t>. 2023. “</w:t>
      </w:r>
      <w:hyperlink r:id="rId23">
        <w:r w:rsidR="002E6A0D" w:rsidRPr="00AC7317">
          <w:rPr>
            <w:rStyle w:val="Hyperlink"/>
            <w:rFonts w:ascii="Times New Roman" w:hAnsi="Times New Roman" w:cs="Times New Roman"/>
          </w:rPr>
          <w:t>EU in search of a carbon border adjustment mechanism</w:t>
        </w:r>
      </w:hyperlink>
      <w:r w:rsidRPr="00AC7317">
        <w:rPr>
          <w:rFonts w:ascii="Times New Roman" w:hAnsi="Times New Roman" w:cs="Times New Roman"/>
        </w:rPr>
        <w:t xml:space="preserve">.” </w:t>
      </w:r>
      <w:r w:rsidRPr="00AC7317">
        <w:rPr>
          <w:rFonts w:ascii="Times New Roman" w:hAnsi="Times New Roman" w:cs="Times New Roman"/>
          <w:i/>
          <w:iCs/>
        </w:rPr>
        <w:t>Energy Economics</w:t>
      </w:r>
      <w:r w:rsidRPr="00AC7317">
        <w:rPr>
          <w:rFonts w:ascii="Times New Roman" w:hAnsi="Times New Roman" w:cs="Times New Roman"/>
        </w:rPr>
        <w:t xml:space="preserve"> 123(106673).</w:t>
      </w:r>
    </w:p>
    <w:p w14:paraId="0BAAFCA1" w14:textId="77777777" w:rsidR="002E6A0D" w:rsidRPr="00AC7317" w:rsidRDefault="00F96466" w:rsidP="00216BA2">
      <w:pPr>
        <w:pStyle w:val="Bibliography"/>
        <w:spacing w:line="480" w:lineRule="auto"/>
        <w:jc w:val="both"/>
        <w:rPr>
          <w:rFonts w:ascii="Times New Roman" w:hAnsi="Times New Roman" w:cs="Times New Roman"/>
        </w:rPr>
      </w:pPr>
      <w:bookmarkStart w:id="32" w:name="ref-bohringer2017"/>
      <w:bookmarkEnd w:id="31"/>
      <w:r w:rsidRPr="00AC7317">
        <w:rPr>
          <w:rFonts w:ascii="Times New Roman" w:hAnsi="Times New Roman" w:cs="Times New Roman"/>
        </w:rPr>
        <w:t xml:space="preserve">Böhringer, C., K.E. Rosendahl, and H.B. </w:t>
      </w:r>
      <w:proofErr w:type="spellStart"/>
      <w:r w:rsidRPr="00AC7317">
        <w:rPr>
          <w:rFonts w:ascii="Times New Roman" w:hAnsi="Times New Roman" w:cs="Times New Roman"/>
        </w:rPr>
        <w:t>Storrøsten</w:t>
      </w:r>
      <w:proofErr w:type="spellEnd"/>
      <w:r w:rsidRPr="00AC7317">
        <w:rPr>
          <w:rFonts w:ascii="Times New Roman" w:hAnsi="Times New Roman" w:cs="Times New Roman"/>
        </w:rPr>
        <w:t>. 2017. “</w:t>
      </w:r>
      <w:hyperlink r:id="rId24">
        <w:r w:rsidR="002E6A0D" w:rsidRPr="00AC7317">
          <w:rPr>
            <w:rStyle w:val="Hyperlink"/>
            <w:rFonts w:ascii="Times New Roman" w:hAnsi="Times New Roman" w:cs="Times New Roman"/>
          </w:rPr>
          <w:t>Robust policies to mitigate carbon leakage</w:t>
        </w:r>
      </w:hyperlink>
      <w:r w:rsidRPr="00AC7317">
        <w:rPr>
          <w:rFonts w:ascii="Times New Roman" w:hAnsi="Times New Roman" w:cs="Times New Roman"/>
        </w:rPr>
        <w:t xml:space="preserve">.” </w:t>
      </w:r>
      <w:r w:rsidRPr="00AC7317">
        <w:rPr>
          <w:rFonts w:ascii="Times New Roman" w:hAnsi="Times New Roman" w:cs="Times New Roman"/>
          <w:i/>
          <w:iCs/>
        </w:rPr>
        <w:t>Journal of Public Economics</w:t>
      </w:r>
      <w:r w:rsidRPr="00AC7317">
        <w:rPr>
          <w:rFonts w:ascii="Times New Roman" w:hAnsi="Times New Roman" w:cs="Times New Roman"/>
        </w:rPr>
        <w:t xml:space="preserve"> 149:35–46.</w:t>
      </w:r>
    </w:p>
    <w:p w14:paraId="39AA6F53" w14:textId="77777777" w:rsidR="002E6A0D" w:rsidRPr="00AC7317" w:rsidRDefault="00F96466" w:rsidP="00216BA2">
      <w:pPr>
        <w:pStyle w:val="Bibliography"/>
        <w:spacing w:line="480" w:lineRule="auto"/>
        <w:jc w:val="both"/>
        <w:rPr>
          <w:rFonts w:ascii="Times New Roman" w:hAnsi="Times New Roman" w:cs="Times New Roman"/>
        </w:rPr>
      </w:pPr>
      <w:bookmarkStart w:id="33" w:name="ref-branger2014"/>
      <w:bookmarkEnd w:id="32"/>
      <w:r w:rsidRPr="00AC7317">
        <w:rPr>
          <w:rFonts w:ascii="Times New Roman" w:hAnsi="Times New Roman" w:cs="Times New Roman"/>
        </w:rPr>
        <w:t>Branger, F., and P. Quirion. 2014. “</w:t>
      </w:r>
      <w:hyperlink r:id="rId25">
        <w:r w:rsidR="002E6A0D" w:rsidRPr="00AC7317">
          <w:rPr>
            <w:rStyle w:val="Hyperlink"/>
            <w:rFonts w:ascii="Times New Roman" w:hAnsi="Times New Roman" w:cs="Times New Roman"/>
          </w:rPr>
          <w:t>Would border carbon adjustments prevent carbon leakage and heavy industry competitiveness losses? Insights from a meta-analysis of recent economic studies</w:t>
        </w:r>
      </w:hyperlink>
      <w:r w:rsidRPr="00AC7317">
        <w:rPr>
          <w:rFonts w:ascii="Times New Roman" w:hAnsi="Times New Roman" w:cs="Times New Roman"/>
        </w:rPr>
        <w:t xml:space="preserve">.” </w:t>
      </w:r>
      <w:r w:rsidRPr="00AC7317">
        <w:rPr>
          <w:rFonts w:ascii="Times New Roman" w:hAnsi="Times New Roman" w:cs="Times New Roman"/>
          <w:i/>
          <w:iCs/>
        </w:rPr>
        <w:t>Ecological Economics</w:t>
      </w:r>
      <w:r w:rsidRPr="00AC7317">
        <w:rPr>
          <w:rFonts w:ascii="Times New Roman" w:hAnsi="Times New Roman" w:cs="Times New Roman"/>
        </w:rPr>
        <w:t xml:space="preserve"> 99:29–39.</w:t>
      </w:r>
    </w:p>
    <w:p w14:paraId="5A7D9DE4" w14:textId="77777777" w:rsidR="002E6A0D" w:rsidRPr="00AC7317" w:rsidRDefault="00F96466" w:rsidP="00216BA2">
      <w:pPr>
        <w:pStyle w:val="Bibliography"/>
        <w:spacing w:line="480" w:lineRule="auto"/>
        <w:jc w:val="both"/>
        <w:rPr>
          <w:rFonts w:ascii="Times New Roman" w:hAnsi="Times New Roman" w:cs="Times New Roman"/>
        </w:rPr>
      </w:pPr>
      <w:bookmarkStart w:id="34" w:name="ref-burgi2023"/>
      <w:bookmarkEnd w:id="33"/>
      <w:proofErr w:type="spellStart"/>
      <w:r w:rsidRPr="00AC7317">
        <w:rPr>
          <w:rFonts w:ascii="Times New Roman" w:hAnsi="Times New Roman" w:cs="Times New Roman"/>
        </w:rPr>
        <w:lastRenderedPageBreak/>
        <w:t>Bürgi</w:t>
      </w:r>
      <w:proofErr w:type="spellEnd"/>
      <w:r w:rsidRPr="00AC7317">
        <w:rPr>
          <w:rFonts w:ascii="Times New Roman" w:hAnsi="Times New Roman" w:cs="Times New Roman"/>
        </w:rPr>
        <w:t xml:space="preserve">, E., and C. </w:t>
      </w:r>
      <w:proofErr w:type="spellStart"/>
      <w:r w:rsidRPr="00AC7317">
        <w:rPr>
          <w:rFonts w:ascii="Times New Roman" w:hAnsi="Times New Roman" w:cs="Times New Roman"/>
        </w:rPr>
        <w:t>Oberlack</w:t>
      </w:r>
      <w:proofErr w:type="spellEnd"/>
      <w:r w:rsidRPr="00AC7317">
        <w:rPr>
          <w:rFonts w:ascii="Times New Roman" w:hAnsi="Times New Roman" w:cs="Times New Roman"/>
        </w:rPr>
        <w:t xml:space="preserve">. 2023. “Breakout Session: Impacts of the EUDR on commodity-producing countries: How to establish partnerships for deforestation-free supply chains?” University of Bern. Available at: </w:t>
      </w:r>
      <w:hyperlink r:id="rId26">
        <w:r w:rsidR="002E6A0D" w:rsidRPr="00AC7317">
          <w:rPr>
            <w:rStyle w:val="Hyperlink"/>
            <w:rFonts w:ascii="Times New Roman" w:hAnsi="Times New Roman" w:cs="Times New Roman"/>
          </w:rPr>
          <w:t>https://boris.unibe.ch/185024/1/Summary_of_the_Gurten_Event_on_Deforestation-free_Supply_Chains___28.06.2023.pdf</w:t>
        </w:r>
      </w:hyperlink>
      <w:r w:rsidRPr="00AC7317">
        <w:rPr>
          <w:rFonts w:ascii="Times New Roman" w:hAnsi="Times New Roman" w:cs="Times New Roman"/>
        </w:rPr>
        <w:t xml:space="preserve"> [Accessed March 9, 2024].</w:t>
      </w:r>
    </w:p>
    <w:p w14:paraId="201F0C65" w14:textId="77777777" w:rsidR="002E6A0D" w:rsidRPr="00AC7317" w:rsidRDefault="00F96466" w:rsidP="00216BA2">
      <w:pPr>
        <w:pStyle w:val="Bibliography"/>
        <w:spacing w:line="480" w:lineRule="auto"/>
        <w:jc w:val="both"/>
        <w:rPr>
          <w:rFonts w:ascii="Times New Roman" w:hAnsi="Times New Roman" w:cs="Times New Roman"/>
        </w:rPr>
      </w:pPr>
      <w:bookmarkStart w:id="35" w:name="ref-cassman2020"/>
      <w:bookmarkEnd w:id="34"/>
      <w:r w:rsidRPr="00AC7317">
        <w:rPr>
          <w:rFonts w:ascii="Times New Roman" w:hAnsi="Times New Roman" w:cs="Times New Roman"/>
        </w:rPr>
        <w:t>Cassman, K.G., and P. Grassini. 2020. “</w:t>
      </w:r>
      <w:hyperlink r:id="rId27">
        <w:r w:rsidR="002E6A0D" w:rsidRPr="00AC7317">
          <w:rPr>
            <w:rStyle w:val="Hyperlink"/>
            <w:rFonts w:ascii="Times New Roman" w:hAnsi="Times New Roman" w:cs="Times New Roman"/>
          </w:rPr>
          <w:t>A global perspective on sustainable intensification research</w:t>
        </w:r>
      </w:hyperlink>
      <w:r w:rsidRPr="00AC7317">
        <w:rPr>
          <w:rFonts w:ascii="Times New Roman" w:hAnsi="Times New Roman" w:cs="Times New Roman"/>
        </w:rPr>
        <w:t xml:space="preserve">.” </w:t>
      </w:r>
      <w:r w:rsidRPr="00AC7317">
        <w:rPr>
          <w:rFonts w:ascii="Times New Roman" w:hAnsi="Times New Roman" w:cs="Times New Roman"/>
          <w:i/>
          <w:iCs/>
        </w:rPr>
        <w:t>Nature Sustainability</w:t>
      </w:r>
      <w:r w:rsidRPr="00AC7317">
        <w:rPr>
          <w:rFonts w:ascii="Times New Roman" w:hAnsi="Times New Roman" w:cs="Times New Roman"/>
        </w:rPr>
        <w:t xml:space="preserve"> 3(4):262–268.</w:t>
      </w:r>
    </w:p>
    <w:p w14:paraId="622B4CFD" w14:textId="77777777" w:rsidR="002E6A0D" w:rsidRPr="00AC7317" w:rsidRDefault="00F96466" w:rsidP="00216BA2">
      <w:pPr>
        <w:pStyle w:val="Bibliography"/>
        <w:spacing w:line="480" w:lineRule="auto"/>
        <w:jc w:val="both"/>
        <w:rPr>
          <w:rFonts w:ascii="Times New Roman" w:hAnsi="Times New Roman" w:cs="Times New Roman"/>
        </w:rPr>
      </w:pPr>
      <w:bookmarkStart w:id="36" w:name="ref-cha2021"/>
      <w:bookmarkEnd w:id="35"/>
      <w:r w:rsidRPr="00AC7317">
        <w:rPr>
          <w:rFonts w:ascii="Times New Roman" w:hAnsi="Times New Roman" w:cs="Times New Roman"/>
        </w:rPr>
        <w:t>Cha, Y., and M.G. Koo. 2021. “</w:t>
      </w:r>
      <w:hyperlink r:id="rId28">
        <w:r w:rsidR="002E6A0D" w:rsidRPr="00AC7317">
          <w:rPr>
            <w:rStyle w:val="Hyperlink"/>
            <w:rFonts w:ascii="Times New Roman" w:hAnsi="Times New Roman" w:cs="Times New Roman"/>
          </w:rPr>
          <w:t xml:space="preserve">Who embraces technical barriers to trade? The case of </w:t>
        </w:r>
        <w:proofErr w:type="spellStart"/>
        <w:r w:rsidR="002E6A0D" w:rsidRPr="00AC7317">
          <w:rPr>
            <w:rStyle w:val="Hyperlink"/>
            <w:rFonts w:ascii="Times New Roman" w:hAnsi="Times New Roman" w:cs="Times New Roman"/>
          </w:rPr>
          <w:t>european</w:t>
        </w:r>
        <w:proofErr w:type="spellEnd"/>
        <w:r w:rsidR="002E6A0D" w:rsidRPr="00AC7317">
          <w:rPr>
            <w:rStyle w:val="Hyperlink"/>
            <w:rFonts w:ascii="Times New Roman" w:hAnsi="Times New Roman" w:cs="Times New Roman"/>
          </w:rPr>
          <w:t xml:space="preserve"> REACH regulations</w:t>
        </w:r>
      </w:hyperlink>
      <w:r w:rsidRPr="00AC7317">
        <w:rPr>
          <w:rFonts w:ascii="Times New Roman" w:hAnsi="Times New Roman" w:cs="Times New Roman"/>
        </w:rPr>
        <w:t xml:space="preserve">.” </w:t>
      </w:r>
      <w:r w:rsidRPr="00AC7317">
        <w:rPr>
          <w:rFonts w:ascii="Times New Roman" w:hAnsi="Times New Roman" w:cs="Times New Roman"/>
          <w:i/>
          <w:iCs/>
        </w:rPr>
        <w:t>World Trade Review</w:t>
      </w:r>
      <w:r w:rsidRPr="00AC7317">
        <w:rPr>
          <w:rFonts w:ascii="Times New Roman" w:hAnsi="Times New Roman" w:cs="Times New Roman"/>
        </w:rPr>
        <w:t xml:space="preserve"> 20(1):25–39.</w:t>
      </w:r>
    </w:p>
    <w:p w14:paraId="32357EFF" w14:textId="77777777" w:rsidR="002E6A0D" w:rsidRPr="00AC7317" w:rsidRDefault="00F96466" w:rsidP="00216BA2">
      <w:pPr>
        <w:pStyle w:val="Bibliography"/>
        <w:spacing w:line="480" w:lineRule="auto"/>
        <w:jc w:val="both"/>
        <w:rPr>
          <w:rFonts w:ascii="Times New Roman" w:hAnsi="Times New Roman" w:cs="Times New Roman"/>
        </w:rPr>
      </w:pPr>
      <w:bookmarkStart w:id="37" w:name="ref-comtrade2024"/>
      <w:bookmarkEnd w:id="36"/>
      <w:r w:rsidRPr="00AC7317">
        <w:rPr>
          <w:rFonts w:ascii="Times New Roman" w:hAnsi="Times New Roman" w:cs="Times New Roman"/>
        </w:rPr>
        <w:t xml:space="preserve">Comtrade. 2024. “UN </w:t>
      </w:r>
      <w:proofErr w:type="spellStart"/>
      <w:r w:rsidRPr="00AC7317">
        <w:rPr>
          <w:rFonts w:ascii="Times New Roman" w:hAnsi="Times New Roman" w:cs="Times New Roman"/>
        </w:rPr>
        <w:t>comtrade</w:t>
      </w:r>
      <w:proofErr w:type="spellEnd"/>
      <w:r w:rsidRPr="00AC7317">
        <w:rPr>
          <w:rFonts w:ascii="Times New Roman" w:hAnsi="Times New Roman" w:cs="Times New Roman"/>
        </w:rPr>
        <w:t xml:space="preserve"> database.” Available at: </w:t>
      </w:r>
      <w:hyperlink r:id="rId29">
        <w:r w:rsidR="002E6A0D" w:rsidRPr="00AC7317">
          <w:rPr>
            <w:rStyle w:val="Hyperlink"/>
            <w:rFonts w:ascii="Times New Roman" w:hAnsi="Times New Roman" w:cs="Times New Roman"/>
          </w:rPr>
          <w:t>https://comtradeplus.un.org/</w:t>
        </w:r>
      </w:hyperlink>
      <w:r w:rsidRPr="00AC7317">
        <w:rPr>
          <w:rFonts w:ascii="Times New Roman" w:hAnsi="Times New Roman" w:cs="Times New Roman"/>
        </w:rPr>
        <w:t>.</w:t>
      </w:r>
    </w:p>
    <w:p w14:paraId="4955C47E" w14:textId="77777777" w:rsidR="002E6A0D" w:rsidRPr="00AC7317" w:rsidRDefault="00F96466" w:rsidP="00216BA2">
      <w:pPr>
        <w:pStyle w:val="Bibliography"/>
        <w:spacing w:line="480" w:lineRule="auto"/>
        <w:jc w:val="both"/>
        <w:rPr>
          <w:rFonts w:ascii="Times New Roman" w:hAnsi="Times New Roman" w:cs="Times New Roman"/>
        </w:rPr>
      </w:pPr>
      <w:bookmarkStart w:id="38" w:name="ref-conte2023"/>
      <w:bookmarkEnd w:id="37"/>
      <w:r w:rsidRPr="00AC7317">
        <w:rPr>
          <w:rFonts w:ascii="Times New Roman" w:hAnsi="Times New Roman" w:cs="Times New Roman"/>
        </w:rPr>
        <w:t xml:space="preserve">Conte, M., P. </w:t>
      </w:r>
      <w:proofErr w:type="spellStart"/>
      <w:r w:rsidRPr="00AC7317">
        <w:rPr>
          <w:rFonts w:ascii="Times New Roman" w:hAnsi="Times New Roman" w:cs="Times New Roman"/>
        </w:rPr>
        <w:t>Cotterlaz</w:t>
      </w:r>
      <w:proofErr w:type="spellEnd"/>
      <w:r w:rsidRPr="00AC7317">
        <w:rPr>
          <w:rFonts w:ascii="Times New Roman" w:hAnsi="Times New Roman" w:cs="Times New Roman"/>
        </w:rPr>
        <w:t xml:space="preserve">, and T. Mayer. 2023. “The CEPII gravity database.” Available at: </w:t>
      </w:r>
      <w:hyperlink r:id="rId30">
        <w:r w:rsidR="002E6A0D" w:rsidRPr="00AC7317">
          <w:rPr>
            <w:rStyle w:val="Hyperlink"/>
            <w:rFonts w:ascii="Times New Roman" w:hAnsi="Times New Roman" w:cs="Times New Roman"/>
          </w:rPr>
          <w:t>https://www.cepii.fr/DATA_DOWNLOAD/gravity/doc/Gravity_documentation.pdf</w:t>
        </w:r>
      </w:hyperlink>
      <w:r w:rsidRPr="00AC7317">
        <w:rPr>
          <w:rFonts w:ascii="Times New Roman" w:hAnsi="Times New Roman" w:cs="Times New Roman"/>
        </w:rPr>
        <w:t>.</w:t>
      </w:r>
    </w:p>
    <w:p w14:paraId="7A5FF707" w14:textId="77777777" w:rsidR="002E6A0D" w:rsidRPr="00AC7317" w:rsidRDefault="00F96466" w:rsidP="00216BA2">
      <w:pPr>
        <w:pStyle w:val="Bibliography"/>
        <w:spacing w:line="480" w:lineRule="auto"/>
        <w:jc w:val="both"/>
        <w:rPr>
          <w:rFonts w:ascii="Times New Roman" w:hAnsi="Times New Roman" w:cs="Times New Roman"/>
        </w:rPr>
      </w:pPr>
      <w:bookmarkStart w:id="39" w:name="ref-copeland2022"/>
      <w:bookmarkEnd w:id="38"/>
      <w:r w:rsidRPr="00AC7317">
        <w:rPr>
          <w:rFonts w:ascii="Times New Roman" w:hAnsi="Times New Roman" w:cs="Times New Roman"/>
        </w:rPr>
        <w:t>Copeland, B.R., J.S. Shapiro, and M.S. Taylor. 2022. “</w:t>
      </w:r>
      <w:hyperlink r:id="rId31">
        <w:r w:rsidR="002E6A0D" w:rsidRPr="00AC7317">
          <w:rPr>
            <w:rStyle w:val="Hyperlink"/>
            <w:rFonts w:ascii="Times New Roman" w:hAnsi="Times New Roman" w:cs="Times New Roman"/>
          </w:rPr>
          <w:t>Globalization and the environment</w:t>
        </w:r>
      </w:hyperlink>
      <w:r w:rsidRPr="00AC7317">
        <w:rPr>
          <w:rFonts w:ascii="Times New Roman" w:hAnsi="Times New Roman" w:cs="Times New Roman"/>
        </w:rPr>
        <w:t xml:space="preserve">.” In G. Gopinath, E. </w:t>
      </w:r>
      <w:proofErr w:type="spellStart"/>
      <w:r w:rsidRPr="00AC7317">
        <w:rPr>
          <w:rFonts w:ascii="Times New Roman" w:hAnsi="Times New Roman" w:cs="Times New Roman"/>
        </w:rPr>
        <w:t>Helpman</w:t>
      </w:r>
      <w:proofErr w:type="spellEnd"/>
      <w:r w:rsidRPr="00AC7317">
        <w:rPr>
          <w:rFonts w:ascii="Times New Roman" w:hAnsi="Times New Roman" w:cs="Times New Roman"/>
        </w:rPr>
        <w:t xml:space="preserve">, and K. Rogoff, eds. </w:t>
      </w:r>
      <w:r w:rsidRPr="00AC7317">
        <w:rPr>
          <w:rFonts w:ascii="Times New Roman" w:hAnsi="Times New Roman" w:cs="Times New Roman"/>
          <w:i/>
          <w:iCs/>
        </w:rPr>
        <w:t>Handbook of international economics</w:t>
      </w:r>
      <w:r w:rsidRPr="00AC7317">
        <w:rPr>
          <w:rFonts w:ascii="Times New Roman" w:hAnsi="Times New Roman" w:cs="Times New Roman"/>
        </w:rPr>
        <w:t>. Handbook of international economics. Amsterdam: Elsevier, pp. 61–146.</w:t>
      </w:r>
    </w:p>
    <w:p w14:paraId="24DAD109" w14:textId="3349028F" w:rsidR="00DB65A0" w:rsidRPr="00AC7317" w:rsidRDefault="00003C0E" w:rsidP="00216BA2">
      <w:pPr>
        <w:pStyle w:val="Bibliography"/>
        <w:spacing w:line="480" w:lineRule="auto"/>
        <w:jc w:val="both"/>
        <w:rPr>
          <w:rFonts w:ascii="Times New Roman" w:hAnsi="Times New Roman" w:cs="Times New Roman"/>
        </w:rPr>
      </w:pPr>
      <w:r w:rsidRPr="00AC7317">
        <w:rPr>
          <w:rFonts w:ascii="Times New Roman" w:hAnsi="Times New Roman" w:cs="Times New Roman"/>
        </w:rPr>
        <w:t>d</w:t>
      </w:r>
      <w:r w:rsidR="004E4404" w:rsidRPr="00AC7317">
        <w:rPr>
          <w:rFonts w:ascii="Times New Roman" w:hAnsi="Times New Roman" w:cs="Times New Roman"/>
        </w:rPr>
        <w:t xml:space="preserve">e </w:t>
      </w:r>
      <w:r w:rsidRPr="00AC7317">
        <w:rPr>
          <w:rFonts w:ascii="Times New Roman" w:hAnsi="Times New Roman" w:cs="Times New Roman"/>
        </w:rPr>
        <w:t>l</w:t>
      </w:r>
      <w:r w:rsidR="004E4404" w:rsidRPr="00AC7317">
        <w:rPr>
          <w:rFonts w:ascii="Times New Roman" w:hAnsi="Times New Roman" w:cs="Times New Roman"/>
        </w:rPr>
        <w:t xml:space="preserve">a Vega, P. 2026. </w:t>
      </w:r>
      <w:r w:rsidR="00C54666" w:rsidRPr="00AC7317">
        <w:rPr>
          <w:rFonts w:ascii="Times New Roman" w:hAnsi="Times New Roman" w:cs="Times New Roman"/>
        </w:rPr>
        <w:t>“</w:t>
      </w:r>
      <w:r w:rsidR="004E4404" w:rsidRPr="00AC7317">
        <w:rPr>
          <w:rFonts w:ascii="Times New Roman" w:hAnsi="Times New Roman" w:cs="Times New Roman"/>
        </w:rPr>
        <w:t>The European Union deforestation regulation: the impact on Argentina.</w:t>
      </w:r>
      <w:r w:rsidR="00C54666" w:rsidRPr="00AC7317">
        <w:rPr>
          <w:rFonts w:ascii="Times New Roman" w:hAnsi="Times New Roman" w:cs="Times New Roman"/>
        </w:rPr>
        <w:t>”</w:t>
      </w:r>
      <w:r w:rsidR="004E4404" w:rsidRPr="00AC7317">
        <w:rPr>
          <w:rFonts w:ascii="Times New Roman" w:hAnsi="Times New Roman" w:cs="Times New Roman"/>
        </w:rPr>
        <w:t xml:space="preserve"> </w:t>
      </w:r>
      <w:r w:rsidR="004E4404" w:rsidRPr="00AC7317">
        <w:rPr>
          <w:rFonts w:ascii="Times New Roman" w:hAnsi="Times New Roman" w:cs="Times New Roman"/>
          <w:i/>
          <w:iCs/>
        </w:rPr>
        <w:t>Ecological Economics</w:t>
      </w:r>
      <w:r w:rsidR="004E4404" w:rsidRPr="00AC7317">
        <w:rPr>
          <w:rFonts w:ascii="Times New Roman" w:hAnsi="Times New Roman" w:cs="Times New Roman"/>
        </w:rPr>
        <w:t xml:space="preserve"> 240</w:t>
      </w:r>
      <w:r w:rsidR="003B7288" w:rsidRPr="00AC7317">
        <w:rPr>
          <w:rFonts w:ascii="Times New Roman" w:hAnsi="Times New Roman" w:cs="Times New Roman"/>
        </w:rPr>
        <w:t>:</w:t>
      </w:r>
      <w:r w:rsidR="004E4404" w:rsidRPr="00AC7317">
        <w:rPr>
          <w:rFonts w:ascii="Times New Roman" w:hAnsi="Times New Roman" w:cs="Times New Roman"/>
        </w:rPr>
        <w:t>108836.</w:t>
      </w:r>
      <w:r w:rsidR="003B7288" w:rsidRPr="00AC7317">
        <w:rPr>
          <w:rFonts w:ascii="Times New Roman" w:hAnsi="Times New Roman" w:cs="Times New Roman"/>
        </w:rPr>
        <w:t xml:space="preserve"> </w:t>
      </w:r>
      <w:proofErr w:type="gramStart"/>
      <w:r w:rsidR="003B7288" w:rsidRPr="00AC7317">
        <w:rPr>
          <w:rFonts w:ascii="Times New Roman" w:hAnsi="Times New Roman" w:cs="Times New Roman"/>
        </w:rPr>
        <w:t>doi:10.1016/j.ecolecon</w:t>
      </w:r>
      <w:proofErr w:type="gramEnd"/>
      <w:r w:rsidR="003B7288" w:rsidRPr="00AC7317">
        <w:rPr>
          <w:rFonts w:ascii="Times New Roman" w:hAnsi="Times New Roman" w:cs="Times New Roman"/>
        </w:rPr>
        <w:t>.2025.108836.</w:t>
      </w:r>
    </w:p>
    <w:p w14:paraId="4E94BEE7" w14:textId="77777777" w:rsidR="002E6A0D" w:rsidRPr="00AC7317" w:rsidRDefault="00F96466" w:rsidP="00216BA2">
      <w:pPr>
        <w:pStyle w:val="Bibliography"/>
        <w:spacing w:line="480" w:lineRule="auto"/>
        <w:jc w:val="both"/>
        <w:rPr>
          <w:rFonts w:ascii="Times New Roman" w:hAnsi="Times New Roman" w:cs="Times New Roman"/>
        </w:rPr>
      </w:pPr>
      <w:bookmarkStart w:id="40" w:name="ref-dhoubhadel2023"/>
      <w:bookmarkEnd w:id="39"/>
      <w:proofErr w:type="spellStart"/>
      <w:r w:rsidRPr="00AC7317">
        <w:rPr>
          <w:rFonts w:ascii="Times New Roman" w:hAnsi="Times New Roman" w:cs="Times New Roman"/>
        </w:rPr>
        <w:t>Dhoubhadel</w:t>
      </w:r>
      <w:proofErr w:type="spellEnd"/>
      <w:r w:rsidRPr="00AC7317">
        <w:rPr>
          <w:rFonts w:ascii="Times New Roman" w:hAnsi="Times New Roman" w:cs="Times New Roman"/>
        </w:rPr>
        <w:t>, S.P., W. Ridley, and S. Devadoss. 2023. “</w:t>
      </w:r>
      <w:hyperlink r:id="rId32">
        <w:r w:rsidR="002E6A0D" w:rsidRPr="00AC7317">
          <w:rPr>
            <w:rStyle w:val="Hyperlink"/>
            <w:rFonts w:ascii="Times New Roman" w:hAnsi="Times New Roman" w:cs="Times New Roman"/>
          </w:rPr>
          <w:t>Brazilian soybean expansion, US–China trade war, and US soybean exports</w:t>
        </w:r>
      </w:hyperlink>
      <w:r w:rsidRPr="00AC7317">
        <w:rPr>
          <w:rFonts w:ascii="Times New Roman" w:hAnsi="Times New Roman" w:cs="Times New Roman"/>
        </w:rPr>
        <w:t xml:space="preserve">.” </w:t>
      </w:r>
      <w:r w:rsidRPr="00AC7317">
        <w:rPr>
          <w:rFonts w:ascii="Times New Roman" w:hAnsi="Times New Roman" w:cs="Times New Roman"/>
          <w:i/>
          <w:iCs/>
        </w:rPr>
        <w:t>Journal of the Agricultural and Applied Economics Association</w:t>
      </w:r>
      <w:r w:rsidRPr="00AC7317">
        <w:rPr>
          <w:rFonts w:ascii="Times New Roman" w:hAnsi="Times New Roman" w:cs="Times New Roman"/>
        </w:rPr>
        <w:t xml:space="preserve"> 2(3):446–460.</w:t>
      </w:r>
    </w:p>
    <w:p w14:paraId="3B6C8B65" w14:textId="77777777" w:rsidR="002E6A0D" w:rsidRPr="00AC7317" w:rsidRDefault="00F96466" w:rsidP="00216BA2">
      <w:pPr>
        <w:pStyle w:val="Bibliography"/>
        <w:spacing w:line="480" w:lineRule="auto"/>
        <w:jc w:val="both"/>
        <w:rPr>
          <w:rFonts w:ascii="Times New Roman" w:hAnsi="Times New Roman" w:cs="Times New Roman"/>
        </w:rPr>
      </w:pPr>
      <w:bookmarkStart w:id="41" w:name="ref-ermgassen2020"/>
      <w:bookmarkEnd w:id="40"/>
      <w:proofErr w:type="spellStart"/>
      <w:r w:rsidRPr="00AC7317">
        <w:rPr>
          <w:rFonts w:ascii="Times New Roman" w:hAnsi="Times New Roman" w:cs="Times New Roman"/>
        </w:rPr>
        <w:lastRenderedPageBreak/>
        <w:t>Ermgassen</w:t>
      </w:r>
      <w:proofErr w:type="spellEnd"/>
      <w:r w:rsidRPr="00AC7317">
        <w:rPr>
          <w:rFonts w:ascii="Times New Roman" w:hAnsi="Times New Roman" w:cs="Times New Roman"/>
        </w:rPr>
        <w:t xml:space="preserve">, E.K.H.J. </w:t>
      </w:r>
      <w:proofErr w:type="spellStart"/>
      <w:r w:rsidRPr="00AC7317">
        <w:rPr>
          <w:rFonts w:ascii="Times New Roman" w:hAnsi="Times New Roman" w:cs="Times New Roman"/>
        </w:rPr>
        <w:t>zu</w:t>
      </w:r>
      <w:proofErr w:type="spellEnd"/>
      <w:r w:rsidRPr="00AC7317">
        <w:rPr>
          <w:rFonts w:ascii="Times New Roman" w:hAnsi="Times New Roman" w:cs="Times New Roman"/>
        </w:rPr>
        <w:t xml:space="preserve">, B. Ayre, J. Godar, M.G.B. Lima, S. Bauch, R. Garrett, J. Green, M.J. </w:t>
      </w:r>
      <w:proofErr w:type="spellStart"/>
      <w:r w:rsidRPr="00AC7317">
        <w:rPr>
          <w:rFonts w:ascii="Times New Roman" w:hAnsi="Times New Roman" w:cs="Times New Roman"/>
        </w:rPr>
        <w:t>Lathuillière</w:t>
      </w:r>
      <w:proofErr w:type="spellEnd"/>
      <w:r w:rsidRPr="00AC7317">
        <w:rPr>
          <w:rFonts w:ascii="Times New Roman" w:hAnsi="Times New Roman" w:cs="Times New Roman"/>
        </w:rPr>
        <w:t xml:space="preserve">, P. Löfgren, C. MacFarquhar, P. Meyfroidt, C. </w:t>
      </w:r>
      <w:proofErr w:type="spellStart"/>
      <w:r w:rsidRPr="00AC7317">
        <w:rPr>
          <w:rFonts w:ascii="Times New Roman" w:hAnsi="Times New Roman" w:cs="Times New Roman"/>
        </w:rPr>
        <w:t>Suavet</w:t>
      </w:r>
      <w:proofErr w:type="spellEnd"/>
      <w:r w:rsidRPr="00AC7317">
        <w:rPr>
          <w:rFonts w:ascii="Times New Roman" w:hAnsi="Times New Roman" w:cs="Times New Roman"/>
        </w:rPr>
        <w:t>, C. West, and T. Gardner. 2020. “</w:t>
      </w:r>
      <w:hyperlink r:id="rId33">
        <w:r w:rsidR="002E6A0D" w:rsidRPr="00AC7317">
          <w:rPr>
            <w:rStyle w:val="Hyperlink"/>
            <w:rFonts w:ascii="Times New Roman" w:hAnsi="Times New Roman" w:cs="Times New Roman"/>
          </w:rPr>
          <w:t>Using supply chain data to monitor zero deforestation commitments: An assessment of progress in the Brazilian soy sector</w:t>
        </w:r>
      </w:hyperlink>
      <w:r w:rsidRPr="00AC7317">
        <w:rPr>
          <w:rFonts w:ascii="Times New Roman" w:hAnsi="Times New Roman" w:cs="Times New Roman"/>
        </w:rPr>
        <w:t xml:space="preserve">.” </w:t>
      </w:r>
      <w:r w:rsidRPr="00AC7317">
        <w:rPr>
          <w:rFonts w:ascii="Times New Roman" w:hAnsi="Times New Roman" w:cs="Times New Roman"/>
          <w:i/>
          <w:iCs/>
        </w:rPr>
        <w:t>Environmental Research Letters</w:t>
      </w:r>
      <w:r w:rsidRPr="00AC7317">
        <w:rPr>
          <w:rFonts w:ascii="Times New Roman" w:hAnsi="Times New Roman" w:cs="Times New Roman"/>
        </w:rPr>
        <w:t xml:space="preserve"> 15(3):035003.</w:t>
      </w:r>
    </w:p>
    <w:p w14:paraId="4E2C759C" w14:textId="77777777" w:rsidR="002E6A0D" w:rsidRPr="00AC7317" w:rsidRDefault="00F96466" w:rsidP="00216BA2">
      <w:pPr>
        <w:pStyle w:val="Bibliography"/>
        <w:spacing w:line="480" w:lineRule="auto"/>
        <w:jc w:val="both"/>
        <w:rPr>
          <w:rFonts w:ascii="Times New Roman" w:hAnsi="Times New Roman" w:cs="Times New Roman"/>
        </w:rPr>
      </w:pPr>
      <w:bookmarkStart w:id="42" w:name="ref-EC2021"/>
      <w:bookmarkEnd w:id="41"/>
      <w:r w:rsidRPr="00AC7317">
        <w:rPr>
          <w:rFonts w:ascii="Times New Roman" w:hAnsi="Times New Roman" w:cs="Times New Roman"/>
        </w:rPr>
        <w:t xml:space="preserve">European Commission. 2021. “Impact assessment: </w:t>
      </w:r>
      <w:proofErr w:type="spellStart"/>
      <w:r w:rsidRPr="00AC7317">
        <w:rPr>
          <w:rFonts w:ascii="Times New Roman" w:hAnsi="Times New Roman" w:cs="Times New Roman"/>
        </w:rPr>
        <w:t>Minimising</w:t>
      </w:r>
      <w:proofErr w:type="spellEnd"/>
      <w:r w:rsidRPr="00AC7317">
        <w:rPr>
          <w:rFonts w:ascii="Times New Roman" w:hAnsi="Times New Roman" w:cs="Times New Roman"/>
        </w:rPr>
        <w:t xml:space="preserve"> the risk of deforestation and forest degradation associated with products placed on the EU market.” No. </w:t>
      </w:r>
      <w:proofErr w:type="gramStart"/>
      <w:r w:rsidRPr="00AC7317">
        <w:rPr>
          <w:rFonts w:ascii="Times New Roman" w:hAnsi="Times New Roman" w:cs="Times New Roman"/>
        </w:rPr>
        <w:t>SWD(</w:t>
      </w:r>
      <w:proofErr w:type="gramEnd"/>
      <w:r w:rsidRPr="00AC7317">
        <w:rPr>
          <w:rFonts w:ascii="Times New Roman" w:hAnsi="Times New Roman" w:cs="Times New Roman"/>
        </w:rPr>
        <w:t xml:space="preserve">2021) 326 final, Part 1/2, European Commission. Available at: </w:t>
      </w:r>
      <w:hyperlink r:id="rId34">
        <w:r w:rsidR="002E6A0D" w:rsidRPr="00AC7317">
          <w:rPr>
            <w:rStyle w:val="Hyperlink"/>
            <w:rFonts w:ascii="Times New Roman" w:hAnsi="Times New Roman" w:cs="Times New Roman"/>
          </w:rPr>
          <w:t>https://environment.ec.europa.eu/system/files/2021-11/SWD_2021_326_1_EN_impact_assessment_part1_v4.pdf</w:t>
        </w:r>
      </w:hyperlink>
      <w:r w:rsidRPr="00AC7317">
        <w:rPr>
          <w:rFonts w:ascii="Times New Roman" w:hAnsi="Times New Roman" w:cs="Times New Roman"/>
        </w:rPr>
        <w:t>.</w:t>
      </w:r>
    </w:p>
    <w:p w14:paraId="1AA8CC4C" w14:textId="77777777" w:rsidR="002E6A0D" w:rsidRPr="00AC7317" w:rsidRDefault="00F96466" w:rsidP="00216BA2">
      <w:pPr>
        <w:pStyle w:val="Bibliography"/>
        <w:spacing w:line="480" w:lineRule="auto"/>
        <w:jc w:val="both"/>
        <w:rPr>
          <w:rFonts w:ascii="Times New Roman" w:hAnsi="Times New Roman" w:cs="Times New Roman"/>
        </w:rPr>
      </w:pPr>
      <w:bookmarkStart w:id="43" w:name="ref-FEFAC2024"/>
      <w:bookmarkEnd w:id="42"/>
      <w:r w:rsidRPr="00AC7317">
        <w:rPr>
          <w:rFonts w:ascii="Times New Roman" w:hAnsi="Times New Roman" w:cs="Times New Roman"/>
        </w:rPr>
        <w:t xml:space="preserve">European Feed Manufacturers’ Federation (FEFAC). 2024. “FEFAC memo: EUDR implementation – economic and supply chain impact assessment.” FEFAC. Available at: </w:t>
      </w:r>
      <w:hyperlink r:id="rId35">
        <w:r w:rsidR="002E6A0D" w:rsidRPr="00AC7317">
          <w:rPr>
            <w:rStyle w:val="Hyperlink"/>
            <w:rFonts w:ascii="Times New Roman" w:hAnsi="Times New Roman" w:cs="Times New Roman"/>
          </w:rPr>
          <w:t>https://fefac.eu/wp-content/uploads/2024/09/24_MEMO_21-rev5-1.pdf</w:t>
        </w:r>
      </w:hyperlink>
      <w:r w:rsidRPr="00AC7317">
        <w:rPr>
          <w:rFonts w:ascii="Times New Roman" w:hAnsi="Times New Roman" w:cs="Times New Roman"/>
        </w:rPr>
        <w:t>.</w:t>
      </w:r>
    </w:p>
    <w:p w14:paraId="58B2454B" w14:textId="77777777" w:rsidR="002E6A0D" w:rsidRPr="00AC7317" w:rsidRDefault="00F96466" w:rsidP="00216BA2">
      <w:pPr>
        <w:pStyle w:val="Bibliography"/>
        <w:spacing w:line="480" w:lineRule="auto"/>
        <w:jc w:val="both"/>
        <w:rPr>
          <w:rFonts w:ascii="Times New Roman" w:hAnsi="Times New Roman" w:cs="Times New Roman"/>
        </w:rPr>
      </w:pPr>
      <w:bookmarkStart w:id="44" w:name="ref-european2023"/>
      <w:bookmarkEnd w:id="43"/>
      <w:r w:rsidRPr="00AC7317">
        <w:rPr>
          <w:rFonts w:ascii="Times New Roman" w:hAnsi="Times New Roman" w:cs="Times New Roman"/>
        </w:rPr>
        <w:t xml:space="preserve">European Union. 2023. “Regulation (EU) 2023/1115 of the </w:t>
      </w:r>
      <w:proofErr w:type="spellStart"/>
      <w:r w:rsidRPr="00AC7317">
        <w:rPr>
          <w:rFonts w:ascii="Times New Roman" w:hAnsi="Times New Roman" w:cs="Times New Roman"/>
        </w:rPr>
        <w:t>european</w:t>
      </w:r>
      <w:proofErr w:type="spellEnd"/>
      <w:r w:rsidRPr="00AC7317">
        <w:rPr>
          <w:rFonts w:ascii="Times New Roman" w:hAnsi="Times New Roman" w:cs="Times New Roman"/>
        </w:rPr>
        <w:t xml:space="preserve"> parliament and of the council of 31 </w:t>
      </w:r>
      <w:proofErr w:type="gramStart"/>
      <w:r w:rsidRPr="00AC7317">
        <w:rPr>
          <w:rFonts w:ascii="Times New Roman" w:hAnsi="Times New Roman" w:cs="Times New Roman"/>
        </w:rPr>
        <w:t>may</w:t>
      </w:r>
      <w:proofErr w:type="gramEnd"/>
      <w:r w:rsidRPr="00AC7317">
        <w:rPr>
          <w:rFonts w:ascii="Times New Roman" w:hAnsi="Times New Roman" w:cs="Times New Roman"/>
        </w:rPr>
        <w:t xml:space="preserve"> 2023 on the making available on the union market and the export from the union of certain commodities and products associated with deforestation and forest degradation and repealing regulation (EU) no 995/2010 (text with EEA relevance).” </w:t>
      </w:r>
      <w:r w:rsidRPr="00AC7317">
        <w:rPr>
          <w:rFonts w:ascii="Times New Roman" w:hAnsi="Times New Roman" w:cs="Times New Roman"/>
          <w:i/>
          <w:iCs/>
        </w:rPr>
        <w:t>Official Journal of the European Union</w:t>
      </w:r>
      <w:r w:rsidRPr="00AC7317">
        <w:rPr>
          <w:rFonts w:ascii="Times New Roman" w:hAnsi="Times New Roman" w:cs="Times New Roman"/>
        </w:rPr>
        <w:t xml:space="preserve"> 66:150–206. Available at: </w:t>
      </w:r>
      <w:hyperlink r:id="rId36">
        <w:r w:rsidR="002E6A0D" w:rsidRPr="00AC7317">
          <w:rPr>
            <w:rStyle w:val="Hyperlink"/>
            <w:rFonts w:ascii="Times New Roman" w:hAnsi="Times New Roman" w:cs="Times New Roman"/>
          </w:rPr>
          <w:t>https://eur-lex.europa.eu/legal-content/EN/TXT/PDF/?uri=CELEX:32023R1115</w:t>
        </w:r>
      </w:hyperlink>
      <w:r w:rsidRPr="00AC7317">
        <w:rPr>
          <w:rFonts w:ascii="Times New Roman" w:hAnsi="Times New Roman" w:cs="Times New Roman"/>
        </w:rPr>
        <w:t>.</w:t>
      </w:r>
    </w:p>
    <w:p w14:paraId="4A19253D" w14:textId="77777777" w:rsidR="002E6A0D" w:rsidRPr="00AC7317" w:rsidRDefault="00F96466" w:rsidP="00216BA2">
      <w:pPr>
        <w:pStyle w:val="Bibliography"/>
        <w:spacing w:line="480" w:lineRule="auto"/>
        <w:jc w:val="both"/>
        <w:rPr>
          <w:rFonts w:ascii="Times New Roman" w:hAnsi="Times New Roman" w:cs="Times New Roman"/>
        </w:rPr>
      </w:pPr>
      <w:bookmarkStart w:id="45" w:name="ref-fally2015"/>
      <w:bookmarkEnd w:id="44"/>
      <w:proofErr w:type="spellStart"/>
      <w:r w:rsidRPr="00AC7317">
        <w:rPr>
          <w:rFonts w:ascii="Times New Roman" w:hAnsi="Times New Roman" w:cs="Times New Roman"/>
        </w:rPr>
        <w:t>Fally</w:t>
      </w:r>
      <w:proofErr w:type="spellEnd"/>
      <w:r w:rsidRPr="00AC7317">
        <w:rPr>
          <w:rFonts w:ascii="Times New Roman" w:hAnsi="Times New Roman" w:cs="Times New Roman"/>
        </w:rPr>
        <w:t>, T. 2015. “</w:t>
      </w:r>
      <w:hyperlink r:id="rId37">
        <w:r w:rsidR="002E6A0D" w:rsidRPr="00AC7317">
          <w:rPr>
            <w:rStyle w:val="Hyperlink"/>
            <w:rFonts w:ascii="Times New Roman" w:hAnsi="Times New Roman" w:cs="Times New Roman"/>
          </w:rPr>
          <w:t>Structural gravity and fixed effects</w:t>
        </w:r>
      </w:hyperlink>
      <w:r w:rsidRPr="00AC7317">
        <w:rPr>
          <w:rFonts w:ascii="Times New Roman" w:hAnsi="Times New Roman" w:cs="Times New Roman"/>
        </w:rPr>
        <w:t xml:space="preserve">.” </w:t>
      </w:r>
      <w:r w:rsidRPr="00AC7317">
        <w:rPr>
          <w:rFonts w:ascii="Times New Roman" w:hAnsi="Times New Roman" w:cs="Times New Roman"/>
          <w:i/>
          <w:iCs/>
        </w:rPr>
        <w:t>Journal of International Economics</w:t>
      </w:r>
      <w:r w:rsidRPr="00AC7317">
        <w:rPr>
          <w:rFonts w:ascii="Times New Roman" w:hAnsi="Times New Roman" w:cs="Times New Roman"/>
        </w:rPr>
        <w:t xml:space="preserve"> 97(1):76–85.</w:t>
      </w:r>
    </w:p>
    <w:p w14:paraId="41B66A94" w14:textId="77777777" w:rsidR="002E6A0D" w:rsidRPr="00AC7317" w:rsidRDefault="00F96466" w:rsidP="00216BA2">
      <w:pPr>
        <w:pStyle w:val="Bibliography"/>
        <w:spacing w:line="480" w:lineRule="auto"/>
        <w:jc w:val="both"/>
        <w:rPr>
          <w:rFonts w:ascii="Times New Roman" w:hAnsi="Times New Roman" w:cs="Times New Roman"/>
        </w:rPr>
      </w:pPr>
      <w:bookmarkStart w:id="46" w:name="ref-faostat2024"/>
      <w:bookmarkEnd w:id="45"/>
      <w:r w:rsidRPr="00AC7317">
        <w:rPr>
          <w:rFonts w:ascii="Times New Roman" w:hAnsi="Times New Roman" w:cs="Times New Roman"/>
        </w:rPr>
        <w:t xml:space="preserve">FAOSTAT. 2024. “FAOSTAT- food balances.” Available at: </w:t>
      </w:r>
      <w:hyperlink r:id="rId38" w:anchor="data">
        <w:r w:rsidR="002E6A0D" w:rsidRPr="00AC7317">
          <w:rPr>
            <w:rStyle w:val="Hyperlink"/>
            <w:rFonts w:ascii="Times New Roman" w:hAnsi="Times New Roman" w:cs="Times New Roman"/>
          </w:rPr>
          <w:t>https://www.fao.org/faostat/en/#data</w:t>
        </w:r>
      </w:hyperlink>
      <w:r w:rsidRPr="00AC7317">
        <w:rPr>
          <w:rFonts w:ascii="Times New Roman" w:hAnsi="Times New Roman" w:cs="Times New Roman"/>
        </w:rPr>
        <w:t>.</w:t>
      </w:r>
    </w:p>
    <w:p w14:paraId="0E238C4E" w14:textId="77777777" w:rsidR="002E6A0D" w:rsidRPr="00AC7317" w:rsidRDefault="00F96466" w:rsidP="00216BA2">
      <w:pPr>
        <w:pStyle w:val="Bibliography"/>
        <w:spacing w:line="480" w:lineRule="auto"/>
        <w:jc w:val="both"/>
        <w:rPr>
          <w:rFonts w:ascii="Times New Roman" w:hAnsi="Times New Roman" w:cs="Times New Roman"/>
        </w:rPr>
      </w:pPr>
      <w:bookmarkStart w:id="47" w:name="ref-farrokhi2024"/>
      <w:bookmarkEnd w:id="46"/>
      <w:r w:rsidRPr="00AC7317">
        <w:rPr>
          <w:rFonts w:ascii="Times New Roman" w:hAnsi="Times New Roman" w:cs="Times New Roman"/>
        </w:rPr>
        <w:lastRenderedPageBreak/>
        <w:t xml:space="preserve">Farrokhi, F., and A. </w:t>
      </w:r>
      <w:proofErr w:type="spellStart"/>
      <w:r w:rsidRPr="00AC7317">
        <w:rPr>
          <w:rFonts w:ascii="Times New Roman" w:hAnsi="Times New Roman" w:cs="Times New Roman"/>
        </w:rPr>
        <w:t>Lashkaripour</w:t>
      </w:r>
      <w:proofErr w:type="spellEnd"/>
      <w:r w:rsidRPr="00AC7317">
        <w:rPr>
          <w:rFonts w:ascii="Times New Roman" w:hAnsi="Times New Roman" w:cs="Times New Roman"/>
        </w:rPr>
        <w:t xml:space="preserve">. 2024. “Can trade policy mitigate climate </w:t>
      </w:r>
      <w:proofErr w:type="spellStart"/>
      <w:r w:rsidRPr="00AC7317">
        <w:rPr>
          <w:rFonts w:ascii="Times New Roman" w:hAnsi="Times New Roman" w:cs="Times New Roman"/>
        </w:rPr>
        <w:t>chnage</w:t>
      </w:r>
      <w:proofErr w:type="spellEnd"/>
      <w:r w:rsidRPr="00AC7317">
        <w:rPr>
          <w:rFonts w:ascii="Times New Roman" w:hAnsi="Times New Roman" w:cs="Times New Roman"/>
        </w:rPr>
        <w:t xml:space="preserve">.” Available at: </w:t>
      </w:r>
      <w:hyperlink r:id="rId39">
        <w:r w:rsidR="002E6A0D" w:rsidRPr="00AC7317">
          <w:rPr>
            <w:rStyle w:val="Hyperlink"/>
            <w:rFonts w:ascii="Times New Roman" w:hAnsi="Times New Roman" w:cs="Times New Roman"/>
          </w:rPr>
          <w:t>https://alashkar.pages.iu.edu/Farrokhi_Lashkaripour_2024.pdf</w:t>
        </w:r>
      </w:hyperlink>
      <w:r w:rsidRPr="00AC7317">
        <w:rPr>
          <w:rFonts w:ascii="Times New Roman" w:hAnsi="Times New Roman" w:cs="Times New Roman"/>
        </w:rPr>
        <w:t>.</w:t>
      </w:r>
    </w:p>
    <w:p w14:paraId="04CA4C54" w14:textId="77777777" w:rsidR="002E6A0D" w:rsidRPr="00AC7317" w:rsidRDefault="00F96466" w:rsidP="00216BA2">
      <w:pPr>
        <w:pStyle w:val="Bibliography"/>
        <w:spacing w:line="480" w:lineRule="auto"/>
        <w:jc w:val="both"/>
        <w:rPr>
          <w:rFonts w:ascii="Times New Roman" w:hAnsi="Times New Roman" w:cs="Times New Roman"/>
        </w:rPr>
      </w:pPr>
      <w:bookmarkStart w:id="48" w:name="ref-feenstra2002"/>
      <w:bookmarkEnd w:id="47"/>
      <w:r w:rsidRPr="00AC7317">
        <w:rPr>
          <w:rFonts w:ascii="Times New Roman" w:hAnsi="Times New Roman" w:cs="Times New Roman"/>
        </w:rPr>
        <w:t>Feenstra, R.C. 2002. “</w:t>
      </w:r>
      <w:hyperlink r:id="rId40">
        <w:r w:rsidR="002E6A0D" w:rsidRPr="00AC7317">
          <w:rPr>
            <w:rStyle w:val="Hyperlink"/>
            <w:rFonts w:ascii="Times New Roman" w:hAnsi="Times New Roman" w:cs="Times New Roman"/>
          </w:rPr>
          <w:t>Border effects and the gravity equation: Consistent methods for estimation</w:t>
        </w:r>
      </w:hyperlink>
      <w:r w:rsidRPr="00AC7317">
        <w:rPr>
          <w:rFonts w:ascii="Times New Roman" w:hAnsi="Times New Roman" w:cs="Times New Roman"/>
        </w:rPr>
        <w:t xml:space="preserve">.” </w:t>
      </w:r>
      <w:r w:rsidRPr="00AC7317">
        <w:rPr>
          <w:rFonts w:ascii="Times New Roman" w:hAnsi="Times New Roman" w:cs="Times New Roman"/>
          <w:i/>
          <w:iCs/>
        </w:rPr>
        <w:t>Scottish Journal of Political Economy</w:t>
      </w:r>
      <w:r w:rsidRPr="00AC7317">
        <w:rPr>
          <w:rFonts w:ascii="Times New Roman" w:hAnsi="Times New Roman" w:cs="Times New Roman"/>
        </w:rPr>
        <w:t xml:space="preserve"> 49(5):491–506.</w:t>
      </w:r>
    </w:p>
    <w:p w14:paraId="5FDEEAA3" w14:textId="77777777" w:rsidR="002E6A0D" w:rsidRPr="00AC7317" w:rsidRDefault="00F96466" w:rsidP="00216BA2">
      <w:pPr>
        <w:pStyle w:val="Bibliography"/>
        <w:spacing w:line="480" w:lineRule="auto"/>
        <w:jc w:val="both"/>
        <w:rPr>
          <w:rFonts w:ascii="Times New Roman" w:hAnsi="Times New Roman" w:cs="Times New Roman"/>
        </w:rPr>
      </w:pPr>
      <w:bookmarkStart w:id="49" w:name="ref-fehlenberg2017"/>
      <w:bookmarkEnd w:id="48"/>
      <w:r w:rsidRPr="00AC7317">
        <w:rPr>
          <w:rFonts w:ascii="Times New Roman" w:hAnsi="Times New Roman" w:cs="Times New Roman"/>
        </w:rPr>
        <w:t xml:space="preserve">Fehlenberg, V., M. Baumann, N.I. Gasparri, M. Piquer-Rodriguez, G. </w:t>
      </w:r>
      <w:proofErr w:type="spellStart"/>
      <w:r w:rsidRPr="00AC7317">
        <w:rPr>
          <w:rFonts w:ascii="Times New Roman" w:hAnsi="Times New Roman" w:cs="Times New Roman"/>
        </w:rPr>
        <w:t>Gavier</w:t>
      </w:r>
      <w:proofErr w:type="spellEnd"/>
      <w:r w:rsidRPr="00AC7317">
        <w:rPr>
          <w:rFonts w:ascii="Times New Roman" w:hAnsi="Times New Roman" w:cs="Times New Roman"/>
        </w:rPr>
        <w:t>-Pizarro, and T. Kuemmerle. 2017. “</w:t>
      </w:r>
      <w:hyperlink r:id="rId41">
        <w:r w:rsidR="002E6A0D" w:rsidRPr="00AC7317">
          <w:rPr>
            <w:rStyle w:val="Hyperlink"/>
            <w:rFonts w:ascii="Times New Roman" w:hAnsi="Times New Roman" w:cs="Times New Roman"/>
          </w:rPr>
          <w:t>The role of soybean production as an underlying driver of deforestation in the South American Chaco</w:t>
        </w:r>
      </w:hyperlink>
      <w:r w:rsidRPr="00AC7317">
        <w:rPr>
          <w:rFonts w:ascii="Times New Roman" w:hAnsi="Times New Roman" w:cs="Times New Roman"/>
        </w:rPr>
        <w:t xml:space="preserve">.” </w:t>
      </w:r>
      <w:r w:rsidRPr="00AC7317">
        <w:rPr>
          <w:rFonts w:ascii="Times New Roman" w:hAnsi="Times New Roman" w:cs="Times New Roman"/>
          <w:i/>
          <w:iCs/>
        </w:rPr>
        <w:t>Global Environmental Change</w:t>
      </w:r>
      <w:r w:rsidRPr="00AC7317">
        <w:rPr>
          <w:rFonts w:ascii="Times New Roman" w:hAnsi="Times New Roman" w:cs="Times New Roman"/>
        </w:rPr>
        <w:t xml:space="preserve"> 45:24–34.</w:t>
      </w:r>
    </w:p>
    <w:p w14:paraId="05DC4AEE" w14:textId="77777777" w:rsidR="002E6A0D" w:rsidRPr="00AC7317" w:rsidRDefault="00F96466" w:rsidP="00216BA2">
      <w:pPr>
        <w:pStyle w:val="Bibliography"/>
        <w:spacing w:line="480" w:lineRule="auto"/>
        <w:jc w:val="both"/>
        <w:rPr>
          <w:rFonts w:ascii="Times New Roman" w:hAnsi="Times New Roman" w:cs="Times New Roman"/>
        </w:rPr>
      </w:pPr>
      <w:bookmarkStart w:id="50" w:name="ref-felbermayr2024"/>
      <w:bookmarkEnd w:id="49"/>
      <w:proofErr w:type="spellStart"/>
      <w:r w:rsidRPr="00AC7317">
        <w:rPr>
          <w:rFonts w:ascii="Times New Roman" w:hAnsi="Times New Roman" w:cs="Times New Roman"/>
        </w:rPr>
        <w:t>Felbermayr</w:t>
      </w:r>
      <w:proofErr w:type="spellEnd"/>
      <w:r w:rsidRPr="00AC7317">
        <w:rPr>
          <w:rFonts w:ascii="Times New Roman" w:hAnsi="Times New Roman" w:cs="Times New Roman"/>
        </w:rPr>
        <w:t xml:space="preserve">, G., S. Peterson, and J. </w:t>
      </w:r>
      <w:proofErr w:type="spellStart"/>
      <w:r w:rsidRPr="00AC7317">
        <w:rPr>
          <w:rFonts w:ascii="Times New Roman" w:hAnsi="Times New Roman" w:cs="Times New Roman"/>
        </w:rPr>
        <w:t>Wanner</w:t>
      </w:r>
      <w:proofErr w:type="spellEnd"/>
      <w:r w:rsidRPr="00AC7317">
        <w:rPr>
          <w:rFonts w:ascii="Times New Roman" w:hAnsi="Times New Roman" w:cs="Times New Roman"/>
        </w:rPr>
        <w:t>. 2024. “</w:t>
      </w:r>
      <w:hyperlink r:id="rId42">
        <w:r w:rsidR="002E6A0D" w:rsidRPr="00AC7317">
          <w:rPr>
            <w:rStyle w:val="Hyperlink"/>
            <w:rFonts w:ascii="Times New Roman" w:hAnsi="Times New Roman" w:cs="Times New Roman"/>
          </w:rPr>
          <w:t>Trade and the environment, trade policies and environmental policies—How do they interact?</w:t>
        </w:r>
      </w:hyperlink>
      <w:r w:rsidRPr="00AC7317">
        <w:rPr>
          <w:rFonts w:ascii="Times New Roman" w:hAnsi="Times New Roman" w:cs="Times New Roman"/>
        </w:rPr>
        <w:t xml:space="preserve">” </w:t>
      </w:r>
      <w:r w:rsidRPr="00AC7317">
        <w:rPr>
          <w:rFonts w:ascii="Times New Roman" w:hAnsi="Times New Roman" w:cs="Times New Roman"/>
          <w:i/>
          <w:iCs/>
        </w:rPr>
        <w:t>Journal of Economic Surveys</w:t>
      </w:r>
      <w:r w:rsidRPr="00AC7317">
        <w:rPr>
          <w:rFonts w:ascii="Times New Roman" w:hAnsi="Times New Roman" w:cs="Times New Roman"/>
        </w:rPr>
        <w:t>.</w:t>
      </w:r>
    </w:p>
    <w:p w14:paraId="6F334C86" w14:textId="77777777" w:rsidR="002E6A0D" w:rsidRPr="00AC7317" w:rsidRDefault="00F96466" w:rsidP="00216BA2">
      <w:pPr>
        <w:pStyle w:val="Bibliography"/>
        <w:spacing w:line="480" w:lineRule="auto"/>
        <w:jc w:val="both"/>
        <w:rPr>
          <w:rFonts w:ascii="Times New Roman" w:hAnsi="Times New Roman" w:cs="Times New Roman"/>
        </w:rPr>
      </w:pPr>
      <w:bookmarkStart w:id="51" w:name="ref-fisher2024"/>
      <w:bookmarkEnd w:id="50"/>
      <w:r w:rsidRPr="00AC7317">
        <w:rPr>
          <w:rFonts w:ascii="Times New Roman" w:hAnsi="Times New Roman" w:cs="Times New Roman"/>
        </w:rPr>
        <w:t xml:space="preserve">Fisher, M.R., K. Obidzinski, A.M. Alves, and A.D. </w:t>
      </w:r>
      <w:proofErr w:type="spellStart"/>
      <w:r w:rsidRPr="00AC7317">
        <w:rPr>
          <w:rFonts w:ascii="Times New Roman" w:hAnsi="Times New Roman" w:cs="Times New Roman"/>
        </w:rPr>
        <w:t>Ekaputri</w:t>
      </w:r>
      <w:proofErr w:type="spellEnd"/>
      <w:r w:rsidRPr="00AC7317">
        <w:rPr>
          <w:rFonts w:ascii="Times New Roman" w:hAnsi="Times New Roman" w:cs="Times New Roman"/>
        </w:rPr>
        <w:t xml:space="preserve">. 2024. “Commodities and global climate governance: Early evidence from the EU deforestation-free regulation (EUDR).” </w:t>
      </w:r>
      <w:r w:rsidRPr="00AC7317">
        <w:rPr>
          <w:rFonts w:ascii="Times New Roman" w:hAnsi="Times New Roman" w:cs="Times New Roman"/>
          <w:i/>
          <w:iCs/>
        </w:rPr>
        <w:t>Asia Pacific Issues - East West Center</w:t>
      </w:r>
      <w:r w:rsidRPr="00AC7317">
        <w:rPr>
          <w:rFonts w:ascii="Times New Roman" w:hAnsi="Times New Roman" w:cs="Times New Roman"/>
        </w:rPr>
        <w:t xml:space="preserve"> 27(165). Available at: </w:t>
      </w:r>
      <w:hyperlink r:id="rId43">
        <w:r w:rsidR="002E6A0D" w:rsidRPr="00AC7317">
          <w:rPr>
            <w:rStyle w:val="Hyperlink"/>
            <w:rFonts w:ascii="Times New Roman" w:hAnsi="Times New Roman" w:cs="Times New Roman"/>
          </w:rPr>
          <w:t>https://www.jstor.org/stable/resrep59643</w:t>
        </w:r>
      </w:hyperlink>
      <w:r w:rsidRPr="00AC7317">
        <w:rPr>
          <w:rFonts w:ascii="Times New Roman" w:hAnsi="Times New Roman" w:cs="Times New Roman"/>
        </w:rPr>
        <w:t>.</w:t>
      </w:r>
    </w:p>
    <w:p w14:paraId="1E0B9623" w14:textId="77777777" w:rsidR="002E6A0D" w:rsidRPr="00AC7317" w:rsidRDefault="00F96466" w:rsidP="00216BA2">
      <w:pPr>
        <w:pStyle w:val="Bibliography"/>
        <w:spacing w:line="480" w:lineRule="auto"/>
        <w:jc w:val="both"/>
        <w:rPr>
          <w:rFonts w:ascii="Times New Roman" w:hAnsi="Times New Roman" w:cs="Times New Roman"/>
        </w:rPr>
      </w:pPr>
      <w:bookmarkStart w:id="52" w:name="ref-fontagne2022"/>
      <w:bookmarkEnd w:id="51"/>
      <w:proofErr w:type="spellStart"/>
      <w:r w:rsidRPr="00AC7317">
        <w:rPr>
          <w:rFonts w:ascii="Times New Roman" w:hAnsi="Times New Roman" w:cs="Times New Roman"/>
        </w:rPr>
        <w:t>Fontagné</w:t>
      </w:r>
      <w:proofErr w:type="spellEnd"/>
      <w:r w:rsidRPr="00AC7317">
        <w:rPr>
          <w:rFonts w:ascii="Times New Roman" w:hAnsi="Times New Roman" w:cs="Times New Roman"/>
        </w:rPr>
        <w:t xml:space="preserve">, L., H. Guimbard, and G. Orefice. 2022. “A new dataset on product-level trade elasticities.” </w:t>
      </w:r>
      <w:r w:rsidRPr="00AC7317">
        <w:rPr>
          <w:rFonts w:ascii="Times New Roman" w:hAnsi="Times New Roman" w:cs="Times New Roman"/>
          <w:i/>
          <w:iCs/>
        </w:rPr>
        <w:t>Data in Brief</w:t>
      </w:r>
      <w:r w:rsidRPr="00AC7317">
        <w:rPr>
          <w:rFonts w:ascii="Times New Roman" w:hAnsi="Times New Roman" w:cs="Times New Roman"/>
        </w:rPr>
        <w:t xml:space="preserve"> 45:108668. Available at: </w:t>
      </w:r>
      <w:hyperlink r:id="rId44">
        <w:r w:rsidR="002E6A0D" w:rsidRPr="00AC7317">
          <w:rPr>
            <w:rStyle w:val="Hyperlink"/>
            <w:rFonts w:ascii="Times New Roman" w:hAnsi="Times New Roman" w:cs="Times New Roman"/>
          </w:rPr>
          <w:t>https://doi.org/10.1016/j.dib.2022.108668</w:t>
        </w:r>
      </w:hyperlink>
      <w:r w:rsidRPr="00AC7317">
        <w:rPr>
          <w:rFonts w:ascii="Times New Roman" w:hAnsi="Times New Roman" w:cs="Times New Roman"/>
        </w:rPr>
        <w:t>.</w:t>
      </w:r>
    </w:p>
    <w:p w14:paraId="199FEC75" w14:textId="2B296648" w:rsidR="00E9643D" w:rsidRPr="00AC7317" w:rsidRDefault="00B57EFD" w:rsidP="00216BA2">
      <w:pPr>
        <w:pStyle w:val="Bibliography"/>
        <w:spacing w:line="480" w:lineRule="auto"/>
        <w:jc w:val="both"/>
        <w:rPr>
          <w:rFonts w:ascii="Times New Roman" w:hAnsi="Times New Roman" w:cs="Times New Roman"/>
        </w:rPr>
      </w:pPr>
      <w:bookmarkStart w:id="53" w:name="ref-fontagne2005"/>
      <w:bookmarkEnd w:id="52"/>
      <w:proofErr w:type="spellStart"/>
      <w:r w:rsidRPr="00AC7317">
        <w:rPr>
          <w:rFonts w:ascii="Times New Roman" w:hAnsi="Times New Roman" w:cs="Times New Roman"/>
        </w:rPr>
        <w:t>Fontagné</w:t>
      </w:r>
      <w:proofErr w:type="spellEnd"/>
      <w:r w:rsidRPr="00AC7317">
        <w:rPr>
          <w:rFonts w:ascii="Times New Roman" w:hAnsi="Times New Roman" w:cs="Times New Roman"/>
        </w:rPr>
        <w:t xml:space="preserve">, L., M. Mimouni, and J.-M. </w:t>
      </w:r>
      <w:proofErr w:type="spellStart"/>
      <w:r w:rsidRPr="00AC7317">
        <w:rPr>
          <w:rFonts w:ascii="Times New Roman" w:hAnsi="Times New Roman" w:cs="Times New Roman"/>
        </w:rPr>
        <w:t>Pasteels</w:t>
      </w:r>
      <w:proofErr w:type="spellEnd"/>
      <w:r w:rsidRPr="00AC7317">
        <w:rPr>
          <w:rFonts w:ascii="Times New Roman" w:hAnsi="Times New Roman" w:cs="Times New Roman"/>
        </w:rPr>
        <w:t xml:space="preserve">. 2005. “Estimating the Impact of Environmental SPS and TBT on International Trade.” </w:t>
      </w:r>
      <w:r w:rsidRPr="00AC7317">
        <w:rPr>
          <w:rFonts w:ascii="Times New Roman" w:hAnsi="Times New Roman" w:cs="Times New Roman"/>
          <w:i/>
          <w:iCs/>
        </w:rPr>
        <w:t>Integration and Trade Journal</w:t>
      </w:r>
      <w:r w:rsidRPr="00AC7317">
        <w:rPr>
          <w:rFonts w:ascii="Times New Roman" w:hAnsi="Times New Roman" w:cs="Times New Roman"/>
        </w:rPr>
        <w:t xml:space="preserve"> 22</w:t>
      </w:r>
      <w:r w:rsidR="00A61AA6" w:rsidRPr="00AC7317">
        <w:rPr>
          <w:rFonts w:ascii="Times New Roman" w:hAnsi="Times New Roman" w:cs="Times New Roman"/>
        </w:rPr>
        <w:t>(3)</w:t>
      </w:r>
      <w:r w:rsidRPr="00AC7317">
        <w:rPr>
          <w:rFonts w:ascii="Times New Roman" w:hAnsi="Times New Roman" w:cs="Times New Roman"/>
        </w:rPr>
        <w:t>: 7–37.</w:t>
      </w:r>
    </w:p>
    <w:p w14:paraId="290B5D18" w14:textId="77777777" w:rsidR="002E6A0D" w:rsidRPr="00AC7317" w:rsidRDefault="00F96466" w:rsidP="00216BA2">
      <w:pPr>
        <w:pStyle w:val="Bibliography"/>
        <w:spacing w:line="480" w:lineRule="auto"/>
        <w:jc w:val="both"/>
        <w:rPr>
          <w:rFonts w:ascii="Times New Roman" w:hAnsi="Times New Roman" w:cs="Times New Roman"/>
        </w:rPr>
      </w:pPr>
      <w:bookmarkStart w:id="54" w:name="ref-gale2019"/>
      <w:bookmarkEnd w:id="53"/>
      <w:r w:rsidRPr="00AC7317">
        <w:rPr>
          <w:rFonts w:ascii="Times New Roman" w:hAnsi="Times New Roman" w:cs="Times New Roman"/>
        </w:rPr>
        <w:t xml:space="preserve">Gale, F., C. Valdes, and M. Ash. 2019. “Interdependence of China, United States, and Brazil in soybean trade.” No. OCS-19F-01, United States Department of Agriculture. Available at: </w:t>
      </w:r>
      <w:hyperlink r:id="rId45">
        <w:r w:rsidR="002E6A0D" w:rsidRPr="00AC7317">
          <w:rPr>
            <w:rStyle w:val="Hyperlink"/>
            <w:rFonts w:ascii="Times New Roman" w:hAnsi="Times New Roman" w:cs="Times New Roman"/>
          </w:rPr>
          <w:t>https://www.ers.usda.gov/webdocs/outlooks/93390/ocs-19f-01.pdf?v=226.2</w:t>
        </w:r>
      </w:hyperlink>
      <w:r w:rsidRPr="00AC7317">
        <w:rPr>
          <w:rFonts w:ascii="Times New Roman" w:hAnsi="Times New Roman" w:cs="Times New Roman"/>
        </w:rPr>
        <w:t xml:space="preserve"> [Accessed December 27, 2024].</w:t>
      </w:r>
    </w:p>
    <w:p w14:paraId="33FF3B69" w14:textId="77777777" w:rsidR="002E6A0D" w:rsidRPr="00AC7317" w:rsidRDefault="00F96466" w:rsidP="00216BA2">
      <w:pPr>
        <w:pStyle w:val="Bibliography"/>
        <w:spacing w:line="480" w:lineRule="auto"/>
        <w:jc w:val="both"/>
        <w:rPr>
          <w:rFonts w:ascii="Times New Roman" w:hAnsi="Times New Roman" w:cs="Times New Roman"/>
        </w:rPr>
      </w:pPr>
      <w:bookmarkStart w:id="55" w:name="ref-gaulier2010"/>
      <w:bookmarkEnd w:id="54"/>
      <w:proofErr w:type="spellStart"/>
      <w:r w:rsidRPr="00AC7317">
        <w:rPr>
          <w:rFonts w:ascii="Times New Roman" w:hAnsi="Times New Roman" w:cs="Times New Roman"/>
        </w:rPr>
        <w:lastRenderedPageBreak/>
        <w:t>Gaulier</w:t>
      </w:r>
      <w:proofErr w:type="spellEnd"/>
      <w:r w:rsidRPr="00AC7317">
        <w:rPr>
          <w:rFonts w:ascii="Times New Roman" w:hAnsi="Times New Roman" w:cs="Times New Roman"/>
        </w:rPr>
        <w:t xml:space="preserve">, G., and S. </w:t>
      </w:r>
      <w:proofErr w:type="spellStart"/>
      <w:r w:rsidRPr="00AC7317">
        <w:rPr>
          <w:rFonts w:ascii="Times New Roman" w:hAnsi="Times New Roman" w:cs="Times New Roman"/>
        </w:rPr>
        <w:t>Zignago</w:t>
      </w:r>
      <w:proofErr w:type="spellEnd"/>
      <w:r w:rsidRPr="00AC7317">
        <w:rPr>
          <w:rFonts w:ascii="Times New Roman" w:hAnsi="Times New Roman" w:cs="Times New Roman"/>
        </w:rPr>
        <w:t>. 2010. “</w:t>
      </w:r>
      <w:hyperlink r:id="rId46">
        <w:r w:rsidR="002E6A0D" w:rsidRPr="00AC7317">
          <w:rPr>
            <w:rStyle w:val="Hyperlink"/>
            <w:rFonts w:ascii="Times New Roman" w:hAnsi="Times New Roman" w:cs="Times New Roman"/>
          </w:rPr>
          <w:t>BACI: International trade database at the product-level (the 1994-2007 version)</w:t>
        </w:r>
      </w:hyperlink>
      <w:r w:rsidRPr="00AC7317">
        <w:rPr>
          <w:rFonts w:ascii="Times New Roman" w:hAnsi="Times New Roman" w:cs="Times New Roman"/>
        </w:rPr>
        <w:t xml:space="preserve">.” </w:t>
      </w:r>
      <w:r w:rsidRPr="00AC7317">
        <w:rPr>
          <w:rFonts w:ascii="Times New Roman" w:hAnsi="Times New Roman" w:cs="Times New Roman"/>
          <w:i/>
          <w:iCs/>
        </w:rPr>
        <w:t>SSRN Electronic Journal</w:t>
      </w:r>
      <w:r w:rsidRPr="00AC7317">
        <w:rPr>
          <w:rFonts w:ascii="Times New Roman" w:hAnsi="Times New Roman" w:cs="Times New Roman"/>
        </w:rPr>
        <w:t>.</w:t>
      </w:r>
    </w:p>
    <w:p w14:paraId="6196EEE1" w14:textId="77777777" w:rsidR="002E6A0D" w:rsidRPr="00AC7317" w:rsidRDefault="00F96466" w:rsidP="00216BA2">
      <w:pPr>
        <w:pStyle w:val="Bibliography"/>
        <w:spacing w:line="480" w:lineRule="auto"/>
        <w:jc w:val="both"/>
        <w:rPr>
          <w:rFonts w:ascii="Times New Roman" w:hAnsi="Times New Roman" w:cs="Times New Roman"/>
        </w:rPr>
      </w:pPr>
      <w:bookmarkStart w:id="56" w:name="ref-gilbert2024"/>
      <w:bookmarkEnd w:id="55"/>
      <w:r w:rsidRPr="00AC7317">
        <w:rPr>
          <w:rFonts w:ascii="Times New Roman" w:hAnsi="Times New Roman" w:cs="Times New Roman"/>
        </w:rPr>
        <w:t xml:space="preserve">Gilbert, C.L. 2024. “The EU deforestation regulation.” </w:t>
      </w:r>
      <w:proofErr w:type="spellStart"/>
      <w:r w:rsidRPr="00AC7317">
        <w:rPr>
          <w:rFonts w:ascii="Times New Roman" w:hAnsi="Times New Roman" w:cs="Times New Roman"/>
          <w:i/>
          <w:iCs/>
        </w:rPr>
        <w:t>EuroChoices</w:t>
      </w:r>
      <w:proofErr w:type="spellEnd"/>
      <w:r w:rsidRPr="00AC7317">
        <w:rPr>
          <w:rFonts w:ascii="Times New Roman" w:hAnsi="Times New Roman" w:cs="Times New Roman"/>
        </w:rPr>
        <w:t xml:space="preserve"> 23(2):64–70. Available at: </w:t>
      </w:r>
      <w:hyperlink r:id="rId47">
        <w:r w:rsidR="002E6A0D" w:rsidRPr="00AC7317">
          <w:rPr>
            <w:rStyle w:val="Hyperlink"/>
            <w:rFonts w:ascii="Times New Roman" w:hAnsi="Times New Roman" w:cs="Times New Roman"/>
          </w:rPr>
          <w:t>https://doi.org/10.1111/1746-692X.12436</w:t>
        </w:r>
      </w:hyperlink>
      <w:r w:rsidRPr="00AC7317">
        <w:rPr>
          <w:rFonts w:ascii="Times New Roman" w:hAnsi="Times New Roman" w:cs="Times New Roman"/>
        </w:rPr>
        <w:t>.</w:t>
      </w:r>
    </w:p>
    <w:p w14:paraId="34AD58E5" w14:textId="078AF501" w:rsidR="00785F04" w:rsidRPr="00AC7317" w:rsidRDefault="00785F04" w:rsidP="00785F04">
      <w:pPr>
        <w:pStyle w:val="Bibliography"/>
        <w:spacing w:line="480" w:lineRule="auto"/>
        <w:jc w:val="both"/>
        <w:rPr>
          <w:rFonts w:ascii="Times New Roman" w:hAnsi="Times New Roman" w:cs="Times New Roman"/>
        </w:rPr>
      </w:pPr>
      <w:proofErr w:type="spellStart"/>
      <w:r w:rsidRPr="00AC7317">
        <w:rPr>
          <w:rFonts w:ascii="Times New Roman" w:hAnsi="Times New Roman" w:cs="Times New Roman"/>
        </w:rPr>
        <w:t>Gollnow</w:t>
      </w:r>
      <w:proofErr w:type="spellEnd"/>
      <w:r w:rsidRPr="00AC7317">
        <w:rPr>
          <w:rFonts w:ascii="Times New Roman" w:hAnsi="Times New Roman" w:cs="Times New Roman"/>
        </w:rPr>
        <w:t xml:space="preserve">, F., F. Cammelli, K.M. Carlson, and R.D. Garrett. 2022. “Gaps in adoption and implementation limit the current and potential effectiveness of zero-deforestation supply chain policies for soy.” </w:t>
      </w:r>
      <w:r w:rsidRPr="00AC7317">
        <w:rPr>
          <w:rFonts w:ascii="Times New Roman" w:hAnsi="Times New Roman" w:cs="Times New Roman"/>
          <w:i/>
          <w:iCs/>
        </w:rPr>
        <w:t>Environmental Research Letters</w:t>
      </w:r>
      <w:r w:rsidRPr="00AC7317">
        <w:rPr>
          <w:rFonts w:ascii="Times New Roman" w:hAnsi="Times New Roman" w:cs="Times New Roman"/>
        </w:rPr>
        <w:t xml:space="preserve"> 17(11):114003.</w:t>
      </w:r>
    </w:p>
    <w:p w14:paraId="76570F5E" w14:textId="77777777" w:rsidR="002E6A0D" w:rsidRPr="00AC7317" w:rsidRDefault="00F96466" w:rsidP="00216BA2">
      <w:pPr>
        <w:pStyle w:val="Bibliography"/>
        <w:spacing w:line="480" w:lineRule="auto"/>
        <w:jc w:val="both"/>
        <w:rPr>
          <w:rFonts w:ascii="Times New Roman" w:hAnsi="Times New Roman" w:cs="Times New Roman"/>
        </w:rPr>
      </w:pPr>
      <w:bookmarkStart w:id="57" w:name="ref-gouveris2024"/>
      <w:bookmarkEnd w:id="56"/>
      <w:r w:rsidRPr="00AC7317">
        <w:rPr>
          <w:rFonts w:ascii="Times New Roman" w:hAnsi="Times New Roman" w:cs="Times New Roman"/>
        </w:rPr>
        <w:t>Gouveris, T. 2024. “</w:t>
      </w:r>
      <w:hyperlink r:id="rId48">
        <w:r w:rsidR="002E6A0D" w:rsidRPr="00AC7317">
          <w:rPr>
            <w:rStyle w:val="Hyperlink"/>
            <w:rFonts w:ascii="Times New Roman" w:hAnsi="Times New Roman" w:cs="Times New Roman"/>
          </w:rPr>
          <w:t>Competition in the global agricultural value chain: A review of the role of ABCD giants including research on their public visibility</w:t>
        </w:r>
      </w:hyperlink>
      <w:r w:rsidRPr="00AC7317">
        <w:rPr>
          <w:rFonts w:ascii="Times New Roman" w:hAnsi="Times New Roman" w:cs="Times New Roman"/>
        </w:rPr>
        <w:t xml:space="preserve">.” </w:t>
      </w:r>
      <w:r w:rsidRPr="00AC7317">
        <w:rPr>
          <w:rFonts w:ascii="Times New Roman" w:hAnsi="Times New Roman" w:cs="Times New Roman"/>
          <w:i/>
          <w:iCs/>
        </w:rPr>
        <w:t>Open Journal of Business and Management</w:t>
      </w:r>
      <w:r w:rsidRPr="00AC7317">
        <w:rPr>
          <w:rFonts w:ascii="Times New Roman" w:hAnsi="Times New Roman" w:cs="Times New Roman"/>
        </w:rPr>
        <w:t xml:space="preserve"> 12(6):4401–4412.</w:t>
      </w:r>
    </w:p>
    <w:p w14:paraId="04F57CFE" w14:textId="77777777" w:rsidR="002E6A0D" w:rsidRPr="00AC7317" w:rsidRDefault="00F96466" w:rsidP="00216BA2">
      <w:pPr>
        <w:pStyle w:val="Bibliography"/>
        <w:spacing w:line="480" w:lineRule="auto"/>
        <w:jc w:val="both"/>
        <w:rPr>
          <w:rFonts w:ascii="Times New Roman" w:hAnsi="Times New Roman" w:cs="Times New Roman"/>
        </w:rPr>
      </w:pPr>
      <w:bookmarkStart w:id="58" w:name="ref-harstad2024a"/>
      <w:bookmarkEnd w:id="57"/>
      <w:r w:rsidRPr="00AC7317">
        <w:rPr>
          <w:rFonts w:ascii="Times New Roman" w:hAnsi="Times New Roman" w:cs="Times New Roman"/>
        </w:rPr>
        <w:t xml:space="preserve">Harstad, B. 2024a. “Contingent trade agreements.” Available at: </w:t>
      </w:r>
      <w:hyperlink r:id="rId49">
        <w:r w:rsidR="002E6A0D" w:rsidRPr="00AC7317">
          <w:rPr>
            <w:rStyle w:val="Hyperlink"/>
            <w:rFonts w:ascii="Times New Roman" w:hAnsi="Times New Roman" w:cs="Times New Roman"/>
          </w:rPr>
          <w:t>https://www.nber.org/system/files/working_papers/w32392/w32392.pdf</w:t>
        </w:r>
      </w:hyperlink>
      <w:r w:rsidRPr="00AC7317">
        <w:rPr>
          <w:rFonts w:ascii="Times New Roman" w:hAnsi="Times New Roman" w:cs="Times New Roman"/>
        </w:rPr>
        <w:t>.</w:t>
      </w:r>
    </w:p>
    <w:p w14:paraId="58C8C8DB" w14:textId="77777777" w:rsidR="002E6A0D" w:rsidRPr="00AC7317" w:rsidRDefault="00F96466" w:rsidP="00216BA2">
      <w:pPr>
        <w:pStyle w:val="Bibliography"/>
        <w:spacing w:line="480" w:lineRule="auto"/>
        <w:jc w:val="both"/>
        <w:rPr>
          <w:rFonts w:ascii="Times New Roman" w:hAnsi="Times New Roman" w:cs="Times New Roman"/>
        </w:rPr>
      </w:pPr>
      <w:bookmarkStart w:id="59" w:name="ref-harstad2024b"/>
      <w:bookmarkEnd w:id="58"/>
      <w:r w:rsidRPr="00AC7317">
        <w:rPr>
          <w:rFonts w:ascii="Times New Roman" w:hAnsi="Times New Roman" w:cs="Times New Roman"/>
        </w:rPr>
        <w:t xml:space="preserve">Harstad, B. 2024b. “On international cooperation.” In L. Barrage and S. Hsiang, eds. </w:t>
      </w:r>
      <w:r w:rsidRPr="00AC7317">
        <w:rPr>
          <w:rFonts w:ascii="Times New Roman" w:hAnsi="Times New Roman" w:cs="Times New Roman"/>
          <w:i/>
          <w:iCs/>
        </w:rPr>
        <w:t>Handbook of the economics of climate change</w:t>
      </w:r>
      <w:r w:rsidRPr="00AC7317">
        <w:rPr>
          <w:rFonts w:ascii="Times New Roman" w:hAnsi="Times New Roman" w:cs="Times New Roman"/>
        </w:rPr>
        <w:t xml:space="preserve">. NBER working paper series. National Bureau of Economic Research; Elsevier. Available at: </w:t>
      </w:r>
      <w:hyperlink r:id="rId50">
        <w:r w:rsidR="002E6A0D" w:rsidRPr="00AC7317">
          <w:rPr>
            <w:rStyle w:val="Hyperlink"/>
            <w:rFonts w:ascii="Times New Roman" w:hAnsi="Times New Roman" w:cs="Times New Roman"/>
          </w:rPr>
          <w:t>http://www.nber.org/papers/w33161</w:t>
        </w:r>
      </w:hyperlink>
      <w:r w:rsidRPr="00AC7317">
        <w:rPr>
          <w:rFonts w:ascii="Times New Roman" w:hAnsi="Times New Roman" w:cs="Times New Roman"/>
        </w:rPr>
        <w:t>.</w:t>
      </w:r>
    </w:p>
    <w:p w14:paraId="29CE5652" w14:textId="77777777" w:rsidR="002E6A0D" w:rsidRPr="00AC7317" w:rsidRDefault="00F96466" w:rsidP="00216BA2">
      <w:pPr>
        <w:pStyle w:val="Bibliography"/>
        <w:spacing w:line="480" w:lineRule="auto"/>
        <w:jc w:val="both"/>
        <w:rPr>
          <w:rFonts w:ascii="Times New Roman" w:hAnsi="Times New Roman" w:cs="Times New Roman"/>
        </w:rPr>
      </w:pPr>
      <w:bookmarkStart w:id="60" w:name="ref-harstad2024c"/>
      <w:bookmarkEnd w:id="59"/>
      <w:r w:rsidRPr="00AC7317">
        <w:rPr>
          <w:rFonts w:ascii="Times New Roman" w:hAnsi="Times New Roman" w:cs="Times New Roman"/>
        </w:rPr>
        <w:t>Harstad, B. 2024c. “</w:t>
      </w:r>
      <w:hyperlink r:id="rId51">
        <w:r w:rsidR="002E6A0D" w:rsidRPr="00AC7317">
          <w:rPr>
            <w:rStyle w:val="Hyperlink"/>
            <w:rFonts w:ascii="Times New Roman" w:hAnsi="Times New Roman" w:cs="Times New Roman"/>
          </w:rPr>
          <w:t>Trade and trees</w:t>
        </w:r>
      </w:hyperlink>
      <w:r w:rsidRPr="00AC7317">
        <w:rPr>
          <w:rFonts w:ascii="Times New Roman" w:hAnsi="Times New Roman" w:cs="Times New Roman"/>
        </w:rPr>
        <w:t xml:space="preserve">.” </w:t>
      </w:r>
      <w:r w:rsidRPr="00AC7317">
        <w:rPr>
          <w:rFonts w:ascii="Times New Roman" w:hAnsi="Times New Roman" w:cs="Times New Roman"/>
          <w:i/>
          <w:iCs/>
        </w:rPr>
        <w:t>American Economic Review: Insights</w:t>
      </w:r>
      <w:r w:rsidRPr="00AC7317">
        <w:rPr>
          <w:rFonts w:ascii="Times New Roman" w:hAnsi="Times New Roman" w:cs="Times New Roman"/>
        </w:rPr>
        <w:t xml:space="preserve"> 6(2):155–175.</w:t>
      </w:r>
    </w:p>
    <w:p w14:paraId="6BD25CAE" w14:textId="77777777" w:rsidR="002E6A0D" w:rsidRPr="00AC7317" w:rsidRDefault="00F96466" w:rsidP="00216BA2">
      <w:pPr>
        <w:pStyle w:val="Bibliography"/>
        <w:spacing w:line="480" w:lineRule="auto"/>
        <w:jc w:val="both"/>
        <w:rPr>
          <w:rFonts w:ascii="Times New Roman" w:hAnsi="Times New Roman" w:cs="Times New Roman"/>
        </w:rPr>
      </w:pPr>
      <w:bookmarkStart w:id="61" w:name="ref-heron2018"/>
      <w:bookmarkEnd w:id="60"/>
      <w:r w:rsidRPr="00AC7317">
        <w:rPr>
          <w:rFonts w:ascii="Times New Roman" w:hAnsi="Times New Roman" w:cs="Times New Roman"/>
        </w:rPr>
        <w:t xml:space="preserve">Heron, T., </w:t>
      </w:r>
      <w:proofErr w:type="gramStart"/>
      <w:r w:rsidRPr="00AC7317">
        <w:rPr>
          <w:rFonts w:ascii="Times New Roman" w:hAnsi="Times New Roman" w:cs="Times New Roman"/>
        </w:rPr>
        <w:t>P.</w:t>
      </w:r>
      <w:proofErr w:type="gramEnd"/>
      <w:r w:rsidRPr="00AC7317">
        <w:rPr>
          <w:rFonts w:ascii="Times New Roman" w:hAnsi="Times New Roman" w:cs="Times New Roman"/>
        </w:rPr>
        <w:t xml:space="preserve"> Prado, and C. West. 2018. “</w:t>
      </w:r>
      <w:hyperlink r:id="rId52">
        <w:r w:rsidR="002E6A0D" w:rsidRPr="00AC7317">
          <w:rPr>
            <w:rStyle w:val="Hyperlink"/>
            <w:rFonts w:ascii="Times New Roman" w:hAnsi="Times New Roman" w:cs="Times New Roman"/>
          </w:rPr>
          <w:t>Global value chains and the governance of ’embedded’ food commodities: The case of soy</w:t>
        </w:r>
      </w:hyperlink>
      <w:r w:rsidRPr="00AC7317">
        <w:rPr>
          <w:rFonts w:ascii="Times New Roman" w:hAnsi="Times New Roman" w:cs="Times New Roman"/>
        </w:rPr>
        <w:t xml:space="preserve">.” </w:t>
      </w:r>
      <w:r w:rsidRPr="00AC7317">
        <w:rPr>
          <w:rFonts w:ascii="Times New Roman" w:hAnsi="Times New Roman" w:cs="Times New Roman"/>
          <w:i/>
          <w:iCs/>
        </w:rPr>
        <w:t>Global Policy</w:t>
      </w:r>
      <w:r w:rsidRPr="00AC7317">
        <w:rPr>
          <w:rFonts w:ascii="Times New Roman" w:hAnsi="Times New Roman" w:cs="Times New Roman"/>
        </w:rPr>
        <w:t xml:space="preserve"> 9:29–37.</w:t>
      </w:r>
    </w:p>
    <w:p w14:paraId="1807854B" w14:textId="0190F6FB" w:rsidR="004C7ECB" w:rsidRPr="00AC7317" w:rsidRDefault="00003C0E" w:rsidP="00216BA2">
      <w:pPr>
        <w:pStyle w:val="Bibliography"/>
        <w:spacing w:line="480" w:lineRule="auto"/>
        <w:jc w:val="both"/>
        <w:rPr>
          <w:rFonts w:ascii="Times New Roman" w:hAnsi="Times New Roman" w:cs="Times New Roman"/>
        </w:rPr>
      </w:pPr>
      <w:r w:rsidRPr="00AC7317">
        <w:rPr>
          <w:rFonts w:ascii="Times New Roman" w:hAnsi="Times New Roman" w:cs="Times New Roman"/>
        </w:rPr>
        <w:t xml:space="preserve">Hu, Y., Q. Meng, N. Chen, M. Yuan, and J. Xia. 2025. “Forecasting the Impact of the EU Deforestation Regulation (EUDR) on Asia-Pacific Forest Product Trade.” </w:t>
      </w:r>
      <w:r w:rsidRPr="00AC7317">
        <w:rPr>
          <w:rFonts w:ascii="Times New Roman" w:hAnsi="Times New Roman" w:cs="Times New Roman"/>
          <w:i/>
          <w:iCs/>
        </w:rPr>
        <w:t>American Journal of Environmental and Resource Economics</w:t>
      </w:r>
      <w:r w:rsidRPr="00AC7317">
        <w:rPr>
          <w:rFonts w:ascii="Times New Roman" w:hAnsi="Times New Roman" w:cs="Times New Roman"/>
        </w:rPr>
        <w:t xml:space="preserve"> 10(4):149–160. </w:t>
      </w:r>
      <w:proofErr w:type="gramStart"/>
      <w:r w:rsidRPr="00AC7317">
        <w:rPr>
          <w:rFonts w:ascii="Times New Roman" w:hAnsi="Times New Roman" w:cs="Times New Roman"/>
        </w:rPr>
        <w:t>doi:10.11648/j.ajere</w:t>
      </w:r>
      <w:proofErr w:type="gramEnd"/>
      <w:r w:rsidRPr="00AC7317">
        <w:rPr>
          <w:rFonts w:ascii="Times New Roman" w:hAnsi="Times New Roman" w:cs="Times New Roman"/>
        </w:rPr>
        <w:t>.20251004.14.</w:t>
      </w:r>
    </w:p>
    <w:p w14:paraId="003A77B3" w14:textId="77777777" w:rsidR="002E6A0D" w:rsidRPr="00AC7317" w:rsidRDefault="00F96466" w:rsidP="00216BA2">
      <w:pPr>
        <w:pStyle w:val="Bibliography"/>
        <w:spacing w:line="480" w:lineRule="auto"/>
        <w:jc w:val="both"/>
        <w:rPr>
          <w:rFonts w:ascii="Times New Roman" w:hAnsi="Times New Roman" w:cs="Times New Roman"/>
        </w:rPr>
      </w:pPr>
      <w:bookmarkStart w:id="62" w:name="ref-itc2024"/>
      <w:bookmarkEnd w:id="61"/>
      <w:r w:rsidRPr="00AC7317">
        <w:rPr>
          <w:rFonts w:ascii="Times New Roman" w:hAnsi="Times New Roman" w:cs="Times New Roman"/>
        </w:rPr>
        <w:lastRenderedPageBreak/>
        <w:t xml:space="preserve">International Trade Centre. 2024. “Market access map.” Available at: </w:t>
      </w:r>
      <w:hyperlink r:id="rId53">
        <w:r w:rsidR="002E6A0D" w:rsidRPr="00AC7317">
          <w:rPr>
            <w:rStyle w:val="Hyperlink"/>
            <w:rFonts w:ascii="Times New Roman" w:hAnsi="Times New Roman" w:cs="Times New Roman"/>
          </w:rPr>
          <w:t>https://www.macmap.org/</w:t>
        </w:r>
      </w:hyperlink>
      <w:r w:rsidRPr="00AC7317">
        <w:rPr>
          <w:rFonts w:ascii="Times New Roman" w:hAnsi="Times New Roman" w:cs="Times New Roman"/>
        </w:rPr>
        <w:t>.</w:t>
      </w:r>
    </w:p>
    <w:p w14:paraId="5E0EC480" w14:textId="77777777" w:rsidR="002E6A0D" w:rsidRPr="00AC7317" w:rsidRDefault="00F96466" w:rsidP="00216BA2">
      <w:pPr>
        <w:pStyle w:val="Bibliography"/>
        <w:spacing w:line="480" w:lineRule="auto"/>
        <w:jc w:val="both"/>
        <w:rPr>
          <w:rFonts w:ascii="Times New Roman" w:hAnsi="Times New Roman" w:cs="Times New Roman"/>
        </w:rPr>
      </w:pPr>
      <w:bookmarkStart w:id="63" w:name="ref-kpmg2023"/>
      <w:bookmarkEnd w:id="62"/>
      <w:r w:rsidRPr="00AC7317">
        <w:rPr>
          <w:rFonts w:ascii="Times New Roman" w:hAnsi="Times New Roman" w:cs="Times New Roman"/>
        </w:rPr>
        <w:t xml:space="preserve">KPMG. 2023. “A high-level introduction to the EU deforestation-free regulation (EUDR) - what it means for international supply chains.” Available at: </w:t>
      </w:r>
      <w:hyperlink r:id="rId54">
        <w:r w:rsidR="002E6A0D" w:rsidRPr="00AC7317">
          <w:rPr>
            <w:rStyle w:val="Hyperlink"/>
            <w:rFonts w:ascii="Times New Roman" w:hAnsi="Times New Roman" w:cs="Times New Roman"/>
          </w:rPr>
          <w:t>https://kpmg.com/be/en/home/insights/2023/02/sus-the-eu-anti-deforestation-regulation.html</w:t>
        </w:r>
      </w:hyperlink>
      <w:r w:rsidRPr="00AC7317">
        <w:rPr>
          <w:rFonts w:ascii="Times New Roman" w:hAnsi="Times New Roman" w:cs="Times New Roman"/>
        </w:rPr>
        <w:t>.</w:t>
      </w:r>
    </w:p>
    <w:p w14:paraId="785D0370" w14:textId="131DB676" w:rsidR="00C6679B" w:rsidRPr="00AC7317" w:rsidRDefault="00C6679B" w:rsidP="00216BA2">
      <w:pPr>
        <w:pStyle w:val="Bibliography"/>
        <w:spacing w:line="480" w:lineRule="auto"/>
        <w:jc w:val="both"/>
        <w:rPr>
          <w:rFonts w:ascii="Times New Roman" w:hAnsi="Times New Roman" w:cs="Times New Roman"/>
        </w:rPr>
      </w:pPr>
      <w:bookmarkStart w:id="64" w:name="ref-larch2025"/>
      <w:bookmarkEnd w:id="63"/>
      <w:r w:rsidRPr="00AC7317">
        <w:rPr>
          <w:rFonts w:ascii="Times New Roman" w:hAnsi="Times New Roman" w:cs="Times New Roman"/>
        </w:rPr>
        <w:t xml:space="preserve">Kravchenko, A., A. Strutt, C. </w:t>
      </w:r>
      <w:proofErr w:type="spellStart"/>
      <w:r w:rsidRPr="00AC7317">
        <w:rPr>
          <w:rFonts w:ascii="Times New Roman" w:hAnsi="Times New Roman" w:cs="Times New Roman"/>
        </w:rPr>
        <w:t>Utoktham</w:t>
      </w:r>
      <w:proofErr w:type="spellEnd"/>
      <w:r w:rsidRPr="00AC7317">
        <w:rPr>
          <w:rFonts w:ascii="Times New Roman" w:hAnsi="Times New Roman" w:cs="Times New Roman"/>
        </w:rPr>
        <w:t>, and Y. Duval. 2022. “</w:t>
      </w:r>
      <w:hyperlink r:id="rId55" w:history="1">
        <w:r w:rsidRPr="00AC7317">
          <w:rPr>
            <w:rStyle w:val="Hyperlink"/>
            <w:rFonts w:ascii="Times New Roman" w:hAnsi="Times New Roman" w:cs="Times New Roman"/>
          </w:rPr>
          <w:t>New price-based bilateral ad-valorem equivalent estimates of non-tariff measures</w:t>
        </w:r>
      </w:hyperlink>
      <w:r w:rsidRPr="00AC7317">
        <w:rPr>
          <w:rFonts w:ascii="Times New Roman" w:hAnsi="Times New Roman" w:cs="Times New Roman"/>
        </w:rPr>
        <w:t>.” </w:t>
      </w:r>
      <w:r w:rsidRPr="00AC7317">
        <w:rPr>
          <w:rFonts w:ascii="Times New Roman" w:hAnsi="Times New Roman" w:cs="Times New Roman"/>
          <w:i/>
          <w:iCs/>
        </w:rPr>
        <w:t>Journal of Global Economic Analysis</w:t>
      </w:r>
      <w:r w:rsidRPr="00AC7317">
        <w:rPr>
          <w:rFonts w:ascii="Times New Roman" w:hAnsi="Times New Roman" w:cs="Times New Roman"/>
        </w:rPr>
        <w:t>.</w:t>
      </w:r>
    </w:p>
    <w:p w14:paraId="77953E5C" w14:textId="44F4A4A4" w:rsidR="002E6A0D" w:rsidRPr="00AC7317" w:rsidRDefault="00F96466" w:rsidP="00216BA2">
      <w:pPr>
        <w:pStyle w:val="Bibliography"/>
        <w:spacing w:line="480" w:lineRule="auto"/>
        <w:jc w:val="both"/>
        <w:rPr>
          <w:rFonts w:ascii="Times New Roman" w:hAnsi="Times New Roman" w:cs="Times New Roman"/>
        </w:rPr>
      </w:pPr>
      <w:r w:rsidRPr="00AC7317">
        <w:rPr>
          <w:rFonts w:ascii="Times New Roman" w:hAnsi="Times New Roman" w:cs="Times New Roman"/>
        </w:rPr>
        <w:t xml:space="preserve">Larch, M., S. </w:t>
      </w:r>
      <w:proofErr w:type="spellStart"/>
      <w:r w:rsidRPr="00AC7317">
        <w:rPr>
          <w:rFonts w:ascii="Times New Roman" w:hAnsi="Times New Roman" w:cs="Times New Roman"/>
        </w:rPr>
        <w:t>Shikher</w:t>
      </w:r>
      <w:proofErr w:type="spellEnd"/>
      <w:r w:rsidRPr="00AC7317">
        <w:rPr>
          <w:rFonts w:ascii="Times New Roman" w:hAnsi="Times New Roman" w:cs="Times New Roman"/>
        </w:rPr>
        <w:t xml:space="preserve">, and Y.V. Yotov. 2025. “The international trade and production database for estimation – release 3 (ITPD-e-R03).” No. 2025-06-A, U.S. International Trade Commission. Available at: </w:t>
      </w:r>
      <w:hyperlink r:id="rId56">
        <w:r w:rsidR="002E6A0D" w:rsidRPr="00AC7317">
          <w:rPr>
            <w:rStyle w:val="Hyperlink"/>
            <w:rFonts w:ascii="Times New Roman" w:hAnsi="Times New Roman" w:cs="Times New Roman"/>
          </w:rPr>
          <w:t>https://www.usitc.gov/publications/332/working_papers/itpd_e_r03.pdf</w:t>
        </w:r>
      </w:hyperlink>
      <w:r w:rsidRPr="00AC7317">
        <w:rPr>
          <w:rFonts w:ascii="Times New Roman" w:hAnsi="Times New Roman" w:cs="Times New Roman"/>
        </w:rPr>
        <w:t>.</w:t>
      </w:r>
    </w:p>
    <w:p w14:paraId="6F0B37C6" w14:textId="0EDFD3C3" w:rsidR="00D9179F" w:rsidRPr="00AC7317" w:rsidRDefault="00C6679B" w:rsidP="00216BA2">
      <w:pPr>
        <w:pStyle w:val="Bibliography"/>
        <w:spacing w:line="480" w:lineRule="auto"/>
        <w:jc w:val="both"/>
        <w:rPr>
          <w:rFonts w:ascii="Times New Roman" w:hAnsi="Times New Roman" w:cs="Times New Roman"/>
        </w:rPr>
      </w:pPr>
      <w:r w:rsidRPr="00AC7317">
        <w:rPr>
          <w:rFonts w:ascii="Times New Roman" w:hAnsi="Times New Roman" w:cs="Times New Roman"/>
        </w:rPr>
        <w:t>Larch, M., S. Tan, and Y. Yotov. 2021. “</w:t>
      </w:r>
      <w:hyperlink r:id="rId57" w:history="1">
        <w:r w:rsidRPr="00AC7317">
          <w:rPr>
            <w:rStyle w:val="Hyperlink"/>
            <w:rFonts w:ascii="Times New Roman" w:hAnsi="Times New Roman" w:cs="Times New Roman"/>
          </w:rPr>
          <w:t>A simple method to quantify the ex-ante effects of “</w:t>
        </w:r>
        <w:proofErr w:type="gramStart"/>
        <w:r w:rsidRPr="00AC7317">
          <w:rPr>
            <w:rStyle w:val="Hyperlink"/>
            <w:rFonts w:ascii="Times New Roman" w:hAnsi="Times New Roman" w:cs="Times New Roman"/>
          </w:rPr>
          <w:t>deep“ trade</w:t>
        </w:r>
        <w:proofErr w:type="gramEnd"/>
        <w:r w:rsidRPr="00AC7317">
          <w:rPr>
            <w:rStyle w:val="Hyperlink"/>
            <w:rFonts w:ascii="Times New Roman" w:hAnsi="Times New Roman" w:cs="Times New Roman"/>
          </w:rPr>
          <w:t xml:space="preserve"> liberalization and “</w:t>
        </w:r>
        <w:proofErr w:type="gramStart"/>
        <w:r w:rsidRPr="00AC7317">
          <w:rPr>
            <w:rStyle w:val="Hyperlink"/>
            <w:rFonts w:ascii="Times New Roman" w:hAnsi="Times New Roman" w:cs="Times New Roman"/>
          </w:rPr>
          <w:t>hard“ trade</w:t>
        </w:r>
        <w:proofErr w:type="gramEnd"/>
        <w:r w:rsidRPr="00AC7317">
          <w:rPr>
            <w:rStyle w:val="Hyperlink"/>
            <w:rFonts w:ascii="Times New Roman" w:hAnsi="Times New Roman" w:cs="Times New Roman"/>
          </w:rPr>
          <w:t xml:space="preserve"> protection</w:t>
        </w:r>
      </w:hyperlink>
      <w:r w:rsidRPr="00AC7317">
        <w:rPr>
          <w:rFonts w:ascii="Times New Roman" w:hAnsi="Times New Roman" w:cs="Times New Roman"/>
        </w:rPr>
        <w:t>.” </w:t>
      </w:r>
      <w:proofErr w:type="spellStart"/>
      <w:r w:rsidRPr="00AC7317">
        <w:rPr>
          <w:rFonts w:ascii="Times New Roman" w:hAnsi="Times New Roman" w:cs="Times New Roman"/>
          <w:i/>
          <w:iCs/>
        </w:rPr>
        <w:t>CESifo</w:t>
      </w:r>
      <w:proofErr w:type="spellEnd"/>
      <w:r w:rsidRPr="00AC7317">
        <w:rPr>
          <w:rFonts w:ascii="Times New Roman" w:hAnsi="Times New Roman" w:cs="Times New Roman"/>
          <w:i/>
          <w:iCs/>
        </w:rPr>
        <w:t xml:space="preserve"> Working Paper Series</w:t>
      </w:r>
      <w:r w:rsidRPr="00AC7317">
        <w:rPr>
          <w:rFonts w:ascii="Times New Roman" w:hAnsi="Times New Roman" w:cs="Times New Roman"/>
        </w:rPr>
        <w:t>.</w:t>
      </w:r>
    </w:p>
    <w:p w14:paraId="3386522C" w14:textId="77777777" w:rsidR="002E6A0D" w:rsidRPr="00AC7317" w:rsidRDefault="00F96466" w:rsidP="00216BA2">
      <w:pPr>
        <w:pStyle w:val="Bibliography"/>
        <w:spacing w:line="480" w:lineRule="auto"/>
        <w:jc w:val="both"/>
        <w:rPr>
          <w:rFonts w:ascii="Times New Roman" w:hAnsi="Times New Roman" w:cs="Times New Roman"/>
        </w:rPr>
      </w:pPr>
      <w:bookmarkStart w:id="65" w:name="ref-larch2017"/>
      <w:bookmarkEnd w:id="64"/>
      <w:r w:rsidRPr="00AC7317">
        <w:rPr>
          <w:rFonts w:ascii="Times New Roman" w:hAnsi="Times New Roman" w:cs="Times New Roman"/>
        </w:rPr>
        <w:t xml:space="preserve">Larch, M., and J. </w:t>
      </w:r>
      <w:proofErr w:type="spellStart"/>
      <w:r w:rsidRPr="00AC7317">
        <w:rPr>
          <w:rFonts w:ascii="Times New Roman" w:hAnsi="Times New Roman" w:cs="Times New Roman"/>
        </w:rPr>
        <w:t>Wanner</w:t>
      </w:r>
      <w:proofErr w:type="spellEnd"/>
      <w:r w:rsidRPr="00AC7317">
        <w:rPr>
          <w:rFonts w:ascii="Times New Roman" w:hAnsi="Times New Roman" w:cs="Times New Roman"/>
        </w:rPr>
        <w:t>. 2017. “</w:t>
      </w:r>
      <w:hyperlink r:id="rId58">
        <w:r w:rsidR="002E6A0D" w:rsidRPr="00AC7317">
          <w:rPr>
            <w:rStyle w:val="Hyperlink"/>
            <w:rFonts w:ascii="Times New Roman" w:hAnsi="Times New Roman" w:cs="Times New Roman"/>
          </w:rPr>
          <w:t>Carbon tariffs: An analysis of the trade, welfare, and emission effects</w:t>
        </w:r>
      </w:hyperlink>
      <w:r w:rsidRPr="00AC7317">
        <w:rPr>
          <w:rFonts w:ascii="Times New Roman" w:hAnsi="Times New Roman" w:cs="Times New Roman"/>
        </w:rPr>
        <w:t xml:space="preserve">.” </w:t>
      </w:r>
      <w:r w:rsidRPr="00AC7317">
        <w:rPr>
          <w:rFonts w:ascii="Times New Roman" w:hAnsi="Times New Roman" w:cs="Times New Roman"/>
          <w:i/>
          <w:iCs/>
        </w:rPr>
        <w:t>Journal of International Economics</w:t>
      </w:r>
      <w:r w:rsidRPr="00AC7317">
        <w:rPr>
          <w:rFonts w:ascii="Times New Roman" w:hAnsi="Times New Roman" w:cs="Times New Roman"/>
        </w:rPr>
        <w:t xml:space="preserve"> 109:195–213.</w:t>
      </w:r>
    </w:p>
    <w:p w14:paraId="430B3A7A" w14:textId="77777777" w:rsidR="002E6A0D" w:rsidRPr="00AC7317" w:rsidRDefault="00F96466" w:rsidP="00216BA2">
      <w:pPr>
        <w:pStyle w:val="Bibliography"/>
        <w:spacing w:line="480" w:lineRule="auto"/>
        <w:jc w:val="both"/>
        <w:rPr>
          <w:rFonts w:ascii="Times New Roman" w:hAnsi="Times New Roman" w:cs="Times New Roman"/>
        </w:rPr>
      </w:pPr>
      <w:bookmarkStart w:id="66" w:name="ref-li2012"/>
      <w:bookmarkEnd w:id="65"/>
      <w:r w:rsidRPr="00AC7317">
        <w:rPr>
          <w:rFonts w:ascii="Times New Roman" w:hAnsi="Times New Roman" w:cs="Times New Roman"/>
        </w:rPr>
        <w:t>Li, Y., and J.C. Beghin. 2012. “</w:t>
      </w:r>
      <w:hyperlink r:id="rId59">
        <w:r w:rsidR="002E6A0D" w:rsidRPr="00AC7317">
          <w:rPr>
            <w:rStyle w:val="Hyperlink"/>
            <w:rFonts w:ascii="Times New Roman" w:hAnsi="Times New Roman" w:cs="Times New Roman"/>
          </w:rPr>
          <w:t>A meta-analysis of estimates of the impact of technical barriers to trade</w:t>
        </w:r>
      </w:hyperlink>
      <w:r w:rsidRPr="00AC7317">
        <w:rPr>
          <w:rFonts w:ascii="Times New Roman" w:hAnsi="Times New Roman" w:cs="Times New Roman"/>
        </w:rPr>
        <w:t xml:space="preserve">.” </w:t>
      </w:r>
      <w:r w:rsidRPr="00AC7317">
        <w:rPr>
          <w:rFonts w:ascii="Times New Roman" w:hAnsi="Times New Roman" w:cs="Times New Roman"/>
          <w:i/>
          <w:iCs/>
        </w:rPr>
        <w:t>Journal of Policy Modeling</w:t>
      </w:r>
      <w:r w:rsidRPr="00AC7317">
        <w:rPr>
          <w:rFonts w:ascii="Times New Roman" w:hAnsi="Times New Roman" w:cs="Times New Roman"/>
        </w:rPr>
        <w:t xml:space="preserve"> 34(3):497–511.</w:t>
      </w:r>
    </w:p>
    <w:p w14:paraId="20CF21A7" w14:textId="77777777" w:rsidR="002E6A0D" w:rsidRPr="00AC7317" w:rsidRDefault="00F96466" w:rsidP="00216BA2">
      <w:pPr>
        <w:pStyle w:val="Bibliography"/>
        <w:spacing w:line="480" w:lineRule="auto"/>
        <w:jc w:val="both"/>
        <w:rPr>
          <w:rFonts w:ascii="Times New Roman" w:hAnsi="Times New Roman" w:cs="Times New Roman"/>
        </w:rPr>
      </w:pPr>
      <w:bookmarkStart w:id="67" w:name="ref-muradian2025"/>
      <w:bookmarkEnd w:id="66"/>
      <w:r w:rsidRPr="00AC7317">
        <w:rPr>
          <w:rFonts w:ascii="Times New Roman" w:hAnsi="Times New Roman" w:cs="Times New Roman"/>
        </w:rPr>
        <w:t xml:space="preserve">Muradian, R., R. </w:t>
      </w:r>
      <w:proofErr w:type="spellStart"/>
      <w:r w:rsidRPr="00AC7317">
        <w:rPr>
          <w:rFonts w:ascii="Times New Roman" w:hAnsi="Times New Roman" w:cs="Times New Roman"/>
        </w:rPr>
        <w:t>Cahyafitri</w:t>
      </w:r>
      <w:proofErr w:type="spellEnd"/>
      <w:r w:rsidRPr="00AC7317">
        <w:rPr>
          <w:rFonts w:ascii="Times New Roman" w:hAnsi="Times New Roman" w:cs="Times New Roman"/>
        </w:rPr>
        <w:t xml:space="preserve">, T. Ferrando, C. </w:t>
      </w:r>
      <w:proofErr w:type="spellStart"/>
      <w:r w:rsidRPr="00AC7317">
        <w:rPr>
          <w:rFonts w:ascii="Times New Roman" w:hAnsi="Times New Roman" w:cs="Times New Roman"/>
        </w:rPr>
        <w:t>Grottera</w:t>
      </w:r>
      <w:proofErr w:type="spellEnd"/>
      <w:r w:rsidRPr="00AC7317">
        <w:rPr>
          <w:rFonts w:ascii="Times New Roman" w:hAnsi="Times New Roman" w:cs="Times New Roman"/>
        </w:rPr>
        <w:t xml:space="preserve">, L. Jardim-Wanderley, T. Krause, N.I. Kurniawan, L. Loft, T. </w:t>
      </w:r>
      <w:proofErr w:type="spellStart"/>
      <w:r w:rsidRPr="00AC7317">
        <w:rPr>
          <w:rFonts w:ascii="Times New Roman" w:hAnsi="Times New Roman" w:cs="Times New Roman"/>
        </w:rPr>
        <w:t>Nurshafira</w:t>
      </w:r>
      <w:proofErr w:type="spellEnd"/>
      <w:r w:rsidRPr="00AC7317">
        <w:rPr>
          <w:rFonts w:ascii="Times New Roman" w:hAnsi="Times New Roman" w:cs="Times New Roman"/>
        </w:rPr>
        <w:t xml:space="preserve">, D. </w:t>
      </w:r>
      <w:proofErr w:type="spellStart"/>
      <w:r w:rsidRPr="00AC7317">
        <w:rPr>
          <w:rFonts w:ascii="Times New Roman" w:hAnsi="Times New Roman" w:cs="Times New Roman"/>
        </w:rPr>
        <w:t>Prabawati-Suwito</w:t>
      </w:r>
      <w:proofErr w:type="spellEnd"/>
      <w:r w:rsidRPr="00AC7317">
        <w:rPr>
          <w:rFonts w:ascii="Times New Roman" w:hAnsi="Times New Roman" w:cs="Times New Roman"/>
        </w:rPr>
        <w:t xml:space="preserve">, D. </w:t>
      </w:r>
      <w:proofErr w:type="spellStart"/>
      <w:r w:rsidRPr="00AC7317">
        <w:rPr>
          <w:rFonts w:ascii="Times New Roman" w:hAnsi="Times New Roman" w:cs="Times New Roman"/>
        </w:rPr>
        <w:t>Prasongko</w:t>
      </w:r>
      <w:proofErr w:type="spellEnd"/>
      <w:r w:rsidRPr="00AC7317">
        <w:rPr>
          <w:rFonts w:ascii="Times New Roman" w:hAnsi="Times New Roman" w:cs="Times New Roman"/>
        </w:rPr>
        <w:t>, P.A. Sanchez-Garcia, B. Schröter, and D. Vela-Almeida. 2025. “</w:t>
      </w:r>
      <w:hyperlink r:id="rId60">
        <w:r w:rsidR="002E6A0D" w:rsidRPr="00AC7317">
          <w:rPr>
            <w:rStyle w:val="Hyperlink"/>
            <w:rFonts w:ascii="Times New Roman" w:hAnsi="Times New Roman" w:cs="Times New Roman"/>
          </w:rPr>
          <w:t>Will the EU deforestation-free products regulation (EUDR) reduce tropical forest loss? Insights from three producer countries</w:t>
        </w:r>
      </w:hyperlink>
      <w:r w:rsidRPr="00AC7317">
        <w:rPr>
          <w:rFonts w:ascii="Times New Roman" w:hAnsi="Times New Roman" w:cs="Times New Roman"/>
        </w:rPr>
        <w:t xml:space="preserve">.” </w:t>
      </w:r>
      <w:r w:rsidRPr="00AC7317">
        <w:rPr>
          <w:rFonts w:ascii="Times New Roman" w:hAnsi="Times New Roman" w:cs="Times New Roman"/>
          <w:i/>
          <w:iCs/>
        </w:rPr>
        <w:t>Ecological Economics</w:t>
      </w:r>
      <w:r w:rsidRPr="00AC7317">
        <w:rPr>
          <w:rFonts w:ascii="Times New Roman" w:hAnsi="Times New Roman" w:cs="Times New Roman"/>
        </w:rPr>
        <w:t xml:space="preserve"> 227:108389.</w:t>
      </w:r>
    </w:p>
    <w:p w14:paraId="454ADA83" w14:textId="77777777" w:rsidR="002E6A0D" w:rsidRPr="00AC7317" w:rsidRDefault="00F96466" w:rsidP="00216BA2">
      <w:pPr>
        <w:pStyle w:val="Bibliography"/>
        <w:spacing w:line="480" w:lineRule="auto"/>
        <w:jc w:val="both"/>
        <w:rPr>
          <w:rFonts w:ascii="Times New Roman" w:hAnsi="Times New Roman" w:cs="Times New Roman"/>
        </w:rPr>
      </w:pPr>
      <w:bookmarkStart w:id="68" w:name="ref-vannoordwijk2025"/>
      <w:bookmarkEnd w:id="67"/>
      <w:r w:rsidRPr="00AC7317">
        <w:rPr>
          <w:rFonts w:ascii="Times New Roman" w:hAnsi="Times New Roman" w:cs="Times New Roman"/>
        </w:rPr>
        <w:lastRenderedPageBreak/>
        <w:t xml:space="preserve">Noordwijk, M. van, B. </w:t>
      </w:r>
      <w:proofErr w:type="spellStart"/>
      <w:r w:rsidRPr="00AC7317">
        <w:rPr>
          <w:rFonts w:ascii="Times New Roman" w:hAnsi="Times New Roman" w:cs="Times New Roman"/>
        </w:rPr>
        <w:t>Leimona</w:t>
      </w:r>
      <w:proofErr w:type="spellEnd"/>
      <w:r w:rsidRPr="00AC7317">
        <w:rPr>
          <w:rFonts w:ascii="Times New Roman" w:hAnsi="Times New Roman" w:cs="Times New Roman"/>
        </w:rPr>
        <w:t xml:space="preserve">, and P.A. </w:t>
      </w:r>
      <w:proofErr w:type="spellStart"/>
      <w:r w:rsidRPr="00AC7317">
        <w:rPr>
          <w:rFonts w:ascii="Times New Roman" w:hAnsi="Times New Roman" w:cs="Times New Roman"/>
        </w:rPr>
        <w:t>Minang</w:t>
      </w:r>
      <w:proofErr w:type="spellEnd"/>
      <w:r w:rsidRPr="00AC7317">
        <w:rPr>
          <w:rFonts w:ascii="Times New Roman" w:hAnsi="Times New Roman" w:cs="Times New Roman"/>
        </w:rPr>
        <w:t>. 2025. “</w:t>
      </w:r>
      <w:hyperlink r:id="rId61">
        <w:r w:rsidR="002E6A0D" w:rsidRPr="00AC7317">
          <w:rPr>
            <w:rStyle w:val="Hyperlink"/>
            <w:rFonts w:ascii="Times New Roman" w:hAnsi="Times New Roman" w:cs="Times New Roman"/>
          </w:rPr>
          <w:t xml:space="preserve">The European deforestation-free trade regulation: Collateral damage to </w:t>
        </w:r>
        <w:proofErr w:type="spellStart"/>
        <w:r w:rsidR="002E6A0D" w:rsidRPr="00AC7317">
          <w:rPr>
            <w:rStyle w:val="Hyperlink"/>
            <w:rFonts w:ascii="Times New Roman" w:hAnsi="Times New Roman" w:cs="Times New Roman"/>
          </w:rPr>
          <w:t>agroforesters</w:t>
        </w:r>
        <w:proofErr w:type="spellEnd"/>
        <w:r w:rsidR="002E6A0D" w:rsidRPr="00AC7317">
          <w:rPr>
            <w:rStyle w:val="Hyperlink"/>
            <w:rFonts w:ascii="Times New Roman" w:hAnsi="Times New Roman" w:cs="Times New Roman"/>
          </w:rPr>
          <w:t>?</w:t>
        </w:r>
      </w:hyperlink>
      <w:r w:rsidRPr="00AC7317">
        <w:rPr>
          <w:rFonts w:ascii="Times New Roman" w:hAnsi="Times New Roman" w:cs="Times New Roman"/>
        </w:rPr>
        <w:t xml:space="preserve">” </w:t>
      </w:r>
      <w:r w:rsidRPr="00AC7317">
        <w:rPr>
          <w:rFonts w:ascii="Times New Roman" w:hAnsi="Times New Roman" w:cs="Times New Roman"/>
          <w:i/>
          <w:iCs/>
        </w:rPr>
        <w:t>Current Opinion in Environmental Sustainability</w:t>
      </w:r>
      <w:r w:rsidRPr="00AC7317">
        <w:rPr>
          <w:rFonts w:ascii="Times New Roman" w:hAnsi="Times New Roman" w:cs="Times New Roman"/>
        </w:rPr>
        <w:t xml:space="preserve"> 72:101505.</w:t>
      </w:r>
    </w:p>
    <w:p w14:paraId="63AD9B12" w14:textId="77777777" w:rsidR="002E6A0D" w:rsidRPr="00AC7317" w:rsidRDefault="00F96466" w:rsidP="00216BA2">
      <w:pPr>
        <w:pStyle w:val="Bibliography"/>
        <w:spacing w:line="480" w:lineRule="auto"/>
        <w:jc w:val="both"/>
        <w:rPr>
          <w:rFonts w:ascii="Times New Roman" w:hAnsi="Times New Roman" w:cs="Times New Roman"/>
        </w:rPr>
      </w:pPr>
      <w:bookmarkStart w:id="69" w:name="ref-deoliveira2024"/>
      <w:bookmarkEnd w:id="68"/>
      <w:r w:rsidRPr="00AC7317">
        <w:rPr>
          <w:rFonts w:ascii="Times New Roman" w:hAnsi="Times New Roman" w:cs="Times New Roman"/>
        </w:rPr>
        <w:t>Oliveira, S.E.C. de, L. Nakagawa, G.R. Lopes, J.C. Visentin, M. Couto, D.E. Silva, and C. West. 2024. “</w:t>
      </w:r>
      <w:hyperlink r:id="rId62">
        <w:r w:rsidR="002E6A0D" w:rsidRPr="00AC7317">
          <w:rPr>
            <w:rStyle w:val="Hyperlink"/>
            <w:rFonts w:ascii="Times New Roman" w:hAnsi="Times New Roman" w:cs="Times New Roman"/>
          </w:rPr>
          <w:t>The European Union and United Kingdom’s deforestation-free supply chains regulations: Implications for Brazil</w:t>
        </w:r>
      </w:hyperlink>
      <w:r w:rsidRPr="00AC7317">
        <w:rPr>
          <w:rFonts w:ascii="Times New Roman" w:hAnsi="Times New Roman" w:cs="Times New Roman"/>
        </w:rPr>
        <w:t xml:space="preserve">.” </w:t>
      </w:r>
      <w:r w:rsidRPr="00AC7317">
        <w:rPr>
          <w:rFonts w:ascii="Times New Roman" w:hAnsi="Times New Roman" w:cs="Times New Roman"/>
          <w:i/>
          <w:iCs/>
        </w:rPr>
        <w:t>Ecological Economics</w:t>
      </w:r>
      <w:r w:rsidRPr="00AC7317">
        <w:rPr>
          <w:rFonts w:ascii="Times New Roman" w:hAnsi="Times New Roman" w:cs="Times New Roman"/>
        </w:rPr>
        <w:t xml:space="preserve"> 217:108053.</w:t>
      </w:r>
    </w:p>
    <w:p w14:paraId="1622E652" w14:textId="77777777" w:rsidR="002E6A0D" w:rsidRPr="00AC7317" w:rsidRDefault="00F96466" w:rsidP="00216BA2">
      <w:pPr>
        <w:pStyle w:val="Bibliography"/>
        <w:spacing w:line="480" w:lineRule="auto"/>
        <w:jc w:val="both"/>
        <w:rPr>
          <w:rFonts w:ascii="Times New Roman" w:hAnsi="Times New Roman" w:cs="Times New Roman"/>
        </w:rPr>
      </w:pPr>
      <w:bookmarkStart w:id="70" w:name="ref-pendrill2022"/>
      <w:bookmarkEnd w:id="69"/>
      <w:proofErr w:type="spellStart"/>
      <w:r w:rsidRPr="00AC7317">
        <w:rPr>
          <w:rFonts w:ascii="Times New Roman" w:hAnsi="Times New Roman" w:cs="Times New Roman"/>
        </w:rPr>
        <w:t>Pendrill</w:t>
      </w:r>
      <w:proofErr w:type="spellEnd"/>
      <w:r w:rsidRPr="00AC7317">
        <w:rPr>
          <w:rFonts w:ascii="Times New Roman" w:hAnsi="Times New Roman" w:cs="Times New Roman"/>
        </w:rPr>
        <w:t xml:space="preserve">, F., U.M. Persson, T. Kastner, and R. Wood. 2022. “Deforestation risk embodied in production and consumption of agricultural and forestry commodities 2005-2018 (version 1.1) [dataset].” Available at: </w:t>
      </w:r>
      <w:hyperlink r:id="rId63">
        <w:r w:rsidR="002E6A0D" w:rsidRPr="00AC7317">
          <w:rPr>
            <w:rStyle w:val="Hyperlink"/>
            <w:rFonts w:ascii="Times New Roman" w:hAnsi="Times New Roman" w:cs="Times New Roman"/>
          </w:rPr>
          <w:t>https://doi.org/10.5281/ZENODO.5886600</w:t>
        </w:r>
      </w:hyperlink>
      <w:r w:rsidRPr="00AC7317">
        <w:rPr>
          <w:rFonts w:ascii="Times New Roman" w:hAnsi="Times New Roman" w:cs="Times New Roman"/>
        </w:rPr>
        <w:t>.</w:t>
      </w:r>
    </w:p>
    <w:p w14:paraId="53EA9707" w14:textId="77777777" w:rsidR="002E6A0D" w:rsidRPr="00AC7317" w:rsidRDefault="00F96466" w:rsidP="00216BA2">
      <w:pPr>
        <w:pStyle w:val="Bibliography"/>
        <w:spacing w:line="480" w:lineRule="auto"/>
        <w:jc w:val="both"/>
        <w:rPr>
          <w:rFonts w:ascii="Times New Roman" w:hAnsi="Times New Roman" w:cs="Times New Roman"/>
        </w:rPr>
      </w:pPr>
      <w:bookmarkStart w:id="71" w:name="ref-persson2024"/>
      <w:bookmarkEnd w:id="70"/>
      <w:r w:rsidRPr="00AC7317">
        <w:rPr>
          <w:rFonts w:ascii="Times New Roman" w:hAnsi="Times New Roman" w:cs="Times New Roman"/>
        </w:rPr>
        <w:t>Persson, M., C. Singh, O. Pereira, and H. Bellfield. 2024. “</w:t>
      </w:r>
      <w:proofErr w:type="spellStart"/>
      <w:r w:rsidRPr="00AC7317">
        <w:rPr>
          <w:rFonts w:ascii="Times New Roman" w:hAnsi="Times New Roman" w:cs="Times New Roman"/>
        </w:rPr>
        <w:t>DeDuCE</w:t>
      </w:r>
      <w:proofErr w:type="spellEnd"/>
      <w:r w:rsidRPr="00AC7317">
        <w:rPr>
          <w:rFonts w:ascii="Times New Roman" w:hAnsi="Times New Roman" w:cs="Times New Roman"/>
        </w:rPr>
        <w:t xml:space="preserve">: New data to inform action against commodity-driven deforestation.” Available at: </w:t>
      </w:r>
      <w:hyperlink r:id="rId64">
        <w:r w:rsidR="002E6A0D" w:rsidRPr="00AC7317">
          <w:rPr>
            <w:rStyle w:val="Hyperlink"/>
            <w:rFonts w:ascii="Times New Roman" w:hAnsi="Times New Roman" w:cs="Times New Roman"/>
          </w:rPr>
          <w:t>https://trase.earth/insights/deduce-new-data-to-inform-action-against-commodity-driven-deforestation</w:t>
        </w:r>
      </w:hyperlink>
      <w:r w:rsidRPr="00AC7317">
        <w:rPr>
          <w:rFonts w:ascii="Times New Roman" w:hAnsi="Times New Roman" w:cs="Times New Roman"/>
        </w:rPr>
        <w:t>.</w:t>
      </w:r>
    </w:p>
    <w:p w14:paraId="69B0CD12" w14:textId="77777777" w:rsidR="002E6A0D" w:rsidRPr="00AC7317" w:rsidRDefault="00F96466" w:rsidP="00216BA2">
      <w:pPr>
        <w:pStyle w:val="Bibliography"/>
        <w:spacing w:line="480" w:lineRule="auto"/>
        <w:jc w:val="both"/>
        <w:rPr>
          <w:rFonts w:ascii="Times New Roman" w:hAnsi="Times New Roman" w:cs="Times New Roman"/>
        </w:rPr>
      </w:pPr>
      <w:bookmarkStart w:id="72" w:name="ref-rabobank2023"/>
      <w:bookmarkEnd w:id="71"/>
      <w:r w:rsidRPr="00AC7317">
        <w:rPr>
          <w:rFonts w:ascii="Times New Roman" w:hAnsi="Times New Roman" w:cs="Times New Roman"/>
        </w:rPr>
        <w:t xml:space="preserve">Rabobank. 2023. “The EU deforestation regulation is a complex and costly undertaking.” Rabobank. Available at: </w:t>
      </w:r>
      <w:hyperlink r:id="rId65">
        <w:r w:rsidR="002E6A0D" w:rsidRPr="00AC7317">
          <w:rPr>
            <w:rStyle w:val="Hyperlink"/>
            <w:rFonts w:ascii="Times New Roman" w:hAnsi="Times New Roman" w:cs="Times New Roman"/>
          </w:rPr>
          <w:t>https://media.rabobank.com/m/49f1008d03f026ea/original/The-EU-Deforestation-Regulation-is-a-complex-and-costly-undertaking.pdf</w:t>
        </w:r>
      </w:hyperlink>
      <w:r w:rsidRPr="00AC7317">
        <w:rPr>
          <w:rFonts w:ascii="Times New Roman" w:hAnsi="Times New Roman" w:cs="Times New Roman"/>
        </w:rPr>
        <w:t>.</w:t>
      </w:r>
    </w:p>
    <w:p w14:paraId="3EB80A19" w14:textId="77777777" w:rsidR="002E6A0D" w:rsidRPr="00AC7317" w:rsidRDefault="00F96466" w:rsidP="00216BA2">
      <w:pPr>
        <w:pStyle w:val="Bibliography"/>
        <w:spacing w:line="480" w:lineRule="auto"/>
        <w:jc w:val="both"/>
        <w:rPr>
          <w:rFonts w:ascii="Times New Roman" w:hAnsi="Times New Roman" w:cs="Times New Roman"/>
        </w:rPr>
      </w:pPr>
      <w:bookmarkStart w:id="73" w:name="ref-ridley2024effectiveness"/>
      <w:bookmarkEnd w:id="72"/>
      <w:r w:rsidRPr="00AC7317">
        <w:rPr>
          <w:rFonts w:ascii="Times New Roman" w:hAnsi="Times New Roman" w:cs="Times New Roman"/>
        </w:rPr>
        <w:t xml:space="preserve">Ridley, W., and F. Shirin. 2024. “The effectiveness of development-oriented nonreciprocal trade preferences in promoting agricultural trade.” </w:t>
      </w:r>
      <w:r w:rsidRPr="00AC7317">
        <w:rPr>
          <w:rFonts w:ascii="Times New Roman" w:hAnsi="Times New Roman" w:cs="Times New Roman"/>
          <w:i/>
          <w:iCs/>
        </w:rPr>
        <w:t>American Journal of Agricultural Economics</w:t>
      </w:r>
      <w:r w:rsidRPr="00AC7317">
        <w:rPr>
          <w:rFonts w:ascii="Times New Roman" w:hAnsi="Times New Roman" w:cs="Times New Roman"/>
        </w:rPr>
        <w:t xml:space="preserve">. Available at: </w:t>
      </w:r>
      <w:hyperlink r:id="rId66">
        <w:r w:rsidR="002E6A0D" w:rsidRPr="00AC7317">
          <w:rPr>
            <w:rStyle w:val="Hyperlink"/>
            <w:rFonts w:ascii="Times New Roman" w:hAnsi="Times New Roman" w:cs="Times New Roman"/>
          </w:rPr>
          <w:t>https://doi.org/10.1111/ajae.12486</w:t>
        </w:r>
      </w:hyperlink>
      <w:r w:rsidRPr="00AC7317">
        <w:rPr>
          <w:rFonts w:ascii="Times New Roman" w:hAnsi="Times New Roman" w:cs="Times New Roman"/>
        </w:rPr>
        <w:t>.</w:t>
      </w:r>
    </w:p>
    <w:p w14:paraId="356843C3" w14:textId="77777777" w:rsidR="002E6A0D" w:rsidRPr="00AC7317" w:rsidRDefault="00F96466" w:rsidP="00216BA2">
      <w:pPr>
        <w:pStyle w:val="Bibliography"/>
        <w:spacing w:line="480" w:lineRule="auto"/>
        <w:jc w:val="both"/>
        <w:rPr>
          <w:rFonts w:ascii="Times New Roman" w:hAnsi="Times New Roman" w:cs="Times New Roman"/>
        </w:rPr>
      </w:pPr>
      <w:bookmarkStart w:id="74" w:name="ref-santeramo2019"/>
      <w:bookmarkEnd w:id="73"/>
      <w:r w:rsidRPr="00AC7317">
        <w:rPr>
          <w:rFonts w:ascii="Times New Roman" w:hAnsi="Times New Roman" w:cs="Times New Roman"/>
          <w:lang w:val="es-ES"/>
        </w:rPr>
        <w:t xml:space="preserve">Santeramo, F.G., and E. Lamonaca. </w:t>
      </w:r>
      <w:r w:rsidRPr="00AC7317">
        <w:rPr>
          <w:rFonts w:ascii="Times New Roman" w:hAnsi="Times New Roman" w:cs="Times New Roman"/>
        </w:rPr>
        <w:t>2019. “</w:t>
      </w:r>
      <w:hyperlink r:id="rId67">
        <w:r w:rsidR="002E6A0D" w:rsidRPr="00AC7317">
          <w:rPr>
            <w:rStyle w:val="Hyperlink"/>
            <w:rFonts w:ascii="Times New Roman" w:hAnsi="Times New Roman" w:cs="Times New Roman"/>
          </w:rPr>
          <w:t>The effects of non-tariff measures on agri-food trade: A review and meta-analysis of empirical evidence</w:t>
        </w:r>
      </w:hyperlink>
      <w:r w:rsidRPr="00AC7317">
        <w:rPr>
          <w:rFonts w:ascii="Times New Roman" w:hAnsi="Times New Roman" w:cs="Times New Roman"/>
        </w:rPr>
        <w:t xml:space="preserve">.” </w:t>
      </w:r>
      <w:r w:rsidRPr="00AC7317">
        <w:rPr>
          <w:rFonts w:ascii="Times New Roman" w:hAnsi="Times New Roman" w:cs="Times New Roman"/>
          <w:i/>
          <w:iCs/>
        </w:rPr>
        <w:t>Journal of Agricultural Economics</w:t>
      </w:r>
      <w:r w:rsidRPr="00AC7317">
        <w:rPr>
          <w:rFonts w:ascii="Times New Roman" w:hAnsi="Times New Roman" w:cs="Times New Roman"/>
        </w:rPr>
        <w:t xml:space="preserve"> 70(3):595–617.</w:t>
      </w:r>
    </w:p>
    <w:p w14:paraId="7BFC7224" w14:textId="77777777" w:rsidR="002E6A0D" w:rsidRPr="00AC7317" w:rsidRDefault="00F96466" w:rsidP="00216BA2">
      <w:pPr>
        <w:pStyle w:val="Bibliography"/>
        <w:spacing w:line="480" w:lineRule="auto"/>
        <w:jc w:val="both"/>
        <w:rPr>
          <w:rFonts w:ascii="Times New Roman" w:hAnsi="Times New Roman" w:cs="Times New Roman"/>
        </w:rPr>
      </w:pPr>
      <w:bookmarkStart w:id="75" w:name="ref-santeramo2025"/>
      <w:bookmarkEnd w:id="74"/>
      <w:r w:rsidRPr="00AC7317">
        <w:rPr>
          <w:rFonts w:ascii="Times New Roman" w:hAnsi="Times New Roman" w:cs="Times New Roman"/>
        </w:rPr>
        <w:lastRenderedPageBreak/>
        <w:t xml:space="preserve">Santeramo, F.G., E. Lamonaca, and C. </w:t>
      </w:r>
      <w:proofErr w:type="spellStart"/>
      <w:r w:rsidRPr="00AC7317">
        <w:rPr>
          <w:rFonts w:ascii="Times New Roman" w:hAnsi="Times New Roman" w:cs="Times New Roman"/>
        </w:rPr>
        <w:t>Emlinger</w:t>
      </w:r>
      <w:proofErr w:type="spellEnd"/>
      <w:r w:rsidRPr="00AC7317">
        <w:rPr>
          <w:rFonts w:ascii="Times New Roman" w:hAnsi="Times New Roman" w:cs="Times New Roman"/>
        </w:rPr>
        <w:t>. 2025. “</w:t>
      </w:r>
      <w:hyperlink r:id="rId68">
        <w:r w:rsidR="002E6A0D" w:rsidRPr="00AC7317">
          <w:rPr>
            <w:rStyle w:val="Hyperlink"/>
            <w:rFonts w:ascii="Times New Roman" w:hAnsi="Times New Roman" w:cs="Times New Roman"/>
          </w:rPr>
          <w:t>Technical measures, environmental protection, and trade</w:t>
        </w:r>
      </w:hyperlink>
      <w:r w:rsidRPr="00AC7317">
        <w:rPr>
          <w:rFonts w:ascii="Times New Roman" w:hAnsi="Times New Roman" w:cs="Times New Roman"/>
        </w:rPr>
        <w:t xml:space="preserve">.” </w:t>
      </w:r>
      <w:r w:rsidRPr="00AC7317">
        <w:rPr>
          <w:rFonts w:ascii="Times New Roman" w:hAnsi="Times New Roman" w:cs="Times New Roman"/>
          <w:i/>
          <w:iCs/>
        </w:rPr>
        <w:t>Review of International Economics</w:t>
      </w:r>
      <w:r w:rsidRPr="00AC7317">
        <w:rPr>
          <w:rFonts w:ascii="Times New Roman" w:hAnsi="Times New Roman" w:cs="Times New Roman"/>
        </w:rPr>
        <w:t xml:space="preserve"> 33(3):537–555.</w:t>
      </w:r>
    </w:p>
    <w:p w14:paraId="1EB3DB45" w14:textId="77777777" w:rsidR="002E6A0D" w:rsidRPr="00AC7317" w:rsidRDefault="00F96466" w:rsidP="00216BA2">
      <w:pPr>
        <w:pStyle w:val="Bibliography"/>
        <w:spacing w:line="480" w:lineRule="auto"/>
        <w:jc w:val="both"/>
        <w:rPr>
          <w:rFonts w:ascii="Times New Roman" w:hAnsi="Times New Roman" w:cs="Times New Roman"/>
        </w:rPr>
      </w:pPr>
      <w:bookmarkStart w:id="76" w:name="ref-shapiro2021"/>
      <w:bookmarkEnd w:id="75"/>
      <w:r w:rsidRPr="00AC7317">
        <w:rPr>
          <w:rFonts w:ascii="Times New Roman" w:hAnsi="Times New Roman" w:cs="Times New Roman"/>
        </w:rPr>
        <w:t>Shapiro, J.S. 2021. “</w:t>
      </w:r>
      <w:hyperlink r:id="rId69">
        <w:r w:rsidR="002E6A0D" w:rsidRPr="00AC7317">
          <w:rPr>
            <w:rStyle w:val="Hyperlink"/>
            <w:rFonts w:ascii="Times New Roman" w:hAnsi="Times New Roman" w:cs="Times New Roman"/>
          </w:rPr>
          <w:t>The environmental bias of trade policy</w:t>
        </w:r>
      </w:hyperlink>
      <w:r w:rsidRPr="00AC7317">
        <w:rPr>
          <w:rFonts w:ascii="Times New Roman" w:hAnsi="Times New Roman" w:cs="Times New Roman"/>
        </w:rPr>
        <w:t xml:space="preserve">.” </w:t>
      </w:r>
      <w:r w:rsidRPr="00AC7317">
        <w:rPr>
          <w:rFonts w:ascii="Times New Roman" w:hAnsi="Times New Roman" w:cs="Times New Roman"/>
          <w:i/>
          <w:iCs/>
        </w:rPr>
        <w:t>The Quarterly Journal of Economics</w:t>
      </w:r>
      <w:r w:rsidRPr="00AC7317">
        <w:rPr>
          <w:rFonts w:ascii="Times New Roman" w:hAnsi="Times New Roman" w:cs="Times New Roman"/>
        </w:rPr>
        <w:t xml:space="preserve"> 136(2):831–886.</w:t>
      </w:r>
    </w:p>
    <w:p w14:paraId="74EFBA35" w14:textId="77777777" w:rsidR="002E6A0D" w:rsidRPr="00AC7317" w:rsidRDefault="00F96466" w:rsidP="00216BA2">
      <w:pPr>
        <w:pStyle w:val="Bibliography"/>
        <w:spacing w:line="480" w:lineRule="auto"/>
        <w:jc w:val="both"/>
        <w:rPr>
          <w:rFonts w:ascii="Times New Roman" w:hAnsi="Times New Roman" w:cs="Times New Roman"/>
        </w:rPr>
      </w:pPr>
      <w:bookmarkStart w:id="77" w:name="ref-silva2006"/>
      <w:bookmarkEnd w:id="76"/>
      <w:r w:rsidRPr="00AC7317">
        <w:rPr>
          <w:rFonts w:ascii="Times New Roman" w:hAnsi="Times New Roman" w:cs="Times New Roman"/>
        </w:rPr>
        <w:t xml:space="preserve">Silva, J.M.C.S., and S. </w:t>
      </w:r>
      <w:proofErr w:type="spellStart"/>
      <w:r w:rsidRPr="00AC7317">
        <w:rPr>
          <w:rFonts w:ascii="Times New Roman" w:hAnsi="Times New Roman" w:cs="Times New Roman"/>
        </w:rPr>
        <w:t>Tenreyro</w:t>
      </w:r>
      <w:proofErr w:type="spellEnd"/>
      <w:r w:rsidRPr="00AC7317">
        <w:rPr>
          <w:rFonts w:ascii="Times New Roman" w:hAnsi="Times New Roman" w:cs="Times New Roman"/>
        </w:rPr>
        <w:t>. 2006. “</w:t>
      </w:r>
      <w:hyperlink r:id="rId70">
        <w:r w:rsidR="002E6A0D" w:rsidRPr="00AC7317">
          <w:rPr>
            <w:rStyle w:val="Hyperlink"/>
            <w:rFonts w:ascii="Times New Roman" w:hAnsi="Times New Roman" w:cs="Times New Roman"/>
          </w:rPr>
          <w:t>The log of gravity</w:t>
        </w:r>
      </w:hyperlink>
      <w:r w:rsidRPr="00AC7317">
        <w:rPr>
          <w:rFonts w:ascii="Times New Roman" w:hAnsi="Times New Roman" w:cs="Times New Roman"/>
        </w:rPr>
        <w:t xml:space="preserve">.” </w:t>
      </w:r>
      <w:r w:rsidRPr="00AC7317">
        <w:rPr>
          <w:rFonts w:ascii="Times New Roman" w:hAnsi="Times New Roman" w:cs="Times New Roman"/>
          <w:i/>
          <w:iCs/>
        </w:rPr>
        <w:t>The Review of Economics and Statistics</w:t>
      </w:r>
      <w:r w:rsidRPr="00AC7317">
        <w:rPr>
          <w:rFonts w:ascii="Times New Roman" w:hAnsi="Times New Roman" w:cs="Times New Roman"/>
        </w:rPr>
        <w:t xml:space="preserve"> 88(4):641–658.</w:t>
      </w:r>
    </w:p>
    <w:p w14:paraId="2BC782C9" w14:textId="77777777" w:rsidR="002E6A0D" w:rsidRPr="00AC7317" w:rsidRDefault="00F96466" w:rsidP="00216BA2">
      <w:pPr>
        <w:pStyle w:val="Bibliography"/>
        <w:spacing w:line="480" w:lineRule="auto"/>
        <w:jc w:val="both"/>
        <w:rPr>
          <w:rFonts w:ascii="Times New Roman" w:hAnsi="Times New Roman" w:cs="Times New Roman"/>
        </w:rPr>
      </w:pPr>
      <w:bookmarkStart w:id="78" w:name="ref-singh2024"/>
      <w:bookmarkEnd w:id="77"/>
      <w:r w:rsidRPr="00AC7317">
        <w:rPr>
          <w:rFonts w:ascii="Times New Roman" w:hAnsi="Times New Roman" w:cs="Times New Roman"/>
        </w:rPr>
        <w:t>Singh, C., and U.M. Persson. 2024. “</w:t>
      </w:r>
      <w:proofErr w:type="spellStart"/>
      <w:r w:rsidRPr="00AC7317">
        <w:rPr>
          <w:rFonts w:ascii="Times New Roman" w:hAnsi="Times New Roman" w:cs="Times New Roman"/>
        </w:rPr>
        <w:t>DeDuCE</w:t>
      </w:r>
      <w:proofErr w:type="spellEnd"/>
      <w:r w:rsidRPr="00AC7317">
        <w:rPr>
          <w:rFonts w:ascii="Times New Roman" w:hAnsi="Times New Roman" w:cs="Times New Roman"/>
        </w:rPr>
        <w:t xml:space="preserve">: Deforestation and carbon emissions due to agriculture and forestry activities from 2001-2022 (v1.0.1).” Available at: </w:t>
      </w:r>
      <w:hyperlink r:id="rId71">
        <w:r w:rsidR="002E6A0D" w:rsidRPr="00AC7317">
          <w:rPr>
            <w:rStyle w:val="Hyperlink"/>
            <w:rFonts w:ascii="Times New Roman" w:hAnsi="Times New Roman" w:cs="Times New Roman"/>
          </w:rPr>
          <w:t>https://doi.org/10.5281/zenodo.13624636</w:t>
        </w:r>
      </w:hyperlink>
      <w:r w:rsidRPr="00AC7317">
        <w:rPr>
          <w:rFonts w:ascii="Times New Roman" w:hAnsi="Times New Roman" w:cs="Times New Roman"/>
        </w:rPr>
        <w:t>.</w:t>
      </w:r>
    </w:p>
    <w:p w14:paraId="1FF1127E" w14:textId="77777777" w:rsidR="002E6A0D" w:rsidRDefault="00F96466" w:rsidP="00216BA2">
      <w:pPr>
        <w:pStyle w:val="Bibliography"/>
        <w:spacing w:line="480" w:lineRule="auto"/>
        <w:jc w:val="both"/>
        <w:rPr>
          <w:rFonts w:ascii="Times New Roman" w:hAnsi="Times New Roman" w:cs="Times New Roman"/>
        </w:rPr>
      </w:pPr>
      <w:bookmarkStart w:id="79" w:name="ref-song2021"/>
      <w:bookmarkEnd w:id="78"/>
      <w:r w:rsidRPr="00AC7317">
        <w:rPr>
          <w:rFonts w:ascii="Times New Roman" w:hAnsi="Times New Roman" w:cs="Times New Roman"/>
        </w:rPr>
        <w:t xml:space="preserve">Song, X.-P., M.C. Hansen, P. Potapov, B. Adusei, J. Pickering, M. Adami, A. Lima, V. </w:t>
      </w:r>
      <w:proofErr w:type="spellStart"/>
      <w:r w:rsidRPr="00AC7317">
        <w:rPr>
          <w:rFonts w:ascii="Times New Roman" w:hAnsi="Times New Roman" w:cs="Times New Roman"/>
        </w:rPr>
        <w:t>Zalles</w:t>
      </w:r>
      <w:proofErr w:type="spellEnd"/>
      <w:r w:rsidRPr="00AC7317">
        <w:rPr>
          <w:rFonts w:ascii="Times New Roman" w:hAnsi="Times New Roman" w:cs="Times New Roman"/>
        </w:rPr>
        <w:t xml:space="preserve">, S.V. Stehman, C.M. Di Bella, M.C. Conde, E.J. Copati, L.B. Fernandes, A. Hernandez-Serna, S.M. Jantz, A.H. Pickens, S. </w:t>
      </w:r>
      <w:proofErr w:type="spellStart"/>
      <w:r w:rsidRPr="00AC7317">
        <w:rPr>
          <w:rFonts w:ascii="Times New Roman" w:hAnsi="Times New Roman" w:cs="Times New Roman"/>
        </w:rPr>
        <w:t>Turubanova</w:t>
      </w:r>
      <w:proofErr w:type="spellEnd"/>
      <w:r w:rsidRPr="00AC7317">
        <w:rPr>
          <w:rFonts w:ascii="Times New Roman" w:hAnsi="Times New Roman" w:cs="Times New Roman"/>
        </w:rPr>
        <w:t xml:space="preserve">, and A. </w:t>
      </w:r>
      <w:proofErr w:type="spellStart"/>
      <w:r w:rsidRPr="00AC7317">
        <w:rPr>
          <w:rFonts w:ascii="Times New Roman" w:hAnsi="Times New Roman" w:cs="Times New Roman"/>
        </w:rPr>
        <w:t>Tyukavina</w:t>
      </w:r>
      <w:proofErr w:type="spellEnd"/>
      <w:r w:rsidRPr="00AC7317">
        <w:rPr>
          <w:rFonts w:ascii="Times New Roman" w:hAnsi="Times New Roman" w:cs="Times New Roman"/>
        </w:rPr>
        <w:t>. 2021. “</w:t>
      </w:r>
      <w:hyperlink r:id="rId72">
        <w:r w:rsidR="002E6A0D" w:rsidRPr="00AC7317">
          <w:rPr>
            <w:rStyle w:val="Hyperlink"/>
            <w:rFonts w:ascii="Times New Roman" w:hAnsi="Times New Roman" w:cs="Times New Roman"/>
          </w:rPr>
          <w:t xml:space="preserve">Massive soybean expansion in south </w:t>
        </w:r>
        <w:proofErr w:type="spellStart"/>
        <w:r w:rsidR="002E6A0D" w:rsidRPr="00AC7317">
          <w:rPr>
            <w:rStyle w:val="Hyperlink"/>
            <w:rFonts w:ascii="Times New Roman" w:hAnsi="Times New Roman" w:cs="Times New Roman"/>
          </w:rPr>
          <w:t>america</w:t>
        </w:r>
        <w:proofErr w:type="spellEnd"/>
        <w:r w:rsidR="002E6A0D" w:rsidRPr="00AC7317">
          <w:rPr>
            <w:rStyle w:val="Hyperlink"/>
            <w:rFonts w:ascii="Times New Roman" w:hAnsi="Times New Roman" w:cs="Times New Roman"/>
          </w:rPr>
          <w:t xml:space="preserve"> since 2000 and implications for conservation</w:t>
        </w:r>
      </w:hyperlink>
      <w:r w:rsidRPr="00AC7317">
        <w:rPr>
          <w:rFonts w:ascii="Times New Roman" w:hAnsi="Times New Roman" w:cs="Times New Roman"/>
        </w:rPr>
        <w:t xml:space="preserve">.” </w:t>
      </w:r>
      <w:r w:rsidRPr="00AC7317">
        <w:rPr>
          <w:rFonts w:ascii="Times New Roman" w:hAnsi="Times New Roman" w:cs="Times New Roman"/>
          <w:i/>
          <w:iCs/>
        </w:rPr>
        <w:t>Nature Sustainability</w:t>
      </w:r>
      <w:r w:rsidRPr="00AC7317">
        <w:rPr>
          <w:rFonts w:ascii="Times New Roman" w:hAnsi="Times New Roman" w:cs="Times New Roman"/>
        </w:rPr>
        <w:t xml:space="preserve"> 4(9).</w:t>
      </w:r>
    </w:p>
    <w:p w14:paraId="7E5F2B76" w14:textId="610DDE1D" w:rsidR="002E6A0D" w:rsidRPr="00AC7317" w:rsidRDefault="008E5909" w:rsidP="00216BA2">
      <w:pPr>
        <w:pStyle w:val="Bibliography"/>
        <w:spacing w:line="480" w:lineRule="auto"/>
        <w:jc w:val="both"/>
        <w:rPr>
          <w:rFonts w:ascii="Times New Roman" w:hAnsi="Times New Roman" w:cs="Times New Roman"/>
          <w:lang w:val="es-ES"/>
        </w:rPr>
      </w:pPr>
      <w:r w:rsidRPr="008E5909">
        <w:rPr>
          <w:rFonts w:ascii="Times New Roman" w:hAnsi="Times New Roman" w:cs="Times New Roman"/>
        </w:rPr>
        <w:t xml:space="preserve">Srivastava, V., N. Banerjee, and N. Banerjee. 2025. “Combating Deforestation Through International Trade: Do Smallholders Have a Place in the European Union’s Deforestation Regulation?” </w:t>
      </w:r>
      <w:r w:rsidRPr="00813255">
        <w:rPr>
          <w:rFonts w:ascii="Times New Roman" w:hAnsi="Times New Roman" w:cs="Times New Roman"/>
          <w:i/>
          <w:iCs/>
        </w:rPr>
        <w:t>Global Trade and Customs Journal</w:t>
      </w:r>
      <w:r w:rsidRPr="008E5909">
        <w:rPr>
          <w:rFonts w:ascii="Times New Roman" w:hAnsi="Times New Roman" w:cs="Times New Roman"/>
        </w:rPr>
        <w:t xml:space="preserve"> 20(6): 415–423. https://doi.org/10.54648/gtcj2025072.</w:t>
      </w:r>
      <w:bookmarkStart w:id="80" w:name="ref-umburanas2022"/>
      <w:bookmarkEnd w:id="79"/>
      <w:r w:rsidR="00F96466" w:rsidRPr="00AC7317">
        <w:rPr>
          <w:rFonts w:ascii="Times New Roman" w:hAnsi="Times New Roman" w:cs="Times New Roman"/>
        </w:rPr>
        <w:t xml:space="preserve">Umburanas, R.C., J. Kawakami, E.A. Ainsworth, J.L. </w:t>
      </w:r>
      <w:proofErr w:type="spellStart"/>
      <w:r w:rsidR="00F96466" w:rsidRPr="00AC7317">
        <w:rPr>
          <w:rFonts w:ascii="Times New Roman" w:hAnsi="Times New Roman" w:cs="Times New Roman"/>
        </w:rPr>
        <w:t>Favarin</w:t>
      </w:r>
      <w:proofErr w:type="spellEnd"/>
      <w:r w:rsidR="00F96466" w:rsidRPr="00AC7317">
        <w:rPr>
          <w:rFonts w:ascii="Times New Roman" w:hAnsi="Times New Roman" w:cs="Times New Roman"/>
        </w:rPr>
        <w:t>, L.Z. Anderle, D. Dourado-Neto, and K. Reichardt. 2022. “</w:t>
      </w:r>
      <w:hyperlink r:id="rId73">
        <w:r w:rsidR="002E6A0D" w:rsidRPr="00AC7317">
          <w:rPr>
            <w:rStyle w:val="Hyperlink"/>
            <w:rFonts w:ascii="Times New Roman" w:hAnsi="Times New Roman" w:cs="Times New Roman"/>
          </w:rPr>
          <w:t>Changes in soybean cultivars released over the past 50 years in southern Brazil</w:t>
        </w:r>
      </w:hyperlink>
      <w:r w:rsidR="00F96466" w:rsidRPr="00AC7317">
        <w:rPr>
          <w:rFonts w:ascii="Times New Roman" w:hAnsi="Times New Roman" w:cs="Times New Roman"/>
        </w:rPr>
        <w:t xml:space="preserve">.” </w:t>
      </w:r>
      <w:proofErr w:type="spellStart"/>
      <w:r w:rsidR="00F96466" w:rsidRPr="00AC7317">
        <w:rPr>
          <w:rFonts w:ascii="Times New Roman" w:hAnsi="Times New Roman" w:cs="Times New Roman"/>
          <w:i/>
          <w:iCs/>
          <w:lang w:val="es-ES"/>
        </w:rPr>
        <w:t>Scientific</w:t>
      </w:r>
      <w:proofErr w:type="spellEnd"/>
      <w:r w:rsidR="00F96466" w:rsidRPr="00AC7317">
        <w:rPr>
          <w:rFonts w:ascii="Times New Roman" w:hAnsi="Times New Roman" w:cs="Times New Roman"/>
          <w:i/>
          <w:iCs/>
          <w:lang w:val="es-ES"/>
        </w:rPr>
        <w:t xml:space="preserve"> </w:t>
      </w:r>
      <w:proofErr w:type="spellStart"/>
      <w:r w:rsidR="00F96466" w:rsidRPr="00AC7317">
        <w:rPr>
          <w:rFonts w:ascii="Times New Roman" w:hAnsi="Times New Roman" w:cs="Times New Roman"/>
          <w:i/>
          <w:iCs/>
          <w:lang w:val="es-ES"/>
        </w:rPr>
        <w:t>Reports</w:t>
      </w:r>
      <w:proofErr w:type="spellEnd"/>
      <w:r w:rsidR="00F96466" w:rsidRPr="00AC7317">
        <w:rPr>
          <w:rFonts w:ascii="Times New Roman" w:hAnsi="Times New Roman" w:cs="Times New Roman"/>
          <w:lang w:val="es-ES"/>
        </w:rPr>
        <w:t xml:space="preserve"> 12(1):508.</w:t>
      </w:r>
    </w:p>
    <w:p w14:paraId="241336D8" w14:textId="77777777" w:rsidR="002E6A0D" w:rsidRPr="00AC7317" w:rsidRDefault="00F96466" w:rsidP="00216BA2">
      <w:pPr>
        <w:pStyle w:val="Bibliography"/>
        <w:spacing w:line="480" w:lineRule="auto"/>
        <w:jc w:val="both"/>
        <w:rPr>
          <w:rFonts w:ascii="Times New Roman" w:hAnsi="Times New Roman" w:cs="Times New Roman"/>
        </w:rPr>
      </w:pPr>
      <w:bookmarkStart w:id="81" w:name="ref-vasconcelos2023"/>
      <w:bookmarkEnd w:id="80"/>
      <w:r w:rsidRPr="00AC7317">
        <w:rPr>
          <w:rFonts w:ascii="Times New Roman" w:hAnsi="Times New Roman" w:cs="Times New Roman"/>
          <w:lang w:val="es-ES"/>
        </w:rPr>
        <w:t xml:space="preserve">Vasconcelos, A., F. </w:t>
      </w:r>
      <w:proofErr w:type="spellStart"/>
      <w:r w:rsidRPr="00AC7317">
        <w:rPr>
          <w:rFonts w:ascii="Times New Roman" w:hAnsi="Times New Roman" w:cs="Times New Roman"/>
          <w:lang w:val="es-ES"/>
        </w:rPr>
        <w:t>Cerignoni</w:t>
      </w:r>
      <w:proofErr w:type="spellEnd"/>
      <w:r w:rsidRPr="00AC7317">
        <w:rPr>
          <w:rFonts w:ascii="Times New Roman" w:hAnsi="Times New Roman" w:cs="Times New Roman"/>
          <w:lang w:val="es-ES"/>
        </w:rPr>
        <w:t xml:space="preserve">, V. </w:t>
      </w:r>
      <w:proofErr w:type="spellStart"/>
      <w:r w:rsidRPr="00AC7317">
        <w:rPr>
          <w:rFonts w:ascii="Times New Roman" w:hAnsi="Times New Roman" w:cs="Times New Roman"/>
          <w:lang w:val="es-ES"/>
        </w:rPr>
        <w:t>Silgueiro</w:t>
      </w:r>
      <w:proofErr w:type="spellEnd"/>
      <w:r w:rsidRPr="00AC7317">
        <w:rPr>
          <w:rFonts w:ascii="Times New Roman" w:hAnsi="Times New Roman" w:cs="Times New Roman"/>
          <w:lang w:val="es-ES"/>
        </w:rPr>
        <w:t xml:space="preserve">, and T. Reis. 2023. </w:t>
      </w:r>
      <w:r w:rsidRPr="00AC7317">
        <w:rPr>
          <w:rFonts w:ascii="Times New Roman" w:hAnsi="Times New Roman" w:cs="Times New Roman"/>
        </w:rPr>
        <w:t xml:space="preserve">“Soy and legal compliance in Brazil: Risks and opportunities under the EU deforestation regulation.” Trase. Available at: </w:t>
      </w:r>
      <w:hyperlink r:id="rId74">
        <w:r w:rsidR="002E6A0D" w:rsidRPr="00AC7317">
          <w:rPr>
            <w:rStyle w:val="Hyperlink"/>
            <w:rFonts w:ascii="Times New Roman" w:hAnsi="Times New Roman" w:cs="Times New Roman"/>
          </w:rPr>
          <w:t>https://resources.trase.earth/documents/Briefings/soy-and-legal-compliance-in-brazil-report.pdf</w:t>
        </w:r>
      </w:hyperlink>
      <w:r w:rsidRPr="00AC7317">
        <w:rPr>
          <w:rFonts w:ascii="Times New Roman" w:hAnsi="Times New Roman" w:cs="Times New Roman"/>
        </w:rPr>
        <w:t xml:space="preserve"> [Accessed 2024].</w:t>
      </w:r>
    </w:p>
    <w:p w14:paraId="102BC261" w14:textId="77777777" w:rsidR="002E6A0D" w:rsidRPr="00AC7317" w:rsidRDefault="00F96466" w:rsidP="00216BA2">
      <w:pPr>
        <w:pStyle w:val="Bibliography"/>
        <w:spacing w:line="480" w:lineRule="auto"/>
        <w:jc w:val="both"/>
        <w:rPr>
          <w:rFonts w:ascii="Times New Roman" w:hAnsi="Times New Roman" w:cs="Times New Roman"/>
        </w:rPr>
      </w:pPr>
      <w:bookmarkStart w:id="82" w:name="ref-villoria2025trade"/>
      <w:bookmarkEnd w:id="81"/>
      <w:r w:rsidRPr="00AC7317">
        <w:rPr>
          <w:rFonts w:ascii="Times New Roman" w:hAnsi="Times New Roman" w:cs="Times New Roman"/>
        </w:rPr>
        <w:t xml:space="preserve">Villoria, N.B. 2025. “Trade frictions and domestic food price stability in the presence of large-scale climate shocks.” </w:t>
      </w:r>
      <w:r w:rsidRPr="00AC7317">
        <w:rPr>
          <w:rFonts w:ascii="Times New Roman" w:hAnsi="Times New Roman" w:cs="Times New Roman"/>
          <w:i/>
          <w:iCs/>
        </w:rPr>
        <w:t>American Journal of Agricultural Economics</w:t>
      </w:r>
      <w:r w:rsidRPr="00AC7317">
        <w:rPr>
          <w:rFonts w:ascii="Times New Roman" w:hAnsi="Times New Roman" w:cs="Times New Roman"/>
        </w:rPr>
        <w:t xml:space="preserve">. Available at: </w:t>
      </w:r>
      <w:hyperlink r:id="rId75">
        <w:r w:rsidR="002E6A0D" w:rsidRPr="00AC7317">
          <w:rPr>
            <w:rStyle w:val="Hyperlink"/>
            <w:rFonts w:ascii="Times New Roman" w:hAnsi="Times New Roman" w:cs="Times New Roman"/>
          </w:rPr>
          <w:t>https://doi.org/10.1111/ajae.12531</w:t>
        </w:r>
      </w:hyperlink>
      <w:r w:rsidRPr="00AC7317">
        <w:rPr>
          <w:rFonts w:ascii="Times New Roman" w:hAnsi="Times New Roman" w:cs="Times New Roman"/>
        </w:rPr>
        <w:t>.</w:t>
      </w:r>
    </w:p>
    <w:p w14:paraId="79CCC8C5" w14:textId="77777777" w:rsidR="002E6A0D" w:rsidRPr="00AC7317" w:rsidRDefault="00F96466" w:rsidP="00216BA2">
      <w:pPr>
        <w:pStyle w:val="Bibliography"/>
        <w:spacing w:line="480" w:lineRule="auto"/>
        <w:jc w:val="both"/>
        <w:rPr>
          <w:rFonts w:ascii="Times New Roman" w:hAnsi="Times New Roman" w:cs="Times New Roman"/>
        </w:rPr>
      </w:pPr>
      <w:bookmarkStart w:id="83" w:name="ref-villoria2022"/>
      <w:bookmarkEnd w:id="82"/>
      <w:r w:rsidRPr="00AC7317">
        <w:rPr>
          <w:rFonts w:ascii="Times New Roman" w:hAnsi="Times New Roman" w:cs="Times New Roman"/>
        </w:rPr>
        <w:t xml:space="preserve">Villoria, N., R. Garrett, F. </w:t>
      </w:r>
      <w:proofErr w:type="spellStart"/>
      <w:r w:rsidRPr="00AC7317">
        <w:rPr>
          <w:rFonts w:ascii="Times New Roman" w:hAnsi="Times New Roman" w:cs="Times New Roman"/>
        </w:rPr>
        <w:t>Gollnow</w:t>
      </w:r>
      <w:proofErr w:type="spellEnd"/>
      <w:r w:rsidRPr="00AC7317">
        <w:rPr>
          <w:rFonts w:ascii="Times New Roman" w:hAnsi="Times New Roman" w:cs="Times New Roman"/>
        </w:rPr>
        <w:t xml:space="preserve">, and K. Carlson. 2022. “Leakage does not fully offset soy supply-chain efforts to reduce deforestation in Brazil.” </w:t>
      </w:r>
      <w:r w:rsidRPr="00AC7317">
        <w:rPr>
          <w:rFonts w:ascii="Times New Roman" w:hAnsi="Times New Roman" w:cs="Times New Roman"/>
          <w:i/>
          <w:iCs/>
        </w:rPr>
        <w:t>Nature Communications</w:t>
      </w:r>
      <w:r w:rsidRPr="00AC7317">
        <w:rPr>
          <w:rFonts w:ascii="Times New Roman" w:hAnsi="Times New Roman" w:cs="Times New Roman"/>
        </w:rPr>
        <w:t xml:space="preserve"> 13:5476. Available at: </w:t>
      </w:r>
      <w:hyperlink r:id="rId76">
        <w:r w:rsidR="002E6A0D" w:rsidRPr="00AC7317">
          <w:rPr>
            <w:rStyle w:val="Hyperlink"/>
            <w:rFonts w:ascii="Times New Roman" w:hAnsi="Times New Roman" w:cs="Times New Roman"/>
          </w:rPr>
          <w:t>https://doi.org/10.1038/s41467-022-33213-z</w:t>
        </w:r>
      </w:hyperlink>
      <w:r w:rsidRPr="00AC7317">
        <w:rPr>
          <w:rFonts w:ascii="Times New Roman" w:hAnsi="Times New Roman" w:cs="Times New Roman"/>
        </w:rPr>
        <w:t>.</w:t>
      </w:r>
    </w:p>
    <w:p w14:paraId="403F1CFC" w14:textId="77777777" w:rsidR="002E6A0D" w:rsidRPr="00AC7317" w:rsidRDefault="00F96466" w:rsidP="00216BA2">
      <w:pPr>
        <w:pStyle w:val="Bibliography"/>
        <w:spacing w:line="480" w:lineRule="auto"/>
        <w:jc w:val="both"/>
        <w:rPr>
          <w:rFonts w:ascii="Times New Roman" w:hAnsi="Times New Roman" w:cs="Times New Roman"/>
        </w:rPr>
      </w:pPr>
      <w:bookmarkStart w:id="84" w:name="ref-worldbank_pink"/>
      <w:bookmarkEnd w:id="83"/>
      <w:r w:rsidRPr="00AC7317">
        <w:rPr>
          <w:rFonts w:ascii="Times New Roman" w:hAnsi="Times New Roman" w:cs="Times New Roman"/>
        </w:rPr>
        <w:t xml:space="preserve">World Bank. 2025. “"Pink sheet" data: Annual prices.” Available at: </w:t>
      </w:r>
      <w:hyperlink r:id="rId77">
        <w:r w:rsidR="002E6A0D" w:rsidRPr="00AC7317">
          <w:rPr>
            <w:rStyle w:val="Hyperlink"/>
            <w:rFonts w:ascii="Times New Roman" w:hAnsi="Times New Roman" w:cs="Times New Roman"/>
          </w:rPr>
          <w:t>https://www.worldbank.org/en/research/commodity-markets</w:t>
        </w:r>
      </w:hyperlink>
      <w:r w:rsidRPr="00AC7317">
        <w:rPr>
          <w:rFonts w:ascii="Times New Roman" w:hAnsi="Times New Roman" w:cs="Times New Roman"/>
        </w:rPr>
        <w:t xml:space="preserve"> [Accessed August 25, 2024].</w:t>
      </w:r>
    </w:p>
    <w:p w14:paraId="5047CD48" w14:textId="77777777" w:rsidR="002E6A0D" w:rsidRDefault="00F96466" w:rsidP="00216BA2">
      <w:pPr>
        <w:pStyle w:val="Bibliography"/>
        <w:spacing w:line="480" w:lineRule="auto"/>
        <w:jc w:val="both"/>
        <w:rPr>
          <w:rFonts w:ascii="Times New Roman" w:hAnsi="Times New Roman" w:cs="Times New Roman"/>
        </w:rPr>
      </w:pPr>
      <w:bookmarkStart w:id="85" w:name="ref-yotov2016"/>
      <w:bookmarkEnd w:id="84"/>
      <w:r w:rsidRPr="00AC7317">
        <w:rPr>
          <w:rFonts w:ascii="Times New Roman" w:hAnsi="Times New Roman" w:cs="Times New Roman"/>
        </w:rPr>
        <w:t xml:space="preserve">Yotov, Y.V., R. </w:t>
      </w:r>
      <w:proofErr w:type="spellStart"/>
      <w:r w:rsidRPr="00AC7317">
        <w:rPr>
          <w:rFonts w:ascii="Times New Roman" w:hAnsi="Times New Roman" w:cs="Times New Roman"/>
        </w:rPr>
        <w:t>Piermartini</w:t>
      </w:r>
      <w:proofErr w:type="spellEnd"/>
      <w:r w:rsidRPr="00AC7317">
        <w:rPr>
          <w:rFonts w:ascii="Times New Roman" w:hAnsi="Times New Roman" w:cs="Times New Roman"/>
        </w:rPr>
        <w:t xml:space="preserve">, J.-A. Monteiro, and M. Larch. 2016. </w:t>
      </w:r>
      <w:r w:rsidRPr="00AC7317">
        <w:rPr>
          <w:rFonts w:ascii="Times New Roman" w:hAnsi="Times New Roman" w:cs="Times New Roman"/>
          <w:i/>
          <w:iCs/>
        </w:rPr>
        <w:t>An advanced guide to trade policy analysis: The structural gravity model</w:t>
      </w:r>
      <w:r w:rsidRPr="00AC7317">
        <w:rPr>
          <w:rFonts w:ascii="Times New Roman" w:hAnsi="Times New Roman" w:cs="Times New Roman"/>
        </w:rPr>
        <w:t xml:space="preserve">. Geneva: World Trade Organization. Available at: </w:t>
      </w:r>
      <w:hyperlink r:id="rId78">
        <w:r w:rsidR="002E6A0D" w:rsidRPr="00AC7317">
          <w:rPr>
            <w:rStyle w:val="Hyperlink"/>
            <w:rFonts w:ascii="Times New Roman" w:hAnsi="Times New Roman" w:cs="Times New Roman"/>
          </w:rPr>
          <w:t>https://www.wto.org/english/res_e/booksp_e/advancedwtounctad2016_e.pdf</w:t>
        </w:r>
      </w:hyperlink>
      <w:r w:rsidRPr="00AC7317">
        <w:rPr>
          <w:rFonts w:ascii="Times New Roman" w:hAnsi="Times New Roman" w:cs="Times New Roman"/>
        </w:rPr>
        <w:t>.</w:t>
      </w:r>
    </w:p>
    <w:p w14:paraId="61638266" w14:textId="287CE811" w:rsidR="00BC11A1" w:rsidRPr="00AC7317" w:rsidRDefault="008A369A" w:rsidP="00216BA2">
      <w:pPr>
        <w:pStyle w:val="Bibliography"/>
        <w:spacing w:line="480" w:lineRule="auto"/>
        <w:jc w:val="both"/>
        <w:rPr>
          <w:rFonts w:ascii="Times New Roman" w:hAnsi="Times New Roman" w:cs="Times New Roman"/>
        </w:rPr>
      </w:pPr>
      <w:r w:rsidRPr="008A369A">
        <w:rPr>
          <w:rFonts w:ascii="Times New Roman" w:hAnsi="Times New Roman" w:cs="Times New Roman"/>
        </w:rPr>
        <w:t xml:space="preserve">Zamani, O., and J. Pelikan. 2026. “Deforestation-Free Trade: The Impact of Border Regulations on Trade, Production and Land Use in the Forestry and Agricultural Sectors.” </w:t>
      </w:r>
      <w:r w:rsidRPr="00813255">
        <w:rPr>
          <w:rFonts w:ascii="Times New Roman" w:hAnsi="Times New Roman" w:cs="Times New Roman"/>
          <w:i/>
          <w:iCs/>
        </w:rPr>
        <w:t>Environmental Research Letters</w:t>
      </w:r>
      <w:r w:rsidRPr="008A369A">
        <w:rPr>
          <w:rFonts w:ascii="Times New Roman" w:hAnsi="Times New Roman" w:cs="Times New Roman"/>
        </w:rPr>
        <w:t xml:space="preserve"> 21: 024009. https://doi.org/10.1088/1748-9326/ae2f71.</w:t>
      </w:r>
    </w:p>
    <w:bookmarkEnd w:id="26"/>
    <w:bookmarkEnd w:id="85"/>
    <w:p w14:paraId="6D9B25E9" w14:textId="77777777" w:rsidR="002E6A0D" w:rsidRPr="00AC7317" w:rsidRDefault="00F96466" w:rsidP="00216BA2">
      <w:pPr>
        <w:spacing w:line="480" w:lineRule="auto"/>
        <w:jc w:val="both"/>
        <w:rPr>
          <w:rFonts w:ascii="Times New Roman" w:hAnsi="Times New Roman" w:cs="Times New Roman"/>
        </w:rPr>
      </w:pPr>
      <w:r w:rsidRPr="00AC7317">
        <w:rPr>
          <w:rFonts w:ascii="Times New Roman" w:hAnsi="Times New Roman" w:cs="Times New Roman"/>
        </w:rPr>
        <w:br w:type="page"/>
      </w:r>
      <w:bookmarkEnd w:id="24"/>
    </w:p>
    <w:sectPr w:rsidR="002E6A0D" w:rsidRPr="00AC7317" w:rsidSect="00083044">
      <w:footerReference w:type="default" r:id="rId79"/>
      <w:footnotePr>
        <w:numRestart w:val="eachSect"/>
      </w:footnotePr>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098B3" w14:textId="77777777" w:rsidR="009A37E5" w:rsidRDefault="009A37E5" w:rsidP="00C271CF">
      <w:pPr>
        <w:spacing w:after="0"/>
      </w:pPr>
      <w:r>
        <w:separator/>
      </w:r>
    </w:p>
  </w:endnote>
  <w:endnote w:type="continuationSeparator" w:id="0">
    <w:p w14:paraId="533A0E88" w14:textId="77777777" w:rsidR="009A37E5" w:rsidRDefault="009A37E5" w:rsidP="00C271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907367"/>
      <w:docPartObj>
        <w:docPartGallery w:val="Page Numbers (Bottom of Page)"/>
        <w:docPartUnique/>
      </w:docPartObj>
    </w:sdtPr>
    <w:sdtEndPr>
      <w:rPr>
        <w:noProof/>
      </w:rPr>
    </w:sdtEndPr>
    <w:sdtContent>
      <w:p w14:paraId="0D6F675E" w14:textId="4EBC1D74" w:rsidR="00C271CF" w:rsidRDefault="00C271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2D6017" w14:textId="77777777" w:rsidR="00C271CF" w:rsidRDefault="00C271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BEE33" w14:textId="77777777" w:rsidR="009A37E5" w:rsidRDefault="009A37E5" w:rsidP="00C271CF">
      <w:pPr>
        <w:spacing w:after="0"/>
      </w:pPr>
      <w:r>
        <w:separator/>
      </w:r>
    </w:p>
  </w:footnote>
  <w:footnote w:type="continuationSeparator" w:id="0">
    <w:p w14:paraId="2552ED13" w14:textId="77777777" w:rsidR="009A37E5" w:rsidRDefault="009A37E5" w:rsidP="00C271CF">
      <w:pPr>
        <w:spacing w:after="0"/>
      </w:pPr>
      <w:r>
        <w:continuationSeparator/>
      </w:r>
    </w:p>
  </w:footnote>
  <w:footnote w:id="1">
    <w:p w14:paraId="0521B4B2" w14:textId="77691CE9" w:rsidR="004D0F13" w:rsidRPr="00AA3D1D" w:rsidRDefault="004D0F13">
      <w:pPr>
        <w:pStyle w:val="FootnoteText"/>
        <w:rPr>
          <w:rFonts w:ascii="Times New Roman" w:hAnsi="Times New Roman" w:cs="Times New Roman"/>
        </w:rPr>
      </w:pPr>
      <w:r>
        <w:rPr>
          <w:rStyle w:val="FootnoteReference"/>
        </w:rPr>
        <w:footnoteRef/>
      </w:r>
      <w:r>
        <w:t xml:space="preserve"> </w:t>
      </w:r>
      <w:r w:rsidR="00D14355" w:rsidRPr="00AA3D1D">
        <w:rPr>
          <w:rFonts w:ascii="Times New Roman" w:hAnsi="Times New Roman" w:cs="Times New Roman"/>
        </w:rPr>
        <w:t>Brazil’s soy sector has long‑running zero‑deforestation efforts. In the Amazon, the Soy Moratorium</w:t>
      </w:r>
      <w:r w:rsidR="00AC3D01">
        <w:rPr>
          <w:rFonts w:ascii="Times New Roman" w:hAnsi="Times New Roman" w:cs="Times New Roman"/>
        </w:rPr>
        <w:t xml:space="preserve">- </w:t>
      </w:r>
      <w:r w:rsidR="00D14355" w:rsidRPr="00AA3D1D">
        <w:rPr>
          <w:rFonts w:ascii="Times New Roman" w:hAnsi="Times New Roman" w:cs="Times New Roman"/>
        </w:rPr>
        <w:t>implemented by firms handling ~90–95% of exports</w:t>
      </w:r>
      <w:r w:rsidR="00AC3D01">
        <w:rPr>
          <w:rFonts w:ascii="Times New Roman" w:hAnsi="Times New Roman" w:cs="Times New Roman"/>
        </w:rPr>
        <w:t xml:space="preserve">- </w:t>
      </w:r>
      <w:r w:rsidR="00D14355" w:rsidRPr="00AA3D1D">
        <w:rPr>
          <w:rFonts w:ascii="Times New Roman" w:hAnsi="Times New Roman" w:cs="Times New Roman"/>
        </w:rPr>
        <w:t>was associated with a 57% reduction in direct soy‑deforestation in treated municipalities; in the Cerrado, several traders have adopted ZDCs but implementation and coverage remain incomplete</w:t>
      </w:r>
      <w:r w:rsidR="00DC4704" w:rsidRPr="00AA3D1D">
        <w:rPr>
          <w:rFonts w:ascii="Times New Roman" w:hAnsi="Times New Roman" w:cs="Times New Roman"/>
        </w:rPr>
        <w:t xml:space="preserve"> (Gollnow et al. 2022)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C66D1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86519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E6A0D"/>
    <w:rsid w:val="00001B05"/>
    <w:rsid w:val="0000305A"/>
    <w:rsid w:val="000034E0"/>
    <w:rsid w:val="00003C0E"/>
    <w:rsid w:val="00011420"/>
    <w:rsid w:val="00013A19"/>
    <w:rsid w:val="00014D22"/>
    <w:rsid w:val="00017AA8"/>
    <w:rsid w:val="00017FCA"/>
    <w:rsid w:val="000218A0"/>
    <w:rsid w:val="000310EA"/>
    <w:rsid w:val="00032F7E"/>
    <w:rsid w:val="0003705A"/>
    <w:rsid w:val="00043083"/>
    <w:rsid w:val="00050D87"/>
    <w:rsid w:val="00052915"/>
    <w:rsid w:val="000571EB"/>
    <w:rsid w:val="00064820"/>
    <w:rsid w:val="00067539"/>
    <w:rsid w:val="0006788B"/>
    <w:rsid w:val="00083044"/>
    <w:rsid w:val="00091EC0"/>
    <w:rsid w:val="0009327A"/>
    <w:rsid w:val="00093BC6"/>
    <w:rsid w:val="00094856"/>
    <w:rsid w:val="000A0F21"/>
    <w:rsid w:val="000A1240"/>
    <w:rsid w:val="000B1FB4"/>
    <w:rsid w:val="000B2440"/>
    <w:rsid w:val="000B3617"/>
    <w:rsid w:val="000B3E51"/>
    <w:rsid w:val="000C07EA"/>
    <w:rsid w:val="000C344D"/>
    <w:rsid w:val="000C7242"/>
    <w:rsid w:val="000D0D2B"/>
    <w:rsid w:val="000E063A"/>
    <w:rsid w:val="000E5E1C"/>
    <w:rsid w:val="000F4D93"/>
    <w:rsid w:val="00100368"/>
    <w:rsid w:val="00116EC6"/>
    <w:rsid w:val="001217B2"/>
    <w:rsid w:val="00122A85"/>
    <w:rsid w:val="0013228B"/>
    <w:rsid w:val="0013338B"/>
    <w:rsid w:val="00133BA0"/>
    <w:rsid w:val="00160091"/>
    <w:rsid w:val="00167074"/>
    <w:rsid w:val="0017117A"/>
    <w:rsid w:val="00177AC6"/>
    <w:rsid w:val="001806A0"/>
    <w:rsid w:val="00180D05"/>
    <w:rsid w:val="001822BB"/>
    <w:rsid w:val="00192CE5"/>
    <w:rsid w:val="001A5206"/>
    <w:rsid w:val="001A545C"/>
    <w:rsid w:val="001B2D07"/>
    <w:rsid w:val="001B6767"/>
    <w:rsid w:val="001C0246"/>
    <w:rsid w:val="001C346C"/>
    <w:rsid w:val="001C7ABE"/>
    <w:rsid w:val="001D121E"/>
    <w:rsid w:val="001D4A94"/>
    <w:rsid w:val="001E19E9"/>
    <w:rsid w:val="001E7E19"/>
    <w:rsid w:val="001F0007"/>
    <w:rsid w:val="001F7BF7"/>
    <w:rsid w:val="0020107B"/>
    <w:rsid w:val="00203DF3"/>
    <w:rsid w:val="00204255"/>
    <w:rsid w:val="00206702"/>
    <w:rsid w:val="00206EB4"/>
    <w:rsid w:val="002156B7"/>
    <w:rsid w:val="00215897"/>
    <w:rsid w:val="00216BA2"/>
    <w:rsid w:val="002265B5"/>
    <w:rsid w:val="00226874"/>
    <w:rsid w:val="00227DC4"/>
    <w:rsid w:val="00236607"/>
    <w:rsid w:val="0027011F"/>
    <w:rsid w:val="00270226"/>
    <w:rsid w:val="00270E07"/>
    <w:rsid w:val="002728B2"/>
    <w:rsid w:val="00274BAF"/>
    <w:rsid w:val="00280099"/>
    <w:rsid w:val="00285114"/>
    <w:rsid w:val="00295DCD"/>
    <w:rsid w:val="00295FA5"/>
    <w:rsid w:val="002A13FE"/>
    <w:rsid w:val="002A3A13"/>
    <w:rsid w:val="002C35A3"/>
    <w:rsid w:val="002C4DB1"/>
    <w:rsid w:val="002C57CE"/>
    <w:rsid w:val="002C5F0D"/>
    <w:rsid w:val="002E6A0D"/>
    <w:rsid w:val="002E7765"/>
    <w:rsid w:val="002F1045"/>
    <w:rsid w:val="002F3948"/>
    <w:rsid w:val="00314C78"/>
    <w:rsid w:val="00330C41"/>
    <w:rsid w:val="003369D8"/>
    <w:rsid w:val="003415A9"/>
    <w:rsid w:val="00344630"/>
    <w:rsid w:val="00344742"/>
    <w:rsid w:val="0035050B"/>
    <w:rsid w:val="00353E9F"/>
    <w:rsid w:val="0035794E"/>
    <w:rsid w:val="00357C2F"/>
    <w:rsid w:val="00362828"/>
    <w:rsid w:val="003726CD"/>
    <w:rsid w:val="00374779"/>
    <w:rsid w:val="003752C7"/>
    <w:rsid w:val="0037746F"/>
    <w:rsid w:val="00381E14"/>
    <w:rsid w:val="00382F58"/>
    <w:rsid w:val="0038500A"/>
    <w:rsid w:val="00385674"/>
    <w:rsid w:val="00390F9D"/>
    <w:rsid w:val="00392E40"/>
    <w:rsid w:val="003A4000"/>
    <w:rsid w:val="003A6A7B"/>
    <w:rsid w:val="003B7288"/>
    <w:rsid w:val="003C1241"/>
    <w:rsid w:val="003C31C5"/>
    <w:rsid w:val="003C6D8B"/>
    <w:rsid w:val="003D47F6"/>
    <w:rsid w:val="003D6738"/>
    <w:rsid w:val="003F1379"/>
    <w:rsid w:val="003F476F"/>
    <w:rsid w:val="00423201"/>
    <w:rsid w:val="00430762"/>
    <w:rsid w:val="004550F2"/>
    <w:rsid w:val="00460750"/>
    <w:rsid w:val="00463470"/>
    <w:rsid w:val="00467A2C"/>
    <w:rsid w:val="00471525"/>
    <w:rsid w:val="004727A8"/>
    <w:rsid w:val="004816A5"/>
    <w:rsid w:val="00482690"/>
    <w:rsid w:val="00487C5F"/>
    <w:rsid w:val="00492B16"/>
    <w:rsid w:val="0049410A"/>
    <w:rsid w:val="00495386"/>
    <w:rsid w:val="004A46FC"/>
    <w:rsid w:val="004C0499"/>
    <w:rsid w:val="004C11C5"/>
    <w:rsid w:val="004C7ECB"/>
    <w:rsid w:val="004D0F13"/>
    <w:rsid w:val="004D5010"/>
    <w:rsid w:val="004D729A"/>
    <w:rsid w:val="004E109F"/>
    <w:rsid w:val="004E2F78"/>
    <w:rsid w:val="004E4404"/>
    <w:rsid w:val="004F7597"/>
    <w:rsid w:val="00505F19"/>
    <w:rsid w:val="005077E6"/>
    <w:rsid w:val="00523D18"/>
    <w:rsid w:val="005264F7"/>
    <w:rsid w:val="005270B6"/>
    <w:rsid w:val="005330D0"/>
    <w:rsid w:val="00545823"/>
    <w:rsid w:val="005702E8"/>
    <w:rsid w:val="0058608E"/>
    <w:rsid w:val="00587071"/>
    <w:rsid w:val="00590124"/>
    <w:rsid w:val="005946F5"/>
    <w:rsid w:val="005A1205"/>
    <w:rsid w:val="005A2C45"/>
    <w:rsid w:val="005A2F1A"/>
    <w:rsid w:val="005A2FBB"/>
    <w:rsid w:val="005A671B"/>
    <w:rsid w:val="005B0FDC"/>
    <w:rsid w:val="005B6B62"/>
    <w:rsid w:val="005E03A8"/>
    <w:rsid w:val="005E2536"/>
    <w:rsid w:val="005E38AF"/>
    <w:rsid w:val="005E4257"/>
    <w:rsid w:val="005E5A85"/>
    <w:rsid w:val="005F3EEB"/>
    <w:rsid w:val="005F4852"/>
    <w:rsid w:val="00622CF3"/>
    <w:rsid w:val="00625005"/>
    <w:rsid w:val="00634F38"/>
    <w:rsid w:val="0063723D"/>
    <w:rsid w:val="00637E5C"/>
    <w:rsid w:val="00655F30"/>
    <w:rsid w:val="00656D98"/>
    <w:rsid w:val="0066390B"/>
    <w:rsid w:val="006678D3"/>
    <w:rsid w:val="00671DE5"/>
    <w:rsid w:val="00675780"/>
    <w:rsid w:val="00677BF0"/>
    <w:rsid w:val="00680434"/>
    <w:rsid w:val="00680524"/>
    <w:rsid w:val="00681443"/>
    <w:rsid w:val="0068745D"/>
    <w:rsid w:val="00687A3E"/>
    <w:rsid w:val="00696953"/>
    <w:rsid w:val="006A4F7A"/>
    <w:rsid w:val="006A692E"/>
    <w:rsid w:val="006B47E8"/>
    <w:rsid w:val="006B5A0E"/>
    <w:rsid w:val="006C0363"/>
    <w:rsid w:val="006C5437"/>
    <w:rsid w:val="006D0094"/>
    <w:rsid w:val="006D27DE"/>
    <w:rsid w:val="006D4388"/>
    <w:rsid w:val="006D4BFE"/>
    <w:rsid w:val="006E6F31"/>
    <w:rsid w:val="006F2257"/>
    <w:rsid w:val="006F4918"/>
    <w:rsid w:val="006F5BB5"/>
    <w:rsid w:val="007014B1"/>
    <w:rsid w:val="0070361E"/>
    <w:rsid w:val="00713E46"/>
    <w:rsid w:val="00714CAF"/>
    <w:rsid w:val="007202DC"/>
    <w:rsid w:val="007342F8"/>
    <w:rsid w:val="00735EF1"/>
    <w:rsid w:val="0074272D"/>
    <w:rsid w:val="00743D77"/>
    <w:rsid w:val="00746C20"/>
    <w:rsid w:val="00752399"/>
    <w:rsid w:val="007577FC"/>
    <w:rsid w:val="00760FE0"/>
    <w:rsid w:val="00765833"/>
    <w:rsid w:val="00765A3F"/>
    <w:rsid w:val="0077520C"/>
    <w:rsid w:val="00777096"/>
    <w:rsid w:val="00785F04"/>
    <w:rsid w:val="0079566D"/>
    <w:rsid w:val="007A0EE7"/>
    <w:rsid w:val="007A7E95"/>
    <w:rsid w:val="007B5789"/>
    <w:rsid w:val="007B5992"/>
    <w:rsid w:val="007B618F"/>
    <w:rsid w:val="007D4D57"/>
    <w:rsid w:val="007E0ECE"/>
    <w:rsid w:val="007E174C"/>
    <w:rsid w:val="007E1BED"/>
    <w:rsid w:val="007F2DCC"/>
    <w:rsid w:val="00801D7D"/>
    <w:rsid w:val="00802878"/>
    <w:rsid w:val="008054AC"/>
    <w:rsid w:val="00813255"/>
    <w:rsid w:val="00820645"/>
    <w:rsid w:val="00832AF0"/>
    <w:rsid w:val="0084207E"/>
    <w:rsid w:val="00844154"/>
    <w:rsid w:val="00851CF5"/>
    <w:rsid w:val="00853F3A"/>
    <w:rsid w:val="0086293A"/>
    <w:rsid w:val="008715ED"/>
    <w:rsid w:val="00874031"/>
    <w:rsid w:val="008760FA"/>
    <w:rsid w:val="008802EE"/>
    <w:rsid w:val="00882C2E"/>
    <w:rsid w:val="00885722"/>
    <w:rsid w:val="00885F9D"/>
    <w:rsid w:val="008879D8"/>
    <w:rsid w:val="00895AD7"/>
    <w:rsid w:val="008A369A"/>
    <w:rsid w:val="008A5A73"/>
    <w:rsid w:val="008A7E85"/>
    <w:rsid w:val="008C0ED7"/>
    <w:rsid w:val="008C4787"/>
    <w:rsid w:val="008C4FC0"/>
    <w:rsid w:val="008C6ABB"/>
    <w:rsid w:val="008E48AF"/>
    <w:rsid w:val="008E4BB5"/>
    <w:rsid w:val="008E5909"/>
    <w:rsid w:val="008F00A8"/>
    <w:rsid w:val="008F5E31"/>
    <w:rsid w:val="0090112E"/>
    <w:rsid w:val="00902F6B"/>
    <w:rsid w:val="009037A0"/>
    <w:rsid w:val="009051EC"/>
    <w:rsid w:val="009110EC"/>
    <w:rsid w:val="00911310"/>
    <w:rsid w:val="00913EA3"/>
    <w:rsid w:val="0091592D"/>
    <w:rsid w:val="009176C8"/>
    <w:rsid w:val="009370E8"/>
    <w:rsid w:val="009428DF"/>
    <w:rsid w:val="00944242"/>
    <w:rsid w:val="00975672"/>
    <w:rsid w:val="00982CB6"/>
    <w:rsid w:val="009872BE"/>
    <w:rsid w:val="00990160"/>
    <w:rsid w:val="00997A06"/>
    <w:rsid w:val="009A1785"/>
    <w:rsid w:val="009A27B3"/>
    <w:rsid w:val="009A37E5"/>
    <w:rsid w:val="009B1B78"/>
    <w:rsid w:val="009B1D44"/>
    <w:rsid w:val="009C3107"/>
    <w:rsid w:val="009C6453"/>
    <w:rsid w:val="009C6773"/>
    <w:rsid w:val="009D6359"/>
    <w:rsid w:val="009D68BA"/>
    <w:rsid w:val="009D799F"/>
    <w:rsid w:val="009E3ECB"/>
    <w:rsid w:val="009F02C0"/>
    <w:rsid w:val="009F082B"/>
    <w:rsid w:val="009F1F08"/>
    <w:rsid w:val="009F2CA8"/>
    <w:rsid w:val="00A1098B"/>
    <w:rsid w:val="00A15481"/>
    <w:rsid w:val="00A17A87"/>
    <w:rsid w:val="00A2494E"/>
    <w:rsid w:val="00A256A5"/>
    <w:rsid w:val="00A37138"/>
    <w:rsid w:val="00A37FA9"/>
    <w:rsid w:val="00A46323"/>
    <w:rsid w:val="00A47071"/>
    <w:rsid w:val="00A56477"/>
    <w:rsid w:val="00A564B2"/>
    <w:rsid w:val="00A61AA6"/>
    <w:rsid w:val="00A81BE6"/>
    <w:rsid w:val="00A95F67"/>
    <w:rsid w:val="00AA285D"/>
    <w:rsid w:val="00AA3353"/>
    <w:rsid w:val="00AA3D1D"/>
    <w:rsid w:val="00AA5E6E"/>
    <w:rsid w:val="00AA5EBC"/>
    <w:rsid w:val="00AB0D93"/>
    <w:rsid w:val="00AB4F67"/>
    <w:rsid w:val="00AB608D"/>
    <w:rsid w:val="00AC3B8C"/>
    <w:rsid w:val="00AC3D01"/>
    <w:rsid w:val="00AC4942"/>
    <w:rsid w:val="00AC7066"/>
    <w:rsid w:val="00AC7205"/>
    <w:rsid w:val="00AC7317"/>
    <w:rsid w:val="00AC7458"/>
    <w:rsid w:val="00AC7DF3"/>
    <w:rsid w:val="00AD42FF"/>
    <w:rsid w:val="00AD5BFF"/>
    <w:rsid w:val="00AE5DE3"/>
    <w:rsid w:val="00AE76FC"/>
    <w:rsid w:val="00B03C15"/>
    <w:rsid w:val="00B05970"/>
    <w:rsid w:val="00B068E9"/>
    <w:rsid w:val="00B13C33"/>
    <w:rsid w:val="00B142C3"/>
    <w:rsid w:val="00B15B90"/>
    <w:rsid w:val="00B16045"/>
    <w:rsid w:val="00B319F7"/>
    <w:rsid w:val="00B37D25"/>
    <w:rsid w:val="00B403DF"/>
    <w:rsid w:val="00B407F9"/>
    <w:rsid w:val="00B4096C"/>
    <w:rsid w:val="00B43725"/>
    <w:rsid w:val="00B43A2E"/>
    <w:rsid w:val="00B50727"/>
    <w:rsid w:val="00B565B9"/>
    <w:rsid w:val="00B56CA2"/>
    <w:rsid w:val="00B57EFD"/>
    <w:rsid w:val="00B600C0"/>
    <w:rsid w:val="00B65407"/>
    <w:rsid w:val="00B713DB"/>
    <w:rsid w:val="00B83C9D"/>
    <w:rsid w:val="00BA5AC5"/>
    <w:rsid w:val="00BA678A"/>
    <w:rsid w:val="00BB3289"/>
    <w:rsid w:val="00BB55EF"/>
    <w:rsid w:val="00BC11A1"/>
    <w:rsid w:val="00BC1670"/>
    <w:rsid w:val="00BC3512"/>
    <w:rsid w:val="00BC52C1"/>
    <w:rsid w:val="00BC7707"/>
    <w:rsid w:val="00BC796F"/>
    <w:rsid w:val="00BD1F44"/>
    <w:rsid w:val="00BD29AE"/>
    <w:rsid w:val="00BD34D2"/>
    <w:rsid w:val="00BD38A1"/>
    <w:rsid w:val="00BD7A11"/>
    <w:rsid w:val="00BF0576"/>
    <w:rsid w:val="00BF19BB"/>
    <w:rsid w:val="00BF3029"/>
    <w:rsid w:val="00BF3F20"/>
    <w:rsid w:val="00C06E81"/>
    <w:rsid w:val="00C11DA2"/>
    <w:rsid w:val="00C271CF"/>
    <w:rsid w:val="00C324A9"/>
    <w:rsid w:val="00C335AB"/>
    <w:rsid w:val="00C34B31"/>
    <w:rsid w:val="00C43A44"/>
    <w:rsid w:val="00C45916"/>
    <w:rsid w:val="00C478AC"/>
    <w:rsid w:val="00C50071"/>
    <w:rsid w:val="00C54666"/>
    <w:rsid w:val="00C54B75"/>
    <w:rsid w:val="00C60A1B"/>
    <w:rsid w:val="00C6679B"/>
    <w:rsid w:val="00C726FD"/>
    <w:rsid w:val="00C76575"/>
    <w:rsid w:val="00C81B4E"/>
    <w:rsid w:val="00C8418F"/>
    <w:rsid w:val="00C85E2B"/>
    <w:rsid w:val="00C93A41"/>
    <w:rsid w:val="00C96603"/>
    <w:rsid w:val="00C96F47"/>
    <w:rsid w:val="00CA4796"/>
    <w:rsid w:val="00CA75E4"/>
    <w:rsid w:val="00CB1893"/>
    <w:rsid w:val="00CB2018"/>
    <w:rsid w:val="00CB3F26"/>
    <w:rsid w:val="00CB48ED"/>
    <w:rsid w:val="00CB7C8D"/>
    <w:rsid w:val="00CC0F49"/>
    <w:rsid w:val="00CD109C"/>
    <w:rsid w:val="00CD6DA5"/>
    <w:rsid w:val="00CD7835"/>
    <w:rsid w:val="00CF4BC3"/>
    <w:rsid w:val="00D00F11"/>
    <w:rsid w:val="00D05B27"/>
    <w:rsid w:val="00D07663"/>
    <w:rsid w:val="00D07DB5"/>
    <w:rsid w:val="00D131BD"/>
    <w:rsid w:val="00D14355"/>
    <w:rsid w:val="00D2142D"/>
    <w:rsid w:val="00D306F2"/>
    <w:rsid w:val="00D379AA"/>
    <w:rsid w:val="00D40D1E"/>
    <w:rsid w:val="00D5157F"/>
    <w:rsid w:val="00D5553C"/>
    <w:rsid w:val="00D855E1"/>
    <w:rsid w:val="00D9179F"/>
    <w:rsid w:val="00D939FB"/>
    <w:rsid w:val="00D96FB7"/>
    <w:rsid w:val="00DA6803"/>
    <w:rsid w:val="00DB2EC9"/>
    <w:rsid w:val="00DB3F1F"/>
    <w:rsid w:val="00DB477F"/>
    <w:rsid w:val="00DB5D30"/>
    <w:rsid w:val="00DB65A0"/>
    <w:rsid w:val="00DB71C6"/>
    <w:rsid w:val="00DC02D4"/>
    <w:rsid w:val="00DC237C"/>
    <w:rsid w:val="00DC250E"/>
    <w:rsid w:val="00DC4704"/>
    <w:rsid w:val="00DC58E6"/>
    <w:rsid w:val="00DC6D8D"/>
    <w:rsid w:val="00DD2994"/>
    <w:rsid w:val="00DD3AA7"/>
    <w:rsid w:val="00DD68FF"/>
    <w:rsid w:val="00DE1088"/>
    <w:rsid w:val="00DE5CF0"/>
    <w:rsid w:val="00DF1D96"/>
    <w:rsid w:val="00E0167B"/>
    <w:rsid w:val="00E15498"/>
    <w:rsid w:val="00E15788"/>
    <w:rsid w:val="00E16D99"/>
    <w:rsid w:val="00E223F6"/>
    <w:rsid w:val="00E31513"/>
    <w:rsid w:val="00E322B5"/>
    <w:rsid w:val="00E33B3C"/>
    <w:rsid w:val="00E33D9E"/>
    <w:rsid w:val="00E41E1E"/>
    <w:rsid w:val="00E43610"/>
    <w:rsid w:val="00E533BD"/>
    <w:rsid w:val="00E54A39"/>
    <w:rsid w:val="00E553F1"/>
    <w:rsid w:val="00E56172"/>
    <w:rsid w:val="00E61C08"/>
    <w:rsid w:val="00E62CA9"/>
    <w:rsid w:val="00E63B8F"/>
    <w:rsid w:val="00E70B3B"/>
    <w:rsid w:val="00E72F4A"/>
    <w:rsid w:val="00E9156C"/>
    <w:rsid w:val="00E9643D"/>
    <w:rsid w:val="00EB5F05"/>
    <w:rsid w:val="00EC1A2E"/>
    <w:rsid w:val="00EC785B"/>
    <w:rsid w:val="00EC7F8A"/>
    <w:rsid w:val="00ED01EC"/>
    <w:rsid w:val="00EE6EA8"/>
    <w:rsid w:val="00EF0BB4"/>
    <w:rsid w:val="00EF315E"/>
    <w:rsid w:val="00F00E6D"/>
    <w:rsid w:val="00F01A7E"/>
    <w:rsid w:val="00F0784B"/>
    <w:rsid w:val="00F13B4D"/>
    <w:rsid w:val="00F253EA"/>
    <w:rsid w:val="00F27F36"/>
    <w:rsid w:val="00F40E09"/>
    <w:rsid w:val="00F44402"/>
    <w:rsid w:val="00F476F0"/>
    <w:rsid w:val="00F543F5"/>
    <w:rsid w:val="00F57157"/>
    <w:rsid w:val="00F64926"/>
    <w:rsid w:val="00F65135"/>
    <w:rsid w:val="00F84F33"/>
    <w:rsid w:val="00F901A8"/>
    <w:rsid w:val="00F943E6"/>
    <w:rsid w:val="00F94B01"/>
    <w:rsid w:val="00F96466"/>
    <w:rsid w:val="00FA2BDD"/>
    <w:rsid w:val="00FA390E"/>
    <w:rsid w:val="00FA4180"/>
    <w:rsid w:val="00FB3421"/>
    <w:rsid w:val="00FC204F"/>
    <w:rsid w:val="00FC50C4"/>
    <w:rsid w:val="00FD071D"/>
    <w:rsid w:val="00FD3DD2"/>
    <w:rsid w:val="00FE27C0"/>
    <w:rsid w:val="00FE507B"/>
    <w:rsid w:val="00FE629D"/>
    <w:rsid w:val="00FF5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1B06B3"/>
  <w15:docId w15:val="{21ECB76F-1364-4571-A47B-F51A89EB2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rsid w:val="00C271CF"/>
    <w:pPr>
      <w:tabs>
        <w:tab w:val="center" w:pos="4680"/>
        <w:tab w:val="right" w:pos="9360"/>
      </w:tabs>
      <w:spacing w:after="0"/>
    </w:pPr>
  </w:style>
  <w:style w:type="character" w:customStyle="1" w:styleId="HeaderChar">
    <w:name w:val="Header Char"/>
    <w:basedOn w:val="DefaultParagraphFont"/>
    <w:link w:val="Header"/>
    <w:rsid w:val="00C271CF"/>
  </w:style>
  <w:style w:type="paragraph" w:styleId="Footer">
    <w:name w:val="footer"/>
    <w:basedOn w:val="Normal"/>
    <w:link w:val="FooterChar"/>
    <w:uiPriority w:val="99"/>
    <w:rsid w:val="00C271CF"/>
    <w:pPr>
      <w:tabs>
        <w:tab w:val="center" w:pos="4680"/>
        <w:tab w:val="right" w:pos="9360"/>
      </w:tabs>
      <w:spacing w:after="0"/>
    </w:pPr>
  </w:style>
  <w:style w:type="character" w:customStyle="1" w:styleId="FooterChar">
    <w:name w:val="Footer Char"/>
    <w:basedOn w:val="DefaultParagraphFont"/>
    <w:link w:val="Footer"/>
    <w:uiPriority w:val="99"/>
    <w:rsid w:val="00C271CF"/>
  </w:style>
  <w:style w:type="character" w:styleId="LineNumber">
    <w:name w:val="line number"/>
    <w:basedOn w:val="DefaultParagraphFont"/>
    <w:rsid w:val="00083044"/>
  </w:style>
  <w:style w:type="character" w:styleId="UnresolvedMention">
    <w:name w:val="Unresolved Mention"/>
    <w:basedOn w:val="DefaultParagraphFont"/>
    <w:uiPriority w:val="99"/>
    <w:semiHidden/>
    <w:unhideWhenUsed/>
    <w:rsid w:val="00B83C9D"/>
    <w:rPr>
      <w:color w:val="605E5C"/>
      <w:shd w:val="clear" w:color="auto" w:fill="E1DFDD"/>
    </w:rPr>
  </w:style>
  <w:style w:type="paragraph" w:styleId="Revision">
    <w:name w:val="Revision"/>
    <w:hidden/>
    <w:rsid w:val="002A3A13"/>
    <w:pPr>
      <w:spacing w:after="0"/>
    </w:pPr>
  </w:style>
  <w:style w:type="character" w:styleId="CommentReference">
    <w:name w:val="annotation reference"/>
    <w:basedOn w:val="DefaultParagraphFont"/>
    <w:rsid w:val="00BA678A"/>
    <w:rPr>
      <w:sz w:val="16"/>
      <w:szCs w:val="16"/>
    </w:rPr>
  </w:style>
  <w:style w:type="paragraph" w:styleId="CommentText">
    <w:name w:val="annotation text"/>
    <w:basedOn w:val="Normal"/>
    <w:link w:val="CommentTextChar"/>
    <w:rsid w:val="00BA678A"/>
    <w:rPr>
      <w:sz w:val="20"/>
      <w:szCs w:val="20"/>
    </w:rPr>
  </w:style>
  <w:style w:type="character" w:customStyle="1" w:styleId="CommentTextChar">
    <w:name w:val="Comment Text Char"/>
    <w:basedOn w:val="DefaultParagraphFont"/>
    <w:link w:val="CommentText"/>
    <w:rsid w:val="00BA678A"/>
    <w:rPr>
      <w:sz w:val="20"/>
      <w:szCs w:val="20"/>
    </w:rPr>
  </w:style>
  <w:style w:type="paragraph" w:styleId="CommentSubject">
    <w:name w:val="annotation subject"/>
    <w:basedOn w:val="CommentText"/>
    <w:next w:val="CommentText"/>
    <w:link w:val="CommentSubjectChar"/>
    <w:rsid w:val="00BA678A"/>
    <w:rPr>
      <w:b/>
      <w:bCs/>
    </w:rPr>
  </w:style>
  <w:style w:type="character" w:customStyle="1" w:styleId="CommentSubjectChar">
    <w:name w:val="Comment Subject Char"/>
    <w:basedOn w:val="CommentTextChar"/>
    <w:link w:val="CommentSubject"/>
    <w:rsid w:val="00BA678A"/>
    <w:rPr>
      <w:b/>
      <w:bCs/>
      <w:sz w:val="20"/>
      <w:szCs w:val="20"/>
    </w:rPr>
  </w:style>
  <w:style w:type="character" w:styleId="PlaceholderText">
    <w:name w:val="Placeholder Text"/>
    <w:basedOn w:val="DefaultParagraphFont"/>
    <w:rsid w:val="005330D0"/>
    <w:rPr>
      <w:color w:val="666666"/>
    </w:rPr>
  </w:style>
  <w:style w:type="paragraph" w:styleId="NormalWeb">
    <w:name w:val="Normal (Web)"/>
    <w:basedOn w:val="Normal"/>
    <w:rsid w:val="009A178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oris.unibe.ch/185024/1/Summary_of_the_Gurten_Event_on_Deforestation-free_Supply_Chains___28.06.2023.pdf" TargetMode="External"/><Relationship Id="rId21" Type="http://schemas.openxmlformats.org/officeDocument/2006/relationships/hyperlink" Target="https://doi.org/10.1257/000282803321455214" TargetMode="External"/><Relationship Id="rId42" Type="http://schemas.openxmlformats.org/officeDocument/2006/relationships/hyperlink" Target="https://doi.org/10.1111/joes.12628" TargetMode="External"/><Relationship Id="rId47" Type="http://schemas.openxmlformats.org/officeDocument/2006/relationships/hyperlink" Target="https://doi.org/10.1111/1746-692X.12436" TargetMode="External"/><Relationship Id="rId63" Type="http://schemas.openxmlformats.org/officeDocument/2006/relationships/hyperlink" Target="https://doi.org/10.5281/ZENODO.5886600" TargetMode="External"/><Relationship Id="rId68" Type="http://schemas.openxmlformats.org/officeDocument/2006/relationships/hyperlink" Target="https://doi.org/10.1111/roie.12793" TargetMode="External"/><Relationship Id="rId16" Type="http://schemas.openxmlformats.org/officeDocument/2006/relationships/image" Target="media/image6.png"/><Relationship Id="rId11" Type="http://schemas.openxmlformats.org/officeDocument/2006/relationships/hyperlink" Target="http://localhost:3076/?quartoPreviewReqId=1757385305104&amp;quartoPreviewThemeCategory=dark" TargetMode="External"/><Relationship Id="rId32" Type="http://schemas.openxmlformats.org/officeDocument/2006/relationships/hyperlink" Target="https://doi.org/10.1002/jaa2.77" TargetMode="External"/><Relationship Id="rId37" Type="http://schemas.openxmlformats.org/officeDocument/2006/relationships/hyperlink" Target="https://doi.org/10.1016/j.jinteco.2015.05.005" TargetMode="External"/><Relationship Id="rId53" Type="http://schemas.openxmlformats.org/officeDocument/2006/relationships/hyperlink" Target="https://www.macmap.org/" TargetMode="External"/><Relationship Id="rId58" Type="http://schemas.openxmlformats.org/officeDocument/2006/relationships/hyperlink" Target="https://doi.org/10.1016/j.jinteco.2017.09.003" TargetMode="External"/><Relationship Id="rId74" Type="http://schemas.openxmlformats.org/officeDocument/2006/relationships/hyperlink" Target="https://resources.trase.earth/documents/Briefings/soy-and-legal-compliance-in-brazil-report.pdf" TargetMode="External"/><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doi.org/10.1016/j.cosust.2024.101505" TargetMode="External"/><Relationship Id="rId19" Type="http://schemas.openxmlformats.org/officeDocument/2006/relationships/hyperlink" Target="https://doi.org/10.1162/REST_a_00438" TargetMode="External"/><Relationship Id="rId14" Type="http://schemas.openxmlformats.org/officeDocument/2006/relationships/image" Target="media/image4.png"/><Relationship Id="rId22" Type="http://schemas.openxmlformats.org/officeDocument/2006/relationships/hyperlink" Target="https://doi.org/10.1016/j.jinteco.2006.02.005" TargetMode="External"/><Relationship Id="rId27" Type="http://schemas.openxmlformats.org/officeDocument/2006/relationships/hyperlink" Target="https://doi.org/10.1038/s41893-020-0507-8" TargetMode="External"/><Relationship Id="rId30" Type="http://schemas.openxmlformats.org/officeDocument/2006/relationships/hyperlink" Target="https://www.cepii.fr/DATA_DOWNLOAD/gravity/doc/Gravity_documentation.pdf" TargetMode="External"/><Relationship Id="rId35" Type="http://schemas.openxmlformats.org/officeDocument/2006/relationships/hyperlink" Target="https://fefac.eu/wp-content/uploads/2024/09/24_MEMO_21-rev5-1.pdf" TargetMode="External"/><Relationship Id="rId43" Type="http://schemas.openxmlformats.org/officeDocument/2006/relationships/hyperlink" Target="https://www.jstor.org/stable/resrep59643" TargetMode="External"/><Relationship Id="rId48" Type="http://schemas.openxmlformats.org/officeDocument/2006/relationships/hyperlink" Target="https://doi.org/10.4236/ojbm.2024.126225" TargetMode="External"/><Relationship Id="rId56" Type="http://schemas.openxmlformats.org/officeDocument/2006/relationships/hyperlink" Target="https://www.usitc.gov/publications/332/working_papers/itpd_e_r03.pdf" TargetMode="External"/><Relationship Id="rId64" Type="http://schemas.openxmlformats.org/officeDocument/2006/relationships/hyperlink" Target="https://trase.earth/insights/deduce-new-data-to-inform-action-against-commodity-driven-deforestation" TargetMode="External"/><Relationship Id="rId69" Type="http://schemas.openxmlformats.org/officeDocument/2006/relationships/hyperlink" Target="https://doi.org/10.1093/qje/qjaa042" TargetMode="External"/><Relationship Id="rId77" Type="http://schemas.openxmlformats.org/officeDocument/2006/relationships/hyperlink" Target="https://www.worldbank.org/en/research/commodity-markets" TargetMode="External"/><Relationship Id="rId8" Type="http://schemas.openxmlformats.org/officeDocument/2006/relationships/image" Target="media/image1.png"/><Relationship Id="rId51" Type="http://schemas.openxmlformats.org/officeDocument/2006/relationships/hyperlink" Target="https://doi.org/10.1257/aeri.20230286" TargetMode="External"/><Relationship Id="rId72" Type="http://schemas.openxmlformats.org/officeDocument/2006/relationships/hyperlink" Target="https://doi.org/10.1038/s41893-021-00729-z"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16/j.ecolecon.2013.12.010" TargetMode="External"/><Relationship Id="rId33" Type="http://schemas.openxmlformats.org/officeDocument/2006/relationships/hyperlink" Target="https://doi.org/10.1088/1748-9326/ab6497" TargetMode="External"/><Relationship Id="rId38" Type="http://schemas.openxmlformats.org/officeDocument/2006/relationships/hyperlink" Target="https://www.fao.org/faostat/en/" TargetMode="External"/><Relationship Id="rId46" Type="http://schemas.openxmlformats.org/officeDocument/2006/relationships/hyperlink" Target="https://doi.org/10.2139/ssrn.1994500" TargetMode="External"/><Relationship Id="rId59" Type="http://schemas.openxmlformats.org/officeDocument/2006/relationships/hyperlink" Target="https://doi.org/10.1016/j.jpolmod.2011.11.001" TargetMode="External"/><Relationship Id="rId67" Type="http://schemas.openxmlformats.org/officeDocument/2006/relationships/hyperlink" Target="https://doi.org/10.1111/1477-9552.12316" TargetMode="External"/><Relationship Id="rId20" Type="http://schemas.openxmlformats.org/officeDocument/2006/relationships/hyperlink" Target="https://doi.org/10.1111/twec.12664" TargetMode="External"/><Relationship Id="rId41" Type="http://schemas.openxmlformats.org/officeDocument/2006/relationships/hyperlink" Target="https://doi.org/10.1016/j.gloenvcha.2017.05.001" TargetMode="External"/><Relationship Id="rId54" Type="http://schemas.openxmlformats.org/officeDocument/2006/relationships/hyperlink" Target="https://kpmg.com/be/en/home/insights/2023/02/sus-the-eu-anti-deforestation-regulation.html" TargetMode="External"/><Relationship Id="rId62" Type="http://schemas.openxmlformats.org/officeDocument/2006/relationships/hyperlink" Target="https://doi.org/10.1016/j.ecolecon.2023.108053" TargetMode="External"/><Relationship Id="rId70" Type="http://schemas.openxmlformats.org/officeDocument/2006/relationships/hyperlink" Target="https://doi.org/10.1162/rest.88.4.641" TargetMode="External"/><Relationship Id="rId75" Type="http://schemas.openxmlformats.org/officeDocument/2006/relationships/hyperlink" Target="https://doi.org/10.1111/ajae.1253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doi.org/10.1016/j.eneco.2023.106673" TargetMode="External"/><Relationship Id="rId28" Type="http://schemas.openxmlformats.org/officeDocument/2006/relationships/hyperlink" Target="https://doi.org/10.1017/S1474745620000130" TargetMode="External"/><Relationship Id="rId36" Type="http://schemas.openxmlformats.org/officeDocument/2006/relationships/hyperlink" Target="https://eur-lex.europa.eu/legal-content/EN/TXT/PDF/?uri=CELEX:32023R1115" TargetMode="External"/><Relationship Id="rId49" Type="http://schemas.openxmlformats.org/officeDocument/2006/relationships/hyperlink" Target="https://www.nber.org/system/files/working_papers/w32392/w32392.pdf" TargetMode="External"/><Relationship Id="rId57" Type="http://schemas.openxmlformats.org/officeDocument/2006/relationships/hyperlink" Target="https://doi.org/10.1596/1813-9450-9791" TargetMode="External"/><Relationship Id="rId10" Type="http://schemas.openxmlformats.org/officeDocument/2006/relationships/hyperlink" Target="http://localhost:3076/?quartoPreviewReqId=1757385305104&amp;quartoPreviewThemeCategory=dark" TargetMode="External"/><Relationship Id="rId31" Type="http://schemas.openxmlformats.org/officeDocument/2006/relationships/hyperlink" Target="https://doi.org/10.1016/bs.hesint.2022.02.002" TargetMode="External"/><Relationship Id="rId44" Type="http://schemas.openxmlformats.org/officeDocument/2006/relationships/hyperlink" Target="https://doi.org/10.1016/j.dib.2022.108668" TargetMode="External"/><Relationship Id="rId52" Type="http://schemas.openxmlformats.org/officeDocument/2006/relationships/hyperlink" Target="https://doi.org/10.1111/1758-5899.12611" TargetMode="External"/><Relationship Id="rId60" Type="http://schemas.openxmlformats.org/officeDocument/2006/relationships/hyperlink" Target="https://doi.org/10.1016/j.ecolecon.2024.108389" TargetMode="External"/><Relationship Id="rId65" Type="http://schemas.openxmlformats.org/officeDocument/2006/relationships/hyperlink" Target="https://media.rabobank.com/m/49f1008d03f026ea/original/The-EU-Deforestation-Regulation-is-a-complex-and-costly-undertaking.pdf" TargetMode="External"/><Relationship Id="rId73" Type="http://schemas.openxmlformats.org/officeDocument/2006/relationships/hyperlink" Target="https://doi.org/10.1038/s41598-021-04043-8" TargetMode="External"/><Relationship Id="rId78" Type="http://schemas.openxmlformats.org/officeDocument/2006/relationships/hyperlink" Target="https://www.wto.org/english/res_e/booksp_e/advancedwtounctad2016_e.pdf"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localhost:5544/?quartoPreviewReqId=1757377906538&amp;quartoPreviewThemeCategory=dark" TargetMode="External"/><Relationship Id="rId13" Type="http://schemas.openxmlformats.org/officeDocument/2006/relationships/image" Target="media/image3.png"/><Relationship Id="rId18" Type="http://schemas.openxmlformats.org/officeDocument/2006/relationships/hyperlink" Target="https://www.linkedin.com/pulse/unveiling-eus-green-ambitions-dual-impact-eu-deforestation-regulations-91olc" TargetMode="External"/><Relationship Id="rId39" Type="http://schemas.openxmlformats.org/officeDocument/2006/relationships/hyperlink" Target="https://alashkar.pages.iu.edu/Farrokhi_Lashkaripour_2024.pdf" TargetMode="External"/><Relationship Id="rId34" Type="http://schemas.openxmlformats.org/officeDocument/2006/relationships/hyperlink" Target="https://environment.ec.europa.eu/system/files/2021-11/SWD_2021_326_1_EN_impact_assessment_part1_v4.pdf" TargetMode="External"/><Relationship Id="rId50" Type="http://schemas.openxmlformats.org/officeDocument/2006/relationships/hyperlink" Target="http://www.nber.org/papers/w33161" TargetMode="External"/><Relationship Id="rId55" Type="http://schemas.openxmlformats.org/officeDocument/2006/relationships/hyperlink" Target="https://doi.org/10.21642/jgea.070202af" TargetMode="External"/><Relationship Id="rId76" Type="http://schemas.openxmlformats.org/officeDocument/2006/relationships/hyperlink" Target="https://doi.org/10.1038/s41467-022-33213-z" TargetMode="External"/><Relationship Id="rId7" Type="http://schemas.openxmlformats.org/officeDocument/2006/relationships/endnotes" Target="endnotes.xml"/><Relationship Id="rId71" Type="http://schemas.openxmlformats.org/officeDocument/2006/relationships/hyperlink" Target="https://doi.org/10.5281/zenodo.13624636" TargetMode="External"/><Relationship Id="rId2" Type="http://schemas.openxmlformats.org/officeDocument/2006/relationships/numbering" Target="numbering.xml"/><Relationship Id="rId29" Type="http://schemas.openxmlformats.org/officeDocument/2006/relationships/hyperlink" Target="https://comtradeplus.un.org/" TargetMode="External"/><Relationship Id="rId24" Type="http://schemas.openxmlformats.org/officeDocument/2006/relationships/hyperlink" Target="https://doi.org/10.1016/j.jpubeco.2017.03.006" TargetMode="External"/><Relationship Id="rId40" Type="http://schemas.openxmlformats.org/officeDocument/2006/relationships/hyperlink" Target="https://doi.org/10.1111/1467-9485.00244" TargetMode="External"/><Relationship Id="rId45" Type="http://schemas.openxmlformats.org/officeDocument/2006/relationships/hyperlink" Target="https://www.ers.usda.gov/webdocs/outlooks/93390/ocs-19f-01.pdf?v=226.2" TargetMode="External"/><Relationship Id="rId66" Type="http://schemas.openxmlformats.org/officeDocument/2006/relationships/hyperlink" Target="https://doi.org/10.1111/ajae.124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17FF95-8F8B-4D9F-91B5-29A4C4CB6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46</Pages>
  <Words>11163</Words>
  <Characters>66644</Characters>
  <Application>Microsoft Office Word</Application>
  <DocSecurity>0</DocSecurity>
  <Lines>1057</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dc:creator>
  <cp:keywords/>
  <dc:description/>
  <cp:lastModifiedBy>Manoj Sharma</cp:lastModifiedBy>
  <cp:revision>13</cp:revision>
  <cp:lastPrinted>2025-11-20T17:08:00Z</cp:lastPrinted>
  <dcterms:created xsi:type="dcterms:W3CDTF">2026-02-25T23:01:00Z</dcterms:created>
  <dcterms:modified xsi:type="dcterms:W3CDTF">2026-04-09T18:23:00Z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ajae.csl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nk-citations">
    <vt:lpwstr>True</vt:lpwstr>
  </property>
  <property fmtid="{D5CDD505-2E9C-101B-9397-08002B2CF9AE}" pid="10" name="self_contained">
    <vt:lpwstr>True</vt:lpwstr>
  </property>
  <property fmtid="{D5CDD505-2E9C-101B-9397-08002B2CF9AE}" pid="11" name="subtitle">
    <vt:lpwstr/>
  </property>
  <property fmtid="{D5CDD505-2E9C-101B-9397-08002B2CF9AE}" pid="12" name="toc-title">
    <vt:lpwstr>Table of contents</vt:lpwstr>
  </property>
  <property fmtid="{D5CDD505-2E9C-101B-9397-08002B2CF9AE}" pid="13" name="GrammarlyDocumentId">
    <vt:lpwstr>57b820b9-9550-401a-83a1-0a188d3ee83d</vt:lpwstr>
  </property>
</Properties>
</file>