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Override ContentType="application/vnd.openxmlformats-officedocument.wordprocessingml.header+xml" PartName="/word/header2.xml"/>
  <Override ContentType="application/vnd.openxmlformats-officedocument.wordprocessingml.footer+xml" PartName="/word/footer2.xml"/>
  <Override ContentType="application/vnd.openxmlformats-officedocument.wordprocessingml.header+xml" PartName="/word/header3.xml"/>
  <Override ContentType="application/vnd.openxmlformats-officedocument.wordprocessingml.footer+xml" PartName="/word/footer3.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00" w:before="2400"/>
        <w:jc w:val="center"/>
      </w:pPr>
      <w:r>
        <w:rPr>
          <w:b/>
          <w:bCs/>
          <w:color w:val="1F3864"/>
          <w:sz w:val="44"/>
          <w:szCs w:val="44"/>
        </w:rPr>
        <w:t xml:space="preserve">LITERATURE REVIEW</w:t>
      </w:r>
    </w:p>
    <w:p>
      <w:pPr>
        <w:spacing w:after="600"/>
        <w:jc w:val="center"/>
      </w:pPr>
      <w:r>
        <w:rPr>
          <w:sz w:val="32"/>
          <w:szCs w:val="32"/>
        </w:rPr>
        <w:t xml:space="preserve">Security of the AI/ML Supply Chain</w:t>
      </w:r>
    </w:p>
    <w:p>
      <w:pPr>
        <w:spacing w:after="120"/>
        <w:jc w:val="center"/>
      </w:pPr>
      <w:r>
        <w:rPr>
          <w:i/>
          <w:iCs/>
          <w:sz w:val="24"/>
          <w:szCs w:val="24"/>
        </w:rPr>
        <w:t xml:space="preserve">Project: AISecGuard – A Comprehensive Security Platform for the AI Supply Chain</w:t>
      </w:r>
    </w:p>
    <w:p>
      <w:pPr>
        <w:spacing w:after="1600"/>
        <w:jc w:val="center"/>
      </w:pPr>
      <w:r>
        <w:rPr>
          <w:sz w:val="24"/>
          <w:szCs w:val="24"/>
        </w:rPr>
        <w:t xml:space="preserve">A review of 20 research papers</w:t>
      </w:r>
    </w:p>
    <w:p>
      <w:r>
        <w:br w:type="page"/>
      </w:r>
    </w:p>
    <w:p>
      <w:pPr>
        <w:pStyle w:val="Heading1"/>
      </w:pPr>
      <w:r>
        <w:t xml:space="preserve">1. Introduction</w:t>
      </w:r>
    </w:p>
    <w:p>
      <w:pPr>
        <w:spacing w:after="120" w:line="300"/>
        <w:jc w:val="both"/>
      </w:pPr>
      <w:r>
        <w:t xml:space="preserve">Artificial Intelligence (AI) and Machine Learning (ML) systems are now built from many parts that their owners do not fully control: training data collected from the web, pre-trained models downloaded from public hubs, open-source frameworks and GPU libraries, and serving infrastructure exposed to untrusted users. Each of these parts is a link in the AI supply chain, and each can be attacked. Traditional cybersecurity tools protect networks and code, but they do not detect a poisoned dataset, a backdoored model, or an adversarial input.</w:t>
      </w:r>
    </w:p>
    <w:p>
      <w:pPr>
        <w:spacing w:after="120" w:line="300"/>
        <w:jc w:val="both"/>
      </w:pPr>
      <w:r>
        <w:t xml:space="preserve">This literature review examines 20 research papers that together cover the main stages of the AI supply chain. Its purpose is to establish what is already known about each class of threat and defence, identify the gaps that remain, and show how the proposed system, AISecGuard, builds on and extends this body of work.</w:t>
      </w:r>
    </w:p>
    <w:p>
      <w:pPr>
        <w:pStyle w:val="Heading2"/>
      </w:pPr>
      <w:r>
        <w:t xml:space="preserve">1.1 Objectives of the review</w:t>
      </w:r>
    </w:p>
    <w:p>
      <w:pPr>
        <w:pStyle w:val="ListParagraph"/>
        <w:numPr>
          <w:ilvl w:val="0"/>
          <w:numId w:val="2"/>
        </w:numPr>
        <w:spacing w:after="80" w:line="290"/>
      </w:pPr>
      <w:r>
        <w:t xml:space="preserve">Identify the main attacks against each stage of the AI supply chain: data, models, frameworks, deployment and governance.</w:t>
      </w:r>
    </w:p>
    <w:p>
      <w:pPr>
        <w:pStyle w:val="ListParagraph"/>
        <w:numPr>
          <w:ilvl w:val="0"/>
          <w:numId w:val="2"/>
        </w:numPr>
        <w:spacing w:after="80" w:line="290"/>
      </w:pPr>
      <w:r>
        <w:t xml:space="preserve">Review the defences proposed in the literature and assess their strengths and limitations.</w:t>
      </w:r>
    </w:p>
    <w:p>
      <w:pPr>
        <w:pStyle w:val="ListParagraph"/>
        <w:numPr>
          <w:ilvl w:val="0"/>
          <w:numId w:val="2"/>
        </w:numPr>
        <w:spacing w:after="80" w:line="290"/>
      </w:pPr>
      <w:r>
        <w:t xml:space="preserve">Identify research gaps that justify an integrated security platform.</w:t>
      </w:r>
    </w:p>
    <w:p>
      <w:pPr>
        <w:pStyle w:val="ListParagraph"/>
        <w:numPr>
          <w:ilvl w:val="0"/>
          <w:numId w:val="2"/>
        </w:numPr>
        <w:spacing w:after="80" w:line="290"/>
      </w:pPr>
      <w:r>
        <w:t xml:space="preserve">Map each paper to the AISecGuard component that it informs.</w:t>
      </w:r>
    </w:p>
    <w:p>
      <w:pPr>
        <w:pStyle w:val="Heading1"/>
      </w:pPr>
      <w:r>
        <w:t xml:space="preserve">2. Review Methodology</w:t>
      </w:r>
    </w:p>
    <w:p>
      <w:pPr>
        <w:spacing w:after="120" w:line="300"/>
        <w:jc w:val="both"/>
      </w:pPr>
      <w:r>
        <w:t xml:space="preserve">Papers were selected for direct relevance to the six components of AISecGuard. Preference was given to peer-reviewed work from leading security, machine learning and software engineering venues (IEEE S&amp;P, USENIX Security, ACM CCS, NDSS, NeurIPS, ICLR, ACL, ICSE and ASE), combining foundational papers that defined each problem with recent empirical studies of real-world ecosystems such as Hugging Face. The 20 papers span 2015 to 2024 and are grouped into six themes (Table 1).</w:t>
      </w:r>
    </w:p>
    <w:p>
      <w:pPr>
        <w:spacing w:after="80"/>
      </w:pPr>
      <w:r>
        <w:rPr>
          <w:b/>
          <w:bCs/>
          <w:sz w:val="20"/>
          <w:szCs w:val="20"/>
        </w:rPr>
        <w:t xml:space="preserve">Table 1. Themes, papers and AISecGuard components</w:t>
      </w:r>
    </w:p>
    <w:tbl>
      <w:tblPr>
        <w:tblW w:type="dxa" w:w="9026"/>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700"/>
        <w:gridCol w:w="4300"/>
        <w:gridCol w:w="3026"/>
      </w:tblGrid>
      <w:tr>
        <w:trPr>
          <w:tblHeader/>
        </w:trPr>
        <w:tc>
          <w:tcPr>
            <w:tcW w:type="dxa" w:w="1700"/>
            <w:tcBorders>
              <w:top w:val="single" w:color="A6A6A6" w:sz="4"/>
              <w:left w:val="single" w:color="A6A6A6" w:sz="4"/>
              <w:bottom w:val="single" w:color="A6A6A6" w:sz="4"/>
              <w:right w:val="single" w:color="A6A6A6" w:sz="4"/>
            </w:tcBorders>
            <w:shd w:fill="1F3864" w:color="auto" w:val="clear"/>
            <w:tcMar>
              <w:top w:type="dxa" w:w="45"/>
              <w:left w:type="dxa" w:w="90"/>
              <w:bottom w:type="dxa" w:w="45"/>
              <w:right w:type="dxa" w:w="90"/>
            </w:tcMar>
            <w:vAlign w:val="top"/>
          </w:tcPr>
          <w:p>
            <w:pPr>
              <w:spacing w:after="0" w:line="252"/>
            </w:pPr>
            <w:r>
              <w:rPr>
                <w:b/>
                <w:bCs/>
                <w:color w:val="FFFFFF"/>
                <w:sz w:val="20"/>
                <w:szCs w:val="20"/>
              </w:rPr>
              <w:t xml:space="preserve">Theme</w:t>
            </w:r>
          </w:p>
        </w:tc>
        <w:tc>
          <w:tcPr>
            <w:tcW w:type="dxa" w:w="4300"/>
            <w:tcBorders>
              <w:top w:val="single" w:color="A6A6A6" w:sz="4"/>
              <w:left w:val="single" w:color="A6A6A6" w:sz="4"/>
              <w:bottom w:val="single" w:color="A6A6A6" w:sz="4"/>
              <w:right w:val="single" w:color="A6A6A6" w:sz="4"/>
            </w:tcBorders>
            <w:shd w:fill="1F3864" w:color="auto" w:val="clear"/>
            <w:tcMar>
              <w:top w:type="dxa" w:w="45"/>
              <w:left w:type="dxa" w:w="90"/>
              <w:bottom w:type="dxa" w:w="45"/>
              <w:right w:type="dxa" w:w="90"/>
            </w:tcMar>
            <w:vAlign w:val="top"/>
          </w:tcPr>
          <w:p>
            <w:pPr>
              <w:spacing w:after="0" w:line="252"/>
            </w:pPr>
            <w:r>
              <w:rPr>
                <w:b/>
                <w:bCs/>
                <w:color w:val="FFFFFF"/>
                <w:sz w:val="20"/>
                <w:szCs w:val="20"/>
              </w:rPr>
              <w:t xml:space="preserve">Papers</w:t>
            </w:r>
          </w:p>
        </w:tc>
        <w:tc>
          <w:tcPr>
            <w:tcW w:type="dxa" w:w="3026"/>
            <w:tcBorders>
              <w:top w:val="single" w:color="A6A6A6" w:sz="4"/>
              <w:left w:val="single" w:color="A6A6A6" w:sz="4"/>
              <w:bottom w:val="single" w:color="A6A6A6" w:sz="4"/>
              <w:right w:val="single" w:color="A6A6A6" w:sz="4"/>
            </w:tcBorders>
            <w:shd w:fill="1F3864" w:color="auto" w:val="clear"/>
            <w:tcMar>
              <w:top w:type="dxa" w:w="45"/>
              <w:left w:type="dxa" w:w="90"/>
              <w:bottom w:type="dxa" w:w="45"/>
              <w:right w:type="dxa" w:w="90"/>
            </w:tcMar>
            <w:vAlign w:val="top"/>
          </w:tcPr>
          <w:p>
            <w:pPr>
              <w:spacing w:after="0" w:line="252"/>
            </w:pPr>
            <w:r>
              <w:rPr>
                <w:b/>
                <w:bCs/>
                <w:color w:val="FFFFFF"/>
                <w:sz w:val="20"/>
                <w:szCs w:val="20"/>
              </w:rPr>
              <w:t xml:space="preserve">AISecGuard component</w:t>
            </w:r>
          </w:p>
        </w:tc>
      </w:tr>
      <w:tr>
        <w:tc>
          <w:tcPr>
            <w:tcW w:type="dxa" w:w="1700"/>
            <w:tcBorders>
              <w:top w:val="single" w:color="A6A6A6" w:sz="4"/>
              <w:left w:val="single" w:color="A6A6A6" w:sz="4"/>
              <w:bottom w:val="single" w:color="A6A6A6" w:sz="4"/>
              <w:right w:val="single" w:color="A6A6A6" w:sz="4"/>
            </w:tcBorders>
            <w:tcMar>
              <w:top w:type="dxa" w:w="45"/>
              <w:left w:type="dxa" w:w="90"/>
              <w:bottom w:type="dxa" w:w="45"/>
              <w:right w:type="dxa" w:w="90"/>
            </w:tcMar>
            <w:vAlign w:val="top"/>
          </w:tcPr>
          <w:p>
            <w:pPr>
              <w:spacing w:after="0" w:line="252"/>
            </w:pPr>
            <w:r>
              <w:rPr>
                <w:b w:val="false"/>
                <w:bCs w:val="false"/>
                <w:sz w:val="20"/>
                <w:szCs w:val="20"/>
              </w:rPr>
              <w:t xml:space="preserve">Data poisoning and provenance</w:t>
            </w:r>
          </w:p>
        </w:tc>
        <w:tc>
          <w:tcPr>
            <w:tcW w:type="dxa" w:w="4300"/>
            <w:tcBorders>
              <w:top w:val="single" w:color="A6A6A6" w:sz="4"/>
              <w:left w:val="single" w:color="A6A6A6" w:sz="4"/>
              <w:bottom w:val="single" w:color="A6A6A6" w:sz="4"/>
              <w:right w:val="single" w:color="A6A6A6" w:sz="4"/>
            </w:tcBorders>
            <w:tcMar>
              <w:top w:type="dxa" w:w="45"/>
              <w:left w:type="dxa" w:w="90"/>
              <w:bottom w:type="dxa" w:w="45"/>
              <w:right w:type="dxa" w:w="90"/>
            </w:tcMar>
            <w:vAlign w:val="top"/>
          </w:tcPr>
          <w:p>
            <w:pPr>
              <w:spacing w:after="0" w:line="252"/>
            </w:pPr>
            <w:r>
              <w:rPr>
                <w:b w:val="false"/>
                <w:bCs w:val="false"/>
                <w:sz w:val="20"/>
                <w:szCs w:val="20"/>
              </w:rPr>
              <w:t xml:space="preserve">[1], [2]</w:t>
            </w:r>
          </w:p>
        </w:tc>
        <w:tc>
          <w:tcPr>
            <w:tcW w:type="dxa" w:w="3026"/>
            <w:tcBorders>
              <w:top w:val="single" w:color="A6A6A6" w:sz="4"/>
              <w:left w:val="single" w:color="A6A6A6" w:sz="4"/>
              <w:bottom w:val="single" w:color="A6A6A6" w:sz="4"/>
              <w:right w:val="single" w:color="A6A6A6" w:sz="4"/>
            </w:tcBorders>
            <w:tcMar>
              <w:top w:type="dxa" w:w="45"/>
              <w:left w:type="dxa" w:w="90"/>
              <w:bottom w:type="dxa" w:w="45"/>
              <w:right w:type="dxa" w:w="90"/>
            </w:tcMar>
            <w:vAlign w:val="top"/>
          </w:tcPr>
          <w:p>
            <w:pPr>
              <w:spacing w:after="0" w:line="252"/>
            </w:pPr>
            <w:r>
              <w:rPr>
                <w:b w:val="false"/>
                <w:bCs w:val="false"/>
                <w:sz w:val="20"/>
                <w:szCs w:val="20"/>
              </w:rPr>
              <w:t xml:space="preserve">C1 – Data Lineage &amp; Provenance</w:t>
            </w:r>
          </w:p>
        </w:tc>
      </w:tr>
      <w:tr>
        <w:tc>
          <w:tcPr>
            <w:tcW w:type="dxa" w:w="1700"/>
            <w:tcBorders>
              <w:top w:val="single" w:color="A6A6A6" w:sz="4"/>
              <w:left w:val="single" w:color="A6A6A6" w:sz="4"/>
              <w:bottom w:val="single" w:color="A6A6A6" w:sz="4"/>
              <w:right w:val="single" w:color="A6A6A6" w:sz="4"/>
            </w:tcBorders>
            <w:tcMar>
              <w:top w:type="dxa" w:w="45"/>
              <w:left w:type="dxa" w:w="90"/>
              <w:bottom w:type="dxa" w:w="45"/>
              <w:right w:type="dxa" w:w="90"/>
            </w:tcMar>
            <w:vAlign w:val="top"/>
          </w:tcPr>
          <w:p>
            <w:pPr>
              <w:spacing w:after="0" w:line="252"/>
            </w:pPr>
            <w:r>
              <w:rPr>
                <w:b w:val="false"/>
                <w:bCs w:val="false"/>
                <w:sz w:val="20"/>
                <w:szCs w:val="20"/>
              </w:rPr>
              <w:t xml:space="preserve">Model supply chain and integrity</w:t>
            </w:r>
          </w:p>
        </w:tc>
        <w:tc>
          <w:tcPr>
            <w:tcW w:type="dxa" w:w="4300"/>
            <w:tcBorders>
              <w:top w:val="single" w:color="A6A6A6" w:sz="4"/>
              <w:left w:val="single" w:color="A6A6A6" w:sz="4"/>
              <w:bottom w:val="single" w:color="A6A6A6" w:sz="4"/>
              <w:right w:val="single" w:color="A6A6A6" w:sz="4"/>
            </w:tcBorders>
            <w:tcMar>
              <w:top w:type="dxa" w:w="45"/>
              <w:left w:type="dxa" w:w="90"/>
              <w:bottom w:type="dxa" w:w="45"/>
              <w:right w:type="dxa" w:w="90"/>
            </w:tcMar>
            <w:vAlign w:val="top"/>
          </w:tcPr>
          <w:p>
            <w:pPr>
              <w:spacing w:after="0" w:line="252"/>
            </w:pPr>
            <w:r>
              <w:rPr>
                <w:b w:val="false"/>
                <w:bCs w:val="false"/>
                <w:sz w:val="20"/>
                <w:szCs w:val="20"/>
              </w:rPr>
              <w:t xml:space="preserve">[3], [4], [5], [6], [7]</w:t>
            </w:r>
          </w:p>
        </w:tc>
        <w:tc>
          <w:tcPr>
            <w:tcW w:type="dxa" w:w="3026"/>
            <w:tcBorders>
              <w:top w:val="single" w:color="A6A6A6" w:sz="4"/>
              <w:left w:val="single" w:color="A6A6A6" w:sz="4"/>
              <w:bottom w:val="single" w:color="A6A6A6" w:sz="4"/>
              <w:right w:val="single" w:color="A6A6A6" w:sz="4"/>
            </w:tcBorders>
            <w:tcMar>
              <w:top w:type="dxa" w:w="45"/>
              <w:left w:type="dxa" w:w="90"/>
              <w:bottom w:type="dxa" w:w="45"/>
              <w:right w:type="dxa" w:w="90"/>
            </w:tcMar>
            <w:vAlign w:val="top"/>
          </w:tcPr>
          <w:p>
            <w:pPr>
              <w:spacing w:after="0" w:line="252"/>
            </w:pPr>
            <w:r>
              <w:rPr>
                <w:b w:val="false"/>
                <w:bCs w:val="false"/>
                <w:sz w:val="20"/>
                <w:szCs w:val="20"/>
              </w:rPr>
              <w:t xml:space="preserve">C2 – Model Integrity Engine</w:t>
            </w:r>
          </w:p>
        </w:tc>
      </w:tr>
      <w:tr>
        <w:tc>
          <w:tcPr>
            <w:tcW w:type="dxa" w:w="1700"/>
            <w:tcBorders>
              <w:top w:val="single" w:color="A6A6A6" w:sz="4"/>
              <w:left w:val="single" w:color="A6A6A6" w:sz="4"/>
              <w:bottom w:val="single" w:color="A6A6A6" w:sz="4"/>
              <w:right w:val="single" w:color="A6A6A6" w:sz="4"/>
            </w:tcBorders>
            <w:tcMar>
              <w:top w:type="dxa" w:w="45"/>
              <w:left w:type="dxa" w:w="90"/>
              <w:bottom w:type="dxa" w:w="45"/>
              <w:right w:type="dxa" w:w="90"/>
            </w:tcMar>
            <w:vAlign w:val="top"/>
          </w:tcPr>
          <w:p>
            <w:pPr>
              <w:spacing w:after="0" w:line="252"/>
            </w:pPr>
            <w:r>
              <w:rPr>
                <w:b w:val="false"/>
                <w:bCs w:val="false"/>
                <w:sz w:val="20"/>
                <w:szCs w:val="20"/>
              </w:rPr>
              <w:t xml:space="preserve">Framework and dependency vulnerabilities</w:t>
            </w:r>
          </w:p>
        </w:tc>
        <w:tc>
          <w:tcPr>
            <w:tcW w:type="dxa" w:w="4300"/>
            <w:tcBorders>
              <w:top w:val="single" w:color="A6A6A6" w:sz="4"/>
              <w:left w:val="single" w:color="A6A6A6" w:sz="4"/>
              <w:bottom w:val="single" w:color="A6A6A6" w:sz="4"/>
              <w:right w:val="single" w:color="A6A6A6" w:sz="4"/>
            </w:tcBorders>
            <w:tcMar>
              <w:top w:type="dxa" w:w="45"/>
              <w:left w:type="dxa" w:w="90"/>
              <w:bottom w:type="dxa" w:w="45"/>
              <w:right w:type="dxa" w:w="90"/>
            </w:tcMar>
            <w:vAlign w:val="top"/>
          </w:tcPr>
          <w:p>
            <w:pPr>
              <w:spacing w:after="0" w:line="252"/>
            </w:pPr>
            <w:r>
              <w:rPr>
                <w:b w:val="false"/>
                <w:bCs w:val="false"/>
                <w:sz w:val="20"/>
                <w:szCs w:val="20"/>
              </w:rPr>
              <w:t xml:space="preserve">[8], [9]</w:t>
            </w:r>
          </w:p>
        </w:tc>
        <w:tc>
          <w:tcPr>
            <w:tcW w:type="dxa" w:w="3026"/>
            <w:tcBorders>
              <w:top w:val="single" w:color="A6A6A6" w:sz="4"/>
              <w:left w:val="single" w:color="A6A6A6" w:sz="4"/>
              <w:bottom w:val="single" w:color="A6A6A6" w:sz="4"/>
              <w:right w:val="single" w:color="A6A6A6" w:sz="4"/>
            </w:tcBorders>
            <w:tcMar>
              <w:top w:type="dxa" w:w="45"/>
              <w:left w:type="dxa" w:w="90"/>
              <w:bottom w:type="dxa" w:w="45"/>
              <w:right w:type="dxa" w:w="90"/>
            </w:tcMar>
            <w:vAlign w:val="top"/>
          </w:tcPr>
          <w:p>
            <w:pPr>
              <w:spacing w:after="0" w:line="252"/>
            </w:pPr>
            <w:r>
              <w:rPr>
                <w:b w:val="false"/>
                <w:bCs w:val="false"/>
                <w:sz w:val="20"/>
                <w:szCs w:val="20"/>
              </w:rPr>
              <w:t xml:space="preserve">C3 – Framework Vulnerability Scanner</w:t>
            </w:r>
          </w:p>
        </w:tc>
      </w:tr>
      <w:tr>
        <w:tc>
          <w:tcPr>
            <w:tcW w:type="dxa" w:w="1700"/>
            <w:tcBorders>
              <w:top w:val="single" w:color="A6A6A6" w:sz="4"/>
              <w:left w:val="single" w:color="A6A6A6" w:sz="4"/>
              <w:bottom w:val="single" w:color="A6A6A6" w:sz="4"/>
              <w:right w:val="single" w:color="A6A6A6" w:sz="4"/>
            </w:tcBorders>
            <w:tcMar>
              <w:top w:type="dxa" w:w="45"/>
              <w:left w:type="dxa" w:w="90"/>
              <w:bottom w:type="dxa" w:w="45"/>
              <w:right w:type="dxa" w:w="90"/>
            </w:tcMar>
            <w:vAlign w:val="top"/>
          </w:tcPr>
          <w:p>
            <w:pPr>
              <w:spacing w:after="0" w:line="252"/>
            </w:pPr>
            <w:r>
              <w:rPr>
                <w:b w:val="false"/>
                <w:bCs w:val="false"/>
                <w:sz w:val="20"/>
                <w:szCs w:val="20"/>
              </w:rPr>
              <w:t xml:space="preserve">Backdoor detection and mitigation</w:t>
            </w:r>
          </w:p>
        </w:tc>
        <w:tc>
          <w:tcPr>
            <w:tcW w:type="dxa" w:w="4300"/>
            <w:tcBorders>
              <w:top w:val="single" w:color="A6A6A6" w:sz="4"/>
              <w:left w:val="single" w:color="A6A6A6" w:sz="4"/>
              <w:bottom w:val="single" w:color="A6A6A6" w:sz="4"/>
              <w:right w:val="single" w:color="A6A6A6" w:sz="4"/>
            </w:tcBorders>
            <w:tcMar>
              <w:top w:type="dxa" w:w="45"/>
              <w:left w:type="dxa" w:w="90"/>
              <w:bottom w:type="dxa" w:w="45"/>
              <w:right w:type="dxa" w:w="90"/>
            </w:tcMar>
            <w:vAlign w:val="top"/>
          </w:tcPr>
          <w:p>
            <w:pPr>
              <w:spacing w:after="0" w:line="252"/>
            </w:pPr>
            <w:r>
              <w:rPr>
                <w:b w:val="false"/>
                <w:bCs w:val="false"/>
                <w:sz w:val="20"/>
                <w:szCs w:val="20"/>
              </w:rPr>
              <w:t xml:space="preserve">[10], [11], [12], [13], [14]</w:t>
            </w:r>
          </w:p>
        </w:tc>
        <w:tc>
          <w:tcPr>
            <w:tcW w:type="dxa" w:w="3026"/>
            <w:tcBorders>
              <w:top w:val="single" w:color="A6A6A6" w:sz="4"/>
              <w:left w:val="single" w:color="A6A6A6" w:sz="4"/>
              <w:bottom w:val="single" w:color="A6A6A6" w:sz="4"/>
              <w:right w:val="single" w:color="A6A6A6" w:sz="4"/>
            </w:tcBorders>
            <w:tcMar>
              <w:top w:type="dxa" w:w="45"/>
              <w:left w:type="dxa" w:w="90"/>
              <w:bottom w:type="dxa" w:w="45"/>
              <w:right w:type="dxa" w:w="90"/>
            </w:tcMar>
            <w:vAlign w:val="top"/>
          </w:tcPr>
          <w:p>
            <w:pPr>
              <w:spacing w:after="0" w:line="252"/>
            </w:pPr>
            <w:r>
              <w:rPr>
                <w:b w:val="false"/>
                <w:bCs w:val="false"/>
                <w:sz w:val="20"/>
                <w:szCs w:val="20"/>
              </w:rPr>
              <w:t xml:space="preserve">C4 – Backdoor Detection Engine</w:t>
            </w:r>
          </w:p>
        </w:tc>
      </w:tr>
      <w:tr>
        <w:tc>
          <w:tcPr>
            <w:tcW w:type="dxa" w:w="1700"/>
            <w:tcBorders>
              <w:top w:val="single" w:color="A6A6A6" w:sz="4"/>
              <w:left w:val="single" w:color="A6A6A6" w:sz="4"/>
              <w:bottom w:val="single" w:color="A6A6A6" w:sz="4"/>
              <w:right w:val="single" w:color="A6A6A6" w:sz="4"/>
            </w:tcBorders>
            <w:tcMar>
              <w:top w:type="dxa" w:w="45"/>
              <w:left w:type="dxa" w:w="90"/>
              <w:bottom w:type="dxa" w:w="45"/>
              <w:right w:type="dxa" w:w="90"/>
            </w:tcMar>
            <w:vAlign w:val="top"/>
          </w:tcPr>
          <w:p>
            <w:pPr>
              <w:spacing w:after="0" w:line="252"/>
            </w:pPr>
            <w:r>
              <w:rPr>
                <w:b w:val="false"/>
                <w:bCs w:val="false"/>
                <w:sz w:val="20"/>
                <w:szCs w:val="20"/>
              </w:rPr>
              <w:t xml:space="preserve">Runtime threats</w:t>
            </w:r>
          </w:p>
        </w:tc>
        <w:tc>
          <w:tcPr>
            <w:tcW w:type="dxa" w:w="4300"/>
            <w:tcBorders>
              <w:top w:val="single" w:color="A6A6A6" w:sz="4"/>
              <w:left w:val="single" w:color="A6A6A6" w:sz="4"/>
              <w:bottom w:val="single" w:color="A6A6A6" w:sz="4"/>
              <w:right w:val="single" w:color="A6A6A6" w:sz="4"/>
            </w:tcBorders>
            <w:tcMar>
              <w:top w:type="dxa" w:w="45"/>
              <w:left w:type="dxa" w:w="90"/>
              <w:bottom w:type="dxa" w:w="45"/>
              <w:right w:type="dxa" w:w="90"/>
            </w:tcMar>
            <w:vAlign w:val="top"/>
          </w:tcPr>
          <w:p>
            <w:pPr>
              <w:spacing w:after="0" w:line="252"/>
            </w:pPr>
            <w:r>
              <w:rPr>
                <w:b w:val="false"/>
                <w:bCs w:val="false"/>
                <w:sz w:val="20"/>
                <w:szCs w:val="20"/>
              </w:rPr>
              <w:t xml:space="preserve">[15], [16], [17], [18], [19]</w:t>
            </w:r>
          </w:p>
        </w:tc>
        <w:tc>
          <w:tcPr>
            <w:tcW w:type="dxa" w:w="3026"/>
            <w:tcBorders>
              <w:top w:val="single" w:color="A6A6A6" w:sz="4"/>
              <w:left w:val="single" w:color="A6A6A6" w:sz="4"/>
              <w:bottom w:val="single" w:color="A6A6A6" w:sz="4"/>
              <w:right w:val="single" w:color="A6A6A6" w:sz="4"/>
            </w:tcBorders>
            <w:tcMar>
              <w:top w:type="dxa" w:w="45"/>
              <w:left w:type="dxa" w:w="90"/>
              <w:bottom w:type="dxa" w:w="45"/>
              <w:right w:type="dxa" w:w="90"/>
            </w:tcMar>
            <w:vAlign w:val="top"/>
          </w:tcPr>
          <w:p>
            <w:pPr>
              <w:spacing w:after="0" w:line="252"/>
            </w:pPr>
            <w:r>
              <w:rPr>
                <w:b w:val="false"/>
                <w:bCs w:val="false"/>
                <w:sz w:val="20"/>
                <w:szCs w:val="20"/>
              </w:rPr>
              <w:t xml:space="preserve">C5 – Runtime Protection Engine</w:t>
            </w:r>
          </w:p>
        </w:tc>
      </w:tr>
      <w:tr>
        <w:tc>
          <w:tcPr>
            <w:tcW w:type="dxa" w:w="1700"/>
            <w:tcBorders>
              <w:top w:val="single" w:color="A6A6A6" w:sz="4"/>
              <w:left w:val="single" w:color="A6A6A6" w:sz="4"/>
              <w:bottom w:val="single" w:color="A6A6A6" w:sz="4"/>
              <w:right w:val="single" w:color="A6A6A6" w:sz="4"/>
            </w:tcBorders>
            <w:tcMar>
              <w:top w:type="dxa" w:w="45"/>
              <w:left w:type="dxa" w:w="90"/>
              <w:bottom w:type="dxa" w:w="45"/>
              <w:right w:type="dxa" w:w="90"/>
            </w:tcMar>
            <w:vAlign w:val="top"/>
          </w:tcPr>
          <w:p>
            <w:pPr>
              <w:spacing w:after="0" w:line="252"/>
            </w:pPr>
            <w:r>
              <w:rPr>
                <w:b w:val="false"/>
                <w:bCs w:val="false"/>
                <w:sz w:val="20"/>
                <w:szCs w:val="20"/>
              </w:rPr>
              <w:t xml:space="preserve">Documentation and compliance</w:t>
            </w:r>
          </w:p>
        </w:tc>
        <w:tc>
          <w:tcPr>
            <w:tcW w:type="dxa" w:w="4300"/>
            <w:tcBorders>
              <w:top w:val="single" w:color="A6A6A6" w:sz="4"/>
              <w:left w:val="single" w:color="A6A6A6" w:sz="4"/>
              <w:bottom w:val="single" w:color="A6A6A6" w:sz="4"/>
              <w:right w:val="single" w:color="A6A6A6" w:sz="4"/>
            </w:tcBorders>
            <w:tcMar>
              <w:top w:type="dxa" w:w="45"/>
              <w:left w:type="dxa" w:w="90"/>
              <w:bottom w:type="dxa" w:w="45"/>
              <w:right w:type="dxa" w:w="90"/>
            </w:tcMar>
            <w:vAlign w:val="top"/>
          </w:tcPr>
          <w:p>
            <w:pPr>
              <w:spacing w:after="0" w:line="252"/>
            </w:pPr>
            <w:r>
              <w:rPr>
                <w:b w:val="false"/>
                <w:bCs w:val="false"/>
                <w:sz w:val="20"/>
                <w:szCs w:val="20"/>
              </w:rPr>
              <w:t xml:space="preserve">[20]</w:t>
            </w:r>
          </w:p>
        </w:tc>
        <w:tc>
          <w:tcPr>
            <w:tcW w:type="dxa" w:w="3026"/>
            <w:tcBorders>
              <w:top w:val="single" w:color="A6A6A6" w:sz="4"/>
              <w:left w:val="single" w:color="A6A6A6" w:sz="4"/>
              <w:bottom w:val="single" w:color="A6A6A6" w:sz="4"/>
              <w:right w:val="single" w:color="A6A6A6" w:sz="4"/>
            </w:tcBorders>
            <w:tcMar>
              <w:top w:type="dxa" w:w="45"/>
              <w:left w:type="dxa" w:w="90"/>
              <w:bottom w:type="dxa" w:w="45"/>
              <w:right w:type="dxa" w:w="90"/>
            </w:tcMar>
            <w:vAlign w:val="top"/>
          </w:tcPr>
          <w:p>
            <w:pPr>
              <w:spacing w:after="0" w:line="252"/>
            </w:pPr>
            <w:r>
              <w:rPr>
                <w:b w:val="false"/>
                <w:bCs w:val="false"/>
                <w:sz w:val="20"/>
                <w:szCs w:val="20"/>
              </w:rPr>
              <w:t xml:space="preserve">C6 – Compliance &amp; Governance</w:t>
            </w:r>
          </w:p>
        </w:tc>
      </w:tr>
    </w:tbl>
    <w:p>
      <w:pPr>
        <w:spacing w:after="120" w:line="300"/>
        <w:jc w:val="both"/>
      </w:pPr>
      <w:r>
        <w:t xml:space="preserve"/>
      </w:r>
    </w:p>
    <w:p>
      <w:pPr>
        <w:spacing w:after="120" w:line="300"/>
        <w:jc w:val="both"/>
      </w:pPr>
      <w:r>
        <w:t xml:space="preserve">For each paper the review summarises the problem addressed, the method and key findings, its relevance to AISecGuard, and its limitations.</w:t>
      </w:r>
    </w:p>
    <w:p>
      <w:pPr>
        <w:pStyle w:val="Heading1"/>
      </w:pPr>
      <w:r>
        <w:t xml:space="preserve">3. Thematic Review of the Literature</w:t>
      </w:r>
    </w:p>
    <w:p>
      <w:pPr>
        <w:pStyle w:val="Heading2"/>
      </w:pPr>
      <w:r>
        <w:t xml:space="preserve">3.1 Data Supply Chain: Poisoning and Provenance</w:t>
      </w:r>
    </w:p>
    <w:p>
      <w:pPr>
        <w:spacing w:after="120" w:line="300"/>
        <w:jc w:val="both"/>
      </w:pPr>
      <w:r>
        <w:t xml:space="preserve">The first group examines how training data can be manipulated before a model is ever trained. Together these papers motivate AISecGuard's Data Lineage &amp; Provenance Engine (Component 1).</w:t>
      </w:r>
    </w:p>
    <w:p>
      <w:pPr>
        <w:pStyle w:val="Heading3"/>
      </w:pPr>
      <w:r>
        <w:t xml:space="preserve">[1] Dataset Security for Machine Learning: Data Poisoning, Backdoor Attacks, and Defenses</w:t>
      </w:r>
    </w:p>
    <w:p>
      <w:pPr>
        <w:spacing w:after="100"/>
      </w:pPr>
      <w:r>
        <w:rPr>
          <w:i/>
          <w:iCs/>
        </w:rPr>
        <w:t xml:space="preserve">Goldblum et al., IEEE TPAMI, 2023</w:t>
      </w:r>
    </w:p>
    <w:p>
      <w:pPr>
        <w:spacing w:after="120" w:line="300"/>
        <w:jc w:val="both"/>
      </w:pPr>
      <w:r>
        <w:t xml:space="preserve">This survey argues that modern models are trained on data harvested from anonymous and unverified sources, which effectively invites outsiders into the training pipeline. The authors organise poisoning and backdoor threats into a unified taxonomy, distinguishing attacks by the attacker's goal (degrading accuracy versus targeted or triggered misbehaviour), knowledge and access, and they review defences at the data, training and model-inspection stages. The paper closes with a list of open problems, including the lack of defences that remain effective against adaptive attackers.</w:t>
      </w:r>
    </w:p>
    <w:p>
      <w:pPr>
        <w:spacing w:after="120" w:line="300"/>
        <w:jc w:val="both"/>
      </w:pPr>
      <w:r>
        <w:rPr>
          <w:b/>
          <w:bCs/>
        </w:rPr>
        <w:t xml:space="preserve">Relevance to AISecGuard: </w:t>
      </w:r>
      <w:r>
        <w:t xml:space="preserve">It provides the threat model and vocabulary for the whole project, and it justifies treating data collection as an attack surface rather than a trusted input.</w:t>
      </w:r>
    </w:p>
    <w:p>
      <w:pPr>
        <w:spacing w:after="120" w:line="300"/>
        <w:jc w:val="both"/>
      </w:pPr>
      <w:r>
        <w:rPr>
          <w:b/>
          <w:bCs/>
        </w:rPr>
        <w:t xml:space="preserve">Limitations: </w:t>
      </w:r>
      <w:r>
        <w:t xml:space="preserve">As a survey it proposes no system, and most of the defences it reviews were evaluated on image benchmarks rather than on end-to-end production pipelines.</w:t>
      </w:r>
    </w:p>
    <w:p>
      <w:pPr>
        <w:pStyle w:val="Heading3"/>
      </w:pPr>
      <w:r>
        <w:t xml:space="preserve">[2] Poisoning Web-Scale Training Datasets is Practical</w:t>
      </w:r>
    </w:p>
    <w:p>
      <w:pPr>
        <w:spacing w:after="100"/>
      </w:pPr>
      <w:r>
        <w:rPr>
          <w:i/>
          <w:iCs/>
        </w:rPr>
        <w:t xml:space="preserve">Carlini et al., IEEE Symposium on Security and Privacy, 2024</w:t>
      </w:r>
    </w:p>
    <w:p>
      <w:pPr>
        <w:spacing w:after="120" w:line="300"/>
        <w:jc w:val="both"/>
      </w:pPr>
      <w:r>
        <w:t xml:space="preserve">The authors present two poisoning attacks against datasets that are distributed as lists of URLs or periodic snapshots. Split-view poisoning exploits the fact that web content can change after a dataset is curated: by buying expired domains referenced in a dataset, an attacker could have controlled about 0.01% of LAION-400M or COYO-700M for roughly 60 US dollars. Frontrunning poisoning targets crowd-sourced sources such as Wikipedia, where malicious edits only need to survive until the next snapshot is taken. The authors notified the affected dataset maintainers and recommended low-cost defences, most notably distributing cryptographic hashes so that clients can verify they downloaded the same content that was curated.</w:t>
      </w:r>
    </w:p>
    <w:p>
      <w:pPr>
        <w:spacing w:after="120" w:line="300"/>
        <w:jc w:val="both"/>
      </w:pPr>
      <w:r>
        <w:rPr>
          <w:b/>
          <w:bCs/>
        </w:rPr>
        <w:t xml:space="preserve">Relevance to AISecGuard: </w:t>
      </w:r>
      <w:r>
        <w:t xml:space="preserve">This is the strongest empirical justification for AISecGuard's hash-based data provenance ledger: verifying the integrity of every data artefact directly defeats split-view poisoning.</w:t>
      </w:r>
    </w:p>
    <w:p>
      <w:pPr>
        <w:spacing w:after="120" w:line="300"/>
        <w:jc w:val="both"/>
      </w:pPr>
      <w:r>
        <w:rPr>
          <w:b/>
          <w:bCs/>
        </w:rPr>
        <w:t xml:space="preserve">Limitations: </w:t>
      </w:r>
      <w:r>
        <w:t xml:space="preserve">Hash verification does not help when the original curated content is itself malicious, so integrity checks must be paired with content-level anomaly detection.</w:t>
      </w:r>
    </w:p>
    <w:p>
      <w:pPr>
        <w:pStyle w:val="Heading2"/>
      </w:pPr>
      <w:r>
        <w:t xml:space="preserve">3.2 Model Supply Chain and Model Integrity</w:t>
      </w:r>
    </w:p>
    <w:p>
      <w:pPr>
        <w:spacing w:after="120" w:line="300"/>
        <w:jc w:val="both"/>
      </w:pPr>
      <w:r>
        <w:t xml:space="preserve">The second group studies the risks of reusing pre-trained models and model files obtained from third parties, and how artefacts can be signed. These papers underpin the Model Integrity Engine (Component 2).</w:t>
      </w:r>
    </w:p>
    <w:p>
      <w:pPr>
        <w:pStyle w:val="Heading3"/>
      </w:pPr>
      <w:r>
        <w:t xml:space="preserve">[3] BadNets: Identifying Vulnerabilities in the Machine Learning Model Supply Chain</w:t>
      </w:r>
    </w:p>
    <w:p>
      <w:pPr>
        <w:spacing w:after="100"/>
      </w:pPr>
      <w:r>
        <w:rPr>
          <w:i/>
          <w:iCs/>
        </w:rPr>
        <w:t xml:space="preserve">Gu, Dolan-Gavitt and Garg, arXiv, 2017</w:t>
      </w:r>
    </w:p>
    <w:p>
      <w:pPr>
        <w:spacing w:after="120" w:line="300"/>
        <w:jc w:val="both"/>
      </w:pPr>
      <w:r>
        <w:t xml:space="preserve">BadNets is the founding work on backdoored neural networks. Because training is expensive, users outsource it or download pre-trained models, and the paper shows that a malicious trainer can return a network that performs well on validation data yet misbehaves whenever an attacker-chosen trigger is present. The authors demonstrate this first on handwritten digits and then on a US street-sign classifier in which a small sticker turns a stop sign into a speed-limit sign. Crucially, the backdoor persisted after the network was retrained for a different task, reducing accuracy by about 25% on average when the trigger was present.</w:t>
      </w:r>
    </w:p>
    <w:p>
      <w:pPr>
        <w:spacing w:after="120" w:line="300"/>
        <w:jc w:val="both"/>
      </w:pPr>
      <w:r>
        <w:rPr>
          <w:b/>
          <w:bCs/>
        </w:rPr>
        <w:t xml:space="preserve">Relevance to AISecGuard: </w:t>
      </w:r>
      <w:r>
        <w:t xml:space="preserve">It frames the model itself as a supply-chain component and directly motivates both model provenance tracking and backdoor scanning before deployment.</w:t>
      </w:r>
    </w:p>
    <w:p>
      <w:pPr>
        <w:spacing w:after="120" w:line="300"/>
        <w:jc w:val="both"/>
      </w:pPr>
      <w:r>
        <w:rPr>
          <w:b/>
          <w:bCs/>
        </w:rPr>
        <w:t xml:space="preserve">Limitations: </w:t>
      </w:r>
      <w:r>
        <w:t xml:space="preserve">The attacks use visible patch triggers on image tasks; later work has shown subtler, invisible and clean-label triggers that are harder to detect.</w:t>
      </w:r>
    </w:p>
    <w:p>
      <w:pPr>
        <w:pStyle w:val="Heading3"/>
      </w:pPr>
      <w:r>
        <w:t xml:space="preserve">[4] Weight Poisoning Attacks on Pre-trained Models</w:t>
      </w:r>
    </w:p>
    <w:p>
      <w:pPr>
        <w:spacing w:after="100"/>
      </w:pPr>
      <w:r>
        <w:rPr>
          <w:i/>
          <w:iCs/>
        </w:rPr>
        <w:t xml:space="preserve">Kurita, Michel and Neubig, ACL, 2020</w:t>
      </w:r>
    </w:p>
    <w:p>
      <w:pPr>
        <w:spacing w:after="120" w:line="300"/>
        <w:jc w:val="both"/>
      </w:pPr>
      <w:r>
        <w:t xml:space="preserve">This paper moves the backdoor threat into NLP transfer learning. It shows that pre-trained weights can be poisoned so that a backdoor survives fine-tuning, letting an attacker control predictions by inserting a chosen keyword. Two techniques make this work even with limited knowledge of the victim's data: a regularisation method called RIPPLe and an initialisation method called Embedding Surgery. Experiments on sentiment classification, toxicity detection and spam detection show the attack is broadly applicable, and the authors discuss practical defences such as checking where pre-trained weights come from.</w:t>
      </w:r>
    </w:p>
    <w:p>
      <w:pPr>
        <w:spacing w:after="120" w:line="300"/>
        <w:jc w:val="both"/>
      </w:pPr>
      <w:r>
        <w:rPr>
          <w:b/>
          <w:bCs/>
        </w:rPr>
        <w:t xml:space="preserve">Relevance to AISecGuard: </w:t>
      </w:r>
      <w:r>
        <w:t xml:space="preserve">It confirms that transfer learning inherits risk from the base model, supporting AISecGuard's requirement to record and verify base-model provenance in the MLSBOM.</w:t>
      </w:r>
    </w:p>
    <w:p>
      <w:pPr>
        <w:spacing w:after="120" w:line="300"/>
        <w:jc w:val="both"/>
      </w:pPr>
      <w:r>
        <w:rPr>
          <w:b/>
          <w:bCs/>
        </w:rPr>
        <w:t xml:space="preserve">Limitations: </w:t>
      </w:r>
      <w:r>
        <w:t xml:space="preserve">Evaluation is limited to text classification, and the proposed defences are preliminary.</w:t>
      </w:r>
    </w:p>
    <w:p>
      <w:pPr>
        <w:pStyle w:val="Heading3"/>
      </w:pPr>
      <w:r>
        <w:t xml:space="preserve">[5] An Empirical Study of Pre-Trained Model Reuse in the Hugging Face Deep Learning Model Registry</w:t>
      </w:r>
    </w:p>
    <w:p>
      <w:pPr>
        <w:spacing w:after="100"/>
      </w:pPr>
      <w:r>
        <w:rPr>
          <w:i/>
          <w:iCs/>
        </w:rPr>
        <w:t xml:space="preserve">Jiang et al., ICSE, 2023</w:t>
      </w:r>
    </w:p>
    <w:p>
      <w:pPr>
        <w:spacing w:after="120" w:line="300"/>
        <w:jc w:val="both"/>
      </w:pPr>
      <w:r>
        <w:t xml:space="preserve">This software-engineering study interviewed 12 practitioners from the Hugging Face ecosystem to understand how pre-trained models are selected and reused, and then validated the findings with measurements of the registry. It identifies provenance, reproducibility and portability as attributes practitioners need, and three main challenges: missing model attributes, discrepancies between claimed and actual performance, and model risks. The authors call for automated measurement of model attributes and for infrastructure and standards for model registries.</w:t>
      </w:r>
    </w:p>
    <w:p>
      <w:pPr>
        <w:spacing w:after="120" w:line="300"/>
        <w:jc w:val="both"/>
      </w:pPr>
      <w:r>
        <w:rPr>
          <w:b/>
          <w:bCs/>
        </w:rPr>
        <w:t xml:space="preserve">Relevance to AISecGuard: </w:t>
      </w:r>
      <w:r>
        <w:t xml:space="preserve">It provides evidence that practitioners lack trustworthy provenance information, which is exactly the gap that AISecGuard's MLSBOM generation and model cards are meant to close.</w:t>
      </w:r>
    </w:p>
    <w:p>
      <w:pPr>
        <w:spacing w:after="120" w:line="300"/>
        <w:jc w:val="both"/>
      </w:pPr>
      <w:r>
        <w:rPr>
          <w:b/>
          <w:bCs/>
        </w:rPr>
        <w:t xml:space="preserve">Limitations: </w:t>
      </w:r>
      <w:r>
        <w:t xml:space="preserve">The interview sample is small and the study focuses on one registry, so its findings are indicative rather than statistically general.</w:t>
      </w:r>
    </w:p>
    <w:p>
      <w:pPr>
        <w:pStyle w:val="Heading3"/>
      </w:pPr>
      <w:r>
        <w:t xml:space="preserve">[6] Models Are Codes: Towards Measuring Malicious Code Poisoning Attacks on Pre-trained Model Hubs</w:t>
      </w:r>
    </w:p>
    <w:p>
      <w:pPr>
        <w:spacing w:after="100"/>
      </w:pPr>
      <w:r>
        <w:rPr>
          <w:i/>
          <w:iCs/>
        </w:rPr>
        <w:t xml:space="preserve">Zhao et al., ASE, 2024</w:t>
      </w:r>
    </w:p>
    <w:p>
      <w:pPr>
        <w:spacing w:after="120" w:line="300"/>
        <w:jc w:val="both"/>
      </w:pPr>
      <w:r>
        <w:t xml:space="preserve">This paper presents the first systematic study of malicious code hidden in models and dataset loading scripts on Hugging Face. The authors build a taxonomy of model formats, trace the root cause to formats such as Pickle that execute code during deserialisation, and note that existing scanners such as Fickling and ModelScan lack semantic analysis. Their pipeline, MalHug, combines deserialisation, taint analysis and heuristic pattern matching. Deployed on a mirrored Hugging Face instance at Ant Group for over three months, it monitored more than 705,000 models and 176,000 datasets and found 91 malicious models and 9 malicious dataset scripts, with payloads including reverse shells and browser credential theft.</w:t>
      </w:r>
    </w:p>
    <w:p>
      <w:pPr>
        <w:spacing w:after="120" w:line="300"/>
        <w:jc w:val="both"/>
      </w:pPr>
      <w:r>
        <w:rPr>
          <w:b/>
          <w:bCs/>
        </w:rPr>
        <w:t xml:space="preserve">Relevance to AISecGuard: </w:t>
      </w:r>
      <w:r>
        <w:t xml:space="preserve">It is direct evidence for Problem 2 of this project: model files are executable code. It justifies AISecGuard's static serialisation scanner that inspects Pickle opcodes and refuses to load unsafe models.</w:t>
      </w:r>
    </w:p>
    <w:p>
      <w:pPr>
        <w:spacing w:after="120" w:line="300"/>
        <w:jc w:val="both"/>
      </w:pPr>
      <w:r>
        <w:rPr>
          <w:b/>
          <w:bCs/>
        </w:rPr>
        <w:t xml:space="preserve">Limitations: </w:t>
      </w:r>
      <w:r>
        <w:t xml:space="preserve">MalHug is tailored to Hugging Face, and pattern-based detection can be evaded by obfuscated payloads.</w:t>
      </w:r>
    </w:p>
    <w:p>
      <w:pPr>
        <w:pStyle w:val="Heading3"/>
      </w:pPr>
      <w:r>
        <w:t xml:space="preserve">[7] Sigstore: Software Signing for Everybody</w:t>
      </w:r>
    </w:p>
    <w:p>
      <w:pPr>
        <w:spacing w:after="100"/>
      </w:pPr>
      <w:r>
        <w:rPr>
          <w:i/>
          <w:iCs/>
        </w:rPr>
        <w:t xml:space="preserve">Newman, Meyers and Torres-Arias, ACM CCS, 2022</w:t>
      </w:r>
    </w:p>
    <w:p>
      <w:pPr>
        <w:spacing w:after="120" w:line="300"/>
        <w:jc w:val="both"/>
      </w:pPr>
      <w:r>
        <w:t xml:space="preserve">Sigstore addresses the low adoption of software signing. It ties signatures to existing identities through an OpenID Connect flow, uses short-lived ephemeral keys so developers do not have to manage long-term keys, and records signatures in transparency logs so that signing events can be audited. At the time of publication it had issued more than 2.2 million signatures for critical software such as Kubernetes and Distroless.</w:t>
      </w:r>
    </w:p>
    <w:p>
      <w:pPr>
        <w:spacing w:after="120" w:line="300"/>
        <w:jc w:val="both"/>
      </w:pPr>
      <w:r>
        <w:rPr>
          <w:b/>
          <w:bCs/>
        </w:rPr>
        <w:t xml:space="preserve">Relevance to AISecGuard: </w:t>
      </w:r>
      <w:r>
        <w:t xml:space="preserve">It is the signing technology named in AISecGuard's Model Integrity Engine. The project applies the same idea to model files, binding each model's hash to a signer identity.</w:t>
      </w:r>
    </w:p>
    <w:p>
      <w:pPr>
        <w:spacing w:after="120" w:line="300"/>
        <w:jc w:val="both"/>
      </w:pPr>
      <w:r>
        <w:rPr>
          <w:b/>
          <w:bCs/>
        </w:rPr>
        <w:t xml:space="preserve">Limitations: </w:t>
      </w:r>
      <w:r>
        <w:t xml:space="preserve">Sigstore was designed for software artefacts; it proves who published a file but not whether the file is safe, so a malicious model can still be validly signed.</w:t>
      </w:r>
    </w:p>
    <w:p>
      <w:pPr>
        <w:pStyle w:val="Heading2"/>
      </w:pPr>
      <w:r>
        <w:t xml:space="preserve">3.3 AI Framework and Dependency Vulnerabilities</w:t>
      </w:r>
    </w:p>
    <w:p>
      <w:pPr>
        <w:spacing w:after="120" w:line="300"/>
        <w:jc w:val="both"/>
      </w:pPr>
      <w:r>
        <w:t xml:space="preserve">The third group looks below the model, at the frameworks and libraries that load and run it. These papers motivate the Framework Vulnerability Scanner (Component 3).</w:t>
      </w:r>
    </w:p>
    <w:p>
      <w:pPr>
        <w:pStyle w:val="Heading3"/>
      </w:pPr>
      <w:r>
        <w:t xml:space="preserve">[8] Security Risks in Deep Learning Implementations</w:t>
      </w:r>
    </w:p>
    <w:p>
      <w:pPr>
        <w:spacing w:after="100"/>
      </w:pPr>
      <w:r>
        <w:rPr>
          <w:i/>
          <w:iCs/>
        </w:rPr>
        <w:t xml:space="preserve">Xiao, Li, Zhang and Xu, IEEE Security and Privacy Workshops, 2018</w:t>
      </w:r>
    </w:p>
    <w:p>
      <w:pPr>
        <w:spacing w:after="120" w:line="300"/>
        <w:jc w:val="both"/>
      </w:pPr>
      <w:r>
        <w:t xml:space="preserve">The authors disclose vulnerabilities in Caffe, TensorFlow and Torch and stress that, although models are small, the frameworks are large and depend on many third-party open-source packages. By exploiting these implementation flaws an attacker can crash or hang an application (denial of service) or hijack control flow, leading either to system compromise or to evasion of the model's predictions. The paper calls on the community to treat framework security as part of AI security.</w:t>
      </w:r>
    </w:p>
    <w:p>
      <w:pPr>
        <w:spacing w:after="120" w:line="300"/>
        <w:jc w:val="both"/>
      </w:pPr>
      <w:r>
        <w:rPr>
          <w:b/>
          <w:bCs/>
        </w:rPr>
        <w:t xml:space="preserve">Relevance to AISecGuard: </w:t>
      </w:r>
      <w:r>
        <w:t xml:space="preserve">It shows that a perfectly trained model can still be compromised through its software stack, which is why AISecGuard scans framework versions and transitive dependencies.</w:t>
      </w:r>
    </w:p>
    <w:p>
      <w:pPr>
        <w:spacing w:after="120" w:line="300"/>
        <w:jc w:val="both"/>
      </w:pPr>
      <w:r>
        <w:rPr>
          <w:b/>
          <w:bCs/>
        </w:rPr>
        <w:t xml:space="preserve">Limitations: </w:t>
      </w:r>
      <w:r>
        <w:t xml:space="preserve">The study is a short workshop paper covering a few frameworks at one point in time; the specific flaws have since been patched.</w:t>
      </w:r>
    </w:p>
    <w:p>
      <w:pPr>
        <w:pStyle w:val="Heading3"/>
      </w:pPr>
      <w:r>
        <w:t xml:space="preserve">[9] Characterizing and Understanding Software Security Vulnerabilities in Machine Learning Libraries</w:t>
      </w:r>
    </w:p>
    <w:p>
      <w:pPr>
        <w:spacing w:after="100"/>
      </w:pPr>
      <w:r>
        <w:rPr>
          <w:i/>
          <w:iCs/>
        </w:rPr>
        <w:t xml:space="preserve">Harzevili et al., MSR, 2023</w:t>
      </w:r>
    </w:p>
    <w:p>
      <w:pPr>
        <w:spacing w:after="120" w:line="300"/>
        <w:jc w:val="both"/>
      </w:pPr>
      <w:r>
        <w:t xml:space="preserve">This empirical study collected 596 security vulnerabilities from widely used ML libraries, including TensorFlow, PyTorch and scikit-learn, and analysed their types, root causes, symptoms, fixing patterns and the effort required to fix them. It is among the first works to characterise security vulnerabilities, rather than ordinary bugs, in ML libraries.</w:t>
      </w:r>
    </w:p>
    <w:p>
      <w:pPr>
        <w:spacing w:after="120" w:line="300"/>
        <w:jc w:val="both"/>
      </w:pPr>
      <w:r>
        <w:rPr>
          <w:b/>
          <w:bCs/>
        </w:rPr>
        <w:t xml:space="preserve">Relevance to AISecGuard: </w:t>
      </w:r>
      <w:r>
        <w:t xml:space="preserve">It provides the empirical basis for ML-specific vulnerability correlation in AISecGuard, and shows that ML libraries need continuous scanning rather than one-off review.</w:t>
      </w:r>
    </w:p>
    <w:p>
      <w:pPr>
        <w:spacing w:after="120" w:line="300"/>
        <w:jc w:val="both"/>
      </w:pPr>
      <w:r>
        <w:rPr>
          <w:b/>
          <w:bCs/>
        </w:rPr>
        <w:t xml:space="preserve">Limitations: </w:t>
      </w:r>
      <w:r>
        <w:t xml:space="preserve">The data comes from public commit histories, so undisclosed or unfixed vulnerabilities are not captured.</w:t>
      </w:r>
    </w:p>
    <w:p>
      <w:pPr>
        <w:pStyle w:val="Heading2"/>
      </w:pPr>
      <w:r>
        <w:t xml:space="preserve">3.4 Backdoor Detection and Mitigation</w:t>
      </w:r>
    </w:p>
    <w:p>
      <w:pPr>
        <w:spacing w:after="120" w:line="300"/>
        <w:jc w:val="both"/>
      </w:pPr>
      <w:r>
        <w:t xml:space="preserve">The fourth group contains the defences that AISecGuard's Backdoor Detection Engine (Component 4) implements or builds on. They differ mainly in when they run (training time or inference time) and what they inspect (data, activations or inputs).</w:t>
      </w:r>
    </w:p>
    <w:p>
      <w:pPr>
        <w:pStyle w:val="Heading3"/>
      </w:pPr>
      <w:r>
        <w:t xml:space="preserve">[10] Neural Cleanse: Identifying and Mitigating Backdoor Attacks in Neural Networks</w:t>
      </w:r>
    </w:p>
    <w:p>
      <w:pPr>
        <w:spacing w:after="100"/>
      </w:pPr>
      <w:r>
        <w:rPr>
          <w:i/>
          <w:iCs/>
        </w:rPr>
        <w:t xml:space="preserve">Wang et al., IEEE Symposium on Security and Privacy, 2019</w:t>
      </w:r>
    </w:p>
    <w:p>
      <w:pPr>
        <w:spacing w:after="120" w:line="300"/>
        <w:jc w:val="both"/>
      </w:pPr>
      <w:r>
        <w:t xml:space="preserve">Neural Cleanse detects backdoors by reverse-engineering, for each output label, the smallest input modification that forces the model to predict that label. If one label needs an abnormally small trigger compared with the others, the model is flagged and the reconstructed trigger is reported. The authors also propose mitigations: filtering inputs that contain the trigger, pruning the responsible neurons, and unlearning the backdoor. The approach is shown to work across several networks and two backdoor injection methods.</w:t>
      </w:r>
    </w:p>
    <w:p>
      <w:pPr>
        <w:spacing w:after="120" w:line="300"/>
        <w:jc w:val="both"/>
      </w:pPr>
      <w:r>
        <w:rPr>
          <w:b/>
          <w:bCs/>
        </w:rPr>
        <w:t xml:space="preserve">Relevance to AISecGuard: </w:t>
      </w:r>
      <w:r>
        <w:t xml:space="preserve">It is a model-inspection method that does not need access to poisoned data, which suits the AISecGuard scenario of auditing third-party models.</w:t>
      </w:r>
    </w:p>
    <w:p>
      <w:pPr>
        <w:spacing w:after="120" w:line="300"/>
        <w:jc w:val="both"/>
      </w:pPr>
      <w:r>
        <w:rPr>
          <w:b/>
          <w:bCs/>
        </w:rPr>
        <w:t xml:space="preserve">Limitations: </w:t>
      </w:r>
      <w:r>
        <w:t xml:space="preserve">Its cost grows with the number of output classes, and it assumes triggers are small; large or input-specific triggers can evade it.</w:t>
      </w:r>
    </w:p>
    <w:p>
      <w:pPr>
        <w:pStyle w:val="Heading3"/>
      </w:pPr>
      <w:r>
        <w:t xml:space="preserve">[11] STRIP: A Defence Against Trojan Attacks on Deep Neural Networks</w:t>
      </w:r>
    </w:p>
    <w:p>
      <w:pPr>
        <w:spacing w:after="100"/>
      </w:pPr>
      <w:r>
        <w:rPr>
          <w:i/>
          <w:iCs/>
        </w:rPr>
        <w:t xml:space="preserve">Gao et al., ACSAC, 2019</w:t>
      </w:r>
    </w:p>
    <w:p>
      <w:pPr>
        <w:spacing w:after="120" w:line="300"/>
        <w:jc w:val="both"/>
      </w:pPr>
      <w:r>
        <w:t xml:space="preserve">STRIP is a run-time detector. It strongly perturbs each incoming input by superimposing it with clean images and measures the entropy of the model's predictions. A benign input produces varied predictions under perturbation, whereas an input carrying a trigger keeps producing the attacker's label, giving abnormally low entropy. On MNIST, CIFAR-10 and GTSRB the authors report a false acceptance rate below 1% at a 1% false rejection rate, and 0% for both on CIFAR-10 and GTSRB.</w:t>
      </w:r>
    </w:p>
    <w:p>
      <w:pPr>
        <w:spacing w:after="120" w:line="300"/>
        <w:jc w:val="both"/>
      </w:pPr>
      <w:r>
        <w:rPr>
          <w:b/>
          <w:bCs/>
        </w:rPr>
        <w:t xml:space="preserve">Relevance to AISecGuard: </w:t>
      </w:r>
      <w:r>
        <w:t xml:space="preserve">It is cheap, model-agnostic and works at inference time, so AISecGuard uses it both in offline scans and as a run-time check on suspect inputs.</w:t>
      </w:r>
    </w:p>
    <w:p>
      <w:pPr>
        <w:spacing w:after="120" w:line="300"/>
        <w:jc w:val="both"/>
      </w:pPr>
      <w:r>
        <w:rPr>
          <w:b/>
          <w:bCs/>
        </w:rPr>
        <w:t xml:space="preserve">Limitations: </w:t>
      </w:r>
      <w:r>
        <w:t xml:space="preserve">It is designed for input-agnostic triggers in vision models, and source-specific triggers can reduce its effectiveness.</w:t>
      </w:r>
    </w:p>
    <w:p>
      <w:pPr>
        <w:pStyle w:val="Heading3"/>
      </w:pPr>
      <w:r>
        <w:t xml:space="preserve">[12] Detecting Backdoor Attacks on Deep Neural Networks by Activation Clustering</w:t>
      </w:r>
    </w:p>
    <w:p>
      <w:pPr>
        <w:spacing w:after="100"/>
      </w:pPr>
      <w:r>
        <w:rPr>
          <w:i/>
          <w:iCs/>
        </w:rPr>
        <w:t xml:space="preserve">Chen et al., AAAI SafeAI Workshop, 2019</w:t>
      </w:r>
    </w:p>
    <w:p>
      <w:pPr>
        <w:spacing w:after="120" w:line="300"/>
        <w:jc w:val="both"/>
      </w:pPr>
      <w:r>
        <w:t xml:space="preserve">Activation Clustering analyses the training set rather than the inputs. For each label it reduces the dimensionality of the last hidden layer's activations and clusters them into two groups; poisoned samples, which the model classifies for a different reason than clean ones, tend to form a separate small cluster. The method does not need a verified clean dataset, was evaluated on text and image datasets, and remains robust when classes are naturally multimodal. Suspicious clusters can be confirmed and the model repaired by retraining without them.</w:t>
      </w:r>
    </w:p>
    <w:p>
      <w:pPr>
        <w:spacing w:after="120" w:line="300"/>
        <w:jc w:val="both"/>
      </w:pPr>
      <w:r>
        <w:rPr>
          <w:b/>
          <w:bCs/>
        </w:rPr>
        <w:t xml:space="preserve">Relevance to AISecGuard: </w:t>
      </w:r>
      <w:r>
        <w:t xml:space="preserve">It is AISecGuard's main training-data defence and also identifies exactly which samples were poisoned, which feeds back into data provenance.</w:t>
      </w:r>
    </w:p>
    <w:p>
      <w:pPr>
        <w:spacing w:after="120" w:line="300"/>
        <w:jc w:val="both"/>
      </w:pPr>
      <w:r>
        <w:rPr>
          <w:b/>
          <w:bCs/>
        </w:rPr>
        <w:t xml:space="preserve">Limitations: </w:t>
      </w:r>
      <w:r>
        <w:t xml:space="preserve">It requires access to the training data and a model trained on it, and its thresholds need tuning per dataset.</w:t>
      </w:r>
    </w:p>
    <w:p>
      <w:pPr>
        <w:pStyle w:val="Heading3"/>
      </w:pPr>
      <w:r>
        <w:t xml:space="preserve">[13] Spectral Signatures in Backdoor Attacks</w:t>
      </w:r>
    </w:p>
    <w:p>
      <w:pPr>
        <w:spacing w:after="100"/>
      </w:pPr>
      <w:r>
        <w:rPr>
          <w:i/>
          <w:iCs/>
        </w:rPr>
        <w:t xml:space="preserve">Tran, Li and Madry, NeurIPS, 2018</w:t>
      </w:r>
    </w:p>
    <w:p>
      <w:pPr>
        <w:spacing w:after="120" w:line="300"/>
        <w:jc w:val="both"/>
      </w:pPr>
      <w:r>
        <w:t xml:space="preserve">This paper identifies a property shared by known backdoor attacks: within a label, poisoned examples leave a detectable trace in the learned representations, visible as a large correlation with the top singular vector of the class's centred representation matrix. Using this robust-statistics signal, the authors detect and remove poisoned examples on real image datasets and retrain a clean model.</w:t>
      </w:r>
    </w:p>
    <w:p>
      <w:pPr>
        <w:spacing w:after="120" w:line="300"/>
        <w:jc w:val="both"/>
      </w:pPr>
      <w:r>
        <w:rPr>
          <w:b/>
          <w:bCs/>
        </w:rPr>
        <w:t xml:space="preserve">Relevance to AISecGuard: </w:t>
      </w:r>
      <w:r>
        <w:t xml:space="preserve">It gives AISecGuard a second, mathematically simple data-level detector that complements Activation Clustering.</w:t>
      </w:r>
    </w:p>
    <w:p>
      <w:pPr>
        <w:spacing w:after="120" w:line="300"/>
        <w:jc w:val="both"/>
      </w:pPr>
      <w:r>
        <w:rPr>
          <w:b/>
          <w:bCs/>
        </w:rPr>
        <w:t xml:space="preserve">Limitations: </w:t>
      </w:r>
      <w:r>
        <w:t xml:space="preserve">It needs an estimate of how much data is poisoned and works best when poisoned samples make up a noticeable fraction of a class.</w:t>
      </w:r>
    </w:p>
    <w:p>
      <w:pPr>
        <w:pStyle w:val="Heading3"/>
      </w:pPr>
      <w:r>
        <w:t xml:space="preserve">[14] Fine-Pruning: Defending Against Backdooring Attacks on Deep Neural Networks</w:t>
      </w:r>
    </w:p>
    <w:p>
      <w:pPr>
        <w:spacing w:after="100"/>
      </w:pPr>
      <w:r>
        <w:rPr>
          <w:i/>
          <w:iCs/>
        </w:rPr>
        <w:t xml:space="preserve">Liu, Dolan-Gavitt and Garg, RAID, 2018</w:t>
      </w:r>
    </w:p>
    <w:p>
      <w:pPr>
        <w:spacing w:after="120" w:line="300"/>
        <w:jc w:val="both"/>
      </w:pPr>
      <w:r>
        <w:t xml:space="preserve">The authors evaluate pruning (removing neurons that are dormant on clean data) and fine-tuning as backdoor defences, show that each alone can be defeated, including by a pruning-aware attack, and propose fine-pruning, which combines the two. Fine-pruning weakened or removed the backdoors studied, in some cases reducing attack success to 0% with only a 0.4% drop in clean accuracy.</w:t>
      </w:r>
    </w:p>
    <w:p>
      <w:pPr>
        <w:spacing w:after="120" w:line="300"/>
        <w:jc w:val="both"/>
      </w:pPr>
      <w:r>
        <w:rPr>
          <w:b/>
          <w:bCs/>
        </w:rPr>
        <w:t xml:space="preserve">Relevance to AISecGuard: </w:t>
      </w:r>
      <w:r>
        <w:t xml:space="preserve">It provides AISecGuard's mitigation step: after a backdoor is detected, the model can be repaired instead of discarded.</w:t>
      </w:r>
    </w:p>
    <w:p>
      <w:pPr>
        <w:spacing w:after="120" w:line="300"/>
        <w:jc w:val="both"/>
      </w:pPr>
      <w:r>
        <w:rPr>
          <w:b/>
          <w:bCs/>
        </w:rPr>
        <w:t xml:space="preserve">Limitations: </w:t>
      </w:r>
      <w:r>
        <w:t xml:space="preserve">It needs clean data for fine-tuning and gives no formal guarantee that every backdoor has been removed.</w:t>
      </w:r>
    </w:p>
    <w:p>
      <w:pPr>
        <w:pStyle w:val="Heading2"/>
      </w:pPr>
      <w:r>
        <w:t xml:space="preserve">3.5 Runtime Threats: Adversarial Examples, Model Extraction and Drift</w:t>
      </w:r>
    </w:p>
    <w:p>
      <w:pPr>
        <w:spacing w:after="120" w:line="300"/>
        <w:jc w:val="both"/>
      </w:pPr>
      <w:r>
        <w:t xml:space="preserve">The fifth group covers threats to a model that is already deployed. These papers underpin the Runtime Protection Engine (Component 5).</w:t>
      </w:r>
    </w:p>
    <w:p>
      <w:pPr>
        <w:pStyle w:val="Heading3"/>
      </w:pPr>
      <w:r>
        <w:t xml:space="preserve">[15] Explaining and Harnessing Adversarial Examples</w:t>
      </w:r>
    </w:p>
    <w:p>
      <w:pPr>
        <w:spacing w:after="100"/>
      </w:pPr>
      <w:r>
        <w:rPr>
          <w:i/>
          <w:iCs/>
        </w:rPr>
        <w:t xml:space="preserve">Goodfellow, Shlens and Szegedy, ICLR, 2015</w:t>
      </w:r>
    </w:p>
    <w:p>
      <w:pPr>
        <w:spacing w:after="120" w:line="300"/>
        <w:jc w:val="both"/>
      </w:pPr>
      <w:r>
        <w:t xml:space="preserve">This paper argues that adversarial examples arise mainly from the locally linear behaviour of neural networks in high-dimensional spaces, rather than from non-linearity or overfitting. From this explanation it derives the Fast Gradient Sign Method (FGSM), which perturbs an input by a small step in the direction of the sign of the loss gradient, and shows that training on such examples acts as a regulariser.</w:t>
      </w:r>
    </w:p>
    <w:p>
      <w:pPr>
        <w:spacing w:after="120" w:line="300"/>
        <w:jc w:val="both"/>
      </w:pPr>
      <w:r>
        <w:rPr>
          <w:b/>
          <w:bCs/>
        </w:rPr>
        <w:t xml:space="preserve">Relevance to AISecGuard: </w:t>
      </w:r>
      <w:r>
        <w:t xml:space="preserve">FGSM is the standard attack AISecGuard uses to red-team models and to train and evaluate its adversarial-input detector.</w:t>
      </w:r>
    </w:p>
    <w:p>
      <w:pPr>
        <w:spacing w:after="120" w:line="300"/>
        <w:jc w:val="both"/>
      </w:pPr>
      <w:r>
        <w:rPr>
          <w:b/>
          <w:bCs/>
        </w:rPr>
        <w:t xml:space="preserve">Limitations: </w:t>
      </w:r>
      <w:r>
        <w:t xml:space="preserve">FGSM is a single-step attack; stronger iterative attacks can succeed where it fails, so it underestimates real risk.</w:t>
      </w:r>
    </w:p>
    <w:p>
      <w:pPr>
        <w:pStyle w:val="Heading3"/>
      </w:pPr>
      <w:r>
        <w:t xml:space="preserve">[16] Towards Deep Learning Models Resistant to Adversarial Attacks</w:t>
      </w:r>
    </w:p>
    <w:p>
      <w:pPr>
        <w:spacing w:after="100"/>
      </w:pPr>
      <w:r>
        <w:rPr>
          <w:i/>
          <w:iCs/>
        </w:rPr>
        <w:t xml:space="preserve">Madry et al., ICLR, 2018</w:t>
      </w:r>
    </w:p>
    <w:p>
      <w:pPr>
        <w:spacing w:after="120" w:line="300"/>
        <w:jc w:val="both"/>
      </w:pPr>
      <w:r>
        <w:t xml:space="preserve">Madry et al. formulate adversarial robustness as a min-max robust optimisation problem. They identify Projected Gradient Descent (PGD) as a strong, effectively universal first-order attack and show that adversarial training against PGD yields networks with significantly improved resistance to a wide range of attacks, giving a concrete security target.</w:t>
      </w:r>
    </w:p>
    <w:p>
      <w:pPr>
        <w:spacing w:after="120" w:line="300"/>
        <w:jc w:val="both"/>
      </w:pPr>
      <w:r>
        <w:rPr>
          <w:b/>
          <w:bCs/>
        </w:rPr>
        <w:t xml:space="preserve">Relevance to AISecGuard: </w:t>
      </w:r>
      <w:r>
        <w:t xml:space="preserve">It defines the robustness benchmark that AISecGuard's robustness tests and compliance evidence should aim for.</w:t>
      </w:r>
    </w:p>
    <w:p>
      <w:pPr>
        <w:spacing w:after="120" w:line="300"/>
        <w:jc w:val="both"/>
      </w:pPr>
      <w:r>
        <w:rPr>
          <w:b/>
          <w:bCs/>
        </w:rPr>
        <w:t xml:space="preserve">Limitations: </w:t>
      </w:r>
      <w:r>
        <w:t xml:space="preserve">PGD adversarial training is computationally expensive and usually lowers clean accuracy.</w:t>
      </w:r>
    </w:p>
    <w:p>
      <w:pPr>
        <w:pStyle w:val="Heading3"/>
      </w:pPr>
      <w:r>
        <w:t xml:space="preserve">[17] Feature Squeezing: Detecting Adversarial Examples in Deep Neural Networks</w:t>
      </w:r>
    </w:p>
    <w:p>
      <w:pPr>
        <w:spacing w:after="100"/>
      </w:pPr>
      <w:r>
        <w:rPr>
          <w:i/>
          <w:iCs/>
        </w:rPr>
        <w:t xml:space="preserve">Xu, Evans and Qi, NDSS, 2018</w:t>
      </w:r>
    </w:p>
    <w:p>
      <w:pPr>
        <w:spacing w:after="120" w:line="300"/>
        <w:jc w:val="both"/>
      </w:pPr>
      <w:r>
        <w:t xml:space="preserve">Feature squeezing detects adversarial inputs instead of hardening the model. It reduces the input space by lowering colour bit depth and applying spatial smoothing, then compares the model's prediction on the original and the squeezed input. A large difference indicates an adversarial example. The method is inexpensive, needs no change to the model, and its squeezers can be combined into a joint detector.</w:t>
      </w:r>
    </w:p>
    <w:p>
      <w:pPr>
        <w:spacing w:after="120" w:line="300"/>
        <w:jc w:val="both"/>
      </w:pPr>
      <w:r>
        <w:rPr>
          <w:b/>
          <w:bCs/>
        </w:rPr>
        <w:t xml:space="preserve">Relevance to AISecGuard: </w:t>
      </w:r>
      <w:r>
        <w:t xml:space="preserve">It is one of AISecGuard's run-time detectors because it can be added to any deployed model without retraining.</w:t>
      </w:r>
    </w:p>
    <w:p>
      <w:pPr>
        <w:spacing w:after="120" w:line="300"/>
        <w:jc w:val="both"/>
      </w:pPr>
      <w:r>
        <w:rPr>
          <w:b/>
          <w:bCs/>
        </w:rPr>
        <w:t xml:space="preserve">Limitations: </w:t>
      </w:r>
      <w:r>
        <w:t xml:space="preserve">Its effectiveness depends on the data type, and later work showed that adaptive attackers who know the squeezers can bypass it.</w:t>
      </w:r>
    </w:p>
    <w:p>
      <w:pPr>
        <w:pStyle w:val="Heading3"/>
      </w:pPr>
      <w:r>
        <w:t xml:space="preserve">[18] Stealing Machine Learning Models via Prediction APIs</w:t>
      </w:r>
    </w:p>
    <w:p>
      <w:pPr>
        <w:spacing w:after="100"/>
      </w:pPr>
      <w:r>
        <w:rPr>
          <w:i/>
          <w:iCs/>
        </w:rPr>
        <w:t xml:space="preserve">Tramèr et al., USENIX Security, 2016</w:t>
      </w:r>
    </w:p>
    <w:p>
      <w:pPr>
        <w:spacing w:after="120" w:line="300"/>
        <w:jc w:val="both"/>
      </w:pPr>
      <w:r>
        <w:t xml:space="preserve">The authors show that an adversary with only black-box query access can extract near-identical copies of logistic regression models, neural networks and decision trees, using equation-solving and path-finding attacks that exploit returned confidence scores. They demonstrated the attacks against the BigML and Amazon Machine Learning services and showed that hiding confidence values does not fully prevent extraction.</w:t>
      </w:r>
    </w:p>
    <w:p>
      <w:pPr>
        <w:spacing w:after="120" w:line="300"/>
        <w:jc w:val="both"/>
      </w:pPr>
      <w:r>
        <w:rPr>
          <w:b/>
          <w:bCs/>
        </w:rPr>
        <w:t xml:space="preserve">Relevance to AISecGuard: </w:t>
      </w:r>
      <w:r>
        <w:t xml:space="preserve">It motivates AISecGuard's query monitoring and rate limiting, which look for high-volume probing typical of extraction attacks.</w:t>
      </w:r>
    </w:p>
    <w:p>
      <w:pPr>
        <w:spacing w:after="120" w:line="300"/>
        <w:jc w:val="both"/>
      </w:pPr>
      <w:r>
        <w:rPr>
          <w:b/>
          <w:bCs/>
        </w:rPr>
        <w:t xml:space="preserve">Limitations: </w:t>
      </w:r>
      <w:r>
        <w:t xml:space="preserve">The models studied are relatively simple; extracting large modern networks requires far more queries.</w:t>
      </w:r>
    </w:p>
    <w:p>
      <w:pPr>
        <w:pStyle w:val="Heading3"/>
      </w:pPr>
      <w:r>
        <w:t xml:space="preserve">[19] Failing Loudly: An Empirical Study of Methods for Detecting Dataset Shift</w:t>
      </w:r>
    </w:p>
    <w:p>
      <w:pPr>
        <w:spacing w:after="100"/>
      </w:pPr>
      <w:r>
        <w:rPr>
          <w:i/>
          <w:iCs/>
        </w:rPr>
        <w:t xml:space="preserve">Rabanser, Günnemann and Lipton, NeurIPS, 2019</w:t>
      </w:r>
    </w:p>
    <w:p>
      <w:pPr>
        <w:spacing w:after="120" w:line="300"/>
        <w:jc w:val="both"/>
      </w:pPr>
      <w:r>
        <w:t xml:space="preserve">This study compares methods for detecting when production data no longer matches training data. Across many shift types and magnitudes, the best approach used a pre-trained classifier for dimensionality reduction followed by two-sample statistical tests. Domain classifiers were found useful for characterising a shift and judging whether it is harmful.</w:t>
      </w:r>
    </w:p>
    <w:p>
      <w:pPr>
        <w:spacing w:after="120" w:line="300"/>
        <w:jc w:val="both"/>
      </w:pPr>
      <w:r>
        <w:rPr>
          <w:b/>
          <w:bCs/>
        </w:rPr>
        <w:t xml:space="preserve">Relevance to AISecGuard: </w:t>
      </w:r>
      <w:r>
        <w:t xml:space="preserve">It is the methodological basis for AISecGuard's drift detector, which applies per-feature two-sample tests with multiple-testing correction and monitors prediction confidence before triggering retraining.</w:t>
      </w:r>
    </w:p>
    <w:p>
      <w:pPr>
        <w:spacing w:after="120" w:line="300"/>
        <w:jc w:val="both"/>
      </w:pPr>
      <w:r>
        <w:rPr>
          <w:b/>
          <w:bCs/>
        </w:rPr>
        <w:t xml:space="preserve">Limitations: </w:t>
      </w:r>
      <w:r>
        <w:t xml:space="preserve">Detecting a shift does not explain its cause, so it cannot by itself distinguish natural change from deliberate manipulation.</w:t>
      </w:r>
    </w:p>
    <w:p>
      <w:pPr>
        <w:pStyle w:val="Heading2"/>
      </w:pPr>
      <w:r>
        <w:t xml:space="preserve">3.6 Documentation, Transparency and Compliance</w:t>
      </w:r>
    </w:p>
    <w:p>
      <w:pPr>
        <w:spacing w:after="120" w:line="300"/>
        <w:jc w:val="both"/>
      </w:pPr>
      <w:r>
        <w:t xml:space="preserve">The final paper supports the Compliance &amp; Governance component (Component 6).</w:t>
      </w:r>
    </w:p>
    <w:p>
      <w:pPr>
        <w:pStyle w:val="Heading3"/>
      </w:pPr>
      <w:r>
        <w:t xml:space="preserve">[20] Model Cards for Model Reporting</w:t>
      </w:r>
    </w:p>
    <w:p>
      <w:pPr>
        <w:spacing w:after="100"/>
      </w:pPr>
      <w:r>
        <w:rPr>
          <w:i/>
          <w:iCs/>
        </w:rPr>
        <w:t xml:space="preserve">Mitchell et al., ACM FAT*, 2019</w:t>
      </w:r>
    </w:p>
    <w:p>
      <w:pPr>
        <w:spacing w:after="120" w:line="300"/>
        <w:jc w:val="both"/>
      </w:pPr>
      <w:r>
        <w:t xml:space="preserve">Model cards are short documents that accompany a trained model and describe its intended use, out-of-scope uses, evaluation procedure and performance, including results broken down across relevant groups. The authors illustrate the framework with cards for a smiling-face detector and a toxic-comment classifier.</w:t>
      </w:r>
    </w:p>
    <w:p>
      <w:pPr>
        <w:spacing w:after="120" w:line="300"/>
        <w:jc w:val="both"/>
      </w:pPr>
      <w:r>
        <w:rPr>
          <w:b/>
          <w:bCs/>
        </w:rPr>
        <w:t xml:space="preserve">Relevance to AISecGuard: </w:t>
      </w:r>
      <w:r>
        <w:t xml:space="preserve">AISecGuard generates model cards automatically and extends them with security results, providing technical documentation of the kind expected by regulation such as the EU AI Act.</w:t>
      </w:r>
    </w:p>
    <w:p>
      <w:pPr>
        <w:spacing w:after="120" w:line="300"/>
        <w:jc w:val="both"/>
      </w:pPr>
      <w:r>
        <w:rPr>
          <w:b/>
          <w:bCs/>
        </w:rPr>
        <w:t xml:space="preserve">Limitations: </w:t>
      </w:r>
      <w:r>
        <w:t xml:space="preserve">Model cards are a reporting format focused on fairness and performance; they do not record security properties, which AISecGuard therefore adds.</w:t>
      </w:r>
    </w:p>
    <w:p>
      <w:pPr>
        <w:sectPr>
          <w:headerReference w:type="default" r:id="rId7"/>
          <w:footerReference w:type="default" r:id="rId8"/>
          <w:pgSz w:w="11906" w:h="16838" w:orient="portrait"/>
          <w:pgMar w:top="1440" w:right="1440" w:bottom="1440" w:left="1440" w:header="708" w:footer="708" w:gutter="0"/>
          <w:pgNumType/>
          <w:docGrid w:linePitch="360"/>
        </w:sectPr>
      </w:pPr>
    </w:p>
    <w:p>
      <w:pPr>
        <w:pStyle w:val="Heading1"/>
      </w:pPr>
      <w:r>
        <w:t xml:space="preserve">4. Comparative Summary</w:t>
      </w:r>
    </w:p>
    <w:p>
      <w:pPr>
        <w:spacing w:after="120" w:line="300"/>
        <w:jc w:val="both"/>
      </w:pPr>
      <w:r>
        <w:t xml:space="preserve">Table 2 summarises the contribution of each paper, the main limitation identified in this review, and the AISecGuard component it informs (C1–C6).</w:t>
      </w:r>
    </w:p>
    <w:p>
      <w:pPr>
        <w:spacing w:after="80"/>
      </w:pPr>
      <w:r>
        <w:rPr>
          <w:b/>
          <w:bCs/>
          <w:sz w:val="20"/>
          <w:szCs w:val="20"/>
        </w:rPr>
        <w:t xml:space="preserve">Table 2. Summary of reviewed papers</w:t>
      </w:r>
    </w:p>
    <w:tbl>
      <w:tblPr>
        <w:tblW w:type="dxa" w:w="1385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600"/>
        <w:gridCol w:w="2400"/>
        <w:gridCol w:w="5300"/>
        <w:gridCol w:w="4100"/>
        <w:gridCol w:w="1450"/>
      </w:tblGrid>
      <w:tr>
        <w:trPr>
          <w:tblHeader/>
        </w:trPr>
        <w:tc>
          <w:tcPr>
            <w:tcW w:type="dxa" w:w="600"/>
            <w:tcBorders>
              <w:top w:val="single" w:color="A6A6A6" w:sz="4"/>
              <w:left w:val="single" w:color="A6A6A6" w:sz="4"/>
              <w:bottom w:val="single" w:color="A6A6A6" w:sz="4"/>
              <w:right w:val="single" w:color="A6A6A6" w:sz="4"/>
            </w:tcBorders>
            <w:shd w:fill="1F3864" w:color="auto" w:val="clear"/>
            <w:tcMar>
              <w:top w:type="dxa" w:w="45"/>
              <w:left w:type="dxa" w:w="90"/>
              <w:bottom w:type="dxa" w:w="45"/>
              <w:right w:type="dxa" w:w="90"/>
            </w:tcMar>
            <w:vAlign w:val="top"/>
          </w:tcPr>
          <w:p>
            <w:pPr>
              <w:spacing w:after="0" w:line="252"/>
            </w:pPr>
            <w:r>
              <w:rPr>
                <w:b/>
                <w:bCs/>
                <w:color w:val="FFFFFF"/>
                <w:sz w:val="17"/>
                <w:szCs w:val="17"/>
              </w:rPr>
              <w:t xml:space="preserve">Ref.</w:t>
            </w:r>
          </w:p>
        </w:tc>
        <w:tc>
          <w:tcPr>
            <w:tcW w:type="dxa" w:w="2400"/>
            <w:tcBorders>
              <w:top w:val="single" w:color="A6A6A6" w:sz="4"/>
              <w:left w:val="single" w:color="A6A6A6" w:sz="4"/>
              <w:bottom w:val="single" w:color="A6A6A6" w:sz="4"/>
              <w:right w:val="single" w:color="A6A6A6" w:sz="4"/>
            </w:tcBorders>
            <w:shd w:fill="1F3864" w:color="auto" w:val="clear"/>
            <w:tcMar>
              <w:top w:type="dxa" w:w="45"/>
              <w:left w:type="dxa" w:w="90"/>
              <w:bottom w:type="dxa" w:w="45"/>
              <w:right w:type="dxa" w:w="90"/>
            </w:tcMar>
            <w:vAlign w:val="top"/>
          </w:tcPr>
          <w:p>
            <w:pPr>
              <w:spacing w:after="0" w:line="252"/>
            </w:pPr>
            <w:r>
              <w:rPr>
                <w:b/>
                <w:bCs/>
                <w:color w:val="FFFFFF"/>
                <w:sz w:val="17"/>
                <w:szCs w:val="17"/>
              </w:rPr>
              <w:t xml:space="preserve">Authors (year)</w:t>
            </w:r>
          </w:p>
        </w:tc>
        <w:tc>
          <w:tcPr>
            <w:tcW w:type="dxa" w:w="5300"/>
            <w:tcBorders>
              <w:top w:val="single" w:color="A6A6A6" w:sz="4"/>
              <w:left w:val="single" w:color="A6A6A6" w:sz="4"/>
              <w:bottom w:val="single" w:color="A6A6A6" w:sz="4"/>
              <w:right w:val="single" w:color="A6A6A6" w:sz="4"/>
            </w:tcBorders>
            <w:shd w:fill="1F3864" w:color="auto" w:val="clear"/>
            <w:tcMar>
              <w:top w:type="dxa" w:w="45"/>
              <w:left w:type="dxa" w:w="90"/>
              <w:bottom w:type="dxa" w:w="45"/>
              <w:right w:type="dxa" w:w="90"/>
            </w:tcMar>
            <w:vAlign w:val="top"/>
          </w:tcPr>
          <w:p>
            <w:pPr>
              <w:spacing w:after="0" w:line="252"/>
            </w:pPr>
            <w:r>
              <w:rPr>
                <w:b/>
                <w:bCs/>
                <w:color w:val="FFFFFF"/>
                <w:sz w:val="17"/>
                <w:szCs w:val="17"/>
              </w:rPr>
              <w:t xml:space="preserve">Contribution</w:t>
            </w:r>
          </w:p>
        </w:tc>
        <w:tc>
          <w:tcPr>
            <w:tcW w:type="dxa" w:w="4100"/>
            <w:tcBorders>
              <w:top w:val="single" w:color="A6A6A6" w:sz="4"/>
              <w:left w:val="single" w:color="A6A6A6" w:sz="4"/>
              <w:bottom w:val="single" w:color="A6A6A6" w:sz="4"/>
              <w:right w:val="single" w:color="A6A6A6" w:sz="4"/>
            </w:tcBorders>
            <w:shd w:fill="1F3864" w:color="auto" w:val="clear"/>
            <w:tcMar>
              <w:top w:type="dxa" w:w="45"/>
              <w:left w:type="dxa" w:w="90"/>
              <w:bottom w:type="dxa" w:w="45"/>
              <w:right w:type="dxa" w:w="90"/>
            </w:tcMar>
            <w:vAlign w:val="top"/>
          </w:tcPr>
          <w:p>
            <w:pPr>
              <w:spacing w:after="0" w:line="252"/>
            </w:pPr>
            <w:r>
              <w:rPr>
                <w:b/>
                <w:bCs/>
                <w:color w:val="FFFFFF"/>
                <w:sz w:val="17"/>
                <w:szCs w:val="17"/>
              </w:rPr>
              <w:t xml:space="preserve">Main limitation</w:t>
            </w:r>
          </w:p>
        </w:tc>
        <w:tc>
          <w:tcPr>
            <w:tcW w:type="dxa" w:w="1450"/>
            <w:tcBorders>
              <w:top w:val="single" w:color="A6A6A6" w:sz="4"/>
              <w:left w:val="single" w:color="A6A6A6" w:sz="4"/>
              <w:bottom w:val="single" w:color="A6A6A6" w:sz="4"/>
              <w:right w:val="single" w:color="A6A6A6" w:sz="4"/>
            </w:tcBorders>
            <w:shd w:fill="1F3864" w:color="auto" w:val="clear"/>
            <w:tcMar>
              <w:top w:type="dxa" w:w="45"/>
              <w:left w:type="dxa" w:w="90"/>
              <w:bottom w:type="dxa" w:w="45"/>
              <w:right w:type="dxa" w:w="90"/>
            </w:tcMar>
            <w:vAlign w:val="top"/>
          </w:tcPr>
          <w:p>
            <w:pPr>
              <w:spacing w:after="0" w:line="252"/>
            </w:pPr>
            <w:r>
              <w:rPr>
                <w:b/>
                <w:bCs/>
                <w:color w:val="FFFFFF"/>
                <w:sz w:val="17"/>
                <w:szCs w:val="17"/>
              </w:rPr>
              <w:t xml:space="preserve">Component</w:t>
            </w:r>
          </w:p>
        </w:tc>
      </w:tr>
      <w:tr>
        <w:tc>
          <w:tcPr>
            <w:tcW w:type="dxa" w:w="600"/>
            <w:tcBorders>
              <w:top w:val="single" w:color="A6A6A6" w:sz="4"/>
              <w:left w:val="single" w:color="A6A6A6" w:sz="4"/>
              <w:bottom w:val="single" w:color="A6A6A6" w:sz="4"/>
              <w:right w:val="single" w:color="A6A6A6" w:sz="4"/>
            </w:tcBorders>
            <w:tcMar>
              <w:top w:type="dxa" w:w="45"/>
              <w:left w:type="dxa" w:w="90"/>
              <w:bottom w:type="dxa" w:w="45"/>
              <w:right w:type="dxa" w:w="90"/>
            </w:tcMar>
            <w:vAlign w:val="top"/>
          </w:tcPr>
          <w:p>
            <w:pPr>
              <w:spacing w:after="0" w:line="252"/>
            </w:pPr>
            <w:r>
              <w:rPr>
                <w:b w:val="false"/>
                <w:bCs w:val="false"/>
                <w:sz w:val="17"/>
                <w:szCs w:val="17"/>
              </w:rPr>
              <w:t xml:space="preserve">1</w:t>
            </w:r>
          </w:p>
        </w:tc>
        <w:tc>
          <w:tcPr>
            <w:tcW w:type="dxa" w:w="2400"/>
            <w:tcBorders>
              <w:top w:val="single" w:color="A6A6A6" w:sz="4"/>
              <w:left w:val="single" w:color="A6A6A6" w:sz="4"/>
              <w:bottom w:val="single" w:color="A6A6A6" w:sz="4"/>
              <w:right w:val="single" w:color="A6A6A6" w:sz="4"/>
            </w:tcBorders>
            <w:tcMar>
              <w:top w:type="dxa" w:w="45"/>
              <w:left w:type="dxa" w:w="90"/>
              <w:bottom w:type="dxa" w:w="45"/>
              <w:right w:type="dxa" w:w="90"/>
            </w:tcMar>
            <w:vAlign w:val="top"/>
          </w:tcPr>
          <w:p>
            <w:pPr>
              <w:spacing w:after="0" w:line="252"/>
            </w:pPr>
            <w:r>
              <w:rPr>
                <w:b w:val="false"/>
                <w:bCs w:val="false"/>
                <w:sz w:val="17"/>
                <w:szCs w:val="17"/>
              </w:rPr>
              <w:t xml:space="preserve">Goldblum et al. (2023)</w:t>
            </w:r>
          </w:p>
        </w:tc>
        <w:tc>
          <w:tcPr>
            <w:tcW w:type="dxa" w:w="5300"/>
            <w:tcBorders>
              <w:top w:val="single" w:color="A6A6A6" w:sz="4"/>
              <w:left w:val="single" w:color="A6A6A6" w:sz="4"/>
              <w:bottom w:val="single" w:color="A6A6A6" w:sz="4"/>
              <w:right w:val="single" w:color="A6A6A6" w:sz="4"/>
            </w:tcBorders>
            <w:tcMar>
              <w:top w:type="dxa" w:w="45"/>
              <w:left w:type="dxa" w:w="90"/>
              <w:bottom w:type="dxa" w:w="45"/>
              <w:right w:type="dxa" w:w="90"/>
            </w:tcMar>
            <w:vAlign w:val="top"/>
          </w:tcPr>
          <w:p>
            <w:pPr>
              <w:spacing w:after="0" w:line="252"/>
            </w:pPr>
            <w:r>
              <w:rPr>
                <w:b w:val="false"/>
                <w:bCs w:val="false"/>
                <w:sz w:val="17"/>
                <w:szCs w:val="17"/>
              </w:rPr>
              <w:t xml:space="preserve">Survey and taxonomy of poisoning and backdoor attacks and defences</w:t>
            </w:r>
          </w:p>
        </w:tc>
        <w:tc>
          <w:tcPr>
            <w:tcW w:type="dxa" w:w="4100"/>
            <w:tcBorders>
              <w:top w:val="single" w:color="A6A6A6" w:sz="4"/>
              <w:left w:val="single" w:color="A6A6A6" w:sz="4"/>
              <w:bottom w:val="single" w:color="A6A6A6" w:sz="4"/>
              <w:right w:val="single" w:color="A6A6A6" w:sz="4"/>
            </w:tcBorders>
            <w:tcMar>
              <w:top w:type="dxa" w:w="45"/>
              <w:left w:type="dxa" w:w="90"/>
              <w:bottom w:type="dxa" w:w="45"/>
              <w:right w:type="dxa" w:w="90"/>
            </w:tcMar>
            <w:vAlign w:val="top"/>
          </w:tcPr>
          <w:p>
            <w:pPr>
              <w:spacing w:after="0" w:line="252"/>
            </w:pPr>
            <w:r>
              <w:rPr>
                <w:b w:val="false"/>
                <w:bCs w:val="false"/>
                <w:sz w:val="17"/>
                <w:szCs w:val="17"/>
              </w:rPr>
              <w:t xml:space="preserve">No unified defence covers all threat models</w:t>
            </w:r>
          </w:p>
        </w:tc>
        <w:tc>
          <w:tcPr>
            <w:tcW w:type="dxa" w:w="1450"/>
            <w:tcBorders>
              <w:top w:val="single" w:color="A6A6A6" w:sz="4"/>
              <w:left w:val="single" w:color="A6A6A6" w:sz="4"/>
              <w:bottom w:val="single" w:color="A6A6A6" w:sz="4"/>
              <w:right w:val="single" w:color="A6A6A6" w:sz="4"/>
            </w:tcBorders>
            <w:tcMar>
              <w:top w:type="dxa" w:w="45"/>
              <w:left w:type="dxa" w:w="90"/>
              <w:bottom w:type="dxa" w:w="45"/>
              <w:right w:type="dxa" w:w="90"/>
            </w:tcMar>
            <w:vAlign w:val="top"/>
          </w:tcPr>
          <w:p>
            <w:pPr>
              <w:spacing w:after="0" w:line="252"/>
            </w:pPr>
            <w:r>
              <w:rPr>
                <w:b w:val="false"/>
                <w:bCs w:val="false"/>
                <w:sz w:val="17"/>
                <w:szCs w:val="17"/>
              </w:rPr>
              <w:t xml:space="preserve">C1, C4</w:t>
            </w:r>
          </w:p>
        </w:tc>
      </w:tr>
      <w:tr>
        <w:tc>
          <w:tcPr>
            <w:tcW w:type="dxa" w:w="600"/>
            <w:tcBorders>
              <w:top w:val="single" w:color="A6A6A6" w:sz="4"/>
              <w:left w:val="single" w:color="A6A6A6" w:sz="4"/>
              <w:bottom w:val="single" w:color="A6A6A6" w:sz="4"/>
              <w:right w:val="single" w:color="A6A6A6" w:sz="4"/>
            </w:tcBorders>
            <w:tcMar>
              <w:top w:type="dxa" w:w="45"/>
              <w:left w:type="dxa" w:w="90"/>
              <w:bottom w:type="dxa" w:w="45"/>
              <w:right w:type="dxa" w:w="90"/>
            </w:tcMar>
            <w:vAlign w:val="top"/>
          </w:tcPr>
          <w:p>
            <w:pPr>
              <w:spacing w:after="0" w:line="252"/>
            </w:pPr>
            <w:r>
              <w:rPr>
                <w:b w:val="false"/>
                <w:bCs w:val="false"/>
                <w:sz w:val="17"/>
                <w:szCs w:val="17"/>
              </w:rPr>
              <w:t xml:space="preserve">2</w:t>
            </w:r>
          </w:p>
        </w:tc>
        <w:tc>
          <w:tcPr>
            <w:tcW w:type="dxa" w:w="2400"/>
            <w:tcBorders>
              <w:top w:val="single" w:color="A6A6A6" w:sz="4"/>
              <w:left w:val="single" w:color="A6A6A6" w:sz="4"/>
              <w:bottom w:val="single" w:color="A6A6A6" w:sz="4"/>
              <w:right w:val="single" w:color="A6A6A6" w:sz="4"/>
            </w:tcBorders>
            <w:tcMar>
              <w:top w:type="dxa" w:w="45"/>
              <w:left w:type="dxa" w:w="90"/>
              <w:bottom w:type="dxa" w:w="45"/>
              <w:right w:type="dxa" w:w="90"/>
            </w:tcMar>
            <w:vAlign w:val="top"/>
          </w:tcPr>
          <w:p>
            <w:pPr>
              <w:spacing w:after="0" w:line="252"/>
            </w:pPr>
            <w:r>
              <w:rPr>
                <w:b w:val="false"/>
                <w:bCs w:val="false"/>
                <w:sz w:val="17"/>
                <w:szCs w:val="17"/>
              </w:rPr>
              <w:t xml:space="preserve">Carlini et al. (2024)</w:t>
            </w:r>
          </w:p>
        </w:tc>
        <w:tc>
          <w:tcPr>
            <w:tcW w:type="dxa" w:w="5300"/>
            <w:tcBorders>
              <w:top w:val="single" w:color="A6A6A6" w:sz="4"/>
              <w:left w:val="single" w:color="A6A6A6" w:sz="4"/>
              <w:bottom w:val="single" w:color="A6A6A6" w:sz="4"/>
              <w:right w:val="single" w:color="A6A6A6" w:sz="4"/>
            </w:tcBorders>
            <w:tcMar>
              <w:top w:type="dxa" w:w="45"/>
              <w:left w:type="dxa" w:w="90"/>
              <w:bottom w:type="dxa" w:w="45"/>
              <w:right w:type="dxa" w:w="90"/>
            </w:tcMar>
            <w:vAlign w:val="top"/>
          </w:tcPr>
          <w:p>
            <w:pPr>
              <w:spacing w:after="0" w:line="252"/>
            </w:pPr>
            <w:r>
              <w:rPr>
                <w:b w:val="false"/>
                <w:bCs w:val="false"/>
                <w:sz w:val="17"/>
                <w:szCs w:val="17"/>
              </w:rPr>
              <w:t xml:space="preserve">Split-view and frontrunning poisoning of web-scale datasets</w:t>
            </w:r>
          </w:p>
        </w:tc>
        <w:tc>
          <w:tcPr>
            <w:tcW w:type="dxa" w:w="4100"/>
            <w:tcBorders>
              <w:top w:val="single" w:color="A6A6A6" w:sz="4"/>
              <w:left w:val="single" w:color="A6A6A6" w:sz="4"/>
              <w:bottom w:val="single" w:color="A6A6A6" w:sz="4"/>
              <w:right w:val="single" w:color="A6A6A6" w:sz="4"/>
            </w:tcBorders>
            <w:tcMar>
              <w:top w:type="dxa" w:w="45"/>
              <w:left w:type="dxa" w:w="90"/>
              <w:bottom w:type="dxa" w:w="45"/>
              <w:right w:type="dxa" w:w="90"/>
            </w:tcMar>
            <w:vAlign w:val="top"/>
          </w:tcPr>
          <w:p>
            <w:pPr>
              <w:spacing w:after="0" w:line="252"/>
            </w:pPr>
            <w:r>
              <w:rPr>
                <w:b w:val="false"/>
                <w:bCs w:val="false"/>
                <w:sz w:val="17"/>
                <w:szCs w:val="17"/>
              </w:rPr>
              <w:t xml:space="preserve">Hashes defeat split-view only; content may still be malicious</w:t>
            </w:r>
          </w:p>
        </w:tc>
        <w:tc>
          <w:tcPr>
            <w:tcW w:type="dxa" w:w="1450"/>
            <w:tcBorders>
              <w:top w:val="single" w:color="A6A6A6" w:sz="4"/>
              <w:left w:val="single" w:color="A6A6A6" w:sz="4"/>
              <w:bottom w:val="single" w:color="A6A6A6" w:sz="4"/>
              <w:right w:val="single" w:color="A6A6A6" w:sz="4"/>
            </w:tcBorders>
            <w:tcMar>
              <w:top w:type="dxa" w:w="45"/>
              <w:left w:type="dxa" w:w="90"/>
              <w:bottom w:type="dxa" w:w="45"/>
              <w:right w:type="dxa" w:w="90"/>
            </w:tcMar>
            <w:vAlign w:val="top"/>
          </w:tcPr>
          <w:p>
            <w:pPr>
              <w:spacing w:after="0" w:line="252"/>
            </w:pPr>
            <w:r>
              <w:rPr>
                <w:b w:val="false"/>
                <w:bCs w:val="false"/>
                <w:sz w:val="17"/>
                <w:szCs w:val="17"/>
              </w:rPr>
              <w:t xml:space="preserve">C1</w:t>
            </w:r>
          </w:p>
        </w:tc>
      </w:tr>
      <w:tr>
        <w:tc>
          <w:tcPr>
            <w:tcW w:type="dxa" w:w="600"/>
            <w:tcBorders>
              <w:top w:val="single" w:color="A6A6A6" w:sz="4"/>
              <w:left w:val="single" w:color="A6A6A6" w:sz="4"/>
              <w:bottom w:val="single" w:color="A6A6A6" w:sz="4"/>
              <w:right w:val="single" w:color="A6A6A6" w:sz="4"/>
            </w:tcBorders>
            <w:tcMar>
              <w:top w:type="dxa" w:w="45"/>
              <w:left w:type="dxa" w:w="90"/>
              <w:bottom w:type="dxa" w:w="45"/>
              <w:right w:type="dxa" w:w="90"/>
            </w:tcMar>
            <w:vAlign w:val="top"/>
          </w:tcPr>
          <w:p>
            <w:pPr>
              <w:spacing w:after="0" w:line="252"/>
            </w:pPr>
            <w:r>
              <w:rPr>
                <w:b w:val="false"/>
                <w:bCs w:val="false"/>
                <w:sz w:val="17"/>
                <w:szCs w:val="17"/>
              </w:rPr>
              <w:t xml:space="preserve">3</w:t>
            </w:r>
          </w:p>
        </w:tc>
        <w:tc>
          <w:tcPr>
            <w:tcW w:type="dxa" w:w="2400"/>
            <w:tcBorders>
              <w:top w:val="single" w:color="A6A6A6" w:sz="4"/>
              <w:left w:val="single" w:color="A6A6A6" w:sz="4"/>
              <w:bottom w:val="single" w:color="A6A6A6" w:sz="4"/>
              <w:right w:val="single" w:color="A6A6A6" w:sz="4"/>
            </w:tcBorders>
            <w:tcMar>
              <w:top w:type="dxa" w:w="45"/>
              <w:left w:type="dxa" w:w="90"/>
              <w:bottom w:type="dxa" w:w="45"/>
              <w:right w:type="dxa" w:w="90"/>
            </w:tcMar>
            <w:vAlign w:val="top"/>
          </w:tcPr>
          <w:p>
            <w:pPr>
              <w:spacing w:after="0" w:line="252"/>
            </w:pPr>
            <w:r>
              <w:rPr>
                <w:b w:val="false"/>
                <w:bCs w:val="false"/>
                <w:sz w:val="17"/>
                <w:szCs w:val="17"/>
              </w:rPr>
              <w:t xml:space="preserve">Gu et al. (2017)</w:t>
            </w:r>
          </w:p>
        </w:tc>
        <w:tc>
          <w:tcPr>
            <w:tcW w:type="dxa" w:w="5300"/>
            <w:tcBorders>
              <w:top w:val="single" w:color="A6A6A6" w:sz="4"/>
              <w:left w:val="single" w:color="A6A6A6" w:sz="4"/>
              <w:bottom w:val="single" w:color="A6A6A6" w:sz="4"/>
              <w:right w:val="single" w:color="A6A6A6" w:sz="4"/>
            </w:tcBorders>
            <w:tcMar>
              <w:top w:type="dxa" w:w="45"/>
              <w:left w:type="dxa" w:w="90"/>
              <w:bottom w:type="dxa" w:w="45"/>
              <w:right w:type="dxa" w:w="90"/>
            </w:tcMar>
            <w:vAlign w:val="top"/>
          </w:tcPr>
          <w:p>
            <w:pPr>
              <w:spacing w:after="0" w:line="252"/>
            </w:pPr>
            <w:r>
              <w:rPr>
                <w:b w:val="false"/>
                <w:bCs w:val="false"/>
                <w:sz w:val="17"/>
                <w:szCs w:val="17"/>
              </w:rPr>
              <w:t xml:space="preserve">BadNets backdoor in outsourced and pre-trained models</w:t>
            </w:r>
          </w:p>
        </w:tc>
        <w:tc>
          <w:tcPr>
            <w:tcW w:type="dxa" w:w="4100"/>
            <w:tcBorders>
              <w:top w:val="single" w:color="A6A6A6" w:sz="4"/>
              <w:left w:val="single" w:color="A6A6A6" w:sz="4"/>
              <w:bottom w:val="single" w:color="A6A6A6" w:sz="4"/>
              <w:right w:val="single" w:color="A6A6A6" w:sz="4"/>
            </w:tcBorders>
            <w:tcMar>
              <w:top w:type="dxa" w:w="45"/>
              <w:left w:type="dxa" w:w="90"/>
              <w:bottom w:type="dxa" w:w="45"/>
              <w:right w:type="dxa" w:w="90"/>
            </w:tcMar>
            <w:vAlign w:val="top"/>
          </w:tcPr>
          <w:p>
            <w:pPr>
              <w:spacing w:after="0" w:line="252"/>
            </w:pPr>
            <w:r>
              <w:rPr>
                <w:b w:val="false"/>
                <w:bCs w:val="false"/>
                <w:sz w:val="17"/>
                <w:szCs w:val="17"/>
              </w:rPr>
              <w:t xml:space="preserve">Visible triggers on image tasks</w:t>
            </w:r>
          </w:p>
        </w:tc>
        <w:tc>
          <w:tcPr>
            <w:tcW w:type="dxa" w:w="1450"/>
            <w:tcBorders>
              <w:top w:val="single" w:color="A6A6A6" w:sz="4"/>
              <w:left w:val="single" w:color="A6A6A6" w:sz="4"/>
              <w:bottom w:val="single" w:color="A6A6A6" w:sz="4"/>
              <w:right w:val="single" w:color="A6A6A6" w:sz="4"/>
            </w:tcBorders>
            <w:tcMar>
              <w:top w:type="dxa" w:w="45"/>
              <w:left w:type="dxa" w:w="90"/>
              <w:bottom w:type="dxa" w:w="45"/>
              <w:right w:type="dxa" w:w="90"/>
            </w:tcMar>
            <w:vAlign w:val="top"/>
          </w:tcPr>
          <w:p>
            <w:pPr>
              <w:spacing w:after="0" w:line="252"/>
            </w:pPr>
            <w:r>
              <w:rPr>
                <w:b w:val="false"/>
                <w:bCs w:val="false"/>
                <w:sz w:val="17"/>
                <w:szCs w:val="17"/>
              </w:rPr>
              <w:t xml:space="preserve">C2, C4</w:t>
            </w:r>
          </w:p>
        </w:tc>
      </w:tr>
      <w:tr>
        <w:tc>
          <w:tcPr>
            <w:tcW w:type="dxa" w:w="600"/>
            <w:tcBorders>
              <w:top w:val="single" w:color="A6A6A6" w:sz="4"/>
              <w:left w:val="single" w:color="A6A6A6" w:sz="4"/>
              <w:bottom w:val="single" w:color="A6A6A6" w:sz="4"/>
              <w:right w:val="single" w:color="A6A6A6" w:sz="4"/>
            </w:tcBorders>
            <w:tcMar>
              <w:top w:type="dxa" w:w="45"/>
              <w:left w:type="dxa" w:w="90"/>
              <w:bottom w:type="dxa" w:w="45"/>
              <w:right w:type="dxa" w:w="90"/>
            </w:tcMar>
            <w:vAlign w:val="top"/>
          </w:tcPr>
          <w:p>
            <w:pPr>
              <w:spacing w:after="0" w:line="252"/>
            </w:pPr>
            <w:r>
              <w:rPr>
                <w:b w:val="false"/>
                <w:bCs w:val="false"/>
                <w:sz w:val="17"/>
                <w:szCs w:val="17"/>
              </w:rPr>
              <w:t xml:space="preserve">4</w:t>
            </w:r>
          </w:p>
        </w:tc>
        <w:tc>
          <w:tcPr>
            <w:tcW w:type="dxa" w:w="2400"/>
            <w:tcBorders>
              <w:top w:val="single" w:color="A6A6A6" w:sz="4"/>
              <w:left w:val="single" w:color="A6A6A6" w:sz="4"/>
              <w:bottom w:val="single" w:color="A6A6A6" w:sz="4"/>
              <w:right w:val="single" w:color="A6A6A6" w:sz="4"/>
            </w:tcBorders>
            <w:tcMar>
              <w:top w:type="dxa" w:w="45"/>
              <w:left w:type="dxa" w:w="90"/>
              <w:bottom w:type="dxa" w:w="45"/>
              <w:right w:type="dxa" w:w="90"/>
            </w:tcMar>
            <w:vAlign w:val="top"/>
          </w:tcPr>
          <w:p>
            <w:pPr>
              <w:spacing w:after="0" w:line="252"/>
            </w:pPr>
            <w:r>
              <w:rPr>
                <w:b w:val="false"/>
                <w:bCs w:val="false"/>
                <w:sz w:val="17"/>
                <w:szCs w:val="17"/>
              </w:rPr>
              <w:t xml:space="preserve">Kurita et al. (2020)</w:t>
            </w:r>
          </w:p>
        </w:tc>
        <w:tc>
          <w:tcPr>
            <w:tcW w:type="dxa" w:w="5300"/>
            <w:tcBorders>
              <w:top w:val="single" w:color="A6A6A6" w:sz="4"/>
              <w:left w:val="single" w:color="A6A6A6" w:sz="4"/>
              <w:bottom w:val="single" w:color="A6A6A6" w:sz="4"/>
              <w:right w:val="single" w:color="A6A6A6" w:sz="4"/>
            </w:tcBorders>
            <w:tcMar>
              <w:top w:type="dxa" w:w="45"/>
              <w:left w:type="dxa" w:w="90"/>
              <w:bottom w:type="dxa" w:w="45"/>
              <w:right w:type="dxa" w:w="90"/>
            </w:tcMar>
            <w:vAlign w:val="top"/>
          </w:tcPr>
          <w:p>
            <w:pPr>
              <w:spacing w:after="0" w:line="252"/>
            </w:pPr>
            <w:r>
              <w:rPr>
                <w:b w:val="false"/>
                <w:bCs w:val="false"/>
                <w:sz w:val="17"/>
                <w:szCs w:val="17"/>
              </w:rPr>
              <w:t xml:space="preserve">Backdoors in pre-trained weights survive fine-tuning</w:t>
            </w:r>
          </w:p>
        </w:tc>
        <w:tc>
          <w:tcPr>
            <w:tcW w:type="dxa" w:w="4100"/>
            <w:tcBorders>
              <w:top w:val="single" w:color="A6A6A6" w:sz="4"/>
              <w:left w:val="single" w:color="A6A6A6" w:sz="4"/>
              <w:bottom w:val="single" w:color="A6A6A6" w:sz="4"/>
              <w:right w:val="single" w:color="A6A6A6" w:sz="4"/>
            </w:tcBorders>
            <w:tcMar>
              <w:top w:type="dxa" w:w="45"/>
              <w:left w:type="dxa" w:w="90"/>
              <w:bottom w:type="dxa" w:w="45"/>
              <w:right w:type="dxa" w:w="90"/>
            </w:tcMar>
            <w:vAlign w:val="top"/>
          </w:tcPr>
          <w:p>
            <w:pPr>
              <w:spacing w:after="0" w:line="252"/>
            </w:pPr>
            <w:r>
              <w:rPr>
                <w:b w:val="false"/>
                <w:bCs w:val="false"/>
                <w:sz w:val="17"/>
                <w:szCs w:val="17"/>
              </w:rPr>
              <w:t xml:space="preserve">NLP only; defences preliminary</w:t>
            </w:r>
          </w:p>
        </w:tc>
        <w:tc>
          <w:tcPr>
            <w:tcW w:type="dxa" w:w="1450"/>
            <w:tcBorders>
              <w:top w:val="single" w:color="A6A6A6" w:sz="4"/>
              <w:left w:val="single" w:color="A6A6A6" w:sz="4"/>
              <w:bottom w:val="single" w:color="A6A6A6" w:sz="4"/>
              <w:right w:val="single" w:color="A6A6A6" w:sz="4"/>
            </w:tcBorders>
            <w:tcMar>
              <w:top w:type="dxa" w:w="45"/>
              <w:left w:type="dxa" w:w="90"/>
              <w:bottom w:type="dxa" w:w="45"/>
              <w:right w:type="dxa" w:w="90"/>
            </w:tcMar>
            <w:vAlign w:val="top"/>
          </w:tcPr>
          <w:p>
            <w:pPr>
              <w:spacing w:after="0" w:line="252"/>
            </w:pPr>
            <w:r>
              <w:rPr>
                <w:b w:val="false"/>
                <w:bCs w:val="false"/>
                <w:sz w:val="17"/>
                <w:szCs w:val="17"/>
              </w:rPr>
              <w:t xml:space="preserve">C2</w:t>
            </w:r>
          </w:p>
        </w:tc>
      </w:tr>
      <w:tr>
        <w:tc>
          <w:tcPr>
            <w:tcW w:type="dxa" w:w="600"/>
            <w:tcBorders>
              <w:top w:val="single" w:color="A6A6A6" w:sz="4"/>
              <w:left w:val="single" w:color="A6A6A6" w:sz="4"/>
              <w:bottom w:val="single" w:color="A6A6A6" w:sz="4"/>
              <w:right w:val="single" w:color="A6A6A6" w:sz="4"/>
            </w:tcBorders>
            <w:tcMar>
              <w:top w:type="dxa" w:w="45"/>
              <w:left w:type="dxa" w:w="90"/>
              <w:bottom w:type="dxa" w:w="45"/>
              <w:right w:type="dxa" w:w="90"/>
            </w:tcMar>
            <w:vAlign w:val="top"/>
          </w:tcPr>
          <w:p>
            <w:pPr>
              <w:spacing w:after="0" w:line="252"/>
            </w:pPr>
            <w:r>
              <w:rPr>
                <w:b w:val="false"/>
                <w:bCs w:val="false"/>
                <w:sz w:val="17"/>
                <w:szCs w:val="17"/>
              </w:rPr>
              <w:t xml:space="preserve">5</w:t>
            </w:r>
          </w:p>
        </w:tc>
        <w:tc>
          <w:tcPr>
            <w:tcW w:type="dxa" w:w="2400"/>
            <w:tcBorders>
              <w:top w:val="single" w:color="A6A6A6" w:sz="4"/>
              <w:left w:val="single" w:color="A6A6A6" w:sz="4"/>
              <w:bottom w:val="single" w:color="A6A6A6" w:sz="4"/>
              <w:right w:val="single" w:color="A6A6A6" w:sz="4"/>
            </w:tcBorders>
            <w:tcMar>
              <w:top w:type="dxa" w:w="45"/>
              <w:left w:type="dxa" w:w="90"/>
              <w:bottom w:type="dxa" w:w="45"/>
              <w:right w:type="dxa" w:w="90"/>
            </w:tcMar>
            <w:vAlign w:val="top"/>
          </w:tcPr>
          <w:p>
            <w:pPr>
              <w:spacing w:after="0" w:line="252"/>
            </w:pPr>
            <w:r>
              <w:rPr>
                <w:b w:val="false"/>
                <w:bCs w:val="false"/>
                <w:sz w:val="17"/>
                <w:szCs w:val="17"/>
              </w:rPr>
              <w:t xml:space="preserve">Jiang et al. (2023)</w:t>
            </w:r>
          </w:p>
        </w:tc>
        <w:tc>
          <w:tcPr>
            <w:tcW w:type="dxa" w:w="5300"/>
            <w:tcBorders>
              <w:top w:val="single" w:color="A6A6A6" w:sz="4"/>
              <w:left w:val="single" w:color="A6A6A6" w:sz="4"/>
              <w:bottom w:val="single" w:color="A6A6A6" w:sz="4"/>
              <w:right w:val="single" w:color="A6A6A6" w:sz="4"/>
            </w:tcBorders>
            <w:tcMar>
              <w:top w:type="dxa" w:w="45"/>
              <w:left w:type="dxa" w:w="90"/>
              <w:bottom w:type="dxa" w:w="45"/>
              <w:right w:type="dxa" w:w="90"/>
            </w:tcMar>
            <w:vAlign w:val="top"/>
          </w:tcPr>
          <w:p>
            <w:pPr>
              <w:spacing w:after="0" w:line="252"/>
            </w:pPr>
            <w:r>
              <w:rPr>
                <w:b w:val="false"/>
                <w:bCs w:val="false"/>
                <w:sz w:val="17"/>
                <w:szCs w:val="17"/>
              </w:rPr>
              <w:t xml:space="preserve">Interviews and measurements of model reuse on Hugging Face</w:t>
            </w:r>
          </w:p>
        </w:tc>
        <w:tc>
          <w:tcPr>
            <w:tcW w:type="dxa" w:w="4100"/>
            <w:tcBorders>
              <w:top w:val="single" w:color="A6A6A6" w:sz="4"/>
              <w:left w:val="single" w:color="A6A6A6" w:sz="4"/>
              <w:bottom w:val="single" w:color="A6A6A6" w:sz="4"/>
              <w:right w:val="single" w:color="A6A6A6" w:sz="4"/>
            </w:tcBorders>
            <w:tcMar>
              <w:top w:type="dxa" w:w="45"/>
              <w:left w:type="dxa" w:w="90"/>
              <w:bottom w:type="dxa" w:w="45"/>
              <w:right w:type="dxa" w:w="90"/>
            </w:tcMar>
            <w:vAlign w:val="top"/>
          </w:tcPr>
          <w:p>
            <w:pPr>
              <w:spacing w:after="0" w:line="252"/>
            </w:pPr>
            <w:r>
              <w:rPr>
                <w:b w:val="false"/>
                <w:bCs w:val="false"/>
                <w:sz w:val="17"/>
                <w:szCs w:val="17"/>
              </w:rPr>
              <w:t xml:space="preserve">Small sample; one registry</w:t>
            </w:r>
          </w:p>
        </w:tc>
        <w:tc>
          <w:tcPr>
            <w:tcW w:type="dxa" w:w="1450"/>
            <w:tcBorders>
              <w:top w:val="single" w:color="A6A6A6" w:sz="4"/>
              <w:left w:val="single" w:color="A6A6A6" w:sz="4"/>
              <w:bottom w:val="single" w:color="A6A6A6" w:sz="4"/>
              <w:right w:val="single" w:color="A6A6A6" w:sz="4"/>
            </w:tcBorders>
            <w:tcMar>
              <w:top w:type="dxa" w:w="45"/>
              <w:left w:type="dxa" w:w="90"/>
              <w:bottom w:type="dxa" w:w="45"/>
              <w:right w:type="dxa" w:w="90"/>
            </w:tcMar>
            <w:vAlign w:val="top"/>
          </w:tcPr>
          <w:p>
            <w:pPr>
              <w:spacing w:after="0" w:line="252"/>
            </w:pPr>
            <w:r>
              <w:rPr>
                <w:b w:val="false"/>
                <w:bCs w:val="false"/>
                <w:sz w:val="17"/>
                <w:szCs w:val="17"/>
              </w:rPr>
              <w:t xml:space="preserve">C2, C6</w:t>
            </w:r>
          </w:p>
        </w:tc>
      </w:tr>
      <w:tr>
        <w:tc>
          <w:tcPr>
            <w:tcW w:type="dxa" w:w="600"/>
            <w:tcBorders>
              <w:top w:val="single" w:color="A6A6A6" w:sz="4"/>
              <w:left w:val="single" w:color="A6A6A6" w:sz="4"/>
              <w:bottom w:val="single" w:color="A6A6A6" w:sz="4"/>
              <w:right w:val="single" w:color="A6A6A6" w:sz="4"/>
            </w:tcBorders>
            <w:tcMar>
              <w:top w:type="dxa" w:w="45"/>
              <w:left w:type="dxa" w:w="90"/>
              <w:bottom w:type="dxa" w:w="45"/>
              <w:right w:type="dxa" w:w="90"/>
            </w:tcMar>
            <w:vAlign w:val="top"/>
          </w:tcPr>
          <w:p>
            <w:pPr>
              <w:spacing w:after="0" w:line="252"/>
            </w:pPr>
            <w:r>
              <w:rPr>
                <w:b w:val="false"/>
                <w:bCs w:val="false"/>
                <w:sz w:val="17"/>
                <w:szCs w:val="17"/>
              </w:rPr>
              <w:t xml:space="preserve">6</w:t>
            </w:r>
          </w:p>
        </w:tc>
        <w:tc>
          <w:tcPr>
            <w:tcW w:type="dxa" w:w="2400"/>
            <w:tcBorders>
              <w:top w:val="single" w:color="A6A6A6" w:sz="4"/>
              <w:left w:val="single" w:color="A6A6A6" w:sz="4"/>
              <w:bottom w:val="single" w:color="A6A6A6" w:sz="4"/>
              <w:right w:val="single" w:color="A6A6A6" w:sz="4"/>
            </w:tcBorders>
            <w:tcMar>
              <w:top w:type="dxa" w:w="45"/>
              <w:left w:type="dxa" w:w="90"/>
              <w:bottom w:type="dxa" w:w="45"/>
              <w:right w:type="dxa" w:w="90"/>
            </w:tcMar>
            <w:vAlign w:val="top"/>
          </w:tcPr>
          <w:p>
            <w:pPr>
              <w:spacing w:after="0" w:line="252"/>
            </w:pPr>
            <w:r>
              <w:rPr>
                <w:b w:val="false"/>
                <w:bCs w:val="false"/>
                <w:sz w:val="17"/>
                <w:szCs w:val="17"/>
              </w:rPr>
              <w:t xml:space="preserve">Zhao et al. (2024)</w:t>
            </w:r>
          </w:p>
        </w:tc>
        <w:tc>
          <w:tcPr>
            <w:tcW w:type="dxa" w:w="5300"/>
            <w:tcBorders>
              <w:top w:val="single" w:color="A6A6A6" w:sz="4"/>
              <w:left w:val="single" w:color="A6A6A6" w:sz="4"/>
              <w:bottom w:val="single" w:color="A6A6A6" w:sz="4"/>
              <w:right w:val="single" w:color="A6A6A6" w:sz="4"/>
            </w:tcBorders>
            <w:tcMar>
              <w:top w:type="dxa" w:w="45"/>
              <w:left w:type="dxa" w:w="90"/>
              <w:bottom w:type="dxa" w:w="45"/>
              <w:right w:type="dxa" w:w="90"/>
            </w:tcMar>
            <w:vAlign w:val="top"/>
          </w:tcPr>
          <w:p>
            <w:pPr>
              <w:spacing w:after="0" w:line="252"/>
            </w:pPr>
            <w:r>
              <w:rPr>
                <w:b w:val="false"/>
                <w:bCs w:val="false"/>
                <w:sz w:val="17"/>
                <w:szCs w:val="17"/>
              </w:rPr>
              <w:t xml:space="preserve">MalHug detects malicious code in model files and datasets</w:t>
            </w:r>
          </w:p>
        </w:tc>
        <w:tc>
          <w:tcPr>
            <w:tcW w:type="dxa" w:w="4100"/>
            <w:tcBorders>
              <w:top w:val="single" w:color="A6A6A6" w:sz="4"/>
              <w:left w:val="single" w:color="A6A6A6" w:sz="4"/>
              <w:bottom w:val="single" w:color="A6A6A6" w:sz="4"/>
              <w:right w:val="single" w:color="A6A6A6" w:sz="4"/>
            </w:tcBorders>
            <w:tcMar>
              <w:top w:type="dxa" w:w="45"/>
              <w:left w:type="dxa" w:w="90"/>
              <w:bottom w:type="dxa" w:w="45"/>
              <w:right w:type="dxa" w:w="90"/>
            </w:tcMar>
            <w:vAlign w:val="top"/>
          </w:tcPr>
          <w:p>
            <w:pPr>
              <w:spacing w:after="0" w:line="252"/>
            </w:pPr>
            <w:r>
              <w:rPr>
                <w:b w:val="false"/>
                <w:bCs w:val="false"/>
                <w:sz w:val="17"/>
                <w:szCs w:val="17"/>
              </w:rPr>
              <w:t xml:space="preserve">Pattern matching can be evaded</w:t>
            </w:r>
          </w:p>
        </w:tc>
        <w:tc>
          <w:tcPr>
            <w:tcW w:type="dxa" w:w="1450"/>
            <w:tcBorders>
              <w:top w:val="single" w:color="A6A6A6" w:sz="4"/>
              <w:left w:val="single" w:color="A6A6A6" w:sz="4"/>
              <w:bottom w:val="single" w:color="A6A6A6" w:sz="4"/>
              <w:right w:val="single" w:color="A6A6A6" w:sz="4"/>
            </w:tcBorders>
            <w:tcMar>
              <w:top w:type="dxa" w:w="45"/>
              <w:left w:type="dxa" w:w="90"/>
              <w:bottom w:type="dxa" w:w="45"/>
              <w:right w:type="dxa" w:w="90"/>
            </w:tcMar>
            <w:vAlign w:val="top"/>
          </w:tcPr>
          <w:p>
            <w:pPr>
              <w:spacing w:after="0" w:line="252"/>
            </w:pPr>
            <w:r>
              <w:rPr>
                <w:b w:val="false"/>
                <w:bCs w:val="false"/>
                <w:sz w:val="17"/>
                <w:szCs w:val="17"/>
              </w:rPr>
              <w:t xml:space="preserve">C2</w:t>
            </w:r>
          </w:p>
        </w:tc>
      </w:tr>
      <w:tr>
        <w:tc>
          <w:tcPr>
            <w:tcW w:type="dxa" w:w="600"/>
            <w:tcBorders>
              <w:top w:val="single" w:color="A6A6A6" w:sz="4"/>
              <w:left w:val="single" w:color="A6A6A6" w:sz="4"/>
              <w:bottom w:val="single" w:color="A6A6A6" w:sz="4"/>
              <w:right w:val="single" w:color="A6A6A6" w:sz="4"/>
            </w:tcBorders>
            <w:tcMar>
              <w:top w:type="dxa" w:w="45"/>
              <w:left w:type="dxa" w:w="90"/>
              <w:bottom w:type="dxa" w:w="45"/>
              <w:right w:type="dxa" w:w="90"/>
            </w:tcMar>
            <w:vAlign w:val="top"/>
          </w:tcPr>
          <w:p>
            <w:pPr>
              <w:spacing w:after="0" w:line="252"/>
            </w:pPr>
            <w:r>
              <w:rPr>
                <w:b w:val="false"/>
                <w:bCs w:val="false"/>
                <w:sz w:val="17"/>
                <w:szCs w:val="17"/>
              </w:rPr>
              <w:t xml:space="preserve">7</w:t>
            </w:r>
          </w:p>
        </w:tc>
        <w:tc>
          <w:tcPr>
            <w:tcW w:type="dxa" w:w="2400"/>
            <w:tcBorders>
              <w:top w:val="single" w:color="A6A6A6" w:sz="4"/>
              <w:left w:val="single" w:color="A6A6A6" w:sz="4"/>
              <w:bottom w:val="single" w:color="A6A6A6" w:sz="4"/>
              <w:right w:val="single" w:color="A6A6A6" w:sz="4"/>
            </w:tcBorders>
            <w:tcMar>
              <w:top w:type="dxa" w:w="45"/>
              <w:left w:type="dxa" w:w="90"/>
              <w:bottom w:type="dxa" w:w="45"/>
              <w:right w:type="dxa" w:w="90"/>
            </w:tcMar>
            <w:vAlign w:val="top"/>
          </w:tcPr>
          <w:p>
            <w:pPr>
              <w:spacing w:after="0" w:line="252"/>
            </w:pPr>
            <w:r>
              <w:rPr>
                <w:b w:val="false"/>
                <w:bCs w:val="false"/>
                <w:sz w:val="17"/>
                <w:szCs w:val="17"/>
              </w:rPr>
              <w:t xml:space="preserve">Newman et al. (2022)</w:t>
            </w:r>
          </w:p>
        </w:tc>
        <w:tc>
          <w:tcPr>
            <w:tcW w:type="dxa" w:w="5300"/>
            <w:tcBorders>
              <w:top w:val="single" w:color="A6A6A6" w:sz="4"/>
              <w:left w:val="single" w:color="A6A6A6" w:sz="4"/>
              <w:bottom w:val="single" w:color="A6A6A6" w:sz="4"/>
              <w:right w:val="single" w:color="A6A6A6" w:sz="4"/>
            </w:tcBorders>
            <w:tcMar>
              <w:top w:type="dxa" w:w="45"/>
              <w:left w:type="dxa" w:w="90"/>
              <w:bottom w:type="dxa" w:w="45"/>
              <w:right w:type="dxa" w:w="90"/>
            </w:tcMar>
            <w:vAlign w:val="top"/>
          </w:tcPr>
          <w:p>
            <w:pPr>
              <w:spacing w:after="0" w:line="252"/>
            </w:pPr>
            <w:r>
              <w:rPr>
                <w:b w:val="false"/>
                <w:bCs w:val="false"/>
                <w:sz w:val="17"/>
                <w:szCs w:val="17"/>
              </w:rPr>
              <w:t xml:space="preserve">Identity-based signing with transparency logs</w:t>
            </w:r>
          </w:p>
        </w:tc>
        <w:tc>
          <w:tcPr>
            <w:tcW w:type="dxa" w:w="4100"/>
            <w:tcBorders>
              <w:top w:val="single" w:color="A6A6A6" w:sz="4"/>
              <w:left w:val="single" w:color="A6A6A6" w:sz="4"/>
              <w:bottom w:val="single" w:color="A6A6A6" w:sz="4"/>
              <w:right w:val="single" w:color="A6A6A6" w:sz="4"/>
            </w:tcBorders>
            <w:tcMar>
              <w:top w:type="dxa" w:w="45"/>
              <w:left w:type="dxa" w:w="90"/>
              <w:bottom w:type="dxa" w:w="45"/>
              <w:right w:type="dxa" w:w="90"/>
            </w:tcMar>
            <w:vAlign w:val="top"/>
          </w:tcPr>
          <w:p>
            <w:pPr>
              <w:spacing w:after="0" w:line="252"/>
            </w:pPr>
            <w:r>
              <w:rPr>
                <w:b w:val="false"/>
                <w:bCs w:val="false"/>
                <w:sz w:val="17"/>
                <w:szCs w:val="17"/>
              </w:rPr>
              <w:t xml:space="preserve">Proves origin, not safety</w:t>
            </w:r>
          </w:p>
        </w:tc>
        <w:tc>
          <w:tcPr>
            <w:tcW w:type="dxa" w:w="1450"/>
            <w:tcBorders>
              <w:top w:val="single" w:color="A6A6A6" w:sz="4"/>
              <w:left w:val="single" w:color="A6A6A6" w:sz="4"/>
              <w:bottom w:val="single" w:color="A6A6A6" w:sz="4"/>
              <w:right w:val="single" w:color="A6A6A6" w:sz="4"/>
            </w:tcBorders>
            <w:tcMar>
              <w:top w:type="dxa" w:w="45"/>
              <w:left w:type="dxa" w:w="90"/>
              <w:bottom w:type="dxa" w:w="45"/>
              <w:right w:type="dxa" w:w="90"/>
            </w:tcMar>
            <w:vAlign w:val="top"/>
          </w:tcPr>
          <w:p>
            <w:pPr>
              <w:spacing w:after="0" w:line="252"/>
            </w:pPr>
            <w:r>
              <w:rPr>
                <w:b w:val="false"/>
                <w:bCs w:val="false"/>
                <w:sz w:val="17"/>
                <w:szCs w:val="17"/>
              </w:rPr>
              <w:t xml:space="preserve">C2</w:t>
            </w:r>
          </w:p>
        </w:tc>
      </w:tr>
      <w:tr>
        <w:tc>
          <w:tcPr>
            <w:tcW w:type="dxa" w:w="600"/>
            <w:tcBorders>
              <w:top w:val="single" w:color="A6A6A6" w:sz="4"/>
              <w:left w:val="single" w:color="A6A6A6" w:sz="4"/>
              <w:bottom w:val="single" w:color="A6A6A6" w:sz="4"/>
              <w:right w:val="single" w:color="A6A6A6" w:sz="4"/>
            </w:tcBorders>
            <w:tcMar>
              <w:top w:type="dxa" w:w="45"/>
              <w:left w:type="dxa" w:w="90"/>
              <w:bottom w:type="dxa" w:w="45"/>
              <w:right w:type="dxa" w:w="90"/>
            </w:tcMar>
            <w:vAlign w:val="top"/>
          </w:tcPr>
          <w:p>
            <w:pPr>
              <w:spacing w:after="0" w:line="252"/>
            </w:pPr>
            <w:r>
              <w:rPr>
                <w:b w:val="false"/>
                <w:bCs w:val="false"/>
                <w:sz w:val="17"/>
                <w:szCs w:val="17"/>
              </w:rPr>
              <w:t xml:space="preserve">8</w:t>
            </w:r>
          </w:p>
        </w:tc>
        <w:tc>
          <w:tcPr>
            <w:tcW w:type="dxa" w:w="2400"/>
            <w:tcBorders>
              <w:top w:val="single" w:color="A6A6A6" w:sz="4"/>
              <w:left w:val="single" w:color="A6A6A6" w:sz="4"/>
              <w:bottom w:val="single" w:color="A6A6A6" w:sz="4"/>
              <w:right w:val="single" w:color="A6A6A6" w:sz="4"/>
            </w:tcBorders>
            <w:tcMar>
              <w:top w:type="dxa" w:w="45"/>
              <w:left w:type="dxa" w:w="90"/>
              <w:bottom w:type="dxa" w:w="45"/>
              <w:right w:type="dxa" w:w="90"/>
            </w:tcMar>
            <w:vAlign w:val="top"/>
          </w:tcPr>
          <w:p>
            <w:pPr>
              <w:spacing w:after="0" w:line="252"/>
            </w:pPr>
            <w:r>
              <w:rPr>
                <w:b w:val="false"/>
                <w:bCs w:val="false"/>
                <w:sz w:val="17"/>
                <w:szCs w:val="17"/>
              </w:rPr>
              <w:t xml:space="preserve">Xiao et al. (2018)</w:t>
            </w:r>
          </w:p>
        </w:tc>
        <w:tc>
          <w:tcPr>
            <w:tcW w:type="dxa" w:w="5300"/>
            <w:tcBorders>
              <w:top w:val="single" w:color="A6A6A6" w:sz="4"/>
              <w:left w:val="single" w:color="A6A6A6" w:sz="4"/>
              <w:bottom w:val="single" w:color="A6A6A6" w:sz="4"/>
              <w:right w:val="single" w:color="A6A6A6" w:sz="4"/>
            </w:tcBorders>
            <w:tcMar>
              <w:top w:type="dxa" w:w="45"/>
              <w:left w:type="dxa" w:w="90"/>
              <w:bottom w:type="dxa" w:w="45"/>
              <w:right w:type="dxa" w:w="90"/>
            </w:tcMar>
            <w:vAlign w:val="top"/>
          </w:tcPr>
          <w:p>
            <w:pPr>
              <w:spacing w:after="0" w:line="252"/>
            </w:pPr>
            <w:r>
              <w:rPr>
                <w:b w:val="false"/>
                <w:bCs w:val="false"/>
                <w:sz w:val="17"/>
                <w:szCs w:val="17"/>
              </w:rPr>
              <w:t xml:space="preserve">Vulnerabilities in Caffe, TensorFlow and Torch</w:t>
            </w:r>
          </w:p>
        </w:tc>
        <w:tc>
          <w:tcPr>
            <w:tcW w:type="dxa" w:w="4100"/>
            <w:tcBorders>
              <w:top w:val="single" w:color="A6A6A6" w:sz="4"/>
              <w:left w:val="single" w:color="A6A6A6" w:sz="4"/>
              <w:bottom w:val="single" w:color="A6A6A6" w:sz="4"/>
              <w:right w:val="single" w:color="A6A6A6" w:sz="4"/>
            </w:tcBorders>
            <w:tcMar>
              <w:top w:type="dxa" w:w="45"/>
              <w:left w:type="dxa" w:w="90"/>
              <w:bottom w:type="dxa" w:w="45"/>
              <w:right w:type="dxa" w:w="90"/>
            </w:tcMar>
            <w:vAlign w:val="top"/>
          </w:tcPr>
          <w:p>
            <w:pPr>
              <w:spacing w:after="0" w:line="252"/>
            </w:pPr>
            <w:r>
              <w:rPr>
                <w:b w:val="false"/>
                <w:bCs w:val="false"/>
                <w:sz w:val="17"/>
                <w:szCs w:val="17"/>
              </w:rPr>
              <w:t xml:space="preserve">Point-in-time; flaws since patched</w:t>
            </w:r>
          </w:p>
        </w:tc>
        <w:tc>
          <w:tcPr>
            <w:tcW w:type="dxa" w:w="1450"/>
            <w:tcBorders>
              <w:top w:val="single" w:color="A6A6A6" w:sz="4"/>
              <w:left w:val="single" w:color="A6A6A6" w:sz="4"/>
              <w:bottom w:val="single" w:color="A6A6A6" w:sz="4"/>
              <w:right w:val="single" w:color="A6A6A6" w:sz="4"/>
            </w:tcBorders>
            <w:tcMar>
              <w:top w:type="dxa" w:w="45"/>
              <w:left w:type="dxa" w:w="90"/>
              <w:bottom w:type="dxa" w:w="45"/>
              <w:right w:type="dxa" w:w="90"/>
            </w:tcMar>
            <w:vAlign w:val="top"/>
          </w:tcPr>
          <w:p>
            <w:pPr>
              <w:spacing w:after="0" w:line="252"/>
            </w:pPr>
            <w:r>
              <w:rPr>
                <w:b w:val="false"/>
                <w:bCs w:val="false"/>
                <w:sz w:val="17"/>
                <w:szCs w:val="17"/>
              </w:rPr>
              <w:t xml:space="preserve">C3</w:t>
            </w:r>
          </w:p>
        </w:tc>
      </w:tr>
      <w:tr>
        <w:tc>
          <w:tcPr>
            <w:tcW w:type="dxa" w:w="600"/>
            <w:tcBorders>
              <w:top w:val="single" w:color="A6A6A6" w:sz="4"/>
              <w:left w:val="single" w:color="A6A6A6" w:sz="4"/>
              <w:bottom w:val="single" w:color="A6A6A6" w:sz="4"/>
              <w:right w:val="single" w:color="A6A6A6" w:sz="4"/>
            </w:tcBorders>
            <w:tcMar>
              <w:top w:type="dxa" w:w="45"/>
              <w:left w:type="dxa" w:w="90"/>
              <w:bottom w:type="dxa" w:w="45"/>
              <w:right w:type="dxa" w:w="90"/>
            </w:tcMar>
            <w:vAlign w:val="top"/>
          </w:tcPr>
          <w:p>
            <w:pPr>
              <w:spacing w:after="0" w:line="252"/>
            </w:pPr>
            <w:r>
              <w:rPr>
                <w:b w:val="false"/>
                <w:bCs w:val="false"/>
                <w:sz w:val="17"/>
                <w:szCs w:val="17"/>
              </w:rPr>
              <w:t xml:space="preserve">9</w:t>
            </w:r>
          </w:p>
        </w:tc>
        <w:tc>
          <w:tcPr>
            <w:tcW w:type="dxa" w:w="2400"/>
            <w:tcBorders>
              <w:top w:val="single" w:color="A6A6A6" w:sz="4"/>
              <w:left w:val="single" w:color="A6A6A6" w:sz="4"/>
              <w:bottom w:val="single" w:color="A6A6A6" w:sz="4"/>
              <w:right w:val="single" w:color="A6A6A6" w:sz="4"/>
            </w:tcBorders>
            <w:tcMar>
              <w:top w:type="dxa" w:w="45"/>
              <w:left w:type="dxa" w:w="90"/>
              <w:bottom w:type="dxa" w:w="45"/>
              <w:right w:type="dxa" w:w="90"/>
            </w:tcMar>
            <w:vAlign w:val="top"/>
          </w:tcPr>
          <w:p>
            <w:pPr>
              <w:spacing w:after="0" w:line="252"/>
            </w:pPr>
            <w:r>
              <w:rPr>
                <w:b w:val="false"/>
                <w:bCs w:val="false"/>
                <w:sz w:val="17"/>
                <w:szCs w:val="17"/>
              </w:rPr>
              <w:t xml:space="preserve">Harzevili et al. (2023)</w:t>
            </w:r>
          </w:p>
        </w:tc>
        <w:tc>
          <w:tcPr>
            <w:tcW w:type="dxa" w:w="5300"/>
            <w:tcBorders>
              <w:top w:val="single" w:color="A6A6A6" w:sz="4"/>
              <w:left w:val="single" w:color="A6A6A6" w:sz="4"/>
              <w:bottom w:val="single" w:color="A6A6A6" w:sz="4"/>
              <w:right w:val="single" w:color="A6A6A6" w:sz="4"/>
            </w:tcBorders>
            <w:tcMar>
              <w:top w:type="dxa" w:w="45"/>
              <w:left w:type="dxa" w:w="90"/>
              <w:bottom w:type="dxa" w:w="45"/>
              <w:right w:type="dxa" w:w="90"/>
            </w:tcMar>
            <w:vAlign w:val="top"/>
          </w:tcPr>
          <w:p>
            <w:pPr>
              <w:spacing w:after="0" w:line="252"/>
            </w:pPr>
            <w:r>
              <w:rPr>
                <w:b w:val="false"/>
                <w:bCs w:val="false"/>
                <w:sz w:val="17"/>
                <w:szCs w:val="17"/>
              </w:rPr>
              <w:t xml:space="preserve">596 security vulnerabilities in ML libraries characterised</w:t>
            </w:r>
          </w:p>
        </w:tc>
        <w:tc>
          <w:tcPr>
            <w:tcW w:type="dxa" w:w="4100"/>
            <w:tcBorders>
              <w:top w:val="single" w:color="A6A6A6" w:sz="4"/>
              <w:left w:val="single" w:color="A6A6A6" w:sz="4"/>
              <w:bottom w:val="single" w:color="A6A6A6" w:sz="4"/>
              <w:right w:val="single" w:color="A6A6A6" w:sz="4"/>
            </w:tcBorders>
            <w:tcMar>
              <w:top w:type="dxa" w:w="45"/>
              <w:left w:type="dxa" w:w="90"/>
              <w:bottom w:type="dxa" w:w="45"/>
              <w:right w:type="dxa" w:w="90"/>
            </w:tcMar>
            <w:vAlign w:val="top"/>
          </w:tcPr>
          <w:p>
            <w:pPr>
              <w:spacing w:after="0" w:line="252"/>
            </w:pPr>
            <w:r>
              <w:rPr>
                <w:b w:val="false"/>
                <w:bCs w:val="false"/>
                <w:sz w:val="17"/>
                <w:szCs w:val="17"/>
              </w:rPr>
              <w:t xml:space="preserve">Only disclosed vulnerabilities</w:t>
            </w:r>
          </w:p>
        </w:tc>
        <w:tc>
          <w:tcPr>
            <w:tcW w:type="dxa" w:w="1450"/>
            <w:tcBorders>
              <w:top w:val="single" w:color="A6A6A6" w:sz="4"/>
              <w:left w:val="single" w:color="A6A6A6" w:sz="4"/>
              <w:bottom w:val="single" w:color="A6A6A6" w:sz="4"/>
              <w:right w:val="single" w:color="A6A6A6" w:sz="4"/>
            </w:tcBorders>
            <w:tcMar>
              <w:top w:type="dxa" w:w="45"/>
              <w:left w:type="dxa" w:w="90"/>
              <w:bottom w:type="dxa" w:w="45"/>
              <w:right w:type="dxa" w:w="90"/>
            </w:tcMar>
            <w:vAlign w:val="top"/>
          </w:tcPr>
          <w:p>
            <w:pPr>
              <w:spacing w:after="0" w:line="252"/>
            </w:pPr>
            <w:r>
              <w:rPr>
                <w:b w:val="false"/>
                <w:bCs w:val="false"/>
                <w:sz w:val="17"/>
                <w:szCs w:val="17"/>
              </w:rPr>
              <w:t xml:space="preserve">C3</w:t>
            </w:r>
          </w:p>
        </w:tc>
      </w:tr>
      <w:tr>
        <w:tc>
          <w:tcPr>
            <w:tcW w:type="dxa" w:w="600"/>
            <w:tcBorders>
              <w:top w:val="single" w:color="A6A6A6" w:sz="4"/>
              <w:left w:val="single" w:color="A6A6A6" w:sz="4"/>
              <w:bottom w:val="single" w:color="A6A6A6" w:sz="4"/>
              <w:right w:val="single" w:color="A6A6A6" w:sz="4"/>
            </w:tcBorders>
            <w:tcMar>
              <w:top w:type="dxa" w:w="45"/>
              <w:left w:type="dxa" w:w="90"/>
              <w:bottom w:type="dxa" w:w="45"/>
              <w:right w:type="dxa" w:w="90"/>
            </w:tcMar>
            <w:vAlign w:val="top"/>
          </w:tcPr>
          <w:p>
            <w:pPr>
              <w:spacing w:after="0" w:line="252"/>
            </w:pPr>
            <w:r>
              <w:rPr>
                <w:b w:val="false"/>
                <w:bCs w:val="false"/>
                <w:sz w:val="17"/>
                <w:szCs w:val="17"/>
              </w:rPr>
              <w:t xml:space="preserve">10</w:t>
            </w:r>
          </w:p>
        </w:tc>
        <w:tc>
          <w:tcPr>
            <w:tcW w:type="dxa" w:w="2400"/>
            <w:tcBorders>
              <w:top w:val="single" w:color="A6A6A6" w:sz="4"/>
              <w:left w:val="single" w:color="A6A6A6" w:sz="4"/>
              <w:bottom w:val="single" w:color="A6A6A6" w:sz="4"/>
              <w:right w:val="single" w:color="A6A6A6" w:sz="4"/>
            </w:tcBorders>
            <w:tcMar>
              <w:top w:type="dxa" w:w="45"/>
              <w:left w:type="dxa" w:w="90"/>
              <w:bottom w:type="dxa" w:w="45"/>
              <w:right w:type="dxa" w:w="90"/>
            </w:tcMar>
            <w:vAlign w:val="top"/>
          </w:tcPr>
          <w:p>
            <w:pPr>
              <w:spacing w:after="0" w:line="252"/>
            </w:pPr>
            <w:r>
              <w:rPr>
                <w:b w:val="false"/>
                <w:bCs w:val="false"/>
                <w:sz w:val="17"/>
                <w:szCs w:val="17"/>
              </w:rPr>
              <w:t xml:space="preserve">Wang et al. (2019)</w:t>
            </w:r>
          </w:p>
        </w:tc>
        <w:tc>
          <w:tcPr>
            <w:tcW w:type="dxa" w:w="5300"/>
            <w:tcBorders>
              <w:top w:val="single" w:color="A6A6A6" w:sz="4"/>
              <w:left w:val="single" w:color="A6A6A6" w:sz="4"/>
              <w:bottom w:val="single" w:color="A6A6A6" w:sz="4"/>
              <w:right w:val="single" w:color="A6A6A6" w:sz="4"/>
            </w:tcBorders>
            <w:tcMar>
              <w:top w:type="dxa" w:w="45"/>
              <w:left w:type="dxa" w:w="90"/>
              <w:bottom w:type="dxa" w:w="45"/>
              <w:right w:type="dxa" w:w="90"/>
            </w:tcMar>
            <w:vAlign w:val="top"/>
          </w:tcPr>
          <w:p>
            <w:pPr>
              <w:spacing w:after="0" w:line="252"/>
            </w:pPr>
            <w:r>
              <w:rPr>
                <w:b w:val="false"/>
                <w:bCs w:val="false"/>
                <w:sz w:val="17"/>
                <w:szCs w:val="17"/>
              </w:rPr>
              <w:t xml:space="preserve">Neural Cleanse: trigger reverse-engineering</w:t>
            </w:r>
          </w:p>
        </w:tc>
        <w:tc>
          <w:tcPr>
            <w:tcW w:type="dxa" w:w="4100"/>
            <w:tcBorders>
              <w:top w:val="single" w:color="A6A6A6" w:sz="4"/>
              <w:left w:val="single" w:color="A6A6A6" w:sz="4"/>
              <w:bottom w:val="single" w:color="A6A6A6" w:sz="4"/>
              <w:right w:val="single" w:color="A6A6A6" w:sz="4"/>
            </w:tcBorders>
            <w:tcMar>
              <w:top w:type="dxa" w:w="45"/>
              <w:left w:type="dxa" w:w="90"/>
              <w:bottom w:type="dxa" w:w="45"/>
              <w:right w:type="dxa" w:w="90"/>
            </w:tcMar>
            <w:vAlign w:val="top"/>
          </w:tcPr>
          <w:p>
            <w:pPr>
              <w:spacing w:after="0" w:line="252"/>
            </w:pPr>
            <w:r>
              <w:rPr>
                <w:b w:val="false"/>
                <w:bCs w:val="false"/>
                <w:sz w:val="17"/>
                <w:szCs w:val="17"/>
              </w:rPr>
              <w:t xml:space="preserve">Costly with many classes; small triggers</w:t>
            </w:r>
          </w:p>
        </w:tc>
        <w:tc>
          <w:tcPr>
            <w:tcW w:type="dxa" w:w="1450"/>
            <w:tcBorders>
              <w:top w:val="single" w:color="A6A6A6" w:sz="4"/>
              <w:left w:val="single" w:color="A6A6A6" w:sz="4"/>
              <w:bottom w:val="single" w:color="A6A6A6" w:sz="4"/>
              <w:right w:val="single" w:color="A6A6A6" w:sz="4"/>
            </w:tcBorders>
            <w:tcMar>
              <w:top w:type="dxa" w:w="45"/>
              <w:left w:type="dxa" w:w="90"/>
              <w:bottom w:type="dxa" w:w="45"/>
              <w:right w:type="dxa" w:w="90"/>
            </w:tcMar>
            <w:vAlign w:val="top"/>
          </w:tcPr>
          <w:p>
            <w:pPr>
              <w:spacing w:after="0" w:line="252"/>
            </w:pPr>
            <w:r>
              <w:rPr>
                <w:b w:val="false"/>
                <w:bCs w:val="false"/>
                <w:sz w:val="17"/>
                <w:szCs w:val="17"/>
              </w:rPr>
              <w:t xml:space="preserve">C4</w:t>
            </w:r>
          </w:p>
        </w:tc>
      </w:tr>
      <w:tr>
        <w:tc>
          <w:tcPr>
            <w:tcW w:type="dxa" w:w="600"/>
            <w:tcBorders>
              <w:top w:val="single" w:color="A6A6A6" w:sz="4"/>
              <w:left w:val="single" w:color="A6A6A6" w:sz="4"/>
              <w:bottom w:val="single" w:color="A6A6A6" w:sz="4"/>
              <w:right w:val="single" w:color="A6A6A6" w:sz="4"/>
            </w:tcBorders>
            <w:tcMar>
              <w:top w:type="dxa" w:w="45"/>
              <w:left w:type="dxa" w:w="90"/>
              <w:bottom w:type="dxa" w:w="45"/>
              <w:right w:type="dxa" w:w="90"/>
            </w:tcMar>
            <w:vAlign w:val="top"/>
          </w:tcPr>
          <w:p>
            <w:pPr>
              <w:spacing w:after="0" w:line="252"/>
            </w:pPr>
            <w:r>
              <w:rPr>
                <w:b w:val="false"/>
                <w:bCs w:val="false"/>
                <w:sz w:val="17"/>
                <w:szCs w:val="17"/>
              </w:rPr>
              <w:t xml:space="preserve">11</w:t>
            </w:r>
          </w:p>
        </w:tc>
        <w:tc>
          <w:tcPr>
            <w:tcW w:type="dxa" w:w="2400"/>
            <w:tcBorders>
              <w:top w:val="single" w:color="A6A6A6" w:sz="4"/>
              <w:left w:val="single" w:color="A6A6A6" w:sz="4"/>
              <w:bottom w:val="single" w:color="A6A6A6" w:sz="4"/>
              <w:right w:val="single" w:color="A6A6A6" w:sz="4"/>
            </w:tcBorders>
            <w:tcMar>
              <w:top w:type="dxa" w:w="45"/>
              <w:left w:type="dxa" w:w="90"/>
              <w:bottom w:type="dxa" w:w="45"/>
              <w:right w:type="dxa" w:w="90"/>
            </w:tcMar>
            <w:vAlign w:val="top"/>
          </w:tcPr>
          <w:p>
            <w:pPr>
              <w:spacing w:after="0" w:line="252"/>
            </w:pPr>
            <w:r>
              <w:rPr>
                <w:b w:val="false"/>
                <w:bCs w:val="false"/>
                <w:sz w:val="17"/>
                <w:szCs w:val="17"/>
              </w:rPr>
              <w:t xml:space="preserve">Gao et al. (2019)</w:t>
            </w:r>
          </w:p>
        </w:tc>
        <w:tc>
          <w:tcPr>
            <w:tcW w:type="dxa" w:w="5300"/>
            <w:tcBorders>
              <w:top w:val="single" w:color="A6A6A6" w:sz="4"/>
              <w:left w:val="single" w:color="A6A6A6" w:sz="4"/>
              <w:bottom w:val="single" w:color="A6A6A6" w:sz="4"/>
              <w:right w:val="single" w:color="A6A6A6" w:sz="4"/>
            </w:tcBorders>
            <w:tcMar>
              <w:top w:type="dxa" w:w="45"/>
              <w:left w:type="dxa" w:w="90"/>
              <w:bottom w:type="dxa" w:w="45"/>
              <w:right w:type="dxa" w:w="90"/>
            </w:tcMar>
            <w:vAlign w:val="top"/>
          </w:tcPr>
          <w:p>
            <w:pPr>
              <w:spacing w:after="0" w:line="252"/>
            </w:pPr>
            <w:r>
              <w:rPr>
                <w:b w:val="false"/>
                <w:bCs w:val="false"/>
                <w:sz w:val="17"/>
                <w:szCs w:val="17"/>
              </w:rPr>
              <w:t xml:space="preserve">STRIP: entropy under superimposition at run time</w:t>
            </w:r>
          </w:p>
        </w:tc>
        <w:tc>
          <w:tcPr>
            <w:tcW w:type="dxa" w:w="4100"/>
            <w:tcBorders>
              <w:top w:val="single" w:color="A6A6A6" w:sz="4"/>
              <w:left w:val="single" w:color="A6A6A6" w:sz="4"/>
              <w:bottom w:val="single" w:color="A6A6A6" w:sz="4"/>
              <w:right w:val="single" w:color="A6A6A6" w:sz="4"/>
            </w:tcBorders>
            <w:tcMar>
              <w:top w:type="dxa" w:w="45"/>
              <w:left w:type="dxa" w:w="90"/>
              <w:bottom w:type="dxa" w:w="45"/>
              <w:right w:type="dxa" w:w="90"/>
            </w:tcMar>
            <w:vAlign w:val="top"/>
          </w:tcPr>
          <w:p>
            <w:pPr>
              <w:spacing w:after="0" w:line="252"/>
            </w:pPr>
            <w:r>
              <w:rPr>
                <w:b w:val="false"/>
                <w:bCs w:val="false"/>
                <w:sz w:val="17"/>
                <w:szCs w:val="17"/>
              </w:rPr>
              <w:t xml:space="preserve">Vision-focused; source-specific triggers</w:t>
            </w:r>
          </w:p>
        </w:tc>
        <w:tc>
          <w:tcPr>
            <w:tcW w:type="dxa" w:w="1450"/>
            <w:tcBorders>
              <w:top w:val="single" w:color="A6A6A6" w:sz="4"/>
              <w:left w:val="single" w:color="A6A6A6" w:sz="4"/>
              <w:bottom w:val="single" w:color="A6A6A6" w:sz="4"/>
              <w:right w:val="single" w:color="A6A6A6" w:sz="4"/>
            </w:tcBorders>
            <w:tcMar>
              <w:top w:type="dxa" w:w="45"/>
              <w:left w:type="dxa" w:w="90"/>
              <w:bottom w:type="dxa" w:w="45"/>
              <w:right w:type="dxa" w:w="90"/>
            </w:tcMar>
            <w:vAlign w:val="top"/>
          </w:tcPr>
          <w:p>
            <w:pPr>
              <w:spacing w:after="0" w:line="252"/>
            </w:pPr>
            <w:r>
              <w:rPr>
                <w:b w:val="false"/>
                <w:bCs w:val="false"/>
                <w:sz w:val="17"/>
                <w:szCs w:val="17"/>
              </w:rPr>
              <w:t xml:space="preserve">C4, C5</w:t>
            </w:r>
          </w:p>
        </w:tc>
      </w:tr>
      <w:tr>
        <w:tc>
          <w:tcPr>
            <w:tcW w:type="dxa" w:w="600"/>
            <w:tcBorders>
              <w:top w:val="single" w:color="A6A6A6" w:sz="4"/>
              <w:left w:val="single" w:color="A6A6A6" w:sz="4"/>
              <w:bottom w:val="single" w:color="A6A6A6" w:sz="4"/>
              <w:right w:val="single" w:color="A6A6A6" w:sz="4"/>
            </w:tcBorders>
            <w:tcMar>
              <w:top w:type="dxa" w:w="45"/>
              <w:left w:type="dxa" w:w="90"/>
              <w:bottom w:type="dxa" w:w="45"/>
              <w:right w:type="dxa" w:w="90"/>
            </w:tcMar>
            <w:vAlign w:val="top"/>
          </w:tcPr>
          <w:p>
            <w:pPr>
              <w:spacing w:after="0" w:line="252"/>
            </w:pPr>
            <w:r>
              <w:rPr>
                <w:b w:val="false"/>
                <w:bCs w:val="false"/>
                <w:sz w:val="17"/>
                <w:szCs w:val="17"/>
              </w:rPr>
              <w:t xml:space="preserve">12</w:t>
            </w:r>
          </w:p>
        </w:tc>
        <w:tc>
          <w:tcPr>
            <w:tcW w:type="dxa" w:w="2400"/>
            <w:tcBorders>
              <w:top w:val="single" w:color="A6A6A6" w:sz="4"/>
              <w:left w:val="single" w:color="A6A6A6" w:sz="4"/>
              <w:bottom w:val="single" w:color="A6A6A6" w:sz="4"/>
              <w:right w:val="single" w:color="A6A6A6" w:sz="4"/>
            </w:tcBorders>
            <w:tcMar>
              <w:top w:type="dxa" w:w="45"/>
              <w:left w:type="dxa" w:w="90"/>
              <w:bottom w:type="dxa" w:w="45"/>
              <w:right w:type="dxa" w:w="90"/>
            </w:tcMar>
            <w:vAlign w:val="top"/>
          </w:tcPr>
          <w:p>
            <w:pPr>
              <w:spacing w:after="0" w:line="252"/>
            </w:pPr>
            <w:r>
              <w:rPr>
                <w:b w:val="false"/>
                <w:bCs w:val="false"/>
                <w:sz w:val="17"/>
                <w:szCs w:val="17"/>
              </w:rPr>
              <w:t xml:space="preserve">Chen et al. (2019)</w:t>
            </w:r>
          </w:p>
        </w:tc>
        <w:tc>
          <w:tcPr>
            <w:tcW w:type="dxa" w:w="5300"/>
            <w:tcBorders>
              <w:top w:val="single" w:color="A6A6A6" w:sz="4"/>
              <w:left w:val="single" w:color="A6A6A6" w:sz="4"/>
              <w:bottom w:val="single" w:color="A6A6A6" w:sz="4"/>
              <w:right w:val="single" w:color="A6A6A6" w:sz="4"/>
            </w:tcBorders>
            <w:tcMar>
              <w:top w:type="dxa" w:w="45"/>
              <w:left w:type="dxa" w:w="90"/>
              <w:bottom w:type="dxa" w:w="45"/>
              <w:right w:type="dxa" w:w="90"/>
            </w:tcMar>
            <w:vAlign w:val="top"/>
          </w:tcPr>
          <w:p>
            <w:pPr>
              <w:spacing w:after="0" w:line="252"/>
            </w:pPr>
            <w:r>
              <w:rPr>
                <w:b w:val="false"/>
                <w:bCs w:val="false"/>
                <w:sz w:val="17"/>
                <w:szCs w:val="17"/>
              </w:rPr>
              <w:t xml:space="preserve">Activation Clustering of training data</w:t>
            </w:r>
          </w:p>
        </w:tc>
        <w:tc>
          <w:tcPr>
            <w:tcW w:type="dxa" w:w="4100"/>
            <w:tcBorders>
              <w:top w:val="single" w:color="A6A6A6" w:sz="4"/>
              <w:left w:val="single" w:color="A6A6A6" w:sz="4"/>
              <w:bottom w:val="single" w:color="A6A6A6" w:sz="4"/>
              <w:right w:val="single" w:color="A6A6A6" w:sz="4"/>
            </w:tcBorders>
            <w:tcMar>
              <w:top w:type="dxa" w:w="45"/>
              <w:left w:type="dxa" w:w="90"/>
              <w:bottom w:type="dxa" w:w="45"/>
              <w:right w:type="dxa" w:w="90"/>
            </w:tcMar>
            <w:vAlign w:val="top"/>
          </w:tcPr>
          <w:p>
            <w:pPr>
              <w:spacing w:after="0" w:line="252"/>
            </w:pPr>
            <w:r>
              <w:rPr>
                <w:b w:val="false"/>
                <w:bCs w:val="false"/>
                <w:sz w:val="17"/>
                <w:szCs w:val="17"/>
              </w:rPr>
              <w:t xml:space="preserve">Needs training data; tuning</w:t>
            </w:r>
          </w:p>
        </w:tc>
        <w:tc>
          <w:tcPr>
            <w:tcW w:type="dxa" w:w="1450"/>
            <w:tcBorders>
              <w:top w:val="single" w:color="A6A6A6" w:sz="4"/>
              <w:left w:val="single" w:color="A6A6A6" w:sz="4"/>
              <w:bottom w:val="single" w:color="A6A6A6" w:sz="4"/>
              <w:right w:val="single" w:color="A6A6A6" w:sz="4"/>
            </w:tcBorders>
            <w:tcMar>
              <w:top w:type="dxa" w:w="45"/>
              <w:left w:type="dxa" w:w="90"/>
              <w:bottom w:type="dxa" w:w="45"/>
              <w:right w:type="dxa" w:w="90"/>
            </w:tcMar>
            <w:vAlign w:val="top"/>
          </w:tcPr>
          <w:p>
            <w:pPr>
              <w:spacing w:after="0" w:line="252"/>
            </w:pPr>
            <w:r>
              <w:rPr>
                <w:b w:val="false"/>
                <w:bCs w:val="false"/>
                <w:sz w:val="17"/>
                <w:szCs w:val="17"/>
              </w:rPr>
              <w:t xml:space="preserve">C1, C4</w:t>
            </w:r>
          </w:p>
        </w:tc>
      </w:tr>
      <w:tr>
        <w:tc>
          <w:tcPr>
            <w:tcW w:type="dxa" w:w="600"/>
            <w:tcBorders>
              <w:top w:val="single" w:color="A6A6A6" w:sz="4"/>
              <w:left w:val="single" w:color="A6A6A6" w:sz="4"/>
              <w:bottom w:val="single" w:color="A6A6A6" w:sz="4"/>
              <w:right w:val="single" w:color="A6A6A6" w:sz="4"/>
            </w:tcBorders>
            <w:tcMar>
              <w:top w:type="dxa" w:w="45"/>
              <w:left w:type="dxa" w:w="90"/>
              <w:bottom w:type="dxa" w:w="45"/>
              <w:right w:type="dxa" w:w="90"/>
            </w:tcMar>
            <w:vAlign w:val="top"/>
          </w:tcPr>
          <w:p>
            <w:pPr>
              <w:spacing w:after="0" w:line="252"/>
            </w:pPr>
            <w:r>
              <w:rPr>
                <w:b w:val="false"/>
                <w:bCs w:val="false"/>
                <w:sz w:val="17"/>
                <w:szCs w:val="17"/>
              </w:rPr>
              <w:t xml:space="preserve">13</w:t>
            </w:r>
          </w:p>
        </w:tc>
        <w:tc>
          <w:tcPr>
            <w:tcW w:type="dxa" w:w="2400"/>
            <w:tcBorders>
              <w:top w:val="single" w:color="A6A6A6" w:sz="4"/>
              <w:left w:val="single" w:color="A6A6A6" w:sz="4"/>
              <w:bottom w:val="single" w:color="A6A6A6" w:sz="4"/>
              <w:right w:val="single" w:color="A6A6A6" w:sz="4"/>
            </w:tcBorders>
            <w:tcMar>
              <w:top w:type="dxa" w:w="45"/>
              <w:left w:type="dxa" w:w="90"/>
              <w:bottom w:type="dxa" w:w="45"/>
              <w:right w:type="dxa" w:w="90"/>
            </w:tcMar>
            <w:vAlign w:val="top"/>
          </w:tcPr>
          <w:p>
            <w:pPr>
              <w:spacing w:after="0" w:line="252"/>
            </w:pPr>
            <w:r>
              <w:rPr>
                <w:b w:val="false"/>
                <w:bCs w:val="false"/>
                <w:sz w:val="17"/>
                <w:szCs w:val="17"/>
              </w:rPr>
              <w:t xml:space="preserve">Tran et al. (2018)</w:t>
            </w:r>
          </w:p>
        </w:tc>
        <w:tc>
          <w:tcPr>
            <w:tcW w:type="dxa" w:w="5300"/>
            <w:tcBorders>
              <w:top w:val="single" w:color="A6A6A6" w:sz="4"/>
              <w:left w:val="single" w:color="A6A6A6" w:sz="4"/>
              <w:bottom w:val="single" w:color="A6A6A6" w:sz="4"/>
              <w:right w:val="single" w:color="A6A6A6" w:sz="4"/>
            </w:tcBorders>
            <w:tcMar>
              <w:top w:type="dxa" w:w="45"/>
              <w:left w:type="dxa" w:w="90"/>
              <w:bottom w:type="dxa" w:w="45"/>
              <w:right w:type="dxa" w:w="90"/>
            </w:tcMar>
            <w:vAlign w:val="top"/>
          </w:tcPr>
          <w:p>
            <w:pPr>
              <w:spacing w:after="0" w:line="252"/>
            </w:pPr>
            <w:r>
              <w:rPr>
                <w:b w:val="false"/>
                <w:bCs w:val="false"/>
                <w:sz w:val="17"/>
                <w:szCs w:val="17"/>
              </w:rPr>
              <w:t xml:space="preserve">Spectral signatures of poisoned representations</w:t>
            </w:r>
          </w:p>
        </w:tc>
        <w:tc>
          <w:tcPr>
            <w:tcW w:type="dxa" w:w="4100"/>
            <w:tcBorders>
              <w:top w:val="single" w:color="A6A6A6" w:sz="4"/>
              <w:left w:val="single" w:color="A6A6A6" w:sz="4"/>
              <w:bottom w:val="single" w:color="A6A6A6" w:sz="4"/>
              <w:right w:val="single" w:color="A6A6A6" w:sz="4"/>
            </w:tcBorders>
            <w:tcMar>
              <w:top w:type="dxa" w:w="45"/>
              <w:left w:type="dxa" w:w="90"/>
              <w:bottom w:type="dxa" w:w="45"/>
              <w:right w:type="dxa" w:w="90"/>
            </w:tcMar>
            <w:vAlign w:val="top"/>
          </w:tcPr>
          <w:p>
            <w:pPr>
              <w:spacing w:after="0" w:line="252"/>
            </w:pPr>
            <w:r>
              <w:rPr>
                <w:b w:val="false"/>
                <w:bCs w:val="false"/>
                <w:sz w:val="17"/>
                <w:szCs w:val="17"/>
              </w:rPr>
              <w:t xml:space="preserve">Needs poison-rate estimate</w:t>
            </w:r>
          </w:p>
        </w:tc>
        <w:tc>
          <w:tcPr>
            <w:tcW w:type="dxa" w:w="1450"/>
            <w:tcBorders>
              <w:top w:val="single" w:color="A6A6A6" w:sz="4"/>
              <w:left w:val="single" w:color="A6A6A6" w:sz="4"/>
              <w:bottom w:val="single" w:color="A6A6A6" w:sz="4"/>
              <w:right w:val="single" w:color="A6A6A6" w:sz="4"/>
            </w:tcBorders>
            <w:tcMar>
              <w:top w:type="dxa" w:w="45"/>
              <w:left w:type="dxa" w:w="90"/>
              <w:bottom w:type="dxa" w:w="45"/>
              <w:right w:type="dxa" w:w="90"/>
            </w:tcMar>
            <w:vAlign w:val="top"/>
          </w:tcPr>
          <w:p>
            <w:pPr>
              <w:spacing w:after="0" w:line="252"/>
            </w:pPr>
            <w:r>
              <w:rPr>
                <w:b w:val="false"/>
                <w:bCs w:val="false"/>
                <w:sz w:val="17"/>
                <w:szCs w:val="17"/>
              </w:rPr>
              <w:t xml:space="preserve">C1, C4</w:t>
            </w:r>
          </w:p>
        </w:tc>
      </w:tr>
      <w:tr>
        <w:tc>
          <w:tcPr>
            <w:tcW w:type="dxa" w:w="600"/>
            <w:tcBorders>
              <w:top w:val="single" w:color="A6A6A6" w:sz="4"/>
              <w:left w:val="single" w:color="A6A6A6" w:sz="4"/>
              <w:bottom w:val="single" w:color="A6A6A6" w:sz="4"/>
              <w:right w:val="single" w:color="A6A6A6" w:sz="4"/>
            </w:tcBorders>
            <w:tcMar>
              <w:top w:type="dxa" w:w="45"/>
              <w:left w:type="dxa" w:w="90"/>
              <w:bottom w:type="dxa" w:w="45"/>
              <w:right w:type="dxa" w:w="90"/>
            </w:tcMar>
            <w:vAlign w:val="top"/>
          </w:tcPr>
          <w:p>
            <w:pPr>
              <w:spacing w:after="0" w:line="252"/>
            </w:pPr>
            <w:r>
              <w:rPr>
                <w:b w:val="false"/>
                <w:bCs w:val="false"/>
                <w:sz w:val="17"/>
                <w:szCs w:val="17"/>
              </w:rPr>
              <w:t xml:space="preserve">14</w:t>
            </w:r>
          </w:p>
        </w:tc>
        <w:tc>
          <w:tcPr>
            <w:tcW w:type="dxa" w:w="2400"/>
            <w:tcBorders>
              <w:top w:val="single" w:color="A6A6A6" w:sz="4"/>
              <w:left w:val="single" w:color="A6A6A6" w:sz="4"/>
              <w:bottom w:val="single" w:color="A6A6A6" w:sz="4"/>
              <w:right w:val="single" w:color="A6A6A6" w:sz="4"/>
            </w:tcBorders>
            <w:tcMar>
              <w:top w:type="dxa" w:w="45"/>
              <w:left w:type="dxa" w:w="90"/>
              <w:bottom w:type="dxa" w:w="45"/>
              <w:right w:type="dxa" w:w="90"/>
            </w:tcMar>
            <w:vAlign w:val="top"/>
          </w:tcPr>
          <w:p>
            <w:pPr>
              <w:spacing w:after="0" w:line="252"/>
            </w:pPr>
            <w:r>
              <w:rPr>
                <w:b w:val="false"/>
                <w:bCs w:val="false"/>
                <w:sz w:val="17"/>
                <w:szCs w:val="17"/>
              </w:rPr>
              <w:t xml:space="preserve">Liu et al. (2018)</w:t>
            </w:r>
          </w:p>
        </w:tc>
        <w:tc>
          <w:tcPr>
            <w:tcW w:type="dxa" w:w="5300"/>
            <w:tcBorders>
              <w:top w:val="single" w:color="A6A6A6" w:sz="4"/>
              <w:left w:val="single" w:color="A6A6A6" w:sz="4"/>
              <w:bottom w:val="single" w:color="A6A6A6" w:sz="4"/>
              <w:right w:val="single" w:color="A6A6A6" w:sz="4"/>
            </w:tcBorders>
            <w:tcMar>
              <w:top w:type="dxa" w:w="45"/>
              <w:left w:type="dxa" w:w="90"/>
              <w:bottom w:type="dxa" w:w="45"/>
              <w:right w:type="dxa" w:w="90"/>
            </w:tcMar>
            <w:vAlign w:val="top"/>
          </w:tcPr>
          <w:p>
            <w:pPr>
              <w:spacing w:after="0" w:line="252"/>
            </w:pPr>
            <w:r>
              <w:rPr>
                <w:b w:val="false"/>
                <w:bCs w:val="false"/>
                <w:sz w:val="17"/>
                <w:szCs w:val="17"/>
              </w:rPr>
              <w:t xml:space="preserve">Fine-pruning removes backdoors</w:t>
            </w:r>
          </w:p>
        </w:tc>
        <w:tc>
          <w:tcPr>
            <w:tcW w:type="dxa" w:w="4100"/>
            <w:tcBorders>
              <w:top w:val="single" w:color="A6A6A6" w:sz="4"/>
              <w:left w:val="single" w:color="A6A6A6" w:sz="4"/>
              <w:bottom w:val="single" w:color="A6A6A6" w:sz="4"/>
              <w:right w:val="single" w:color="A6A6A6" w:sz="4"/>
            </w:tcBorders>
            <w:tcMar>
              <w:top w:type="dxa" w:w="45"/>
              <w:left w:type="dxa" w:w="90"/>
              <w:bottom w:type="dxa" w:w="45"/>
              <w:right w:type="dxa" w:w="90"/>
            </w:tcMar>
            <w:vAlign w:val="top"/>
          </w:tcPr>
          <w:p>
            <w:pPr>
              <w:spacing w:after="0" w:line="252"/>
            </w:pPr>
            <w:r>
              <w:rPr>
                <w:b w:val="false"/>
                <w:bCs w:val="false"/>
                <w:sz w:val="17"/>
                <w:szCs w:val="17"/>
              </w:rPr>
              <w:t xml:space="preserve">No completeness guarantee</w:t>
            </w:r>
          </w:p>
        </w:tc>
        <w:tc>
          <w:tcPr>
            <w:tcW w:type="dxa" w:w="1450"/>
            <w:tcBorders>
              <w:top w:val="single" w:color="A6A6A6" w:sz="4"/>
              <w:left w:val="single" w:color="A6A6A6" w:sz="4"/>
              <w:bottom w:val="single" w:color="A6A6A6" w:sz="4"/>
              <w:right w:val="single" w:color="A6A6A6" w:sz="4"/>
            </w:tcBorders>
            <w:tcMar>
              <w:top w:type="dxa" w:w="45"/>
              <w:left w:type="dxa" w:w="90"/>
              <w:bottom w:type="dxa" w:w="45"/>
              <w:right w:type="dxa" w:w="90"/>
            </w:tcMar>
            <w:vAlign w:val="top"/>
          </w:tcPr>
          <w:p>
            <w:pPr>
              <w:spacing w:after="0" w:line="252"/>
            </w:pPr>
            <w:r>
              <w:rPr>
                <w:b w:val="false"/>
                <w:bCs w:val="false"/>
                <w:sz w:val="17"/>
                <w:szCs w:val="17"/>
              </w:rPr>
              <w:t xml:space="preserve">C4</w:t>
            </w:r>
          </w:p>
        </w:tc>
      </w:tr>
      <w:tr>
        <w:tc>
          <w:tcPr>
            <w:tcW w:type="dxa" w:w="600"/>
            <w:tcBorders>
              <w:top w:val="single" w:color="A6A6A6" w:sz="4"/>
              <w:left w:val="single" w:color="A6A6A6" w:sz="4"/>
              <w:bottom w:val="single" w:color="A6A6A6" w:sz="4"/>
              <w:right w:val="single" w:color="A6A6A6" w:sz="4"/>
            </w:tcBorders>
            <w:tcMar>
              <w:top w:type="dxa" w:w="45"/>
              <w:left w:type="dxa" w:w="90"/>
              <w:bottom w:type="dxa" w:w="45"/>
              <w:right w:type="dxa" w:w="90"/>
            </w:tcMar>
            <w:vAlign w:val="top"/>
          </w:tcPr>
          <w:p>
            <w:pPr>
              <w:spacing w:after="0" w:line="252"/>
            </w:pPr>
            <w:r>
              <w:rPr>
                <w:b w:val="false"/>
                <w:bCs w:val="false"/>
                <w:sz w:val="17"/>
                <w:szCs w:val="17"/>
              </w:rPr>
              <w:t xml:space="preserve">15</w:t>
            </w:r>
          </w:p>
        </w:tc>
        <w:tc>
          <w:tcPr>
            <w:tcW w:type="dxa" w:w="2400"/>
            <w:tcBorders>
              <w:top w:val="single" w:color="A6A6A6" w:sz="4"/>
              <w:left w:val="single" w:color="A6A6A6" w:sz="4"/>
              <w:bottom w:val="single" w:color="A6A6A6" w:sz="4"/>
              <w:right w:val="single" w:color="A6A6A6" w:sz="4"/>
            </w:tcBorders>
            <w:tcMar>
              <w:top w:type="dxa" w:w="45"/>
              <w:left w:type="dxa" w:w="90"/>
              <w:bottom w:type="dxa" w:w="45"/>
              <w:right w:type="dxa" w:w="90"/>
            </w:tcMar>
            <w:vAlign w:val="top"/>
          </w:tcPr>
          <w:p>
            <w:pPr>
              <w:spacing w:after="0" w:line="252"/>
            </w:pPr>
            <w:r>
              <w:rPr>
                <w:b w:val="false"/>
                <w:bCs w:val="false"/>
                <w:sz w:val="17"/>
                <w:szCs w:val="17"/>
              </w:rPr>
              <w:t xml:space="preserve">Goodfellow et al. (2015)</w:t>
            </w:r>
          </w:p>
        </w:tc>
        <w:tc>
          <w:tcPr>
            <w:tcW w:type="dxa" w:w="5300"/>
            <w:tcBorders>
              <w:top w:val="single" w:color="A6A6A6" w:sz="4"/>
              <w:left w:val="single" w:color="A6A6A6" w:sz="4"/>
              <w:bottom w:val="single" w:color="A6A6A6" w:sz="4"/>
              <w:right w:val="single" w:color="A6A6A6" w:sz="4"/>
            </w:tcBorders>
            <w:tcMar>
              <w:top w:type="dxa" w:w="45"/>
              <w:left w:type="dxa" w:w="90"/>
              <w:bottom w:type="dxa" w:w="45"/>
              <w:right w:type="dxa" w:w="90"/>
            </w:tcMar>
            <w:vAlign w:val="top"/>
          </w:tcPr>
          <w:p>
            <w:pPr>
              <w:spacing w:after="0" w:line="252"/>
            </w:pPr>
            <w:r>
              <w:rPr>
                <w:b w:val="false"/>
                <w:bCs w:val="false"/>
                <w:sz w:val="17"/>
                <w:szCs w:val="17"/>
              </w:rPr>
              <w:t xml:space="preserve">Linearity explanation and FGSM attack</w:t>
            </w:r>
          </w:p>
        </w:tc>
        <w:tc>
          <w:tcPr>
            <w:tcW w:type="dxa" w:w="4100"/>
            <w:tcBorders>
              <w:top w:val="single" w:color="A6A6A6" w:sz="4"/>
              <w:left w:val="single" w:color="A6A6A6" w:sz="4"/>
              <w:bottom w:val="single" w:color="A6A6A6" w:sz="4"/>
              <w:right w:val="single" w:color="A6A6A6" w:sz="4"/>
            </w:tcBorders>
            <w:tcMar>
              <w:top w:type="dxa" w:w="45"/>
              <w:left w:type="dxa" w:w="90"/>
              <w:bottom w:type="dxa" w:w="45"/>
              <w:right w:type="dxa" w:w="90"/>
            </w:tcMar>
            <w:vAlign w:val="top"/>
          </w:tcPr>
          <w:p>
            <w:pPr>
              <w:spacing w:after="0" w:line="252"/>
            </w:pPr>
            <w:r>
              <w:rPr>
                <w:b w:val="false"/>
                <w:bCs w:val="false"/>
                <w:sz w:val="17"/>
                <w:szCs w:val="17"/>
              </w:rPr>
              <w:t xml:space="preserve">Single-step attack</w:t>
            </w:r>
          </w:p>
        </w:tc>
        <w:tc>
          <w:tcPr>
            <w:tcW w:type="dxa" w:w="1450"/>
            <w:tcBorders>
              <w:top w:val="single" w:color="A6A6A6" w:sz="4"/>
              <w:left w:val="single" w:color="A6A6A6" w:sz="4"/>
              <w:bottom w:val="single" w:color="A6A6A6" w:sz="4"/>
              <w:right w:val="single" w:color="A6A6A6" w:sz="4"/>
            </w:tcBorders>
            <w:tcMar>
              <w:top w:type="dxa" w:w="45"/>
              <w:left w:type="dxa" w:w="90"/>
              <w:bottom w:type="dxa" w:w="45"/>
              <w:right w:type="dxa" w:w="90"/>
            </w:tcMar>
            <w:vAlign w:val="top"/>
          </w:tcPr>
          <w:p>
            <w:pPr>
              <w:spacing w:after="0" w:line="252"/>
            </w:pPr>
            <w:r>
              <w:rPr>
                <w:b w:val="false"/>
                <w:bCs w:val="false"/>
                <w:sz w:val="17"/>
                <w:szCs w:val="17"/>
              </w:rPr>
              <w:t xml:space="preserve">C5</w:t>
            </w:r>
          </w:p>
        </w:tc>
      </w:tr>
      <w:tr>
        <w:tc>
          <w:tcPr>
            <w:tcW w:type="dxa" w:w="600"/>
            <w:tcBorders>
              <w:top w:val="single" w:color="A6A6A6" w:sz="4"/>
              <w:left w:val="single" w:color="A6A6A6" w:sz="4"/>
              <w:bottom w:val="single" w:color="A6A6A6" w:sz="4"/>
              <w:right w:val="single" w:color="A6A6A6" w:sz="4"/>
            </w:tcBorders>
            <w:tcMar>
              <w:top w:type="dxa" w:w="45"/>
              <w:left w:type="dxa" w:w="90"/>
              <w:bottom w:type="dxa" w:w="45"/>
              <w:right w:type="dxa" w:w="90"/>
            </w:tcMar>
            <w:vAlign w:val="top"/>
          </w:tcPr>
          <w:p>
            <w:pPr>
              <w:spacing w:after="0" w:line="252"/>
            </w:pPr>
            <w:r>
              <w:rPr>
                <w:b w:val="false"/>
                <w:bCs w:val="false"/>
                <w:sz w:val="17"/>
                <w:szCs w:val="17"/>
              </w:rPr>
              <w:t xml:space="preserve">16</w:t>
            </w:r>
          </w:p>
        </w:tc>
        <w:tc>
          <w:tcPr>
            <w:tcW w:type="dxa" w:w="2400"/>
            <w:tcBorders>
              <w:top w:val="single" w:color="A6A6A6" w:sz="4"/>
              <w:left w:val="single" w:color="A6A6A6" w:sz="4"/>
              <w:bottom w:val="single" w:color="A6A6A6" w:sz="4"/>
              <w:right w:val="single" w:color="A6A6A6" w:sz="4"/>
            </w:tcBorders>
            <w:tcMar>
              <w:top w:type="dxa" w:w="45"/>
              <w:left w:type="dxa" w:w="90"/>
              <w:bottom w:type="dxa" w:w="45"/>
              <w:right w:type="dxa" w:w="90"/>
            </w:tcMar>
            <w:vAlign w:val="top"/>
          </w:tcPr>
          <w:p>
            <w:pPr>
              <w:spacing w:after="0" w:line="252"/>
            </w:pPr>
            <w:r>
              <w:rPr>
                <w:b w:val="false"/>
                <w:bCs w:val="false"/>
                <w:sz w:val="17"/>
                <w:szCs w:val="17"/>
              </w:rPr>
              <w:t xml:space="preserve">Madry et al. (2018)</w:t>
            </w:r>
          </w:p>
        </w:tc>
        <w:tc>
          <w:tcPr>
            <w:tcW w:type="dxa" w:w="5300"/>
            <w:tcBorders>
              <w:top w:val="single" w:color="A6A6A6" w:sz="4"/>
              <w:left w:val="single" w:color="A6A6A6" w:sz="4"/>
              <w:bottom w:val="single" w:color="A6A6A6" w:sz="4"/>
              <w:right w:val="single" w:color="A6A6A6" w:sz="4"/>
            </w:tcBorders>
            <w:tcMar>
              <w:top w:type="dxa" w:w="45"/>
              <w:left w:type="dxa" w:w="90"/>
              <w:bottom w:type="dxa" w:w="45"/>
              <w:right w:type="dxa" w:w="90"/>
            </w:tcMar>
            <w:vAlign w:val="top"/>
          </w:tcPr>
          <w:p>
            <w:pPr>
              <w:spacing w:after="0" w:line="252"/>
            </w:pPr>
            <w:r>
              <w:rPr>
                <w:b w:val="false"/>
                <w:bCs w:val="false"/>
                <w:sz w:val="17"/>
                <w:szCs w:val="17"/>
              </w:rPr>
              <w:t xml:space="preserve">PGD attack and adversarial training</w:t>
            </w:r>
          </w:p>
        </w:tc>
        <w:tc>
          <w:tcPr>
            <w:tcW w:type="dxa" w:w="4100"/>
            <w:tcBorders>
              <w:top w:val="single" w:color="A6A6A6" w:sz="4"/>
              <w:left w:val="single" w:color="A6A6A6" w:sz="4"/>
              <w:bottom w:val="single" w:color="A6A6A6" w:sz="4"/>
              <w:right w:val="single" w:color="A6A6A6" w:sz="4"/>
            </w:tcBorders>
            <w:tcMar>
              <w:top w:type="dxa" w:w="45"/>
              <w:left w:type="dxa" w:w="90"/>
              <w:bottom w:type="dxa" w:w="45"/>
              <w:right w:type="dxa" w:w="90"/>
            </w:tcMar>
            <w:vAlign w:val="top"/>
          </w:tcPr>
          <w:p>
            <w:pPr>
              <w:spacing w:after="0" w:line="252"/>
            </w:pPr>
            <w:r>
              <w:rPr>
                <w:b w:val="false"/>
                <w:bCs w:val="false"/>
                <w:sz w:val="17"/>
                <w:szCs w:val="17"/>
              </w:rPr>
              <w:t xml:space="preserve">Expensive; lowers clean accuracy</w:t>
            </w:r>
          </w:p>
        </w:tc>
        <w:tc>
          <w:tcPr>
            <w:tcW w:type="dxa" w:w="1450"/>
            <w:tcBorders>
              <w:top w:val="single" w:color="A6A6A6" w:sz="4"/>
              <w:left w:val="single" w:color="A6A6A6" w:sz="4"/>
              <w:bottom w:val="single" w:color="A6A6A6" w:sz="4"/>
              <w:right w:val="single" w:color="A6A6A6" w:sz="4"/>
            </w:tcBorders>
            <w:tcMar>
              <w:top w:type="dxa" w:w="45"/>
              <w:left w:type="dxa" w:w="90"/>
              <w:bottom w:type="dxa" w:w="45"/>
              <w:right w:type="dxa" w:w="90"/>
            </w:tcMar>
            <w:vAlign w:val="top"/>
          </w:tcPr>
          <w:p>
            <w:pPr>
              <w:spacing w:after="0" w:line="252"/>
            </w:pPr>
            <w:r>
              <w:rPr>
                <w:b w:val="false"/>
                <w:bCs w:val="false"/>
                <w:sz w:val="17"/>
                <w:szCs w:val="17"/>
              </w:rPr>
              <w:t xml:space="preserve">C5</w:t>
            </w:r>
          </w:p>
        </w:tc>
      </w:tr>
      <w:tr>
        <w:tc>
          <w:tcPr>
            <w:tcW w:type="dxa" w:w="600"/>
            <w:tcBorders>
              <w:top w:val="single" w:color="A6A6A6" w:sz="4"/>
              <w:left w:val="single" w:color="A6A6A6" w:sz="4"/>
              <w:bottom w:val="single" w:color="A6A6A6" w:sz="4"/>
              <w:right w:val="single" w:color="A6A6A6" w:sz="4"/>
            </w:tcBorders>
            <w:tcMar>
              <w:top w:type="dxa" w:w="45"/>
              <w:left w:type="dxa" w:w="90"/>
              <w:bottom w:type="dxa" w:w="45"/>
              <w:right w:type="dxa" w:w="90"/>
            </w:tcMar>
            <w:vAlign w:val="top"/>
          </w:tcPr>
          <w:p>
            <w:pPr>
              <w:spacing w:after="0" w:line="252"/>
            </w:pPr>
            <w:r>
              <w:rPr>
                <w:b w:val="false"/>
                <w:bCs w:val="false"/>
                <w:sz w:val="17"/>
                <w:szCs w:val="17"/>
              </w:rPr>
              <w:t xml:space="preserve">17</w:t>
            </w:r>
          </w:p>
        </w:tc>
        <w:tc>
          <w:tcPr>
            <w:tcW w:type="dxa" w:w="2400"/>
            <w:tcBorders>
              <w:top w:val="single" w:color="A6A6A6" w:sz="4"/>
              <w:left w:val="single" w:color="A6A6A6" w:sz="4"/>
              <w:bottom w:val="single" w:color="A6A6A6" w:sz="4"/>
              <w:right w:val="single" w:color="A6A6A6" w:sz="4"/>
            </w:tcBorders>
            <w:tcMar>
              <w:top w:type="dxa" w:w="45"/>
              <w:left w:type="dxa" w:w="90"/>
              <w:bottom w:type="dxa" w:w="45"/>
              <w:right w:type="dxa" w:w="90"/>
            </w:tcMar>
            <w:vAlign w:val="top"/>
          </w:tcPr>
          <w:p>
            <w:pPr>
              <w:spacing w:after="0" w:line="252"/>
            </w:pPr>
            <w:r>
              <w:rPr>
                <w:b w:val="false"/>
                <w:bCs w:val="false"/>
                <w:sz w:val="17"/>
                <w:szCs w:val="17"/>
              </w:rPr>
              <w:t xml:space="preserve">Xu et al. (2018)</w:t>
            </w:r>
          </w:p>
        </w:tc>
        <w:tc>
          <w:tcPr>
            <w:tcW w:type="dxa" w:w="5300"/>
            <w:tcBorders>
              <w:top w:val="single" w:color="A6A6A6" w:sz="4"/>
              <w:left w:val="single" w:color="A6A6A6" w:sz="4"/>
              <w:bottom w:val="single" w:color="A6A6A6" w:sz="4"/>
              <w:right w:val="single" w:color="A6A6A6" w:sz="4"/>
            </w:tcBorders>
            <w:tcMar>
              <w:top w:type="dxa" w:w="45"/>
              <w:left w:type="dxa" w:w="90"/>
              <w:bottom w:type="dxa" w:w="45"/>
              <w:right w:type="dxa" w:w="90"/>
            </w:tcMar>
            <w:vAlign w:val="top"/>
          </w:tcPr>
          <w:p>
            <w:pPr>
              <w:spacing w:after="0" w:line="252"/>
            </w:pPr>
            <w:r>
              <w:rPr>
                <w:b w:val="false"/>
                <w:bCs w:val="false"/>
                <w:sz w:val="17"/>
                <w:szCs w:val="17"/>
              </w:rPr>
              <w:t xml:space="preserve">Feature squeezing detector</w:t>
            </w:r>
          </w:p>
        </w:tc>
        <w:tc>
          <w:tcPr>
            <w:tcW w:type="dxa" w:w="4100"/>
            <w:tcBorders>
              <w:top w:val="single" w:color="A6A6A6" w:sz="4"/>
              <w:left w:val="single" w:color="A6A6A6" w:sz="4"/>
              <w:bottom w:val="single" w:color="A6A6A6" w:sz="4"/>
              <w:right w:val="single" w:color="A6A6A6" w:sz="4"/>
            </w:tcBorders>
            <w:tcMar>
              <w:top w:type="dxa" w:w="45"/>
              <w:left w:type="dxa" w:w="90"/>
              <w:bottom w:type="dxa" w:w="45"/>
              <w:right w:type="dxa" w:w="90"/>
            </w:tcMar>
            <w:vAlign w:val="top"/>
          </w:tcPr>
          <w:p>
            <w:pPr>
              <w:spacing w:after="0" w:line="252"/>
            </w:pPr>
            <w:r>
              <w:rPr>
                <w:b w:val="false"/>
                <w:bCs w:val="false"/>
                <w:sz w:val="17"/>
                <w:szCs w:val="17"/>
              </w:rPr>
              <w:t xml:space="preserve">Bypassed by adaptive attacks</w:t>
            </w:r>
          </w:p>
        </w:tc>
        <w:tc>
          <w:tcPr>
            <w:tcW w:type="dxa" w:w="1450"/>
            <w:tcBorders>
              <w:top w:val="single" w:color="A6A6A6" w:sz="4"/>
              <w:left w:val="single" w:color="A6A6A6" w:sz="4"/>
              <w:bottom w:val="single" w:color="A6A6A6" w:sz="4"/>
              <w:right w:val="single" w:color="A6A6A6" w:sz="4"/>
            </w:tcBorders>
            <w:tcMar>
              <w:top w:type="dxa" w:w="45"/>
              <w:left w:type="dxa" w:w="90"/>
              <w:bottom w:type="dxa" w:w="45"/>
              <w:right w:type="dxa" w:w="90"/>
            </w:tcMar>
            <w:vAlign w:val="top"/>
          </w:tcPr>
          <w:p>
            <w:pPr>
              <w:spacing w:after="0" w:line="252"/>
            </w:pPr>
            <w:r>
              <w:rPr>
                <w:b w:val="false"/>
                <w:bCs w:val="false"/>
                <w:sz w:val="17"/>
                <w:szCs w:val="17"/>
              </w:rPr>
              <w:t xml:space="preserve">C5</w:t>
            </w:r>
          </w:p>
        </w:tc>
      </w:tr>
      <w:tr>
        <w:tc>
          <w:tcPr>
            <w:tcW w:type="dxa" w:w="600"/>
            <w:tcBorders>
              <w:top w:val="single" w:color="A6A6A6" w:sz="4"/>
              <w:left w:val="single" w:color="A6A6A6" w:sz="4"/>
              <w:bottom w:val="single" w:color="A6A6A6" w:sz="4"/>
              <w:right w:val="single" w:color="A6A6A6" w:sz="4"/>
            </w:tcBorders>
            <w:tcMar>
              <w:top w:type="dxa" w:w="45"/>
              <w:left w:type="dxa" w:w="90"/>
              <w:bottom w:type="dxa" w:w="45"/>
              <w:right w:type="dxa" w:w="90"/>
            </w:tcMar>
            <w:vAlign w:val="top"/>
          </w:tcPr>
          <w:p>
            <w:pPr>
              <w:spacing w:after="0" w:line="252"/>
            </w:pPr>
            <w:r>
              <w:rPr>
                <w:b w:val="false"/>
                <w:bCs w:val="false"/>
                <w:sz w:val="17"/>
                <w:szCs w:val="17"/>
              </w:rPr>
              <w:t xml:space="preserve">18</w:t>
            </w:r>
          </w:p>
        </w:tc>
        <w:tc>
          <w:tcPr>
            <w:tcW w:type="dxa" w:w="2400"/>
            <w:tcBorders>
              <w:top w:val="single" w:color="A6A6A6" w:sz="4"/>
              <w:left w:val="single" w:color="A6A6A6" w:sz="4"/>
              <w:bottom w:val="single" w:color="A6A6A6" w:sz="4"/>
              <w:right w:val="single" w:color="A6A6A6" w:sz="4"/>
            </w:tcBorders>
            <w:tcMar>
              <w:top w:type="dxa" w:w="45"/>
              <w:left w:type="dxa" w:w="90"/>
              <w:bottom w:type="dxa" w:w="45"/>
              <w:right w:type="dxa" w:w="90"/>
            </w:tcMar>
            <w:vAlign w:val="top"/>
          </w:tcPr>
          <w:p>
            <w:pPr>
              <w:spacing w:after="0" w:line="252"/>
            </w:pPr>
            <w:r>
              <w:rPr>
                <w:b w:val="false"/>
                <w:bCs w:val="false"/>
                <w:sz w:val="17"/>
                <w:szCs w:val="17"/>
              </w:rPr>
              <w:t xml:space="preserve">Tramèr et al. (2016)</w:t>
            </w:r>
          </w:p>
        </w:tc>
        <w:tc>
          <w:tcPr>
            <w:tcW w:type="dxa" w:w="5300"/>
            <w:tcBorders>
              <w:top w:val="single" w:color="A6A6A6" w:sz="4"/>
              <w:left w:val="single" w:color="A6A6A6" w:sz="4"/>
              <w:bottom w:val="single" w:color="A6A6A6" w:sz="4"/>
              <w:right w:val="single" w:color="A6A6A6" w:sz="4"/>
            </w:tcBorders>
            <w:tcMar>
              <w:top w:type="dxa" w:w="45"/>
              <w:left w:type="dxa" w:w="90"/>
              <w:bottom w:type="dxa" w:w="45"/>
              <w:right w:type="dxa" w:w="90"/>
            </w:tcMar>
            <w:vAlign w:val="top"/>
          </w:tcPr>
          <w:p>
            <w:pPr>
              <w:spacing w:after="0" w:line="252"/>
            </w:pPr>
            <w:r>
              <w:rPr>
                <w:b w:val="false"/>
                <w:bCs w:val="false"/>
                <w:sz w:val="17"/>
                <w:szCs w:val="17"/>
              </w:rPr>
              <w:t xml:space="preserve">Model extraction via prediction APIs</w:t>
            </w:r>
          </w:p>
        </w:tc>
        <w:tc>
          <w:tcPr>
            <w:tcW w:type="dxa" w:w="4100"/>
            <w:tcBorders>
              <w:top w:val="single" w:color="A6A6A6" w:sz="4"/>
              <w:left w:val="single" w:color="A6A6A6" w:sz="4"/>
              <w:bottom w:val="single" w:color="A6A6A6" w:sz="4"/>
              <w:right w:val="single" w:color="A6A6A6" w:sz="4"/>
            </w:tcBorders>
            <w:tcMar>
              <w:top w:type="dxa" w:w="45"/>
              <w:left w:type="dxa" w:w="90"/>
              <w:bottom w:type="dxa" w:w="45"/>
              <w:right w:type="dxa" w:w="90"/>
            </w:tcMar>
            <w:vAlign w:val="top"/>
          </w:tcPr>
          <w:p>
            <w:pPr>
              <w:spacing w:after="0" w:line="252"/>
            </w:pPr>
            <w:r>
              <w:rPr>
                <w:b w:val="false"/>
                <w:bCs w:val="false"/>
                <w:sz w:val="17"/>
                <w:szCs w:val="17"/>
              </w:rPr>
              <w:t xml:space="preserve">Simple model classes</w:t>
            </w:r>
          </w:p>
        </w:tc>
        <w:tc>
          <w:tcPr>
            <w:tcW w:type="dxa" w:w="1450"/>
            <w:tcBorders>
              <w:top w:val="single" w:color="A6A6A6" w:sz="4"/>
              <w:left w:val="single" w:color="A6A6A6" w:sz="4"/>
              <w:bottom w:val="single" w:color="A6A6A6" w:sz="4"/>
              <w:right w:val="single" w:color="A6A6A6" w:sz="4"/>
            </w:tcBorders>
            <w:tcMar>
              <w:top w:type="dxa" w:w="45"/>
              <w:left w:type="dxa" w:w="90"/>
              <w:bottom w:type="dxa" w:w="45"/>
              <w:right w:type="dxa" w:w="90"/>
            </w:tcMar>
            <w:vAlign w:val="top"/>
          </w:tcPr>
          <w:p>
            <w:pPr>
              <w:spacing w:after="0" w:line="252"/>
            </w:pPr>
            <w:r>
              <w:rPr>
                <w:b w:val="false"/>
                <w:bCs w:val="false"/>
                <w:sz w:val="17"/>
                <w:szCs w:val="17"/>
              </w:rPr>
              <w:t xml:space="preserve">C5</w:t>
            </w:r>
          </w:p>
        </w:tc>
      </w:tr>
      <w:tr>
        <w:tc>
          <w:tcPr>
            <w:tcW w:type="dxa" w:w="600"/>
            <w:tcBorders>
              <w:top w:val="single" w:color="A6A6A6" w:sz="4"/>
              <w:left w:val="single" w:color="A6A6A6" w:sz="4"/>
              <w:bottom w:val="single" w:color="A6A6A6" w:sz="4"/>
              <w:right w:val="single" w:color="A6A6A6" w:sz="4"/>
            </w:tcBorders>
            <w:tcMar>
              <w:top w:type="dxa" w:w="45"/>
              <w:left w:type="dxa" w:w="90"/>
              <w:bottom w:type="dxa" w:w="45"/>
              <w:right w:type="dxa" w:w="90"/>
            </w:tcMar>
            <w:vAlign w:val="top"/>
          </w:tcPr>
          <w:p>
            <w:pPr>
              <w:spacing w:after="0" w:line="252"/>
            </w:pPr>
            <w:r>
              <w:rPr>
                <w:b w:val="false"/>
                <w:bCs w:val="false"/>
                <w:sz w:val="17"/>
                <w:szCs w:val="17"/>
              </w:rPr>
              <w:t xml:space="preserve">19</w:t>
            </w:r>
          </w:p>
        </w:tc>
        <w:tc>
          <w:tcPr>
            <w:tcW w:type="dxa" w:w="2400"/>
            <w:tcBorders>
              <w:top w:val="single" w:color="A6A6A6" w:sz="4"/>
              <w:left w:val="single" w:color="A6A6A6" w:sz="4"/>
              <w:bottom w:val="single" w:color="A6A6A6" w:sz="4"/>
              <w:right w:val="single" w:color="A6A6A6" w:sz="4"/>
            </w:tcBorders>
            <w:tcMar>
              <w:top w:type="dxa" w:w="45"/>
              <w:left w:type="dxa" w:w="90"/>
              <w:bottom w:type="dxa" w:w="45"/>
              <w:right w:type="dxa" w:w="90"/>
            </w:tcMar>
            <w:vAlign w:val="top"/>
          </w:tcPr>
          <w:p>
            <w:pPr>
              <w:spacing w:after="0" w:line="252"/>
            </w:pPr>
            <w:r>
              <w:rPr>
                <w:b w:val="false"/>
                <w:bCs w:val="false"/>
                <w:sz w:val="17"/>
                <w:szCs w:val="17"/>
              </w:rPr>
              <w:t xml:space="preserve">Rabanser et al. (2019)</w:t>
            </w:r>
          </w:p>
        </w:tc>
        <w:tc>
          <w:tcPr>
            <w:tcW w:type="dxa" w:w="5300"/>
            <w:tcBorders>
              <w:top w:val="single" w:color="A6A6A6" w:sz="4"/>
              <w:left w:val="single" w:color="A6A6A6" w:sz="4"/>
              <w:bottom w:val="single" w:color="A6A6A6" w:sz="4"/>
              <w:right w:val="single" w:color="A6A6A6" w:sz="4"/>
            </w:tcBorders>
            <w:tcMar>
              <w:top w:type="dxa" w:w="45"/>
              <w:left w:type="dxa" w:w="90"/>
              <w:bottom w:type="dxa" w:w="45"/>
              <w:right w:type="dxa" w:w="90"/>
            </w:tcMar>
            <w:vAlign w:val="top"/>
          </w:tcPr>
          <w:p>
            <w:pPr>
              <w:spacing w:after="0" w:line="252"/>
            </w:pPr>
            <w:r>
              <w:rPr>
                <w:b w:val="false"/>
                <w:bCs w:val="false"/>
                <w:sz w:val="17"/>
                <w:szCs w:val="17"/>
              </w:rPr>
              <w:t xml:space="preserve">Benchmark of dataset shift detection</w:t>
            </w:r>
          </w:p>
        </w:tc>
        <w:tc>
          <w:tcPr>
            <w:tcW w:type="dxa" w:w="4100"/>
            <w:tcBorders>
              <w:top w:val="single" w:color="A6A6A6" w:sz="4"/>
              <w:left w:val="single" w:color="A6A6A6" w:sz="4"/>
              <w:bottom w:val="single" w:color="A6A6A6" w:sz="4"/>
              <w:right w:val="single" w:color="A6A6A6" w:sz="4"/>
            </w:tcBorders>
            <w:tcMar>
              <w:top w:type="dxa" w:w="45"/>
              <w:left w:type="dxa" w:w="90"/>
              <w:bottom w:type="dxa" w:w="45"/>
              <w:right w:type="dxa" w:w="90"/>
            </w:tcMar>
            <w:vAlign w:val="top"/>
          </w:tcPr>
          <w:p>
            <w:pPr>
              <w:spacing w:after="0" w:line="252"/>
            </w:pPr>
            <w:r>
              <w:rPr>
                <w:b w:val="false"/>
                <w:bCs w:val="false"/>
                <w:sz w:val="17"/>
                <w:szCs w:val="17"/>
              </w:rPr>
              <w:t xml:space="preserve">Detects but does not explain shift</w:t>
            </w:r>
          </w:p>
        </w:tc>
        <w:tc>
          <w:tcPr>
            <w:tcW w:type="dxa" w:w="1450"/>
            <w:tcBorders>
              <w:top w:val="single" w:color="A6A6A6" w:sz="4"/>
              <w:left w:val="single" w:color="A6A6A6" w:sz="4"/>
              <w:bottom w:val="single" w:color="A6A6A6" w:sz="4"/>
              <w:right w:val="single" w:color="A6A6A6" w:sz="4"/>
            </w:tcBorders>
            <w:tcMar>
              <w:top w:type="dxa" w:w="45"/>
              <w:left w:type="dxa" w:w="90"/>
              <w:bottom w:type="dxa" w:w="45"/>
              <w:right w:type="dxa" w:w="90"/>
            </w:tcMar>
            <w:vAlign w:val="top"/>
          </w:tcPr>
          <w:p>
            <w:pPr>
              <w:spacing w:after="0" w:line="252"/>
            </w:pPr>
            <w:r>
              <w:rPr>
                <w:b w:val="false"/>
                <w:bCs w:val="false"/>
                <w:sz w:val="17"/>
                <w:szCs w:val="17"/>
              </w:rPr>
              <w:t xml:space="preserve">C5</w:t>
            </w:r>
          </w:p>
        </w:tc>
      </w:tr>
      <w:tr>
        <w:tc>
          <w:tcPr>
            <w:tcW w:type="dxa" w:w="600"/>
            <w:tcBorders>
              <w:top w:val="single" w:color="A6A6A6" w:sz="4"/>
              <w:left w:val="single" w:color="A6A6A6" w:sz="4"/>
              <w:bottom w:val="single" w:color="A6A6A6" w:sz="4"/>
              <w:right w:val="single" w:color="A6A6A6" w:sz="4"/>
            </w:tcBorders>
            <w:tcMar>
              <w:top w:type="dxa" w:w="45"/>
              <w:left w:type="dxa" w:w="90"/>
              <w:bottom w:type="dxa" w:w="45"/>
              <w:right w:type="dxa" w:w="90"/>
            </w:tcMar>
            <w:vAlign w:val="top"/>
          </w:tcPr>
          <w:p>
            <w:pPr>
              <w:spacing w:after="0" w:line="252"/>
            </w:pPr>
            <w:r>
              <w:rPr>
                <w:b w:val="false"/>
                <w:bCs w:val="false"/>
                <w:sz w:val="17"/>
                <w:szCs w:val="17"/>
              </w:rPr>
              <w:t xml:space="preserve">20</w:t>
            </w:r>
          </w:p>
        </w:tc>
        <w:tc>
          <w:tcPr>
            <w:tcW w:type="dxa" w:w="2400"/>
            <w:tcBorders>
              <w:top w:val="single" w:color="A6A6A6" w:sz="4"/>
              <w:left w:val="single" w:color="A6A6A6" w:sz="4"/>
              <w:bottom w:val="single" w:color="A6A6A6" w:sz="4"/>
              <w:right w:val="single" w:color="A6A6A6" w:sz="4"/>
            </w:tcBorders>
            <w:tcMar>
              <w:top w:type="dxa" w:w="45"/>
              <w:left w:type="dxa" w:w="90"/>
              <w:bottom w:type="dxa" w:w="45"/>
              <w:right w:type="dxa" w:w="90"/>
            </w:tcMar>
            <w:vAlign w:val="top"/>
          </w:tcPr>
          <w:p>
            <w:pPr>
              <w:spacing w:after="0" w:line="252"/>
            </w:pPr>
            <w:r>
              <w:rPr>
                <w:b w:val="false"/>
                <w:bCs w:val="false"/>
                <w:sz w:val="17"/>
                <w:szCs w:val="17"/>
              </w:rPr>
              <w:t xml:space="preserve">Mitchell et al. (2019)</w:t>
            </w:r>
          </w:p>
        </w:tc>
        <w:tc>
          <w:tcPr>
            <w:tcW w:type="dxa" w:w="5300"/>
            <w:tcBorders>
              <w:top w:val="single" w:color="A6A6A6" w:sz="4"/>
              <w:left w:val="single" w:color="A6A6A6" w:sz="4"/>
              <w:bottom w:val="single" w:color="A6A6A6" w:sz="4"/>
              <w:right w:val="single" w:color="A6A6A6" w:sz="4"/>
            </w:tcBorders>
            <w:tcMar>
              <w:top w:type="dxa" w:w="45"/>
              <w:left w:type="dxa" w:w="90"/>
              <w:bottom w:type="dxa" w:w="45"/>
              <w:right w:type="dxa" w:w="90"/>
            </w:tcMar>
            <w:vAlign w:val="top"/>
          </w:tcPr>
          <w:p>
            <w:pPr>
              <w:spacing w:after="0" w:line="252"/>
            </w:pPr>
            <w:r>
              <w:rPr>
                <w:b w:val="false"/>
                <w:bCs w:val="false"/>
                <w:sz w:val="17"/>
                <w:szCs w:val="17"/>
              </w:rPr>
              <w:t xml:space="preserve">Model cards for transparent reporting</w:t>
            </w:r>
          </w:p>
        </w:tc>
        <w:tc>
          <w:tcPr>
            <w:tcW w:type="dxa" w:w="4100"/>
            <w:tcBorders>
              <w:top w:val="single" w:color="A6A6A6" w:sz="4"/>
              <w:left w:val="single" w:color="A6A6A6" w:sz="4"/>
              <w:bottom w:val="single" w:color="A6A6A6" w:sz="4"/>
              <w:right w:val="single" w:color="A6A6A6" w:sz="4"/>
            </w:tcBorders>
            <w:tcMar>
              <w:top w:type="dxa" w:w="45"/>
              <w:left w:type="dxa" w:w="90"/>
              <w:bottom w:type="dxa" w:w="45"/>
              <w:right w:type="dxa" w:w="90"/>
            </w:tcMar>
            <w:vAlign w:val="top"/>
          </w:tcPr>
          <w:p>
            <w:pPr>
              <w:spacing w:after="0" w:line="252"/>
            </w:pPr>
            <w:r>
              <w:rPr>
                <w:b w:val="false"/>
                <w:bCs w:val="false"/>
                <w:sz w:val="17"/>
                <w:szCs w:val="17"/>
              </w:rPr>
              <w:t xml:space="preserve">No security properties</w:t>
            </w:r>
          </w:p>
        </w:tc>
        <w:tc>
          <w:tcPr>
            <w:tcW w:type="dxa" w:w="1450"/>
            <w:tcBorders>
              <w:top w:val="single" w:color="A6A6A6" w:sz="4"/>
              <w:left w:val="single" w:color="A6A6A6" w:sz="4"/>
              <w:bottom w:val="single" w:color="A6A6A6" w:sz="4"/>
              <w:right w:val="single" w:color="A6A6A6" w:sz="4"/>
            </w:tcBorders>
            <w:tcMar>
              <w:top w:type="dxa" w:w="45"/>
              <w:left w:type="dxa" w:w="90"/>
              <w:bottom w:type="dxa" w:w="45"/>
              <w:right w:type="dxa" w:w="90"/>
            </w:tcMar>
            <w:vAlign w:val="top"/>
          </w:tcPr>
          <w:p>
            <w:pPr>
              <w:spacing w:after="0" w:line="252"/>
            </w:pPr>
            <w:r>
              <w:rPr>
                <w:b w:val="false"/>
                <w:bCs w:val="false"/>
                <w:sz w:val="17"/>
                <w:szCs w:val="17"/>
              </w:rPr>
              <w:t xml:space="preserve">C6</w:t>
            </w:r>
          </w:p>
        </w:tc>
      </w:tr>
    </w:tbl>
    <w:p>
      <w:pPr>
        <w:sectPr>
          <w:headerReference w:type="default" r:id="rId9"/>
          <w:footerReference w:type="default" r:id="rId10"/>
          <w:pgSz w:w="16838" w:h="11906" w:orient="landscape"/>
          <w:pgMar w:top="1440" w:right="1440" w:bottom="1440" w:left="1440" w:header="708" w:footer="708" w:gutter="0"/>
          <w:pgNumType/>
          <w:docGrid w:linePitch="360"/>
        </w:sectPr>
      </w:pPr>
    </w:p>
    <w:p>
      <w:pPr>
        <w:pStyle w:val="Heading1"/>
      </w:pPr>
      <w:r>
        <w:t xml:space="preserve">5. Research Gaps Identified</w:t>
      </w:r>
    </w:p>
    <w:p>
      <w:pPr>
        <w:spacing w:after="120" w:line="300"/>
        <w:jc w:val="both"/>
      </w:pPr>
      <w:r>
        <w:t xml:space="preserve">Reading the 20 papers together reveals six gaps that motivate an integrated platform:</w:t>
      </w:r>
    </w:p>
    <w:p>
      <w:pPr>
        <w:pStyle w:val="ListParagraph"/>
        <w:numPr>
          <w:ilvl w:val="0"/>
          <w:numId w:val="2"/>
        </w:numPr>
        <w:spacing w:after="80" w:line="290"/>
      </w:pPr>
      <w:r>
        <w:rPr>
          <w:b/>
          <w:bCs/>
        </w:rPr>
        <w:t xml:space="preserve">Gap 1 – Fragmented, single-stage defences. </w:t>
      </w:r>
      <w:r>
        <w:t xml:space="preserve">Every paper addresses one stage of the pipeline: data [1], [2], model files [6], frameworks [8], [9], training-time backdoors [12]–[14], or run-time inputs [11], [17]. None links evidence across stages, so an organisation cannot trace a run-time alert back to the dataset or model version responsible.</w:t>
      </w:r>
    </w:p>
    <w:p>
      <w:pPr>
        <w:pStyle w:val="ListParagraph"/>
        <w:numPr>
          <w:ilvl w:val="0"/>
          <w:numId w:val="2"/>
        </w:numPr>
        <w:spacing w:after="80" w:line="290"/>
      </w:pPr>
      <w:r>
        <w:rPr>
          <w:b/>
          <w:bCs/>
        </w:rPr>
        <w:t xml:space="preserve">Gap 2 – Integrity is not the same as safety. </w:t>
      </w:r>
      <w:r>
        <w:t xml:space="preserve">Signing [7] proves who published an artefact, while Zhao et al. [6] show that model files can carry executable payloads. A malicious model can be validly signed, so signature verification and serialisation scanning are both needed before a model is loaded.</w:t>
      </w:r>
    </w:p>
    <w:p>
      <w:pPr>
        <w:pStyle w:val="ListParagraph"/>
        <w:numPr>
          <w:ilvl w:val="0"/>
          <w:numId w:val="2"/>
        </w:numPr>
        <w:spacing w:after="80" w:line="290"/>
      </w:pPr>
      <w:r>
        <w:rPr>
          <w:b/>
          <w:bCs/>
        </w:rPr>
        <w:t xml:space="preserve">Gap 3 – ML dependencies are poorly inventoried. </w:t>
      </w:r>
      <w:r>
        <w:t xml:space="preserve">Framework flaws [8] and the volume of ML library vulnerabilities [9], together with practitioners' lack of provenance information [5], show that models, datasets and ML-specific dependencies are rarely captured in a bill of materials that can be matched against vulnerability databases.</w:t>
      </w:r>
    </w:p>
    <w:p>
      <w:pPr>
        <w:pStyle w:val="ListParagraph"/>
        <w:numPr>
          <w:ilvl w:val="0"/>
          <w:numId w:val="2"/>
        </w:numPr>
        <w:spacing w:after="80" w:line="290"/>
      </w:pPr>
      <w:r>
        <w:rPr>
          <w:b/>
          <w:bCs/>
        </w:rPr>
        <w:t xml:space="preserve">Gap 4 – Detectors rely on narrow assumptions. </w:t>
      </w:r>
      <w:r>
        <w:t xml:space="preserve">Backdoor defences assume small triggers [10], input-agnostic triggers [11], access to training data [12], [13] or clean data for repair [14], and are mostly evaluated on images. No single detector is sufficient, which argues for combining training-time and run-time methods.</w:t>
      </w:r>
    </w:p>
    <w:p>
      <w:pPr>
        <w:pStyle w:val="ListParagraph"/>
        <w:numPr>
          <w:ilvl w:val="0"/>
          <w:numId w:val="2"/>
        </w:numPr>
        <w:spacing w:after="80" w:line="290"/>
      </w:pPr>
      <w:r>
        <w:rPr>
          <w:b/>
          <w:bCs/>
        </w:rPr>
        <w:t xml:space="preserve">Gap 5 – Run-time defences can be bypassed in isolation. </w:t>
      </w:r>
      <w:r>
        <w:t xml:space="preserve">Adversarial detectors such as feature squeezing [17] can be evaded by adaptive attacks, robust training [16] is expensive, and extraction [18] and drift [19] require continuous monitoring rather than one-off testing. Layered, monitored defences are needed.</w:t>
      </w:r>
    </w:p>
    <w:p>
      <w:pPr>
        <w:pStyle w:val="ListParagraph"/>
        <w:numPr>
          <w:ilvl w:val="0"/>
          <w:numId w:val="2"/>
        </w:numPr>
        <w:spacing w:after="80" w:line="290"/>
      </w:pPr>
      <w:r>
        <w:rPr>
          <w:b/>
          <w:bCs/>
        </w:rPr>
        <w:t xml:space="preserve">Gap 6 – Documentation is disconnected from security evidence. </w:t>
      </w:r>
      <w:r>
        <w:t xml:space="preserve">Model cards [20] report performance and intended use but not security properties, and they predate regulations such as the EU AI Act that require technical documentation, logging and cybersecurity measures. Producing audit-ready evidence remains a manual task.</w:t>
      </w:r>
    </w:p>
    <w:p>
      <w:pPr>
        <w:pStyle w:val="Heading1"/>
      </w:pPr>
      <w:r>
        <w:t xml:space="preserve">6. How AISecGuard Addresses the Gaps</w:t>
      </w:r>
    </w:p>
    <w:p>
      <w:pPr>
        <w:spacing w:after="120" w:line="300"/>
        <w:jc w:val="both"/>
      </w:pPr>
      <w:r>
        <w:t xml:space="preserve">AISecGuard is designed as a single platform that connects the defences reviewed above through a shared, tamper-evident record. Table 3 maps each gap to the corresponding design decision.</w:t>
      </w:r>
    </w:p>
    <w:p>
      <w:pPr>
        <w:spacing w:after="80"/>
      </w:pPr>
      <w:r>
        <w:rPr>
          <w:b/>
          <w:bCs/>
          <w:sz w:val="20"/>
          <w:szCs w:val="20"/>
        </w:rPr>
        <w:t xml:space="preserve">Table 3. Mapping of research gaps to AISecGuard features</w:t>
      </w:r>
    </w:p>
    <w:tbl>
      <w:tblPr>
        <w:tblW w:type="dxa" w:w="9026"/>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000"/>
        <w:gridCol w:w="4400"/>
        <w:gridCol w:w="2626"/>
      </w:tblGrid>
      <w:tr>
        <w:trPr>
          <w:tblHeader/>
        </w:trPr>
        <w:tc>
          <w:tcPr>
            <w:tcW w:type="dxa" w:w="2000"/>
            <w:tcBorders>
              <w:top w:val="single" w:color="A6A6A6" w:sz="4"/>
              <w:left w:val="single" w:color="A6A6A6" w:sz="4"/>
              <w:bottom w:val="single" w:color="A6A6A6" w:sz="4"/>
              <w:right w:val="single" w:color="A6A6A6" w:sz="4"/>
            </w:tcBorders>
            <w:shd w:fill="1F3864" w:color="auto" w:val="clear"/>
            <w:tcMar>
              <w:top w:type="dxa" w:w="45"/>
              <w:left w:type="dxa" w:w="90"/>
              <w:bottom w:type="dxa" w:w="45"/>
              <w:right w:type="dxa" w:w="90"/>
            </w:tcMar>
            <w:vAlign w:val="top"/>
          </w:tcPr>
          <w:p>
            <w:pPr>
              <w:spacing w:after="0" w:line="252"/>
            </w:pPr>
            <w:r>
              <w:rPr>
                <w:b/>
                <w:bCs/>
                <w:color w:val="FFFFFF"/>
                <w:sz w:val="19"/>
                <w:szCs w:val="19"/>
              </w:rPr>
              <w:t xml:space="preserve">Gap</w:t>
            </w:r>
          </w:p>
        </w:tc>
        <w:tc>
          <w:tcPr>
            <w:tcW w:type="dxa" w:w="4400"/>
            <w:tcBorders>
              <w:top w:val="single" w:color="A6A6A6" w:sz="4"/>
              <w:left w:val="single" w:color="A6A6A6" w:sz="4"/>
              <w:bottom w:val="single" w:color="A6A6A6" w:sz="4"/>
              <w:right w:val="single" w:color="A6A6A6" w:sz="4"/>
            </w:tcBorders>
            <w:shd w:fill="1F3864" w:color="auto" w:val="clear"/>
            <w:tcMar>
              <w:top w:type="dxa" w:w="45"/>
              <w:left w:type="dxa" w:w="90"/>
              <w:bottom w:type="dxa" w:w="45"/>
              <w:right w:type="dxa" w:w="90"/>
            </w:tcMar>
            <w:vAlign w:val="top"/>
          </w:tcPr>
          <w:p>
            <w:pPr>
              <w:spacing w:after="0" w:line="252"/>
            </w:pPr>
            <w:r>
              <w:rPr>
                <w:b/>
                <w:bCs/>
                <w:color w:val="FFFFFF"/>
                <w:sz w:val="19"/>
                <w:szCs w:val="19"/>
              </w:rPr>
              <w:t xml:space="preserve">AISecGuard response</w:t>
            </w:r>
          </w:p>
        </w:tc>
        <w:tc>
          <w:tcPr>
            <w:tcW w:type="dxa" w:w="2626"/>
            <w:tcBorders>
              <w:top w:val="single" w:color="A6A6A6" w:sz="4"/>
              <w:left w:val="single" w:color="A6A6A6" w:sz="4"/>
              <w:bottom w:val="single" w:color="A6A6A6" w:sz="4"/>
              <w:right w:val="single" w:color="A6A6A6" w:sz="4"/>
            </w:tcBorders>
            <w:shd w:fill="1F3864" w:color="auto" w:val="clear"/>
            <w:tcMar>
              <w:top w:type="dxa" w:w="45"/>
              <w:left w:type="dxa" w:w="90"/>
              <w:bottom w:type="dxa" w:w="45"/>
              <w:right w:type="dxa" w:w="90"/>
            </w:tcMar>
            <w:vAlign w:val="top"/>
          </w:tcPr>
          <w:p>
            <w:pPr>
              <w:spacing w:after="0" w:line="252"/>
            </w:pPr>
            <w:r>
              <w:rPr>
                <w:b/>
                <w:bCs/>
                <w:color w:val="FFFFFF"/>
                <w:sz w:val="19"/>
                <w:szCs w:val="19"/>
              </w:rPr>
              <w:t xml:space="preserve">Based on</w:t>
            </w:r>
          </w:p>
        </w:tc>
      </w:tr>
      <w:tr>
        <w:tc>
          <w:tcPr>
            <w:tcW w:type="dxa" w:w="2000"/>
            <w:tcBorders>
              <w:top w:val="single" w:color="A6A6A6" w:sz="4"/>
              <w:left w:val="single" w:color="A6A6A6" w:sz="4"/>
              <w:bottom w:val="single" w:color="A6A6A6" w:sz="4"/>
              <w:right w:val="single" w:color="A6A6A6" w:sz="4"/>
            </w:tcBorders>
            <w:tcMar>
              <w:top w:type="dxa" w:w="45"/>
              <w:left w:type="dxa" w:w="90"/>
              <w:bottom w:type="dxa" w:w="45"/>
              <w:right w:type="dxa" w:w="90"/>
            </w:tcMar>
            <w:vAlign w:val="top"/>
          </w:tcPr>
          <w:p>
            <w:pPr>
              <w:spacing w:after="0" w:line="252"/>
            </w:pPr>
            <w:r>
              <w:rPr>
                <w:b w:val="false"/>
                <w:bCs w:val="false"/>
                <w:sz w:val="19"/>
                <w:szCs w:val="19"/>
              </w:rPr>
              <w:t xml:space="preserve">1 – Fragmentation</w:t>
            </w:r>
          </w:p>
        </w:tc>
        <w:tc>
          <w:tcPr>
            <w:tcW w:type="dxa" w:w="4400"/>
            <w:tcBorders>
              <w:top w:val="single" w:color="A6A6A6" w:sz="4"/>
              <w:left w:val="single" w:color="A6A6A6" w:sz="4"/>
              <w:bottom w:val="single" w:color="A6A6A6" w:sz="4"/>
              <w:right w:val="single" w:color="A6A6A6" w:sz="4"/>
            </w:tcBorders>
            <w:tcMar>
              <w:top w:type="dxa" w:w="45"/>
              <w:left w:type="dxa" w:w="90"/>
              <w:bottom w:type="dxa" w:w="45"/>
              <w:right w:type="dxa" w:w="90"/>
            </w:tcMar>
            <w:vAlign w:val="top"/>
          </w:tcPr>
          <w:p>
            <w:pPr>
              <w:spacing w:after="0" w:line="252"/>
            </w:pPr>
            <w:r>
              <w:rPr>
                <w:b w:val="false"/>
                <w:bCs w:val="false"/>
                <w:sz w:val="19"/>
                <w:szCs w:val="19"/>
              </w:rPr>
              <w:t xml:space="preserve">Hash-chained provenance ledger and audit log linking datasets, models, scans and run-time alerts into one lineage</w:t>
            </w:r>
          </w:p>
        </w:tc>
        <w:tc>
          <w:tcPr>
            <w:tcW w:type="dxa" w:w="2626"/>
            <w:tcBorders>
              <w:top w:val="single" w:color="A6A6A6" w:sz="4"/>
              <w:left w:val="single" w:color="A6A6A6" w:sz="4"/>
              <w:bottom w:val="single" w:color="A6A6A6" w:sz="4"/>
              <w:right w:val="single" w:color="A6A6A6" w:sz="4"/>
            </w:tcBorders>
            <w:tcMar>
              <w:top w:type="dxa" w:w="45"/>
              <w:left w:type="dxa" w:w="90"/>
              <w:bottom w:type="dxa" w:w="45"/>
              <w:right w:type="dxa" w:w="90"/>
            </w:tcMar>
            <w:vAlign w:val="top"/>
          </w:tcPr>
          <w:p>
            <w:pPr>
              <w:spacing w:after="0" w:line="252"/>
            </w:pPr>
            <w:r>
              <w:rPr>
                <w:b w:val="false"/>
                <w:bCs w:val="false"/>
                <w:sz w:val="19"/>
                <w:szCs w:val="19"/>
              </w:rPr>
              <w:t xml:space="preserve">[1], [2], [5]</w:t>
            </w:r>
          </w:p>
        </w:tc>
      </w:tr>
      <w:tr>
        <w:tc>
          <w:tcPr>
            <w:tcW w:type="dxa" w:w="2000"/>
            <w:tcBorders>
              <w:top w:val="single" w:color="A6A6A6" w:sz="4"/>
              <w:left w:val="single" w:color="A6A6A6" w:sz="4"/>
              <w:bottom w:val="single" w:color="A6A6A6" w:sz="4"/>
              <w:right w:val="single" w:color="A6A6A6" w:sz="4"/>
            </w:tcBorders>
            <w:tcMar>
              <w:top w:type="dxa" w:w="45"/>
              <w:left w:type="dxa" w:w="90"/>
              <w:bottom w:type="dxa" w:w="45"/>
              <w:right w:type="dxa" w:w="90"/>
            </w:tcMar>
            <w:vAlign w:val="top"/>
          </w:tcPr>
          <w:p>
            <w:pPr>
              <w:spacing w:after="0" w:line="252"/>
            </w:pPr>
            <w:r>
              <w:rPr>
                <w:b w:val="false"/>
                <w:bCs w:val="false"/>
                <w:sz w:val="19"/>
                <w:szCs w:val="19"/>
              </w:rPr>
              <w:t xml:space="preserve">2 – Integrity vs safety</w:t>
            </w:r>
          </w:p>
        </w:tc>
        <w:tc>
          <w:tcPr>
            <w:tcW w:type="dxa" w:w="4400"/>
            <w:tcBorders>
              <w:top w:val="single" w:color="A6A6A6" w:sz="4"/>
              <w:left w:val="single" w:color="A6A6A6" w:sz="4"/>
              <w:bottom w:val="single" w:color="A6A6A6" w:sz="4"/>
              <w:right w:val="single" w:color="A6A6A6" w:sz="4"/>
            </w:tcBorders>
            <w:tcMar>
              <w:top w:type="dxa" w:w="45"/>
              <w:left w:type="dxa" w:w="90"/>
              <w:bottom w:type="dxa" w:w="45"/>
              <w:right w:type="dxa" w:w="90"/>
            </w:tcMar>
            <w:vAlign w:val="top"/>
          </w:tcPr>
          <w:p>
            <w:pPr>
              <w:spacing w:after="0" w:line="252"/>
            </w:pPr>
            <w:r>
              <w:rPr>
                <w:b w:val="false"/>
                <w:bCs w:val="false"/>
                <w:sz w:val="19"/>
                <w:szCs w:val="19"/>
              </w:rPr>
              <w:t xml:space="preserve">Model signing combined with a static Pickle/Keras scanner; unsafe or unsigned models are refused before loading</w:t>
            </w:r>
          </w:p>
        </w:tc>
        <w:tc>
          <w:tcPr>
            <w:tcW w:type="dxa" w:w="2626"/>
            <w:tcBorders>
              <w:top w:val="single" w:color="A6A6A6" w:sz="4"/>
              <w:left w:val="single" w:color="A6A6A6" w:sz="4"/>
              <w:bottom w:val="single" w:color="A6A6A6" w:sz="4"/>
              <w:right w:val="single" w:color="A6A6A6" w:sz="4"/>
            </w:tcBorders>
            <w:tcMar>
              <w:top w:type="dxa" w:w="45"/>
              <w:left w:type="dxa" w:w="90"/>
              <w:bottom w:type="dxa" w:w="45"/>
              <w:right w:type="dxa" w:w="90"/>
            </w:tcMar>
            <w:vAlign w:val="top"/>
          </w:tcPr>
          <w:p>
            <w:pPr>
              <w:spacing w:after="0" w:line="252"/>
            </w:pPr>
            <w:r>
              <w:rPr>
                <w:b w:val="false"/>
                <w:bCs w:val="false"/>
                <w:sz w:val="19"/>
                <w:szCs w:val="19"/>
              </w:rPr>
              <w:t xml:space="preserve">[6], [7]</w:t>
            </w:r>
          </w:p>
        </w:tc>
      </w:tr>
      <w:tr>
        <w:tc>
          <w:tcPr>
            <w:tcW w:type="dxa" w:w="2000"/>
            <w:tcBorders>
              <w:top w:val="single" w:color="A6A6A6" w:sz="4"/>
              <w:left w:val="single" w:color="A6A6A6" w:sz="4"/>
              <w:bottom w:val="single" w:color="A6A6A6" w:sz="4"/>
              <w:right w:val="single" w:color="A6A6A6" w:sz="4"/>
            </w:tcBorders>
            <w:tcMar>
              <w:top w:type="dxa" w:w="45"/>
              <w:left w:type="dxa" w:w="90"/>
              <w:bottom w:type="dxa" w:w="45"/>
              <w:right w:type="dxa" w:w="90"/>
            </w:tcMar>
            <w:vAlign w:val="top"/>
          </w:tcPr>
          <w:p>
            <w:pPr>
              <w:spacing w:after="0" w:line="252"/>
            </w:pPr>
            <w:r>
              <w:rPr>
                <w:b w:val="false"/>
                <w:bCs w:val="false"/>
                <w:sz w:val="19"/>
                <w:szCs w:val="19"/>
              </w:rPr>
              <w:t xml:space="preserve">3 – ML dependency visibility</w:t>
            </w:r>
          </w:p>
        </w:tc>
        <w:tc>
          <w:tcPr>
            <w:tcW w:type="dxa" w:w="4400"/>
            <w:tcBorders>
              <w:top w:val="single" w:color="A6A6A6" w:sz="4"/>
              <w:left w:val="single" w:color="A6A6A6" w:sz="4"/>
              <w:bottom w:val="single" w:color="A6A6A6" w:sz="4"/>
              <w:right w:val="single" w:color="A6A6A6" w:sz="4"/>
            </w:tcBorders>
            <w:tcMar>
              <w:top w:type="dxa" w:w="45"/>
              <w:left w:type="dxa" w:w="90"/>
              <w:bottom w:type="dxa" w:w="45"/>
              <w:right w:type="dxa" w:w="90"/>
            </w:tcMar>
            <w:vAlign w:val="top"/>
          </w:tcPr>
          <w:p>
            <w:pPr>
              <w:spacing w:after="0" w:line="252"/>
            </w:pPr>
            <w:r>
              <w:rPr>
                <w:b w:val="false"/>
                <w:bCs w:val="false"/>
                <w:sz w:val="19"/>
                <w:szCs w:val="19"/>
              </w:rPr>
              <w:t xml:space="preserve">CycloneDX ML-BOM generation, AI-aware dependency scanning, GPU/CUDA inventory and unsafe-loading code checks</w:t>
            </w:r>
          </w:p>
        </w:tc>
        <w:tc>
          <w:tcPr>
            <w:tcW w:type="dxa" w:w="2626"/>
            <w:tcBorders>
              <w:top w:val="single" w:color="A6A6A6" w:sz="4"/>
              <w:left w:val="single" w:color="A6A6A6" w:sz="4"/>
              <w:bottom w:val="single" w:color="A6A6A6" w:sz="4"/>
              <w:right w:val="single" w:color="A6A6A6" w:sz="4"/>
            </w:tcBorders>
            <w:tcMar>
              <w:top w:type="dxa" w:w="45"/>
              <w:left w:type="dxa" w:w="90"/>
              <w:bottom w:type="dxa" w:w="45"/>
              <w:right w:type="dxa" w:w="90"/>
            </w:tcMar>
            <w:vAlign w:val="top"/>
          </w:tcPr>
          <w:p>
            <w:pPr>
              <w:spacing w:after="0" w:line="252"/>
            </w:pPr>
            <w:r>
              <w:rPr>
                <w:b w:val="false"/>
                <w:bCs w:val="false"/>
                <w:sz w:val="19"/>
                <w:szCs w:val="19"/>
              </w:rPr>
              <w:t xml:space="preserve">[5], [8], [9]</w:t>
            </w:r>
          </w:p>
        </w:tc>
      </w:tr>
      <w:tr>
        <w:tc>
          <w:tcPr>
            <w:tcW w:type="dxa" w:w="2000"/>
            <w:tcBorders>
              <w:top w:val="single" w:color="A6A6A6" w:sz="4"/>
              <w:left w:val="single" w:color="A6A6A6" w:sz="4"/>
              <w:bottom w:val="single" w:color="A6A6A6" w:sz="4"/>
              <w:right w:val="single" w:color="A6A6A6" w:sz="4"/>
            </w:tcBorders>
            <w:tcMar>
              <w:top w:type="dxa" w:w="45"/>
              <w:left w:type="dxa" w:w="90"/>
              <w:bottom w:type="dxa" w:w="45"/>
              <w:right w:type="dxa" w:w="90"/>
            </w:tcMar>
            <w:vAlign w:val="top"/>
          </w:tcPr>
          <w:p>
            <w:pPr>
              <w:spacing w:after="0" w:line="252"/>
            </w:pPr>
            <w:r>
              <w:rPr>
                <w:b w:val="false"/>
                <w:bCs w:val="false"/>
                <w:sz w:val="19"/>
                <w:szCs w:val="19"/>
              </w:rPr>
              <w:t xml:space="preserve">4 – Narrow detector assumptions</w:t>
            </w:r>
          </w:p>
        </w:tc>
        <w:tc>
          <w:tcPr>
            <w:tcW w:type="dxa" w:w="4400"/>
            <w:tcBorders>
              <w:top w:val="single" w:color="A6A6A6" w:sz="4"/>
              <w:left w:val="single" w:color="A6A6A6" w:sz="4"/>
              <w:bottom w:val="single" w:color="A6A6A6" w:sz="4"/>
              <w:right w:val="single" w:color="A6A6A6" w:sz="4"/>
            </w:tcBorders>
            <w:tcMar>
              <w:top w:type="dxa" w:w="45"/>
              <w:left w:type="dxa" w:w="90"/>
              <w:bottom w:type="dxa" w:w="45"/>
              <w:right w:type="dxa" w:w="90"/>
            </w:tcMar>
            <w:vAlign w:val="top"/>
          </w:tcPr>
          <w:p>
            <w:pPr>
              <w:spacing w:after="0" w:line="252"/>
            </w:pPr>
            <w:r>
              <w:rPr>
                <w:b w:val="false"/>
                <w:bCs w:val="false"/>
                <w:sz w:val="19"/>
                <w:szCs w:val="19"/>
              </w:rPr>
              <w:t xml:space="preserve">Ensemble of Activation Clustering, spectral signatures, STRIP and fine-pruning, with robustness testing</w:t>
            </w:r>
          </w:p>
        </w:tc>
        <w:tc>
          <w:tcPr>
            <w:tcW w:type="dxa" w:w="2626"/>
            <w:tcBorders>
              <w:top w:val="single" w:color="A6A6A6" w:sz="4"/>
              <w:left w:val="single" w:color="A6A6A6" w:sz="4"/>
              <w:bottom w:val="single" w:color="A6A6A6" w:sz="4"/>
              <w:right w:val="single" w:color="A6A6A6" w:sz="4"/>
            </w:tcBorders>
            <w:tcMar>
              <w:top w:type="dxa" w:w="45"/>
              <w:left w:type="dxa" w:w="90"/>
              <w:bottom w:type="dxa" w:w="45"/>
              <w:right w:type="dxa" w:w="90"/>
            </w:tcMar>
            <w:vAlign w:val="top"/>
          </w:tcPr>
          <w:p>
            <w:pPr>
              <w:spacing w:after="0" w:line="252"/>
            </w:pPr>
            <w:r>
              <w:rPr>
                <w:b w:val="false"/>
                <w:bCs w:val="false"/>
                <w:sz w:val="19"/>
                <w:szCs w:val="19"/>
              </w:rPr>
              <w:t xml:space="preserve">[10]–[14]</w:t>
            </w:r>
          </w:p>
        </w:tc>
      </w:tr>
      <w:tr>
        <w:tc>
          <w:tcPr>
            <w:tcW w:type="dxa" w:w="2000"/>
            <w:tcBorders>
              <w:top w:val="single" w:color="A6A6A6" w:sz="4"/>
              <w:left w:val="single" w:color="A6A6A6" w:sz="4"/>
              <w:bottom w:val="single" w:color="A6A6A6" w:sz="4"/>
              <w:right w:val="single" w:color="A6A6A6" w:sz="4"/>
            </w:tcBorders>
            <w:tcMar>
              <w:top w:type="dxa" w:w="45"/>
              <w:left w:type="dxa" w:w="90"/>
              <w:bottom w:type="dxa" w:w="45"/>
              <w:right w:type="dxa" w:w="90"/>
            </w:tcMar>
            <w:vAlign w:val="top"/>
          </w:tcPr>
          <w:p>
            <w:pPr>
              <w:spacing w:after="0" w:line="252"/>
            </w:pPr>
            <w:r>
              <w:rPr>
                <w:b w:val="false"/>
                <w:bCs w:val="false"/>
                <w:sz w:val="19"/>
                <w:szCs w:val="19"/>
              </w:rPr>
              <w:t xml:space="preserve">5 – Bypassable run-time defences</w:t>
            </w:r>
          </w:p>
        </w:tc>
        <w:tc>
          <w:tcPr>
            <w:tcW w:type="dxa" w:w="4400"/>
            <w:tcBorders>
              <w:top w:val="single" w:color="A6A6A6" w:sz="4"/>
              <w:left w:val="single" w:color="A6A6A6" w:sz="4"/>
              <w:bottom w:val="single" w:color="A6A6A6" w:sz="4"/>
              <w:right w:val="single" w:color="A6A6A6" w:sz="4"/>
            </w:tcBorders>
            <w:tcMar>
              <w:top w:type="dxa" w:w="45"/>
              <w:left w:type="dxa" w:w="90"/>
              <w:bottom w:type="dxa" w:w="45"/>
              <w:right w:type="dxa" w:w="90"/>
            </w:tcMar>
            <w:vAlign w:val="top"/>
          </w:tcPr>
          <w:p>
            <w:pPr>
              <w:spacing w:after="0" w:line="252"/>
            </w:pPr>
            <w:r>
              <w:rPr>
                <w:b w:val="false"/>
                <w:bCs w:val="false"/>
                <w:sz w:val="19"/>
                <w:szCs w:val="19"/>
              </w:rPr>
              <w:t xml:space="preserve">Layered guard: input validation, adversarial detection, drift monitoring and extraction-oriented query monitoring with retraining triggers</w:t>
            </w:r>
          </w:p>
        </w:tc>
        <w:tc>
          <w:tcPr>
            <w:tcW w:type="dxa" w:w="2626"/>
            <w:tcBorders>
              <w:top w:val="single" w:color="A6A6A6" w:sz="4"/>
              <w:left w:val="single" w:color="A6A6A6" w:sz="4"/>
              <w:bottom w:val="single" w:color="A6A6A6" w:sz="4"/>
              <w:right w:val="single" w:color="A6A6A6" w:sz="4"/>
            </w:tcBorders>
            <w:tcMar>
              <w:top w:type="dxa" w:w="45"/>
              <w:left w:type="dxa" w:w="90"/>
              <w:bottom w:type="dxa" w:w="45"/>
              <w:right w:type="dxa" w:w="90"/>
            </w:tcMar>
            <w:vAlign w:val="top"/>
          </w:tcPr>
          <w:p>
            <w:pPr>
              <w:spacing w:after="0" w:line="252"/>
            </w:pPr>
            <w:r>
              <w:rPr>
                <w:b w:val="false"/>
                <w:bCs w:val="false"/>
                <w:sz w:val="19"/>
                <w:szCs w:val="19"/>
              </w:rPr>
              <w:t xml:space="preserve">[15]–[19]</w:t>
            </w:r>
          </w:p>
        </w:tc>
      </w:tr>
      <w:tr>
        <w:tc>
          <w:tcPr>
            <w:tcW w:type="dxa" w:w="2000"/>
            <w:tcBorders>
              <w:top w:val="single" w:color="A6A6A6" w:sz="4"/>
              <w:left w:val="single" w:color="A6A6A6" w:sz="4"/>
              <w:bottom w:val="single" w:color="A6A6A6" w:sz="4"/>
              <w:right w:val="single" w:color="A6A6A6" w:sz="4"/>
            </w:tcBorders>
            <w:tcMar>
              <w:top w:type="dxa" w:w="45"/>
              <w:left w:type="dxa" w:w="90"/>
              <w:bottom w:type="dxa" w:w="45"/>
              <w:right w:type="dxa" w:w="90"/>
            </w:tcMar>
            <w:vAlign w:val="top"/>
          </w:tcPr>
          <w:p>
            <w:pPr>
              <w:spacing w:after="0" w:line="252"/>
            </w:pPr>
            <w:r>
              <w:rPr>
                <w:b w:val="false"/>
                <w:bCs w:val="false"/>
                <w:sz w:val="19"/>
                <w:szCs w:val="19"/>
              </w:rPr>
              <w:t xml:space="preserve">6 – Documentation vs evidence</w:t>
            </w:r>
          </w:p>
        </w:tc>
        <w:tc>
          <w:tcPr>
            <w:tcW w:type="dxa" w:w="4400"/>
            <w:tcBorders>
              <w:top w:val="single" w:color="A6A6A6" w:sz="4"/>
              <w:left w:val="single" w:color="A6A6A6" w:sz="4"/>
              <w:bottom w:val="single" w:color="A6A6A6" w:sz="4"/>
              <w:right w:val="single" w:color="A6A6A6" w:sz="4"/>
            </w:tcBorders>
            <w:tcMar>
              <w:top w:type="dxa" w:w="45"/>
              <w:left w:type="dxa" w:w="90"/>
              <w:bottom w:type="dxa" w:w="45"/>
              <w:right w:type="dxa" w:w="90"/>
            </w:tcMar>
            <w:vAlign w:val="top"/>
          </w:tcPr>
          <w:p>
            <w:pPr>
              <w:spacing w:after="0" w:line="252"/>
            </w:pPr>
            <w:r>
              <w:rPr>
                <w:b w:val="false"/>
                <w:bCs w:val="false"/>
                <w:sz w:val="19"/>
                <w:szCs w:val="19"/>
              </w:rPr>
              <w:t xml:space="preserve">Automatic model cards with security results and an evidence report mapped to EU AI Act articles and the NIST AI RMF</w:t>
            </w:r>
          </w:p>
        </w:tc>
        <w:tc>
          <w:tcPr>
            <w:tcW w:type="dxa" w:w="2626"/>
            <w:tcBorders>
              <w:top w:val="single" w:color="A6A6A6" w:sz="4"/>
              <w:left w:val="single" w:color="A6A6A6" w:sz="4"/>
              <w:bottom w:val="single" w:color="A6A6A6" w:sz="4"/>
              <w:right w:val="single" w:color="A6A6A6" w:sz="4"/>
            </w:tcBorders>
            <w:tcMar>
              <w:top w:type="dxa" w:w="45"/>
              <w:left w:type="dxa" w:w="90"/>
              <w:bottom w:type="dxa" w:w="45"/>
              <w:right w:type="dxa" w:w="90"/>
            </w:tcMar>
            <w:vAlign w:val="top"/>
          </w:tcPr>
          <w:p>
            <w:pPr>
              <w:spacing w:after="0" w:line="252"/>
            </w:pPr>
            <w:r>
              <w:rPr>
                <w:b w:val="false"/>
                <w:bCs w:val="false"/>
                <w:sz w:val="19"/>
                <w:szCs w:val="19"/>
              </w:rPr>
              <w:t xml:space="preserve">[20]</w:t>
            </w:r>
          </w:p>
        </w:tc>
      </w:tr>
    </w:tbl>
    <w:p>
      <w:pPr>
        <w:spacing w:after="120" w:line="300"/>
        <w:jc w:val="both"/>
      </w:pPr>
      <w:r>
        <w:t xml:space="preserve"/>
      </w:r>
    </w:p>
    <w:p>
      <w:pPr>
        <w:spacing w:after="120" w:line="300"/>
        <w:jc w:val="both"/>
      </w:pPr>
      <w:r>
        <w:t xml:space="preserve">A note on regulation: the project brief cites US Executive Order 14110, which was revoked in January 2025. The review therefore uses the EU AI Act and the NIST AI Risk Management Framework as the primary compliance references.</w:t>
      </w:r>
    </w:p>
    <w:p>
      <w:pPr>
        <w:pStyle w:val="Heading1"/>
      </w:pPr>
      <w:r>
        <w:t xml:space="preserve">7. Conclusion</w:t>
      </w:r>
    </w:p>
    <w:p>
      <w:pPr>
        <w:spacing w:after="120" w:line="300"/>
        <w:jc w:val="both"/>
      </w:pPr>
      <w:r>
        <w:t xml:space="preserve">The reviewed literature establishes that every stage of the AI supply chain can be attacked: web-scale datasets can be poisoned cheaply [2], pre-trained models can carry backdoors that survive fine-tuning [3], [4] or executable payloads [6], ML frameworks contain exploitable vulnerabilities [8], [9], and deployed models can be evaded, copied or silently degraded [15], [18], [19]. Effective defences exist for each individual threat, including signing [7], backdoor detection and repair [10]–[14], adversarial detection [17] and transparent documentation [20], but they operate in isolation and rest on assumptions that attackers can violate.</w:t>
      </w:r>
    </w:p>
    <w:p>
      <w:pPr>
        <w:spacing w:after="120" w:line="300"/>
        <w:jc w:val="both"/>
      </w:pPr>
      <w:r>
        <w:t xml:space="preserve">The main conclusion of this review is that AI supply chain security requires an integrated, lifecycle-wide approach that combines these defences and records verifiable evidence at each step. This is the contribution AISecGuard aims to make.</w:t>
      </w:r>
    </w:p>
    <w:p>
      <w:r>
        <w:br w:type="page"/>
      </w:r>
    </w:p>
    <w:p>
      <w:pPr>
        <w:pStyle w:val="Heading1"/>
      </w:pPr>
      <w:r>
        <w:t xml:space="preserve">References</w:t>
      </w:r>
    </w:p>
    <w:p>
      <w:pPr>
        <w:tabs>
          <w:tab w:val="left" w:pos="540"/>
        </w:tabs>
        <w:spacing w:after="100" w:line="276"/>
        <w:ind w:left="540" w:hanging="540"/>
      </w:pPr>
      <w:r>
        <w:rPr>
          <w:sz w:val="20"/>
          <w:szCs w:val="20"/>
        </w:rPr>
        <w:t xml:space="preserve">[1]	M. Goldblum et al., "Dataset security for machine learning: Data poisoning, backdoor attacks, and defenses," IEEE Trans. Pattern Anal. Mach. Intell., vol. 45, no. 2, 2023. [Online]. Available: https://arxiv.org/abs/2012.10544</w:t>
      </w:r>
    </w:p>
    <w:p>
      <w:pPr>
        <w:tabs>
          <w:tab w:val="left" w:pos="540"/>
        </w:tabs>
        <w:spacing w:after="100" w:line="276"/>
        <w:ind w:left="540" w:hanging="540"/>
      </w:pPr>
      <w:r>
        <w:rPr>
          <w:sz w:val="20"/>
          <w:szCs w:val="20"/>
        </w:rPr>
        <w:t xml:space="preserve">[2]	N. Carlini et al., "Poisoning web-scale training datasets is practical," in Proc. IEEE Symp. Security and Privacy (SP), 2024. [Online]. Available: https://arxiv.org/abs/2302.10149</w:t>
      </w:r>
    </w:p>
    <w:p>
      <w:pPr>
        <w:tabs>
          <w:tab w:val="left" w:pos="540"/>
        </w:tabs>
        <w:spacing w:after="100" w:line="276"/>
        <w:ind w:left="540" w:hanging="540"/>
      </w:pPr>
      <w:r>
        <w:rPr>
          <w:sz w:val="20"/>
          <w:szCs w:val="20"/>
        </w:rPr>
        <w:t xml:space="preserve">[3]	T. Gu, B. Dolan-Gavitt, and S. Garg, "BadNets: Identifying vulnerabilities in the machine learning model supply chain," arXiv:1708.06733, 2017.</w:t>
      </w:r>
    </w:p>
    <w:p>
      <w:pPr>
        <w:tabs>
          <w:tab w:val="left" w:pos="540"/>
        </w:tabs>
        <w:spacing w:after="100" w:line="276"/>
        <w:ind w:left="540" w:hanging="540"/>
      </w:pPr>
      <w:r>
        <w:rPr>
          <w:sz w:val="20"/>
          <w:szCs w:val="20"/>
        </w:rPr>
        <w:t xml:space="preserve">[4]	K. Kurita, P. Michel, and G. Neubig, "Weight poisoning attacks on pre-trained models," in Proc. 58th Annu. Meeting Assoc. Computational Linguistics (ACL), 2020. [Online]. Available: https://arxiv.org/abs/2004.06660</w:t>
      </w:r>
    </w:p>
    <w:p>
      <w:pPr>
        <w:tabs>
          <w:tab w:val="left" w:pos="540"/>
        </w:tabs>
        <w:spacing w:after="100" w:line="276"/>
        <w:ind w:left="540" w:hanging="540"/>
      </w:pPr>
      <w:r>
        <w:rPr>
          <w:sz w:val="20"/>
          <w:szCs w:val="20"/>
        </w:rPr>
        <w:t xml:space="preserve">[5]	W. Jiang et al., "An empirical study of pre-trained model reuse in the Hugging Face deep learning model registry," in Proc. IEEE/ACM 45th Int. Conf. Software Engineering (ICSE), 2023. [Online]. Available: https://arxiv.org/abs/2303.02552</w:t>
      </w:r>
    </w:p>
    <w:p>
      <w:pPr>
        <w:tabs>
          <w:tab w:val="left" w:pos="540"/>
        </w:tabs>
        <w:spacing w:after="100" w:line="276"/>
        <w:ind w:left="540" w:hanging="540"/>
      </w:pPr>
      <w:r>
        <w:rPr>
          <w:sz w:val="20"/>
          <w:szCs w:val="20"/>
        </w:rPr>
        <w:t xml:space="preserve">[6]	J. Zhao et al., "Models are codes: Towards measuring malicious code poisoning attacks on pre-trained model hubs," in Proc. 39th IEEE/ACM Int. Conf. Automated Software Engineering (ASE), 2024. [Online]. Available: https://arxiv.org/abs/2409.09368</w:t>
      </w:r>
    </w:p>
    <w:p>
      <w:pPr>
        <w:tabs>
          <w:tab w:val="left" w:pos="540"/>
        </w:tabs>
        <w:spacing w:after="100" w:line="276"/>
        <w:ind w:left="540" w:hanging="540"/>
      </w:pPr>
      <w:r>
        <w:rPr>
          <w:sz w:val="20"/>
          <w:szCs w:val="20"/>
        </w:rPr>
        <w:t xml:space="preserve">[7]	Z. Newman, J. S. Meyers, and S. Torres-Arias, "Sigstore: Software signing for everybody," in Proc. ACM SIGSAC Conf. Computer and Communications Security (CCS), 2022.</w:t>
      </w:r>
    </w:p>
    <w:p>
      <w:pPr>
        <w:tabs>
          <w:tab w:val="left" w:pos="540"/>
        </w:tabs>
        <w:spacing w:after="100" w:line="276"/>
        <w:ind w:left="540" w:hanging="540"/>
      </w:pPr>
      <w:r>
        <w:rPr>
          <w:sz w:val="20"/>
          <w:szCs w:val="20"/>
        </w:rPr>
        <w:t xml:space="preserve">[8]	Q. Xiao, K. Li, D. Zhang, and W. Xu, "Security risks in deep learning implementations," in Proc. IEEE Security and Privacy Workshops (SPW), 2018. [Online]. Available: https://arxiv.org/abs/1711.11008</w:t>
      </w:r>
    </w:p>
    <w:p>
      <w:pPr>
        <w:tabs>
          <w:tab w:val="left" w:pos="540"/>
        </w:tabs>
        <w:spacing w:after="100" w:line="276"/>
        <w:ind w:left="540" w:hanging="540"/>
      </w:pPr>
      <w:r>
        <w:rPr>
          <w:sz w:val="20"/>
          <w:szCs w:val="20"/>
        </w:rPr>
        <w:t xml:space="preserve">[9]	N. S. Harzevili et al., "Characterizing and understanding software security vulnerabilities in machine learning libraries," in Proc. IEEE/ACM 20th Int. Conf. Mining Software Repositories (MSR), 2023. [Online]. Available: https://arxiv.org/abs/2203.06502</w:t>
      </w:r>
    </w:p>
    <w:p>
      <w:pPr>
        <w:tabs>
          <w:tab w:val="left" w:pos="540"/>
        </w:tabs>
        <w:spacing w:after="100" w:line="276"/>
        <w:ind w:left="540" w:hanging="540"/>
      </w:pPr>
      <w:r>
        <w:rPr>
          <w:sz w:val="20"/>
          <w:szCs w:val="20"/>
        </w:rPr>
        <w:t xml:space="preserve">[10]	B. Wang et al., "Neural Cleanse: Identifying and mitigating backdoor attacks in neural networks," in Proc. IEEE Symp. Security and Privacy (SP), 2019.</w:t>
      </w:r>
    </w:p>
    <w:p>
      <w:pPr>
        <w:tabs>
          <w:tab w:val="left" w:pos="540"/>
        </w:tabs>
        <w:spacing w:after="100" w:line="276"/>
        <w:ind w:left="540" w:hanging="540"/>
      </w:pPr>
      <w:r>
        <w:rPr>
          <w:sz w:val="20"/>
          <w:szCs w:val="20"/>
        </w:rPr>
        <w:t xml:space="preserve">[11]	Y. Gao, C. Xu, D. Wang, S. Chen, D. C. Ranasinghe, and S. Nepal, "STRIP: A defence against trojan attacks on deep neural networks," in Proc. 35th Annu. Computer Security Applications Conf. (ACSAC), 2019. [Online]. Available: https://arxiv.org/abs/1902.06531</w:t>
      </w:r>
    </w:p>
    <w:p>
      <w:pPr>
        <w:tabs>
          <w:tab w:val="left" w:pos="540"/>
        </w:tabs>
        <w:spacing w:after="100" w:line="276"/>
        <w:ind w:left="540" w:hanging="540"/>
      </w:pPr>
      <w:r>
        <w:rPr>
          <w:sz w:val="20"/>
          <w:szCs w:val="20"/>
        </w:rPr>
        <w:t xml:space="preserve">[12]	B. Chen et al., "Detecting backdoor attacks on deep neural networks by activation clustering," in Proc. AAAI Workshop on Artificial Intelligence Safety (SafeAI), 2019. [Online]. Available: https://arxiv.org/abs/1811.03728</w:t>
      </w:r>
    </w:p>
    <w:p>
      <w:pPr>
        <w:tabs>
          <w:tab w:val="left" w:pos="540"/>
        </w:tabs>
        <w:spacing w:after="100" w:line="276"/>
        <w:ind w:left="540" w:hanging="540"/>
      </w:pPr>
      <w:r>
        <w:rPr>
          <w:sz w:val="20"/>
          <w:szCs w:val="20"/>
        </w:rPr>
        <w:t xml:space="preserve">[13]	B. Tran, J. Li, and A. Madry, "Spectral signatures in backdoor attacks," in Advances in Neural Information Processing Systems (NeurIPS), 2018. [Online]. Available: https://arxiv.org/abs/1811.00636</w:t>
      </w:r>
    </w:p>
    <w:p>
      <w:pPr>
        <w:tabs>
          <w:tab w:val="left" w:pos="540"/>
        </w:tabs>
        <w:spacing w:after="100" w:line="276"/>
        <w:ind w:left="540" w:hanging="540"/>
      </w:pPr>
      <w:r>
        <w:rPr>
          <w:sz w:val="20"/>
          <w:szCs w:val="20"/>
        </w:rPr>
        <w:t xml:space="preserve">[14]	K. Liu, B. Dolan-Gavitt, and S. Garg, "Fine-pruning: Defending against backdooring attacks on deep neural networks," in Proc. Int. Symp. Research in Attacks, Intrusions, and Defenses (RAID), 2018. [Online]. Available: https://arxiv.org/abs/1805.12185</w:t>
      </w:r>
    </w:p>
    <w:p>
      <w:pPr>
        <w:tabs>
          <w:tab w:val="left" w:pos="540"/>
        </w:tabs>
        <w:spacing w:after="100" w:line="276"/>
        <w:ind w:left="540" w:hanging="540"/>
      </w:pPr>
      <w:r>
        <w:rPr>
          <w:sz w:val="20"/>
          <w:szCs w:val="20"/>
        </w:rPr>
        <w:t xml:space="preserve">[15]	I. J. Goodfellow, J. Shlens, and C. Szegedy, "Explaining and harnessing adversarial examples," in Proc. Int. Conf. Learning Representations (ICLR), 2015. [Online]. Available: https://arxiv.org/abs/1412.6572</w:t>
      </w:r>
    </w:p>
    <w:p>
      <w:pPr>
        <w:tabs>
          <w:tab w:val="left" w:pos="540"/>
        </w:tabs>
        <w:spacing w:after="100" w:line="276"/>
        <w:ind w:left="540" w:hanging="540"/>
      </w:pPr>
      <w:r>
        <w:rPr>
          <w:sz w:val="20"/>
          <w:szCs w:val="20"/>
        </w:rPr>
        <w:t xml:space="preserve">[16]	A. Madry, A. Makelov, L. Schmidt, D. Tsipras, and A. Vladu, "Towards deep learning models resistant to adversarial attacks," in Proc. Int. Conf. Learning Representations (ICLR), 2018. [Online]. Available: https://arxiv.org/abs/1706.06083</w:t>
      </w:r>
    </w:p>
    <w:p>
      <w:pPr>
        <w:tabs>
          <w:tab w:val="left" w:pos="540"/>
        </w:tabs>
        <w:spacing w:after="100" w:line="276"/>
        <w:ind w:left="540" w:hanging="540"/>
      </w:pPr>
      <w:r>
        <w:rPr>
          <w:sz w:val="20"/>
          <w:szCs w:val="20"/>
        </w:rPr>
        <w:t xml:space="preserve">[17]	W. Xu, D. Evans, and Y. Qi, "Feature squeezing: Detecting adversarial examples in deep neural networks," in Proc. Network and Distributed System Security Symp. (NDSS), 2018. [Online]. Available: https://arxiv.org/abs/1704.01155</w:t>
      </w:r>
    </w:p>
    <w:p>
      <w:pPr>
        <w:tabs>
          <w:tab w:val="left" w:pos="540"/>
        </w:tabs>
        <w:spacing w:after="100" w:line="276"/>
        <w:ind w:left="540" w:hanging="540"/>
      </w:pPr>
      <w:r>
        <w:rPr>
          <w:sz w:val="20"/>
          <w:szCs w:val="20"/>
        </w:rPr>
        <w:t xml:space="preserve">[18]	F. Tramèr, F. Zhang, A. Juels, M. K. Reiter, and T. Ristenpart, "Stealing machine learning models via prediction APIs," in Proc. 25th USENIX Security Symp., 2016. [Online]. Available: https://arxiv.org/abs/1609.02943</w:t>
      </w:r>
    </w:p>
    <w:p>
      <w:pPr>
        <w:tabs>
          <w:tab w:val="left" w:pos="540"/>
        </w:tabs>
        <w:spacing w:after="100" w:line="276"/>
        <w:ind w:left="540" w:hanging="540"/>
      </w:pPr>
      <w:r>
        <w:rPr>
          <w:sz w:val="20"/>
          <w:szCs w:val="20"/>
        </w:rPr>
        <w:t xml:space="preserve">[19]	S. Rabanser, S. Günnemann, and Z. C. Lipton, "Failing loudly: An empirical study of methods for detecting dataset shift," in Advances in Neural Information Processing Systems (NeurIPS), 2019. [Online]. Available: https://arxiv.org/abs/1810.11953</w:t>
      </w:r>
    </w:p>
    <w:p>
      <w:pPr>
        <w:tabs>
          <w:tab w:val="left" w:pos="540"/>
        </w:tabs>
        <w:spacing w:after="100" w:line="276"/>
        <w:ind w:left="540" w:hanging="540"/>
      </w:pPr>
      <w:r>
        <w:rPr>
          <w:sz w:val="20"/>
          <w:szCs w:val="20"/>
        </w:rPr>
        <w:t xml:space="preserve">[20]	M. Mitchell et al., "Model cards for model reporting," in Proc. Conf. Fairness, Accountability, and Transparency (FAT*), 2019. [Online]. Available: https://arxiv.org/abs/1810.03993</w:t>
      </w:r>
    </w:p>
    <w:sectPr>
      <w:headerReference w:type="default" r:id="rId11"/>
      <w:footerReference w:type="default" r:id="rId12"/>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sz w:val="18"/>
        <w:szCs w:val="18"/>
      </w:rPr>
      <w:fldChar w:fldCharType="begin"/>
      <w:instrText xml:space="preserve">PAGE</w:instrText>
      <w:fldChar w:fldCharType="separate"/>
      <w:fldChar w:fldCharType="end"/>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sz w:val="18"/>
        <w:szCs w:val="18"/>
      </w:rPr>
      <w:fldChar w:fldCharType="begin"/>
      <w:instrText xml:space="preserve">PAGE</w:instrText>
      <w:fldChar w:fldCharType="separate"/>
      <w:fldChar w:fldCharType="end"/>
    </w:r>
  </w:p>
</w:ftr>
</file>

<file path=word/footer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sz w:val="18"/>
        <w:szCs w:val="18"/>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color w:val="7F7F7F"/>
        <w:sz w:val="18"/>
        <w:szCs w:val="18"/>
      </w:rPr>
      <w:t xml:space="preserve">Literature Review – AISecGuard</w:t>
    </w: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color w:val="7F7F7F"/>
        <w:sz w:val="18"/>
        <w:szCs w:val="18"/>
      </w:rPr>
      <w:t xml:space="preserve">Literature Review – AISecGuard</w:t>
    </w:r>
  </w:p>
</w:hdr>
</file>

<file path=word/header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color w:val="7F7F7F"/>
        <w:sz w:val="18"/>
        <w:szCs w:val="18"/>
      </w:rPr>
      <w:t xml:space="preserve">Literature Review – AISecGuard</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40" w:hanging="27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80" w:before="360"/>
      <w:outlineLvl w:val="0"/>
    </w:pPr>
    <w:rPr>
      <w:rFonts w:ascii="Calibri" w:cs="Calibri" w:eastAsia="Calibri" w:hAnsi="Calibri"/>
      <w:b/>
      <w:bCs/>
      <w:color w:val="1F3864"/>
      <w:sz w:val="32"/>
      <w:szCs w:val="32"/>
    </w:rPr>
  </w:style>
  <w:style w:type="paragraph" w:styleId="Heading2">
    <w:name w:val="Heading 2"/>
    <w:basedOn w:val="Normal"/>
    <w:next w:val="Normal"/>
    <w:qFormat/>
    <w:pPr>
      <w:spacing w:after="120" w:before="280"/>
      <w:outlineLvl w:val="1"/>
    </w:pPr>
    <w:rPr>
      <w:rFonts w:ascii="Calibri" w:cs="Calibri" w:eastAsia="Calibri" w:hAnsi="Calibri"/>
      <w:b/>
      <w:bCs/>
      <w:color w:val="1F3864"/>
      <w:sz w:val="26"/>
      <w:szCs w:val="26"/>
    </w:rPr>
  </w:style>
  <w:style w:type="paragraph" w:styleId="Heading3">
    <w:name w:val="Heading 3"/>
    <w:basedOn w:val="Normal"/>
    <w:next w:val="Normal"/>
    <w:qFormat/>
    <w:pPr>
      <w:keepNext/>
      <w:spacing w:after="60" w:before="220"/>
      <w:outlineLvl w:val="2"/>
    </w:pPr>
    <w:rPr>
      <w:rFonts w:ascii="Calibri" w:cs="Calibri" w:eastAsia="Calibri" w:hAnsi="Calibri"/>
      <w:b/>
      <w:bCs/>
      <w:color w:val="000000"/>
      <w:sz w:val="23"/>
      <w:szCs w:val="23"/>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header" Target="header2.xml"/><Relationship Id="rId10" Type="http://schemas.openxmlformats.org/officeDocument/2006/relationships/footer" Target="footer2.xml"/><Relationship Id="rId11" Type="http://schemas.openxmlformats.org/officeDocument/2006/relationships/header" Target="header3.xml"/><Relationship Id="rId12" Type="http://schemas.openxmlformats.org/officeDocument/2006/relationships/footer" Target="footer3.xml"/><Relationship Id="rId13"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er2.xml.rels><?xml version="1.0" encoding="UTF-8"?><Relationships xmlns="http://schemas.openxmlformats.org/package/2006/relationships"/>
</file>

<file path=word/_rels/footer3.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word/_rels/header2.xml.rels><?xml version="1.0" encoding="UTF-8"?><Relationships xmlns="http://schemas.openxmlformats.org/package/2006/relationships"/>
</file>

<file path=word/_rels/header3.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Literature Review – AISecGuard</dc:title>
  <dc:creator>AISecGuard project</dc:creator>
  <cp:lastModifiedBy>Un-named</cp:lastModifiedBy>
  <cp:revision>1</cp:revision>
  <dcterms:created xsi:type="dcterms:W3CDTF">2026-10-04T10:34:50.254Z</dcterms:created>
  <dcterms:modified xsi:type="dcterms:W3CDTF">2026-10-04T10:34:50.255Z</dcterms:modified>
</cp:coreProperties>
</file>

<file path=docProps/custom.xml><?xml version="1.0" encoding="utf-8"?>
<Properties xmlns="http://schemas.openxmlformats.org/officeDocument/2006/custom-properties" xmlns:vt="http://schemas.openxmlformats.org/officeDocument/2006/docPropsVTypes"/>
</file>