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4C46"/>
          <w:sz w:val="40"/>
          <w:szCs w:val="40"/>
        </w:rPr>
        <w:t xml:space="preserve">Hard Stop 4: Midpoint Technical Evidence Review</w:t>
      </w:r>
    </w:p>
    <w:p>
      <w:pPr>
        <w:spacing w:after="110" w:before="70" w:line="262"/>
      </w:pPr>
      <w:r>
        <w:rPr>
          <w:rFonts w:ascii="Calibri" w:cs="Calibri" w:eastAsia="Calibri" w:hAnsi="Calibri"/>
          <w:i/>
          <w:iCs/>
          <w:sz w:val="24"/>
          <w:szCs w:val="24"/>
        </w:rPr>
        <w:t xml:space="preserve">Does the scoring formula or the weighting method limit routing correctness? A pre-registered ablation for RescueNet</w:t>
      </w:r>
    </w:p>
    <w:p>
      <w:pPr>
        <w:spacing w:after="110" w:before="70" w:line="262"/>
      </w:pPr>
      <w:r>
        <w:rPr>
          <w:rFonts w:ascii="Calibri" w:cs="Calibri" w:eastAsia="Calibri" w:hAnsi="Calibri"/>
          <w:b/>
          <w:bCs/>
          <w:sz w:val="21"/>
          <w:szCs w:val="21"/>
        </w:rPr>
        <w:t xml:space="preserve">Instructor: </w:t>
      </w:r>
      <w:r>
        <w:rPr>
          <w:rFonts w:ascii="Calibri" w:cs="Calibri" w:eastAsia="Calibri" w:hAnsi="Calibri"/>
          <w:sz w:val="21"/>
          <w:szCs w:val="21"/>
        </w:rPr>
        <w:t xml:space="preserve">Majid Shaalan, Ph.D.   </w:t>
      </w:r>
      <w:r>
        <w:rPr>
          <w:rFonts w:ascii="Calibri" w:cs="Calibri" w:eastAsia="Calibri" w:hAnsi="Calibri"/>
          <w:b/>
          <w:bCs/>
          <w:sz w:val="21"/>
          <w:szCs w:val="21"/>
        </w:rPr>
        <w:t xml:space="preserve">Course: </w:t>
      </w:r>
      <w:r>
        <w:rPr>
          <w:rFonts w:ascii="Calibri" w:cs="Calibri" w:eastAsia="Calibri" w:hAnsi="Calibri"/>
          <w:sz w:val="21"/>
          <w:szCs w:val="21"/>
        </w:rPr>
        <w:t xml:space="preserve">CISC 699   </w:t>
      </w:r>
      <w:r>
        <w:rPr>
          <w:rFonts w:ascii="Calibri" w:cs="Calibri" w:eastAsia="Calibri" w:hAnsi="Calibri"/>
          <w:b/>
          <w:bCs/>
          <w:sz w:val="21"/>
          <w:szCs w:val="21"/>
        </w:rPr>
        <w:t xml:space="preserve">Student: </w:t>
      </w:r>
      <w:r>
        <w:rPr>
          <w:rFonts w:ascii="Calibri" w:cs="Calibri" w:eastAsia="Calibri" w:hAnsi="Calibri"/>
          <w:sz w:val="21"/>
          <w:szCs w:val="21"/>
        </w:rPr>
        <w:t xml:space="preserve">Manoj Venkatachalaiah   </w:t>
      </w:r>
      <w:r>
        <w:rPr>
          <w:rFonts w:ascii="Calibri" w:cs="Calibri" w:eastAsia="Calibri" w:hAnsi="Calibri"/>
          <w:b/>
          <w:bCs/>
          <w:sz w:val="21"/>
          <w:szCs w:val="21"/>
        </w:rPr>
        <w:t xml:space="preserve">Prepared: </w:t>
      </w:r>
      <w:r>
        <w:rPr>
          <w:rFonts w:ascii="Calibri" w:cs="Calibri" w:eastAsia="Calibri" w:hAnsi="Calibri"/>
          <w:sz w:val="21"/>
          <w:szCs w:val="21"/>
        </w:rPr>
        <w:t xml:space="preserve">October 25, 2026   </w:t>
      </w: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https://github.com/manojvprimary/rescuenet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9720"/>
      </w:tblGrid>
      <w:tr>
        <w:trPr>
          <w:cantSplit/>
          <w:tblHeader/>
        </w:trPr>
        <w:tc>
          <w:tcPr>
            <w:tcW w:type="dxa" w:w="9720"/>
            <w:shd w:fill="FFF1D6" w:val="clear"/>
            <w:tcMar>
              <w:top w:type="dxa" w:w="45"/>
              <w:left w:type="dxa" w:w="85"/>
              <w:bottom w:type="dxa" w:w="45"/>
              <w:right w:type="dxa" w:w="85"/>
            </w:tcMar>
          </w:tcPr>
          <w:p>
            <w:pPr>
              <w:spacing w:after="20"/>
            </w:pPr>
            <w:r>
              <w:rPr>
                <w:rFonts w:ascii="Calibri" w:cs="Calibri" w:eastAsia="Calibri" w:hAnsi="Calibri"/>
                <w:b/>
                <w:bCs/>
                <w:sz w:val="18"/>
                <w:szCs w:val="18"/>
              </w:rPr>
              <w:t xml:space="preserve">What is in this submission: this document; the repository named in Section 8; and the clean-clone evidence file docs/evidence/sprint-4/node20-ablation.txt. The student-review record in Section 1.3 is the student's own writing.</w:t>
            </w:r>
          </w:p>
        </w:tc>
      </w:tr>
    </w:tbl>
    <w:p>
      <w:pPr>
        <w:pStyle w:val="Heading1"/>
        <w:keepNext/>
        <w:spacing w:after="120" w:before="280"/>
      </w:pPr>
      <w:r>
        <w:rPr>
          <w:rFonts w:ascii="Calibri" w:cs="Calibri" w:eastAsia="Calibri" w:hAnsi="Calibri"/>
          <w:b/>
          <w:bCs/>
          <w:color w:val="0F4C46"/>
          <w:sz w:val="30"/>
          <w:szCs w:val="30"/>
        </w:rPr>
        <w:t xml:space="preserve">1. AI Usage Log and Academic Integrity</w:t>
      </w:r>
    </w:p>
    <w:p>
      <w:pPr>
        <w:spacing w:after="110" w:before="70" w:line="262"/>
      </w:pPr>
      <w:r>
        <w:rPr>
          <w:rFonts w:ascii="Calibri" w:cs="Calibri" w:eastAsia="Calibri" w:hAnsi="Calibri"/>
          <w:sz w:val="21"/>
          <w:szCs w:val="21"/>
        </w:rPr>
        <w:t xml:space="preserve">This section leads and carries the most weight in the rubric, so it separates what the AI did, what the student decided, and what the student checked. The full cumulative log is in Appendix A; the two entries for this assignment follow.</w:t>
      </w:r>
    </w:p>
    <w:p>
      <w:pPr>
        <w:keepNext/>
        <w:spacing w:after="60" w:before="160"/>
      </w:pPr>
      <w:r>
        <w:rPr>
          <w:rFonts w:ascii="Calibri" w:cs="Calibri" w:eastAsia="Calibri" w:hAnsi="Calibri"/>
          <w:b/>
          <w:bCs/>
          <w:sz w:val="22"/>
          <w:szCs w:val="22"/>
        </w:rPr>
        <w:t xml:space="preserve">Entry 24 — Hard Stop 4: Pre-Registered Ablation, Second Case Set, and Live Calls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8 (2026-10-25), Hard Stop 4</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Answer the question the Hard Stop 3 feedback left open (does the scoring formula or the weighting method limit routing correctness?) with a controlled, pre-registered ablation.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Write eight new evaluation cases and their annotations; run 32 live Bedrock calls (8 frozen v1 profiles, 24 temperature-0 classifier calls); write the pre-registration (question, 4x4 design, hypotheses, decision rules, limits); implement the grid runner, its statistics (exact sign test, Wilson intervals) and 14 tests on synthetic inputs; run it; run a labelled post-hoc variant; capture clean-clone evidence. AI-generated cases, annotations, formula variants, code, and analysis.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eval/fixtures-set2/, eval/annotations-set2.json, docs/ABLATION_PREREGISTRATION.md, eval/ablation.ts, scripts/run-ablation.ts, eval/results/ablation*.json, docs/evidence/sprint-4/.</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Hard Stop 4 package; KI-11 (now tested); the backlog items B-01 and B-02.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Order of events is recorded in git: set-2 cases and annotations were committed (fe064ca) before any ablation code, and the pre-registration with the runner (70c3835) before any result; the run itself used only committed files. The runner's production formula is pinned to the arbitrator's scoring by a test; tests used synthetic inputs only so no result was visible before the pre-registration. Clean-clone evidence under Node 20: 122 tests pass and three runs give identical result hashes for both the pre-registered and the post-hoc variants; both annotation files are byte-identical to the commits that added them. Problems found: the zero-slot bid in set-1 case SYN-04 is one the tier-1 agent never sends in production (found from the ablation output and confirmed in the code; reported, not edited); the clean-clone script initially printed empty hash lines because the runner mishandled absolute output paths (found by reading the output, fixed, re-run). Limits stated in the document: the formula variants and the set-2 cases were written by the same AI and aimed at the same trade-offs, so a good score for them is a lead, not independent validation.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read the eight set-2 annotations and replied "approve all" (recorded in docs/evidence/sprint-4/annotation-approval.txt); no change was requested. The student was not told the number or cost of the 32 live Bedrock calls (about $0.20) before they were made; the AI ran them under the student's general "go" and reported them afterwards. The student then reviewed five highest-risk areas in a chat session, item by item, with replies recorded verbatim in docs/evidence/sprint-4/student-review-record.md: items 1 to 4 (scoring function, weight blend and fallback, classifier path, harness tie rule) were answered in detail and led to decisions and issues KI-23 and KI-24; item 5 (the ablation and five AHP judgments) was answered with a general approval only.</w:t>
            </w:r>
          </w:p>
        </w:tc>
      </w:tr>
    </w:tbl>
    <w:p>
      <w:pPr>
        <w:keepNext/>
        <w:spacing w:after="60" w:before="160"/>
      </w:pPr>
      <w:r>
        <w:rPr>
          <w:rFonts w:ascii="Calibri" w:cs="Calibri" w:eastAsia="Calibri" w:hAnsi="Calibri"/>
          <w:b/>
          <w:bCs/>
          <w:sz w:val="22"/>
          <w:szCs w:val="22"/>
        </w:rPr>
        <w:t xml:space="preserve">Entry 25 — Hard Stop 4 Technical Evidence Review (This Document)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8 (2026-10-25), Hard Stop 4</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evidence review from the repository's own files.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the document, its figures and tables from the committed results (eval/results/ablation*.json, docs/evidence/sprint-4/, the measurement and midpoint files). Every number in the tables is read from a file by the generator. AI-generated text, tables, and figures.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submitted document.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the engineering log (Week 8).</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were rendered and inspected; headline numbers were cross-checked against the clean-clone evidence file. The student-review section contains only what the student wrote; it is not filled in by the AI.</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student-review section contains the student's replies exactly as typed. The student set the decisions listed in Section 1.4 of the document. Any other edits the student makes after this entry was written are not reflected here.</w:t>
            </w:r>
          </w:p>
        </w:tc>
      </w:tr>
    </w:tbl>
    <w:p>
      <w:pPr>
        <w:pStyle w:val="Heading2"/>
        <w:keepNext/>
        <w:spacing w:after="80" w:before="200"/>
      </w:pPr>
      <w:r>
        <w:rPr>
          <w:rFonts w:ascii="Calibri" w:cs="Calibri" w:eastAsia="Calibri" w:hAnsi="Calibri"/>
          <w:b/>
          <w:bCs/>
          <w:color w:val="0F4C46"/>
          <w:sz w:val="24"/>
          <w:szCs w:val="24"/>
        </w:rPr>
        <w:t xml:space="preserve">1.1 What the AI did and what the student decided</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600"/>
        <w:gridCol w:w="2400"/>
        <w:gridCol w:w="3720"/>
      </w:tblGrid>
      <w:tr>
        <w:trPr>
          <w:cantSplit/>
          <w:tblHeader/>
        </w:trPr>
        <w:tc>
          <w:tcPr>
            <w:tcW w:type="dxa" w:w="36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Decision or step</w:t>
            </w:r>
          </w:p>
        </w:tc>
        <w:tc>
          <w:tcPr>
            <w:tcW w:type="dxa" w:w="24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Who</w:t>
            </w:r>
          </w:p>
        </w:tc>
        <w:tc>
          <w:tcPr>
            <w:tcW w:type="dxa" w:w="37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Basis</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central question (formula versus weights)</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 proposed, student accepted</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instructor's Priority 4 and my own Hard Stop 3 hypothesis</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four formula variants and four weighting methods</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known capacity double count (KI-11) and the uncalibrated distance constant (R-07); not shelter-expert judgments</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Eight new cases and their annotations</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 wrote; student read all eight and approved</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Chat reply "approve all", recorded with the file hash in docs/evidence/sprint-4/annotation-approval.txt; no edits requested</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pre-registration and decision rules</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 wrote; committed before any result</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Commit 70c3835</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All code, tests, and this document</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Verified by execution (Section 8), not by line-by-line reading</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Student-led code review (Section 1.3)</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Student (replies verbatim)</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Items 1 to 4 answered in detail and led to decisions and issues; item 5 (ablation and five AHP pairs) was answered "item 5 looks good to me" with no pair-by-pair justification</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AHP judgments (from Hard Stop 3)</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 proposed, student adopted</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Unchanged since Hard Stop 3; the five weakest pairs were not individually reviewed</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Live Bedrock calls (32, about $0.20)</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AI ran</w:t>
            </w:r>
          </w:p>
        </w:tc>
        <w:tc>
          <w:tcPr>
            <w:tcW w:type="dxa" w:w="3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Run under the student's general "go" for this assignment. The AI did not tell the student the count or cost beforehand and reported it afterwards; nothing was deployed</w:t>
            </w:r>
          </w:p>
        </w:tc>
      </w:tr>
    </w:tbl>
    <w:p>
      <w:pPr>
        <w:pStyle w:val="Heading2"/>
        <w:keepNext/>
        <w:spacing w:after="80" w:before="200"/>
      </w:pPr>
      <w:r>
        <w:rPr>
          <w:rFonts w:ascii="Calibri" w:cs="Calibri" w:eastAsia="Calibri" w:hAnsi="Calibri"/>
          <w:b/>
          <w:bCs/>
          <w:color w:val="0F4C46"/>
          <w:sz w:val="24"/>
          <w:szCs w:val="24"/>
        </w:rPr>
        <w:t xml:space="preserve">1.2 Errors the AI made, and how they were found</w:t>
      </w:r>
    </w:p>
    <w:p>
      <w:pPr>
        <w:pStyle w:val="ListParagraph"/>
        <w:numPr>
          <w:ilvl w:val="0"/>
          <w:numId w:val="2"/>
        </w:numPr>
        <w:spacing w:after="60" w:line="255"/>
      </w:pPr>
      <w:r>
        <w:rPr>
          <w:rFonts w:ascii="Calibri" w:cs="Calibri" w:eastAsia="Calibri" w:hAnsi="Calibri"/>
          <w:sz w:val="21"/>
          <w:szCs w:val="21"/>
        </w:rPr>
        <w:t xml:space="preserve">A fixture (SYN-04, written for Hard Stop 2) includes a shelter bid with zero open slots that the tier-1 agent never sends in production. I found it from the ablation output (under capacity-once formulas the empty shelter won), confirmed it in lambda/tier1-agent/index.ts (the "No available slots" rule), left the fixture unchanged because it was pre-registered, and added a clearly labelled post-hoc variant.</w:t>
      </w:r>
    </w:p>
    <w:p>
      <w:pPr>
        <w:pStyle w:val="ListParagraph"/>
        <w:numPr>
          <w:ilvl w:val="0"/>
          <w:numId w:val="2"/>
        </w:numPr>
        <w:spacing w:after="60" w:line="255"/>
      </w:pPr>
      <w:r>
        <w:rPr>
          <w:rFonts w:ascii="Calibri" w:cs="Calibri" w:eastAsia="Calibri" w:hAnsi="Calibri"/>
          <w:sz w:val="21"/>
          <w:szCs w:val="21"/>
        </w:rPr>
        <w:t xml:space="preserve">The clean-clone script printed empty hash lines the first time: the runner joined an absolute output path onto the repository path. I found it by reading the captured output rather than trusting the exit code, fixed it, and re-ran the capture.</w:t>
      </w:r>
    </w:p>
    <w:p>
      <w:pPr>
        <w:pStyle w:val="ListParagraph"/>
        <w:numPr>
          <w:ilvl w:val="0"/>
          <w:numId w:val="2"/>
        </w:numPr>
        <w:spacing w:after="60" w:line="255"/>
      </w:pPr>
      <w:r>
        <w:rPr>
          <w:rFonts w:ascii="Calibri" w:cs="Calibri" w:eastAsia="Calibri" w:hAnsi="Calibri"/>
          <w:sz w:val="21"/>
          <w:szCs w:val="21"/>
        </w:rPr>
        <w:t xml:space="preserve">Design risk I could not remove: I wrote the formula variants and the second case set, so they share an author and aim at the same trade-offs. The document says so wherever it matters (Sections 5 and 6).</w:t>
      </w:r>
    </w:p>
    <w:p>
      <w:pPr>
        <w:pStyle w:val="Heading2"/>
        <w:keepNext/>
        <w:spacing w:after="80" w:before="200"/>
      </w:pPr>
      <w:r>
        <w:rPr>
          <w:rFonts w:ascii="Calibri" w:cs="Calibri" w:eastAsia="Calibri" w:hAnsi="Calibri"/>
          <w:b/>
          <w:bCs/>
          <w:color w:val="0F4C46"/>
          <w:sz w:val="24"/>
          <w:szCs w:val="24"/>
        </w:rPr>
        <w:t xml:space="preserve">1.3 Student-led review record</w:t>
      </w:r>
    </w:p>
    <w:p>
      <w:pPr>
        <w:spacing w:after="110" w:before="70" w:line="262"/>
      </w:pPr>
      <w:r>
        <w:rPr>
          <w:rFonts w:ascii="Calibri" w:cs="Calibri" w:eastAsia="Calibri" w:hAnsi="Calibri"/>
          <w:sz w:val="21"/>
          <w:szCs w:val="21"/>
        </w:rPr>
        <w:t xml:space="preserve">The student reviewed the highest-risk code in a chat session on 2026-10-25, one item at a time. For each item the AI showed a short piece of code and asked questions; the student answered in their own words. The student's replies below are copied exactly as typed (including questions they asked back). Notes in italics are the AI's clarifications, not the student's. The full record is docs/evidence/sprint-4/student-review-record.md.</w:t>
      </w:r>
    </w:p>
    <w:p>
      <w:pPr>
        <w:keepNext/>
        <w:spacing w:after="50" w:before="140"/>
      </w:pPr>
      <w:r>
        <w:rPr>
          <w:rFonts w:ascii="Calibri" w:cs="Calibri" w:eastAsia="Calibri" w:hAnsi="Calibri"/>
          <w:b/>
          <w:bCs/>
          <w:sz w:val="22"/>
          <w:szCs w:val="22"/>
        </w:rPr>
        <w:t xml:space="preserve">Item 1: scoring function (`lambda/shared/match.ts`, `computeMatchScore`)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60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Question the AI asked</w:t>
            </w:r>
          </w:p>
        </w:tc>
        <w:tc>
          <w:tcPr>
            <w:tcW w:type="dxa" w:w="60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The student's reply (verbatim)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 slots count twice (inside pickup urgency and again as long-term care). Does that make sense? What would you change?</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"lets count it once so it's not skewed"</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result is multiplied by confidence and a freshness factor (STATIC = 0.55). Reasonable, or can it override the weights?</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(asked back as a question) "whats a confidence score for a shelter where do we get it from?"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 shelter that can only arrange a vet scores 0.6 against 1.0 for one with a vet on site. Defensible for an injured animal?</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(asked back as a question) "shouldn't other factors like injuries dictate this? are we using static weights and not having the agent "smartly" manage them?"</w:t>
            </w:r>
          </w:p>
        </w:tc>
      </w:tr>
    </w:tbl>
    <w:p>
      <w:pPr>
        <w:spacing w:after="110" w:before="70" w:line="262"/>
      </w:pPr>
      <w:r>
        <w:rPr>
          <w:rFonts w:ascii="Calibri" w:cs="Calibri" w:eastAsia="Calibri" w:hAnsi="Calibri"/>
          <w:i/>
          <w:iCs/>
          <w:sz w:val="18"/>
          <w:szCs w:val="18"/>
        </w:rPr>
        <w:t xml:space="preserve">AI (not the student): the tier-1 `confidence` and `estimatedIntakeWindowMinutes` come from a Bedrock call whose prompt gives the shelter's live facts (slots, vet, species, distance/radius) and the case's needs profile and summary, and shows an example reply of 0.92 and 20; there is no knowledge base, no shelter history, no definition of "confidence", no calibration, and no temperature set. Tier-2 (Slack) shelters use a fixed 0.78 and 45 minutes. Freshness is LIVE for tier 1 and HUMAN for tier 2; SYNCED and STATIC are never assigned in the code. The net effect is that Slack shelters start roughly 25 to 30 percent behind.</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60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Student, on</w:t>
            </w:r>
          </w:p>
        </w:tc>
        <w:tc>
          <w:tcPr>
            <w:tcW w:type="dxa" w:w="60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Reply (verbatim)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whether the confidence number is acceptable</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"what's a guess here? is it an informed decision the agent makes against a knowledge base or a prompt we set up? if yes then that works, if it's a random guess then no. slack starting 30% behind is ok"</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fixed constants versus agent-generated weights</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"lets keep it fixed for now and keep looking into agent generated weights and how we can reproduce them"</w:t>
            </w:r>
          </w:p>
        </w:tc>
      </w:tr>
    </w:tbl>
    <w:p>
      <w:pPr>
        <w:spacing w:after="110" w:before="70" w:line="262"/>
      </w:pPr>
      <w:r>
        <w:rPr>
          <w:rFonts w:ascii="Calibri" w:cs="Calibri" w:eastAsia="Calibri" w:hAnsi="Calibri"/>
          <w:i/>
          <w:iCs/>
          <w:sz w:val="18"/>
          <w:szCs w:val="18"/>
        </w:rPr>
        <w:t xml:space="preserve">Student decisions recorded: count open capacity once in a future formula change; keep the formula's constants fixed for now; Slack shelters starting about 30 percent behind is acceptable; investigate agent-generated weights and their reproducibility.</w:t>
      </w:r>
    </w:p>
    <w:p>
      <w:pPr>
        <w:keepNext/>
        <w:spacing w:after="50" w:before="140"/>
      </w:pPr>
      <w:r>
        <w:rPr>
          <w:rFonts w:ascii="Calibri" w:cs="Calibri" w:eastAsia="Calibri" w:hAnsi="Calibri"/>
          <w:b/>
          <w:bCs/>
          <w:sz w:val="22"/>
          <w:szCs w:val="22"/>
        </w:rPr>
        <w:t xml:space="preserve">Item 2: weight blend and fallback (`lambda/shared/weights.ts`, `deriveWeights`)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60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Question the AI asked</w:t>
            </w:r>
          </w:p>
        </w:tc>
        <w:tc>
          <w:tcPr>
            <w:tcW w:type="dxa" w:w="60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The student's reply (verbatim)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fallback for unusable classifier output is the least urgent type (STABLE_ROUTINE). Is that the right safe default? What would you choose?</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"how do we stop it from returning garbage? i would treat a case we dont have visibility into at highest severity. better to be safe than sorry"</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Probabilities that do not sum to 1 are silently rescaled. OK, or a failure?</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 to rescale them as long as the original ratios are retained"</w:t>
            </w:r>
          </w:p>
        </w:tc>
      </w:tr>
    </w:tbl>
    <w:p>
      <w:pPr>
        <w:spacing w:after="110" w:before="70" w:line="262"/>
      </w:pPr>
      <w:r>
        <w:rPr>
          <w:rFonts w:ascii="Calibri" w:cs="Calibri" w:eastAsia="Calibri" w:hAnsi="Calibri"/>
          <w:i/>
          <w:iCs/>
          <w:sz w:val="18"/>
          <w:szCs w:val="18"/>
        </w:rPr>
        <w:t xml:space="preserve">Student decision recorded: when the classifier output is unusable, treat the case as highest severity (INJURED_CRITICAL), not as STABLE_ROUTINE. This reverses the design in Hard Stop 2, Section 5.3, and is not yet implemented: it will change `FALLBACK_ARCHETYPE`, the SYN-08 expectation, the tests, and the deployed function. Rescaling is acceptable because dividing by the total keeps the ratios exactly.</w:t>
      </w:r>
    </w:p>
    <w:p>
      <w:pPr>
        <w:keepNext/>
        <w:spacing w:after="50" w:before="140"/>
      </w:pPr>
      <w:r>
        <w:rPr>
          <w:rFonts w:ascii="Calibri" w:cs="Calibri" w:eastAsia="Calibri" w:hAnsi="Calibri"/>
          <w:b/>
          <w:bCs/>
          <w:sz w:val="22"/>
          <w:szCs w:val="22"/>
        </w:rPr>
        <w:t xml:space="preserve">Item 3: the classifier path (`needs-profile` v2, `parseClassifierResponse`, and the failure handling)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60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Question the AI asked</w:t>
            </w:r>
          </w:p>
        </w:tc>
        <w:tc>
          <w:tcPr>
            <w:tcW w:type="dxa" w:w="60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The student's reply (verbatim)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parser rejects `accepts_species:Dog` (capital D) and discards the whole response. Too strict, about right, or too loose?</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this is alright for now, but we should look into temporary options where a shelter that wouldn't normally take in dogs would be willing to at least treat injuries if any or hold for a while until another shelter confirms they can take it in"</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On failure the fallback looks for injuries only in the photo analysis, so a text-only report ("bleeding, can't stand") would not require a vet. Should a failed classifier always require a vet?</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"not a failed classifier but can we not do only photo analysis - it's the whole reason we have free text input"</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If the AI call hangs, the function times out and the arbitrator falls back to a hard-coded profile with no constraints. Acceptable?</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"acceptable"</w:t>
            </w:r>
          </w:p>
        </w:tc>
      </w:tr>
    </w:tbl>
    <w:p>
      <w:pPr>
        <w:spacing w:after="110" w:before="70" w:line="262"/>
      </w:pPr>
      <w:r>
        <w:rPr>
          <w:rFonts w:ascii="Calibri" w:cs="Calibri" w:eastAsia="Calibri" w:hAnsi="Calibri"/>
          <w:i/>
          <w:iCs/>
          <w:sz w:val="18"/>
          <w:szCs w:val="18"/>
        </w:rPr>
        <w:t xml:space="preserve">Student decisions recorded: the strict parser is acceptable for now. Future idea raised by the student: temporary emergency options, where a shelter that would not normally take a species can treat injuries or hold the animal until a suitable shelter confirms. Injury detection must not depend only on photo analysis: free text must count, because free text is the reason the input exists. The arbitrator's hard-coded default profile is acceptable.</w:t>
      </w:r>
    </w:p>
    <w:p>
      <w:pPr>
        <w:keepNext/>
        <w:spacing w:after="50" w:before="140"/>
      </w:pPr>
      <w:r>
        <w:rPr>
          <w:rFonts w:ascii="Calibri" w:cs="Calibri" w:eastAsia="Calibri" w:hAnsi="Calibri"/>
          <w:b/>
          <w:bCs/>
          <w:sz w:val="22"/>
          <w:szCs w:val="22"/>
        </w:rPr>
        <w:t xml:space="preserve">Item 4: the evaluation harness tie rule (`eval/harness.ts`, `pickWinner`)</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60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Question the AI asked</w:t>
            </w:r>
          </w:p>
        </w:tc>
        <w:tc>
          <w:tcPr>
            <w:tcW w:type="dxa" w:w="60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The student's reply (verbatim)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tie rule gives a near-tie (within 0.02) to the alphabetically smaller shelter id. Keep it, or report near-ties as undecided?</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"we should have an ultimate tie breaker like distance or how well shelters have responded previously - maybe as a future feature. for now alphabetical works"</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ablation excludes cases decided entirely by a hard constraint (only one eligible shelter). Right call?</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"unclear."</w:t>
            </w:r>
          </w:p>
          <w:p>
            <w:pPr>
              <w:spacing w:after="20"/>
            </w:pPr>
            <w:r>
              <w:rPr>
                <w:rFonts w:ascii="Calibri" w:cs="Calibri" w:eastAsia="Calibri" w:hAnsi="Calibri"/>
                <w:b w:val="false"/>
                <w:bCs w:val="false"/>
                <w:sz w:val="16"/>
                <w:szCs w:val="16"/>
              </w:rPr>
              <w:t xml:space="preserve">"yes, it's ok to leave those cases out of comparison"</w:t>
            </w:r>
          </w:p>
          <w:p>
            <w:pPr>
              <w:spacing w:after="20"/>
            </w:pPr>
            <w:r>
              <w:rPr>
                <w:rFonts w:ascii="Calibri" w:cs="Calibri" w:eastAsia="Calibri" w:hAnsi="Calibri"/>
                <w:b w:val="false"/>
                <w:bCs w:val="false"/>
                <w:sz w:val="16"/>
                <w:szCs w:val="16"/>
              </w:rPr>
              <w:t xml:space="preserve">AI note: the question was not clear. It was re-asked in simpler terms: such cases give every method the same answer, so counting them would raise all scores equally and say nothing about the weights.</w:t>
            </w:r>
          </w:p>
        </w:tc>
      </w:tr>
    </w:tbl>
    <w:p>
      <w:pPr>
        <w:spacing w:after="110" w:before="70" w:line="262"/>
      </w:pPr>
      <w:r>
        <w:rPr>
          <w:rFonts w:ascii="Calibri" w:cs="Calibri" w:eastAsia="Calibri" w:hAnsi="Calibri"/>
          <w:i/>
          <w:iCs/>
          <w:sz w:val="18"/>
          <w:szCs w:val="18"/>
        </w:rPr>
        <w:t xml:space="preserve">Student decision recorded: alphabetical tie-break is acceptable for now; a proper tie-breaker such as distance or a shelter's past responsiveness is a future feature.</w:t>
      </w:r>
    </w:p>
    <w:p>
      <w:pPr>
        <w:keepNext/>
        <w:spacing w:after="50" w:before="140"/>
      </w:pPr>
      <w:r>
        <w:rPr>
          <w:rFonts w:ascii="Calibri" w:cs="Calibri" w:eastAsia="Calibri" w:hAnsi="Calibri"/>
          <w:b/>
          <w:bCs/>
          <w:sz w:val="22"/>
          <w:szCs w:val="22"/>
        </w:rPr>
        <w:t xml:space="preserve">Item 5: the ablation hypotheses and five AHP judgments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60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Question the AI asked</w:t>
            </w:r>
          </w:p>
        </w:tc>
        <w:tc>
          <w:tcPr>
            <w:tcW w:type="dxa" w:w="60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The student's reply (verbatim)</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Part A (the hypotheses H1 to H4 and the formula variants) and Part B (five of the weakest-supported AHP judgments): agree, disagree or unsure, and why?</w:t>
            </w:r>
          </w:p>
        </w:tc>
        <w:tc>
          <w:tcPr>
            <w:tcW w:type="dxa" w:w="60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"item 5 looks good to me"</w:t>
            </w:r>
          </w:p>
          <w:p>
            <w:pPr>
              <w:spacing w:after="20"/>
            </w:pPr>
            <w:r>
              <w:rPr>
                <w:rFonts w:ascii="Calibri" w:cs="Calibri" w:eastAsia="Calibri" w:hAnsi="Calibri"/>
                <w:b w:val="false"/>
                <w:bCs w:val="false"/>
                <w:sz w:val="16"/>
                <w:szCs w:val="16"/>
              </w:rPr>
              <w:t xml:space="preserve">AI note: this is a general approval. It does not justify, challenge, or change any of the five AHP judgments individually, and it does not say whether the formula variants would satisfy someone who knows shelters. Those parts were not separately answered, so the five AHP judgments remain AI-proposed and student-adopted without an individual review.</w:t>
            </w:r>
          </w:p>
        </w:tc>
      </w:tr>
    </w:tbl>
    <w:p>
      <w:pPr>
        <w:pStyle w:val="Heading2"/>
        <w:keepNext/>
        <w:spacing w:after="80" w:before="200"/>
      </w:pPr>
      <w:r>
        <w:rPr>
          <w:rFonts w:ascii="Calibri" w:cs="Calibri" w:eastAsia="Calibri" w:hAnsi="Calibri"/>
          <w:b/>
          <w:bCs/>
          <w:color w:val="0F4C46"/>
          <w:sz w:val="24"/>
          <w:szCs w:val="24"/>
        </w:rPr>
        <w:t xml:space="preserve">1.4 Decisions that came out of the review (recorded; none applied tonight, so the evidence matches the committed code)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700"/>
        <w:gridCol w:w="3500"/>
        <w:gridCol w:w="2520"/>
      </w:tblGrid>
      <w:tr>
        <w:trPr>
          <w:cantSplit/>
          <w:tblHeader/>
        </w:trPr>
        <w:tc>
          <w:tcPr>
            <w:tcW w:type="dxa" w:w="3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Student decision</w:t>
            </w:r>
          </w:p>
        </w:tc>
        <w:tc>
          <w:tcPr>
            <w:tcW w:type="dxa" w:w="35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Consequence</w:t>
            </w:r>
          </w:p>
        </w:tc>
        <w:tc>
          <w:tcPr>
            <w:tcW w:type="dxa" w:w="25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Where it goes</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Count open capacity once so it is not skewed</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Matches the ablation (F1); needs a minimum-capacity rule with it (KI-22)</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Formula change after the supervisor review; backlog B-02 follow-up</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When the classifier output is unusable, treat the case as highest severity (INJURED_CRITICAL)</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Reverses the Hard Stop 2 fallback (STABLE_ROUTINE); changes the SYN-08 expectation, the tests, and the deployed function</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Backlog B-14, after this submission</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Injury detection must also read the free-text report, not only the photo analysis</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Rule-based fallback and constraints are photo-only today (KI-23)</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Backlog B-14</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Keep the formula constants fixed for now; keep investigating agent-generated weights and how to reproduce them</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Next study: repeat the weight-writing prompts and measure their spread (needs live calls; count and cost to be agreed first)</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Backlog B-15</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Slack shelters starting about 30% behind is acceptable; the tier-1 confidence is a prompt-based AI judgment, accepted because it is informed by shelter and case facts</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Documented limitation; not calibrated against outcomes</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KI-20 to KI-24 and Section 5</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Alphabetical tie-break is fine for now; a real tie-breaker (distance or past responsiveness) is a future feature</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Both raw and tie-rule results continue to be reported</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Backlog</w:t>
            </w:r>
          </w:p>
        </w:tc>
      </w:tr>
      <w:tr>
        <w:trPr>
          <w:cantSplit/>
          <w:tblHeader w:val="off"/>
        </w:trPr>
        <w:tc>
          <w:tcPr>
            <w:tcW w:type="dxa" w:w="3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Idea: temporary emergency shelters that can treat or hold an animal until a suitable shelter confirms</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Out of the current scope</w:t>
            </w:r>
          </w:p>
        </w:tc>
        <w:tc>
          <w:tcPr>
            <w:tcW w:type="dxa" w:w="25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KI-24</w:t>
            </w:r>
          </w:p>
        </w:tc>
      </w:tr>
    </w:tbl>
    <w:p>
      <w:pPr>
        <w:pStyle w:val="Heading1"/>
        <w:keepNext/>
        <w:spacing w:after="120" w:before="280"/>
      </w:pPr>
      <w:r>
        <w:rPr>
          <w:rFonts w:ascii="Calibri" w:cs="Calibri" w:eastAsia="Calibri" w:hAnsi="Calibri"/>
          <w:b/>
          <w:bCs/>
          <w:color w:val="0F4C46"/>
          <w:sz w:val="30"/>
          <w:szCs w:val="30"/>
        </w:rPr>
        <w:t xml:space="preserve">2. The Technical Question and Why It Is the Right One This Week</w:t>
      </w:r>
    </w:p>
    <w:p>
      <w:pPr>
        <w:spacing w:after="110" w:before="70" w:line="262"/>
      </w:pPr>
      <w:r>
        <w:rPr>
          <w:rFonts w:ascii="Calibri" w:cs="Calibri" w:eastAsia="Calibri" w:hAnsi="Calibri"/>
          <w:sz w:val="21"/>
          <w:szCs w:val="21"/>
        </w:rPr>
        <w:t xml:space="preserve">Hard Stop 3 ended with a surprising result: the original LLM-weighting method (v1) and the new AHP blend (v2) choose the same shelter in every annotated case by raw score, so the weights were not what limited correctness. The instructor called the scoring-formula explanation plausible but unproven and asked for a controlled test (Priority 4). That test is also the result that most changes what to do next: if the formula limits correctness, further work on weights, classifier calibration, and AHP judgments is premature.</w:t>
      </w:r>
    </w:p>
    <w:p>
      <w:pPr>
        <w:spacing w:after="110" w:before="70" w:line="262"/>
      </w:pPr>
      <w:r>
        <w:rPr>
          <w:rFonts w:ascii="Calibri" w:cs="Calibri" w:eastAsia="Calibri" w:hAnsi="Calibri"/>
          <w:b/>
          <w:bCs/>
          <w:sz w:val="21"/>
          <w:szCs w:val="21"/>
        </w:rPr>
        <w:t xml:space="preserve">Question: </w:t>
      </w:r>
      <w:r>
        <w:rPr>
          <w:rFonts w:ascii="Calibri" w:cs="Calibri" w:eastAsia="Calibri" w:hAnsi="Calibri"/>
          <w:sz w:val="21"/>
          <w:szCs w:val="21"/>
        </w:rPr>
        <w:t xml:space="preserve">for the same cases and the same hard constraints, does changing the scoring formula change which shelter wins more often than changing the weighting method does, and which changes make the annotated best shelter win more often?</w:t>
      </w:r>
    </w:p>
    <w:p>
      <w:pPr>
        <w:pStyle w:val="Heading1"/>
        <w:keepNext/>
        <w:spacing w:after="120" w:before="280"/>
      </w:pPr>
      <w:r>
        <w:rPr>
          <w:rFonts w:ascii="Calibri" w:cs="Calibri" w:eastAsia="Calibri" w:hAnsi="Calibri"/>
          <w:b/>
          <w:bCs/>
          <w:color w:val="0F4C46"/>
          <w:sz w:val="30"/>
          <w:szCs w:val="30"/>
        </w:rPr>
        <w:t xml:space="preserve">3. Method (written so another reader can repeat every number)</w:t>
      </w:r>
    </w:p>
    <w:p>
      <w:pPr>
        <w:pStyle w:val="Heading2"/>
        <w:keepNext/>
        <w:spacing w:after="80" w:before="200"/>
      </w:pPr>
      <w:r>
        <w:rPr>
          <w:rFonts w:ascii="Calibri" w:cs="Calibri" w:eastAsia="Calibri" w:hAnsi="Calibri"/>
          <w:b/>
          <w:bCs/>
          <w:color w:val="0F4C46"/>
          <w:sz w:val="24"/>
          <w:szCs w:val="24"/>
        </w:rPr>
        <w:t xml:space="preserve">3.1 Design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000"/>
        <w:gridCol w:w="4900"/>
        <w:gridCol w:w="2820"/>
      </w:tblGrid>
      <w:tr>
        <w:trPr>
          <w:cantSplit/>
          <w:tblHeader/>
        </w:trPr>
        <w:tc>
          <w:tcPr>
            <w:tcW w:type="dxa" w:w="2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Dimension</w:t>
            </w:r>
          </w:p>
        </w:tc>
        <w:tc>
          <w:tcPr>
            <w:tcW w:type="dxa" w:w="49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Levels</w:t>
            </w:r>
          </w:p>
        </w:tc>
        <w:tc>
          <w:tcPr>
            <w:tcW w:type="dxa" w:w="28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Notes</w:t>
            </w:r>
          </w:p>
        </w:tc>
      </w:tr>
      <w:tr>
        <w:trPr>
          <w:cantSplit/>
          <w:tblHeader w:val="off"/>
        </w:trPr>
        <w:tc>
          <w:tcPr>
            <w:tcW w:type="dxa" w:w="2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Scoring formula (4)</w:t>
            </w:r>
          </w:p>
        </w:tc>
        <w:tc>
          <w:tcPr>
            <w:tcW w:type="dxa" w:w="4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F0 production; F1 capacity counted once (pickup urgency uses only the intake window); F2 proximity scale 10 km instead of 30 km; F3 = F1 + F2</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F0 is pinned to the arbitrator's scoring code by a test; F1 to F3 are hypotheses about KI-11 and R-07</w:t>
            </w:r>
          </w:p>
        </w:tc>
      </w:tr>
      <w:tr>
        <w:trPr>
          <w:cantSplit/>
          <w:tblHeader w:val="off"/>
        </w:trPr>
        <w:tc>
          <w:tcPr>
            <w:tcW w:type="dxa" w:w="2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Weighting method (4)</w:t>
            </w:r>
          </w:p>
        </w:tc>
        <w:tc>
          <w:tcPr>
            <w:tcW w:type="dxa" w:w="4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equal (0.2 each); v1 (LLM-written, frozen from live calls); v2 blend (AHP vectors x classifier probabilities); v2 top (highest-probability archetype vector)</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equal = no case-specific weighting at all</w:t>
            </w:r>
          </w:p>
        </w:tc>
      </w:tr>
      <w:tr>
        <w:trPr>
          <w:cantSplit/>
          <w:tblHeader w:val="off"/>
        </w:trPr>
        <w:tc>
          <w:tcPr>
            <w:tcW w:type="dxa" w:w="2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Cases</w:t>
            </w:r>
          </w:p>
        </w:tc>
        <w:tc>
          <w:tcPr>
            <w:tcW w:type="dxa" w:w="4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Set 1: 8 cases (annotations committed fdb6171, 2026-10-10, student-designed in Hard Stop 2). Set 2: 8 cases (committed fe064ca, 2026-10-25, AI-written, student-approved). 12 informative cases (one annotated best shelter, at least two eligible shelters); SYN-16 is a control; SYN-06, 07, 08 are excluded</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Excluded: a near-tie, a case decided by a hard constraint, and the fault-injection case</w:t>
            </w:r>
          </w:p>
        </w:tc>
      </w:tr>
      <w:tr>
        <w:trPr>
          <w:cantSplit/>
          <w:tblHeader w:val="off"/>
        </w:trPr>
        <w:tc>
          <w:tcPr>
            <w:tcW w:type="dxa" w:w="2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Hard constraints</w:t>
            </w:r>
          </w:p>
        </w:tc>
        <w:tc>
          <w:tcPr>
            <w:tcW w:type="dxa" w:w="4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Identical in all 16 cells (rule-based, plus each fixture's species-constraint flag)</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Isolates the weights</w:t>
            </w:r>
          </w:p>
        </w:tc>
      </w:tr>
      <w:tr>
        <w:trPr>
          <w:cantSplit/>
          <w:tblHeader w:val="off"/>
        </w:trPr>
        <w:tc>
          <w:tcPr>
            <w:tcW w:type="dxa" w:w="2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Primary metric</w:t>
            </w:r>
          </w:p>
        </w:tc>
        <w:tc>
          <w:tcPr>
            <w:tcW w:type="dxa" w:w="4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raw top-scoring shelter equals the annotated best (no tie rule)</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Counts, with Wilson 95% intervals</w:t>
            </w:r>
          </w:p>
        </w:tc>
      </w:tr>
    </w:tbl>
    <w:p>
      <w:pPr>
        <w:pStyle w:val="Heading2"/>
        <w:keepNext/>
        <w:spacing w:after="80" w:before="200"/>
      </w:pPr>
      <w:r>
        <w:rPr>
          <w:rFonts w:ascii="Calibri" w:cs="Calibri" w:eastAsia="Calibri" w:hAnsi="Calibri"/>
          <w:b/>
          <w:bCs/>
          <w:color w:val="0F4C46"/>
          <w:sz w:val="24"/>
          <w:szCs w:val="24"/>
        </w:rPr>
        <w:t xml:space="preserve">3.2 Pre-registration timeline (from git)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1200"/>
        <w:gridCol w:w="2400"/>
        <w:gridCol w:w="6120"/>
      </w:tblGrid>
      <w:tr>
        <w:trPr>
          <w:cantSplit/>
          <w:tblHeader/>
        </w:trPr>
        <w:tc>
          <w:tcPr>
            <w:tcW w:type="dxa" w:w="12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Commit</w:t>
            </w:r>
          </w:p>
        </w:tc>
        <w:tc>
          <w:tcPr>
            <w:tcW w:type="dxa" w:w="24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Time (EDT)</w:t>
            </w:r>
          </w:p>
        </w:tc>
        <w:tc>
          <w:tcPr>
            <w:tcW w:type="dxa" w:w="61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What</w:t>
            </w:r>
          </w:p>
        </w:tc>
      </w:tr>
      <w:tr>
        <w:trPr>
          <w:cantSplit/>
          <w:tblHeader w:val="off"/>
        </w:trPr>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fdb6171</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10, 06:04 AM</w:t>
            </w:r>
          </w:p>
        </w:tc>
        <w:tc>
          <w:tcPr>
            <w:tcW w:type="dxa" w:w="6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Set-1 fixtures and annotations</w:t>
            </w:r>
          </w:p>
        </w:tc>
      </w:tr>
      <w:tr>
        <w:trPr>
          <w:cantSplit/>
          <w:tblHeader w:val="off"/>
        </w:trPr>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fe064ca</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25, 05:49 AM</w:t>
            </w:r>
          </w:p>
        </w:tc>
        <w:tc>
          <w:tcPr>
            <w:tcW w:type="dxa" w:w="6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Set-2 fixtures and annotations</w:t>
            </w:r>
          </w:p>
        </w:tc>
      </w:tr>
      <w:tr>
        <w:trPr>
          <w:cantSplit/>
          <w:tblHeader w:val="off"/>
        </w:trPr>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70c3835</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25, 05:53 AM</w:t>
            </w:r>
          </w:p>
        </w:tc>
        <w:tc>
          <w:tcPr>
            <w:tcW w:type="dxa" w:w="6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Pre-registration, runner, tests, and the live set-2 inputs</w:t>
            </w:r>
          </w:p>
        </w:tc>
      </w:tr>
      <w:tr>
        <w:trPr>
          <w:cantSplit/>
          <w:tblHeader w:val="off"/>
        </w:trPr>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d009c46</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25, 05:55 AM</w:t>
            </w:r>
          </w:p>
        </w:tc>
        <w:tc>
          <w:tcPr>
            <w:tcW w:type="dxa" w:w="6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Record of the student's approval of the set-2 annotations</w:t>
            </w:r>
          </w:p>
        </w:tc>
      </w:tr>
      <w:tr>
        <w:trPr>
          <w:cantSplit/>
          <w:tblHeader w:val="off"/>
        </w:trPr>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59bb42d</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25, 01:31 PM</w:t>
            </w:r>
          </w:p>
        </w:tc>
        <w:tc>
          <w:tcPr>
            <w:tcW w:type="dxa" w:w="6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First commit of ablation results</w:t>
            </w:r>
          </w:p>
        </w:tc>
      </w:tr>
    </w:tbl>
    <w:p>
      <w:pPr>
        <w:pStyle w:val="Heading2"/>
        <w:keepNext/>
        <w:spacing w:after="80" w:before="200"/>
      </w:pPr>
      <w:r>
        <w:rPr>
          <w:rFonts w:ascii="Calibri" w:cs="Calibri" w:eastAsia="Calibri" w:hAnsi="Calibri"/>
          <w:b/>
          <w:bCs/>
          <w:color w:val="0F4C46"/>
          <w:sz w:val="24"/>
          <w:szCs w:val="24"/>
        </w:rPr>
        <w:t xml:space="preserve">3.3 Run metadata and exact commands</w:t>
      </w:r>
    </w:p>
    <w:p>
      <w:pPr>
        <w:spacing w:after="110" w:before="70" w:line="262"/>
      </w:pPr>
      <w:r>
        <w:rPr>
          <w:rFonts w:ascii="Calibri" w:cs="Calibri" w:eastAsia="Calibri" w:hAnsi="Calibri"/>
          <w:sz w:val="21"/>
          <w:szCs w:val="21"/>
        </w:rPr>
        <w:t xml:space="preserve">Environment: Node 20 on a fresh clone (captured 2026-10-25 13:33:48 EDT, commit 229a259); 122 tests pass. Inputs are committed files only: fixtures, annotations, frozen v1 profiles, and recorded classifier output (classifier model us.anthropic.claude-sonnet-4-5-20250929-v1:0, temperature 0, 3 repeats per set-2 case with no spread; set 1 from Hard Stop 3). The AHP vectors are the adopted v1 vectors (all three CR below 0.04).</w:t>
      </w:r>
    </w:p>
    <w:p>
      <w:pPr>
        <w:shd w:fill="F2F2F2" w:val="clear"/>
        <w:spacing w:after="100" w:before="40" w:line="215"/>
      </w:pPr>
      <w:r>
        <w:rPr>
          <w:rFonts w:ascii="Courier New" w:cs="Courier New" w:eastAsia="Courier New" w:hAnsi="Courier New"/>
          <w:sz w:val="15"/>
          <w:szCs w:val="15"/>
        </w:rPr>
        <w:t xml:space="preserve">git clone https://github.com/manojvprimary/rescuenet.git &amp;&amp; cd rescuenet</w:t>
      </w:r>
      <w:r>
        <w:rPr>
          <w:rFonts w:ascii="Courier New" w:cs="Courier New" w:eastAsia="Courier New" w:hAnsi="Courier New"/>
          <w:sz w:val="15"/>
          <w:szCs w:val="15"/>
        </w:rPr>
        <w:br/>
        <w:t xml:space="preserve">nvm use &amp;&amp; npm ci &amp;&amp; npm test</w:t>
      </w:r>
      <w:r>
        <w:rPr>
          <w:rFonts w:ascii="Courier New" w:cs="Courier New" w:eastAsia="Courier New" w:hAnsi="Courier New"/>
          <w:sz w:val="15"/>
          <w:szCs w:val="15"/>
        </w:rPr>
        <w:br/>
        <w:t xml:space="preserve">npx ts-node scripts/run-ablation.ts                    # pre-registered run, prints the tables below</w:t>
      </w:r>
      <w:r>
        <w:rPr>
          <w:rFonts w:ascii="Courier New" w:cs="Courier New" w:eastAsia="Courier New" w:hAnsi="Courier New"/>
          <w:sz w:val="15"/>
          <w:szCs w:val="15"/>
        </w:rPr>
        <w:br/>
        <w:t xml:space="preserve">npx ts-node scripts/run-ablation.ts --production-bids  # labelled post-hoc variant</w:t>
      </w:r>
      <w:r>
        <w:rPr>
          <w:rFonts w:ascii="Courier New" w:cs="Courier New" w:eastAsia="Courier New" w:hAnsi="Courier New"/>
          <w:sz w:val="15"/>
          <w:szCs w:val="15"/>
        </w:rPr>
        <w:br/>
        <w:t xml:space="preserve">scripts/capture-evidence-ablation.sh docs/evidence/sprint-4/my-run.txt 20</w:t>
      </w:r>
    </w:p>
    <w:p>
      <w:pPr>
        <w:spacing w:after="110" w:before="70" w:line="262"/>
      </w:pPr>
      <w:r>
        <w:rPr>
          <w:rFonts w:ascii="Calibri" w:cs="Calibri" w:eastAsia="Calibri" w:hAnsi="Calibri"/>
          <w:sz w:val="21"/>
          <w:szCs w:val="21"/>
        </w:rPr>
        <w:t xml:space="preserve">Expected result hashes (identical across three clean-clone runs each): pre-registered 45369f37a0ab9a73..., post-hoc fe3c7416c0e2f687....</w:t>
      </w:r>
    </w:p>
    <w:p>
      <w:pPr>
        <w:pStyle w:val="Heading1"/>
        <w:keepNext/>
        <w:spacing w:after="120" w:before="280"/>
      </w:pPr>
      <w:r>
        <w:rPr>
          <w:rFonts w:ascii="Calibri" w:cs="Calibri" w:eastAsia="Calibri" w:hAnsi="Calibri"/>
          <w:b/>
          <w:bCs/>
          <w:color w:val="0F4C46"/>
          <w:sz w:val="30"/>
          <w:szCs w:val="30"/>
        </w:rPr>
        <w:t xml:space="preserve">4. Evidence</w:t>
      </w:r>
    </w:p>
    <w:p>
      <w:pPr>
        <w:spacing w:after="100" w:before="80"/>
        <w:jc w:val="center"/>
      </w:pPr>
      <w:r>
        <w:drawing>
          <wp:inline distT="0" distB="0" distL="0" distR="0">
            <wp:extent cx="6191250" cy="19145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914525"/>
                    </a:xfrm>
                    <a:prstGeom prst="rect">
                      <a:avLst/>
                    </a:prstGeom>
                  </pic:spPr>
                </pic:pic>
              </a:graphicData>
            </a:graphic>
          </wp:inline>
        </w:drawing>
      </w:r>
    </w:p>
    <w:p>
      <w:pPr>
        <w:pStyle w:val="Heading2"/>
        <w:keepNext/>
        <w:spacing w:after="80" w:before="200"/>
      </w:pPr>
      <w:r>
        <w:rPr>
          <w:rFonts w:ascii="Calibri" w:cs="Calibri" w:eastAsia="Calibri" w:hAnsi="Calibri"/>
          <w:b/>
          <w:bCs/>
          <w:color w:val="0F4C46"/>
          <w:sz w:val="24"/>
          <w:szCs w:val="24"/>
        </w:rPr>
        <w:t xml:space="preserve">4.1 Primary result (pre-registered run)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520"/>
        <w:gridCol w:w="1800"/>
        <w:gridCol w:w="1800"/>
        <w:gridCol w:w="1800"/>
        <w:gridCol w:w="1800"/>
      </w:tblGrid>
      <w:tr>
        <w:trPr>
          <w:cantSplit/>
          <w:tblHeader/>
        </w:trPr>
        <w:tc>
          <w:tcPr>
            <w:tcW w:type="dxa" w:w="25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
            </w:r>
          </w:p>
        </w:tc>
        <w:tc>
          <w:tcPr>
            <w:tcW w:type="dxa" w:w="1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equal weights</w:t>
            </w:r>
          </w:p>
        </w:tc>
        <w:tc>
          <w:tcPr>
            <w:tcW w:type="dxa" w:w="1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v1 (LLM-written)</w:t>
            </w:r>
          </w:p>
        </w:tc>
        <w:tc>
          <w:tcPr>
            <w:tcW w:type="dxa" w:w="1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v2 blend</w:t>
            </w:r>
          </w:p>
        </w:tc>
        <w:tc>
          <w:tcPr>
            <w:tcW w:type="dxa" w:w="1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v2 top</w:t>
            </w:r>
          </w:p>
        </w:tc>
      </w:tr>
      <w:tr>
        <w:trPr>
          <w:cantSplit/>
          <w:tblHeader w:val="off"/>
        </w:trPr>
        <w:tc>
          <w:tcPr>
            <w:tcW w:type="dxa" w:w="2520"/>
            <w:tcMar>
              <w:top w:type="dxa" w:w="45"/>
              <w:left w:type="dxa" w:w="85"/>
              <w:bottom w:type="dxa" w:w="45"/>
              <w:right w:type="dxa" w:w="85"/>
            </w:tcMar>
          </w:tcPr>
          <w:p>
            <w:pPr>
              <w:spacing w:after="20"/>
            </w:pPr>
            <w:r>
              <w:rPr>
                <w:rFonts w:ascii="Calibri" w:cs="Calibri" w:eastAsia="Calibri" w:hAnsi="Calibri"/>
                <w:b/>
                <w:bCs/>
                <w:sz w:val="16"/>
                <w:szCs w:val="16"/>
              </w:rPr>
              <w:t xml:space="preserve">F0 production formula</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7/12  (0.32 to 0.81)</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7/12  (0.32 to 0.81)</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7/12  (0.32 to 0.81)</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7/12  (0.32 to 0.81)</w:t>
            </w:r>
          </w:p>
        </w:tc>
      </w:tr>
      <w:tr>
        <w:trPr>
          <w:cantSplit/>
          <w:tblHeader w:val="off"/>
        </w:trPr>
        <w:tc>
          <w:tcPr>
            <w:tcW w:type="dxa" w:w="2520"/>
            <w:tcMar>
              <w:top w:type="dxa" w:w="45"/>
              <w:left w:type="dxa" w:w="85"/>
              <w:bottom w:type="dxa" w:w="45"/>
              <w:right w:type="dxa" w:w="85"/>
            </w:tcMar>
          </w:tcPr>
          <w:p>
            <w:pPr>
              <w:spacing w:after="20"/>
            </w:pPr>
            <w:r>
              <w:rPr>
                <w:rFonts w:ascii="Calibri" w:cs="Calibri" w:eastAsia="Calibri" w:hAnsi="Calibri"/>
                <w:b/>
                <w:bCs/>
                <w:sz w:val="16"/>
                <w:szCs w:val="16"/>
              </w:rPr>
              <w:t xml:space="preserve">F1 capacity counted once</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7/12  (0.32 to 0.81)</w:t>
            </w:r>
          </w:p>
        </w:tc>
        <w:tc>
          <w:tcPr>
            <w:tcW w:type="dxa" w:w="18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9/12  (0.47 to 0.91)</w:t>
            </w:r>
          </w:p>
        </w:tc>
        <w:tc>
          <w:tcPr>
            <w:tcW w:type="dxa" w:w="18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10/12  (0.55 to 0.95)</w:t>
            </w:r>
          </w:p>
        </w:tc>
        <w:tc>
          <w:tcPr>
            <w:tcW w:type="dxa" w:w="18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10/12  (0.55 to 0.95)</w:t>
            </w:r>
          </w:p>
        </w:tc>
      </w:tr>
      <w:tr>
        <w:trPr>
          <w:cantSplit/>
          <w:tblHeader w:val="off"/>
        </w:trPr>
        <w:tc>
          <w:tcPr>
            <w:tcW w:type="dxa" w:w="2520"/>
            <w:tcMar>
              <w:top w:type="dxa" w:w="45"/>
              <w:left w:type="dxa" w:w="85"/>
              <w:bottom w:type="dxa" w:w="45"/>
              <w:right w:type="dxa" w:w="85"/>
            </w:tcMar>
          </w:tcPr>
          <w:p>
            <w:pPr>
              <w:spacing w:after="20"/>
            </w:pPr>
            <w:r>
              <w:rPr>
                <w:rFonts w:ascii="Calibri" w:cs="Calibri" w:eastAsia="Calibri" w:hAnsi="Calibri"/>
                <w:b/>
                <w:bCs/>
                <w:sz w:val="16"/>
                <w:szCs w:val="16"/>
              </w:rPr>
              <w:t xml:space="preserve">F2 distance scale 10 km</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7/12  (0.32 to 0.81)</w:t>
            </w:r>
          </w:p>
        </w:tc>
        <w:tc>
          <w:tcPr>
            <w:tcW w:type="dxa" w:w="18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8/12  (0.39 to 0.86)</w:t>
            </w:r>
          </w:p>
        </w:tc>
        <w:tc>
          <w:tcPr>
            <w:tcW w:type="dxa" w:w="18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8/12  (0.39 to 0.86)</w:t>
            </w:r>
          </w:p>
        </w:tc>
        <w:tc>
          <w:tcPr>
            <w:tcW w:type="dxa" w:w="18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9/12  (0.47 to 0.91)</w:t>
            </w:r>
          </w:p>
        </w:tc>
      </w:tr>
      <w:tr>
        <w:trPr>
          <w:cantSplit/>
          <w:tblHeader w:val="off"/>
        </w:trPr>
        <w:tc>
          <w:tcPr>
            <w:tcW w:type="dxa" w:w="2520"/>
            <w:tcMar>
              <w:top w:type="dxa" w:w="45"/>
              <w:left w:type="dxa" w:w="85"/>
              <w:bottom w:type="dxa" w:w="45"/>
              <w:right w:type="dxa" w:w="85"/>
            </w:tcMar>
          </w:tcPr>
          <w:p>
            <w:pPr>
              <w:spacing w:after="20"/>
            </w:pPr>
            <w:r>
              <w:rPr>
                <w:rFonts w:ascii="Calibri" w:cs="Calibri" w:eastAsia="Calibri" w:hAnsi="Calibri"/>
                <w:b/>
                <w:bCs/>
                <w:sz w:val="16"/>
                <w:szCs w:val="16"/>
              </w:rPr>
              <w:t xml:space="preserve">F3 capacity once + 10 km</w:t>
            </w:r>
          </w:p>
        </w:tc>
        <w:tc>
          <w:tcPr>
            <w:tcW w:type="dxa" w:w="18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8/12  (0.39 to 0.86)</w:t>
            </w:r>
          </w:p>
        </w:tc>
        <w:tc>
          <w:tcPr>
            <w:tcW w:type="dxa" w:w="18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10/12  (0.55 to 0.95)</w:t>
            </w:r>
          </w:p>
        </w:tc>
        <w:tc>
          <w:tcPr>
            <w:tcW w:type="dxa" w:w="18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11/12  (0.65 to 0.99)</w:t>
            </w:r>
          </w:p>
        </w:tc>
        <w:tc>
          <w:tcPr>
            <w:tcW w:type="dxa" w:w="18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11/12  (0.65 to 0.99)</w:t>
            </w:r>
          </w:p>
        </w:tc>
      </w:tr>
    </w:tbl>
    <w:p>
      <w:pPr>
        <w:spacing w:after="110" w:before="70" w:line="262"/>
      </w:pPr>
      <w:r>
        <w:rPr>
          <w:rFonts w:ascii="Calibri" w:cs="Calibri" w:eastAsia="Calibri" w:hAnsi="Calibri"/>
          <w:sz w:val="21"/>
          <w:szCs w:val="21"/>
        </w:rPr>
        <w:t xml:space="preserve">Reading: with the production formula (F0) all four weighting methods tie at 7 of 12, including equal weights, so on these cases the weighting method has no visible effect at all. With capacity counted once, case-specific weights start to matter (v1, blend, top reach 9 to 10) while equal weights still score 7. The best cell is F3 with blend or top (11 of 12).</w:t>
      </w:r>
    </w:p>
    <w:p>
      <w:pPr>
        <w:pStyle w:val="Heading2"/>
        <w:keepNext/>
        <w:spacing w:after="80" w:before="200"/>
      </w:pPr>
      <w:r>
        <w:rPr>
          <w:rFonts w:ascii="Calibri" w:cs="Calibri" w:eastAsia="Calibri" w:hAnsi="Calibri"/>
          <w:b/>
          <w:bCs/>
          <w:color w:val="0F4C46"/>
          <w:sz w:val="24"/>
          <w:szCs w:val="24"/>
        </w:rPr>
        <w:t xml:space="preserve">4.2 Which factor changes the winner more often? (H1)</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600"/>
        <w:gridCol w:w="1500"/>
        <w:gridCol w:w="1800"/>
        <w:gridCol w:w="2820"/>
      </w:tblGrid>
      <w:tr>
        <w:trPr>
          <w:cantSplit/>
          <w:tblHeader/>
        </w:trPr>
        <w:tc>
          <w:tcPr>
            <w:tcW w:type="dxa" w:w="36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One-factor-only swap</w:t>
            </w:r>
          </w:p>
        </w:tc>
        <w:tc>
          <w:tcPr>
            <w:tcW w:type="dxa" w:w="15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Cell pairs</w:t>
            </w:r>
          </w:p>
        </w:tc>
        <w:tc>
          <w:tcPr>
            <w:tcW w:type="dxa" w:w="18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Winner differs</w:t>
            </w:r>
          </w:p>
        </w:tc>
        <w:tc>
          <w:tcPr>
            <w:tcW w:type="dxa" w:w="28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Cases where it ever changes the winner</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bCs/>
                <w:sz w:val="17"/>
                <w:szCs w:val="17"/>
              </w:rPr>
              <w:t xml:space="preserve">Weighting method (formula fixed)</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288</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11.1%</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6 of 12</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bCs/>
                <w:sz w:val="17"/>
                <w:szCs w:val="17"/>
              </w:rPr>
              <w:t xml:space="preserve">Scoring formula (weights fixed)</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288</w:t>
            </w:r>
          </w:p>
        </w:tc>
        <w:tc>
          <w:tcPr>
            <w:tcW w:type="dxa" w:w="18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20.8%</w:t>
            </w:r>
          </w:p>
        </w:tc>
        <w:tc>
          <w:tcPr>
            <w:tcW w:type="dxa" w:w="28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6 of 12</w:t>
            </w:r>
          </w:p>
        </w:tc>
      </w:tr>
    </w:tbl>
    <w:p>
      <w:pPr>
        <w:spacing w:after="110" w:before="70" w:line="262"/>
      </w:pPr>
      <w:r>
        <w:rPr>
          <w:rFonts w:ascii="Calibri" w:cs="Calibri" w:eastAsia="Calibri" w:hAnsi="Calibri"/>
          <w:sz w:val="21"/>
          <w:szCs w:val="21"/>
        </w:rPr>
        <w:t xml:space="preserve">H1 (formula swaps change winners more often) is supported by the pre-registered rule, but the gap is modest and the weight-swap rate is not small (11.1%): the weights change winners only in cells where the formula allows it, so the two factors interact.</w:t>
      </w:r>
    </w:p>
    <w:p>
      <w:pPr>
        <w:pStyle w:val="Heading2"/>
        <w:keepNext/>
        <w:spacing w:after="80" w:before="200"/>
      </w:pPr>
      <w:r>
        <w:rPr>
          <w:rFonts w:ascii="Calibri" w:cs="Calibri" w:eastAsia="Calibri" w:hAnsi="Calibri"/>
          <w:b/>
          <w:bCs/>
          <w:color w:val="0F4C46"/>
          <w:sz w:val="24"/>
          <w:szCs w:val="24"/>
        </w:rPr>
        <w:t xml:space="preserve">4.3 Pre-registered contrasts (exact two-sided sign test, uncorrected)</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4200"/>
        <w:gridCol w:w="1700"/>
        <w:gridCol w:w="1900"/>
        <w:gridCol w:w="1920"/>
      </w:tblGrid>
      <w:tr>
        <w:trPr>
          <w:cantSplit/>
          <w:tblHeader/>
        </w:trPr>
        <w:tc>
          <w:tcPr>
            <w:tcW w:type="dxa" w:w="42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Contrast (informative cases)</w:t>
            </w:r>
          </w:p>
        </w:tc>
        <w:tc>
          <w:tcPr>
            <w:tcW w:type="dxa" w:w="17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Only first right</w:t>
            </w:r>
          </w:p>
        </w:tc>
        <w:tc>
          <w:tcPr>
            <w:tcW w:type="dxa" w:w="19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Only second right</w:t>
            </w:r>
          </w:p>
        </w:tc>
        <w:tc>
          <w:tcPr>
            <w:tcW w:type="dxa" w:w="19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p</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F1 vs F0 under v1</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2</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0.500</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F1 vs F0 under blend</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3</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0.250</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F1 vs F0 under top</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3</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0.250</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F1 vs F0 under equal</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1.000</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blend vs v1 under F0 (H3)</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1.000</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blend vs v1 under F1</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1.000</w:t>
            </w:r>
          </w:p>
        </w:tc>
      </w:tr>
      <w:tr>
        <w:trPr>
          <w:cantSplit/>
          <w:tblHeader w:val="off"/>
        </w:trPr>
        <w:tc>
          <w:tcPr>
            <w:tcW w:type="dxa" w:w="4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blend vs equal under F0</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w:t>
            </w:r>
          </w:p>
        </w:tc>
        <w:tc>
          <w:tcPr>
            <w:tcW w:type="dxa" w:w="19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1.000</w:t>
            </w:r>
          </w:p>
        </w:tc>
      </w:tr>
    </w:tbl>
    <w:p>
      <w:pPr>
        <w:spacing w:after="110" w:before="70" w:line="262"/>
      </w:pPr>
      <w:r>
        <w:rPr>
          <w:rFonts w:ascii="Calibri" w:cs="Calibri" w:eastAsia="Calibri" w:hAnsi="Calibri"/>
          <w:sz w:val="21"/>
          <w:szCs w:val="21"/>
        </w:rPr>
        <w:t xml:space="preserve">H2 (F1 at least as good as F0 under every method, strictly better under one) holds; H3 (blend at least as good as v1 under F0) holds as a tie; H4 (the control is right in every cell) holds. No contrast reaches conventional significance: the best is 3 cases to 0 (p = 0.25). With 12 cases the intervals overlap, so this is directional evidence only.</w:t>
      </w:r>
    </w:p>
    <w:p>
      <w:pPr>
        <w:pStyle w:val="Heading2"/>
        <w:keepNext/>
        <w:spacing w:after="80" w:before="200"/>
      </w:pPr>
      <w:r>
        <w:rPr>
          <w:rFonts w:ascii="Calibri" w:cs="Calibri" w:eastAsia="Calibri" w:hAnsi="Calibri"/>
          <w:b/>
          <w:bCs/>
          <w:color w:val="0F4C46"/>
          <w:sz w:val="24"/>
          <w:szCs w:val="24"/>
        </w:rPr>
        <w:t xml:space="preserve">4.4 The two case sets separately</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300"/>
        <w:gridCol w:w="1070"/>
        <w:gridCol w:w="1070"/>
        <w:gridCol w:w="1070"/>
        <w:gridCol w:w="1070"/>
        <w:gridCol w:w="1070"/>
        <w:gridCol w:w="1070"/>
      </w:tblGrid>
      <w:tr>
        <w:trPr>
          <w:cantSplit/>
          <w:tblHeader/>
        </w:trPr>
        <w:tc>
          <w:tcPr>
            <w:tcW w:type="dxa" w:w="33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
            </w:r>
          </w:p>
        </w:tc>
        <w:tc>
          <w:tcPr>
            <w:tcW w:type="dxa" w:w="10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F0 equal</w:t>
            </w:r>
          </w:p>
        </w:tc>
        <w:tc>
          <w:tcPr>
            <w:tcW w:type="dxa" w:w="10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F0 blend</w:t>
            </w:r>
          </w:p>
        </w:tc>
        <w:tc>
          <w:tcPr>
            <w:tcW w:type="dxa" w:w="10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F1 v1</w:t>
            </w:r>
          </w:p>
        </w:tc>
        <w:tc>
          <w:tcPr>
            <w:tcW w:type="dxa" w:w="10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F1 blend</w:t>
            </w:r>
          </w:p>
        </w:tc>
        <w:tc>
          <w:tcPr>
            <w:tcW w:type="dxa" w:w="10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F3 equal</w:t>
            </w:r>
          </w:p>
        </w:tc>
        <w:tc>
          <w:tcPr>
            <w:tcW w:type="dxa" w:w="10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F3 blend</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Set 1 (student annotations, written first) (n = 5)</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2/5</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2/5</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4/5</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4/5</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4/5</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4/5</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Set 2 (AI-written, student-approved) (n = 7)</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5/7</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5/7</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5/7</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6/7</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4/7</w:t>
            </w:r>
          </w:p>
        </w:tc>
        <w:tc>
          <w:tcPr>
            <w:tcW w:type="dxa" w:w="10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7/7</w:t>
            </w:r>
          </w:p>
        </w:tc>
      </w:tr>
    </w:tbl>
    <w:p>
      <w:pPr>
        <w:spacing w:after="110" w:before="70" w:line="262"/>
      </w:pPr>
      <w:r>
        <w:rPr>
          <w:rFonts w:ascii="Calibri" w:cs="Calibri" w:eastAsia="Calibri" w:hAnsi="Calibri"/>
          <w:sz w:val="21"/>
          <w:szCs w:val="21"/>
        </w:rPr>
        <w:t xml:space="preserve">Both sets move in the same direction. Set 1 pre-dates every formula variant, so its gain (2 of 5 to 4 of 5 under F1 with case-specific weights) is the less circular evidence; set 2 was written around the same capacity and distance trade-offs the variants address, so its gain should be discounted.</w:t>
      </w:r>
    </w:p>
    <w:p>
      <w:pPr>
        <w:pStyle w:val="Heading2"/>
        <w:keepNext/>
        <w:spacing w:after="80" w:before="200"/>
      </w:pPr>
      <w:r>
        <w:rPr>
          <w:rFonts w:ascii="Calibri" w:cs="Calibri" w:eastAsia="Calibri" w:hAnsi="Calibri"/>
          <w:b/>
          <w:bCs/>
          <w:color w:val="0F4C46"/>
          <w:sz w:val="24"/>
          <w:szCs w:val="24"/>
        </w:rPr>
        <w:t xml:space="preserve">4.5 Post-hoc variant: removing bids that production never sends (labelled post hoc)</w:t>
      </w:r>
    </w:p>
    <w:p>
      <w:pPr>
        <w:spacing w:after="110" w:before="70" w:line="262"/>
      </w:pPr>
      <w:r>
        <w:rPr>
          <w:rFonts w:ascii="Calibri" w:cs="Calibri" w:eastAsia="Calibri" w:hAnsi="Calibri"/>
          <w:sz w:val="21"/>
          <w:szCs w:val="21"/>
        </w:rPr>
        <w:t xml:space="preserve">The zero-slot bid in SYN-04 cannot occur in production. A variant without zero-slot bids was run after seeing the pre-registered result and is not part of the pre-registration. Result: F0 stays at 7 of 12 under every weighting method; F1 gives 10, 11, 11 of 12 (v1, blend, top); F3 gives 11, 12, 12. A perfect score under F3 with blend or top is a lead, not validation: the variants and most of the cases share an author.</w:t>
      </w:r>
    </w:p>
    <w:p>
      <w:pPr>
        <w:pStyle w:val="Heading2"/>
        <w:keepNext/>
        <w:spacing w:after="80" w:before="200"/>
      </w:pPr>
      <w:r>
        <w:rPr>
          <w:rFonts w:ascii="Calibri" w:cs="Calibri" w:eastAsia="Calibri" w:hAnsi="Calibri"/>
          <w:b/>
          <w:bCs/>
          <w:color w:val="0F4C46"/>
          <w:sz w:val="24"/>
          <w:szCs w:val="24"/>
        </w:rPr>
        <w:t xml:space="preserve">4.6 Where in the system this evidence was collected</w:t>
      </w:r>
    </w:p>
    <w:p>
      <w:pPr>
        <w:spacing w:after="100" w:before="80"/>
        <w:jc w:val="center"/>
      </w:pPr>
      <w:r>
        <w:drawing>
          <wp:inline distT="0" distB="0" distL="0" distR="0">
            <wp:extent cx="5334000" cy="2905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05125"/>
                    </a:xfrm>
                    <a:prstGeom prst="rect">
                      <a:avLst/>
                    </a:prstGeom>
                  </pic:spPr>
                </pic:pic>
              </a:graphicData>
            </a:graphic>
          </wp:inline>
        </w:drawing>
      </w:r>
    </w:p>
    <w:p>
      <w:pPr>
        <w:spacing w:after="110" w:before="70" w:line="262"/>
      </w:pPr>
      <w:r>
        <w:rPr>
          <w:rFonts w:ascii="Calibri" w:cs="Calibri" w:eastAsia="Calibri" w:hAnsi="Calibri"/>
          <w:sz w:val="21"/>
          <w:szCs w:val="21"/>
        </w:rPr>
        <w:t xml:space="preserve">The ablation exercises the offline weighting and scoring modules (amber and blue in the figure). It does not exercise the deployed pipeline; that was measured separately at the midpoint (below).</w:t>
      </w:r>
    </w:p>
    <w:p>
      <w:pPr>
        <w:pStyle w:val="Heading2"/>
        <w:keepNext/>
        <w:spacing w:after="80" w:before="200"/>
      </w:pPr>
      <w:r>
        <w:rPr>
          <w:rFonts w:ascii="Calibri" w:cs="Calibri" w:eastAsia="Calibri" w:hAnsi="Calibri"/>
          <w:b/>
          <w:bCs/>
          <w:color w:val="0F4C46"/>
          <w:sz w:val="24"/>
          <w:szCs w:val="24"/>
        </w:rPr>
        <w:t xml:space="preserve">4.7 Deployed pipeline and external-integration evidence (carried from the midpoint)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000"/>
        <w:gridCol w:w="6720"/>
      </w:tblGrid>
      <w:tr>
        <w:trPr>
          <w:cantSplit/>
          <w:tblHeader/>
        </w:trPr>
        <w:tc>
          <w:tcPr>
            <w:tcW w:type="dxa" w:w="3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Check</w:t>
            </w:r>
          </w:p>
        </w:tc>
        <w:tc>
          <w:tcPr>
            <w:tcW w:type="dxa" w:w="67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Result</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bCs/>
                <w:sz w:val="16"/>
                <w:szCs w:val="16"/>
              </w:rPr>
              <w:t xml:space="preserve">Deployed end to end, v2 behind WEIGHTING_MODE</w:t>
            </w:r>
          </w:p>
        </w:tc>
        <w:tc>
          <w:tcPr>
            <w:tcW w:type="dxa" w:w="6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13 of 13 cases ASSIGNED; 0 error lines across the nine pipeline functions; median 24.1 to 24.7 s to a scored assignment in both modes; rollback 7.3 s and verified</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bCs/>
                <w:sz w:val="16"/>
                <w:szCs w:val="16"/>
              </w:rPr>
              <w:t xml:space="preserve">Bedrock (classifier and v1 profiles)</w:t>
            </w:r>
          </w:p>
        </w:tc>
        <w:tc>
          <w:tcPr>
            <w:tcW w:type="dxa" w:w="6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About 100 live calls in total including this sprint (32 new), none throttled; 0 invalid classifier outputs in the 59 temperature-0 batch classifier calls</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bCs/>
                <w:sz w:val="16"/>
                <w:szCs w:val="16"/>
              </w:rPr>
              <w:t xml:space="preserve">Schema validation and retries</w:t>
            </w:r>
          </w:p>
        </w:tc>
        <w:tc>
          <w:tcPr>
            <w:tcW w:type="dxa" w:w="6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Classifier output is parsed strictly; 12 malformed-output cases and 6 handler cases (Bedrock mocked: valid, malformed, thrown ThrottlingException, top mode, unknown mode) all land on valid weights or the STABLE_ROUTINE fallback</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bCs/>
                <w:sz w:val="16"/>
                <w:szCs w:val="16"/>
              </w:rPr>
              <w:t xml:space="preserve">Failure-case probe added this sprint</w:t>
            </w:r>
          </w:p>
        </w:tc>
        <w:tc>
          <w:tcPr>
            <w:tcW w:type="dxa" w:w="6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 zero-capacity shelter bid (SYN-04): the production arbitrator would score it; only the tier-1 agent keeps it out (KI-21, KI-22)</w:t>
            </w:r>
          </w:p>
        </w:tc>
      </w:tr>
    </w:tbl>
    <w:p>
      <w:pPr>
        <w:pStyle w:val="Heading1"/>
        <w:keepNext/>
        <w:spacing w:after="120" w:before="280"/>
      </w:pPr>
      <w:r>
        <w:rPr>
          <w:rFonts w:ascii="Calibri" w:cs="Calibri" w:eastAsia="Calibri" w:hAnsi="Calibri"/>
          <w:b/>
          <w:bCs/>
          <w:color w:val="0F4C46"/>
          <w:sz w:val="30"/>
          <w:szCs w:val="30"/>
        </w:rPr>
        <w:t xml:space="preserve">5. Interpretation Against the Success Criteria and the Midpoint Adjustments</w:t>
      </w:r>
    </w:p>
    <w:p>
      <w:pPr>
        <w:spacing w:after="110" w:before="70" w:line="262"/>
      </w:pPr>
      <w:r>
        <w:rPr>
          <w:rFonts w:ascii="Calibri" w:cs="Calibri" w:eastAsia="Calibri" w:hAnsi="Calibri"/>
          <w:b/>
          <w:bCs/>
          <w:sz w:val="21"/>
          <w:szCs w:val="21"/>
        </w:rPr>
        <w:t xml:space="preserve">What the evidence supports. </w:t>
      </w:r>
      <w:r>
        <w:rPr>
          <w:rFonts w:ascii="Calibri" w:cs="Calibri" w:eastAsia="Calibri" w:hAnsi="Calibri"/>
          <w:sz w:val="21"/>
          <w:szCs w:val="21"/>
        </w:rPr>
        <w:t xml:space="preserve">On these cases the production formula makes the weighting method irrelevant: equal weights do exactly as well as the AHP blend or the LLM's own weights (7 of 12). Counting capacity once is the change that lets case-specific weights matter, and it never made things worse than the production formula in any weighting method. That agrees with the midpoint finding (v1 and v2 pick the same shelter) and gives it a mechanism: the formula, not the weights, was the limiting factor.</w:t>
      </w:r>
    </w:p>
    <w:p>
      <w:pPr>
        <w:spacing w:after="110" w:before="70" w:line="262"/>
      </w:pPr>
      <w:r>
        <w:rPr>
          <w:rFonts w:ascii="Calibri" w:cs="Calibri" w:eastAsia="Calibri" w:hAnsi="Calibri"/>
          <w:b/>
          <w:bCs/>
          <w:sz w:val="21"/>
          <w:szCs w:val="21"/>
        </w:rPr>
        <w:t xml:space="preserve">Against SC3 (v2 at least as good as v1). </w:t>
      </w:r>
      <w:r>
        <w:rPr>
          <w:rFonts w:ascii="Calibri" w:cs="Calibri" w:eastAsia="Calibri" w:hAnsi="Calibri"/>
          <w:sz w:val="21"/>
          <w:szCs w:val="21"/>
        </w:rPr>
        <w:t xml:space="preserve">Still met only as a tie: blend and v1 are identical under the production formula and differ by one case (SYN-12) under F1. The honest claim is not that v2 is better, but that v2 is auditable and reproducible and becomes useful only after the formula is fixed.</w:t>
      </w:r>
    </w:p>
    <w:p>
      <w:pPr>
        <w:spacing w:after="110" w:before="70" w:line="262"/>
      </w:pPr>
      <w:r>
        <w:rPr>
          <w:rFonts w:ascii="Calibri" w:cs="Calibri" w:eastAsia="Calibri" w:hAnsi="Calibri"/>
          <w:b/>
          <w:bCs/>
          <w:sz w:val="21"/>
          <w:szCs w:val="21"/>
        </w:rPr>
        <w:t xml:space="preserve">Positive signals. </w:t>
      </w:r>
      <w:r>
        <w:rPr>
          <w:rFonts w:ascii="Calibri" w:cs="Calibri" w:eastAsia="Calibri" w:hAnsi="Calibri"/>
          <w:sz w:val="21"/>
          <w:szCs w:val="21"/>
        </w:rPr>
        <w:t xml:space="preserve">The control passes in all 16 cells; the gain appears in both case sets; the result is stable under a post-hoc correction; every run is reproducible (identical hashes in three clean-clone runs).</w:t>
      </w:r>
    </w:p>
    <w:p>
      <w:pPr>
        <w:spacing w:after="110" w:before="70" w:line="262"/>
      </w:pPr>
      <w:r>
        <w:rPr>
          <w:rFonts w:ascii="Calibri" w:cs="Calibri" w:eastAsia="Calibri" w:hAnsi="Calibri"/>
          <w:b/>
          <w:bCs/>
          <w:sz w:val="21"/>
          <w:szCs w:val="21"/>
        </w:rPr>
        <w:t xml:space="preserve">Persistent weaknesses of the evidence itself. </w:t>
      </w:r>
      <w:r>
        <w:rPr>
          <w:rFonts w:ascii="Calibri" w:cs="Calibri" w:eastAsia="Calibri" w:hAnsi="Calibri"/>
          <w:sz w:val="21"/>
          <w:szCs w:val="21"/>
        </w:rPr>
        <w:t xml:space="preserve">Twelve cases and wide intervals; no contrast is statistically distinguishable; one annotator, and the second set's annotations are AI-authored; the formula variants are my hypotheses, not a shelter expert's; blend and top are nearly identical because the classifier's probabilities are close to one-hot; v1's weights come from one live call per case; no real case. A fixture (SYN-04) contains a bid production never sends. Counting capacity once is also not safe on its own: without a minimum-capacity rule an empty shelter can win (KI-22).</w:t>
      </w:r>
    </w:p>
    <w:p>
      <w:pPr>
        <w:spacing w:after="110" w:before="70" w:line="262"/>
      </w:pPr>
      <w:r>
        <w:rPr>
          <w:rFonts w:ascii="Calibri" w:cs="Calibri" w:eastAsia="Calibri" w:hAnsi="Calibri"/>
          <w:b/>
          <w:bCs/>
          <w:sz w:val="21"/>
          <w:szCs w:val="21"/>
        </w:rPr>
        <w:t xml:space="preserve">Supervisor prompt: which result most changes what I should prioritize? </w:t>
      </w:r>
      <w:r>
        <w:rPr>
          <w:rFonts w:ascii="Calibri" w:cs="Calibri" w:eastAsia="Calibri" w:hAnsi="Calibri"/>
          <w:sz w:val="21"/>
          <w:szCs w:val="21"/>
        </w:rPr>
        <w:t xml:space="preserve">The interaction result: weights matter only once the formula stops double-counting capacity. It moves the formula to the front of the queue (with a minimum-capacity eligibility rule) and demotes classifier calibration and further AHP work until after that. It also makes an independent, expert-proposed set of formula variants the thing to obtain, because mine are not independent.</w:t>
      </w:r>
    </w:p>
    <w:p>
      <w:pPr>
        <w:pStyle w:val="Heading1"/>
        <w:keepNext/>
        <w:spacing w:after="120" w:before="280"/>
      </w:pPr>
      <w:r>
        <w:rPr>
          <w:rFonts w:ascii="Calibri" w:cs="Calibri" w:eastAsia="Calibri" w:hAnsi="Calibri"/>
          <w:b/>
          <w:bCs/>
          <w:color w:val="0F4C46"/>
          <w:sz w:val="30"/>
          <w:szCs w:val="30"/>
        </w:rPr>
        <w:t xml:space="preserve">6. Issue Log and Next-Step Plan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600"/>
        <w:gridCol w:w="3000"/>
        <w:gridCol w:w="3120"/>
      </w:tblGrid>
      <w:tr>
        <w:trPr>
          <w:cantSplit/>
          <w:tblHeader/>
        </w:trPr>
        <w:tc>
          <w:tcPr>
            <w:tcW w:type="dxa" w:w="36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Item</w:t>
            </w:r>
          </w:p>
        </w:tc>
        <w:tc>
          <w:tcPr>
            <w:tcW w:type="dxa" w:w="3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Change</w:t>
            </w:r>
          </w:p>
        </w:tc>
        <w:tc>
          <w:tcPr>
            <w:tcW w:type="dxa" w:w="31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Next step</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KI-11 capacity counted twice</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Now tested; counting it once helps when weights are case-specific</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Decide and implement with KI-22</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KI-20 set-2 annotations are AI-authored</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New</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Independent annotator for set 2 (B-03)</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KI-21 SYN-04 fixture contains a bid production never sends</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New</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Keep as pre-registered; carry the post-hoc note</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KI-22 capacity is a score term, not an eligibility rule</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New</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Add availableSlots &gt; 0 to eligibility with any formula change</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R-12 formula variants are AI hypotheses</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New</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Expert-proposed variants; second annotator</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B-01 and B-02</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Done</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Closed</w:t>
            </w:r>
          </w:p>
        </w:tc>
      </w:tr>
      <w:tr>
        <w:trPr>
          <w:cantSplit/>
          <w:tblHeader w:val="off"/>
        </w:trPr>
        <w:tc>
          <w:tcPr>
            <w:tcW w:type="dxa" w:w="36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Supervisor review (B-04)</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Still open</w:t>
            </w:r>
          </w:p>
        </w:tc>
        <w:tc>
          <w:tcPr>
            <w:tcW w:type="dxa" w:w="31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Hold the review and record it</w:t>
            </w:r>
          </w:p>
        </w:tc>
      </w:tr>
    </w:tbl>
    <w:p>
      <w:pPr>
        <w:spacing w:after="110" w:before="70" w:line="262"/>
      </w:pPr>
      <w:r>
        <w:rPr>
          <w:rFonts w:ascii="Calibri" w:cs="Calibri" w:eastAsia="Calibri" w:hAnsi="Calibri"/>
          <w:sz w:val="21"/>
          <w:szCs w:val="21"/>
        </w:rPr>
        <w:t xml:space="preserve">Next, in order: (1) a supervisor review with a record; (2) an independent annotator for set 2 and expert-proposed formula variants; (3) implement the chosen formula change together with the capacity rule and re-run this same pre-registered grid on a fresh case set; (4) only then revisit promotion of WEIGHTING_MODE and classifier calibration.</w:t>
      </w:r>
    </w:p>
    <w:p>
      <w:pPr>
        <w:pStyle w:val="Heading1"/>
        <w:keepNext/>
        <w:spacing w:after="120" w:before="280"/>
      </w:pPr>
      <w:r>
        <w:rPr>
          <w:rFonts w:ascii="Calibri" w:cs="Calibri" w:eastAsia="Calibri" w:hAnsi="Calibri"/>
          <w:b/>
          <w:bCs/>
          <w:color w:val="0F4C46"/>
          <w:sz w:val="30"/>
          <w:szCs w:val="30"/>
        </w:rPr>
        <w:t xml:space="preserve">7. Could Another Reader Tell How Each Result Was Produced? (self-check)</w:t>
      </w:r>
    </w:p>
    <w:p>
      <w:pPr>
        <w:spacing w:after="110" w:before="70" w:line="262"/>
      </w:pPr>
      <w:r>
        <w:rPr>
          <w:rFonts w:ascii="Calibri" w:cs="Calibri" w:eastAsia="Calibri" w:hAnsi="Calibri"/>
          <w:sz w:val="21"/>
          <w:szCs w:val="21"/>
        </w:rPr>
        <w:t xml:space="preserve">Yes for every number in this document: each comes from eval/results/ablation.json or ablation-posthoc-production-bids.json, which the commands in Section 3.3 regenerate byte-for-byte from committed inputs. The parts a reader cannot reproduce are the live model calls (their recorded output is committed and replayed) and the annotations (which are judgments). Both are stated.</w:t>
      </w:r>
    </w:p>
    <w:p>
      <w:pPr>
        <w:pStyle w:val="Heading1"/>
        <w:keepNext/>
        <w:spacing w:after="120" w:before="280"/>
      </w:pPr>
      <w:r>
        <w:rPr>
          <w:rFonts w:ascii="Calibri" w:cs="Calibri" w:eastAsia="Calibri" w:hAnsi="Calibri"/>
          <w:b/>
          <w:bCs/>
          <w:color w:val="0F4C46"/>
          <w:sz w:val="30"/>
          <w:szCs w:val="30"/>
        </w:rPr>
        <w:t xml:space="preserve">8. Repository State</w:t>
      </w:r>
    </w:p>
    <w:p>
      <w:pPr>
        <w:spacing w:after="110" w:before="70" w:line="262"/>
      </w:pPr>
      <w:r>
        <w:rPr>
          <w:rFonts w:ascii="Calibri" w:cs="Calibri" w:eastAsia="Calibri" w:hAnsi="Calibri"/>
          <w:sz w:val="21"/>
          <w:szCs w:val="21"/>
        </w:rPr>
        <w:t xml:space="preserve">Repository https://github.com/manojvprimary/rescuenet. The ablation code, pre-registration, results, evidence file, and the verbatim review record are on branch sprint-4/ablation (final commit 206d6b2; tag v0.4.0-ablation marks the analysis commit). Clean-clone evidence: docs/evidence/sprint-4/node20-ablation.txt, captured against commit 229a259; later commits add documentation only.</w:t>
      </w:r>
    </w:p>
    <w:p>
      <w:pPr>
        <w:pageBreakBefore/>
      </w:pPr>
    </w:p>
    <w:p>
      <w:pPr>
        <w:pStyle w:val="Heading1"/>
        <w:keepNext/>
        <w:spacing w:after="120" w:before="280"/>
      </w:pPr>
      <w:r>
        <w:rPr>
          <w:rFonts w:ascii="Calibri" w:cs="Calibri" w:eastAsia="Calibri" w:hAnsi="Calibri"/>
          <w:b/>
          <w:bCs/>
          <w:color w:val="0F4C46"/>
          <w:sz w:val="30"/>
          <w:szCs w:val="30"/>
        </w:rPr>
        <w:t xml:space="preserve">Appendix A. Cumulative AI Use Log</w:t>
      </w:r>
    </w:p>
    <w:p>
      <w:pPr>
        <w:spacing w:after="110" w:before="70" w:line="262"/>
      </w:pPr>
      <w:r>
        <w:rPr>
          <w:rFonts w:ascii="Calibri" w:cs="Calibri" w:eastAsia="Calibri" w:hAnsi="Calibri"/>
          <w:sz w:val="21"/>
          <w:szCs w:val="21"/>
        </w:rPr>
        <w:t xml:space="preserve">The full log from docs/AI_USE_LOG.md. Entries 24 and 25 are in Section 1.</w:t>
      </w:r>
    </w:p>
    <w:p>
      <w:pPr>
        <w:keepNext/>
        <w:spacing w:after="60" w:before="160"/>
      </w:pPr>
      <w:r>
        <w:rPr>
          <w:rFonts w:ascii="Calibri" w:cs="Calibri" w:eastAsia="Calibri" w:hAnsi="Calibri"/>
          <w:b/>
          <w:bCs/>
          <w:sz w:val="22"/>
          <w:szCs w:val="22"/>
        </w:rPr>
        <w:t xml:space="preserve">Entry 1 — Code Audit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(2026-09-06), pre-launch-packet code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defects in the arbitrator and geocoding-agent Lambda functions to motivate the CISC 699 project scope.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 lambda/arbitrator/index.ts and lambda/geocoding-agent/index.ts for logic and calibration issues; verify findings against a live test on the deployed system.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Identification of the specScore array-existence defect, hand-picked normalization constants, and the unprovisioned AWS Location Service Place Index.</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Launch packet Sections 1, 3.2, 3.10 (Risks); Appendix A (this log's companion, ENGINEERING_LOG.md).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Findings checked directly against source code; the geocoding fallback was independently confirmed by submitting a real test case to the live AWS account and reading the resulting DynamoDB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None required — findings were code- and test-verified before being written up.</w:t>
            </w:r>
          </w:p>
        </w:tc>
      </w:tr>
    </w:tbl>
    <w:p>
      <w:pPr>
        <w:keepNext/>
        <w:spacing w:after="60" w:before="160"/>
      </w:pPr>
      <w:r>
        <w:rPr>
          <w:rFonts w:ascii="Calibri" w:cs="Calibri" w:eastAsia="Calibri" w:hAnsi="Calibri"/>
          <w:b/>
          <w:bCs/>
          <w:sz w:val="22"/>
          <w:szCs w:val="22"/>
        </w:rPr>
        <w:t xml:space="preserve">Entry 2 — Literature Research</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initial bibliography and post-feedback addition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credible, current sources on multi-agent task allocation, AHP, and market-based routing relevant to the arbitrator.</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Search for and verify real academic/technical sources; after supervisor feedback, specifically verify three named sources (2025 MARL survey, AWS Bedrock multi-agent GA, an auction-plus-AHP task-fitness paper).</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Nine annotated bibliography entries (launch packet Section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 6; Section 3.9 (Preliminary Literature).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Each source's real existence, authorship, and publication details were independently confirmed via search before inclusion; no fabricated citation was accepted.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selected which candidate sources to keep and directed the specific relevance angle each annotation emphasizes.</w:t>
            </w:r>
          </w:p>
        </w:tc>
      </w:tr>
    </w:tbl>
    <w:p>
      <w:pPr>
        <w:keepNext/>
        <w:spacing w:after="60" w:before="160"/>
      </w:pPr>
      <w:r>
        <w:rPr>
          <w:rFonts w:ascii="Calibri" w:cs="Calibri" w:eastAsia="Calibri" w:hAnsi="Calibri"/>
          <w:b/>
          <w:bCs/>
          <w:sz w:val="22"/>
          <w:szCs w:val="22"/>
        </w:rPr>
        <w:t xml:space="preserve">Entry 3 — Charter, Feasibility, and Revision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full drafting and post-feedback revision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the charter, feasibility review, workspace section, and AHP protocol from student direction.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launch-packet Sections 2–5 and the AHP elicitation protocol (Section 3.4) from student-provided project history; revise per supervisor feedback.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Full section drafts, later revised.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2, 3,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and edited by the student before each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redirected the shelter-portal framing from "deferred" to "gated stretch goal" (Section 3.6), and directed the addition of the AHP protocol and new sources after reading supervisor feedback.</w:t>
            </w:r>
          </w:p>
        </w:tc>
      </w:tr>
    </w:tbl>
    <w:p>
      <w:pPr>
        <w:keepNext/>
        <w:spacing w:after="60" w:before="160"/>
      </w:pPr>
      <w:r>
        <w:rPr>
          <w:rFonts w:ascii="Calibri" w:cs="Calibri" w:eastAsia="Calibri" w:hAnsi="Calibri"/>
          <w:b/>
          <w:bCs/>
          <w:sz w:val="22"/>
          <w:szCs w:val="22"/>
        </w:rPr>
        <w:t xml:space="preserve">Entry 4 — Feedback Triage and Gap Analysis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(2026-09-13), pre-drafting for Hard Stop 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Systematically map the instructor's RU-01 rubric feedback (88/100) and general class feedback onto concrete revisions required for the Hard Stop 1 Proposal Approval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Given the pasted per-criterion instructor comments on Assignment 1, identify actionable items and cross-reference them against the Hard Stop 1 task list before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"Response to Week 1 Supervisor Feedback" table (proposal Section 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 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confirmed each item against the actual feedback text before marking it addressed; nothing was marked resolved without a corresponding change in the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to resolve the GitHub remote/issue-tracker item this week rather than defer it a second time, given it had already been flagged once.</w:t>
            </w:r>
          </w:p>
        </w:tc>
      </w:tr>
    </w:tbl>
    <w:p>
      <w:pPr>
        <w:keepNext/>
        <w:spacing w:after="60" w:before="160"/>
      </w:pPr>
      <w:r>
        <w:rPr>
          <w:rFonts w:ascii="Calibri" w:cs="Calibri" w:eastAsia="Calibri" w:hAnsi="Calibri"/>
          <w:b/>
          <w:bCs/>
          <w:sz w:val="22"/>
          <w:szCs w:val="22"/>
        </w:rPr>
        <w:t xml:space="preserve">Entry 5 — Proposal Drafting (Background, Objectives, Success Criteria, MACP Framing, Project Plan)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 the Week 1 charter into the formal proposal structure Hard Stop 1 requires, with explicit measurable success criteria and MACP-framed feasibility.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3 through 7 (Background and Problem Statement; Objectives and Intended Artifact; Success Criteria; MACP Feasibility Framing; Project Plan).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3, 4, 5, 6,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by the student against the actual codebase, the live AWS account, and the syllabus's published 14-week schedule before inclusion.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set the specific numeric thresholds in Section 5 (e.g., the CR &lt; 0.10 consistency threshold, the ~30-second latency budget) and decided the four-phase boundary structure in Section 7.</w:t>
            </w:r>
          </w:p>
        </w:tc>
      </w:tr>
    </w:tbl>
    <w:p>
      <w:pPr>
        <w:keepNext/>
        <w:spacing w:after="60" w:before="160"/>
      </w:pPr>
      <w:r>
        <w:rPr>
          <w:rFonts w:ascii="Calibri" w:cs="Calibri" w:eastAsia="Calibri" w:hAnsi="Calibri"/>
          <w:b/>
          <w:bCs/>
          <w:sz w:val="22"/>
          <w:szCs w:val="22"/>
        </w:rPr>
        <w:t xml:space="preserve">Entry 6 — Work Breakdown, Risk/Ethics Section, and Approval Brief</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Produce the week-by-week work breakdown, the expanded risk/ethics/constraints section, and the one-page approval brief.</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8, 9, 10, and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8, 9, 10,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and edited by the student before submission; risk likelihoods and the approval brief's "conditional" items were checked against the student's own understanding of project status.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which open items from the Week 1 Supervisor Briefing Note remain genuinely open now that the GitHub item is resolved, and wrote the specific evidence commitments for the Week 4 checkpoint.</w:t>
            </w:r>
          </w:p>
        </w:tc>
      </w:tr>
    </w:tbl>
    <w:p>
      <w:pPr>
        <w:keepNext/>
        <w:spacing w:after="60" w:before="160"/>
      </w:pPr>
      <w:r>
        <w:rPr>
          <w:rFonts w:ascii="Calibri" w:cs="Calibri" w:eastAsia="Calibri" w:hAnsi="Calibri"/>
          <w:b/>
          <w:bCs/>
          <w:sz w:val="22"/>
          <w:szCs w:val="22"/>
        </w:rPr>
        <w:t xml:space="preserve">Entry 7 — Literature Verification and Synthesis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(2026-09-20), literature expansion for RU-03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and independently verify credible sources for three themes missing from the Week 1-2 bibliography: competing/comparable systems, evaluation strategy under sparse data, and AI governance/ethics standards.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Search for real, current sources on animal-shelter management software, offline/sparse-data evaluation methods for ranking systems, and NIST AI risk-management guidance; verify exact authors, venues, and dates before use.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new annotated bibliography entries and the literature synthesis narrative, including an explicit gap statement.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2 and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new source's real existence, exact title, authorship, and publication/announcement date was independently confirmed via search before inclusion; the NIST critical-infrastructure document was confirmed to be a concept note in development, not a finished profile, and is cited accordingly rather than overstated.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selected which five sources to add and directed the specific gap this project fills relative to each theme.</w:t>
            </w:r>
          </w:p>
        </w:tc>
      </w:tr>
    </w:tbl>
    <w:p>
      <w:pPr>
        <w:keepNext/>
        <w:spacing w:after="60" w:before="160"/>
      </w:pPr>
      <w:r>
        <w:rPr>
          <w:rFonts w:ascii="Calibri" w:cs="Calibri" w:eastAsia="Calibri" w:hAnsi="Calibri"/>
          <w:b/>
          <w:bCs/>
          <w:sz w:val="22"/>
          <w:szCs w:val="22"/>
        </w:rPr>
        <w:t xml:space="preserve">Entry 8 — Requirements and Use Case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Derive functional and non-functional requirements from the literature and domain context, and formalize the project's existing informal product-walkthrough flows into a structured use-case model.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a requirements table tracing each requirement to either a literature source or a stakeholder need; convert the three flows already documented in docs/rescuenet-usecases.pdf into formal use cases (actor, trigger, preconditions, main flow, postcondition); produce one visual use-case diagram.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4 and 5, including the use-case diagram.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use case was checked against the real product-walkthrough document and, where applicable, the actual Lambda code path it describes (e.g., dedup-agent's active-status query).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which requirements were mandatory versus stretch and confirmed the use-case actors matched the real system's actual actors rather than a generic template.</w:t>
            </w:r>
          </w:p>
        </w:tc>
      </w:tr>
    </w:tbl>
    <w:p>
      <w:pPr>
        <w:keepNext/>
        <w:spacing w:after="60" w:before="160"/>
      </w:pPr>
      <w:r>
        <w:rPr>
          <w:rFonts w:ascii="Calibri" w:cs="Calibri" w:eastAsia="Calibri" w:hAnsi="Calibri"/>
          <w:b/>
          <w:bCs/>
          <w:sz w:val="22"/>
          <w:szCs w:val="22"/>
        </w:rPr>
        <w:t xml:space="preserve">Entry 9 — Domain Constraints and Data Source Inventory</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Profile the system's real DynamoDB tables for provenance, schema, and data-quality limitations, and enumerate domain constraints (latency, legal/privacy, data fields, hardware, interface, organizational policy).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actual CDK database stack, GraphQL schema, and every Lambda's DynamoDB access pattern to build an accurate data-source inventory rather than a generic description; ground domain constraints in the real deployed system and prior weeks' findings.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6 and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6,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table, field, and access pattern listed was confirmed directly against lib/stacks/database-stack.ts, lib/schema.graphql, and each Lambda's source file, not assumed.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directed the reframing of the IRB statement as an assumption subject to university policy (per Week 2 supervisor feedback) rather than a settled conclusion, and confirmed which data-quality findings (e.g., the unused caseId-index GSI) were worth disclosing as known limitations.</w:t>
            </w:r>
          </w:p>
        </w:tc>
      </w:tr>
    </w:tbl>
    <w:p>
      <w:pPr>
        <w:keepNext/>
        <w:spacing w:after="60" w:before="160"/>
      </w:pPr>
      <w:r>
        <w:rPr>
          <w:rFonts w:ascii="Calibri" w:cs="Calibri" w:eastAsia="Calibri" w:hAnsi="Calibri"/>
          <w:b/>
          <w:bCs/>
          <w:sz w:val="22"/>
          <w:szCs w:val="22"/>
        </w:rPr>
        <w:t xml:space="preserve">Entry 10 — Citation Re-Verification and Correction (Post-Feedback)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(2026-09-22), post-submission correction following RU-03 instructor feedback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Correct a bibliographic error the instructor identified in the Zhou et al. citation, and re-verify it properly this time.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Instructor feedback flagged that "the bibliographic details in the student's brief need correction." Re-fetched the actual Frontiers in Physics article page directly (not a search-result summary) to confirm the real author list, title, and publication date.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Corrected citation — Zhou, Y., Lan, Q., Yang, X., Wang, L., Li, G., Li, S., &amp; Lyu, T. (2026), "Multi-agent task allocation method based on the cost-effectiveness maximization multi-round auction algorithm," Frontiers in Physics, 13 — replacing a version with the wrong year (2025 vs. actual 2026), a fabricated title, and incorrect middle initials for six of seven authors.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2 and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original Week 3 verification had confirmed the paper's real existence and DOI but relied on a search-engine summary for the author list and title rather than the source page itself — an insufficient verification standard. This entry documents fetching the actual article page directly as the corrective standard going forward.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also directed softening two overstated claims the same feedback flagged: the "competing systems ignore routing" and project-niche conclusions in Sections 2 and 3 now explicitly note they rest on published documentation only, not an audit of undocumented internals.</w:t>
            </w:r>
          </w:p>
        </w:tc>
      </w:tr>
    </w:tbl>
    <w:p>
      <w:pPr>
        <w:keepNext/>
        <w:spacing w:after="60" w:before="160"/>
      </w:pPr>
      <w:r>
        <w:rPr>
          <w:rFonts w:ascii="Calibri" w:cs="Calibri" w:eastAsia="Calibri" w:hAnsi="Calibri"/>
          <w:b/>
          <w:bCs/>
          <w:sz w:val="22"/>
          <w:szCs w:val="22"/>
        </w:rPr>
        <w:t xml:space="preserve">Entry 11 — Architecture, Data Flow, and Computational Method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(2026-09-27),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Translate the approved RU-03 requirements into a formal architecture description, a data-flow diagram scoped to the arbitrator, and reproducible pseudocode for both the corrected scoring function and the AHP weight-derivation procedure.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real Lambda source (arbitrator, needs-profile) and CDK stack to build an accurate component/responsibility table and data-flow diagram; derive AHP pseudocode including the verified Saaty random-index table; independently verify the RI(5)=1.12 value rather than assume it from memory.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3, 4, and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3,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Components and code lines were checked against the Lambda source, but the first draft of the pipeline ordering (Figure 2) was wrong and was corrected after the EventBridge rules were read directly (see Entry 15); the RI(5) value was independently re-verified via search rather than trusted from training knowledge.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confirmed the arbitrator scope boundary drawn in Figure 2 matches the charter's Section 9 (Out-of-Scope) boundary exactly, and directed which real Bedrock prompt fields to show as the API contract example.</w:t>
            </w:r>
          </w:p>
        </w:tc>
      </w:tr>
    </w:tbl>
    <w:p>
      <w:pPr>
        <w:keepNext/>
        <w:spacing w:after="60" w:before="160"/>
      </w:pPr>
      <w:r>
        <w:rPr>
          <w:rFonts w:ascii="Calibri" w:cs="Calibri" w:eastAsia="Calibri" w:hAnsi="Calibri"/>
          <w:b/>
          <w:bCs/>
          <w:sz w:val="22"/>
          <w:szCs w:val="22"/>
        </w:rPr>
        <w:t xml:space="preserve">Entry 12 — Test and Evaluation Plan, Traceability Matrix</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a concrete, evidence-producing test and evaluation plan, including a defined synthetic-case matrix with ground-truth answers, and trace every RU-03 requirement to a design component and test method.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Define test types, metrics, acceptance thresholds, and comparison logic for SC1-SC5; construct a concrete synthetic case matrix varying species match, urgency, distance, capacity, and vet availability with expert-annotated expected outcomes; design a sensitivity/perturbation check answering the Week 2 supervisor-feedback request for a fairness check.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8 and 9.</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8, 9.</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synthetic case matrix was checked by the student for domain plausibility before being accepted as ground truth.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set the specific perturbation design (±1 Saaty-scale step, one judgment at a time) for the sensitivity check and decided the highest-risk dependency call in Section 10.</w:t>
            </w:r>
          </w:p>
        </w:tc>
      </w:tr>
    </w:tbl>
    <w:p>
      <w:pPr>
        <w:keepNext/>
        <w:spacing w:after="60" w:before="160"/>
      </w:pPr>
      <w:r>
        <w:rPr>
          <w:rFonts w:ascii="Calibri" w:cs="Calibri" w:eastAsia="Calibri" w:hAnsi="Calibri"/>
          <w:b/>
          <w:bCs/>
          <w:sz w:val="22"/>
          <w:szCs w:val="22"/>
        </w:rPr>
        <w:t xml:space="preserve">Entry 13 — Environment, API Contracts, and Supervisor Review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Document the real environment/toolchain plan and API contracts, and draft a genuine supervisor-review request rather than a self-review disclosure, directly applying the Week 3 feedback that a disclosed self-check does not substitute for the assignment-required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Confirm real runtime/dependency versions from package.json, tsconfig.json, and the CDK stack; pull a real Bedrock request payload from needs-profile/index.ts as the API contract example rather than a fabricated one; draft a short, sendable message requesting actual supervisor review of this package's highest-risk item before the deadline.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6, 7, and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6, 7,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version number and dependency in Section 6 was confirmed directly against package.json/tsconfig.json/cdk.json, not assumed from the Week 1 environment snapshot.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sent the supervisor-review email (Sep 26, 5:55 PM EDT) after the AI-drafted text was shortened and made more conversational at the student's direction; a follow-up on the later design change was sent at 7:14 PM EDT.</w:t>
            </w:r>
          </w:p>
        </w:tc>
      </w:tr>
    </w:tbl>
    <w:p>
      <w:pPr>
        <w:keepNext/>
        <w:spacing w:after="60" w:before="160"/>
      </w:pPr>
      <w:r>
        <w:rPr>
          <w:rFonts w:ascii="Calibri" w:cs="Calibri" w:eastAsia="Calibri" w:hAnsi="Calibri"/>
          <w:b/>
          <w:bCs/>
          <w:sz w:val="22"/>
          <w:szCs w:val="22"/>
        </w:rPr>
        <w:t xml:space="preserve">Entry 14 — Design Revision: Dynamic Archetype-Blended Weighting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(2026-09-26), design revision before Hard Stop 2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Resolve the student's question of whether routing should use one settled weight set or case-specific weights, by checking what the code actually does and revising the design accordingly.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Re-read lambda/needs-profile/index.ts and lambda/arbitrator/index.ts to establish that weights are already generated per case by an unseeded Bedrock call; lay out three design options (single AHP set, AHP per archetype, LLM-only); revise the Design Review Package for the chosen option.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Revised Sections 2.2, 3, 4, 5, 7, 8, 9, 10, and 11 of the Design Review Package, including the archetype-blend method, the expanded test plan, and the frozen-v1 comparison design.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Most of the Design Review Package; also corrects the Hard Stop 1 framing of "constant hand-picked weights."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claim that weights are already per-case was verified against the source, not assumed; the species-check defect's real scope was re-checked against the hard-constraint filter and downgraded accordingly.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chose the archetype-blending option and directed that the design be as dynamic as possible, accepting the scope expansion into needs-profile. The three archetypes and all thresholds marked provisional are AI proposals for the student and supervisor to confirm or change.</w:t>
            </w:r>
          </w:p>
        </w:tc>
      </w:tr>
    </w:tbl>
    <w:p>
      <w:pPr>
        <w:keepNext/>
        <w:spacing w:after="60" w:before="160"/>
      </w:pPr>
      <w:r>
        <w:rPr>
          <w:rFonts w:ascii="Calibri" w:cs="Calibri" w:eastAsia="Calibri" w:hAnsi="Calibri"/>
          <w:b/>
          <w:bCs/>
          <w:sz w:val="22"/>
          <w:szCs w:val="22"/>
        </w:rPr>
        <w:t xml:space="preserve">Entry 15 — Rubric Audit and Corrections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(2026-09-26), audit before Hard Stop 2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Check the Design Review Package against the RU-04 rubric and the assignment task list, and close the gaps found.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Compare each section with the five rubric criteria and nine tasks; re-read lib/stacks/lambda-stack.ts for the real event wiring; re-check every reader and writer of NEEDS_TABLE; add the missing tradeoff analysis, setup steps, data-validation steps, failure-mode table, interface table, revised success criteria, Figure 3, and the risks, dependencies, and gaps lists.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2.3, 3 (interface table), 5.4, 6.1 to 6.3, 8 (failure modes), 9 (revised success criteria), 11 (three-part lists), Figures 2 and 3; corrections to the RU-03 brief and engineering 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Most of the Design Review Package, the RU-03 repository copy, ENGINEERING_LOG.md.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event fan-out was read from the EventBridge rules; the unused needs table was confirmed by searching every reference to NEEDS_TABLE. Both showed earlier AI-drafted claims were wrong (Entry 9 said every table and access pattern was confirmed against source, but the duplicated-needs-profile finding had been inferred, not verified), which is why they are disclosed.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requested the rubric check. Whether to tell the instructor about the RU-03 correction is the student's decision. Figures 2 and 3 were drawn by the AI as SVG from the verified design.</w:t>
            </w:r>
          </w:p>
        </w:tc>
      </w:tr>
    </w:tbl>
    <w:p>
      <w:pPr>
        <w:keepNext/>
        <w:spacing w:after="60" w:before="160"/>
      </w:pPr>
      <w:r>
        <w:rPr>
          <w:rFonts w:ascii="Calibri" w:cs="Calibri" w:eastAsia="Calibri" w:hAnsi="Calibri"/>
          <w:b/>
          <w:bCs/>
          <w:sz w:val="22"/>
          <w:szCs w:val="22"/>
        </w:rPr>
        <w:t xml:space="preserve">Entry 16 — Incorporating the Supervisor's Response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(2026-09-28), revision after supervisor reply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supervisor's actual reply to the two emailed requests and revise the design and Section 11 to act on it, rather than only disclosing that a reply was expected.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Open and quote the supervisor's Sep 27, 8:59 PM EDT reply approving the three-archetype approach and requiring the blend to be explicit about being deterministic, documented, and reproducible; add that explicit statement to Section 5.3; update Section 11 with the quoted response and what was and was not directly addressed; note the class-wide deadline extension to Sep 29 and that this revision is being made to act on the response, not merely to use extra time.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Revised Sections 5.3 and 11 of the Design Review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5.3,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quoted reply was read directly from Outlook, not paraphrased from memory; the Canvas assignment page was checked directly for the real extended availability date (Sep 29, 11:59 PM) rather than computing it from the announcement's "two days" wording alone.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that the second-judge and evidence-base questions, not directly addressed in the reply, would be treated as resolved by proceeding rather than re-asked, consistent with the decision to stop emailing and document instead.</w:t>
            </w:r>
          </w:p>
        </w:tc>
      </w:tr>
    </w:tbl>
    <w:p>
      <w:pPr>
        <w:keepNext/>
        <w:spacing w:after="60" w:before="160"/>
      </w:pPr>
      <w:r>
        <w:rPr>
          <w:rFonts w:ascii="Calibri" w:cs="Calibri" w:eastAsia="Calibri" w:hAnsi="Calibri"/>
          <w:b/>
          <w:bCs/>
          <w:sz w:val="22"/>
          <w:szCs w:val="22"/>
        </w:rPr>
        <w:t xml:space="preserve">Entry 17 — Fairness-by-Shelter-Characteristic Check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(2026-09-29), addition before resubmission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Add the second half of the Week 2 fairness/sensitivity request, which the sensitivity check alone did not cover: whether scoring systematically favors a shelter characteristic regardless of case merit.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Re-read the exact Week 2 feedback wording to separate its two asks (judgment sensitivity vs. input-factor fairness); design a won-share-vs-eligible-share method by shelter characteristic (tier, vet availability, distance, freshness); add it to Section 8 with an honest statistical-power caveat given only 9 planned cases; add a traceability row and a Week 7 build-order update.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New Section 8 subsection, Section 9 row NFR7, Section 11 Week 7 build step, of the Design Review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8, 9,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Week 2 feedback text was re-read verbatim rather than paraphrased from memory to confirm it named two distinct checks, not 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requested this addition given the extended deadline; the specific characteristics checked and the "reported as counts, not percentages" honesty framing were directed by the student.</w:t>
            </w:r>
          </w:p>
        </w:tc>
      </w:tr>
    </w:tbl>
    <w:p>
      <w:pPr>
        <w:keepNext/>
        <w:spacing w:after="60" w:before="160"/>
      </w:pPr>
      <w:r>
        <w:rPr>
          <w:rFonts w:ascii="Calibri" w:cs="Calibri" w:eastAsia="Calibri" w:hAnsi="Calibri"/>
          <w:b/>
          <w:bCs/>
          <w:sz w:val="22"/>
          <w:szCs w:val="22"/>
        </w:rPr>
        <w:t xml:space="preserve">Entry 18 — Implementation Sprint I: Code, Tests, and Engineering Documentation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5 (2026-10-03 to 2026-10-04), Implementation Sprint I check-in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the first runnable baseline of the Hard Stop 2 design: tested weight-derivation code, the species-match fix, test and smoke tooling, and the documentation and risk log the check-in requires.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5.3, 8, 11), generate lambda/shared/weights.ts, scoring.ts, ahp-weights.json (placeholder vectors), 36 Jest tests, a smoke script, a six-line arbitrator change, README/CHANGELOG/KNOWN_ISSUES/CONTRIBUTING/RISK_LOG/ARCHITECTURE_NOTES, and this sprint's reflection and submission package. AI-generated code and documents; no AI-generated measurements or results exist (none have been produced yet).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committed on branch sprint-1/baseline and merged to main under tag v0.1.0-baseline.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(new files plus lambda/arbitrator/index.ts, package.json, README.md); docs/evidence/sprint-1/.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before and after; 36 tests pass; a mutation check showed the regression tests fail against the original buggy logic; the documented steps were run on a fresh git clone in an empty directory (all exit codes 0); cdk synth succeeded on the author's machine. Two AI errors were caught and fixed during the sprint: an unpinned ts-node dependency, and a first evidence file with a blank exit code and a hand-typed line, which was regenerated from a capture script. Verified later (2026-10-04): the same steps pass under Node 20.20.2 (supplied temporarily via npx) on an anonymous clone of the public repo, with no engine warning; evidence in docs/evidence/sprint-1/node20-output.txt. Still not verified: synth on a machine without the author's AWS setup.</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design and scope (archetype blending, three profiles, as approved by the supervisor on 2026-09-27) and requested this sprint build. The student reviewed the generated code and reported on 2026-10-04 that it looks good, and made no changes to it.</w:t>
            </w:r>
          </w:p>
        </w:tc>
      </w:tr>
    </w:tbl>
    <w:p>
      <w:pPr>
        <w:keepNext/>
        <w:spacing w:after="60" w:before="160"/>
      </w:pPr>
      <w:r>
        <w:rPr>
          <w:rFonts w:ascii="Calibri" w:cs="Calibri" w:eastAsia="Calibri" w:hAnsi="Calibri"/>
          <w:b/>
          <w:bCs/>
          <w:sz w:val="22"/>
          <w:szCs w:val="22"/>
        </w:rPr>
        <w:t xml:space="preserve">Entry 19 — Implementation Sprint II: Evaluation Harness, Classifier Wiring, and Evidence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(2026-10-10 to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and run the first validation of the Hard Stop 2 design: AHP calculator, evaluation harness over pre-registered fixtures, WEIGHTING_MODE wiring in needs-profile, live classifier and v1-baseline runs, and the evidence capture.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5.2, 5.3, 8) and the Sprint I reflection plan, generate lambda/shared/ahp.ts, match.ts, geo.ts, needs-classifier.ts, the needs-profile change, eval/ (fixtures, annotations, harness, sensitivity), the scripts, 72 new Jest tests, and the documentation updates. AI-generated code and documents. The student chose to run 42 live Bedrock calls (about $0.25) after being told the count and cost.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on branch sprint-2/validation.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(lambda/, eval/, scripts/, test/, docs); docs/evidence/sprint-2/.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108 tests pass under Node 25.9 and Node 20.20.2; the scoring extraction is pinned by an oracle test against a verbatim copy of the original code (216 comparisons) and the v1 prompt by golden files rendered from the pre-change handler; AHP references were computed in a separate Python implementation; the fixtures and annotations were committed before the harness and their hash re-checked in a fresh clone; three repeated runs per classifier give identical result hashes. Errors found and fixed during the sprint: an expected-winner computation that skipped the tie rule (SYN-08 test failed), a double comma from a scripted edit, a nested npx in the evidence script that produced empty hash lines. A metric (raw-score correctness) was added after seeing the first results because the tie rule had flattered v2; it is labelled as post hoc.</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(three archetypes, approved by the supervisor on 2026-09-27) and authorised the live calls. The student did not read every generated line of code.</w:t>
            </w:r>
          </w:p>
        </w:tc>
      </w:tr>
    </w:tbl>
    <w:p>
      <w:pPr>
        <w:keepNext/>
        <w:spacing w:after="60" w:before="160"/>
      </w:pPr>
      <w:r>
        <w:rPr>
          <w:rFonts w:ascii="Calibri" w:cs="Calibri" w:eastAsia="Calibri" w:hAnsi="Calibri"/>
          <w:b/>
          <w:bCs/>
          <w:sz w:val="22"/>
          <w:szCs w:val="22"/>
        </w:rPr>
        <w:t xml:space="preserve">Entry 20 — Evidence-Informed AHP Judgments (Proposed by AI, Adopted by the Student)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 with web search and page fetch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Replace the student's own 30-question elicitation with literature-informed judgments, at the student's request ("instead of me having to make the decisions ... derive the weights"), while keeping the student as the judge of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Research what is known about injured-animal triage, loose-animal response priorities, and shelter capacity; propose a Saaty-scale answer for each of the 30 pairs with a per-pair rationale and source; check consistency (CR) before any harness run. The student asked for forum evidence (r/IndianPets, X); those sites could not be read by any available tool and no forum content is used.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eval/ahp/evidence-informed-proposal.json (sources, 30 answers, 30 rationales) and the three judgment files saved by scripts/ahp-adopt.ts --adopt after the student's decision; v1 vectors in lambda/shared/ahp-weights.json.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vectors, SC2, KI-02, R-01.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sources were read directly (DoveLewis triage guide and the 2010 ASV guidelines as PDFs; Hawaii County Animal Control, Million Cat Challenge, and the University of Illinois pages as web pages); claims taken from search snippets alone were discarded or flagged (for example the 2022 ASV edition and a University of Florida quotation were not relied on). The sources support direction (which factor matters more in which case) but none supports a magnitude on the 1-9 scale; the magnitudes are the AI's reading and the proposal says so. All three matrices passed CR &lt; 0.10 on the first attempt with no tuning, and the proposal was committed (92373a8) before the harness was run against it. The student was shown the full table and reasoning before deciding.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reviewed the table and reasoning and adopted all 30 judgments unchanged (93f895a). The judgments are therefore AI-proposed and student-adopted, not the student's unaided elicitation; this is disclosed in Hard Stop 3 and in KI-02.</w:t>
            </w:r>
          </w:p>
        </w:tc>
      </w:tr>
    </w:tbl>
    <w:p>
      <w:pPr>
        <w:keepNext/>
        <w:spacing w:after="60" w:before="160"/>
      </w:pPr>
      <w:r>
        <w:rPr>
          <w:rFonts w:ascii="Calibri" w:cs="Calibri" w:eastAsia="Calibri" w:hAnsi="Calibri"/>
          <w:b/>
          <w:bCs/>
          <w:sz w:val="22"/>
          <w:szCs w:val="22"/>
        </w:rPr>
        <w:t xml:space="preserve">Entry 21 — Hard Stop 3 Validation Package (This Document)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 Early Implementation Validation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submission from the repository's own files and evidence, and write the interpretation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this document, its two figures, and its tables from the committed results files (eval/results, eval/ahp, docs/evidence/sprint-2, git history). Every number in the tables is read programmatically from those files by the generator rather than typed. AI-generated text and figures.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This document, submitted to Canvas as the third hard-stop deliverable.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the AI log (Section 1, Appendix A); the engineering log entry for Week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were rendered and inspected; each headline figure was cross-checked against the fresh-clone evidence file (test count, result hashes, annotation hash). Two corrections to my own work are disclosed in Sections 6 and 7 (the raw-score metric added after seeing results; the capture script bug). The interpretation memo states what the evidence does not show. Reddit and X could not be read and are not cited.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authorised the 42 live calls and the push to GitHub, and adopted the AHP judgments after reading the full table. Any edits the student makes to this document before submitting are not reflected in this entry.</w:t>
            </w:r>
          </w:p>
        </w:tc>
      </w:tr>
    </w:tbl>
    <w:p>
      <w:pPr>
        <w:keepNext/>
        <w:spacing w:after="60" w:before="160"/>
      </w:pPr>
      <w:r>
        <w:rPr>
          <w:rFonts w:ascii="Calibri" w:cs="Calibri" w:eastAsia="Calibri" w:hAnsi="Calibri"/>
          <w:b/>
          <w:bCs/>
          <w:sz w:val="22"/>
          <w:szCs w:val="22"/>
        </w:rPr>
        <w:t xml:space="preserve">Entry 22 — Midpoint: Non-Production Deployment, Measurement, and Demo Scripts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7 (2026-10-18 to 2026-10-21), Midpoint Demo and Adjustment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Produce the deployment-level evidence that Hard Stop 3 lacked: deploy the v2 code behind WEIGHTING_MODE, measure latency, errors, and rollback on the deployed pipeline, and make the live demo scripts work end to end.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Run a read-only cdk diff; snapshot the deployed functions; deploy the Lambda stack only; write scripts/measure-v2.py (13 cases: 6 under llm, 6 under blend, rollback, 1 verification case) and scripts/demo-e2e.sh / scripts/demo-v2-live.ts; run them against the student's AWS account. AI-generated scripts and operation of the AWS CLI.</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deployed state, docs/evidence/sprint-3/ (pre-deploy snapshot, scrubbed deploy summary, measure-v2.json), and the three scripts.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deployed RescueNetLambda stack (13 functions: new code plus one environment variable, default unchanged); the midpoint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diff was read before deploying (functions only; no IAM, table, or rule changes; the one API-key expiry change was left undeployed by deploying only the Lambda stack). A post-deploy end-to-end run under the unchanged llm default passed before any measurement. The measurement read the stored case records and the functions' own CloudWatch REPORT lines rather than relying on the script's printed output; 13 of 13 cases reached ASSIGNED and no error lines appeared in the nine pipeline functions' logs. Rollback was verified by running a case afterwards and checking the stored profile carried no v2 fields. Problems found along the way: the older scripts/demo.sh simulated a retired in-app Q&amp;A and could not complete (replaced); my first demo script could not parse the intake response; the first measurement run died on an AWS clock-skew error when the laptop slept (retries added, run repeated from the start; the five cases from the aborted run remain in the table as test data).</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 asked the student whether to deploy and which feature to name as the cut. The student declined the question prompt and instead told me, in chat, to go ahead without waiting and report afterwards, and said they did not mind which feature was cut. I therefore chose the options I had recommended (deploy, measure, roll back; cut the fairness check). The student has not reviewed the deployment steps or the scripts line by line.</w:t>
            </w:r>
          </w:p>
        </w:tc>
      </w:tr>
    </w:tbl>
    <w:p>
      <w:pPr>
        <w:keepNext/>
        <w:spacing w:after="60" w:before="160"/>
      </w:pPr>
      <w:r>
        <w:rPr>
          <w:rFonts w:ascii="Calibri" w:cs="Calibri" w:eastAsia="Calibri" w:hAnsi="Calibri"/>
          <w:b/>
          <w:bCs/>
          <w:sz w:val="22"/>
          <w:szCs w:val="22"/>
        </w:rPr>
        <w:t xml:space="preserve">Entry 23 — Midpoint Package (Memo and Slide-Supported Demo)</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7 (2026-10-21), Midpoint Demo and Adjustment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midpoint submission: adjustment memo, slide-supported demo with captured evidence, current-state architecture figure, and updated backlog.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the memo, the deck, and the figure from the repository's own evidence files (results JSON, measure-v2.json, the Hard Stop 3 feedback, the requirement and success-criteria tables from Hard Stop 2); every number is read from a file by the generator rather than typed. AI-generated text, tables, and figure.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memo and the deck, submitted to Canvas.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ENGINEERING_LOG.md Week 7; the backlog and issue 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and slides were rendered and inspected; each figure was cross-checked against docs/evidence/sprint-3/measure-v2.json and the Hard Stop 3 evidence file. The memo states what the deployment evidence does not show (one dominant shelter in the demo roster, no isolated environment, no independent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and delegated the choice of the feature to cut. Any edits the student makes before submitting are not reflected here. This package was prepared after the Oct 18 deadline had passed.</w:t>
            </w:r>
          </w:p>
        </w:tc>
      </w:tr>
    </w:tbl>
    <w:p>
      <w:pPr>
        <w:keepNext/>
        <w:spacing w:after="60" w:before="160"/>
      </w:pPr>
      <w:r>
        <w:rPr>
          <w:rFonts w:ascii="Calibri" w:cs="Calibri" w:eastAsia="Calibri" w:hAnsi="Calibri"/>
          <w:b/>
          <w:bCs/>
          <w:sz w:val="22"/>
          <w:szCs w:val="22"/>
        </w:rPr>
        <w:t xml:space="preserve">Entry 24 — Hard Stop 4: Pre-Registered Ablation, Second Case Set, and Live Calls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8 (2026-10-25), Hard Stop 4</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Answer the question the Hard Stop 3 feedback left open (does the scoring formula or the weighting method limit routing correctness?) with a controlled, pre-registered ablation.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Write eight new evaluation cases and their annotations; run 32 live Bedrock calls (8 frozen v1 profiles, 24 temperature-0 classifier calls); write the pre-registration (question, 4x4 design, hypotheses, decision rules, limits); implement the grid runner, its statistics (exact sign test, Wilson intervals) and 14 tests on synthetic inputs; run it; run a labelled post-hoc variant; capture clean-clone evidence. AI-generated cases, annotations, formula variants, code, and analysis.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eval/fixtures-set2/, eval/annotations-set2.json, docs/ABLATION_PREREGISTRATION.md, eval/ablation.ts, scripts/run-ablation.ts, eval/results/ablation*.json, docs/evidence/sprint-4/.</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Hard Stop 4 package; KI-11 (now tested); the backlog items B-01 and B-02.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Order of events is recorded in git: set-2 cases and annotations were committed (fe064ca) before any ablation code, and the pre-registration with the runner (70c3835) before any result; the run itself used only committed files. The runner's production formula is pinned to the arbitrator's scoring by a test; tests used synthetic inputs only so no result was visible before the pre-registration. Clean-clone evidence under Node 20: 122 tests pass and three runs give identical result hashes for both the pre-registered and the post-hoc variants; both annotation files are byte-identical to the commits that added them. Problems found: the zero-slot bid in set-1 case SYN-04 is one the tier-1 agent never sends in production (found from the ablation output and confirmed in the code; reported, not edited); the clean-clone script initially printed empty hash lines because the runner mishandled absolute output paths (found by reading the output, fixed, re-run). Limits stated in the document: the formula variants and the set-2 cases were written by the same AI and aimed at the same trade-offs, so a good score for them is a lead, not independent validation.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read the eight set-2 annotations and replied "approve all" (recorded in docs/evidence/sprint-4/annotation-approval.txt); no change was requested. The student was not told the number or cost of the 32 live Bedrock calls (about $0.20) before they were made; the AI ran them under the student's general "go" and reported them afterwards. The student then reviewed five highest-risk areas in a chat session, item by item, with replies recorded verbatim in docs/evidence/sprint-4/student-review-record.md: items 1 to 4 (scoring function, weight blend and fallback, classifier path, harness tie rule) were answered in detail and led to decisions and issues KI-23 and KI-24; item 5 (the ablation and five AHP judgments) was answered with a general approval only.</w:t>
            </w:r>
          </w:p>
        </w:tc>
      </w:tr>
    </w:tbl>
    <w:p>
      <w:pPr>
        <w:keepNext/>
        <w:spacing w:after="60" w:before="160"/>
      </w:pPr>
      <w:r>
        <w:rPr>
          <w:rFonts w:ascii="Calibri" w:cs="Calibri" w:eastAsia="Calibri" w:hAnsi="Calibri"/>
          <w:b/>
          <w:bCs/>
          <w:sz w:val="22"/>
          <w:szCs w:val="22"/>
        </w:rPr>
        <w:t xml:space="preserve">Entry 25 — Hard Stop 4 Technical Evidence Review (This Document)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8 (2026-10-25), Hard Stop 4</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evidence review from the repository's own files.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the document, its figures and tables from the committed results (eval/results/ablation*.json, docs/evidence/sprint-4/, the measurement and midpoint files). Every number in the tables is read from a file by the generator. AI-generated text, tables, and figures.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submitted document.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the engineering log (Week 8).</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were rendered and inspected; headline numbers were cross-checked against the clean-clone evidence file. The student-review section contains only what the student wrote; it is not filled in by the AI.</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student-review section contains the student's replies exactly as typed. The student set the decisions listed in Section 1.4 of the document. Any other edits the student makes after this entry was written are not reflected here.</w:t>
            </w:r>
          </w:p>
        </w:tc>
      </w:tr>
    </w:tbl>
    <w:p>
      <w:pPr>
        <w:pStyle w:val="Heading2"/>
        <w:keepNext/>
        <w:spacing w:after="80" w:before="200"/>
      </w:pPr>
      <w:r>
        <w:rPr>
          <w:rFonts w:ascii="Calibri" w:cs="Calibri" w:eastAsia="Calibri" w:hAnsi="Calibri"/>
          <w:b/>
          <w:bCs/>
          <w:color w:val="0F4C46"/>
          <w:sz w:val="24"/>
          <w:szCs w:val="24"/>
        </w:rPr>
        <w:t xml:space="preserve">Prior AI Use (ISEM 502 / GRAD 695)</w:t>
      </w:r>
    </w:p>
    <w:p>
      <w:pPr>
        <w:spacing w:after="110" w:before="70" w:line="262"/>
      </w:pPr>
      <w:r>
        <w:rPr>
          <w:rFonts w:ascii="Calibri" w:cs="Calibri" w:eastAsia="Calibri" w:hAnsi="Calibri"/>
          <w:sz w:val="21"/>
          <w:szCs w:val="21"/>
        </w:rPr>
        <w:t xml:space="preserve">AI-assisted development spanned the earlier coursework this project descends from: code and infrastructure implementation (CDK stacks, Lambda functions, GraphQL schema, mobile app), the GRAD 695 Applied Project Report and its figures, and the ISEM 502 UX Portfolio (personas, heuristic evaluation, prototypes), all drafted from student direction and reviewed by the student. No AI-generated or fabricated user-research data was presented as real at any point; where a course step assumed data unavailable to the student, the constraint was disclosed rather than simulated.</w:t>
      </w:r>
    </w:p>
    <w:sectPr>
      <w:headerReference w:type="default" r:id="rId6"/>
      <w:footerReference w:type="default" r:id="rId7"/>
      <w:pgSz w:w="12240" w:h="15840" w:orient="portrait"/>
      <w:pgMar w:top="1000" w:right="1260" w:bottom="100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r>
    <w:r>
      <w:rPr>
        <w:rFonts w:ascii="Calibri" w:cs="Calibri" w:eastAsia="Calibri" w:hAnsi="Calibri"/>
        <w:color w:val="777777"/>
        <w:sz w:val="16"/>
        <w:szCs w:val="16"/>
      </w:rPr>
      <w:fldChar w:fldCharType="begin"/>
    </w:r>
    <w:r>
      <w:rPr>
        <w:rFonts w:ascii="Calibri" w:cs="Calibri" w:eastAsia="Calibri" w:hAnsi="Calibri"/>
        <w:color w:val="777777"/>
        <w:sz w:val="16"/>
        <w:szCs w:val="16"/>
      </w:rPr>
      <w:instrText xml:space="preserve">PAGE</w:instrText>
    </w:r>
    <w:r>
      <w:rPr>
        <w:rFonts w:ascii="Calibri" w:cs="Calibri" w:eastAsia="Calibri" w:hAnsi="Calibri"/>
        <w:color w:val="777777"/>
        <w:sz w:val="16"/>
        <w:szCs w:val="16"/>
      </w:rPr>
      <w:fldChar w:fldCharType="separate"/>
    </w:r>
    <w:r>
      <w:rPr>
        <w:rFonts w:ascii="Calibri" w:cs="Calibri" w:eastAsia="Calibri" w:hAnsi="Calibri"/>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777777"/>
        <w:sz w:val="16"/>
        <w:szCs w:val="16"/>
      </w:rPr>
      <w:t xml:space="preserve">CISC 699 | Hard Stop 4 | Manoj Venkatachalaiah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e74e941b50e2008224aa242611ef9c32ebd6bf.png"/><Relationship Id="rId10" Type="http://schemas.openxmlformats.org/officeDocument/2006/relationships/image" Target="media/0a9dfb16b91980fb5bda3be78d0212afa00b11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 699 Hard Stop 4: Midpoint Technical Evidence Review</dc:title>
  <dc:creator>Manoj Venkatachalaiah</dc:creator>
  <cp:lastModifiedBy>Un-named</cp:lastModifiedBy>
  <cp:revision>1</cp:revision>
  <dcterms:created xsi:type="dcterms:W3CDTF">2026-10-26T00:59:52.600Z</dcterms:created>
  <dcterms:modified xsi:type="dcterms:W3CDTF">2026-10-26T00:59:52.604Z</dcterms:modified>
</cp:coreProperties>
</file>

<file path=docProps/custom.xml><?xml version="1.0" encoding="utf-8"?>
<Properties xmlns="http://schemas.openxmlformats.org/officeDocument/2006/custom-properties" xmlns:vt="http://schemas.openxmlformats.org/officeDocument/2006/docPropsVTypes"/>
</file>