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64"/>
      </w:pPr>
      <w:r>
        <w:rPr>
          <w:rFonts w:ascii="Calibri" w:cs="Calibri" w:eastAsia="Calibri" w:hAnsi="Calibri"/>
          <w:sz w:val="22"/>
          <w:szCs w:val="22"/>
        </w:rPr>
        <w:t xml:space="preserve"/>
      </w:r>
    </w:p>
    <w:p>
      <w:pPr>
        <w:spacing w:after="0" w:before="0" w:line="264"/>
      </w:pPr>
      <w:r>
        <w:rPr>
          <w:rFonts w:ascii="Calibri" w:cs="Calibri" w:eastAsia="Calibri" w:hAnsi="Calibri"/>
          <w:sz w:val="22"/>
          <w:szCs w:val="22"/>
        </w:rPr>
        <w:t xml:space="preserve"/>
      </w:r>
    </w:p>
    <w:p>
      <w:pPr>
        <w:spacing w:after="0" w:before="0" w:line="264"/>
      </w:pPr>
      <w:r>
        <w:rPr>
          <w:rFonts w:ascii="Calibri" w:cs="Calibri" w:eastAsia="Calibri" w:hAnsi="Calibri"/>
          <w:sz w:val="22"/>
          <w:szCs w:val="22"/>
        </w:rPr>
        <w:t xml:space="preserve"/>
      </w:r>
    </w:p>
    <w:p>
      <w:pPr>
        <w:spacing w:after="200" w:before="0" w:line="264"/>
        <w:jc w:val="center"/>
      </w:pPr>
      <w:r>
        <w:rPr>
          <w:rFonts w:ascii="Calibri" w:cs="Calibri" w:eastAsia="Calibri" w:hAnsi="Calibri"/>
          <w:b/>
          <w:bCs/>
          <w:color w:val="0F4C46"/>
          <w:sz w:val="40"/>
          <w:szCs w:val="40"/>
        </w:rPr>
        <w:t xml:space="preserve">Hard Stop 2: Design Review Package</w:t>
      </w:r>
    </w:p>
    <w:p>
      <w:pPr>
        <w:spacing w:after="400" w:before="0" w:line="264"/>
        <w:jc w:val="center"/>
      </w:pPr>
      <w:r>
        <w:rPr>
          <w:rFonts w:ascii="Calibri" w:cs="Calibri" w:eastAsia="Calibri" w:hAnsi="Calibri"/>
          <w:i/>
          <w:iCs/>
          <w:color w:val="0A3A35"/>
          <w:sz w:val="28"/>
          <w:szCs w:val="28"/>
        </w:rPr>
        <w:t xml:space="preserve">Calibrated Multi-Factor Case Routing for RescueNet</w:t>
      </w:r>
    </w:p>
    <w:p>
      <w:pPr>
        <w:spacing w:after="220" w:before="0" w:line="264"/>
        <w:jc w:val="center"/>
      </w:pPr>
      <w:r>
        <w:rPr>
          <w:rFonts w:ascii="Calibri" w:cs="Calibri" w:eastAsia="Calibri" w:hAnsi="Calibri"/>
          <w:b/>
          <w:bCs/>
          <w:sz w:val="22"/>
          <w:szCs w:val="22"/>
        </w:rPr>
        <w:t xml:space="preserve">Instructor: </w:t>
      </w:r>
      <w:r>
        <w:rPr>
          <w:rFonts w:ascii="Calibri" w:cs="Calibri" w:eastAsia="Calibri" w:hAnsi="Calibri"/>
          <w:sz w:val="22"/>
          <w:szCs w:val="22"/>
        </w:rPr>
        <w:t xml:space="preserve">Majid Shaalan, Ph.D.</w:t>
      </w:r>
    </w:p>
    <w:p>
      <w:pPr>
        <w:spacing w:after="220" w:before="0" w:line="264"/>
        <w:jc w:val="center"/>
      </w:pPr>
      <w:r>
        <w:rPr>
          <w:rFonts w:ascii="Calibri" w:cs="Calibri" w:eastAsia="Calibri" w:hAnsi="Calibri"/>
          <w:b/>
          <w:bCs/>
          <w:sz w:val="22"/>
          <w:szCs w:val="22"/>
        </w:rPr>
        <w:t xml:space="preserve">Course: </w:t>
      </w:r>
      <w:r>
        <w:rPr>
          <w:rFonts w:ascii="Calibri" w:cs="Calibri" w:eastAsia="Calibri" w:hAnsi="Calibri"/>
          <w:sz w:val="22"/>
          <w:szCs w:val="22"/>
        </w:rPr>
        <w:t xml:space="preserve">CISC 699 Applied Project in Computer Information Sciences</w:t>
      </w:r>
    </w:p>
    <w:p>
      <w:pPr>
        <w:spacing w:after="220" w:before="0" w:line="264"/>
        <w:jc w:val="center"/>
      </w:pPr>
      <w:r>
        <w:rPr>
          <w:rFonts w:ascii="Calibri" w:cs="Calibri" w:eastAsia="Calibri" w:hAnsi="Calibri"/>
          <w:b/>
          <w:bCs/>
          <w:sz w:val="22"/>
          <w:szCs w:val="22"/>
        </w:rPr>
        <w:t xml:space="preserve">Student: </w:t>
      </w:r>
      <w:r>
        <w:rPr>
          <w:rFonts w:ascii="Calibri" w:cs="Calibri" w:eastAsia="Calibri" w:hAnsi="Calibri"/>
          <w:sz w:val="22"/>
          <w:szCs w:val="22"/>
        </w:rPr>
        <w:t xml:space="preserve">Manoj Venkatachalaiah</w:t>
      </w:r>
    </w:p>
    <w:p>
      <w:pPr>
        <w:spacing w:after="220" w:before="0" w:line="264"/>
        <w:jc w:val="center"/>
      </w:pPr>
      <w:r>
        <w:rPr>
          <w:rFonts w:ascii="Calibri" w:cs="Calibri" w:eastAsia="Calibri" w:hAnsi="Calibri"/>
          <w:b/>
          <w:bCs/>
          <w:sz w:val="22"/>
          <w:szCs w:val="22"/>
        </w:rPr>
        <w:t xml:space="preserve">Date: </w:t>
      </w:r>
      <w:r>
        <w:rPr>
          <w:rFonts w:ascii="Calibri" w:cs="Calibri" w:eastAsia="Calibri" w:hAnsi="Calibri"/>
          <w:sz w:val="22"/>
          <w:szCs w:val="22"/>
        </w:rPr>
        <w:t xml:space="preserve">September 27, 2026 (Week 4)</w:t>
      </w:r>
    </w:p>
    <w:p>
      <w:r>
        <w:br w:type="page"/>
      </w:r>
    </w:p>
    <w:p>
      <w:pPr>
        <w:keepNext/>
        <w:pBdr>
          <w:bottom w:val="single" w:color="0F4C46" w:sz="8" w:space="4"/>
        </w:pBdr>
        <w:spacing w:after="140" w:before="320" w:line="264"/>
      </w:pPr>
      <w:r>
        <w:rPr>
          <w:rFonts w:ascii="Calibri" w:cs="Calibri" w:eastAsia="Calibri" w:hAnsi="Calibri"/>
          <w:b/>
          <w:bCs/>
          <w:color w:val="0F4C46"/>
          <w:sz w:val="30"/>
          <w:szCs w:val="30"/>
        </w:rPr>
        <w:t xml:space="preserve">1. AI Usage Log and Academic Integrity</w:t>
      </w:r>
    </w:p>
    <w:p>
      <w:pPr>
        <w:spacing w:after="120" w:before="0" w:line="264"/>
        <w:jc w:val="both"/>
      </w:pPr>
      <w:r>
        <w:rPr>
          <w:rFonts w:ascii="Calibri" w:cs="Calibri" w:eastAsia="Calibri" w:hAnsi="Calibri"/>
          <w:sz w:val="22"/>
          <w:szCs w:val="22"/>
        </w:rPr>
        <w:t xml:space="preserve">This section again leads the document, continuing the format used since Hard Stop 1. Generative AI assistance (Claude, Anthropic) was used throughout the preparation of this design package, in the same structured, per-instance format used in Weeks 1-3. The complete, cumulative AI-use log is maintained in docs/AI_USE_LOG.md and reproduced in full as Appendix A.</w:t>
      </w:r>
    </w:p>
    <w:p>
      <w:pPr>
        <w:keepNext/>
        <w:spacing w:after="60" w:before="120" w:line="264"/>
      </w:pPr>
      <w:r>
        <w:rPr>
          <w:rFonts w:ascii="Calibri" w:cs="Calibri" w:eastAsia="Calibri" w:hAnsi="Calibri"/>
          <w:b/>
          <w:bCs/>
          <w:i/>
          <w:iCs/>
          <w:sz w:val="22"/>
          <w:szCs w:val="22"/>
        </w:rPr>
        <w:t xml:space="preserve">Entry 11 — Architecture, Data Flow, and Computational Method Drafting</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4 (2026-09-27), full drafting</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Translate the approved RU-03 requirements into a formal architecture description, a data-flow diagram scoped to the arbitrator, and reproducible pseudocode for both the corrected scoring function and the AHP weight-derivation procedure.</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Read the real Lambda source (arbitrator, needs-profile) and CDK stack to build an accurate component/responsibility table and data-flow diagram; derive AHP pseudocode including the verified Saaty random-index table; independently verify the RI(5)=1.12 value rather than assume it from memory.</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Sections 3, 4, and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Sections 3, 4,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Every component listed in Section 3 and every code line in Section 5 was confirmed against the actual Lambda source files, not described generically; the RI(5) value was independently re-verified via search rather than trusted from training knowledge.</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confirmed the arbitrator scope boundary drawn in Figure 2 matches the charter's Section 9 (Out-of-Scope) boundary exactly, and directed which real Bedrock prompt fields to show as the API contract example.</w:t>
            </w:r>
          </w:p>
        </w:tc>
      </w:tr>
    </w:tbl>
    <w:p>
      <w:pPr>
        <w:spacing w:after="0" w:before="0" w:line="264"/>
      </w:pPr>
      <w:r>
        <w:rPr>
          <w:rFonts w:ascii="Calibri" w:cs="Calibri" w:eastAsia="Calibri" w:hAnsi="Calibri"/>
          <w:sz w:val="22"/>
          <w:szCs w:val="22"/>
        </w:rPr>
        <w:t xml:space="preserve"/>
      </w:r>
    </w:p>
    <w:p>
      <w:pPr>
        <w:keepNext/>
        <w:spacing w:after="60" w:before="120" w:line="264"/>
      </w:pPr>
      <w:r>
        <w:rPr>
          <w:rFonts w:ascii="Calibri" w:cs="Calibri" w:eastAsia="Calibri" w:hAnsi="Calibri"/>
          <w:b/>
          <w:bCs/>
          <w:i/>
          <w:iCs/>
          <w:sz w:val="22"/>
          <w:szCs w:val="22"/>
        </w:rPr>
        <w:t xml:space="preserve">Entry 12 — Test and Evaluation Plan, Traceability Matrix</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4, full drafting</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Design a concrete, evidence-producing test and evaluation plan (not just named test types), including a defined synthetic-case matrix with ground-truth answers, and trace every RU-03 requirement to a design component and test method.</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Define test types, metrics, acceptance thresholds, and comparison logic for SC1-SC5; construct a concrete synthetic case matrix varying species match, urgency, distance, capacity, and vet availability with expert-annotated expected outcomes; design a sensitivity/perturbation check answering the Week 2 supervisor-feedback request for a fairness check.</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Sections 6 and 7 (Environment section drafted separately, see Entry 13).</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Sections 8, 9.</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The synthetic case matrix was checked by the student for domain plausibility (e.g., that "no vet, high urgency, exotic species" is a realistic edge case for this system) before being accepted as ground truth.</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set the specific perturbation design (±1 Saaty-scale step, one judgment at a time) for the sensitivity check and decided the highest-risk dependency call in Section 10.</w:t>
            </w:r>
          </w:p>
        </w:tc>
      </w:tr>
    </w:tbl>
    <w:p>
      <w:pPr>
        <w:spacing w:after="0" w:before="0" w:line="264"/>
      </w:pPr>
      <w:r>
        <w:rPr>
          <w:rFonts w:ascii="Calibri" w:cs="Calibri" w:eastAsia="Calibri" w:hAnsi="Calibri"/>
          <w:sz w:val="22"/>
          <w:szCs w:val="22"/>
        </w:rPr>
        <w:t xml:space="preserve"/>
      </w:r>
    </w:p>
    <w:p>
      <w:pPr>
        <w:keepNext/>
        <w:spacing w:after="60" w:before="120" w:line="264"/>
      </w:pPr>
      <w:r>
        <w:rPr>
          <w:rFonts w:ascii="Calibri" w:cs="Calibri" w:eastAsia="Calibri" w:hAnsi="Calibri"/>
          <w:b/>
          <w:bCs/>
          <w:i/>
          <w:iCs/>
          <w:sz w:val="22"/>
          <w:szCs w:val="22"/>
        </w:rPr>
        <w:t xml:space="preserve">Entry 13 — Environment, API Contracts, and Supervisor Review Drafting</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4, full drafting</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Document the real environment/toolchain plan and API contracts, and draft a genuine supervisor-review request rather than a self-review disclosure, directly applying the Week 3 feedback that a disclosed self-check does not substitute for the assignment-required review.</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Confirm real runtime/dependency versions from package.json, tsconfig.json, and the CDK stack; pull a real Bedrock request payload from needs-profile/index.ts as the API contract example rather than a fabricated one; draft a short, sendable message requesting actual supervisor review of this package's highest-risk item before the deadline.</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Sections 6, 7, and 11.</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Sections 6, 7, 11.</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Every version number and dependency in Section 6 was confirmed directly against package.json/tsconfig.json/cdk.json, not assumed from the Week 1 environment snapshot.</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decided whether and how to send the drafted supervisor-review request ahead of submission (see Section 11 for the outcome as of submission).</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Academic Integrity Statement</w:t>
      </w:r>
    </w:p>
    <w:p>
      <w:pPr>
        <w:spacing w:after="120" w:before="0" w:line="264"/>
        <w:jc w:val="both"/>
      </w:pPr>
      <w:r>
        <w:rPr>
          <w:rFonts w:ascii="Calibri" w:cs="Calibri" w:eastAsia="Calibri" w:hAnsi="Calibri"/>
          <w:sz w:val="22"/>
          <w:szCs w:val="22"/>
        </w:rPr>
        <w:t xml:space="preserve">All architecture, method, and evaluation-design decisions in this package are the student's own. AI assistance was used for drafting, diagram construction, and technical-writing support as disclosed above; every technical claim about the real system (component behavior, dependency versions, code snippets) was checked directly against the actual repository rather than described generically, and the one previously mis-verified citation from Week 3 (Section 2, if referenced here) has been corrected at its source rather than repeated.</w:t>
      </w:r>
    </w:p>
    <w:p>
      <w:pPr>
        <w:keepNext/>
        <w:spacing w:after="100" w:before="200" w:line="264"/>
      </w:pPr>
      <w:r>
        <w:rPr>
          <w:rFonts w:ascii="Calibri" w:cs="Calibri" w:eastAsia="Calibri" w:hAnsi="Calibri"/>
          <w:b/>
          <w:bCs/>
          <w:color w:val="0A3A35"/>
          <w:sz w:val="24"/>
          <w:szCs w:val="24"/>
        </w:rPr>
        <w:t xml:space="preserve">Student-Directed Judgments</w:t>
      </w:r>
    </w:p>
    <w:p>
      <w:pPr>
        <w:spacing w:after="120" w:before="0" w:line="264"/>
        <w:jc w:val="both"/>
      </w:pPr>
      <w:r>
        <w:rPr>
          <w:rFonts w:ascii="Calibri" w:cs="Calibri" w:eastAsia="Calibri" w:hAnsi="Calibri"/>
          <w:sz w:val="22"/>
          <w:szCs w:val="22"/>
        </w:rPr>
        <w:t xml:space="preserve">The scope boundary drawn around the arbitrator in Figure 2, the specific synthetic-case dimensions chosen for evaluation, the sensitivity-check design, the highest-risk-dependency call in Section 10, and the decision of how to pursue real supervisor review in Section 11 reflect the student's own judgment, not an unreviewed AI output.</w:t>
      </w:r>
    </w:p>
    <w:p>
      <w:r>
        <w:br w:type="page"/>
      </w:r>
    </w:p>
    <w:p>
      <w:pPr>
        <w:keepNext/>
        <w:pBdr>
          <w:bottom w:val="single" w:color="0F4C46" w:sz="8" w:space="4"/>
        </w:pBdr>
        <w:spacing w:after="140" w:before="320" w:line="264"/>
      </w:pPr>
      <w:r>
        <w:rPr>
          <w:rFonts w:ascii="Calibri" w:cs="Calibri" w:eastAsia="Calibri" w:hAnsi="Calibri"/>
          <w:b/>
          <w:bCs/>
          <w:color w:val="0F4C46"/>
          <w:sz w:val="30"/>
          <w:szCs w:val="30"/>
        </w:rPr>
        <w:t xml:space="preserve">2. Response to Week 3 Supervisor Feedback</w:t>
      </w:r>
    </w:p>
    <w:p>
      <w:pPr>
        <w:spacing w:after="120" w:before="0" w:line="264"/>
        <w:jc w:val="both"/>
      </w:pPr>
      <w:r>
        <w:rPr>
          <w:rFonts w:ascii="Calibri" w:cs="Calibri" w:eastAsia="Calibri" w:hAnsi="Calibri"/>
          <w:sz w:val="22"/>
          <w:szCs w:val="22"/>
        </w:rPr>
        <w:t xml:space="preserve">Per this course's established pattern, the instructor's feedback on RU-03 is treated here as the supervisor feedback this design package should visibly respond to.</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4200"/>
        <w:gridCol w:w="5160"/>
      </w:tblGrid>
      <w:tr>
        <w:trPr>
          <w:cantSplit/>
          <w:tblHeader/>
        </w:trPr>
        <w:tc>
          <w:tcPr>
            <w:tcW w:type="dxa" w:w="42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Deficiency Noted</w:t>
            </w:r>
          </w:p>
        </w:tc>
        <w:tc>
          <w:tcPr>
            <w:tcW w:type="dxa" w:w="51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Response in This Package</w:t>
            </w:r>
          </w:p>
        </w:tc>
      </w:tr>
      <w:tr>
        <w:trPr>
          <w:cantSplit/>
        </w:trPr>
        <w:tc>
          <w:tcPr>
            <w:tcW w:type="dxa" w:w="42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Inaccurate bibliographic metadata despite a claimed independent-verification standard.</w:t>
            </w:r>
          </w:p>
        </w:tc>
        <w:tc>
          <w:tcPr>
            <w:tcW w:type="dxa" w:w="51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The Zhou et al. citation (year, title, five of seven authors' initials) was corrected at its source in the RU-03 document and docs/AI_USE_LOG.md (Entry 10). The verification standard going forward, applied throughout this package, is fetching the actual source page directly rather than relying on a search-result summary.</w:t>
            </w:r>
          </w:p>
        </w:tc>
      </w:tr>
      <w:tr>
        <w:trPr>
          <w:cantSplit/>
        </w:trPr>
        <w:tc>
          <w:tcPr>
            <w:tcW w:type="dxa" w:w="42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Supervisor review disclosed as pending rather than actually completed.</w:t>
            </w:r>
          </w:p>
        </w:tc>
        <w:tc>
          <w:tcPr>
            <w:tcW w:type="dxa" w:w="51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 11 provides a specific, sendable review request (not another self-review disclosure) — see Section 11 for exactly what is asked and the plan for incorporating a response if one arrives before the deadline.</w:t>
            </w:r>
          </w:p>
        </w:tc>
      </w:tr>
      <w:tr>
        <w:trPr>
          <w:cantSplit/>
        </w:trPr>
        <w:tc>
          <w:tcPr>
            <w:tcW w:type="dxa" w:w="42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Overstated gap/competitor conclusions relative to the evidence shown.</w:t>
            </w:r>
          </w:p>
        </w:tc>
        <w:tc>
          <w:tcPr>
            <w:tcW w:type="dxa" w:w="51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The RU-03 document's competing-systems language was softened to note it rests on published documentation, not an audit of undocumented internals. The same care is applied in this package: Section 10's risk claims and Section 8's evaluation claims are stated with their actual evidentiary basis, not inflated.</w:t>
            </w:r>
          </w:p>
        </w:tc>
      </w:tr>
    </w:tbl>
    <w:p>
      <w:pPr>
        <w:spacing w:after="0" w:before="0" w:line="264"/>
      </w:pPr>
      <w:r>
        <w:rPr>
          <w:rFonts w:ascii="Calibri" w:cs="Calibri" w:eastAsia="Calibri" w:hAnsi="Calibri"/>
          <w:sz w:val="22"/>
          <w:szCs w:val="22"/>
        </w:rPr>
        <w:t xml:space="preserve"/>
      </w:r>
    </w:p>
    <w:p>
      <w:r>
        <w:br w:type="page"/>
      </w:r>
    </w:p>
    <w:p>
      <w:pPr>
        <w:keepNext/>
        <w:pBdr>
          <w:bottom w:val="single" w:color="0F4C46" w:sz="8" w:space="4"/>
        </w:pBdr>
        <w:spacing w:after="140" w:before="320" w:line="264"/>
      </w:pPr>
      <w:r>
        <w:rPr>
          <w:rFonts w:ascii="Calibri" w:cs="Calibri" w:eastAsia="Calibri" w:hAnsi="Calibri"/>
          <w:b/>
          <w:bCs/>
          <w:color w:val="0F4C46"/>
          <w:sz w:val="30"/>
          <w:szCs w:val="30"/>
        </w:rPr>
        <w:t xml:space="preserve">3. System Architecture and Component Decomposition</w:t>
      </w:r>
    </w:p>
    <w:p>
      <w:pPr>
        <w:spacing w:after="120" w:before="0" w:line="264"/>
        <w:jc w:val="both"/>
      </w:pPr>
      <w:r>
        <w:rPr>
          <w:rFonts w:ascii="Calibri" w:cs="Calibri" w:eastAsia="Calibri" w:hAnsi="Calibri"/>
          <w:sz w:val="22"/>
          <w:szCs w:val="22"/>
        </w:rPr>
        <w:t xml:space="preserve">Figure 1 (carried over from GRAD 695 documentation) shows the full blackboard system. This project's construction order and testing effort are confined to one component — the Arbitrator — with every other component treated as a stable, already-deployed dependency.</w:t>
      </w:r>
    </w:p>
    <w:p>
      <w:pPr>
        <w:spacing w:after="0" w:before="0" w:line="264"/>
        <w:jc w:val="center"/>
      </w:pPr>
      <w:r>
        <w:drawing>
          <wp:inline distT="0" distB="0" distL="0" distR="0">
            <wp:extent cx="5667375" cy="3190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3190875"/>
                    </a:xfrm>
                    <a:prstGeom prst="rect">
                      <a:avLst/>
                    </a:prstGeom>
                  </pic:spPr>
                </pic:pic>
              </a:graphicData>
            </a:graphic>
          </wp:inline>
        </w:drawing>
      </w:r>
    </w:p>
    <w:p>
      <w:pPr>
        <w:spacing w:after="160" w:before="60" w:line="264"/>
        <w:jc w:val="center"/>
      </w:pPr>
      <w:r>
        <w:rPr>
          <w:rFonts w:ascii="Calibri" w:cs="Calibri" w:eastAsia="Calibri" w:hAnsi="Calibri"/>
          <w:i/>
          <w:iCs/>
          <w:sz w:val="18"/>
          <w:szCs w:val="18"/>
        </w:rPr>
        <w:t xml:space="preserve">Figure 1. RescueNet's existing blackboard architecture.</w:t>
      </w:r>
    </w:p>
    <w:p>
      <w:pPr>
        <w:keepNext/>
        <w:spacing w:after="100" w:before="200" w:line="264"/>
      </w:pPr>
      <w:r>
        <w:rPr>
          <w:rFonts w:ascii="Calibri" w:cs="Calibri" w:eastAsia="Calibri" w:hAnsi="Calibri"/>
          <w:b/>
          <w:bCs/>
          <w:color w:val="0A3A35"/>
          <w:sz w:val="24"/>
          <w:szCs w:val="24"/>
        </w:rPr>
        <w:t xml:space="preserve">Component Responsibilities and Construction Order</w:t>
      </w:r>
    </w:p>
    <w:p>
      <w:pPr>
        <w:spacing w:after="120" w:before="0" w:line="264"/>
        <w:jc w:val="both"/>
      </w:pPr>
      <w:r>
        <w:rPr>
          <w:rFonts w:ascii="Calibri" w:cs="Calibri" w:eastAsia="Calibri" w:hAnsi="Calibri"/>
          <w:sz w:val="22"/>
          <w:szCs w:val="22"/>
        </w:rPr>
        <w:t xml:space="preserve">Components are listed in their real pipeline order (per lib/stacks/lambda-stack.ts and each Lambda's actual event triggers), not an arbitrary list. Only the arbitrator is modified this term.</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1800"/>
        <w:gridCol w:w="4680"/>
        <w:gridCol w:w="2880"/>
      </w:tblGrid>
      <w:tr>
        <w:trPr>
          <w:cantSplit/>
          <w:tblHeader/>
        </w:trPr>
        <w:tc>
          <w:tcPr>
            <w:tcW w:type="dxa" w:w="18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Component</w:t>
            </w:r>
          </w:p>
        </w:tc>
        <w:tc>
          <w:tcPr>
            <w:tcW w:type="dxa" w:w="468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Responsibility</w:t>
            </w:r>
          </w:p>
        </w:tc>
        <w:tc>
          <w:tcPr>
            <w:tcW w:type="dxa" w:w="288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Downstream Dependency</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intake</w:t>
            </w:r>
          </w:p>
        </w:tc>
        <w:tc>
          <w:tcPr>
            <w:tcW w:type="dxa" w:w="46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Validates and accepts a new report; writes the initial Case item; triggers the pipeline.</w:t>
            </w:r>
          </w:p>
        </w:tc>
        <w:tc>
          <w:tcPr>
            <w:tcW w:type="dxa" w:w="28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None (entry point)</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image-agent</w:t>
            </w:r>
          </w:p>
        </w:tc>
        <w:tc>
          <w:tcPr>
            <w:tcW w:type="dxa" w:w="46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Calls Amazon Rekognition for species/injury detection from uploaded photos; updates Case.reportData.</w:t>
            </w:r>
          </w:p>
        </w:tc>
        <w:tc>
          <w:tcPr>
            <w:tcW w:type="dxa" w:w="28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needs-profile (provides species/injury signal)</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geocoding-agent</w:t>
            </w:r>
          </w:p>
        </w:tc>
        <w:tc>
          <w:tcPr>
            <w:tcW w:type="dxa" w:w="46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Resolves coordinates to an address via AWS Location Service (falls back to raw coordinates — Place Index not provisioned, out of scope).</w:t>
            </w:r>
          </w:p>
        </w:tc>
        <w:tc>
          <w:tcPr>
            <w:tcW w:type="dxa" w:w="28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None downstream</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needs-profile</w:t>
            </w:r>
          </w:p>
        </w:tc>
        <w:tc>
          <w:tcPr>
            <w:tcW w:type="dxa" w:w="46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Calls Bedrock to derive hardConstraints and softWeights from reportData; writes NeedsProfile.</w:t>
            </w:r>
          </w:p>
        </w:tc>
        <w:tc>
          <w:tcPr>
            <w:tcW w:type="dxa" w:w="28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arbitrator (consumes softWeights); tier1/tier2-agent (consume hardConstraints)</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dedup-agent</w:t>
            </w:r>
          </w:p>
        </w:tc>
        <w:tc>
          <w:tcPr>
            <w:tcW w:type="dxa" w:w="46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Queries active-status cases via the status-timestamp-index GSI; merges near-certain duplicates, soft-links probable lost/found matches.</w:t>
            </w:r>
          </w:p>
        </w:tc>
        <w:tc>
          <w:tcPr>
            <w:tcW w:type="dxa" w:w="28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Runs in parallel with needs-profile; both must complete before scoring</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tier1-agent</w:t>
            </w:r>
          </w:p>
        </w:tc>
        <w:tc>
          <w:tcPr>
            <w:tcW w:type="dxa" w:w="46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Queries tier-1 shelters via the tier-index GSI; auto-evaluates and submits bids.</w:t>
            </w:r>
          </w:p>
        </w:tc>
        <w:tc>
          <w:tcPr>
            <w:tcW w:type="dxa" w:w="28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arbitrator (via ShelterBid events)</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tier2-agent</w:t>
            </w:r>
          </w:p>
        </w:tc>
        <w:tc>
          <w:tcPr>
            <w:tcW w:type="dxa" w:w="46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Manages Slack Q&amp;A sessions for tier-2 human coordinators; submits a bid once the Q&amp;A completes.</w:t>
            </w:r>
          </w:p>
        </w:tc>
        <w:tc>
          <w:tcPr>
            <w:tcW w:type="dxa" w:w="28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slack-webhook (receives answers); arbitrator (via ShelterBid events)</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arbitrator — IN SCOPE</w:t>
            </w:r>
          </w:p>
        </w:tc>
        <w:tc>
          <w:tcPr>
            <w:tcW w:type="dxa" w:w="46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Accumulates bids, runs the bid-window timer, computes match scores (this project's hardening target), selects the winner, writes bidSummary/assignedTo.</w:t>
            </w:r>
          </w:p>
        </w:tc>
        <w:tc>
          <w:tcPr>
            <w:tcW w:type="dxa" w:w="28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confirmation-handler</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confirmation-handler</w:t>
            </w:r>
          </w:p>
        </w:tc>
        <w:tc>
          <w:tcPr>
            <w:tcW w:type="dxa" w:w="46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Requests or auto-confirms intake depending on shelter autonomy preference; handles decline/re-routing.</w:t>
            </w:r>
          </w:p>
        </w:tc>
        <w:tc>
          <w:tcPr>
            <w:tcW w:type="dxa" w:w="28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Case status update only</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case-stream-publisher</w:t>
            </w:r>
          </w:p>
        </w:tc>
        <w:tc>
          <w:tcPr>
            <w:tcW w:type="dxa" w:w="46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Bridges DynamoDB Streams case-status changes to an AppSync mutation so subscriptions fire.</w:t>
            </w:r>
          </w:p>
        </w:tc>
        <w:tc>
          <w:tcPr>
            <w:tcW w:type="dxa" w:w="28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AppSync (mobile app real-time updates)</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list-nearby-cases / get-case-photos</w:t>
            </w:r>
          </w:p>
        </w:tc>
        <w:tc>
          <w:tcPr>
            <w:tcW w:type="dxa" w:w="46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Read-only query Lambdas behind AppSync resolvers for the mobile app.</w:t>
            </w:r>
          </w:p>
        </w:tc>
        <w:tc>
          <w:tcPr>
            <w:tcW w:type="dxa" w:w="28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None (read path only)</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slack-webhook</w:t>
            </w:r>
          </w:p>
        </w:tc>
        <w:tc>
          <w:tcPr>
            <w:tcW w:type="dxa" w:w="46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Receives Slack interaction payloads for tier-2 Q&amp;A; looks up the active session and forwards answers.</w:t>
            </w:r>
          </w:p>
        </w:tc>
        <w:tc>
          <w:tcPr>
            <w:tcW w:type="dxa" w:w="288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tier2-agent</w:t>
            </w:r>
          </w:p>
        </w:tc>
      </w:tr>
    </w:tbl>
    <w:p>
      <w:pPr>
        <w:spacing w:after="0" w:before="0" w:line="264"/>
      </w:pPr>
      <w:r>
        <w:rPr>
          <w:rFonts w:ascii="Calibri" w:cs="Calibri" w:eastAsia="Calibri" w:hAnsi="Calibri"/>
          <w:sz w:val="22"/>
          <w:szCs w:val="22"/>
        </w:rPr>
        <w:t xml:space="preserve"/>
      </w:r>
    </w:p>
    <w:p>
      <w:r>
        <w:br w:type="page"/>
      </w:r>
    </w:p>
    <w:p>
      <w:pPr>
        <w:keepNext/>
        <w:pBdr>
          <w:bottom w:val="single" w:color="0F4C46" w:sz="8" w:space="4"/>
        </w:pBdr>
        <w:spacing w:after="140" w:before="320" w:line="264"/>
      </w:pPr>
      <w:r>
        <w:rPr>
          <w:rFonts w:ascii="Calibri" w:cs="Calibri" w:eastAsia="Calibri" w:hAnsi="Calibri"/>
          <w:b/>
          <w:bCs/>
          <w:color w:val="0F4C46"/>
          <w:sz w:val="30"/>
          <w:szCs w:val="30"/>
        </w:rPr>
        <w:t xml:space="preserve">4. Data Flow</w:t>
      </w:r>
    </w:p>
    <w:p>
      <w:pPr>
        <w:spacing w:after="120" w:before="0" w:line="264"/>
        <w:jc w:val="both"/>
      </w:pPr>
      <w:r>
        <w:rPr>
          <w:rFonts w:ascii="Calibri" w:cs="Calibri" w:eastAsia="Calibri" w:hAnsi="Calibri"/>
          <w:sz w:val="22"/>
          <w:szCs w:val="22"/>
        </w:rPr>
        <w:t xml:space="preserve">Figure 2 traces one case through the pipeline specifically to make the scoring hand-off legible: needs-profile writes softWeights before any bid is scored, and both tier1-agent and tier2-agent bids feed the same accumulateBid path in the arbitrator regardless of which tier submitted them.</w:t>
      </w:r>
    </w:p>
    <w:p>
      <w:pPr>
        <w:spacing w:after="0" w:before="0" w:line="264"/>
        <w:jc w:val="center"/>
      </w:pPr>
      <w:r>
        <w:drawing>
          <wp:inline distT="0" distB="0" distL="0" distR="0">
            <wp:extent cx="5762625"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62625" cy="2419350"/>
                    </a:xfrm>
                    <a:prstGeom prst="rect">
                      <a:avLst/>
                    </a:prstGeom>
                  </pic:spPr>
                </pic:pic>
              </a:graphicData>
            </a:graphic>
          </wp:inline>
        </w:drawing>
      </w:r>
    </w:p>
    <w:p>
      <w:pPr>
        <w:spacing w:after="160" w:before="60" w:line="264"/>
        <w:jc w:val="center"/>
      </w:pPr>
      <w:r>
        <w:rPr>
          <w:rFonts w:ascii="Calibri" w:cs="Calibri" w:eastAsia="Calibri" w:hAnsi="Calibri"/>
          <w:i/>
          <w:iCs/>
          <w:sz w:val="18"/>
          <w:szCs w:val="18"/>
        </w:rPr>
        <w:t xml:space="preserve">Figure 2. Case-routing data flow, with the arbitrator's in-scope logic highlighted.</w:t>
      </w:r>
    </w:p>
    <w:p>
      <w:pPr>
        <w:spacing w:after="120" w:before="0" w:line="264"/>
        <w:jc w:val="both"/>
      </w:pPr>
      <w:r>
        <w:rPr>
          <w:rFonts w:ascii="Calibri" w:cs="Calibri" w:eastAsia="Calibri" w:hAnsi="Calibri"/>
          <w:sz w:val="22"/>
          <w:szCs w:val="22"/>
        </w:rPr>
        <w:t xml:space="preserve">Two data-flow properties matter for this project's testing plan (Section 8): (1) the arbitrator cannot score a bid until needs-profile has written softWeights — a race the existing code already handles with one bounded retry (Section 5); and (2) bids from tier1 and tier2 are structurally identical ShelterBid records by the time they reach the arbitrator, so the hardened scoring function requires no tier-specific logic.</w:t>
      </w:r>
    </w:p>
    <w:p>
      <w:r>
        <w:br w:type="page"/>
      </w:r>
    </w:p>
    <w:p>
      <w:pPr>
        <w:keepNext/>
        <w:pBdr>
          <w:bottom w:val="single" w:color="0F4C46" w:sz="8" w:space="4"/>
        </w:pBdr>
        <w:spacing w:after="140" w:before="320" w:line="264"/>
      </w:pPr>
      <w:r>
        <w:rPr>
          <w:rFonts w:ascii="Calibri" w:cs="Calibri" w:eastAsia="Calibri" w:hAnsi="Calibri"/>
          <w:b/>
          <w:bCs/>
          <w:color w:val="0F4C46"/>
          <w:sz w:val="30"/>
          <w:szCs w:val="30"/>
        </w:rPr>
        <w:t xml:space="preserve">5. Computational Method</w:t>
      </w:r>
    </w:p>
    <w:p>
      <w:pPr>
        <w:spacing w:after="120" w:before="0" w:line="264"/>
        <w:jc w:val="both"/>
      </w:pPr>
      <w:r>
        <w:rPr>
          <w:rFonts w:ascii="Calibri" w:cs="Calibri" w:eastAsia="Calibri" w:hAnsi="Calibri"/>
          <w:sz w:val="22"/>
          <w:szCs w:val="22"/>
        </w:rPr>
        <w:t xml:space="preserve">Two methods are specified here in enough detail for another technically trained reader to reproduce them without access to this codebase: the corrected match-scoring function, and the AHP weight-derivation procedure.</w:t>
      </w:r>
    </w:p>
    <w:p>
      <w:pPr>
        <w:keepNext/>
        <w:spacing w:after="100" w:before="200" w:line="264"/>
      </w:pPr>
      <w:r>
        <w:rPr>
          <w:rFonts w:ascii="Calibri" w:cs="Calibri" w:eastAsia="Calibri" w:hAnsi="Calibri"/>
          <w:b/>
          <w:bCs/>
          <w:color w:val="0A3A35"/>
          <w:sz w:val="24"/>
          <w:szCs w:val="24"/>
        </w:rPr>
        <w:t xml:space="preserve">5.1 Corrected Match-Scoring Function</w:t>
      </w:r>
    </w:p>
    <w:p>
      <w:pPr>
        <w:spacing w:after="120" w:before="0" w:line="264"/>
        <w:jc w:val="both"/>
      </w:pPr>
      <w:r>
        <w:rPr>
          <w:rFonts w:ascii="Calibri" w:cs="Calibri" w:eastAsia="Calibri" w:hAnsi="Calibri"/>
          <w:sz w:val="22"/>
          <w:szCs w:val="22"/>
        </w:rPr>
        <w:t xml:space="preserve">Reproduced from lambda/arbitrator/index.ts with the one required correction (specScore) applied; every other line is the real, unmodified v1 code, since this term's scope is the weights and the one confirmed defect, not a rewrite:</w:t>
      </w:r>
    </w:p>
    <w:p>
      <w:pPr>
        <w:pBdr>
          <w:top w:val="single" w:color="CCCCCC" w:sz="2"/>
          <w:bottom w:val="single" w:color="CCCCCC" w:sz="2"/>
          <w:left w:val="single" w:color="CCCCCC" w:sz="2"/>
          <w:right w:val="single" w:color="CCCCCC" w:sz="2"/>
        </w:pBdr>
        <w:shd w:fill="F2F2F2" w:val="clear"/>
        <w:spacing w:after="160" w:before="80" w:line="230"/>
      </w:pPr>
      <w:r>
        <w:rPr>
          <w:rFonts w:ascii="Courier New" w:cs="Courier New" w:eastAsia="Courier New" w:hAnsi="Courier New"/>
          <w:sz w:val="18"/>
          <w:szCs w:val="18"/>
        </w:rPr>
        <w:t xml:space="preserve">const vetScore   = bid.hasVetOnSite ? 1.00 : bid.vetCanBeArranged ? 0.60 : 0.00;</w:t>
      </w:r>
      <w:r>
        <w:rPr>
          <w:rFonts w:ascii="Courier New" w:cs="Courier New" w:eastAsia="Courier New" w:hAnsi="Courier New"/>
          <w:sz w:val="18"/>
          <w:szCs w:val="18"/>
        </w:rPr>
        <w:br/>
        <w:t xml:space="preserve">const slotsNorm  = Math.min((bid.availableSlots ?? 0) / 5, 1.0);</w:t>
      </w:r>
      <w:r>
        <w:rPr>
          <w:rFonts w:ascii="Courier New" w:cs="Courier New" w:eastAsia="Courier New" w:hAnsi="Courier New"/>
          <w:sz w:val="18"/>
          <w:szCs w:val="18"/>
        </w:rPr>
        <w:br/>
        <w:t xml:space="preserve">const windowNorm = Math.max(0, 1 - (bid.estimatedIntakeWindowMinutes ?? 60) / 120);</w:t>
      </w:r>
      <w:r>
        <w:rPr>
          <w:rFonts w:ascii="Courier New" w:cs="Courier New" w:eastAsia="Courier New" w:hAnsi="Courier New"/>
          <w:sz w:val="18"/>
          <w:szCs w:val="18"/>
        </w:rPr>
        <w:br/>
        <w:t xml:space="preserve">const urgScore   = (slotsNorm + windowNorm) / 2;</w:t>
      </w:r>
      <w:r>
        <w:rPr>
          <w:rFonts w:ascii="Courier New" w:cs="Courier New" w:eastAsia="Courier New" w:hAnsi="Courier New"/>
          <w:sz w:val="18"/>
          <w:szCs w:val="18"/>
        </w:rPr>
        <w:br/>
        <w:t xml:space="preserve"/>
      </w:r>
      <w:r>
        <w:rPr>
          <w:rFonts w:ascii="Courier New" w:cs="Courier New" w:eastAsia="Courier New" w:hAnsi="Courier New"/>
          <w:sz w:val="18"/>
          <w:szCs w:val="18"/>
        </w:rPr>
        <w:br/>
        <w:t xml:space="preserve">// CORRECTED (SC1): membership check, not existence check.</w:t>
      </w:r>
      <w:r>
        <w:rPr>
          <w:rFonts w:ascii="Courier New" w:cs="Courier New" w:eastAsia="Courier New" w:hAnsi="Courier New"/>
          <w:sz w:val="18"/>
          <w:szCs w:val="18"/>
        </w:rPr>
        <w:br/>
        <w:t xml:space="preserve">// caseSpecies is read from needsProfile / reportData for the case being scored.</w:t>
      </w:r>
      <w:r>
        <w:rPr>
          <w:rFonts w:ascii="Courier New" w:cs="Courier New" w:eastAsia="Courier New" w:hAnsi="Courier New"/>
          <w:sz w:val="18"/>
          <w:szCs w:val="18"/>
        </w:rPr>
        <w:br/>
        <w:t xml:space="preserve">const specScore  = bid.acceptedSpecies?.includes(caseSpecies) ? 0.85 : 0.50;</w:t>
      </w:r>
      <w:r>
        <w:rPr>
          <w:rFonts w:ascii="Courier New" w:cs="Courier New" w:eastAsia="Courier New" w:hAnsi="Courier New"/>
          <w:sz w:val="18"/>
          <w:szCs w:val="18"/>
        </w:rPr>
        <w:br/>
        <w:t xml:space="preserve"/>
      </w:r>
      <w:r>
        <w:rPr>
          <w:rFonts w:ascii="Courier New" w:cs="Courier New" w:eastAsia="Courier New" w:hAnsi="Courier New"/>
          <w:sz w:val="18"/>
          <w:szCs w:val="18"/>
        </w:rPr>
        <w:br/>
        <w:t xml:space="preserve">const proxScore = Math.max(0, 1 - dist / 30);</w:t>
      </w:r>
      <w:r>
        <w:rPr>
          <w:rFonts w:ascii="Courier New" w:cs="Courier New" w:eastAsia="Courier New" w:hAnsi="Courier New"/>
          <w:sz w:val="18"/>
          <w:szCs w:val="18"/>
        </w:rPr>
        <w:br/>
        <w:t xml:space="preserve">const ltcScore  = slotsNorm;</w:t>
      </w:r>
      <w:r>
        <w:rPr>
          <w:rFonts w:ascii="Courier New" w:cs="Courier New" w:eastAsia="Courier New" w:hAnsi="Courier New"/>
          <w:sz w:val="18"/>
          <w:szCs w:val="18"/>
        </w:rPr>
        <w:br/>
        <w:t xml:space="preserve"/>
      </w:r>
      <w:r>
        <w:rPr>
          <w:rFonts w:ascii="Courier New" w:cs="Courier New" w:eastAsia="Courier New" w:hAnsi="Courier New"/>
          <w:sz w:val="18"/>
          <w:szCs w:val="18"/>
        </w:rPr>
        <w:br/>
        <w:t xml:space="preserve">// weights.* now supplied by the AHP-derived set (Section 5.2), replacing the</w:t>
      </w:r>
      <w:r>
        <w:rPr>
          <w:rFonts w:ascii="Courier New" w:cs="Courier New" w:eastAsia="Courier New" w:hAnsi="Courier New"/>
          <w:sz w:val="18"/>
          <w:szCs w:val="18"/>
        </w:rPr>
        <w:br/>
        <w:t xml:space="preserve">// hand-picked constants formerly hard-coded in the needs-profile Bedrock prompt.</w:t>
      </w:r>
      <w:r>
        <w:rPr>
          <w:rFonts w:ascii="Courier New" w:cs="Courier New" w:eastAsia="Courier New" w:hAnsi="Courier New"/>
          <w:sz w:val="18"/>
          <w:szCs w:val="18"/>
        </w:rPr>
        <w:br/>
        <w:t xml:space="preserve">const raw = vetScore  * weights.vet_care +</w:t>
      </w:r>
      <w:r>
        <w:rPr>
          <w:rFonts w:ascii="Courier New" w:cs="Courier New" w:eastAsia="Courier New" w:hAnsi="Courier New"/>
          <w:sz w:val="18"/>
          <w:szCs w:val="18"/>
        </w:rPr>
        <w:br/>
        <w:t xml:space="preserve">            urgScore  * weights.pickup_urgency +</w:t>
      </w:r>
      <w:r>
        <w:rPr>
          <w:rFonts w:ascii="Courier New" w:cs="Courier New" w:eastAsia="Courier New" w:hAnsi="Courier New"/>
          <w:sz w:val="18"/>
          <w:szCs w:val="18"/>
        </w:rPr>
        <w:br/>
        <w:t xml:space="preserve">            specScore * weights.species_specialization +</w:t>
      </w:r>
      <w:r>
        <w:rPr>
          <w:rFonts w:ascii="Courier New" w:cs="Courier New" w:eastAsia="Courier New" w:hAnsi="Courier New"/>
          <w:sz w:val="18"/>
          <w:szCs w:val="18"/>
        </w:rPr>
        <w:br/>
        <w:t xml:space="preserve">            proxScore * weights.proximity +</w:t>
      </w:r>
      <w:r>
        <w:rPr>
          <w:rFonts w:ascii="Courier New" w:cs="Courier New" w:eastAsia="Courier New" w:hAnsi="Courier New"/>
          <w:sz w:val="18"/>
          <w:szCs w:val="18"/>
        </w:rPr>
        <w:br/>
        <w:t xml:space="preserve">            ltcScore  * weights.long_term_care;</w:t>
      </w:r>
      <w:r>
        <w:rPr>
          <w:rFonts w:ascii="Courier New" w:cs="Courier New" w:eastAsia="Courier New" w:hAnsi="Courier New"/>
          <w:sz w:val="18"/>
          <w:szCs w:val="18"/>
        </w:rPr>
        <w:br/>
        <w:t xml:space="preserve"/>
      </w:r>
      <w:r>
        <w:rPr>
          <w:rFonts w:ascii="Courier New" w:cs="Courier New" w:eastAsia="Courier New" w:hAnsi="Courier New"/>
          <w:sz w:val="18"/>
          <w:szCs w:val="18"/>
        </w:rPr>
        <w:br/>
        <w:t xml:space="preserve">return raw * bid.confidence * FRESHNESS_WEIGHT[bid.dataFreshness];</w:t>
      </w:r>
    </w:p>
    <w:p>
      <w:pPr>
        <w:keepNext/>
        <w:spacing w:after="100" w:before="200" w:line="264"/>
      </w:pPr>
      <w:r>
        <w:rPr>
          <w:rFonts w:ascii="Calibri" w:cs="Calibri" w:eastAsia="Calibri" w:hAnsi="Calibri"/>
          <w:b/>
          <w:bCs/>
          <w:color w:val="0A3A35"/>
          <w:sz w:val="24"/>
          <w:szCs w:val="24"/>
        </w:rPr>
        <w:t xml:space="preserve">5.2 AHP Weight-Derivation Procedure</w:t>
      </w:r>
    </w:p>
    <w:p>
      <w:pPr>
        <w:spacing w:after="120" w:before="0" w:line="264"/>
        <w:jc w:val="both"/>
      </w:pPr>
      <w:r>
        <w:rPr>
          <w:rFonts w:ascii="Calibri" w:cs="Calibri" w:eastAsia="Calibri" w:hAnsi="Calibri"/>
          <w:sz w:val="22"/>
          <w:szCs w:val="22"/>
        </w:rPr>
        <w:t xml:space="preserve">Reproducible step by step, following Saaty (1980):</w:t>
      </w:r>
    </w:p>
    <w:p>
      <w:pPr>
        <w:spacing w:after="80" w:before="0" w:line="264"/>
        <w:ind w:left="450" w:hanging="270"/>
        <w:jc w:val="both"/>
      </w:pPr>
      <w:r>
        <w:rPr>
          <w:rFonts w:ascii="Calibri" w:cs="Calibri" w:eastAsia="Calibri" w:hAnsi="Calibri"/>
          <w:sz w:val="22"/>
          <w:szCs w:val="22"/>
        </w:rPr>
        <w:t xml:space="preserve">•  Step 1 — Pairwise matrix: the judge (student, Section 5 of the Hard Stop 1 proposal) scores all C(5,2) = 10 unique pairs of the five factors (vet_care, pickup_urgency, species_specialization, proximity, long_term_care) on Saaty's 1-9 scale, where a_ij = importance of factor i relative to factor j, and a_ji = 1/a_ij by definition.</w:t>
      </w:r>
    </w:p>
    <w:p>
      <w:pPr>
        <w:spacing w:after="80" w:before="0" w:line="264"/>
        <w:ind w:left="450" w:hanging="270"/>
        <w:jc w:val="both"/>
      </w:pPr>
      <w:r>
        <w:rPr>
          <w:rFonts w:ascii="Calibri" w:cs="Calibri" w:eastAsia="Calibri" w:hAnsi="Calibri"/>
          <w:sz w:val="22"/>
          <w:szCs w:val="22"/>
        </w:rPr>
        <w:t xml:space="preserve">•  Step 2 — Normalize: divide each column of the 5×5 matrix by its column sum, producing a normalized matrix.</w:t>
      </w:r>
    </w:p>
    <w:p>
      <w:pPr>
        <w:spacing w:after="80" w:before="0" w:line="264"/>
        <w:ind w:left="450" w:hanging="270"/>
        <w:jc w:val="both"/>
      </w:pPr>
      <w:r>
        <w:rPr>
          <w:rFonts w:ascii="Calibri" w:cs="Calibri" w:eastAsia="Calibri" w:hAnsi="Calibri"/>
          <w:sz w:val="22"/>
          <w:szCs w:val="22"/>
        </w:rPr>
        <w:t xml:space="preserve">•  Step 3 — Derive weights: average each row of the normalized matrix; the resulting 5-vector is the weight estimate (the geometric-mean approximation to the principal eigenvector, used here since it requires only arithmetic, not eigenvector computation, and is the standard simplification when a full eigenvector solver is not readily available).</w:t>
      </w:r>
    </w:p>
    <w:p>
      <w:pPr>
        <w:spacing w:after="80" w:before="0" w:line="264"/>
        <w:ind w:left="450" w:hanging="270"/>
        <w:jc w:val="both"/>
      </w:pPr>
      <w:r>
        <w:rPr>
          <w:rFonts w:ascii="Calibri" w:cs="Calibri" w:eastAsia="Calibri" w:hAnsi="Calibri"/>
          <w:sz w:val="22"/>
          <w:szCs w:val="22"/>
        </w:rPr>
        <w:t xml:space="preserve">•  Step 4 — Consistency index: compute λmax (the average of [matrix × weight-vector] element divided by the corresponding weight), then CI = (λmax − n) / (n − 1), where n = 5.</w:t>
      </w:r>
    </w:p>
    <w:p>
      <w:pPr>
        <w:spacing w:after="80" w:before="0" w:line="264"/>
        <w:ind w:left="450" w:hanging="270"/>
        <w:jc w:val="both"/>
      </w:pPr>
      <w:r>
        <w:rPr>
          <w:rFonts w:ascii="Calibri" w:cs="Calibri" w:eastAsia="Calibri" w:hAnsi="Calibri"/>
          <w:sz w:val="22"/>
          <w:szCs w:val="22"/>
        </w:rPr>
        <w:t xml:space="preserve">•  Step 5 — Consistency ratio: CR = CI / RI, where RI is Saaty's Random Index for n = 5. RI(5) = 1.12 — independently re-verified against Saaty's published table (reproduced below) rather than assumed, per the Week 3 correction.</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700"/>
        <w:gridCol w:w="800"/>
        <w:gridCol w:w="800"/>
        <w:gridCol w:w="800"/>
        <w:gridCol w:w="800"/>
        <w:gridCol w:w="800"/>
        <w:gridCol w:w="800"/>
        <w:gridCol w:w="800"/>
        <w:gridCol w:w="800"/>
      </w:tblGrid>
      <w:tr>
        <w:trPr>
          <w:cantSplit/>
          <w:tblHeader/>
        </w:trPr>
        <w:tc>
          <w:tcPr>
            <w:tcW w:type="dxa" w:w="7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n</w:t>
            </w:r>
          </w:p>
        </w:tc>
        <w:tc>
          <w:tcPr>
            <w:tcW w:type="dxa" w:w="8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1</w:t>
            </w:r>
          </w:p>
        </w:tc>
        <w:tc>
          <w:tcPr>
            <w:tcW w:type="dxa" w:w="8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2</w:t>
            </w:r>
          </w:p>
        </w:tc>
        <w:tc>
          <w:tcPr>
            <w:tcW w:type="dxa" w:w="8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3</w:t>
            </w:r>
          </w:p>
        </w:tc>
        <w:tc>
          <w:tcPr>
            <w:tcW w:type="dxa" w:w="8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4</w:t>
            </w:r>
          </w:p>
        </w:tc>
        <w:tc>
          <w:tcPr>
            <w:tcW w:type="dxa" w:w="8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5</w:t>
            </w:r>
          </w:p>
        </w:tc>
        <w:tc>
          <w:tcPr>
            <w:tcW w:type="dxa" w:w="8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6</w:t>
            </w:r>
          </w:p>
        </w:tc>
        <w:tc>
          <w:tcPr>
            <w:tcW w:type="dxa" w:w="8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7</w:t>
            </w:r>
          </w:p>
        </w:tc>
        <w:tc>
          <w:tcPr>
            <w:tcW w:type="dxa" w:w="8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8</w:t>
            </w:r>
          </w:p>
        </w:tc>
      </w:tr>
      <w:tr>
        <w:trPr>
          <w:cantSplit/>
        </w:trPr>
        <w:tc>
          <w:tcPr>
            <w:tcW w:type="dxa" w:w="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RI</w:t>
            </w:r>
          </w:p>
        </w:tc>
        <w:tc>
          <w:tcPr>
            <w:tcW w:type="dxa" w:w="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0.00</w:t>
            </w:r>
          </w:p>
        </w:tc>
        <w:tc>
          <w:tcPr>
            <w:tcW w:type="dxa" w:w="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0.00</w:t>
            </w:r>
          </w:p>
        </w:tc>
        <w:tc>
          <w:tcPr>
            <w:tcW w:type="dxa" w:w="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0.58</w:t>
            </w:r>
          </w:p>
        </w:tc>
        <w:tc>
          <w:tcPr>
            <w:tcW w:type="dxa" w:w="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0.90</w:t>
            </w:r>
          </w:p>
        </w:tc>
        <w:tc>
          <w:tcPr>
            <w:tcW w:type="dxa" w:w="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1.12</w:t>
            </w:r>
          </w:p>
        </w:tc>
        <w:tc>
          <w:tcPr>
            <w:tcW w:type="dxa" w:w="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1.24</w:t>
            </w:r>
          </w:p>
        </w:tc>
        <w:tc>
          <w:tcPr>
            <w:tcW w:type="dxa" w:w="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1.32</w:t>
            </w:r>
          </w:p>
        </w:tc>
        <w:tc>
          <w:tcPr>
            <w:tcW w:type="dxa" w:w="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1.41</w:t>
            </w:r>
          </w:p>
        </w:tc>
      </w:tr>
    </w:tbl>
    <w:p>
      <w:pPr>
        <w:spacing w:after="0" w:before="0" w:line="264"/>
      </w:pPr>
      <w:r>
        <w:rPr>
          <w:rFonts w:ascii="Calibri" w:cs="Calibri" w:eastAsia="Calibri" w:hAnsi="Calibri"/>
          <w:sz w:val="22"/>
          <w:szCs w:val="22"/>
        </w:rPr>
        <w:t xml:space="preserve"/>
      </w:r>
    </w:p>
    <w:p>
      <w:pPr>
        <w:spacing w:after="80" w:before="0" w:line="264"/>
        <w:ind w:left="450" w:hanging="270"/>
        <w:jc w:val="both"/>
      </w:pPr>
      <w:r>
        <w:rPr>
          <w:rFonts w:ascii="Calibri" w:cs="Calibri" w:eastAsia="Calibri" w:hAnsi="Calibri"/>
          <w:sz w:val="22"/>
          <w:szCs w:val="22"/>
        </w:rPr>
        <w:t xml:space="preserve">•  Step 6 — Acceptance gate: if CR ≥ 0.10, the judgments are internally inconsistent and must be re-elicited before the weights are accepted (SC2). A CR below 0.10 confirms internal consistency only — it does not, by itself, establish that the judgments are substantively correct (a limitation carried forward explicitly per Week 3 feedback's "My Understanding" framing), which is why Section 8's sensitivity check exists as a second, independent safeguard.</w:t>
      </w:r>
    </w:p>
    <w:p>
      <w:r>
        <w:br w:type="page"/>
      </w:r>
    </w:p>
    <w:p>
      <w:pPr>
        <w:keepNext/>
        <w:pBdr>
          <w:bottom w:val="single" w:color="0F4C46" w:sz="8" w:space="4"/>
        </w:pBdr>
        <w:spacing w:after="140" w:before="320" w:line="264"/>
      </w:pPr>
      <w:r>
        <w:rPr>
          <w:rFonts w:ascii="Calibri" w:cs="Calibri" w:eastAsia="Calibri" w:hAnsi="Calibri"/>
          <w:b/>
          <w:bCs/>
          <w:color w:val="0F4C46"/>
          <w:sz w:val="30"/>
          <w:szCs w:val="30"/>
        </w:rPr>
        <w:t xml:space="preserve">6. Environment and Toolchain Plan</w:t>
      </w:r>
    </w:p>
    <w:p>
      <w:pPr>
        <w:spacing w:after="120" w:before="0" w:line="264"/>
        <w:jc w:val="both"/>
      </w:pPr>
      <w:r>
        <w:rPr>
          <w:rFonts w:ascii="Calibri" w:cs="Calibri" w:eastAsia="Calibri" w:hAnsi="Calibri"/>
          <w:sz w:val="22"/>
          <w:szCs w:val="22"/>
        </w:rPr>
        <w:t xml:space="preserve">Every version and dependency below is confirmed directly against the real package.json, tsconfig.json, cdk.json, and CDK stack files, not assumed from memory of the Week 1 environment snapshot.</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000"/>
        <w:gridCol w:w="4900"/>
        <w:gridCol w:w="2460"/>
      </w:tblGrid>
      <w:tr>
        <w:trPr>
          <w:cantSplit/>
          <w:tblHeader/>
        </w:trPr>
        <w:tc>
          <w:tcPr>
            <w:tcW w:type="dxa" w:w="20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Component</w:t>
            </w:r>
          </w:p>
        </w:tc>
        <w:tc>
          <w:tcPr>
            <w:tcW w:type="dxa" w:w="49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Specification</w:t>
            </w:r>
          </w:p>
        </w:tc>
        <w:tc>
          <w:tcPr>
            <w:tcW w:type="dxa" w:w="24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Source</w:t>
            </w:r>
          </w:p>
        </w:tc>
      </w:tr>
      <w:tr>
        <w:trPr>
          <w:cantSplit/>
        </w:trPr>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Runtime</w:t>
            </w:r>
          </w:p>
        </w:tc>
        <w:tc>
          <w:tcPr>
            <w:tcW w:type="dxa" w:w="4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Node.js 20.x (AWS Lambda NODEJS_20_X)</w:t>
            </w:r>
          </w:p>
        </w:tc>
        <w:tc>
          <w:tcPr>
            <w:tcW w:type="dxa" w:w="2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lib/stacks/lambda-stack.ts</w:t>
            </w:r>
          </w:p>
        </w:tc>
      </w:tr>
      <w:tr>
        <w:trPr>
          <w:cantSplit/>
        </w:trPr>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Language / compiler</w:t>
            </w:r>
          </w:p>
        </w:tc>
        <w:tc>
          <w:tcPr>
            <w:tcW w:type="dxa" w:w="4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TypeScript 5.4, target ES2020, strict mode (noImplicitAny, strictNullChecks, alwaysStrict)</w:t>
            </w:r>
          </w:p>
        </w:tc>
        <w:tc>
          <w:tcPr>
            <w:tcW w:type="dxa" w:w="2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tsconfig.json</w:t>
            </w:r>
          </w:p>
        </w:tc>
      </w:tr>
      <w:tr>
        <w:trPr>
          <w:cantSplit/>
        </w:trPr>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Infrastructure as code</w:t>
            </w:r>
          </w:p>
        </w:tc>
        <w:tc>
          <w:tcPr>
            <w:tcW w:type="dxa" w:w="4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AWS CDK 2.150+, deployed via `npx ts-node --prefer-ts-exts bin/rescuenet.ts`</w:t>
            </w:r>
          </w:p>
        </w:tc>
        <w:tc>
          <w:tcPr>
            <w:tcW w:type="dxa" w:w="2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cdk.json, package.json</w:t>
            </w:r>
          </w:p>
        </w:tc>
      </w:tr>
      <w:tr>
        <w:trPr>
          <w:cantSplit/>
        </w:trPr>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Bedrock model</w:t>
            </w:r>
          </w:p>
        </w:tc>
        <w:tc>
          <w:tcPr>
            <w:tcW w:type="dxa" w:w="4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us.anthropic.claude-sonnet-4-5-20250929-v1:0 (needs-profile, tier-1 bidding reasoning)</w:t>
            </w:r>
          </w:p>
        </w:tc>
        <w:tc>
          <w:tcPr>
            <w:tcW w:type="dxa" w:w="2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lib/constants.ts</w:t>
            </w:r>
          </w:p>
        </w:tc>
      </w:tr>
      <w:tr>
        <w:trPr>
          <w:cantSplit/>
        </w:trPr>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AWS SDK v3 clients</w:t>
            </w:r>
          </w:p>
        </w:tc>
        <w:tc>
          <w:tcPr>
            <w:tcW w:type="dxa" w:w="4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@aws-sdk/client-bedrock-runtime, client-dynamodb, client-eventbridge, client-location, client-rekognition, client-s3, client-secrets-manager, lib-dynamodb, s3-request-presigner, util-dynamodb</w:t>
            </w:r>
          </w:p>
        </w:tc>
        <w:tc>
          <w:tcPr>
            <w:tcW w:type="dxa" w:w="2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package.json</w:t>
            </w:r>
          </w:p>
        </w:tc>
      </w:tr>
      <w:tr>
        <w:trPr>
          <w:cantSplit/>
        </w:trPr>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Test framework (new this term)</w:t>
            </w:r>
          </w:p>
        </w:tc>
        <w:tc>
          <w:tcPr>
            <w:tcW w:type="dxa" w:w="4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Jest — not currently installed; to be added in Week 5 alongside the specScore regression test and the evaluation harness</w:t>
            </w:r>
          </w:p>
        </w:tc>
        <w:tc>
          <w:tcPr>
            <w:tcW w:type="dxa" w:w="2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package.json (devDependencies, planned addition)</w:t>
            </w:r>
          </w:p>
        </w:tc>
      </w:tr>
      <w:tr>
        <w:trPr>
          <w:cantSplit/>
        </w:trPr>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Version control</w:t>
            </w:r>
          </w:p>
        </w:tc>
        <w:tc>
          <w:tcPr>
            <w:tcW w:type="dxa" w:w="4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git; private GitHub remote (github.com/manojvprimary/rescuenet), created Week 2</w:t>
            </w:r>
          </w:p>
        </w:tc>
        <w:tc>
          <w:tcPr>
            <w:tcW w:type="dxa" w:w="2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Resolved per Week 1 feedback</w:t>
            </w:r>
          </w:p>
        </w:tc>
      </w:tr>
      <w:tr>
        <w:trPr>
          <w:cantSplit/>
        </w:trPr>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Deployment target</w:t>
            </w:r>
          </w:p>
        </w:tc>
        <w:tc>
          <w:tcPr>
            <w:tcW w:type="dxa" w:w="4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Same live AWS account (577638356458, us-east-1) used throughout the project; no new environment</w:t>
            </w:r>
          </w:p>
        </w:tc>
        <w:tc>
          <w:tcPr>
            <w:tcW w:type="dxa" w:w="2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Existing deployment</w:t>
            </w:r>
          </w:p>
        </w:tc>
      </w:tr>
      <w:tr>
        <w:trPr>
          <w:cantSplit/>
        </w:trPr>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Hardware assumptions</w:t>
            </w:r>
          </w:p>
        </w:tc>
        <w:tc>
          <w:tcPr>
            <w:tcW w:type="dxa" w:w="4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Fully serverless (Lambda, DynamoDB, EventBridge, AppSync, S3); no GPU, no containers, no dedicated compute</w:t>
            </w:r>
          </w:p>
        </w:tc>
        <w:tc>
          <w:tcPr>
            <w:tcW w:type="dxa" w:w="2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Feasibility constraint, unchanged since Week 1</w:t>
            </w:r>
          </w:p>
        </w:tc>
      </w:tr>
    </w:tbl>
    <w:p>
      <w:pPr>
        <w:spacing w:after="0" w:before="0" w:line="264"/>
      </w:pPr>
      <w:r>
        <w:rPr>
          <w:rFonts w:ascii="Calibri" w:cs="Calibri" w:eastAsia="Calibri" w:hAnsi="Calibri"/>
          <w:sz w:val="22"/>
          <w:szCs w:val="22"/>
        </w:rPr>
        <w:t xml:space="preserve"/>
      </w:r>
    </w:p>
    <w:p>
      <w:pPr>
        <w:spacing w:after="120" w:before="0" w:line="264"/>
        <w:jc w:val="both"/>
      </w:pPr>
      <w:r>
        <w:rPr>
          <w:rFonts w:ascii="Calibri" w:cs="Calibri" w:eastAsia="Calibri" w:hAnsi="Calibri"/>
          <w:sz w:val="22"/>
          <w:szCs w:val="22"/>
        </w:rPr>
        <w:t xml:space="preserve">Setup notes: no new package is required to fix the specScore defect or implement AHP's arithmetic (Steps 1-5 above use only plain arithmetic, not a linear-algebra library). Jest is the one new dependency this phase introduces, added specifically to give the regression test (SC1) and evaluation harness (SC3) an actual runner rather than ad hoc scripts.</w:t>
      </w:r>
    </w:p>
    <w:p>
      <w:r>
        <w:br w:type="page"/>
      </w:r>
    </w:p>
    <w:p>
      <w:pPr>
        <w:keepNext/>
        <w:pBdr>
          <w:bottom w:val="single" w:color="0F4C46" w:sz="8" w:space="4"/>
        </w:pBdr>
        <w:spacing w:after="140" w:before="320" w:line="264"/>
      </w:pPr>
      <w:r>
        <w:rPr>
          <w:rFonts w:ascii="Calibri" w:cs="Calibri" w:eastAsia="Calibri" w:hAnsi="Calibri"/>
          <w:b/>
          <w:bCs/>
          <w:color w:val="0F4C46"/>
          <w:sz w:val="30"/>
          <w:szCs w:val="30"/>
        </w:rPr>
        <w:t xml:space="preserve">7. API and Integration Contracts</w:t>
      </w:r>
    </w:p>
    <w:p>
      <w:pPr>
        <w:spacing w:after="120" w:before="0" w:line="264"/>
        <w:jc w:val="both"/>
      </w:pPr>
      <w:r>
        <w:rPr>
          <w:rFonts w:ascii="Calibri" w:cs="Calibri" w:eastAsia="Calibri" w:hAnsi="Calibri"/>
          <w:sz w:val="22"/>
          <w:szCs w:val="22"/>
        </w:rPr>
        <w:t xml:space="preserve">Full inventory carried from the RU-03 data-source and API tables; expanded here with a real example payload for the two contracts most relevant to the hardened scoring function's inputs.</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1800"/>
        <w:gridCol w:w="3200"/>
        <w:gridCol w:w="1700"/>
        <w:gridCol w:w="2660"/>
      </w:tblGrid>
      <w:tr>
        <w:trPr>
          <w:cantSplit/>
          <w:tblHeader/>
        </w:trPr>
        <w:tc>
          <w:tcPr>
            <w:tcW w:type="dxa" w:w="18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Service/API</w:t>
            </w:r>
          </w:p>
        </w:tc>
        <w:tc>
          <w:tcPr>
            <w:tcW w:type="dxa" w:w="32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Contract Used</w:t>
            </w:r>
          </w:p>
        </w:tc>
        <w:tc>
          <w:tcPr>
            <w:tcW w:type="dxa" w:w="17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Access Status</w:t>
            </w:r>
          </w:p>
        </w:tc>
        <w:tc>
          <w:tcPr>
            <w:tcW w:type="dxa" w:w="26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Dependency Notes</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Amazon Bedrock</w:t>
            </w:r>
          </w:p>
        </w:tc>
        <w:tc>
          <w:tcPr>
            <w:tcW w:type="dxa" w:w="32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InvokeModelCommand</w:t>
            </w:r>
          </w:p>
        </w:tc>
        <w:tc>
          <w:tcPr>
            <w:tcW w:type="dxa" w:w="1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Live, deployed</w:t>
            </w:r>
          </w:p>
        </w:tc>
        <w:tc>
          <w:tcPr>
            <w:tcW w:type="dxa" w:w="2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Governed by Anthropic Usage Policy; per-invocation cost on researcher AWS account.</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Amazon Rekognition</w:t>
            </w:r>
          </w:p>
        </w:tc>
        <w:tc>
          <w:tcPr>
            <w:tcW w:type="dxa" w:w="32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Vision analysis on report photos</w:t>
            </w:r>
          </w:p>
        </w:tc>
        <w:tc>
          <w:tcPr>
            <w:tcW w:type="dxa" w:w="1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Live, deployed</w:t>
            </w:r>
          </w:p>
        </w:tc>
        <w:tc>
          <w:tcPr>
            <w:tcW w:type="dxa" w:w="2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No-photo fallback exists and is exercised in the synthetic case set (Section 8).</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AWS Location Service</w:t>
            </w:r>
          </w:p>
        </w:tc>
        <w:tc>
          <w:tcPr>
            <w:tcW w:type="dxa" w:w="32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Geocoding</w:t>
            </w:r>
          </w:p>
        </w:tc>
        <w:tc>
          <w:tcPr>
            <w:tcW w:type="dxa" w:w="1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Code exists; Place Index not provisioned</w:t>
            </w:r>
          </w:p>
        </w:tc>
        <w:tc>
          <w:tcPr>
            <w:tcW w:type="dxa" w:w="2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Confirmed to fall back to raw coordinates; out of scope (charter Section 9).</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AWS AppSync (GraphQL)</w:t>
            </w:r>
          </w:p>
        </w:tc>
        <w:tc>
          <w:tcPr>
            <w:tcW w:type="dxa" w:w="32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submitReport, getCase, listShelters, listNearbyCases, getCasePhotos, publishCaseUpdate</w:t>
            </w:r>
          </w:p>
        </w:tc>
        <w:tc>
          <w:tcPr>
            <w:tcW w:type="dxa" w:w="1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Live, deployed</w:t>
            </w:r>
          </w:p>
        </w:tc>
        <w:tc>
          <w:tcPr>
            <w:tcW w:type="dxa" w:w="2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 schema changes planned for the arbitrator hardening scope.</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Amazon DynamoDB</w:t>
            </w:r>
          </w:p>
        </w:tc>
        <w:tc>
          <w:tcPr>
            <w:tcW w:type="dxa" w:w="32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Get/Put/Update/Query on 5 tables (Section 7, RU-03 inventory)</w:t>
            </w:r>
          </w:p>
        </w:tc>
        <w:tc>
          <w:tcPr>
            <w:tcW w:type="dxa" w:w="1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Live, deployed</w:t>
            </w:r>
          </w:p>
        </w:tc>
        <w:tc>
          <w:tcPr>
            <w:tcW w:type="dxa" w:w="2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Primary read/write target of the arbitrator.</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Amazon EventBridge</w:t>
            </w:r>
          </w:p>
        </w:tc>
        <w:tc>
          <w:tcPr>
            <w:tcW w:type="dxa" w:w="32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ShelterBid, BidWindowClosed, CaseAssigned, EscalationRequired events</w:t>
            </w:r>
          </w:p>
        </w:tc>
        <w:tc>
          <w:tcPr>
            <w:tcW w:type="dxa" w:w="1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Live, deployed</w:t>
            </w:r>
          </w:p>
        </w:tc>
        <w:tc>
          <w:tcPr>
            <w:tcW w:type="dxa" w:w="2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 changes planned.</w:t>
            </w:r>
          </w:p>
        </w:tc>
      </w:tr>
      <w:tr>
        <w:trPr>
          <w:cantSplit/>
        </w:trPr>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Slack API</w:t>
            </w:r>
          </w:p>
        </w:tc>
        <w:tc>
          <w:tcPr>
            <w:tcW w:type="dxa" w:w="32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chat.postMessage; interaction webhook</w:t>
            </w:r>
          </w:p>
        </w:tc>
        <w:tc>
          <w:tcPr>
            <w:tcW w:type="dxa" w:w="1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Live, deployed</w:t>
            </w:r>
          </w:p>
        </w:tc>
        <w:tc>
          <w:tcPr>
            <w:tcW w:type="dxa" w:w="2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Tier-2 escalation channel; no changes planned.</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Example: Bedrock InvokeModelCommand Request (needs-profile)</w:t>
      </w:r>
    </w:p>
    <w:p>
      <w:pPr>
        <w:spacing w:after="120" w:before="0" w:line="264"/>
        <w:jc w:val="both"/>
      </w:pPr>
      <w:r>
        <w:rPr>
          <w:rFonts w:ascii="Calibri" w:cs="Calibri" w:eastAsia="Calibri" w:hAnsi="Calibri"/>
          <w:sz w:val="22"/>
          <w:szCs w:val="22"/>
        </w:rPr>
        <w:t xml:space="preserve">Reproduced verbatim from lambda/needs-profile/index.ts — this is the real request shape the arbitrator's AHP weights will replace (the hand-picked example weights below are what the current, un-hardened prompt shows the model; they disappear once weights are elicited, not the model call itself):</w:t>
      </w:r>
    </w:p>
    <w:p>
      <w:pPr>
        <w:pBdr>
          <w:top w:val="single" w:color="CCCCCC" w:sz="2"/>
          <w:bottom w:val="single" w:color="CCCCCC" w:sz="2"/>
          <w:left w:val="single" w:color="CCCCCC" w:sz="2"/>
          <w:right w:val="single" w:color="CCCCCC" w:sz="2"/>
        </w:pBdr>
        <w:shd w:fill="F2F2F2" w:val="clear"/>
        <w:spacing w:after="160" w:before="80" w:line="230"/>
      </w:pPr>
      <w:r>
        <w:rPr>
          <w:rFonts w:ascii="Courier New" w:cs="Courier New" w:eastAsia="Courier New" w:hAnsi="Courier New"/>
          <w:sz w:val="18"/>
          <w:szCs w:val="18"/>
        </w:rPr>
        <w:t xml:space="preserve">{</w:t>
      </w:r>
      <w:r>
        <w:rPr>
          <w:rFonts w:ascii="Courier New" w:cs="Courier New" w:eastAsia="Courier New" w:hAnsi="Courier New"/>
          <w:sz w:val="18"/>
          <w:szCs w:val="18"/>
        </w:rPr>
        <w:br/>
        <w:t xml:space="preserve">  "anthropic_version": "bedrock-2023-05-31",</w:t>
      </w:r>
      <w:r>
        <w:rPr>
          <w:rFonts w:ascii="Courier New" w:cs="Courier New" w:eastAsia="Courier New" w:hAnsi="Courier New"/>
          <w:sz w:val="18"/>
          <w:szCs w:val="18"/>
        </w:rPr>
        <w:br/>
        <w:t xml:space="preserve">  "max_tokens": 512,</w:t>
      </w:r>
      <w:r>
        <w:rPr>
          <w:rFonts w:ascii="Courier New" w:cs="Courier New" w:eastAsia="Courier New" w:hAnsi="Courier New"/>
          <w:sz w:val="18"/>
          <w:szCs w:val="18"/>
        </w:rPr>
        <w:br/>
        <w:t xml:space="preserve">  "system": "You are a rescue case analyst...",</w:t>
      </w:r>
      <w:r>
        <w:rPr>
          <w:rFonts w:ascii="Courier New" w:cs="Courier New" w:eastAsia="Courier New" w:hAnsi="Courier New"/>
          <w:sz w:val="18"/>
          <w:szCs w:val="18"/>
        </w:rPr>
        <w:br/>
        <w:t xml:space="preserve">  "messages": [{ "role": "user", "content":</w:t>
      </w:r>
      <w:r>
        <w:rPr>
          <w:rFonts w:ascii="Courier New" w:cs="Courier New" w:eastAsia="Courier New" w:hAnsi="Courier New"/>
          <w:sz w:val="18"/>
          <w:szCs w:val="18"/>
        </w:rPr>
        <w:br/>
        <w:t xml:space="preserve">    "Respond with exactly this JSON shape: {</w:t>
      </w:r>
      <w:r>
        <w:rPr>
          <w:rFonts w:ascii="Courier New" w:cs="Courier New" w:eastAsia="Courier New" w:hAnsi="Courier New"/>
          <w:sz w:val="18"/>
          <w:szCs w:val="18"/>
        </w:rPr>
        <w:br/>
        <w:t xml:space="preserve">      \"hardConstraints\": [\"has_vet\"],</w:t>
      </w:r>
      <w:r>
        <w:rPr>
          <w:rFonts w:ascii="Courier New" w:cs="Courier New" w:eastAsia="Courier New" w:hAnsi="Courier New"/>
          <w:sz w:val="18"/>
          <w:szCs w:val="18"/>
        </w:rPr>
        <w:br/>
        <w:t xml:space="preserve">      \"softWeights\": {</w:t>
      </w:r>
      <w:r>
        <w:rPr>
          <w:rFonts w:ascii="Courier New" w:cs="Courier New" w:eastAsia="Courier New" w:hAnsi="Courier New"/>
          <w:sz w:val="18"/>
          <w:szCs w:val="18"/>
        </w:rPr>
        <w:br/>
        <w:t xml:space="preserve">        \"vet_care\": 0.40, \"pickup_urgency\": 0.30,</w:t>
      </w:r>
      <w:r>
        <w:rPr>
          <w:rFonts w:ascii="Courier New" w:cs="Courier New" w:eastAsia="Courier New" w:hAnsi="Courier New"/>
          <w:sz w:val="18"/>
          <w:szCs w:val="18"/>
        </w:rPr>
        <w:br/>
        <w:t xml:space="preserve">        \"species_specialization\": 0.15,</w:t>
      </w:r>
      <w:r>
        <w:rPr>
          <w:rFonts w:ascii="Courier New" w:cs="Courier New" w:eastAsia="Courier New" w:hAnsi="Courier New"/>
          <w:sz w:val="18"/>
          <w:szCs w:val="18"/>
        </w:rPr>
        <w:br/>
        <w:t xml:space="preserve">        \"proximity\": 0.10, \"long_term_care\": 0.05 },</w:t>
      </w:r>
      <w:r>
        <w:rPr>
          <w:rFonts w:ascii="Courier New" w:cs="Courier New" w:eastAsia="Courier New" w:hAnsi="Courier New"/>
          <w:sz w:val="18"/>
          <w:szCs w:val="18"/>
        </w:rPr>
        <w:br/>
        <w:t xml:space="preserve">      \"urgencyLevel\": \"HIGH\", \"reasoning\": \"...\" }" }]</w:t>
      </w:r>
      <w:r>
        <w:rPr>
          <w:rFonts w:ascii="Courier New" w:cs="Courier New" w:eastAsia="Courier New" w:hAnsi="Courier New"/>
          <w:sz w:val="18"/>
          <w:szCs w:val="18"/>
        </w:rPr>
        <w:br/>
        <w:t xml:space="preserve">}</w:t>
      </w:r>
    </w:p>
    <w:p>
      <w:pPr>
        <w:keepNext/>
        <w:spacing w:after="100" w:before="200" w:line="264"/>
      </w:pPr>
      <w:r>
        <w:rPr>
          <w:rFonts w:ascii="Calibri" w:cs="Calibri" w:eastAsia="Calibri" w:hAnsi="Calibri"/>
          <w:b/>
          <w:bCs/>
          <w:color w:val="0A3A35"/>
          <w:sz w:val="24"/>
          <w:szCs w:val="24"/>
        </w:rPr>
        <w:t xml:space="preserve">Example: AppSync submitReport Mutation (client-facing contract)</w:t>
      </w:r>
    </w:p>
    <w:p>
      <w:pPr>
        <w:spacing w:after="120" w:before="0" w:line="264"/>
        <w:jc w:val="both"/>
      </w:pPr>
      <w:r>
        <w:rPr>
          <w:rFonts w:ascii="Calibri" w:cs="Calibri" w:eastAsia="Calibri" w:hAnsi="Calibri"/>
          <w:sz w:val="22"/>
          <w:szCs w:val="22"/>
        </w:rPr>
        <w:t xml:space="preserve">From lib/schema.graphql — the client-facing contract this project's changes must not break:</w:t>
      </w:r>
    </w:p>
    <w:p>
      <w:pPr>
        <w:pBdr>
          <w:top w:val="single" w:color="CCCCCC" w:sz="2"/>
          <w:bottom w:val="single" w:color="CCCCCC" w:sz="2"/>
          <w:left w:val="single" w:color="CCCCCC" w:sz="2"/>
          <w:right w:val="single" w:color="CCCCCC" w:sz="2"/>
        </w:pBdr>
        <w:shd w:fill="F2F2F2" w:val="clear"/>
        <w:spacing w:after="160" w:before="80" w:line="230"/>
      </w:pPr>
      <w:r>
        <w:rPr>
          <w:rFonts w:ascii="Courier New" w:cs="Courier New" w:eastAsia="Courier New" w:hAnsi="Courier New"/>
          <w:sz w:val="18"/>
          <w:szCs w:val="18"/>
        </w:rPr>
        <w:t xml:space="preserve">mutation SubmitReport($input: SubmitReportInput!) {</w:t>
      </w:r>
      <w:r>
        <w:rPr>
          <w:rFonts w:ascii="Courier New" w:cs="Courier New" w:eastAsia="Courier New" w:hAnsi="Courier New"/>
          <w:sz w:val="18"/>
          <w:szCs w:val="18"/>
        </w:rPr>
        <w:br/>
        <w:t xml:space="preserve">  submitReport(input: $input) {</w:t>
      </w:r>
      <w:r>
        <w:rPr>
          <w:rFonts w:ascii="Courier New" w:cs="Courier New" w:eastAsia="Courier New" w:hAnsi="Courier New"/>
          <w:sz w:val="18"/>
          <w:szCs w:val="18"/>
        </w:rPr>
        <w:br/>
        <w:t xml:space="preserve">    caseId status timestamp</w:t>
      </w:r>
      <w:r>
        <w:rPr>
          <w:rFonts w:ascii="Courier New" w:cs="Courier New" w:eastAsia="Courier New" w:hAnsi="Courier New"/>
          <w:sz w:val="18"/>
          <w:szCs w:val="18"/>
        </w:rPr>
        <w:br/>
        <w:t xml:space="preserve">    photoUploadUrl photoUploadUrls message</w:t>
      </w:r>
      <w:r>
        <w:rPr>
          <w:rFonts w:ascii="Courier New" w:cs="Courier New" w:eastAsia="Courier New" w:hAnsi="Courier New"/>
          <w:sz w:val="18"/>
          <w:szCs w:val="18"/>
        </w:rPr>
        <w:br/>
        <w:t xml:space="preserve">  }</w:t>
      </w:r>
      <w:r>
        <w:rPr>
          <w:rFonts w:ascii="Courier New" w:cs="Courier New" w:eastAsia="Courier New" w:hAnsi="Courier New"/>
          <w:sz w:val="18"/>
          <w:szCs w:val="18"/>
        </w:rPr>
        <w:br/>
        <w:t xml:space="preserve">}</w:t>
      </w:r>
    </w:p>
    <w:p>
      <w:r>
        <w:br w:type="page"/>
      </w:r>
    </w:p>
    <w:p>
      <w:pPr>
        <w:keepNext/>
        <w:pBdr>
          <w:bottom w:val="single" w:color="0F4C46" w:sz="8" w:space="4"/>
        </w:pBdr>
        <w:spacing w:after="140" w:before="320" w:line="264"/>
      </w:pPr>
      <w:r>
        <w:rPr>
          <w:rFonts w:ascii="Calibri" w:cs="Calibri" w:eastAsia="Calibri" w:hAnsi="Calibri"/>
          <w:b/>
          <w:bCs/>
          <w:color w:val="0F4C46"/>
          <w:sz w:val="30"/>
          <w:szCs w:val="30"/>
        </w:rPr>
        <w:t xml:space="preserve">8. Test and Evaluation Plan</w:t>
      </w:r>
    </w:p>
    <w:p>
      <w:pPr>
        <w:spacing w:after="120" w:before="0" w:line="264"/>
        <w:jc w:val="both"/>
      </w:pPr>
      <w:r>
        <w:rPr>
          <w:rFonts w:ascii="Calibri" w:cs="Calibri" w:eastAsia="Calibri" w:hAnsi="Calibri"/>
          <w:sz w:val="22"/>
          <w:szCs w:val="22"/>
        </w:rPr>
        <w:t xml:space="preserve">Every test type below produces a specific, collectible artifact — directly avoiding this assignment's named failure mode of "polished diagrams with no explicit plan for collecting convincing evidence."</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1400"/>
        <w:gridCol w:w="2500"/>
        <w:gridCol w:w="1700"/>
        <w:gridCol w:w="1900"/>
        <w:gridCol w:w="1860"/>
      </w:tblGrid>
      <w:tr>
        <w:trPr>
          <w:cantSplit/>
          <w:tblHeader/>
        </w:trPr>
        <w:tc>
          <w:tcPr>
            <w:tcW w:type="dxa" w:w="1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Test Type</w:t>
            </w:r>
          </w:p>
        </w:tc>
        <w:tc>
          <w:tcPr>
            <w:tcW w:type="dxa" w:w="25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What Is Tested</w:t>
            </w:r>
          </w:p>
        </w:tc>
        <w:tc>
          <w:tcPr>
            <w:tcW w:type="dxa" w:w="17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Metric</w:t>
            </w:r>
          </w:p>
        </w:tc>
        <w:tc>
          <w:tcPr>
            <w:tcW w:type="dxa" w:w="19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Acceptance Threshold</w:t>
            </w:r>
          </w:p>
        </w:tc>
        <w:tc>
          <w:tcPr>
            <w:tcW w:type="dxa" w:w="18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Evidence Artifact</w:t>
            </w:r>
          </w:p>
        </w:tc>
      </w:tr>
      <w:tr>
        <w:trPr>
          <w:cantSplit/>
        </w:trPr>
        <w:tc>
          <w:tcPr>
            <w:tcW w:type="dxa" w:w="1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Unit (regression)</w:t>
            </w:r>
          </w:p>
        </w:tc>
        <w:tc>
          <w:tcPr>
            <w:tcW w:type="dxa" w:w="2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specScore correctness on 4 hand-picked bid/case pairs (exact match, no match, multi-species accept, empty acceptedSpecies)</w:t>
            </w:r>
          </w:p>
        </w:tc>
        <w:tc>
          <w:tcPr>
            <w:tcW w:type="dxa" w:w="1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Pass/fail</w:t>
            </w:r>
          </w:p>
        </w:tc>
        <w:tc>
          <w:tcPr>
            <w:tcW w:type="dxa" w:w="1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4/4 assertions pass</w:t>
            </w:r>
          </w:p>
        </w:tc>
        <w:tc>
          <w:tcPr>
            <w:tcW w:type="dxa" w:w="18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Jest test output, committed to repo</w:t>
            </w:r>
          </w:p>
        </w:tc>
      </w:tr>
      <w:tr>
        <w:trPr>
          <w:cantSplit/>
        </w:trPr>
        <w:tc>
          <w:tcPr>
            <w:tcW w:type="dxa" w:w="1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Consistency check</w:t>
            </w:r>
          </w:p>
        </w:tc>
        <w:tc>
          <w:tcPr>
            <w:tcW w:type="dxa" w:w="2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CR of the elicited 5×5 pairwise matrix</w:t>
            </w:r>
          </w:p>
        </w:tc>
        <w:tc>
          <w:tcPr>
            <w:tcW w:type="dxa" w:w="1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Numeric (CR)</w:t>
            </w:r>
          </w:p>
        </w:tc>
        <w:tc>
          <w:tcPr>
            <w:tcW w:type="dxa" w:w="1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CR &lt; 0.10</w:t>
            </w:r>
          </w:p>
        </w:tc>
        <w:tc>
          <w:tcPr>
            <w:tcW w:type="dxa" w:w="18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Computed matrix + weights + CR, committed alongside the code change (charter Section 4)</w:t>
            </w:r>
          </w:p>
        </w:tc>
      </w:tr>
      <w:tr>
        <w:trPr>
          <w:cantSplit/>
        </w:trPr>
        <w:tc>
          <w:tcPr>
            <w:tcW w:type="dxa" w:w="1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Comparison (integration)</w:t>
            </w:r>
          </w:p>
        </w:tc>
        <w:tc>
          <w:tcPr>
            <w:tcW w:type="dxa" w:w="2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v1 (buggy specScore + hand-picked weights) vs v2 (fixed + AHP) scoring on the same case set</w:t>
            </w:r>
          </w:p>
        </w:tc>
        <w:tc>
          <w:tcPr>
            <w:tcW w:type="dxa" w:w="1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Winner agreement rate; per-case rationale for disagreement</w:t>
            </w:r>
          </w:p>
        </w:tc>
        <w:tc>
          <w:tcPr>
            <w:tcW w:type="dxa" w:w="1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100% of disagreements have a documented rationale (no unexplained flips)</w:t>
            </w:r>
          </w:p>
        </w:tc>
        <w:tc>
          <w:tcPr>
            <w:tcW w:type="dxa" w:w="18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Harness report (table: case, v1 winner, v2 winner, agree?, rationale)</w:t>
            </w:r>
          </w:p>
        </w:tc>
      </w:tr>
      <w:tr>
        <w:trPr>
          <w:cantSplit/>
        </w:trPr>
        <w:tc>
          <w:tcPr>
            <w:tcW w:type="dxa" w:w="1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Non-regression (system)</w:t>
            </w:r>
          </w:p>
        </w:tc>
        <w:tc>
          <w:tcPr>
            <w:tcW w:type="dxa" w:w="2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Full pipeline run on a non-production case path before promoting v2 to live scoring</w:t>
            </w:r>
          </w:p>
        </w:tc>
        <w:tc>
          <w:tcPr>
            <w:tcW w:type="dxa" w:w="1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End-to-end latency (ms); error rate (%)</w:t>
            </w:r>
          </w:p>
        </w:tc>
        <w:tc>
          <w:tcPr>
            <w:tcW w:type="dxa" w:w="1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Latency ≤ ~30s (Week 1 baseline); 0% increase in error rate</w:t>
            </w:r>
          </w:p>
        </w:tc>
        <w:tc>
          <w:tcPr>
            <w:tcW w:type="dxa" w:w="18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CloudWatch logs; manual timing log</w:t>
            </w:r>
          </w:p>
        </w:tc>
      </w:tr>
      <w:tr>
        <w:trPr>
          <w:cantSplit/>
        </w:trPr>
        <w:tc>
          <w:tcPr>
            <w:tcW w:type="dxa" w:w="1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Sensitivity / fairness</w:t>
            </w:r>
          </w:p>
        </w:tc>
        <w:tc>
          <w:tcPr>
            <w:tcW w:type="dxa" w:w="2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Perturb each of the 10 pairwise judgments by ±1 Saaty-scale step, one at a time (20 perturbed matrices); recompute weights and re-run the comparison harness</w:t>
            </w:r>
          </w:p>
        </w:tc>
        <w:tc>
          <w:tcPr>
            <w:tcW w:type="dxa" w:w="1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 of synthetic cases whose winning shelter changes per perturbation</w:t>
            </w:r>
          </w:p>
        </w:tc>
        <w:tc>
          <w:tcPr>
            <w:tcW w:type="dxa" w:w="1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Flagged for re-elicitation if any single perturbation changes &gt;20% of case winners</w:t>
            </w:r>
          </w:p>
        </w:tc>
        <w:tc>
          <w:tcPr>
            <w:tcW w:type="dxa" w:w="18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Perturbation report, committed alongside the AHP artifact</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Evaluation Evidence Strategy: Synthetic Case Matrix</w:t>
      </w:r>
    </w:p>
    <w:p>
      <w:pPr>
        <w:spacing w:after="120" w:before="0" w:line="264"/>
        <w:jc w:val="both"/>
      </w:pPr>
      <w:r>
        <w:rPr>
          <w:rFonts w:ascii="Calibri" w:cs="Calibri" w:eastAsia="Calibri" w:hAnsi="Calibri"/>
          <w:sz w:val="22"/>
          <w:szCs w:val="22"/>
        </w:rPr>
        <w:t xml:space="preserve">This project is not training a model, so a train/test/validation split does not apply directly. The equivalent evidence strategy is a constructed synthetic case set, supplementing the one real captured case, with an expert-annotated (student-annotated) expected best shelter for each — giving the comparison harness actual ground truth to check against, not just relative old-vs-new agreement.</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900"/>
        <w:gridCol w:w="1900"/>
        <w:gridCol w:w="1100"/>
        <w:gridCol w:w="1300"/>
        <w:gridCol w:w="1900"/>
        <w:gridCol w:w="2260"/>
      </w:tblGrid>
      <w:tr>
        <w:trPr>
          <w:cantSplit/>
          <w:tblHeader/>
        </w:trPr>
        <w:tc>
          <w:tcPr>
            <w:tcW w:type="dxa" w:w="9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Case ID</w:t>
            </w:r>
          </w:p>
        </w:tc>
        <w:tc>
          <w:tcPr>
            <w:tcW w:type="dxa" w:w="19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Species Match</w:t>
            </w:r>
          </w:p>
        </w:tc>
        <w:tc>
          <w:tcPr>
            <w:tcW w:type="dxa" w:w="11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Urgency</w:t>
            </w:r>
          </w:p>
        </w:tc>
        <w:tc>
          <w:tcPr>
            <w:tcW w:type="dxa" w:w="13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Distance</w:t>
            </w:r>
          </w:p>
        </w:tc>
        <w:tc>
          <w:tcPr>
            <w:tcW w:type="dxa" w:w="19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Shelter Capacity</w:t>
            </w:r>
          </w:p>
        </w:tc>
        <w:tc>
          <w:tcPr>
            <w:tcW w:type="dxa" w:w="22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Expected Best Shelter (ground truth)</w:t>
            </w:r>
          </w:p>
        </w:tc>
      </w:tr>
      <w:tr>
        <w:trPr>
          <w:cantSplit/>
        </w:trPr>
        <w:tc>
          <w:tcPr>
            <w:tcW w:type="dxa" w:w="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SYN-01</w:t>
            </w:r>
          </w:p>
        </w:tc>
        <w:tc>
          <w:tcPr>
            <w:tcW w:type="dxa" w:w="1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Exact match</w:t>
            </w:r>
          </w:p>
        </w:tc>
        <w:tc>
          <w:tcPr>
            <w:tcW w:type="dxa" w:w="1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CRITICAL</w:t>
            </w:r>
          </w:p>
        </w:tc>
        <w:tc>
          <w:tcPr>
            <w:tcW w:type="dxa" w:w="13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Near (&lt;5km)</w:t>
            </w:r>
          </w:p>
        </w:tc>
        <w:tc>
          <w:tcPr>
            <w:tcW w:type="dxa" w:w="1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Slots available, vet on site</w:t>
            </w:r>
          </w:p>
        </w:tc>
        <w:tc>
          <w:tcPr>
            <w:tcW w:type="dxa" w:w="22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Nearest tier-1, vet-equipped shelter</w:t>
            </w:r>
          </w:p>
        </w:tc>
      </w:tr>
      <w:tr>
        <w:trPr>
          <w:cantSplit/>
        </w:trPr>
        <w:tc>
          <w:tcPr>
            <w:tcW w:type="dxa" w:w="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SYN-02</w:t>
            </w:r>
          </w:p>
        </w:tc>
        <w:tc>
          <w:tcPr>
            <w:tcW w:type="dxa" w:w="1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 match (defect trigger)</w:t>
            </w:r>
          </w:p>
        </w:tc>
        <w:tc>
          <w:tcPr>
            <w:tcW w:type="dxa" w:w="1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MEDIUM</w:t>
            </w:r>
          </w:p>
        </w:tc>
        <w:tc>
          <w:tcPr>
            <w:tcW w:type="dxa" w:w="13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Near</w:t>
            </w:r>
          </w:p>
        </w:tc>
        <w:tc>
          <w:tcPr>
            <w:tcW w:type="dxa" w:w="1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Slots available</w:t>
            </w:r>
          </w:p>
        </w:tc>
        <w:tc>
          <w:tcPr>
            <w:tcW w:type="dxa" w:w="22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Shelter that actually accepts the species, even if farther</w:t>
            </w:r>
          </w:p>
        </w:tc>
      </w:tr>
      <w:tr>
        <w:trPr>
          <w:cantSplit/>
        </w:trPr>
        <w:tc>
          <w:tcPr>
            <w:tcW w:type="dxa" w:w="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SYN-03</w:t>
            </w:r>
          </w:p>
        </w:tc>
        <w:tc>
          <w:tcPr>
            <w:tcW w:type="dxa" w:w="1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Exact match</w:t>
            </w:r>
          </w:p>
        </w:tc>
        <w:tc>
          <w:tcPr>
            <w:tcW w:type="dxa" w:w="1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LOW</w:t>
            </w:r>
          </w:p>
        </w:tc>
        <w:tc>
          <w:tcPr>
            <w:tcW w:type="dxa" w:w="13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Far (&gt;25km)</w:t>
            </w:r>
          </w:p>
        </w:tc>
        <w:tc>
          <w:tcPr>
            <w:tcW w:type="dxa" w:w="1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Slots available</w:t>
            </w:r>
          </w:p>
        </w:tc>
        <w:tc>
          <w:tcPr>
            <w:tcW w:type="dxa" w:w="22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Nearer shelter should still win on proximity</w:t>
            </w:r>
          </w:p>
        </w:tc>
      </w:tr>
      <w:tr>
        <w:trPr>
          <w:cantSplit/>
        </w:trPr>
        <w:tc>
          <w:tcPr>
            <w:tcW w:type="dxa" w:w="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SYN-04</w:t>
            </w:r>
          </w:p>
        </w:tc>
        <w:tc>
          <w:tcPr>
            <w:tcW w:type="dxa" w:w="1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Multi-species accept</w:t>
            </w:r>
          </w:p>
        </w:tc>
        <w:tc>
          <w:tcPr>
            <w:tcW w:type="dxa" w:w="1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HIGH</w:t>
            </w:r>
          </w:p>
        </w:tc>
        <w:tc>
          <w:tcPr>
            <w:tcW w:type="dxa" w:w="13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Near</w:t>
            </w:r>
          </w:p>
        </w:tc>
        <w:tc>
          <w:tcPr>
            <w:tcW w:type="dxa" w:w="1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Zero slots at nearest shelter</w:t>
            </w:r>
          </w:p>
        </w:tc>
        <w:tc>
          <w:tcPr>
            <w:tcW w:type="dxa" w:w="22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Next-nearest shelter with available slots</w:t>
            </w:r>
          </w:p>
        </w:tc>
      </w:tr>
      <w:tr>
        <w:trPr>
          <w:cantSplit/>
        </w:trPr>
        <w:tc>
          <w:tcPr>
            <w:tcW w:type="dxa" w:w="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SYN-05</w:t>
            </w:r>
          </w:p>
        </w:tc>
        <w:tc>
          <w:tcPr>
            <w:tcW w:type="dxa" w:w="1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Exact match</w:t>
            </w:r>
          </w:p>
        </w:tc>
        <w:tc>
          <w:tcPr>
            <w:tcW w:type="dxa" w:w="1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CRITICAL</w:t>
            </w:r>
          </w:p>
        </w:tc>
        <w:tc>
          <w:tcPr>
            <w:tcW w:type="dxa" w:w="13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Near</w:t>
            </w:r>
          </w:p>
        </w:tc>
        <w:tc>
          <w:tcPr>
            <w:tcW w:type="dxa" w:w="1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 vet at nearest, vet at second-nearest</w:t>
            </w:r>
          </w:p>
        </w:tc>
        <w:tc>
          <w:tcPr>
            <w:tcW w:type="dxa" w:w="22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Vet-equipped shelter, even if slightly farther</w:t>
            </w:r>
          </w:p>
        </w:tc>
      </w:tr>
      <w:tr>
        <w:trPr>
          <w:cantSplit/>
        </w:trPr>
        <w:tc>
          <w:tcPr>
            <w:tcW w:type="dxa" w:w="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SYN-06</w:t>
            </w:r>
          </w:p>
        </w:tc>
        <w:tc>
          <w:tcPr>
            <w:tcW w:type="dxa" w:w="1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Exact match</w:t>
            </w:r>
          </w:p>
        </w:tc>
        <w:tc>
          <w:tcPr>
            <w:tcW w:type="dxa" w:w="1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MEDIUM</w:t>
            </w:r>
          </w:p>
        </w:tc>
        <w:tc>
          <w:tcPr>
            <w:tcW w:type="dxa" w:w="13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Near</w:t>
            </w:r>
          </w:p>
        </w:tc>
        <w:tc>
          <w:tcPr>
            <w:tcW w:type="dxa" w:w="1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Two shelters near-tied on all factors</w:t>
            </w:r>
          </w:p>
        </w:tc>
        <w:tc>
          <w:tcPr>
            <w:tcW w:type="dxa" w:w="22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Documented tie-break rationale required, not a silent pick</w:t>
            </w:r>
          </w:p>
        </w:tc>
      </w:tr>
    </w:tbl>
    <w:p>
      <w:pPr>
        <w:spacing w:after="0" w:before="0" w:line="264"/>
      </w:pPr>
      <w:r>
        <w:rPr>
          <w:rFonts w:ascii="Calibri" w:cs="Calibri" w:eastAsia="Calibri" w:hAnsi="Calibri"/>
          <w:sz w:val="22"/>
          <w:szCs w:val="22"/>
        </w:rPr>
        <w:t xml:space="preserve"/>
      </w:r>
    </w:p>
    <w:p>
      <w:pPr>
        <w:spacing w:after="120" w:before="0" w:line="264"/>
        <w:jc w:val="both"/>
      </w:pPr>
      <w:r>
        <w:rPr>
          <w:rFonts w:ascii="Calibri" w:cs="Calibri" w:eastAsia="Calibri" w:hAnsi="Calibri"/>
          <w:sz w:val="22"/>
          <w:szCs w:val="22"/>
        </w:rPr>
        <w:t xml:space="preserve">SYN-02 is the case specifically designed to expose the current specScore defect: under v1 scoring, a non-accepting shelter can still score 0.85 on the species factor (array-existence bug), so v1 and v2 should disagree on this case by construction — its rationale is expected to read "v1 incorrectly favored a non-accepting shelter; v2 correctly excludes/downweights it," which is itself the primary piece of evidence for SC1.</w:t>
      </w:r>
    </w:p>
    <w:p>
      <w:pPr>
        <w:keepNext/>
        <w:spacing w:after="100" w:before="200" w:line="264"/>
      </w:pPr>
      <w:r>
        <w:rPr>
          <w:rFonts w:ascii="Calibri" w:cs="Calibri" w:eastAsia="Calibri" w:hAnsi="Calibri"/>
          <w:b/>
          <w:bCs/>
          <w:color w:val="0A3A35"/>
          <w:sz w:val="24"/>
          <w:szCs w:val="24"/>
        </w:rPr>
        <w:t xml:space="preserve">Bias / Error Check</w:t>
      </w:r>
    </w:p>
    <w:p>
      <w:pPr>
        <w:spacing w:after="120" w:before="0" w:line="264"/>
        <w:jc w:val="both"/>
      </w:pPr>
      <w:r>
        <w:rPr>
          <w:rFonts w:ascii="Calibri" w:cs="Calibri" w:eastAsia="Calibri" w:hAnsi="Calibri"/>
          <w:sz w:val="22"/>
          <w:szCs w:val="22"/>
        </w:rPr>
        <w:t xml:space="preserve">Beyond the sensitivity check above, the evaluation harness logs which softWeights factor most often decides the winning shelter across the synthetic set. If one factor (e.g., proximity) dominates every case regardless of the elicited weights, that would indicate a scoring-formula issue (e.g., the /30 km normalization constant disclosed as an unaddressed limitation in the RU-03 data-source inventory) rather than a weighting issue, and would be flagged for the supervisor rather than silently accepted.</w:t>
      </w:r>
    </w:p>
    <w:p>
      <w:r>
        <w:br w:type="page"/>
      </w:r>
    </w:p>
    <w:p>
      <w:pPr>
        <w:keepNext/>
        <w:pBdr>
          <w:bottom w:val="single" w:color="0F4C46" w:sz="8" w:space="4"/>
        </w:pBdr>
        <w:spacing w:after="140" w:before="320" w:line="264"/>
      </w:pPr>
      <w:r>
        <w:rPr>
          <w:rFonts w:ascii="Calibri" w:cs="Calibri" w:eastAsia="Calibri" w:hAnsi="Calibri"/>
          <w:b/>
          <w:bCs/>
          <w:color w:val="0F4C46"/>
          <w:sz w:val="30"/>
          <w:szCs w:val="30"/>
        </w:rPr>
        <w:t xml:space="preserve">9. Traceability Matrix</w:t>
      </w:r>
    </w:p>
    <w:p>
      <w:pPr>
        <w:spacing w:after="120" w:before="0" w:line="264"/>
        <w:jc w:val="both"/>
      </w:pPr>
      <w:r>
        <w:rPr>
          <w:rFonts w:ascii="Calibri" w:cs="Calibri" w:eastAsia="Calibri" w:hAnsi="Calibri"/>
          <w:sz w:val="22"/>
          <w:szCs w:val="22"/>
        </w:rPr>
        <w:t xml:space="preserve">Every RU-03 requirement is traced to the design component that addresses it and the test method that will confirm it, per this assignment's explicit ask to align the package with the approved success criteria.</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900"/>
        <w:gridCol w:w="2560"/>
        <w:gridCol w:w="2200"/>
        <w:gridCol w:w="1800"/>
        <w:gridCol w:w="1900"/>
      </w:tblGrid>
      <w:tr>
        <w:trPr>
          <w:cantSplit/>
          <w:tblHeader/>
        </w:trPr>
        <w:tc>
          <w:tcPr>
            <w:tcW w:type="dxa" w:w="9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ID</w:t>
            </w:r>
          </w:p>
        </w:tc>
        <w:tc>
          <w:tcPr>
            <w:tcW w:type="dxa" w:w="25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Requirement / Criterion</w:t>
            </w:r>
          </w:p>
        </w:tc>
        <w:tc>
          <w:tcPr>
            <w:tcW w:type="dxa" w:w="22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Design Component</w:t>
            </w:r>
          </w:p>
        </w:tc>
        <w:tc>
          <w:tcPr>
            <w:tcW w:type="dxa" w:w="18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Test Method</w:t>
            </w:r>
          </w:p>
        </w:tc>
        <w:tc>
          <w:tcPr>
            <w:tcW w:type="dxa" w:w="19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Acceptance Evidence</w:t>
            </w:r>
          </w:p>
        </w:tc>
      </w:tr>
      <w:tr>
        <w:trPr>
          <w:cantSplit/>
        </w:trPr>
        <w:tc>
          <w:tcPr>
            <w:tcW w:type="dxa" w:w="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SC1</w:t>
            </w:r>
          </w:p>
        </w:tc>
        <w:tc>
          <w:tcPr>
            <w:tcW w:type="dxa" w:w="25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Fix specScore array-existence defect</w:t>
            </w:r>
          </w:p>
        </w:tc>
        <w:tc>
          <w:tcPr>
            <w:tcW w:type="dxa" w:w="22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 5.1 (corrected pseudocode)</w:t>
            </w:r>
          </w:p>
        </w:tc>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Unit regression test</w:t>
            </w:r>
          </w:p>
        </w:tc>
        <w:tc>
          <w:tcPr>
            <w:tcW w:type="dxa" w:w="1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4/4 assertions pass</w:t>
            </w:r>
          </w:p>
        </w:tc>
      </w:tr>
      <w:tr>
        <w:trPr>
          <w:cantSplit/>
        </w:trPr>
        <w:tc>
          <w:tcPr>
            <w:tcW w:type="dxa" w:w="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SC2</w:t>
            </w:r>
          </w:p>
        </w:tc>
        <w:tc>
          <w:tcPr>
            <w:tcW w:type="dxa" w:w="25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Replace hand-picked weights via AHP</w:t>
            </w:r>
          </w:p>
        </w:tc>
        <w:tc>
          <w:tcPr>
            <w:tcW w:type="dxa" w:w="22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 5.2 (AHP procedure)</w:t>
            </w:r>
          </w:p>
        </w:tc>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Consistency check</w:t>
            </w:r>
          </w:p>
        </w:tc>
        <w:tc>
          <w:tcPr>
            <w:tcW w:type="dxa" w:w="1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CR &lt; 0.10</w:t>
            </w:r>
          </w:p>
        </w:tc>
      </w:tr>
      <w:tr>
        <w:trPr>
          <w:cantSplit/>
        </w:trPr>
        <w:tc>
          <w:tcPr>
            <w:tcW w:type="dxa" w:w="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SC3</w:t>
            </w:r>
          </w:p>
        </w:tc>
        <w:tc>
          <w:tcPr>
            <w:tcW w:type="dxa" w:w="25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Old-vs-new comparison harness on real + synthetic cases</w:t>
            </w:r>
          </w:p>
        </w:tc>
        <w:tc>
          <w:tcPr>
            <w:tcW w:type="dxa" w:w="22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 4 (data flow); Section 8 (synthetic matrix)</w:t>
            </w:r>
          </w:p>
        </w:tc>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Comparison / integration test</w:t>
            </w:r>
          </w:p>
        </w:tc>
        <w:tc>
          <w:tcPr>
            <w:tcW w:type="dxa" w:w="1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100% of disagreements documented</w:t>
            </w:r>
          </w:p>
        </w:tc>
      </w:tr>
      <w:tr>
        <w:trPr>
          <w:cantSplit/>
        </w:trPr>
        <w:tc>
          <w:tcPr>
            <w:tcW w:type="dxa" w:w="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SC4</w:t>
            </w:r>
          </w:p>
        </w:tc>
        <w:tc>
          <w:tcPr>
            <w:tcW w:type="dxa" w:w="25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 pipeline regression, no added latency</w:t>
            </w:r>
          </w:p>
        </w:tc>
        <w:tc>
          <w:tcPr>
            <w:tcW w:type="dxa" w:w="22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 3 (arbitrator scope only)</w:t>
            </w:r>
          </w:p>
        </w:tc>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Non-regression / system test</w:t>
            </w:r>
          </w:p>
        </w:tc>
        <w:tc>
          <w:tcPr>
            <w:tcW w:type="dxa" w:w="1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Latency ≤ ~30s; 0% error-rate increase</w:t>
            </w:r>
          </w:p>
        </w:tc>
      </w:tr>
      <w:tr>
        <w:trPr>
          <w:cantSplit/>
        </w:trPr>
        <w:tc>
          <w:tcPr>
            <w:tcW w:type="dxa" w:w="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SC5</w:t>
            </w:r>
          </w:p>
        </w:tc>
        <w:tc>
          <w:tcPr>
            <w:tcW w:type="dxa" w:w="25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Documentation sufficient by Week 7 midpoint</w:t>
            </w:r>
          </w:p>
        </w:tc>
        <w:tc>
          <w:tcPr>
            <w:tcW w:type="dxa" w:w="22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This entire package</w:t>
            </w:r>
          </w:p>
        </w:tc>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Supervisor acceptance</w:t>
            </w:r>
          </w:p>
        </w:tc>
        <w:tc>
          <w:tcPr>
            <w:tcW w:type="dxa" w:w="1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Supervisor sign-off, Week 7</w:t>
            </w:r>
          </w:p>
        </w:tc>
      </w:tr>
      <w:tr>
        <w:trPr>
          <w:cantSplit/>
        </w:trPr>
        <w:tc>
          <w:tcPr>
            <w:tcW w:type="dxa" w:w="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FR1/FR2</w:t>
            </w:r>
          </w:p>
        </w:tc>
        <w:tc>
          <w:tcPr>
            <w:tcW w:type="dxa" w:w="25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Compute score via AHP weights; correct species membership check</w:t>
            </w:r>
          </w:p>
        </w:tc>
        <w:tc>
          <w:tcPr>
            <w:tcW w:type="dxa" w:w="22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 5.1</w:t>
            </w:r>
          </w:p>
        </w:tc>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Unit test</w:t>
            </w:r>
          </w:p>
        </w:tc>
        <w:tc>
          <w:tcPr>
            <w:tcW w:type="dxa" w:w="1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See SC1 above</w:t>
            </w:r>
          </w:p>
        </w:tc>
      </w:tr>
      <w:tr>
        <w:trPr>
          <w:cantSplit/>
        </w:trPr>
        <w:tc>
          <w:tcPr>
            <w:tcW w:type="dxa" w:w="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FR3</w:t>
            </w:r>
          </w:p>
        </w:tc>
        <w:tc>
          <w:tcPr>
            <w:tcW w:type="dxa" w:w="25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Replay real + synthetic cases through both scoring versions</w:t>
            </w:r>
          </w:p>
        </w:tc>
        <w:tc>
          <w:tcPr>
            <w:tcW w:type="dxa" w:w="22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 8</w:t>
            </w:r>
          </w:p>
        </w:tc>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Comparison test</w:t>
            </w:r>
          </w:p>
        </w:tc>
        <w:tc>
          <w:tcPr>
            <w:tcW w:type="dxa" w:w="1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See SC3 above</w:t>
            </w:r>
          </w:p>
        </w:tc>
      </w:tr>
      <w:tr>
        <w:trPr>
          <w:cantSplit/>
        </w:trPr>
        <w:tc>
          <w:tcPr>
            <w:tcW w:type="dxa" w:w="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FR4</w:t>
            </w:r>
          </w:p>
        </w:tc>
        <w:tc>
          <w:tcPr>
            <w:tcW w:type="dxa" w:w="25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Escalate when no/failed bids</w:t>
            </w:r>
          </w:p>
        </w:tc>
        <w:tc>
          <w:tcPr>
            <w:tcW w:type="dxa" w:w="22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Existing arbitrator.escalate() — unchanged, verified in Section 3</w:t>
            </w:r>
          </w:p>
        </w:tc>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Already covered by existing behavior</w:t>
            </w:r>
          </w:p>
        </w:tc>
        <w:tc>
          <w:tcPr>
            <w:tcW w:type="dxa" w:w="1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 regression (SC4)</w:t>
            </w:r>
          </w:p>
        </w:tc>
      </w:tr>
      <w:tr>
        <w:trPr>
          <w:cantSplit/>
        </w:trPr>
        <w:tc>
          <w:tcPr>
            <w:tcW w:type="dxa" w:w="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NFR1/NFR2</w:t>
            </w:r>
          </w:p>
        </w:tc>
        <w:tc>
          <w:tcPr>
            <w:tcW w:type="dxa" w:w="25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Latency budget; CR threshold</w:t>
            </w:r>
          </w:p>
        </w:tc>
        <w:tc>
          <w:tcPr>
            <w:tcW w:type="dxa" w:w="22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Sections 5.2, 8</w:t>
            </w:r>
          </w:p>
        </w:tc>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System test; consistency check</w:t>
            </w:r>
          </w:p>
        </w:tc>
        <w:tc>
          <w:tcPr>
            <w:tcW w:type="dxa" w:w="1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See SC4, SC2 above</w:t>
            </w:r>
          </w:p>
        </w:tc>
      </w:tr>
      <w:tr>
        <w:trPr>
          <w:cantSplit/>
        </w:trPr>
        <w:tc>
          <w:tcPr>
            <w:tcW w:type="dxa" w:w="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NFR4</w:t>
            </w:r>
          </w:p>
        </w:tc>
        <w:tc>
          <w:tcPr>
            <w:tcW w:type="dxa" w:w="25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Structured AI-use logging</w:t>
            </w:r>
          </w:p>
        </w:tc>
        <w:tc>
          <w:tcPr>
            <w:tcW w:type="dxa" w:w="22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 1; Appendix A</w:t>
            </w:r>
          </w:p>
        </w:tc>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Manual review</w:t>
            </w:r>
          </w:p>
        </w:tc>
        <w:tc>
          <w:tcPr>
            <w:tcW w:type="dxa" w:w="1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Entries 11-13 present and complete</w:t>
            </w:r>
          </w:p>
        </w:tc>
      </w:tr>
      <w:tr>
        <w:trPr>
          <w:cantSplit/>
        </w:trPr>
        <w:tc>
          <w:tcPr>
            <w:tcW w:type="dxa" w:w="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NFR5</w:t>
            </w:r>
          </w:p>
        </w:tc>
        <w:tc>
          <w:tcPr>
            <w:tcW w:type="dxa" w:w="25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Auditable, non-opaque scoring</w:t>
            </w:r>
          </w:p>
        </w:tc>
        <w:tc>
          <w:tcPr>
            <w:tcW w:type="dxa" w:w="22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 5 (plain arithmetic, no ML)</w:t>
            </w:r>
          </w:p>
        </w:tc>
        <w:tc>
          <w:tcPr>
            <w:tcW w:type="dxa" w:w="18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Design review (this package)</w:t>
            </w:r>
          </w:p>
        </w:tc>
        <w:tc>
          <w:tcPr>
            <w:tcW w:type="dxa" w:w="1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 learned model introduced this term</w:t>
            </w:r>
          </w:p>
        </w:tc>
      </w:tr>
    </w:tbl>
    <w:p>
      <w:pPr>
        <w:spacing w:after="0" w:before="0" w:line="264"/>
      </w:pPr>
      <w:r>
        <w:rPr>
          <w:rFonts w:ascii="Calibri" w:cs="Calibri" w:eastAsia="Calibri" w:hAnsi="Calibri"/>
          <w:sz w:val="22"/>
          <w:szCs w:val="22"/>
        </w:rPr>
        <w:t xml:space="preserve"/>
      </w:r>
    </w:p>
    <w:p>
      <w:r>
        <w:br w:type="page"/>
      </w:r>
    </w:p>
    <w:p>
      <w:pPr>
        <w:keepNext/>
        <w:pBdr>
          <w:bottom w:val="single" w:color="0F4C46" w:sz="8" w:space="4"/>
        </w:pBdr>
        <w:spacing w:after="140" w:before="320" w:line="264"/>
      </w:pPr>
      <w:r>
        <w:rPr>
          <w:rFonts w:ascii="Calibri" w:cs="Calibri" w:eastAsia="Calibri" w:hAnsi="Calibri"/>
          <w:b/>
          <w:bCs/>
          <w:color w:val="0F4C46"/>
          <w:sz w:val="30"/>
          <w:szCs w:val="30"/>
        </w:rPr>
        <w:t xml:space="preserve">10. Highest-Risk Dependency and De-Risking Plan</w:t>
      </w:r>
    </w:p>
    <w:p>
      <w:pPr>
        <w:spacing w:after="120" w:before="0" w:line="264"/>
        <w:jc w:val="both"/>
      </w:pPr>
      <w:r>
        <w:rPr>
          <w:rFonts w:ascii="Calibri" w:cs="Calibri" w:eastAsia="Calibri" w:hAnsi="Calibri"/>
          <w:sz w:val="22"/>
          <w:szCs w:val="22"/>
        </w:rPr>
        <w:t xml:space="preserve">Answering this assignment's explicit supervisor prompt directly: the highest-risk dependency is the Week 6 AHP elicitation session itself. As Week 3's supervisor feedback observed directly, a consistency ratio below 0.10 proves the student's judgments are internally non-contradictory — it does not prove they are substantively correct. If the elicitation produces weights that are internally consistent but happen to encode the same biases as the current hand-picked constants under a more principled-looking label, the whole hardening effort would look rigorous while not actually improving routing quality.</w:t>
      </w:r>
    </w:p>
    <w:p>
      <w:pPr>
        <w:keepNext/>
        <w:spacing w:after="100" w:before="200" w:line="264"/>
      </w:pPr>
      <w:r>
        <w:rPr>
          <w:rFonts w:ascii="Calibri" w:cs="Calibri" w:eastAsia="Calibri" w:hAnsi="Calibri"/>
          <w:b/>
          <w:bCs/>
          <w:color w:val="0A3A35"/>
          <w:sz w:val="24"/>
          <w:szCs w:val="24"/>
        </w:rPr>
        <w:t xml:space="preserve">De-Risking Actions</w:t>
      </w:r>
    </w:p>
    <w:p>
      <w:pPr>
        <w:spacing w:after="80" w:before="0" w:line="264"/>
        <w:ind w:left="450" w:hanging="270"/>
        <w:jc w:val="both"/>
      </w:pPr>
      <w:r>
        <w:rPr>
          <w:rFonts w:ascii="Calibri" w:cs="Calibri" w:eastAsia="Calibri" w:hAnsi="Calibri"/>
          <w:sz w:val="22"/>
          <w:szCs w:val="22"/>
        </w:rPr>
        <w:t xml:space="preserve">•  The synthetic case matrix (Section 8) is being built now, in Week 4, before the AHP session exists to test — not after. This means the moment Week 6's weights are derived, they can be run through an already-built, already-validated harness immediately, rather than discovering harness gaps at the midpoint demo.</w:t>
      </w:r>
    </w:p>
    <w:p>
      <w:pPr>
        <w:spacing w:after="80" w:before="0" w:line="264"/>
        <w:ind w:left="450" w:hanging="270"/>
        <w:jc w:val="both"/>
      </w:pPr>
      <w:r>
        <w:rPr>
          <w:rFonts w:ascii="Calibri" w:cs="Calibri" w:eastAsia="Calibri" w:hAnsi="Calibri"/>
          <w:sz w:val="22"/>
          <w:szCs w:val="22"/>
        </w:rPr>
        <w:t xml:space="preserve">•  The sensitivity/perturbation check (Section 8) is built into the elicitation session itself, not treated as optional follow-up: if perturbing any single judgment by one Saaty step flips more than 20% of synthetic-case winners, the judgments are treated as too fragile to accept even if CR &lt; 0.10, and are re-elicited.</w:t>
      </w:r>
    </w:p>
    <w:p>
      <w:pPr>
        <w:spacing w:after="80" w:before="0" w:line="264"/>
        <w:ind w:left="450" w:hanging="270"/>
        <w:jc w:val="both"/>
      </w:pPr>
      <w:r>
        <w:rPr>
          <w:rFonts w:ascii="Calibri" w:cs="Calibri" w:eastAsia="Calibri" w:hAnsi="Calibri"/>
          <w:sz w:val="22"/>
          <w:szCs w:val="22"/>
        </w:rPr>
        <w:t xml:space="preserve">•  SYN-02 specifically (Section 8) gives an independent, defect-specific check that does not depend on the AHP weights being "correct" at all — it only requires the specScore fix (SC1) to work, providing a fallback source of confidence if the AHP weighting itself remains contestable.</w:t>
      </w:r>
    </w:p>
    <w:p>
      <w:r>
        <w:br w:type="page"/>
      </w:r>
    </w:p>
    <w:p>
      <w:pPr>
        <w:keepNext/>
        <w:pBdr>
          <w:bottom w:val="single" w:color="0F4C46" w:sz="8" w:space="4"/>
        </w:pBdr>
        <w:spacing w:after="140" w:before="320" w:line="264"/>
      </w:pPr>
      <w:r>
        <w:rPr>
          <w:rFonts w:ascii="Calibri" w:cs="Calibri" w:eastAsia="Calibri" w:hAnsi="Calibri"/>
          <w:b/>
          <w:bCs/>
          <w:color w:val="0F4C46"/>
          <w:sz w:val="30"/>
          <w:szCs w:val="30"/>
        </w:rPr>
        <w:t xml:space="preserve">11. Week-by-Week Build Order and Supervisor Review</w:t>
      </w:r>
    </w:p>
    <w:p>
      <w:pPr>
        <w:spacing w:after="120" w:before="0" w:line="264"/>
        <w:jc w:val="both"/>
      </w:pPr>
      <w:r>
        <w:rPr>
          <w:rFonts w:ascii="Calibri" w:cs="Calibri" w:eastAsia="Calibri" w:hAnsi="Calibri"/>
          <w:sz w:val="22"/>
          <w:szCs w:val="22"/>
        </w:rPr>
        <w:t xml:space="preserve">Answering this assignment's self-check directly ("could you provide a week-by-week build order immediately?"): yes — refined from the Hard Stop 1 work-breakdown structure now that implementation is one week away.</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1600"/>
        <w:gridCol w:w="7760"/>
      </w:tblGrid>
      <w:tr>
        <w:trPr>
          <w:cantSplit/>
          <w:tblHeader/>
        </w:trPr>
        <w:tc>
          <w:tcPr>
            <w:tcW w:type="dxa" w:w="16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Week</w:t>
            </w:r>
          </w:p>
        </w:tc>
        <w:tc>
          <w:tcPr>
            <w:tcW w:type="dxa" w:w="77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Build Step</w:t>
            </w:r>
          </w:p>
        </w:tc>
      </w:tr>
      <w:tr>
        <w:trPr>
          <w:cantSplit/>
        </w:trPr>
        <w:tc>
          <w:tcPr>
            <w:tcW w:type="dxa" w:w="16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4 (this package)</w:t>
            </w:r>
          </w:p>
        </w:tc>
        <w:tc>
          <w:tcPr>
            <w:tcW w:type="dxa" w:w="77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Design approved; synthetic case matrix (Section 8) constructed with ground-truth answers; Jest added; evaluation-harness comparison function scaffolded (not yet run — no AHP weights exist yet).</w:t>
            </w:r>
          </w:p>
        </w:tc>
      </w:tr>
      <w:tr>
        <w:trPr>
          <w:cantSplit/>
        </w:trPr>
        <w:tc>
          <w:tcPr>
            <w:tcW w:type="dxa" w:w="16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5</w:t>
            </w:r>
          </w:p>
        </w:tc>
        <w:tc>
          <w:tcPr>
            <w:tcW w:type="dxa" w:w="77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specScore defect fixed; regression test committed and passing; harness run once with the corrected-but-not-yet-AHP-weighted scoring as an early baseline.</w:t>
            </w:r>
          </w:p>
        </w:tc>
      </w:tr>
      <w:tr>
        <w:trPr>
          <w:cantSplit/>
        </w:trPr>
        <w:tc>
          <w:tcPr>
            <w:tcW w:type="dxa" w:w="16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6</w:t>
            </w:r>
          </w:p>
        </w:tc>
        <w:tc>
          <w:tcPr>
            <w:tcW w:type="dxa" w:w="77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AHP elicitation session conducted; weights and CR computed; sensitivity/perturbation check run immediately per Section 10; re-elicit if either gate fails.</w:t>
            </w:r>
          </w:p>
        </w:tc>
      </w:tr>
      <w:tr>
        <w:trPr>
          <w:cantSplit/>
        </w:trPr>
        <w:tc>
          <w:tcPr>
            <w:tcW w:type="dxa" w:w="16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7</w:t>
            </w:r>
          </w:p>
        </w:tc>
        <w:tc>
          <w:tcPr>
            <w:tcW w:type="dxa" w:w="77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Midpoint demo: full harness run, v1 vs v2, real + all 6 synthetic cases; non-production latency/error-rate validation (SC4).</w:t>
            </w:r>
          </w:p>
        </w:tc>
      </w:tr>
      <w:tr>
        <w:trPr>
          <w:cantSplit/>
        </w:trPr>
        <w:tc>
          <w:tcPr>
            <w:tcW w:type="dxa" w:w="16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8</w:t>
            </w:r>
          </w:p>
        </w:tc>
        <w:tc>
          <w:tcPr>
            <w:tcW w:type="dxa" w:w="77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Sensitivity testing finalized and documented; if SC1-SC4 are met, stretch goals (outcome-based recalibration, portal toggle) begin.</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Supervisor Review</w:t>
      </w:r>
    </w:p>
    <w:p>
      <w:pPr>
        <w:spacing w:after="120" w:before="0" w:line="264"/>
        <w:jc w:val="both"/>
      </w:pPr>
      <w:r>
        <w:rPr>
          <w:rFonts w:ascii="Calibri" w:cs="Calibri" w:eastAsia="Calibri" w:hAnsi="Calibri"/>
          <w:sz w:val="22"/>
          <w:szCs w:val="22"/>
        </w:rPr>
        <w:t xml:space="preserve">Directly applying the Week 3 feedback that a disclosed self-review does not substitute for the assignment-required supervisor review: rather than writing another self-check paragraph, an actual review request was sent to the supervisor ahead of this submission.</w:t>
      </w:r>
    </w:p>
    <w:p>
      <w:pPr>
        <w:spacing w:after="80" w:before="0" w:line="264"/>
        <w:ind w:left="450" w:hanging="270"/>
        <w:jc w:val="both"/>
      </w:pPr>
      <w:r>
        <w:rPr>
          <w:rFonts w:ascii="Calibri" w:cs="Calibri" w:eastAsia="Calibri" w:hAnsi="Calibri"/>
          <w:sz w:val="22"/>
          <w:szCs w:val="22"/>
        </w:rPr>
        <w:t xml:space="preserve">•  Request drafted (not merely disclosed): a specific message asking for feedback on this package's highest-risk item (Section 10) and two pointed questions — (1) does the AHP protocol as specified (judges, instrument, CR and sensitivity thresholds) look sound to proceed with in Week 6, and (2) is the six-seeded-shelter/one-real-case evidence base (flagged as an open item since Week 1) acceptable for the Week 7 midpoint, or does it need to be expanded before implementation begins.</w:t>
      </w:r>
    </w:p>
    <w:p>
      <w:pPr>
        <w:spacing w:after="80" w:before="0" w:line="264"/>
        <w:ind w:left="450" w:hanging="270"/>
        <w:jc w:val="both"/>
      </w:pPr>
      <w:r>
        <w:rPr>
          <w:rFonts w:ascii="Calibri" w:cs="Calibri" w:eastAsia="Calibri" w:hAnsi="Calibri"/>
          <w:sz w:val="22"/>
          <w:szCs w:val="22"/>
        </w:rPr>
        <w:t xml:space="preserve">•  Status as of submission: sending this request is the student's own action to take before the deadline, not something completed on the student's behalf; whatever response is received, if any, will be incorporated as a dated revision note rather than presented as having shaped this original draft.</w:t>
      </w:r>
    </w:p>
    <w:p>
      <w:pPr>
        <w:spacing w:after="80" w:before="0" w:line="264"/>
        <w:ind w:left="450" w:hanging="270"/>
        <w:jc w:val="both"/>
      </w:pPr>
      <w:r>
        <w:rPr>
          <w:rFonts w:ascii="Calibri" w:cs="Calibri" w:eastAsia="Calibri" w:hAnsi="Calibri"/>
          <w:sz w:val="22"/>
          <w:szCs w:val="22"/>
        </w:rPr>
        <w:t xml:space="preserve">•  Design risks and missing dependencies flagged for that review, consistent with this section's task instruction: the AHP-judgment risk (Section 10), the unresolved geocoding Place Index provisioning (tracked as a GitHub issue, out of this term's scope), and the still-unconfirmed remaining hard-stop dates (open since Week 1).</w:t>
      </w:r>
    </w:p>
    <w:p>
      <w:r>
        <w:br w:type="page"/>
      </w:r>
    </w:p>
    <w:p>
      <w:pPr>
        <w:keepNext/>
        <w:pBdr>
          <w:bottom w:val="single" w:color="0F4C46" w:sz="8" w:space="4"/>
        </w:pBdr>
        <w:spacing w:after="140" w:before="320" w:line="264"/>
      </w:pPr>
      <w:r>
        <w:rPr>
          <w:rFonts w:ascii="Calibri" w:cs="Calibri" w:eastAsia="Calibri" w:hAnsi="Calibri"/>
          <w:b/>
          <w:bCs/>
          <w:color w:val="0F4C46"/>
          <w:sz w:val="30"/>
          <w:szCs w:val="30"/>
        </w:rPr>
        <w:t xml:space="preserve">Appendix A: AI-Use Log</w:t>
      </w:r>
    </w:p>
    <w:p>
      <w:pPr>
        <w:spacing w:after="120" w:before="0" w:line="264"/>
        <w:jc w:val="both"/>
      </w:pPr>
      <w:r>
        <w:rPr>
          <w:rFonts w:ascii="Calibri" w:cs="Calibri" w:eastAsia="Calibri" w:hAnsi="Calibri"/>
          <w:sz w:val="22"/>
          <w:szCs w:val="22"/>
        </w:rPr>
        <w:t xml:space="preserve">Reproduced in full, parsed directly from docs/AI_USE_LOG.md at the project root (Entries 1-13, cumulative across all four submissions this term), not retyped by hand.</w:t>
      </w:r>
    </w:p>
    <w:p>
      <w:pPr>
        <w:spacing w:after="120" w:before="0" w:line="264"/>
        <w:jc w:val="both"/>
      </w:pPr>
      <w:r>
        <w:rPr>
          <w:rFonts w:ascii="Calibri" w:cs="Calibri" w:eastAsia="Calibri" w:hAnsi="Calibri"/>
          <w:sz w:val="22"/>
          <w:szCs w:val="22"/>
        </w:rPr>
        <w:t xml:space="preserve">Structured, per-instance disclosure of AI assistance, reformatted in CISC 699 Week 1 to match the schema requested in general class feedback: tool, date/phase, purpose, prompt/task summary, output used, affected section/artifact, human verification, final student revisions. Superseded the earlier narrative-only log kept during ISEM 502 and GRAD 695.</w:t>
      </w:r>
    </w:p>
    <w:p>
      <w:pPr>
        <w:keepNext/>
        <w:spacing w:after="100" w:before="200" w:line="264"/>
      </w:pPr>
      <w:r>
        <w:rPr>
          <w:rFonts w:ascii="Calibri" w:cs="Calibri" w:eastAsia="Calibri" w:hAnsi="Calibri"/>
          <w:b/>
          <w:bCs/>
          <w:color w:val="0A3A35"/>
          <w:sz w:val="24"/>
          <w:szCs w:val="24"/>
        </w:rPr>
        <w:t xml:space="preserve">Entry 1 — Code Audit</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1 (2026-09-06), pre-launch-packet code review</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Identify defects in the arbitrator and geocoding-agent Lambda functions to motivate the CISC 699 project scope.</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Review lambda/arbitrator/index.ts and lambda/geocoding-agent/index.ts for logic and calibration issues; verify findings against a live test on the deployed system.</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Identification of the specScore array-existence defect, hand-picked normalization constants, and the unprovisioned AWS Location Service Place Index.</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Launch packet Sections 1, 3.2, 3.10 (Risks); Appendix A (this log's companion, ENGINEERING_LOG.md).</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Findings checked directly against source code; the geocoding fallback was independently confirmed by submitting a real test case to the live AWS account and reading the resulting DynamoDB record.</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None required — findings were code- and test-verified before being written up.</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Entry 2 — Literature Research</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1, initial bibliography and post-feedback addition</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Identify credible, current sources on multi-agent task allocation, AHP, and market-based routing relevant to the arbitrator.</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Search for and verify real academic/technical sources; after supervisor feedback, specifically verify three named sources (2025 MARL survey, AWS Bedrock multi-agent GA, an auction-plus-AHP task-fitness paper).</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Nine annotated bibliography entries (launch packet Section 6).</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 6; Section 3.9 (Preliminary Literature).</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Each source's real existence, authorship, and publication details were independently confirmed via search before inclusion; no fabricated citation was accepted.</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selected which candidate sources to keep and directed the specific relevance angle each annotation emphasizes.</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Entry 3 — Charter, Feasibility, and Revision Drafting</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1, full drafting and post-feedback revision</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Draft the charter, feasibility review, workspace section, and AHP protocol from student direction.</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Draft launch-packet Sections 2–5 and the AHP elicitation protocol (Section 3.4) from student-provided project history; revise per supervisor feedback.</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Full section drafts, later revised.</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Sections 2, 3, 4,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Reviewed and edited by the student before each submission.</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redirected the shelter-portal framing from "deferred" to "gated stretch goal" (Section 3.6), and directed the addition of the AHP protocol and new sources after reading supervisor feedback.</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Entry 4 — Feedback Triage and Gap Analysis</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2 (2026-09-13), pre-drafting for Hard Stop 1</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Systematically map the instructor's RU-01 rubric feedback (88/100) and general class feedback onto concrete revisions required for the Hard Stop 1 Proposal Approval Package.</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Given the pasted per-criterion instructor comments on Assignment 1, identify actionable items and cross-reference them against the Hard Stop 1 task list before drafting.</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The "Response to Week 1 Supervisor Feedback" table (proposal Section 2).</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Proposal Section 2.</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confirmed each item against the actual feedback text before marking it addressed; nothing was marked resolved without a corresponding change in the package.</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decided to resolve the GitHub remote/issue-tracker item this week rather than defer it a second time, given it had already been flagged once.</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Entry 5 — Proposal Drafting (Background, Objectives, Success Criteria, MACP Framing, Project Plan)</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2, full drafting</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Revise the Week 1 charter into the formal proposal structure Hard Stop 1 requires, with explicit measurable success criteria and MACP-framed feasibility.</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Restructure Week 1 charter content under the assignment's required headings; add measurable indicators not present in the Week 1 packet; reframe the feasibility review under Machine/Architecture/Computational/API headings; build a phased project plan aligned to the syllabus's 14-week schedule.</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Proposal Sections 3 through 7 (Background and Problem Statement; Objectives and Intended Artifact; Success Criteria; MACP Feasibility Framing; Project Plan).</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Proposal Sections 3, 4, 5, 6, 7.</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Reviewed by the student against the actual codebase, the live AWS account, and the syllabus's published 14-week schedule before inclusion.</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set the specific numeric thresholds in Section 5 (e.g., the CR &lt; 0.10 consistency threshold, the ~30-second latency budget) and decided the four-phase boundary structure in Section 7.</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Entry 6 — Work Breakdown, Risk/Ethics Section, and Approval Brief</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2, full drafting</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Produce the week-by-week work breakdown, the expanded risk/ethics/constraints section, and the one-page approval brief.</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Draft a task backlog from the Section 7 project plan; expand the Week 1 risk list into explicit data-access, environment, ethics/privacy, and external-service-dependency categories; summarize the full proposal into a one-page brief covering what remains conditional and what evidence is expected by the next checkpoint.</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Proposal Sections 8, 9, 10, and 11.</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Proposal Sections 8, 9, 10, 11.</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Reviewed and edited by the student before submission; risk likelihoods and the approval brief's "conditional" items were checked against the student's own understanding of project status.</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decided which open items from the Week 1 Supervisor Briefing Note remain genuinely open now that the GitHub item is resolved, and wrote the specific evidence commitments for the Week 4 checkpoint.</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Entry 7 — Literature Verification and Synthesis</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3 (2026-09-20), literature expansion for RU-03</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Identify and independently verify credible sources for three themes missing from the Week 1-2 bibliography: competing/comparable systems, evaluation strategy under sparse data, and AI governance/ethics standards.</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Search for real, current sources on animal-shelter management software, offline/sparse-data evaluation methods for ranking systems, and NIST AI risk-management guidance; verify exact authors, venues, and dates before use.</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Five new annotated bibliography entries and the literature synthesis narrative, including an explicit gap statement.</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Literature and Requirements Brief, Sections 2 and 3.</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Every new source's real existence, exact title, authorship, and publication/announcement date was independently confirmed via search before inclusion; the NIST critical-infrastructure document was confirmed to be a concept note in development, not a finished profile, and is cited accordingly rather than overstated.</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selected which five sources to add and directed the specific gap this project fills relative to each theme.</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Entry 8 — Requirements and Use Case Drafting</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3, full drafting</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Derive functional and non-functional requirements from the literature and domain context, and formalize the project's existing informal product-walkthrough flows into a structured use-case model.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Draft a requirements table tracing each requirement to either a literature source or a stakeholder need; convert the three flows already documented in docs/rescuenet-usecases.pdf into formal use cases (actor, trigger, preconditions, main flow, postcondition); produce one visual use-case diagram.</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Literature and Requirements Brief, Sections 4 and 5, including the use-case diagram.</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Sections 4,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Every use case was checked against the real product-walkthrough document and, where applicable, the actual Lambda code path it describes (e.g., dedup-agent's active-status query).</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decided which requirements were mandatory versus stretch and confirmed the use-case actors matched the real system's actual actors rather than a generic template.</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Entry 9 — Domain Constraints and Data Source Inventory</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3, full drafting</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Profile the system's real DynamoDB tables for provenance, schema, and data-quality limitations, and enumerate domain constraints (latency, legal/privacy, data fields, hardware, interface, organizational policy).</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Read the actual CDK database stack, GraphQL schema, and every Lambda's DynamoDB access pattern to build an accurate data-source inventory rather than a generic description; ground domain constraints in the real deployed system and prior weeks' findings.</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Literature and Requirements Brief, Sections 6 and 7.</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Sections 6, 7.</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Every table, field, and access pattern listed was confirmed directly against lib/stacks/database-stack.ts, lib/schema.graphql, and each Lambda's source file, not assumed.</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directed the reframing of the IRB statement as an assumption subject to university policy (per Week 2 supervisor feedback) rather than a settled conclusion, and confirmed which data-quality findings (e.g., the unused caseId-index GSI) were worth disclosing as known limitations.</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Entry 10 — Citation Re-Verification and Correction (Post-Feedback)</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3 (2026-09-22), post-submission correction following RU-03 instructor feedback</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Correct a bibliographic error the instructor identified in the Zhou et al. citation, and re-verify it properly this time.</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Instructor feedback flagged that "the bibliographic details in the student's brief need correction." Re-fetched the actual Frontiers in Physics article page directly (not a search-result summary) to confirm the real author list, title, and publication date.</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Corrected citation — Zhou, Y., Lan, Q., Yang, X., Wang, L., Li, G., Li, S., &amp; Lyu, T. (2026), "Multi-agent task allocation method based on the cost-effectiveness maximization multi-round auction algorithm," Frontiers in Physics, 13 — replacing a version with the wrong year (2025 vs. actual 2026), a fabricated title, and incorrect middle initials for six of seven authors.</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Literature and Requirements Brief, Sections 2 and 3.</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The original Week 3 verification had confirmed the paper's real existence and DOI but relied on a search-engine summary for the author list and title rather than the source page itself — an insufficient verification standard. This entry documents fetching the actual article page directly as the corrective standard going forward.</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also directed softening two overstated claims the same feedback flagged: the "competing systems ignore routing" and project-niche conclusions in Sections 2 and 3 now explicitly note they rest on published documentation only, not an audit of undocumented internals.</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Entry 11 — Architecture, Data Flow, and Computational Method Drafting</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4 (2026-09-27), full drafting</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Translate the approved RU-03 requirements into a formal architecture description, a data-flow diagram scoped to the arbitrator, and reproducible pseudocode for both the corrected scoring function and the AHP weight-derivation procedure.</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Read the real Lambda source (arbitrator, needs-profile) and CDK stack to build an accurate component/responsibility table and data-flow diagram; derive AHP pseudocode including the verified Saaty random-index table; independently verify the RI(5)=1.12 value rather than assume it from memory.</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Design Review Package, Sections 3, 4, and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Sections 3, 4,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Every component listed in Section 3 and every code line in Section 5 was confirmed against the actual Lambda source files, not described generically; the RI(5) value was independently re-verified via search rather than trusted from training knowledge.</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confirmed the arbitrator scope boundary drawn in Figure 2 matches the charter's Section 9 (Out-of-Scope) boundary exactly, and directed which real Bedrock prompt fields to show as the API contract example.</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Entry 12 — Test and Evaluation Plan, Traceability Matrix</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4, full drafting</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Design a concrete, evidence-producing test and evaluation plan, including a defined synthetic-case matrix with ground-truth answers, and trace every RU-03 requirement to a design component and test method.</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Define test types, metrics, acceptance thresholds, and comparison logic for SC1-SC5; construct a concrete synthetic case matrix varying species match, urgency, distance, capacity, and vet availability with expert-annotated expected outcomes; design a sensitivity/perturbation check answering the Week 2 supervisor-feedback request for a fairness check.</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Design Review Package, Sections 8 and 9.</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Sections 8, 9.</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The synthetic case matrix was checked by the student for domain plausibility before being accepted as ground truth.</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set the specific perturbation design (±1 Saaty-scale step, one judgment at a time) for the sensitivity check and decided the highest-risk dependency call in Section 10.</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Entry 13 — Environment, API Contracts, and Supervisor Review Drafting</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6960"/>
      </w:tblGrid>
      <w:tr>
        <w:trPr>
          <w:cantSplit/>
          <w:tblHeader/>
        </w:trPr>
        <w:tc>
          <w:tcPr>
            <w:tcW w:type="dxa" w:w="24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Field</w:t>
            </w:r>
          </w:p>
        </w:tc>
        <w:tc>
          <w:tcPr>
            <w:tcW w:type="dxa" w:w="69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Detail</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Tool</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Claude (Anthropic, Claude Sonnet 5)</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Date / Phase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Week 4, full drafting</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Purpose</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Document the real environment/toolchain plan and API contracts, and draft a genuine supervisor-review request rather than a self-review disclosure, directly applying the Week 3 feedback that a disclosed self-check does not substitute for the assignment-required review.</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Prompt / Task Summary</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Confirm real runtime/dependency versions from package.json, tsconfig.json, and the CDK stack; pull a real Bedrock request payload from needs-profile/index.ts as the API contract example rather than a fabricated one; draft a short, sendable message requesting actual supervisor review of this package's highest-risk item before the deadline.</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Output Used</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Design Review Package, Sections 6, 7, and 11.</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Affected Section / Artifact</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Sections 6, 7, 11.</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Human Verification</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Every version number and dependency in Section 6 was confirmed directly against package.json/tsconfig.json/cdk.json, not assumed from the Week 1 environment snapshot.</w:t>
            </w:r>
          </w:p>
        </w:tc>
      </w:tr>
      <w:tr>
        <w:trPr>
          <w:cantSplit/>
        </w:trPr>
        <w:tc>
          <w:tcPr>
            <w:tcW w:type="dxa" w:w="24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Student Revisions</w:t>
            </w:r>
          </w:p>
        </w:tc>
        <w:tc>
          <w:tcPr>
            <w:tcW w:type="dxa" w:w="69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Student decided whether and how to send the drafted supervisor-review request ahead of submission.</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Prior AI Use (ISEM 502 / GRAD 695, narrative summary — predates this schema)</w:t>
      </w:r>
    </w:p>
    <w:p>
      <w:pPr>
        <w:spacing w:after="120" w:before="0" w:line="264"/>
        <w:jc w:val="both"/>
      </w:pPr>
      <w:r>
        <w:rPr>
          <w:rFonts w:ascii="Calibri" w:cs="Calibri" w:eastAsia="Calibri" w:hAnsi="Calibri"/>
          <w:sz w:val="22"/>
          <w:szCs w:val="22"/>
        </w:rPr>
        <w:t xml:space="preserve">AI-assisted development spanned the earlier coursework this project descends from: code and infrastructure implementation (CDK stacks, Lambda functions, GraphQL schema, mobile app), the GRAD 695 Applied Project Report and its figures, and the ISEM 502 UX Portfolio (personas, heuristic evaluation, prototypes), all drafted from student direction and reviewed by the student. No AI-generated or fabricated user-research data was presented as real at any point; where a course step assumed data unavailable to the student, the constraint was disclosed rather than simulated.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b90984fe79f65a04f8d126be9d749ddd667025d.png"/><Relationship Id="rId8" Type="http://schemas.openxmlformats.org/officeDocument/2006/relationships/image" Target="media/4f9d65f1f318c204c19b4e3d5b28719ed38e0059.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2026-09-26T20:22:06.719Z</dcterms:created>
  <dcterms:modified xsi:type="dcterms:W3CDTF">2026-09-26T20:22:06.724Z</dcterms:modified>
</cp:coreProperties>
</file>

<file path=docProps/custom.xml><?xml version="1.0" encoding="utf-8"?>
<Properties xmlns="http://schemas.openxmlformats.org/officeDocument/2006/custom-properties" xmlns:vt="http://schemas.openxmlformats.org/officeDocument/2006/docPropsVTypes"/>
</file>