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C46"/>
          <w:sz w:val="40"/>
          <w:szCs w:val="40"/>
        </w:rPr>
        <w:t xml:space="preserve">Hard Stop 4: Midpoint Technical Evidence Review</w:t>
      </w:r>
    </w:p>
    <w:p>
      <w:pPr>
        <w:spacing w:after="110" w:before="70" w:line="262"/>
      </w:pPr>
      <w:r>
        <w:rPr>
          <w:rFonts w:ascii="Calibri" w:cs="Calibri" w:eastAsia="Calibri" w:hAnsi="Calibri"/>
          <w:i/>
          <w:iCs/>
          <w:sz w:val="24"/>
          <w:szCs w:val="24"/>
        </w:rPr>
        <w:t xml:space="preserve">Does the scoring formula or the weighting method limit routing correctness? A pre-registered ablation for RescueNet</w:t>
      </w:r>
    </w:p>
    <w:p>
      <w:pPr>
        <w:spacing w:after="110" w:before="70" w:line="262"/>
      </w:pPr>
      <w:r>
        <w:rPr>
          <w:rFonts w:ascii="Calibri" w:cs="Calibri" w:eastAsia="Calibri" w:hAnsi="Calibri"/>
          <w:b/>
          <w:bCs/>
          <w:sz w:val="21"/>
          <w:szCs w:val="21"/>
        </w:rPr>
        <w:t xml:space="preserve">Instructor: </w:t>
      </w:r>
      <w:r>
        <w:rPr>
          <w:rFonts w:ascii="Calibri" w:cs="Calibri" w:eastAsia="Calibri" w:hAnsi="Calibri"/>
          <w:sz w:val="21"/>
          <w:szCs w:val="21"/>
        </w:rPr>
        <w:t xml:space="preserve">Majid Shaalan, Ph.D.   </w:t>
      </w:r>
      <w:r>
        <w:rPr>
          <w:rFonts w:ascii="Calibri" w:cs="Calibri" w:eastAsia="Calibri" w:hAnsi="Calibri"/>
          <w:b/>
          <w:bCs/>
          <w:sz w:val="21"/>
          <w:szCs w:val="21"/>
        </w:rPr>
        <w:t xml:space="preserve">Course: </w:t>
      </w:r>
      <w:r>
        <w:rPr>
          <w:rFonts w:ascii="Calibri" w:cs="Calibri" w:eastAsia="Calibri" w:hAnsi="Calibri"/>
          <w:sz w:val="21"/>
          <w:szCs w:val="21"/>
        </w:rPr>
        <w:t xml:space="preserve">CISC 699   </w:t>
      </w:r>
      <w:r>
        <w:rPr>
          <w:rFonts w:ascii="Calibri" w:cs="Calibri" w:eastAsia="Calibri" w:hAnsi="Calibri"/>
          <w:b/>
          <w:bCs/>
          <w:sz w:val="21"/>
          <w:szCs w:val="21"/>
        </w:rPr>
        <w:t xml:space="preserve">Student: </w:t>
      </w:r>
      <w:r>
        <w:rPr>
          <w:rFonts w:ascii="Calibri" w:cs="Calibri" w:eastAsia="Calibri" w:hAnsi="Calibri"/>
          <w:sz w:val="21"/>
          <w:szCs w:val="21"/>
        </w:rPr>
        <w:t xml:space="preserve">Manoj Venkatachalaiah   </w:t>
      </w:r>
      <w:r>
        <w:rPr>
          <w:rFonts w:ascii="Calibri" w:cs="Calibri" w:eastAsia="Calibri" w:hAnsi="Calibri"/>
          <w:b/>
          <w:bCs/>
          <w:sz w:val="21"/>
          <w:szCs w:val="21"/>
        </w:rPr>
        <w:t xml:space="preserve">Prepared: </w:t>
      </w:r>
      <w:r>
        <w:rPr>
          <w:rFonts w:ascii="Calibri" w:cs="Calibri" w:eastAsia="Calibri" w:hAnsi="Calibri"/>
          <w:sz w:val="21"/>
          <w:szCs w:val="21"/>
        </w:rPr>
        <w:t xml:space="preserve">October 25, 2026   </w:t>
      </w:r>
      <w:r>
        <w:rPr>
          <w:rFonts w:ascii="Calibri" w:cs="Calibri" w:eastAsia="Calibri" w:hAnsi="Calibri"/>
          <w:b/>
          <w:bCs/>
          <w:sz w:val="21"/>
          <w:szCs w:val="21"/>
        </w:rPr>
        <w:t xml:space="preserve">Repository: </w:t>
      </w:r>
      <w:r>
        <w:rPr>
          <w:rFonts w:ascii="Calibri" w:cs="Calibri" w:eastAsia="Calibri" w:hAnsi="Calibri"/>
          <w:sz w:val="21"/>
          <w:szCs w:val="21"/>
        </w:rPr>
        <w:t xml:space="preserve">https://github.com/manojvprimary/rescuenet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9720"/>
      </w:tblGrid>
      <w:tr>
        <w:trPr>
          <w:cantSplit/>
          <w:tblHeader/>
        </w:trPr>
        <w:tc>
          <w:tcPr>
            <w:tcW w:type="dxa" w:w="9720"/>
            <w:shd w:fill="FFF1D6" w:val="clear"/>
            <w:tcMar>
              <w:top w:type="dxa" w:w="45"/>
              <w:left w:type="dxa" w:w="85"/>
              <w:bottom w:type="dxa" w:w="45"/>
              <w:right w:type="dxa" w:w="85"/>
            </w:tcMar>
          </w:tcPr>
          <w:p>
            <w:pPr>
              <w:spacing w:after="20"/>
            </w:pPr>
            <w:r>
              <w:rPr>
                <w:rFonts w:ascii="Calibri" w:cs="Calibri" w:eastAsia="Calibri" w:hAnsi="Calibri"/>
                <w:b/>
                <w:bCs/>
                <w:sz w:val="18"/>
                <w:szCs w:val="18"/>
              </w:rPr>
              <w:t xml:space="preserve">What is in this submission: this document; the recorded walkthrough (the student's own recording); the repository at the tag named in Section 8; and the clean-clone evidence file docs/evidence/sprint-4/node20-ablation.txt. The student-review record in Section 1.3 is the student's own writing.</w:t>
            </w:r>
          </w:p>
        </w:tc>
      </w:tr>
    </w:tbl>
    <w:p>
      <w:pPr>
        <w:pStyle w:val="Heading1"/>
        <w:keepNext/>
        <w:spacing w:after="120" w:before="280"/>
      </w:pPr>
      <w:r>
        <w:rPr>
          <w:rFonts w:ascii="Calibri" w:cs="Calibri" w:eastAsia="Calibri" w:hAnsi="Calibri"/>
          <w:b/>
          <w:bCs/>
          <w:color w:val="0F4C46"/>
          <w:sz w:val="30"/>
          <w:szCs w:val="30"/>
        </w:rPr>
        <w:t xml:space="preserve">1. AI Usage Log and Academic Integrity</w:t>
      </w:r>
    </w:p>
    <w:p>
      <w:pPr>
        <w:spacing w:after="110" w:before="70" w:line="262"/>
      </w:pPr>
      <w:r>
        <w:rPr>
          <w:rFonts w:ascii="Calibri" w:cs="Calibri" w:eastAsia="Calibri" w:hAnsi="Calibri"/>
          <w:sz w:val="21"/>
          <w:szCs w:val="21"/>
        </w:rPr>
        <w:t xml:space="preserve">This section leads and carries the most weight in the rubric, so it separates what the AI did, what the student decided, and what the student checked. The full cumulative log is in Appendix A; the two entries for this assignment follow.</w:t>
      </w:r>
    </w:p>
    <w:p>
      <w:pPr>
        <w:keepNext/>
        <w:spacing w:after="60" w:before="160"/>
      </w:pPr>
      <w:r>
        <w:rPr>
          <w:rFonts w:ascii="Calibri" w:cs="Calibri" w:eastAsia="Calibri" w:hAnsi="Calibri"/>
          <w:b/>
          <w:bCs/>
          <w:sz w:val="22"/>
          <w:szCs w:val="22"/>
        </w:rPr>
        <w:t xml:space="preserve">Entry 24 — Hard Stop 4: Pre-Registered Ablation, Second Case Set, and Live Calls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Answer the question the Hard Stop 3 feedback left open (does the scoring formula or the weighting method limit routing correctness?) with a controlled, pre-registered ablation.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Write eight new evaluation cases and their annotations; run 32 live Bedrock calls (8 frozen v1 profiles, 24 temperature-0 classifier calls); write the pre-registration (question, 4x4 design, hypotheses, decision rules, limits); implement the grid runner, its statistics (exact sign test, Wilson intervals) and 14 tests on synthetic inputs; run it; run a labelled post-hoc variant; capture clean-clone evidence. AI-generated cases, annotations, formula variants, code, and analysis.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eval/fixtures-set2/, eval/annotations-set2.json, docs/ABLATION_PREREGISTRATION.md, eval/ablation.ts, scripts/run-ablation.ts, eval/results/ablation*.json, docs/evidence/sprint-4/.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Hard Stop 4 package; KI-11 (now tested); the backlog items B-01 and B-02.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Order of events is recorded in git: set-2 cases and annotations were committed (fe064ca) before any ablation code, and the pre-registration with the runner (70c3835) before any result; the run itself used only committed files. The runner's production formula is pinned to the arbitrator's scoring by a test; tests used synthetic inputs only so no result was visible before the pre-registration. Clean-clone evidence under Node 20: 122 tests pass and three runs give identical result hashes for both the pre-registered and the post-hoc variants; both annotation files are byte-identical to the commits that added them. Problems found: the zero-slot bid in set-1 case SYN-04 is one the tier-1 agent never sends in production (found from the ablation output and confirmed in the code; reported, not edited); the clean-clone script initially printed empty hash lines because the runner mishandled absolute output paths (found by reading the output, fixed, re-run). Limits stated in the document: the formula variants and the set-2 cases were written by the same AI and aimed at the same trade-offs, so a good score for them is a lead, not independent validation.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read the eight set-2 annotations and replied "approve all" (recorded in docs/evidence/sprint-4/annotation-approval.txt); no change was requested. The student was not told the number or cost of the 32 live Bedrock calls (about $0.20) before they were made; the AI ran them under the student's general "go" and reported them afterwards. The student had not yet done the code review in docs/STUDENT_REVIEW_GUIDE.md when this entry was written.</w:t>
            </w:r>
          </w:p>
        </w:tc>
      </w:tr>
    </w:tbl>
    <w:p>
      <w:pPr>
        <w:keepNext/>
        <w:spacing w:after="60" w:before="160"/>
      </w:pPr>
      <w:r>
        <w:rPr>
          <w:rFonts w:ascii="Calibri" w:cs="Calibri" w:eastAsia="Calibri" w:hAnsi="Calibri"/>
          <w:b/>
          <w:bCs/>
          <w:sz w:val="22"/>
          <w:szCs w:val="22"/>
        </w:rPr>
        <w:t xml:space="preserve">Entry 25 — Hard Stop 4 Technical Evidence Review (This Document and the Walkthrough Script)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evidence review and the recorded-walkthrough script from the repository's own files.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the document, its figures and tables from the committed results (eval/results/ablation*.json, docs/evidence/sprint-4/, the measurement and midpoint files); write a 10-minute walkthrough script. Every number in the tables is read from a file by the generator. AI-generated text, tables, and figures.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submitted document and the script the student uses for the recording.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the engineering log (Week 8).</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were rendered and inspected; headline numbers were cross-checked against the clean-clone evidence file. The student-review section contains only what the student wrote; it is not filled in by the AI.</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To be recorded by the student. Any edits made after this entry was written are not reflected here.</w:t>
            </w:r>
          </w:p>
        </w:tc>
      </w:tr>
    </w:tbl>
    <w:p>
      <w:pPr>
        <w:pStyle w:val="Heading2"/>
        <w:keepNext/>
        <w:spacing w:after="80" w:before="200"/>
      </w:pPr>
      <w:r>
        <w:rPr>
          <w:rFonts w:ascii="Calibri" w:cs="Calibri" w:eastAsia="Calibri" w:hAnsi="Calibri"/>
          <w:b/>
          <w:bCs/>
          <w:color w:val="0F4C46"/>
          <w:sz w:val="24"/>
          <w:szCs w:val="24"/>
        </w:rPr>
        <w:t xml:space="preserve">1.1 What the AI did and what the student decided</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600"/>
        <w:gridCol w:w="2400"/>
        <w:gridCol w:w="3720"/>
      </w:tblGrid>
      <w:tr>
        <w:trPr>
          <w:cantSplit/>
          <w:tblHeader/>
        </w:trPr>
        <w:tc>
          <w:tcPr>
            <w:tcW w:type="dxa" w:w="36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Decision or step</w:t>
            </w:r>
          </w:p>
        </w:tc>
        <w:tc>
          <w:tcPr>
            <w:tcW w:type="dxa" w:w="24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Who</w:t>
            </w:r>
          </w:p>
        </w:tc>
        <w:tc>
          <w:tcPr>
            <w:tcW w:type="dxa" w:w="37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Basis</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central question (formula versus weights)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proposed, student accepted</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instructor's Priority 4 and my own Hard Stop 3 hypothesis</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four formula variants and four weighting methods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known capacity double count (KI-11) and the uncalibrated distance constant (R-07); not shelter-expert judgments</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Eight new cases and their annotations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wrote; student read all eight and approved</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Chat reply "approve all", recorded with the file hash in docs/evidence/sprint-4/annotation-approval.txt; no edits requested</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pre-registration and decision rules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wrote; committed before any result</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Commit 70c3835</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All code, tests, and this document</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Verified by execution (Section 8), not by line-by-line reading</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AHP judgments (from Hard Stop 3)</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proposed, student adopted</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Unchanged since Hard Stop 3</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Live Bedrock calls (32, about $0.20)</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ran</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Run under the student's general "go" for this assignment. The AI did not tell the student the count or cost beforehand and reported it afterwards; nothing was deployed</w:t>
            </w:r>
          </w:p>
        </w:tc>
      </w:tr>
    </w:tbl>
    <w:p>
      <w:pPr>
        <w:pStyle w:val="Heading2"/>
        <w:keepNext/>
        <w:spacing w:after="80" w:before="200"/>
      </w:pPr>
      <w:r>
        <w:rPr>
          <w:rFonts w:ascii="Calibri" w:cs="Calibri" w:eastAsia="Calibri" w:hAnsi="Calibri"/>
          <w:b/>
          <w:bCs/>
          <w:color w:val="0F4C46"/>
          <w:sz w:val="24"/>
          <w:szCs w:val="24"/>
        </w:rPr>
        <w:t xml:space="preserve">1.2 Errors the AI made, and how they were found</w:t>
      </w:r>
    </w:p>
    <w:p>
      <w:pPr>
        <w:pStyle w:val="ListParagraph"/>
        <w:numPr>
          <w:ilvl w:val="0"/>
          <w:numId w:val="2"/>
        </w:numPr>
        <w:spacing w:after="60" w:line="255"/>
      </w:pPr>
      <w:r>
        <w:rPr>
          <w:rFonts w:ascii="Calibri" w:cs="Calibri" w:eastAsia="Calibri" w:hAnsi="Calibri"/>
          <w:sz w:val="21"/>
          <w:szCs w:val="21"/>
        </w:rPr>
        <w:t xml:space="preserve">A fixture (SYN-04, written for Hard Stop 2) includes a shelter bid with zero open slots that the tier-1 agent never sends in production. I found it from the ablation output (under capacity-once formulas the empty shelter won), confirmed it in lambda/tier1-agent/index.ts (the "No available slots" rule), left the fixture unchanged because it was pre-registered, and added a clearly labelled post-hoc variant.</w:t>
      </w:r>
    </w:p>
    <w:p>
      <w:pPr>
        <w:pStyle w:val="ListParagraph"/>
        <w:numPr>
          <w:ilvl w:val="0"/>
          <w:numId w:val="2"/>
        </w:numPr>
        <w:spacing w:after="60" w:line="255"/>
      </w:pPr>
      <w:r>
        <w:rPr>
          <w:rFonts w:ascii="Calibri" w:cs="Calibri" w:eastAsia="Calibri" w:hAnsi="Calibri"/>
          <w:sz w:val="21"/>
          <w:szCs w:val="21"/>
        </w:rPr>
        <w:t xml:space="preserve">The clean-clone script printed empty hash lines the first time: the runner joined an absolute output path onto the repository path. I found it by reading the captured output rather than trusting the exit code, fixed it, and re-ran the capture.</w:t>
      </w:r>
    </w:p>
    <w:p>
      <w:pPr>
        <w:pStyle w:val="ListParagraph"/>
        <w:numPr>
          <w:ilvl w:val="0"/>
          <w:numId w:val="2"/>
        </w:numPr>
        <w:spacing w:after="60" w:line="255"/>
      </w:pPr>
      <w:r>
        <w:rPr>
          <w:rFonts w:ascii="Calibri" w:cs="Calibri" w:eastAsia="Calibri" w:hAnsi="Calibri"/>
          <w:sz w:val="21"/>
          <w:szCs w:val="21"/>
        </w:rPr>
        <w:t xml:space="preserve">Design risk I could not remove: I wrote the formula variants and the second case set, so they share an author and aim at the same trade-offs. The document says so wherever it matters (Sections 5 and 6).</w:t>
      </w:r>
    </w:p>
    <w:p>
      <w:pPr>
        <w:pStyle w:val="Heading2"/>
        <w:keepNext/>
        <w:spacing w:after="80" w:before="200"/>
      </w:pPr>
      <w:r>
        <w:rPr>
          <w:rFonts w:ascii="Calibri" w:cs="Calibri" w:eastAsia="Calibri" w:hAnsi="Calibri"/>
          <w:b/>
          <w:bCs/>
          <w:color w:val="0F4C46"/>
          <w:sz w:val="24"/>
          <w:szCs w:val="24"/>
        </w:rPr>
        <w:t xml:space="preserve">1.3 Student-led review record</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9720"/>
      </w:tblGrid>
      <w:tr>
        <w:trPr>
          <w:cantSplit/>
          <w:tblHeader/>
        </w:trPr>
        <w:tc>
          <w:tcPr>
            <w:tcW w:type="dxa" w:w="9720"/>
            <w:shd w:fill="FBE0DD" w:val="clear"/>
            <w:tcMar>
              <w:top w:type="dxa" w:w="45"/>
              <w:left w:type="dxa" w:w="85"/>
              <w:bottom w:type="dxa" w:w="45"/>
              <w:right w:type="dxa" w:w="85"/>
            </w:tcMar>
          </w:tcPr>
          <w:p>
            <w:pPr>
              <w:spacing w:after="20"/>
            </w:pPr>
            <w:r>
              <w:rPr>
                <w:rFonts w:ascii="Calibri" w:cs="Calibri" w:eastAsia="Calibri" w:hAnsi="Calibri"/>
                <w:b/>
                <w:bCs/>
                <w:sz w:val="18"/>
                <w:szCs w:val="18"/>
              </w:rPr>
              <w:t xml:space="preserve">TO BE COMPLETED BY THE STUDENT BEFORE SUBMITTING. This section must contain the student's own words about what they read and what they challenged, following docs/STUDENT_REVIEW_GUIDE.md (scoring function, weight blend and fallback, classifier path, evaluation harness, ablation, five AHP judgments). It is deliberately left unfilled here: the AI cannot write the student's review. If this box is still here when the document is submitted, the review has not been done and the AI-integrity criterion should be read accordingly.</w:t>
            </w:r>
          </w:p>
        </w:tc>
      </w:tr>
    </w:tbl>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000"/>
        <w:gridCol w:w="2700"/>
        <w:gridCol w:w="3220"/>
        <w:gridCol w:w="1800"/>
      </w:tblGrid>
      <w:tr>
        <w:trPr>
          <w:cantSplit/>
          <w:tblHeader/>
        </w:trPr>
        <w:tc>
          <w:tcPr>
            <w:tcW w:type="dxa" w:w="20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File / item</w:t>
            </w:r>
          </w:p>
        </w:tc>
        <w:tc>
          <w:tcPr>
            <w:tcW w:type="dxa" w:w="27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What I checked</w:t>
            </w:r>
          </w:p>
        </w:tc>
        <w:tc>
          <w:tcPr>
            <w:tcW w:type="dxa" w:w="32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What I found or challenged</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Keep / change / ask</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2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32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2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32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2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32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2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32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2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32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
            </w:r>
          </w:p>
        </w:tc>
      </w:tr>
    </w:tbl>
    <w:p>
      <w:pPr>
        <w:pStyle w:val="Heading1"/>
        <w:keepNext/>
        <w:spacing w:after="120" w:before="280"/>
      </w:pPr>
      <w:r>
        <w:rPr>
          <w:rFonts w:ascii="Calibri" w:cs="Calibri" w:eastAsia="Calibri" w:hAnsi="Calibri"/>
          <w:b/>
          <w:bCs/>
          <w:color w:val="0F4C46"/>
          <w:sz w:val="30"/>
          <w:szCs w:val="30"/>
        </w:rPr>
        <w:t xml:space="preserve">2. The Technical Question and Why It Is the Right One This Week</w:t>
      </w:r>
    </w:p>
    <w:p>
      <w:pPr>
        <w:spacing w:after="110" w:before="70" w:line="262"/>
      </w:pPr>
      <w:r>
        <w:rPr>
          <w:rFonts w:ascii="Calibri" w:cs="Calibri" w:eastAsia="Calibri" w:hAnsi="Calibri"/>
          <w:sz w:val="21"/>
          <w:szCs w:val="21"/>
        </w:rPr>
        <w:t xml:space="preserve">Hard Stop 3 ended with a surprising result: the original LLM-weighting method (v1) and the new AHP blend (v2) choose the same shelter in every annotated case by raw score, so the weights were not what limited correctness. The instructor called the scoring-formula explanation plausible but unproven and asked for a controlled test (Priority 4). That test is also the result that most changes what to do next: if the formula limits correctness, further work on weights, classifier calibration, and AHP judgments is premature.</w:t>
      </w:r>
    </w:p>
    <w:p>
      <w:pPr>
        <w:spacing w:after="110" w:before="70" w:line="262"/>
      </w:pPr>
      <w:r>
        <w:rPr>
          <w:rFonts w:ascii="Calibri" w:cs="Calibri" w:eastAsia="Calibri" w:hAnsi="Calibri"/>
          <w:b/>
          <w:bCs/>
          <w:sz w:val="21"/>
          <w:szCs w:val="21"/>
        </w:rPr>
        <w:t xml:space="preserve">Question: </w:t>
      </w:r>
      <w:r>
        <w:rPr>
          <w:rFonts w:ascii="Calibri" w:cs="Calibri" w:eastAsia="Calibri" w:hAnsi="Calibri"/>
          <w:sz w:val="21"/>
          <w:szCs w:val="21"/>
        </w:rPr>
        <w:t xml:space="preserve">for the same cases and the same hard constraints, does changing the scoring formula change which shelter wins more often than changing the weighting method does, and which changes make the annotated best shelter win more often?</w:t>
      </w:r>
    </w:p>
    <w:p>
      <w:pPr>
        <w:pStyle w:val="Heading1"/>
        <w:keepNext/>
        <w:spacing w:after="120" w:before="280"/>
      </w:pPr>
      <w:r>
        <w:rPr>
          <w:rFonts w:ascii="Calibri" w:cs="Calibri" w:eastAsia="Calibri" w:hAnsi="Calibri"/>
          <w:b/>
          <w:bCs/>
          <w:color w:val="0F4C46"/>
          <w:sz w:val="30"/>
          <w:szCs w:val="30"/>
        </w:rPr>
        <w:t xml:space="preserve">3. Method (written so another reader can repeat every number)</w:t>
      </w:r>
    </w:p>
    <w:p>
      <w:pPr>
        <w:pStyle w:val="Heading2"/>
        <w:keepNext/>
        <w:spacing w:after="80" w:before="200"/>
      </w:pPr>
      <w:r>
        <w:rPr>
          <w:rFonts w:ascii="Calibri" w:cs="Calibri" w:eastAsia="Calibri" w:hAnsi="Calibri"/>
          <w:b/>
          <w:bCs/>
          <w:color w:val="0F4C46"/>
          <w:sz w:val="24"/>
          <w:szCs w:val="24"/>
        </w:rPr>
        <w:t xml:space="preserve">3.1 Design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000"/>
        <w:gridCol w:w="4900"/>
        <w:gridCol w:w="2820"/>
      </w:tblGrid>
      <w:tr>
        <w:trPr>
          <w:cantSplit/>
          <w:tblHeader/>
        </w:trPr>
        <w:tc>
          <w:tcPr>
            <w:tcW w:type="dxa" w:w="20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Dimension</w:t>
            </w:r>
          </w:p>
        </w:tc>
        <w:tc>
          <w:tcPr>
            <w:tcW w:type="dxa" w:w="49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Levels</w:t>
            </w:r>
          </w:p>
        </w:tc>
        <w:tc>
          <w:tcPr>
            <w:tcW w:type="dxa" w:w="28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Notes</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Scoring formula (4)</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F0 production; F1 capacity counted once (pickup urgency uses only the intake window); F2 proximity scale 10 km instead of 30 km; F3 = F1 + F2</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F0 is pinned to the arbitrator's scoring code by a test; F1 to F3 are hypotheses about KI-11 and R-07</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Weighting method (4)</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equal (0.2 each); v1 (LLM-written, frozen from live calls); v2 blend (AHP vectors x classifier probabilities); v2 top (highest-probability archetype vector)</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equal = no case-specific weighting at all</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Cases</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Set 1: 8 cases (annotations committed fdb6171, 2026-10-10, student-designed in Hard Stop 2). Set 2: 8 cases (committed fe064ca, 2026-10-25, AI-written, student-approved). 12 informative cases (one annotated best shelter, at least two eligible shelters); SYN-16 is a control; SYN-06, 07, 08 are excluded</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Excluded: a near-tie, a case decided by a hard constraint, and the fault-injection case</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Hard constraints</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Identical in all 16 cells (rule-based, plus each fixture's species-constraint flag)</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Isolates the weights</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Primary metric</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raw top-scoring shelter equals the annotated best (no tie rule)</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Counts, with Wilson 95% intervals</w:t>
            </w:r>
          </w:p>
        </w:tc>
      </w:tr>
    </w:tbl>
    <w:p>
      <w:pPr>
        <w:pStyle w:val="Heading2"/>
        <w:keepNext/>
        <w:spacing w:after="80" w:before="200"/>
      </w:pPr>
      <w:r>
        <w:rPr>
          <w:rFonts w:ascii="Calibri" w:cs="Calibri" w:eastAsia="Calibri" w:hAnsi="Calibri"/>
          <w:b/>
          <w:bCs/>
          <w:color w:val="0F4C46"/>
          <w:sz w:val="24"/>
          <w:szCs w:val="24"/>
        </w:rPr>
        <w:t xml:space="preserve">3.2 Pre-registration timeline (from git)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1200"/>
        <w:gridCol w:w="2400"/>
        <w:gridCol w:w="6120"/>
      </w:tblGrid>
      <w:tr>
        <w:trPr>
          <w:cantSplit/>
          <w:tblHeader/>
        </w:trPr>
        <w:tc>
          <w:tcPr>
            <w:tcW w:type="dxa" w:w="12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Commit</w:t>
            </w:r>
          </w:p>
        </w:tc>
        <w:tc>
          <w:tcPr>
            <w:tcW w:type="dxa" w:w="24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Time (EDT)</w:t>
            </w:r>
          </w:p>
        </w:tc>
        <w:tc>
          <w:tcPr>
            <w:tcW w:type="dxa" w:w="61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What</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fdb6171</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10, 06:04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Set-1 fixtures and annotations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fe064ca</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05:49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Set-2 fixtures and annotations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70c3835</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05:53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Pre-registration, runner, tests, and the live set-2 inputs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d009c46</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05:55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Record of the student's approval of the set-2 annotations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59bb42d</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01:31 PM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First commit of ablation results</w:t>
            </w:r>
          </w:p>
        </w:tc>
      </w:tr>
    </w:tbl>
    <w:p>
      <w:pPr>
        <w:pStyle w:val="Heading2"/>
        <w:keepNext/>
        <w:spacing w:after="80" w:before="200"/>
      </w:pPr>
      <w:r>
        <w:rPr>
          <w:rFonts w:ascii="Calibri" w:cs="Calibri" w:eastAsia="Calibri" w:hAnsi="Calibri"/>
          <w:b/>
          <w:bCs/>
          <w:color w:val="0F4C46"/>
          <w:sz w:val="24"/>
          <w:szCs w:val="24"/>
        </w:rPr>
        <w:t xml:space="preserve">3.3 Run metadata and exact commands</w:t>
      </w:r>
    </w:p>
    <w:p>
      <w:pPr>
        <w:spacing w:after="110" w:before="70" w:line="262"/>
      </w:pPr>
      <w:r>
        <w:rPr>
          <w:rFonts w:ascii="Calibri" w:cs="Calibri" w:eastAsia="Calibri" w:hAnsi="Calibri"/>
          <w:sz w:val="21"/>
          <w:szCs w:val="21"/>
        </w:rPr>
        <w:t xml:space="preserve">Environment: Node 20 on a fresh clone (captured 2026-10-25 13:33:48 EDT, commit 229a259); 122 tests pass. Inputs are committed files only: fixtures, annotations, frozen v1 profiles, and recorded classifier output (classifier model us.anthropic.claude-sonnet-4-5-20250929-v1:0, temperature 0, 3 repeats per set-2 case with no spread; set 1 from Hard Stop 3). The AHP vectors are the adopted v1 vectors (all three CR below 0.04).</w:t>
      </w:r>
    </w:p>
    <w:p>
      <w:pPr>
        <w:shd w:fill="F2F2F2" w:val="clear"/>
        <w:spacing w:after="100" w:before="40" w:line="215"/>
      </w:pPr>
      <w:r>
        <w:rPr>
          <w:rFonts w:ascii="Courier New" w:cs="Courier New" w:eastAsia="Courier New" w:hAnsi="Courier New"/>
          <w:sz w:val="15"/>
          <w:szCs w:val="15"/>
        </w:rPr>
        <w:t xml:space="preserve">git clone https://github.com/manojvprimary/rescuenet.git &amp;&amp; cd rescuenet</w:t>
      </w:r>
      <w:r>
        <w:rPr>
          <w:rFonts w:ascii="Courier New" w:cs="Courier New" w:eastAsia="Courier New" w:hAnsi="Courier New"/>
          <w:sz w:val="15"/>
          <w:szCs w:val="15"/>
        </w:rPr>
        <w:br/>
        <w:t xml:space="preserve">nvm use &amp;&amp; npm ci &amp;&amp; npm test</w:t>
      </w:r>
      <w:r>
        <w:rPr>
          <w:rFonts w:ascii="Courier New" w:cs="Courier New" w:eastAsia="Courier New" w:hAnsi="Courier New"/>
          <w:sz w:val="15"/>
          <w:szCs w:val="15"/>
        </w:rPr>
        <w:br/>
        <w:t xml:space="preserve">npx ts-node scripts/run-ablation.ts                    # pre-registered run, prints the tables below</w:t>
      </w:r>
      <w:r>
        <w:rPr>
          <w:rFonts w:ascii="Courier New" w:cs="Courier New" w:eastAsia="Courier New" w:hAnsi="Courier New"/>
          <w:sz w:val="15"/>
          <w:szCs w:val="15"/>
        </w:rPr>
        <w:br/>
        <w:t xml:space="preserve">npx ts-node scripts/run-ablation.ts --production-bids  # labelled post-hoc variant</w:t>
      </w:r>
      <w:r>
        <w:rPr>
          <w:rFonts w:ascii="Courier New" w:cs="Courier New" w:eastAsia="Courier New" w:hAnsi="Courier New"/>
          <w:sz w:val="15"/>
          <w:szCs w:val="15"/>
        </w:rPr>
        <w:br/>
        <w:t xml:space="preserve">scripts/capture-evidence-ablation.sh docs/evidence/sprint-4/my-run.txt 20</w:t>
      </w:r>
    </w:p>
    <w:p>
      <w:pPr>
        <w:spacing w:after="110" w:before="70" w:line="262"/>
      </w:pPr>
      <w:r>
        <w:rPr>
          <w:rFonts w:ascii="Calibri" w:cs="Calibri" w:eastAsia="Calibri" w:hAnsi="Calibri"/>
          <w:sz w:val="21"/>
          <w:szCs w:val="21"/>
        </w:rPr>
        <w:t xml:space="preserve">Expected result hashes (identical across three clean-clone runs each): pre-registered 45369f37a0ab9a73..., post-hoc fe3c7416c0e2f687....</w:t>
      </w:r>
    </w:p>
    <w:p>
      <w:pPr>
        <w:pStyle w:val="Heading1"/>
        <w:keepNext/>
        <w:spacing w:after="120" w:before="280"/>
      </w:pPr>
      <w:r>
        <w:rPr>
          <w:rFonts w:ascii="Calibri" w:cs="Calibri" w:eastAsia="Calibri" w:hAnsi="Calibri"/>
          <w:b/>
          <w:bCs/>
          <w:color w:val="0F4C46"/>
          <w:sz w:val="30"/>
          <w:szCs w:val="30"/>
        </w:rPr>
        <w:t xml:space="preserve">4. Evidence</w:t>
      </w:r>
    </w:p>
    <w:p>
      <w:pPr>
        <w:spacing w:after="100" w:before="80"/>
        <w:jc w:val="center"/>
      </w:pPr>
      <w:r>
        <w:drawing>
          <wp:inline distT="0" distB="0" distL="0" distR="0">
            <wp:extent cx="6191250" cy="19145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1914525"/>
                    </a:xfrm>
                    <a:prstGeom prst="rect">
                      <a:avLst/>
                    </a:prstGeom>
                  </pic:spPr>
                </pic:pic>
              </a:graphicData>
            </a:graphic>
          </wp:inline>
        </w:drawing>
      </w:r>
    </w:p>
    <w:p>
      <w:pPr>
        <w:pStyle w:val="Heading2"/>
        <w:keepNext/>
        <w:spacing w:after="80" w:before="200"/>
      </w:pPr>
      <w:r>
        <w:rPr>
          <w:rFonts w:ascii="Calibri" w:cs="Calibri" w:eastAsia="Calibri" w:hAnsi="Calibri"/>
          <w:b/>
          <w:bCs/>
          <w:color w:val="0F4C46"/>
          <w:sz w:val="24"/>
          <w:szCs w:val="24"/>
        </w:rPr>
        <w:t xml:space="preserve">4.1 Primary result (pre-registered run)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520"/>
        <w:gridCol w:w="1800"/>
        <w:gridCol w:w="1800"/>
        <w:gridCol w:w="1800"/>
        <w:gridCol w:w="1800"/>
      </w:tblGrid>
      <w:tr>
        <w:trPr>
          <w:cantSplit/>
          <w:tblHeader/>
        </w:trPr>
        <w:tc>
          <w:tcPr>
            <w:tcW w:type="dxa" w:w="25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equal weights</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v1 (LLM-written)</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v2 blend</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v2 top</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F0 production formula</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F1 capacity counted once</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9/12  (0.47 to 0.91)</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10/12  (0.55 to 0.95)</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10/12  (0.55 to 0.95)</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F2 distance scale 10 km</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8/12  (0.39 to 0.86)</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8/12  (0.39 to 0.86)</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9/12  (0.47 to 0.91)</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F3 capacity once + 10 km</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8/12  (0.39 to 0.86)</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10/12  (0.55 to 0.95)</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11/12  (0.65 to 0.99)</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11/12  (0.65 to 0.99)</w:t>
            </w:r>
          </w:p>
        </w:tc>
      </w:tr>
    </w:tbl>
    <w:p>
      <w:pPr>
        <w:spacing w:after="110" w:before="70" w:line="262"/>
      </w:pPr>
      <w:r>
        <w:rPr>
          <w:rFonts w:ascii="Calibri" w:cs="Calibri" w:eastAsia="Calibri" w:hAnsi="Calibri"/>
          <w:sz w:val="21"/>
          <w:szCs w:val="21"/>
        </w:rPr>
        <w:t xml:space="preserve">Reading: with the production formula (F0) all four weighting methods tie at 7 of 12, including equal weights, so on these cases the weighting method has no visible effect at all. With capacity counted once, case-specific weights start to matter (v1, blend, top reach 9 to 10) while equal weights still score 7. The best cell is F3 with blend or top (11 of 12).</w:t>
      </w:r>
    </w:p>
    <w:p>
      <w:pPr>
        <w:pStyle w:val="Heading2"/>
        <w:keepNext/>
        <w:spacing w:after="80" w:before="200"/>
      </w:pPr>
      <w:r>
        <w:rPr>
          <w:rFonts w:ascii="Calibri" w:cs="Calibri" w:eastAsia="Calibri" w:hAnsi="Calibri"/>
          <w:b/>
          <w:bCs/>
          <w:color w:val="0F4C46"/>
          <w:sz w:val="24"/>
          <w:szCs w:val="24"/>
        </w:rPr>
        <w:t xml:space="preserve">4.2 Which factor changes the winner more often? (H1)</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600"/>
        <w:gridCol w:w="1500"/>
        <w:gridCol w:w="1800"/>
        <w:gridCol w:w="2820"/>
      </w:tblGrid>
      <w:tr>
        <w:trPr>
          <w:cantSplit/>
          <w:tblHeader/>
        </w:trPr>
        <w:tc>
          <w:tcPr>
            <w:tcW w:type="dxa" w:w="36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One-factor-only swap</w:t>
            </w:r>
          </w:p>
        </w:tc>
        <w:tc>
          <w:tcPr>
            <w:tcW w:type="dxa" w:w="15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Cell pairs</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Winner differs</w:t>
            </w:r>
          </w:p>
        </w:tc>
        <w:tc>
          <w:tcPr>
            <w:tcW w:type="dxa" w:w="28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Cases where it ever changes the winner</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bCs/>
                <w:sz w:val="17"/>
                <w:szCs w:val="17"/>
              </w:rPr>
              <w:t xml:space="preserve">Weighting method (formula fixed)</w:t>
            </w:r>
          </w:p>
        </w:tc>
        <w:tc>
          <w:tcPr>
            <w:tcW w:type="dxa" w:w="15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288</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11.1%</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6 of 12</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bCs/>
                <w:sz w:val="17"/>
                <w:szCs w:val="17"/>
              </w:rPr>
              <w:t xml:space="preserve">Scoring formula (weights fixed)</w:t>
            </w:r>
          </w:p>
        </w:tc>
        <w:tc>
          <w:tcPr>
            <w:tcW w:type="dxa" w:w="15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288</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20.8%</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6 of 12</w:t>
            </w:r>
          </w:p>
        </w:tc>
      </w:tr>
    </w:tbl>
    <w:p>
      <w:pPr>
        <w:spacing w:after="110" w:before="70" w:line="262"/>
      </w:pPr>
      <w:r>
        <w:rPr>
          <w:rFonts w:ascii="Calibri" w:cs="Calibri" w:eastAsia="Calibri" w:hAnsi="Calibri"/>
          <w:sz w:val="21"/>
          <w:szCs w:val="21"/>
        </w:rPr>
        <w:t xml:space="preserve">H1 (formula swaps change winners more often) is supported by the pre-registered rule, but the gap is modest and the weight-swap rate is not small (11.1%): the weights change winners only in cells where the formula allows it, so the two factors interact.</w:t>
      </w:r>
    </w:p>
    <w:p>
      <w:pPr>
        <w:pStyle w:val="Heading2"/>
        <w:keepNext/>
        <w:spacing w:after="80" w:before="200"/>
      </w:pPr>
      <w:r>
        <w:rPr>
          <w:rFonts w:ascii="Calibri" w:cs="Calibri" w:eastAsia="Calibri" w:hAnsi="Calibri"/>
          <w:b/>
          <w:bCs/>
          <w:color w:val="0F4C46"/>
          <w:sz w:val="24"/>
          <w:szCs w:val="24"/>
        </w:rPr>
        <w:t xml:space="preserve">4.3 Pre-registered contrasts (exact two-sided sign test, uncorrected)</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4200"/>
        <w:gridCol w:w="1700"/>
        <w:gridCol w:w="1900"/>
        <w:gridCol w:w="1920"/>
      </w:tblGrid>
      <w:tr>
        <w:trPr>
          <w:cantSplit/>
          <w:tblHeader/>
        </w:trPr>
        <w:tc>
          <w:tcPr>
            <w:tcW w:type="dxa" w:w="42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Contrast (informative cases)</w:t>
            </w:r>
          </w:p>
        </w:tc>
        <w:tc>
          <w:tcPr>
            <w:tcW w:type="dxa" w:w="17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Only first right</w:t>
            </w:r>
          </w:p>
        </w:tc>
        <w:tc>
          <w:tcPr>
            <w:tcW w:type="dxa" w:w="19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Only second right</w:t>
            </w:r>
          </w:p>
        </w:tc>
        <w:tc>
          <w:tcPr>
            <w:tcW w:type="dxa" w:w="19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p</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v1</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0.500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blend</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3</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0.250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top</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3</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0.250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equal</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blend vs v1 under F0 (H3)</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blend vs v1 under F1</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blend vs equal under F0</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bl>
    <w:p>
      <w:pPr>
        <w:spacing w:after="110" w:before="70" w:line="262"/>
      </w:pPr>
      <w:r>
        <w:rPr>
          <w:rFonts w:ascii="Calibri" w:cs="Calibri" w:eastAsia="Calibri" w:hAnsi="Calibri"/>
          <w:sz w:val="21"/>
          <w:szCs w:val="21"/>
        </w:rPr>
        <w:t xml:space="preserve">H2 (F1 at least as good as F0 under every method, strictly better under one) holds; H3 (blend at least as good as v1 under F0) holds as a tie; H4 (the control is right in every cell) holds. No contrast reaches conventional significance: the best is 3 cases to 0 (p = 0.25). With 12 cases the intervals overlap, so this is directional evidence only.</w:t>
      </w:r>
    </w:p>
    <w:p>
      <w:pPr>
        <w:pStyle w:val="Heading2"/>
        <w:keepNext/>
        <w:spacing w:after="80" w:before="200"/>
      </w:pPr>
      <w:r>
        <w:rPr>
          <w:rFonts w:ascii="Calibri" w:cs="Calibri" w:eastAsia="Calibri" w:hAnsi="Calibri"/>
          <w:b/>
          <w:bCs/>
          <w:color w:val="0F4C46"/>
          <w:sz w:val="24"/>
          <w:szCs w:val="24"/>
        </w:rPr>
        <w:t xml:space="preserve">4.4 The two case sets separately</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300"/>
        <w:gridCol w:w="1070"/>
        <w:gridCol w:w="1070"/>
        <w:gridCol w:w="1070"/>
        <w:gridCol w:w="1070"/>
        <w:gridCol w:w="1070"/>
        <w:gridCol w:w="1070"/>
      </w:tblGrid>
      <w:tr>
        <w:trPr>
          <w:cantSplit/>
          <w:tblHeader/>
        </w:trPr>
        <w:tc>
          <w:tcPr>
            <w:tcW w:type="dxa" w:w="33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F0 equal</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F0 blend</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F1 v1</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F1 blend</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F3 equal</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F3 blend</w:t>
            </w:r>
          </w:p>
        </w:tc>
      </w:tr>
      <w:tr>
        <w:trPr>
          <w:cantSplit/>
          <w:tblHeader w:val="off"/>
        </w:trPr>
        <w:tc>
          <w:tcPr>
            <w:tcW w:type="dxa" w:w="33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Set 1 (student annotations, written first) (n = 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2/5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2/5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r>
      <w:tr>
        <w:trPr>
          <w:cantSplit/>
          <w:tblHeader w:val="off"/>
        </w:trPr>
        <w:tc>
          <w:tcPr>
            <w:tcW w:type="dxa" w:w="33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Set 2 (AI-written, student-approved) (n = 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5/7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5/7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5/7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6/7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7/7</w:t>
            </w:r>
          </w:p>
        </w:tc>
      </w:tr>
    </w:tbl>
    <w:p>
      <w:pPr>
        <w:spacing w:after="110" w:before="70" w:line="262"/>
      </w:pPr>
      <w:r>
        <w:rPr>
          <w:rFonts w:ascii="Calibri" w:cs="Calibri" w:eastAsia="Calibri" w:hAnsi="Calibri"/>
          <w:sz w:val="21"/>
          <w:szCs w:val="21"/>
        </w:rPr>
        <w:t xml:space="preserve">Both sets move in the same direction. Set 1 pre-dates every formula variant, so its gain (2 of 5 to 4 of 5 under F1 with case-specific weights) is the less circular evidence; set 2 was written around the same capacity and distance trade-offs the variants address, so its gain should be discounted.</w:t>
      </w:r>
    </w:p>
    <w:p>
      <w:pPr>
        <w:pStyle w:val="Heading2"/>
        <w:keepNext/>
        <w:spacing w:after="80" w:before="200"/>
      </w:pPr>
      <w:r>
        <w:rPr>
          <w:rFonts w:ascii="Calibri" w:cs="Calibri" w:eastAsia="Calibri" w:hAnsi="Calibri"/>
          <w:b/>
          <w:bCs/>
          <w:color w:val="0F4C46"/>
          <w:sz w:val="24"/>
          <w:szCs w:val="24"/>
        </w:rPr>
        <w:t xml:space="preserve">4.5 Post-hoc variant: removing bids that production never sends (labelled post hoc)</w:t>
      </w:r>
    </w:p>
    <w:p>
      <w:pPr>
        <w:spacing w:after="110" w:before="70" w:line="262"/>
      </w:pPr>
      <w:r>
        <w:rPr>
          <w:rFonts w:ascii="Calibri" w:cs="Calibri" w:eastAsia="Calibri" w:hAnsi="Calibri"/>
          <w:sz w:val="21"/>
          <w:szCs w:val="21"/>
        </w:rPr>
        <w:t xml:space="preserve">The zero-slot bid in SYN-04 cannot occur in production. A variant without zero-slot bids was run after seeing the pre-registered result and is not part of the pre-registration. Result: F0 stays at 7 of 12 under every weighting method; F1 gives 10, 11, 11 of 12 (v1, blend, top); F3 gives 11, 12, 12. A perfect score under F3 with blend or top is a lead, not validation: the variants and most of the cases share an author.</w:t>
      </w:r>
    </w:p>
    <w:p>
      <w:pPr>
        <w:pStyle w:val="Heading2"/>
        <w:keepNext/>
        <w:spacing w:after="80" w:before="200"/>
      </w:pPr>
      <w:r>
        <w:rPr>
          <w:rFonts w:ascii="Calibri" w:cs="Calibri" w:eastAsia="Calibri" w:hAnsi="Calibri"/>
          <w:b/>
          <w:bCs/>
          <w:color w:val="0F4C46"/>
          <w:sz w:val="24"/>
          <w:szCs w:val="24"/>
        </w:rPr>
        <w:t xml:space="preserve">4.6 Where in the system this evidence was collected</w:t>
      </w:r>
    </w:p>
    <w:p>
      <w:pPr>
        <w:spacing w:after="100" w:before="80"/>
        <w:jc w:val="center"/>
      </w:pPr>
      <w:r>
        <w:drawing>
          <wp:inline distT="0" distB="0" distL="0" distR="0">
            <wp:extent cx="5334000" cy="2905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10" w:before="70" w:line="262"/>
      </w:pPr>
      <w:r>
        <w:rPr>
          <w:rFonts w:ascii="Calibri" w:cs="Calibri" w:eastAsia="Calibri" w:hAnsi="Calibri"/>
          <w:sz w:val="21"/>
          <w:szCs w:val="21"/>
        </w:rPr>
        <w:t xml:space="preserve">The ablation exercises the offline weighting and scoring modules (amber and blue in the figure). It does not exercise the deployed pipeline; that was measured separately at the midpoint (below).</w:t>
      </w:r>
    </w:p>
    <w:p>
      <w:pPr>
        <w:pStyle w:val="Heading2"/>
        <w:keepNext/>
        <w:spacing w:after="80" w:before="200"/>
      </w:pPr>
      <w:r>
        <w:rPr>
          <w:rFonts w:ascii="Calibri" w:cs="Calibri" w:eastAsia="Calibri" w:hAnsi="Calibri"/>
          <w:b/>
          <w:bCs/>
          <w:color w:val="0F4C46"/>
          <w:sz w:val="24"/>
          <w:szCs w:val="24"/>
        </w:rPr>
        <w:t xml:space="preserve">4.7 Deployed pipeline and external-integration evidence (carried from the midpoint)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000"/>
        <w:gridCol w:w="6720"/>
      </w:tblGrid>
      <w:tr>
        <w:trPr>
          <w:cantSplit/>
          <w:tblHeader/>
        </w:trPr>
        <w:tc>
          <w:tcPr>
            <w:tcW w:type="dxa" w:w="30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Check</w:t>
            </w:r>
          </w:p>
        </w:tc>
        <w:tc>
          <w:tcPr>
            <w:tcW w:type="dxa" w:w="67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Result</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Deployed end to end, v2 behind WEIGHTING_MODE</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13 of 13 cases ASSIGNED; 0 error lines across the nine pipeline functions; median 24.1 to 24.7 s to a scored assignment in both modes; rollback 7.3 s and verified</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Bedrock (classifier and v1 profiles)</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About 100 live calls in total including this sprint (32 new), none throttled; 0 invalid classifier outputs in the 59 temperature-0 batch classifier calls</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Schema validation and retries</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Classifier output is parsed strictly; 12 malformed-output cases and 6 handler cases (Bedrock mocked: valid, malformed, thrown ThrottlingException, top mode, unknown mode) all land on valid weights or the STABLE_ROUTINE fallback</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Failure-case probe added this sprint</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 zero-capacity shelter bid (SYN-04): the production arbitrator would score it; only the tier-1 agent keeps it out (KI-21, KI-22)</w:t>
            </w:r>
          </w:p>
        </w:tc>
      </w:tr>
    </w:tbl>
    <w:p>
      <w:pPr>
        <w:pStyle w:val="Heading1"/>
        <w:keepNext/>
        <w:spacing w:after="120" w:before="280"/>
      </w:pPr>
      <w:r>
        <w:rPr>
          <w:rFonts w:ascii="Calibri" w:cs="Calibri" w:eastAsia="Calibri" w:hAnsi="Calibri"/>
          <w:b/>
          <w:bCs/>
          <w:color w:val="0F4C46"/>
          <w:sz w:val="30"/>
          <w:szCs w:val="30"/>
        </w:rPr>
        <w:t xml:space="preserve">5. Interpretation Against the Success Criteria and the Midpoint Adjustments</w:t>
      </w:r>
    </w:p>
    <w:p>
      <w:pPr>
        <w:spacing w:after="110" w:before="70" w:line="262"/>
      </w:pPr>
      <w:r>
        <w:rPr>
          <w:rFonts w:ascii="Calibri" w:cs="Calibri" w:eastAsia="Calibri" w:hAnsi="Calibri"/>
          <w:b/>
          <w:bCs/>
          <w:sz w:val="21"/>
          <w:szCs w:val="21"/>
        </w:rPr>
        <w:t xml:space="preserve">What the evidence supports. </w:t>
      </w:r>
      <w:r>
        <w:rPr>
          <w:rFonts w:ascii="Calibri" w:cs="Calibri" w:eastAsia="Calibri" w:hAnsi="Calibri"/>
          <w:sz w:val="21"/>
          <w:szCs w:val="21"/>
        </w:rPr>
        <w:t xml:space="preserve">On these cases the production formula makes the weighting method irrelevant: equal weights do exactly as well as the AHP blend or the LLM's own weights (7 of 12). Counting capacity once is the change that lets case-specific weights matter, and it never made things worse than the production formula in any weighting method. That agrees with the midpoint finding (v1 and v2 pick the same shelter) and gives it a mechanism: the formula, not the weights, was the limiting factor.</w:t>
      </w:r>
    </w:p>
    <w:p>
      <w:pPr>
        <w:spacing w:after="110" w:before="70" w:line="262"/>
      </w:pPr>
      <w:r>
        <w:rPr>
          <w:rFonts w:ascii="Calibri" w:cs="Calibri" w:eastAsia="Calibri" w:hAnsi="Calibri"/>
          <w:b/>
          <w:bCs/>
          <w:sz w:val="21"/>
          <w:szCs w:val="21"/>
        </w:rPr>
        <w:t xml:space="preserve">Against SC3 (v2 at least as good as v1). </w:t>
      </w:r>
      <w:r>
        <w:rPr>
          <w:rFonts w:ascii="Calibri" w:cs="Calibri" w:eastAsia="Calibri" w:hAnsi="Calibri"/>
          <w:sz w:val="21"/>
          <w:szCs w:val="21"/>
        </w:rPr>
        <w:t xml:space="preserve">Still met only as a tie: blend and v1 are identical under the production formula and differ by one case (SYN-12) under F1. The honest claim is not that v2 is better, but that v2 is auditable and reproducible and becomes useful only after the formula is fixed.</w:t>
      </w:r>
    </w:p>
    <w:p>
      <w:pPr>
        <w:spacing w:after="110" w:before="70" w:line="262"/>
      </w:pPr>
      <w:r>
        <w:rPr>
          <w:rFonts w:ascii="Calibri" w:cs="Calibri" w:eastAsia="Calibri" w:hAnsi="Calibri"/>
          <w:b/>
          <w:bCs/>
          <w:sz w:val="21"/>
          <w:szCs w:val="21"/>
        </w:rPr>
        <w:t xml:space="preserve">Positive signals. </w:t>
      </w:r>
      <w:r>
        <w:rPr>
          <w:rFonts w:ascii="Calibri" w:cs="Calibri" w:eastAsia="Calibri" w:hAnsi="Calibri"/>
          <w:sz w:val="21"/>
          <w:szCs w:val="21"/>
        </w:rPr>
        <w:t xml:space="preserve">The control passes in all 16 cells; the gain appears in both case sets; the result is stable under a post-hoc correction; every run is reproducible (identical hashes in three clean-clone runs).</w:t>
      </w:r>
    </w:p>
    <w:p>
      <w:pPr>
        <w:spacing w:after="110" w:before="70" w:line="262"/>
      </w:pPr>
      <w:r>
        <w:rPr>
          <w:rFonts w:ascii="Calibri" w:cs="Calibri" w:eastAsia="Calibri" w:hAnsi="Calibri"/>
          <w:b/>
          <w:bCs/>
          <w:sz w:val="21"/>
          <w:szCs w:val="21"/>
        </w:rPr>
        <w:t xml:space="preserve">Persistent weaknesses of the evidence itself. </w:t>
      </w:r>
      <w:r>
        <w:rPr>
          <w:rFonts w:ascii="Calibri" w:cs="Calibri" w:eastAsia="Calibri" w:hAnsi="Calibri"/>
          <w:sz w:val="21"/>
          <w:szCs w:val="21"/>
        </w:rPr>
        <w:t xml:space="preserve">Twelve cases and wide intervals; no contrast is statistically distinguishable; one annotator, and the second set's annotations are AI-authored; the formula variants are my hypotheses, not a shelter expert's; blend and top are nearly identical because the classifier's probabilities are close to one-hot; v1's weights come from one live call per case; no real case. A fixture (SYN-04) contains a bid production never sends. Counting capacity once is also not safe on its own: without a minimum-capacity rule an empty shelter can win (KI-22).</w:t>
      </w:r>
    </w:p>
    <w:p>
      <w:pPr>
        <w:spacing w:after="110" w:before="70" w:line="262"/>
      </w:pPr>
      <w:r>
        <w:rPr>
          <w:rFonts w:ascii="Calibri" w:cs="Calibri" w:eastAsia="Calibri" w:hAnsi="Calibri"/>
          <w:b/>
          <w:bCs/>
          <w:sz w:val="21"/>
          <w:szCs w:val="21"/>
        </w:rPr>
        <w:t xml:space="preserve">Supervisor prompt: which result most changes what I should prioritize? </w:t>
      </w:r>
      <w:r>
        <w:rPr>
          <w:rFonts w:ascii="Calibri" w:cs="Calibri" w:eastAsia="Calibri" w:hAnsi="Calibri"/>
          <w:sz w:val="21"/>
          <w:szCs w:val="21"/>
        </w:rPr>
        <w:t xml:space="preserve">The interaction result: weights matter only once the formula stops double-counting capacity. It moves the formula to the front of the queue (with a minimum-capacity eligibility rule) and demotes classifier calibration and further AHP work until after that. It also makes an independent, expert-proposed set of formula variants the thing to obtain, because mine are not independent.</w:t>
      </w:r>
    </w:p>
    <w:p>
      <w:pPr>
        <w:pStyle w:val="Heading1"/>
        <w:keepNext/>
        <w:spacing w:after="120" w:before="280"/>
      </w:pPr>
      <w:r>
        <w:rPr>
          <w:rFonts w:ascii="Calibri" w:cs="Calibri" w:eastAsia="Calibri" w:hAnsi="Calibri"/>
          <w:b/>
          <w:bCs/>
          <w:color w:val="0F4C46"/>
          <w:sz w:val="30"/>
          <w:szCs w:val="30"/>
        </w:rPr>
        <w:t xml:space="preserve">6. Issue Log and Next-Step Plan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600"/>
        <w:gridCol w:w="3000"/>
        <w:gridCol w:w="3120"/>
      </w:tblGrid>
      <w:tr>
        <w:trPr>
          <w:cantSplit/>
          <w:tblHeader/>
        </w:trPr>
        <w:tc>
          <w:tcPr>
            <w:tcW w:type="dxa" w:w="36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Item</w:t>
            </w:r>
          </w:p>
        </w:tc>
        <w:tc>
          <w:tcPr>
            <w:tcW w:type="dxa" w:w="30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Change</w:t>
            </w:r>
          </w:p>
        </w:tc>
        <w:tc>
          <w:tcPr>
            <w:tcW w:type="dxa" w:w="31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Next step</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KI-11 capacity counted twice</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Now tested; counting it once helps when weights are case-specific</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Decide and implement with KI-22</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KI-20 set-2 annotations are AI-authored</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Independent annotator for set 2 (B-03)</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KI-21 SYN-04 fixture contains a bid production never sends</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Keep as pre-registered; carry the post-hoc note</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KI-22 capacity is a score term, not an eligibility rule</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Add availableSlots &gt; 0 to eligibility with any formula change</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R-12 formula variants are AI hypotheses</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Expert-proposed variants; second annotator</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B-01 and B-02</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Done</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Closed</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Supervisor review (B-04)</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Still open</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Hold the review and record it</w:t>
            </w:r>
          </w:p>
        </w:tc>
      </w:tr>
    </w:tbl>
    <w:p>
      <w:pPr>
        <w:spacing w:after="110" w:before="70" w:line="262"/>
      </w:pPr>
      <w:r>
        <w:rPr>
          <w:rFonts w:ascii="Calibri" w:cs="Calibri" w:eastAsia="Calibri" w:hAnsi="Calibri"/>
          <w:sz w:val="21"/>
          <w:szCs w:val="21"/>
        </w:rPr>
        <w:t xml:space="preserve">Next, in order: (1) a supervisor review with a record; (2) an independent annotator for set 2 and expert-proposed formula variants; (3) implement the chosen formula change together with the capacity rule and re-run this same pre-registered grid on a fresh case set; (4) only then revisit promotion of WEIGHTING_MODE and classifier calibration.</w:t>
      </w:r>
    </w:p>
    <w:p>
      <w:pPr>
        <w:pStyle w:val="Heading1"/>
        <w:keepNext/>
        <w:spacing w:after="120" w:before="280"/>
      </w:pPr>
      <w:r>
        <w:rPr>
          <w:rFonts w:ascii="Calibri" w:cs="Calibri" w:eastAsia="Calibri" w:hAnsi="Calibri"/>
          <w:b/>
          <w:bCs/>
          <w:color w:val="0F4C46"/>
          <w:sz w:val="30"/>
          <w:szCs w:val="30"/>
        </w:rPr>
        <w:t xml:space="preserve">7. Could Another Reader Tell How Each Result Was Produced? (self-check)</w:t>
      </w:r>
    </w:p>
    <w:p>
      <w:pPr>
        <w:spacing w:after="110" w:before="70" w:line="262"/>
      </w:pPr>
      <w:r>
        <w:rPr>
          <w:rFonts w:ascii="Calibri" w:cs="Calibri" w:eastAsia="Calibri" w:hAnsi="Calibri"/>
          <w:sz w:val="21"/>
          <w:szCs w:val="21"/>
        </w:rPr>
        <w:t xml:space="preserve">Yes for every number in this document: each comes from eval/results/ablation.json or ablation-posthoc-production-bids.json, which the commands in Section 3.3 regenerate byte-for-byte from committed inputs. The parts a reader cannot reproduce are the live model calls (their recorded output is committed and replayed) and the annotations (which are judgments). Both are stated.</w:t>
      </w:r>
    </w:p>
    <w:p>
      <w:pPr>
        <w:pStyle w:val="Heading1"/>
        <w:keepNext/>
        <w:spacing w:after="120" w:before="280"/>
      </w:pPr>
      <w:r>
        <w:rPr>
          <w:rFonts w:ascii="Calibri" w:cs="Calibri" w:eastAsia="Calibri" w:hAnsi="Calibri"/>
          <w:b/>
          <w:bCs/>
          <w:color w:val="0F4C46"/>
          <w:sz w:val="30"/>
          <w:szCs w:val="30"/>
        </w:rPr>
        <w:t xml:space="preserve">8. Repository State</w:t>
      </w:r>
    </w:p>
    <w:p>
      <w:pPr>
        <w:spacing w:after="110" w:before="70" w:line="262"/>
      </w:pPr>
      <w:r>
        <w:rPr>
          <w:rFonts w:ascii="Calibri" w:cs="Calibri" w:eastAsia="Calibri" w:hAnsi="Calibri"/>
          <w:sz w:val="21"/>
          <w:szCs w:val="21"/>
        </w:rPr>
        <w:t xml:space="preserve">Repository https://github.com/manojvprimary/rescuenet. The ablation code, pre-registration, results, and evidence file are on branch sprint-4/ablation and tag v0.4.0-ablation. Clean-clone evidence: docs/evidence/sprint-4/node20-ablation.txt, captured against commit 229a259; later commits add documentation only.</w:t>
      </w:r>
    </w:p>
    <w:p>
      <w:pPr>
        <w:pageBreakBefore/>
      </w:pPr>
    </w:p>
    <w:p>
      <w:pPr>
        <w:pStyle w:val="Heading1"/>
        <w:keepNext/>
        <w:spacing w:after="120" w:before="280"/>
      </w:pPr>
      <w:r>
        <w:rPr>
          <w:rFonts w:ascii="Calibri" w:cs="Calibri" w:eastAsia="Calibri" w:hAnsi="Calibri"/>
          <w:b/>
          <w:bCs/>
          <w:color w:val="0F4C46"/>
          <w:sz w:val="30"/>
          <w:szCs w:val="30"/>
        </w:rPr>
        <w:t xml:space="preserve">Appendix A. Cumulative AI Use Log</w:t>
      </w:r>
    </w:p>
    <w:p>
      <w:pPr>
        <w:spacing w:after="110" w:before="70" w:line="262"/>
      </w:pPr>
      <w:r>
        <w:rPr>
          <w:rFonts w:ascii="Calibri" w:cs="Calibri" w:eastAsia="Calibri" w:hAnsi="Calibri"/>
          <w:sz w:val="21"/>
          <w:szCs w:val="21"/>
        </w:rPr>
        <w:t xml:space="preserve">The full log from docs/AI_USE_LOG.md. Entries 24 and 25 are in Section 1.</w:t>
      </w:r>
    </w:p>
    <w:p>
      <w:pPr>
        <w:keepNext/>
        <w:spacing w:after="60" w:before="160"/>
      </w:pPr>
      <w:r>
        <w:rPr>
          <w:rFonts w:ascii="Calibri" w:cs="Calibri" w:eastAsia="Calibri" w:hAnsi="Calibri"/>
          <w:b/>
          <w:bCs/>
          <w:sz w:val="22"/>
          <w:szCs w:val="22"/>
        </w:rPr>
        <w:t xml:space="preserve">Entry 1 — Code Audit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1 (2026-09-06), pre-launch-packet code review</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Identify defects in the arbitrator and geocoding-agent Lambda functions to motivate the CISC 699 project scope.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 lambda/arbitrator/index.ts and lambda/geocoding-agent/index.ts for logic and calibration issues; verify findings against a live test on the deployed system.</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Identification of the specScore array-existence defect, hand-picked normalization constants, and the unprovisioned AWS Location Service Place Index.</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Launch packet Sections 1, 3.2, 3.10 (Risks); Appendix A (this log's companion, ENGINEERING_LOG.md).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Findings checked directly against source code; the geocoding fallback was independently confirmed by submitting a real test case to the live AWS account and reading the resulting DynamoDB record.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None required — findings were code- and test-verified before being written up.</w:t>
            </w:r>
          </w:p>
        </w:tc>
      </w:tr>
    </w:tbl>
    <w:p>
      <w:pPr>
        <w:keepNext/>
        <w:spacing w:after="60" w:before="160"/>
      </w:pPr>
      <w:r>
        <w:rPr>
          <w:rFonts w:ascii="Calibri" w:cs="Calibri" w:eastAsia="Calibri" w:hAnsi="Calibri"/>
          <w:b/>
          <w:bCs/>
          <w:sz w:val="22"/>
          <w:szCs w:val="22"/>
        </w:rPr>
        <w:t xml:space="preserve">Entry 2 — Literature Research</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1, initial bibliography and post-feedback addition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Identify credible, current sources on multi-agent task allocation, AHP, and market-based routing relevant to the arbitrator.</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Search for and verify real academic/technical sources; after supervisor feedback, specifically verify three named sources (2025 MARL survey, AWS Bedrock multi-agent GA, an auction-plus-AHP task-fitness paper).</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Nine annotated bibliography entries (launch packet Section 6).</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 6; Section 3.9 (Preliminary Literature).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Each source's real existence, authorship, and publication details were independently confirmed via search before inclusion; no fabricated citation was accepted.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selected which candidate sources to keep and directed the specific relevance angle each annotation emphasizes.</w:t>
            </w:r>
          </w:p>
        </w:tc>
      </w:tr>
    </w:tbl>
    <w:p>
      <w:pPr>
        <w:keepNext/>
        <w:spacing w:after="60" w:before="160"/>
      </w:pPr>
      <w:r>
        <w:rPr>
          <w:rFonts w:ascii="Calibri" w:cs="Calibri" w:eastAsia="Calibri" w:hAnsi="Calibri"/>
          <w:b/>
          <w:bCs/>
          <w:sz w:val="22"/>
          <w:szCs w:val="22"/>
        </w:rPr>
        <w:t xml:space="preserve">Entry 3 — Charter, Feasibility, and Revision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1, full drafting and post-feedback revision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the charter, feasibility review, workspace section, and AHP protocol from student direction.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launch-packet Sections 2–5 and the AHP elicitation protocol (Section 3.4) from student-provided project history; revise per supervisor feedback.</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Full section drafts, later revised.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2, 3, 4,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Reviewed and edited by the student before each 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redirected the shelter-portal framing from "deferred" to "gated stretch goal" (Section 3.6), and directed the addition of the AHP protocol and new sources after reading supervisor feedback.</w:t>
            </w:r>
          </w:p>
        </w:tc>
      </w:tr>
    </w:tbl>
    <w:p>
      <w:pPr>
        <w:keepNext/>
        <w:spacing w:after="60" w:before="160"/>
      </w:pPr>
      <w:r>
        <w:rPr>
          <w:rFonts w:ascii="Calibri" w:cs="Calibri" w:eastAsia="Calibri" w:hAnsi="Calibri"/>
          <w:b/>
          <w:bCs/>
          <w:sz w:val="22"/>
          <w:szCs w:val="22"/>
        </w:rPr>
        <w:t xml:space="preserve">Entry 4 — Feedback Triage and Gap Analysis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2 (2026-09-13), pre-drafting for Hard Stop 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Systematically map the instructor's RU-01 rubric feedback (88/100) and general class feedback onto concrete revisions required for the Hard Stop 1 Proposal Approval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Given the pasted per-criterion instructor comments on Assignment 1, identify actionable items and cross-reference them against the Hard Stop 1 task list before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"Response to Week 1 Supervisor Feedback" table (proposal Section 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 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confirmed each item against the actual feedback text before marking it addressed; nothing was marked resolved without a corresponding change in the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to resolve the GitHub remote/issue-tracker item this week rather than defer it a second time, given it had already been flagged once.</w:t>
            </w:r>
          </w:p>
        </w:tc>
      </w:tr>
    </w:tbl>
    <w:p>
      <w:pPr>
        <w:keepNext/>
        <w:spacing w:after="60" w:before="160"/>
      </w:pPr>
      <w:r>
        <w:rPr>
          <w:rFonts w:ascii="Calibri" w:cs="Calibri" w:eastAsia="Calibri" w:hAnsi="Calibri"/>
          <w:b/>
          <w:bCs/>
          <w:sz w:val="22"/>
          <w:szCs w:val="22"/>
        </w:rPr>
        <w:t xml:space="preserve">Entry 5 — Proposal Drafting (Background, Objectives, Success Criteria, MACP Framing, Project Plan)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2,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Revise the Week 1 charter into the formal proposal structure Hard Stop 1 requires, with explicit measurable success criteria and MACP-framed feasibility.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3 through 7 (Background and Problem Statement; Objectives and Intended Artifact; Success Criteria; MACP Feasibility Framing; Project Plan).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3, 4, 5, 6, 7.</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Reviewed by the student against the actual codebase, the live AWS account, and the syllabus's published 14-week schedule before inclusion.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set the specific numeric thresholds in Section 5 (e.g., the CR &lt; 0.10 consistency threshold, the ~30-second latency budget) and decided the four-phase boundary structure in Section 7.</w:t>
            </w:r>
          </w:p>
        </w:tc>
      </w:tr>
    </w:tbl>
    <w:p>
      <w:pPr>
        <w:keepNext/>
        <w:spacing w:after="60" w:before="160"/>
      </w:pPr>
      <w:r>
        <w:rPr>
          <w:rFonts w:ascii="Calibri" w:cs="Calibri" w:eastAsia="Calibri" w:hAnsi="Calibri"/>
          <w:b/>
          <w:bCs/>
          <w:sz w:val="22"/>
          <w:szCs w:val="22"/>
        </w:rPr>
        <w:t xml:space="preserve">Entry 6 — Work Breakdown, Risk/Ethics Section, and Approval Brief</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2,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Produce the week-by-week work breakdown, the expanded risk/ethics/constraints section, and the one-page approval brief.</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8, 9, 10, and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8, 9, 10,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Reviewed and edited by the student before submission; risk likelihoods and the approval brief's "conditional" items were checked against the student's own understanding of project status.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which open items from the Week 1 Supervisor Briefing Note remain genuinely open now that the GitHub item is resolved, and wrote the specific evidence commitments for the Week 4 checkpoint.</w:t>
            </w:r>
          </w:p>
        </w:tc>
      </w:tr>
    </w:tbl>
    <w:p>
      <w:pPr>
        <w:keepNext/>
        <w:spacing w:after="60" w:before="160"/>
      </w:pPr>
      <w:r>
        <w:rPr>
          <w:rFonts w:ascii="Calibri" w:cs="Calibri" w:eastAsia="Calibri" w:hAnsi="Calibri"/>
          <w:b/>
          <w:bCs/>
          <w:sz w:val="22"/>
          <w:szCs w:val="22"/>
        </w:rPr>
        <w:t xml:space="preserve">Entry 7 — Literature Verification and Synthesis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(2026-09-20), literature expansion for RU-03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Identify and independently verify credible sources for three themes missing from the Week 1-2 bibliography: competing/comparable systems, evaluation strategy under sparse data, and AI governance/ethics standards.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Search for real, current sources on animal-shelter management software, offline/sparse-data evaluation methods for ranking systems, and NIST AI risk-management guidance; verify exact authors, venues, and dates before use.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Five new annotated bibliography entries and the literature synthesis narrative, including an explicit gap statement.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2 and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selected which five sources to add and directed the specific gap this project fills relative to each theme.</w:t>
            </w:r>
          </w:p>
        </w:tc>
      </w:tr>
    </w:tbl>
    <w:p>
      <w:pPr>
        <w:keepNext/>
        <w:spacing w:after="60" w:before="160"/>
      </w:pPr>
      <w:r>
        <w:rPr>
          <w:rFonts w:ascii="Calibri" w:cs="Calibri" w:eastAsia="Calibri" w:hAnsi="Calibri"/>
          <w:b/>
          <w:bCs/>
          <w:sz w:val="22"/>
          <w:szCs w:val="22"/>
        </w:rPr>
        <w:t xml:space="preserve">Entry 8 — Requirements and Use Case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Derive functional and non-functional requirements from the literature and domain context, and formalize the project's existing informal product-walkthrough flows into a structured use-case model.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4 and 5, including the use-case diagram.</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4,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use case was checked against the real product-walkthrough document and, where applicable, the actual Lambda code path it describes (e.g., dedup-agent's active-status query).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which requirements were mandatory versus stretch and confirmed the use-case actors matched the real system's actual actors rather than a generic template.</w:t>
            </w:r>
          </w:p>
        </w:tc>
      </w:tr>
    </w:tbl>
    <w:p>
      <w:pPr>
        <w:keepNext/>
        <w:spacing w:after="60" w:before="160"/>
      </w:pPr>
      <w:r>
        <w:rPr>
          <w:rFonts w:ascii="Calibri" w:cs="Calibri" w:eastAsia="Calibri" w:hAnsi="Calibri"/>
          <w:b/>
          <w:bCs/>
          <w:sz w:val="22"/>
          <w:szCs w:val="22"/>
        </w:rPr>
        <w:t xml:space="preserve">Entry 9 — Domain Constraints and Data Source Inventory</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Profile the system's real DynamoDB tables for provenance, schema, and data-quality limitations, and enumerate domain constraints (latency, legal/privacy, data fields, hardware, interface, organizational policy).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6 and 7.</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6, 7.</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table, field, and access pattern listed was confirmed directly against lib/stacks/database-stack.ts, lib/schema.graphql, and each Lambda's source file, not assumed.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keepNext/>
        <w:spacing w:after="60" w:before="160"/>
      </w:pPr>
      <w:r>
        <w:rPr>
          <w:rFonts w:ascii="Calibri" w:cs="Calibri" w:eastAsia="Calibri" w:hAnsi="Calibri"/>
          <w:b/>
          <w:bCs/>
          <w:sz w:val="22"/>
          <w:szCs w:val="22"/>
        </w:rPr>
        <w:t xml:space="preserve">Entry 10 — Citation Re-Verification and Correction (Post-Feedback)</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(2026-09-22), post-submission correction following RU-03 instructor feedback</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Correct a bibliographic error the instructor identified in the Zhou et al. citation, and re-verify it properly this time.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2 and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keepNext/>
        <w:spacing w:after="60" w:before="160"/>
      </w:pPr>
      <w:r>
        <w:rPr>
          <w:rFonts w:ascii="Calibri" w:cs="Calibri" w:eastAsia="Calibri" w:hAnsi="Calibri"/>
          <w:b/>
          <w:bCs/>
          <w:sz w:val="22"/>
          <w:szCs w:val="22"/>
        </w:rPr>
        <w:t xml:space="preserve">Entry 11 — Architecture, Data Flow, and Computational Method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(2026-09-27),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Review Package, Sections 3, 4, and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3, 4,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confirmed the arbitrator scope boundary drawn in Figure 2 matches the charter's Section 9 (Out-of-Scope) boundary exactly, and directed which real Bedrock prompt fields to show as the API contract example.</w:t>
            </w:r>
          </w:p>
        </w:tc>
      </w:tr>
    </w:tbl>
    <w:p>
      <w:pPr>
        <w:keepNext/>
        <w:spacing w:after="60" w:before="160"/>
      </w:pPr>
      <w:r>
        <w:rPr>
          <w:rFonts w:ascii="Calibri" w:cs="Calibri" w:eastAsia="Calibri" w:hAnsi="Calibri"/>
          <w:b/>
          <w:bCs/>
          <w:sz w:val="22"/>
          <w:szCs w:val="22"/>
        </w:rPr>
        <w:t xml:space="preserve">Entry 12 — Test and Evaluation Plan, Traceability Matrix</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a concrete, evidence-producing test and evaluation plan, including a defined synthetic-case matrix with ground-truth answers, and trace every RU-03 requirement to a design component and test method.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Review Package, Sections 8 and 9.</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8, 9.</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synthetic case matrix was checked by the student for domain plausibility before being accepted as ground truth.</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set the specific perturbation design (±1 Saaty-scale step, one judgment at a time) for the sensitivity check and decided the highest-risk dependency call in Section 10.</w:t>
            </w:r>
          </w:p>
        </w:tc>
      </w:tr>
    </w:tbl>
    <w:p>
      <w:pPr>
        <w:keepNext/>
        <w:spacing w:after="60" w:before="160"/>
      </w:pPr>
      <w:r>
        <w:rPr>
          <w:rFonts w:ascii="Calibri" w:cs="Calibri" w:eastAsia="Calibri" w:hAnsi="Calibri"/>
          <w:b/>
          <w:bCs/>
          <w:sz w:val="22"/>
          <w:szCs w:val="22"/>
        </w:rPr>
        <w:t xml:space="preserve">Entry 13 — Environment, API Contracts, and Supervisor Review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Review Package, Sections 6, 7, and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6, 7,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version number and dependency in Section 6 was confirmed directly against package.json/tsconfig.json/cdk.json, not assumed from the Week 1 environment snapshot.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sent the supervisor-review email (Sep 26, 5:55 PM EDT) after the AI-drafted text was shortened and made more conversational at the student's direction; a follow-up on the later design change was sent at 7:14 PM EDT.</w:t>
            </w:r>
          </w:p>
        </w:tc>
      </w:tr>
    </w:tbl>
    <w:p>
      <w:pPr>
        <w:keepNext/>
        <w:spacing w:after="60" w:before="160"/>
      </w:pPr>
      <w:r>
        <w:rPr>
          <w:rFonts w:ascii="Calibri" w:cs="Calibri" w:eastAsia="Calibri" w:hAnsi="Calibri"/>
          <w:b/>
          <w:bCs/>
          <w:sz w:val="22"/>
          <w:szCs w:val="22"/>
        </w:rPr>
        <w:t xml:space="preserve">Entry 14 — Design Revision: Dynamic Archetype-Blended Weighting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(2026-09-26), design revision before Hard Stop 2 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Resolve the student's question of whether routing should use one settled weight set or case-specific weights, by checking what the code actually does and revising the design accordingly.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Revised Sections 2.2, 3, 4, 5, 7, 8, 9, 10, and 11 of the Design Review Package, including the archetype-blend method, the expanded test plan, and the frozen-v1 comparison design.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Most of the Design Review Package; also corrects the Hard Stop 1 framing of "constant hand-picked weights."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claim that weights are already per-case was verified against the source, not assumed; the species-check defect's real scope was re-checked against the hard-constraint filter and downgraded accordingly.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keepNext/>
        <w:spacing w:after="60" w:before="160"/>
      </w:pPr>
      <w:r>
        <w:rPr>
          <w:rFonts w:ascii="Calibri" w:cs="Calibri" w:eastAsia="Calibri" w:hAnsi="Calibri"/>
          <w:b/>
          <w:bCs/>
          <w:sz w:val="22"/>
          <w:szCs w:val="22"/>
        </w:rPr>
        <w:t xml:space="preserve">Entry 15 — Rubric Audit and Corrections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(2026-09-26), audit before Hard Stop 2 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Check the Design Review Package against the RU-04 rubric and the assignment task list, and close the gaps found.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2.3, 3 (interface table), 5.4, 6.1 to 6.3, 8 (failure modes), 9 (revised success criteria), 11 (three-part lists), Figures 2 and 3; corrections to the RU-03 brief and engineering log.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Most of the Design Review Package, the RU-03 repository copy, ENGINEERING_LOG.md.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requested the rubric check. Whether to tell the instructor about the RU-03 correction is the student's decision. Figures 2 and 3 were drawn by the AI as SVG from the verified design.</w:t>
            </w:r>
          </w:p>
        </w:tc>
      </w:tr>
    </w:tbl>
    <w:p>
      <w:pPr>
        <w:keepNext/>
        <w:spacing w:after="60" w:before="160"/>
      </w:pPr>
      <w:r>
        <w:rPr>
          <w:rFonts w:ascii="Calibri" w:cs="Calibri" w:eastAsia="Calibri" w:hAnsi="Calibri"/>
          <w:b/>
          <w:bCs/>
          <w:sz w:val="22"/>
          <w:szCs w:val="22"/>
        </w:rPr>
        <w:t xml:space="preserve">Entry 16 — Incorporating the Supervisor's Response</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(2026-09-28), revision after supervisor reply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Read the supervisor's actual reply to the two emailed requests and revise the design and Section 11 to act on it, rather than only disclosing that a reply was expected.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Revised Sections 5.3 and 11 of the Design Review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5.3,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keepNext/>
        <w:spacing w:after="60" w:before="160"/>
      </w:pPr>
      <w:r>
        <w:rPr>
          <w:rFonts w:ascii="Calibri" w:cs="Calibri" w:eastAsia="Calibri" w:hAnsi="Calibri"/>
          <w:b/>
          <w:bCs/>
          <w:sz w:val="22"/>
          <w:szCs w:val="22"/>
        </w:rPr>
        <w:t xml:space="preserve">Entry 17 — Fairness-by-Shelter-Characteristic Check</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(2026-09-29), addition before resubmission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Add the second half of the Week 2 fairness/sensitivity request, which the sensitivity check alone did not cover: whether scoring systematically favors a shelter characteristic regardless of case merit.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Re-read the exact Week 2 feedback wording to separate its two asks (judgment sensitivity vs. input-factor fairness); design a won-share-vs-eligible-share method by shelter characteristic (tier, vet availability, distance, freshness); add it to Section 8 with an honest statistical-power caveat given only 9 planned cases; add a traceability row and a Week 7 build-order update.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New Section 8 subsection, Section 9 row NFR7, Section 11 Week 7 build step, of the Design Review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8, 9,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Week 2 feedback text was re-read verbatim rather than paraphrased from memory to confirm it named two distinct checks, not one.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requested this addition given the extended deadline; the specific characteristics checked and the "reported as counts, not percentages" honesty framing were directed by the student.</w:t>
            </w:r>
          </w:p>
        </w:tc>
      </w:tr>
    </w:tbl>
    <w:p>
      <w:pPr>
        <w:keepNext/>
        <w:spacing w:after="60" w:before="160"/>
      </w:pPr>
      <w:r>
        <w:rPr>
          <w:rFonts w:ascii="Calibri" w:cs="Calibri" w:eastAsia="Calibri" w:hAnsi="Calibri"/>
          <w:b/>
          <w:bCs/>
          <w:sz w:val="22"/>
          <w:szCs w:val="22"/>
        </w:rPr>
        <w:t xml:space="preserve">Entry 18 — Implementation Sprint I: Code, Tests, and Engineering Documentation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5 (2026-10-03 to 2026-10-04), Implementation Sprint I check-in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Build the first runnable baseline of the Hard Stop 2 design: tested weight-derivation code, the species-match fix, test and smoke tooling, and the documentation and risk log the check-in requires.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From the approved design (Sections 5.3, 8, 11), generate lambda/shared/weights.ts, scoring.ts, ahp-weights.json (placeholder vectors), 36 Jest tests, a smoke script, a six-line arbitrator change, README/CHANGELOG/KNOWN_ISSUES/CONTRIBUTING/RISK_LOG/ARCHITECTURE_NOTES, and this sprint's reflection and submission package. AI-generated code and documents; no AI-generated measurements or results exist (none have been produced yet).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All of the above, committed on branch sprint-1/baseline and merged to main under tag v0.1.0-baseline.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repository (new files plus lambda/arbitrator/index.ts, package.json, README.md); docs/evidence/sprint-1/.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Verified by execution rather than reading: type-check clean before and after; 36 tests pass; a mutation check showed the regression tests fail against the original buggy logic; the documented steps were run on a fresh git clone in an empty directory (all exit codes 0); cdk synth succeeded on the author's machine. Two AI errors were caught and fixed during the sprint: an unpinned ts-node dependency, and a first evidence file with a blank exit code and a hand-typed line, which was regenerated from a capture script. Verified later (2026-10-04): the same steps pass under Node 20.20.2 (supplied temporarily via npx) on an anonymous clone of the public repo, with no engine warning; evidence in docs/evidence/sprint-1/node20-output.txt. Still not verified: synth on a machine without the author's AWS setup.</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design and scope (archetype blending, three profiles, as approved by the supervisor on 2026-09-27) and requested this sprint build. The student reviewed the generated code and reported on 2026-10-04 that it looks good, and made no changes to it.</w:t>
            </w:r>
          </w:p>
        </w:tc>
      </w:tr>
    </w:tbl>
    <w:p>
      <w:pPr>
        <w:keepNext/>
        <w:spacing w:after="60" w:before="160"/>
      </w:pPr>
      <w:r>
        <w:rPr>
          <w:rFonts w:ascii="Calibri" w:cs="Calibri" w:eastAsia="Calibri" w:hAnsi="Calibri"/>
          <w:b/>
          <w:bCs/>
          <w:sz w:val="22"/>
          <w:szCs w:val="22"/>
        </w:rPr>
        <w:t xml:space="preserve">Entry 19 — Implementation Sprint II: Evaluation Harness, Classifier Wiring, and Evidence</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6 (2026-10-10 to 2026-10-11), Hard Stop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Build and run the first validation of the Hard Stop 2 design: AHP calculator, evaluation harness over pre-registered fixtures, WEIGHTING_MODE wiring in needs-profile, live classifier and v1-baseline runs, and the evidence capture.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From the approved design (Sections 5.2, 5.3, 8) and the Sprint I reflection plan, generate lambda/shared/ahp.ts, match.ts, geo.ts, needs-classifier.ts, the needs-profile change, eval/ (fixtures, annotations, harness, sensitivity), the scripts, 72 new Jest tests, and the documentation updates. AI-generated code and documents. The student chose to run 42 live Bedrock calls (about $0.25) after being told the count and cost.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All of the above, on branch sprint-2/validation.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repository (lambda/, eval/, scripts/, test/, docs); docs/evidence/sprint-2/.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Verified by execution rather than reading: type-check clean; 108 tests pass under Node 25.9 and Node 20.20.2; the scoring extraction is pinned by an oracle test against a verbatim copy of the original code (216 comparisons) and the v1 prompt by golden files rendered from the pre-change handler; AHP references were computed in a separate Python implementation; the fixtures and annotations were committed before the harness and their hash re-checked in a fresh clone; three repeated runs per classifier give identical result hashes. Errors found and fixed during the sprint: an expected-winner computation that skipped the tie rule (SYN-08 test failed), a double comma from a scripted edit, a nested npx in the evidence script that produced empty hash lines. A metric (raw-score correctness) was added after seeing the first results because the tie rule had flattered v2; it is labelled as post hoc.</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scope (three archetypes, approved by the supervisor on 2026-09-27) and authorised the live calls. The student did not read every generated line of code.</w:t>
            </w:r>
          </w:p>
        </w:tc>
      </w:tr>
    </w:tbl>
    <w:p>
      <w:pPr>
        <w:keepNext/>
        <w:spacing w:after="60" w:before="160"/>
      </w:pPr>
      <w:r>
        <w:rPr>
          <w:rFonts w:ascii="Calibri" w:cs="Calibri" w:eastAsia="Calibri" w:hAnsi="Calibri"/>
          <w:b/>
          <w:bCs/>
          <w:sz w:val="22"/>
          <w:szCs w:val="22"/>
        </w:rPr>
        <w:t xml:space="preserve">Entry 20 — Evidence-Informed AHP Judgments (Proposed by AI, Adopted by the Student)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 with web search and page fetch</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6 (2026-10-11), Hard Stop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Replace the student's own 30-question elicitation with literature-informed judgments, at the student's request ("instead of me having to make the decisions ... derive the weights"), while keeping the student as the judge of record.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Research what is known about injured-animal triage, loose-animal response priorities, and shelter capacity; propose a Saaty-scale answer for each of the 30 pairs with a per-pair rationale and source; check consistency (CR) before any harness run. The student asked for forum evidence (r/IndianPets, X); those sites could not be read by any available tool and no forum content is used.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eval/ahp/evidence-informed-proposal.json (sources, 30 answers, 30 rationales) and the three judgment files saved by scripts/ahp-adopt.ts --adopt after the student's decision; v1 vectors in lambda/shared/ahp-weights.json.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AHP vectors, SC2, KI-02, R-01.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Five sources were read directly (DoveLewis triage guide and the 2010 ASV guidelines as PDFs; Hawaii County Animal Control, Million Cat Challenge, and the University of Illinois pages as web pages); claims taken from search snippets alone were discarded or flagged (for example the 2022 ASV edition and a University of Florida quotation were not relied on). The sources support direction (which factor matters more in which case) but none supports a magnitude on the 1-9 scale; the magnitudes are the AI's reading and the proposal says so. All three matrices passed CR &lt; 0.10 on the first attempt with no tuning, and the proposal was committed (92373a8) before the harness was run against it. The student was shown the full table and reasoning before deciding.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reviewed the table and reasoning and adopted all 30 judgments unchanged (93f895a). The judgments are therefore AI-proposed and student-adopted, not the student's unaided elicitation; this is disclosed in Hard Stop 3 and in KI-02.</w:t>
            </w:r>
          </w:p>
        </w:tc>
      </w:tr>
    </w:tbl>
    <w:p>
      <w:pPr>
        <w:keepNext/>
        <w:spacing w:after="60" w:before="160"/>
      </w:pPr>
      <w:r>
        <w:rPr>
          <w:rFonts w:ascii="Calibri" w:cs="Calibri" w:eastAsia="Calibri" w:hAnsi="Calibri"/>
          <w:b/>
          <w:bCs/>
          <w:sz w:val="22"/>
          <w:szCs w:val="22"/>
        </w:rPr>
        <w:t xml:space="preserve">Entry 21 — Hard Stop 3 Validation Package (This Document)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6 (2026-10-11), Hard Stop 3: Early Implementation Validation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submission from the repository's own files and evidence, and write the interpretation memo.</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this document, its two figures, and its tables from the committed results files (eval/results, eval/ahp, docs/evidence/sprint-2, git history). Every number in the tables is read programmatically from those files by the generator rather than typed. AI-generated text and figures.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This document, submitted to Canvas as the third hard-stop deliverable.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the AI log (Section 1, Appendix A); the engineering log entry for Week 6.</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were rendered and inspected; each headline figure was cross-checked against the fresh-clone evidence file (test count, result hashes, annotation hash). Two corrections to my own work are disclosed in Sections 6 and 7 (the raw-score metric added after seeing results; the capture script bug). The interpretation memo states what the evidence does not show. Reddit and X could not be read and are not cited.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scope, authorised the 42 live calls and the push to GitHub, and adopted the AHP judgments after reading the full table. Any edits the student makes to this document before submitting are not reflected in this entry.</w:t>
            </w:r>
          </w:p>
        </w:tc>
      </w:tr>
    </w:tbl>
    <w:p>
      <w:pPr>
        <w:keepNext/>
        <w:spacing w:after="60" w:before="160"/>
      </w:pPr>
      <w:r>
        <w:rPr>
          <w:rFonts w:ascii="Calibri" w:cs="Calibri" w:eastAsia="Calibri" w:hAnsi="Calibri"/>
          <w:b/>
          <w:bCs/>
          <w:sz w:val="22"/>
          <w:szCs w:val="22"/>
        </w:rPr>
        <w:t xml:space="preserve">Entry 22 — Midpoint: Non-Production Deployment, Measurement, and Demo Scripts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7 (2026-10-18 to 2026-10-21), Midpoint Demo and Adjustment Memo</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Produce the deployment-level evidence that Hard Stop 3 lacked: deploy the v2 code behind WEIGHTING_MODE, measure latency, errors, and rollback on the deployed pipeline, and make the live demo scripts work end to end.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Run a read-only cdk diff; snapshot the deployed functions; deploy the Lambda stack only; write scripts/measure-v2.py (13 cases: 6 under llm, 6 under blend, rollback, 1 verification case) and scripts/demo-e2e.sh / scripts/demo-v2-live.ts; run them against the student's AWS account. AI-generated scripts and operation of the AWS CLI.</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deployed state, docs/evidence/sprint-3/ (pre-deploy snapshot, scrubbed deploy summary, measure-v2.json), and the three scripts.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deployed RescueNetLambda stack (13 functions: new code plus one environment variable, default unchanged); the midpoint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diff was read before deploying (functions only; no IAM, table, or rule changes; the one API-key expiry change was left undeployed by deploying only the Lambda stack). A post-deploy end-to-end run under the unchanged llm default passed before any measurement. The measurement read the stored case records and the functions' own CloudWatch REPORT lines rather than relying on the script's printed output; 13 of 13 cases reached ASSIGNED and no error lines appeared in the nine pipeline functions' logs. Rollback was verified by running a case afterwards and checking the stored profile carried no v2 fields. Problems found along the way: the older scripts/demo.sh simulated a retired in-app Q&amp;A and could not complete (replaced); my first demo script could not parse the intake response; the first measurement run died on an AWS clock-skew error when the laptop slept (retries added, run repeated from the start; the five cases from the aborted run remain in the table as test data).</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 asked the student whether to deploy and which feature to name as the cut. The student declined the question prompt and instead told me, in chat, to go ahead without waiting and report afterwards, and said they did not mind which feature was cut. I therefore chose the options I had recommended (deploy, measure, roll back; cut the fairness check). The student has not reviewed the deployment steps or the scripts line by line.</w:t>
            </w:r>
          </w:p>
        </w:tc>
      </w:tr>
    </w:tbl>
    <w:p>
      <w:pPr>
        <w:keepNext/>
        <w:spacing w:after="60" w:before="160"/>
      </w:pPr>
      <w:r>
        <w:rPr>
          <w:rFonts w:ascii="Calibri" w:cs="Calibri" w:eastAsia="Calibri" w:hAnsi="Calibri"/>
          <w:b/>
          <w:bCs/>
          <w:sz w:val="22"/>
          <w:szCs w:val="22"/>
        </w:rPr>
        <w:t xml:space="preserve">Entry 23 — Midpoint Package (Memo and Slide-Supported Demo)</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7 (2026-10-21), Midpoint Demo and Adjustment Memo</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midpoint submission: adjustment memo, slide-supported demo with captured evidence, current-state architecture figure, and updated backlog.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the memo, the deck, and the figure from the repository's own evidence files (results JSON, measure-v2.json, the Hard Stop 3 feedback, the requirement and success-criteria tables from Hard Stop 2); every number is read from a file by the generator rather than typed. AI-generated text, tables, and figure.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memo and the deck, submitted to Canvas.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ENGINEERING_LOG.md Week 7; the backlog and issue log.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and slides were rendered and inspected; each figure was cross-checked against docs/evidence/sprint-3/measure-v2.json and the Hard Stop 3 evidence file. The memo states what the deployment evidence does not show (one dominant shelter in the demo roster, no isolated environment, no independent review).</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scope and delegated the choice of the feature to cut. Any edits the student makes before submitting are not reflected here. This package was prepared after the Oct 18 deadline had passed.</w:t>
            </w:r>
          </w:p>
        </w:tc>
      </w:tr>
    </w:tbl>
    <w:p>
      <w:pPr>
        <w:keepNext/>
        <w:spacing w:after="60" w:before="160"/>
      </w:pPr>
      <w:r>
        <w:rPr>
          <w:rFonts w:ascii="Calibri" w:cs="Calibri" w:eastAsia="Calibri" w:hAnsi="Calibri"/>
          <w:b/>
          <w:bCs/>
          <w:sz w:val="22"/>
          <w:szCs w:val="22"/>
        </w:rPr>
        <w:t xml:space="preserve">Entry 24 — Hard Stop 4: Pre-Registered Ablation, Second Case Set, and Live Calls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Answer the question the Hard Stop 3 feedback left open (does the scoring formula or the weighting method limit routing correctness?) with a controlled, pre-registered ablation.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Write eight new evaluation cases and their annotations; run 32 live Bedrock calls (8 frozen v1 profiles, 24 temperature-0 classifier calls); write the pre-registration (question, 4x4 design, hypotheses, decision rules, limits); implement the grid runner, its statistics (exact sign test, Wilson intervals) and 14 tests on synthetic inputs; run it; run a labelled post-hoc variant; capture clean-clone evidence. AI-generated cases, annotations, formula variants, code, and analysis.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eval/fixtures-set2/, eval/annotations-set2.json, docs/ABLATION_PREREGISTRATION.md, eval/ablation.ts, scripts/run-ablation.ts, eval/results/ablation*.json, docs/evidence/sprint-4/.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Hard Stop 4 package; KI-11 (now tested); the backlog items B-01 and B-02.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Order of events is recorded in git: set-2 cases and annotations were committed (fe064ca) before any ablation code, and the pre-registration with the runner (70c3835) before any result; the run itself used only committed files. The runner's production formula is pinned to the arbitrator's scoring by a test; tests used synthetic inputs only so no result was visible before the pre-registration. Clean-clone evidence under Node 20: 122 tests pass and three runs give identical result hashes for both the pre-registered and the post-hoc variants; both annotation files are byte-identical to the commits that added them. Problems found: the zero-slot bid in set-1 case SYN-04 is one the tier-1 agent never sends in production (found from the ablation output and confirmed in the code; reported, not edited); the clean-clone script initially printed empty hash lines because the runner mishandled absolute output paths (found by reading the output, fixed, re-run). Limits stated in the document: the formula variants and the set-2 cases were written by the same AI and aimed at the same trade-offs, so a good score for them is a lead, not independent validation.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read the eight set-2 annotations and replied "approve all" (recorded in docs/evidence/sprint-4/annotation-approval.txt); no change was requested. The student was not told the number or cost of the 32 live Bedrock calls (about $0.20) before they were made; the AI ran them under the student's general "go" and reported them afterwards. The student had not yet done the code review in docs/STUDENT_REVIEW_GUIDE.md when this entry was written.</w:t>
            </w:r>
          </w:p>
        </w:tc>
      </w:tr>
    </w:tbl>
    <w:p>
      <w:pPr>
        <w:keepNext/>
        <w:spacing w:after="60" w:before="160"/>
      </w:pPr>
      <w:r>
        <w:rPr>
          <w:rFonts w:ascii="Calibri" w:cs="Calibri" w:eastAsia="Calibri" w:hAnsi="Calibri"/>
          <w:b/>
          <w:bCs/>
          <w:sz w:val="22"/>
          <w:szCs w:val="22"/>
        </w:rPr>
        <w:t xml:space="preserve">Entry 25 — Hard Stop 4 Technical Evidence Review (This Document and the Walkthrough Script)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evidence review and the recorded-walkthrough script from the repository's own files.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the document, its figures and tables from the committed results (eval/results/ablation*.json, docs/evidence/sprint-4/, the measurement and midpoint files); write a 10-minute walkthrough script. Every number in the tables is read from a file by the generator. AI-generated text, tables, and figures.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submitted document and the script the student uses for the recording.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the engineering log (Week 8).</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were rendered and inspected; headline numbers were cross-checked against the clean-clone evidence file. The student-review section contains only what the student wrote; it is not filled in by the AI.</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To be recorded by the student. Any edits made after this entry was written are not reflected here.</w:t>
            </w:r>
          </w:p>
        </w:tc>
      </w:tr>
    </w:tbl>
    <w:p>
      <w:pPr>
        <w:pStyle w:val="Heading2"/>
        <w:keepNext/>
        <w:spacing w:after="80" w:before="200"/>
      </w:pPr>
      <w:r>
        <w:rPr>
          <w:rFonts w:ascii="Calibri" w:cs="Calibri" w:eastAsia="Calibri" w:hAnsi="Calibri"/>
          <w:b/>
          <w:bCs/>
          <w:color w:val="0F4C46"/>
          <w:sz w:val="24"/>
          <w:szCs w:val="24"/>
        </w:rPr>
        <w:t xml:space="preserve">Prior AI Use (ISEM 502 / GRAD 695)</w:t>
      </w:r>
    </w:p>
    <w:p>
      <w:pPr>
        <w:spacing w:after="110" w:before="70" w:line="262"/>
      </w:pPr>
      <w:r>
        <w:rPr>
          <w:rFonts w:ascii="Calibri" w:cs="Calibri" w:eastAsia="Calibri" w:hAnsi="Calibri"/>
          <w:sz w:val="21"/>
          <w:szCs w:val="21"/>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headerReference w:type="default" r:id="rId6"/>
      <w:footerReference w:type="default" r:id="rId7"/>
      <w:pgSz w:w="12240" w:h="15840" w:orient="portrait"/>
      <w:pgMar w:top="1000" w:right="1260" w:bottom="100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Page </w:t>
    </w:r>
    <w:r>
      <w:rPr>
        <w:rFonts w:ascii="Calibri" w:cs="Calibri" w:eastAsia="Calibri" w:hAnsi="Calibri"/>
        <w:color w:val="777777"/>
        <w:sz w:val="16"/>
        <w:szCs w:val="16"/>
      </w:rPr>
      <w:fldChar w:fldCharType="begin"/>
    </w:r>
    <w:r>
      <w:rPr>
        <w:rFonts w:ascii="Calibri" w:cs="Calibri" w:eastAsia="Calibri" w:hAnsi="Calibri"/>
        <w:color w:val="777777"/>
        <w:sz w:val="16"/>
        <w:szCs w:val="16"/>
      </w:rPr>
      <w:instrText xml:space="preserve">PAGE</w:instrText>
    </w:r>
    <w:r>
      <w:rPr>
        <w:rFonts w:ascii="Calibri" w:cs="Calibri" w:eastAsia="Calibri" w:hAnsi="Calibri"/>
        <w:color w:val="777777"/>
        <w:sz w:val="16"/>
        <w:szCs w:val="16"/>
      </w:rPr>
      <w:fldChar w:fldCharType="separate"/>
    </w:r>
    <w:r>
      <w:rPr>
        <w:rFonts w:ascii="Calibri" w:cs="Calibri" w:eastAsia="Calibri" w:hAnsi="Calibri"/>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77777"/>
        <w:sz w:val="16"/>
        <w:szCs w:val="16"/>
      </w:rPr>
      <w:t xml:space="preserve">CISC 699 | Hard Stop 4 | Manoj Venkatachalaiah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e74e941b50e2008224aa242611ef9c32ebd6bf.png"/><Relationship Id="rId10" Type="http://schemas.openxmlformats.org/officeDocument/2006/relationships/image" Target="media/0a9dfb16b91980fb5bda3be78d0212afa00b114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 699 Hard Stop 4: Midpoint Technical Evidence Review</dc:title>
  <dc:creator>Manoj Venkatachalaiah</dc:creator>
  <cp:lastModifiedBy>Un-named</cp:lastModifiedBy>
  <cp:revision>1</cp:revision>
  <dcterms:created xsi:type="dcterms:W3CDTF">2026-10-25T18:19:57.084Z</dcterms:created>
  <dcterms:modified xsi:type="dcterms:W3CDTF">2026-10-25T18:19:57.088Z</dcterms:modified>
</cp:coreProperties>
</file>

<file path=docProps/custom.xml><?xml version="1.0" encoding="utf-8"?>
<Properties xmlns="http://schemas.openxmlformats.org/officeDocument/2006/custom-properties" xmlns:vt="http://schemas.openxmlformats.org/officeDocument/2006/docPropsVTypes"/>
</file>