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64"/>
      </w:pPr>
      <w:r>
        <w:rPr>
          <w:rFonts w:ascii="Calibri" w:cs="Calibri" w:eastAsia="Calibri" w:hAnsi="Calibri"/>
          <w:sz w:val="22"/>
          <w:szCs w:val="22"/>
        </w:rPr>
        <w:t xml:space="preserve"/>
      </w:r>
    </w:p>
    <w:p>
      <w:pPr>
        <w:spacing w:after="0" w:before="0" w:line="264"/>
      </w:pPr>
      <w:r>
        <w:rPr>
          <w:rFonts w:ascii="Calibri" w:cs="Calibri" w:eastAsia="Calibri" w:hAnsi="Calibri"/>
          <w:sz w:val="22"/>
          <w:szCs w:val="22"/>
        </w:rPr>
        <w:t xml:space="preserve"/>
      </w:r>
    </w:p>
    <w:p>
      <w:pPr>
        <w:spacing w:after="0" w:before="0" w:line="264"/>
      </w:pPr>
      <w:r>
        <w:rPr>
          <w:rFonts w:ascii="Calibri" w:cs="Calibri" w:eastAsia="Calibri" w:hAnsi="Calibri"/>
          <w:sz w:val="22"/>
          <w:szCs w:val="22"/>
        </w:rPr>
        <w:t xml:space="preserve"/>
      </w:r>
    </w:p>
    <w:p>
      <w:pPr>
        <w:spacing w:after="200" w:before="0" w:line="264"/>
        <w:jc w:val="center"/>
      </w:pPr>
      <w:r>
        <w:rPr>
          <w:rFonts w:ascii="Calibri" w:cs="Calibri" w:eastAsia="Calibri" w:hAnsi="Calibri"/>
          <w:b/>
          <w:bCs/>
          <w:color w:val="0F4C46"/>
          <w:sz w:val="40"/>
          <w:szCs w:val="40"/>
        </w:rPr>
        <w:t xml:space="preserve">Literature and Requirements Brief</w:t>
      </w:r>
    </w:p>
    <w:p>
      <w:pPr>
        <w:spacing w:after="400" w:before="0" w:line="264"/>
        <w:jc w:val="center"/>
      </w:pPr>
      <w:r>
        <w:rPr>
          <w:rFonts w:ascii="Calibri" w:cs="Calibri" w:eastAsia="Calibri" w:hAnsi="Calibri"/>
          <w:i/>
          <w:iCs/>
          <w:color w:val="0A3A35"/>
          <w:sz w:val="28"/>
          <w:szCs w:val="28"/>
        </w:rPr>
        <w:t xml:space="preserve">Calibrated Multi-Factor Case Routing for RescueNet</w:t>
      </w:r>
    </w:p>
    <w:p>
      <w:pPr>
        <w:spacing w:after="220" w:before="0" w:line="264"/>
        <w:jc w:val="center"/>
      </w:pPr>
      <w:r>
        <w:rPr>
          <w:rFonts w:ascii="Calibri" w:cs="Calibri" w:eastAsia="Calibri" w:hAnsi="Calibri"/>
          <w:b/>
          <w:bCs/>
          <w:sz w:val="22"/>
          <w:szCs w:val="22"/>
        </w:rPr>
        <w:t xml:space="preserve">Instructor: </w:t>
      </w:r>
      <w:r>
        <w:rPr>
          <w:rFonts w:ascii="Calibri" w:cs="Calibri" w:eastAsia="Calibri" w:hAnsi="Calibri"/>
          <w:sz w:val="22"/>
          <w:szCs w:val="22"/>
        </w:rPr>
        <w:t xml:space="preserve">Majid Shaalan, Ph.D.</w:t>
      </w:r>
    </w:p>
    <w:p>
      <w:pPr>
        <w:spacing w:after="220" w:before="0" w:line="264"/>
        <w:jc w:val="center"/>
      </w:pPr>
      <w:r>
        <w:rPr>
          <w:rFonts w:ascii="Calibri" w:cs="Calibri" w:eastAsia="Calibri" w:hAnsi="Calibri"/>
          <w:b/>
          <w:bCs/>
          <w:sz w:val="22"/>
          <w:szCs w:val="22"/>
        </w:rPr>
        <w:t xml:space="preserve">Course: </w:t>
      </w:r>
      <w:r>
        <w:rPr>
          <w:rFonts w:ascii="Calibri" w:cs="Calibri" w:eastAsia="Calibri" w:hAnsi="Calibri"/>
          <w:sz w:val="22"/>
          <w:szCs w:val="22"/>
        </w:rPr>
        <w:t xml:space="preserve">CISC 699 Applied Project in Computer Information Sciences</w:t>
      </w:r>
    </w:p>
    <w:p>
      <w:pPr>
        <w:spacing w:after="220" w:before="0" w:line="264"/>
        <w:jc w:val="center"/>
      </w:pPr>
      <w:r>
        <w:rPr>
          <w:rFonts w:ascii="Calibri" w:cs="Calibri" w:eastAsia="Calibri" w:hAnsi="Calibri"/>
          <w:b/>
          <w:bCs/>
          <w:sz w:val="22"/>
          <w:szCs w:val="22"/>
        </w:rPr>
        <w:t xml:space="preserve">Student: </w:t>
      </w:r>
      <w:r>
        <w:rPr>
          <w:rFonts w:ascii="Calibri" w:cs="Calibri" w:eastAsia="Calibri" w:hAnsi="Calibri"/>
          <w:sz w:val="22"/>
          <w:szCs w:val="22"/>
        </w:rPr>
        <w:t xml:space="preserve">Manoj Venkatachalaiah</w:t>
      </w:r>
    </w:p>
    <w:p>
      <w:pPr>
        <w:spacing w:after="220" w:before="0" w:line="264"/>
        <w:jc w:val="center"/>
      </w:pPr>
      <w:r>
        <w:rPr>
          <w:rFonts w:ascii="Calibri" w:cs="Calibri" w:eastAsia="Calibri" w:hAnsi="Calibri"/>
          <w:b/>
          <w:bCs/>
          <w:sz w:val="22"/>
          <w:szCs w:val="22"/>
        </w:rPr>
        <w:t xml:space="preserve">Date: </w:t>
      </w:r>
      <w:r>
        <w:rPr>
          <w:rFonts w:ascii="Calibri" w:cs="Calibri" w:eastAsia="Calibri" w:hAnsi="Calibri"/>
          <w:sz w:val="22"/>
          <w:szCs w:val="22"/>
        </w:rPr>
        <w:t xml:space="preserve">September 20, 2026 (Week 3)</w:t>
      </w:r>
    </w:p>
    <w:p>
      <w:r>
        <w:br w:type="page"/>
      </w:r>
    </w:p>
    <w:p>
      <w:pPr>
        <w:keepNext/>
        <w:pBdr>
          <w:bottom w:val="single" w:color="0F4C46" w:sz="8" w:space="4"/>
        </w:pBdr>
        <w:spacing w:after="140" w:before="320" w:line="264"/>
      </w:pPr>
      <w:r>
        <w:rPr>
          <w:rFonts w:ascii="Calibri" w:cs="Calibri" w:eastAsia="Calibri" w:hAnsi="Calibri"/>
          <w:b/>
          <w:bCs/>
          <w:color w:val="0F4C46"/>
          <w:sz w:val="30"/>
          <w:szCs w:val="30"/>
        </w:rPr>
        <w:t xml:space="preserve">1. AI Usage Log and Academic Integrity</w:t>
      </w:r>
    </w:p>
    <w:p>
      <w:pPr>
        <w:spacing w:after="120" w:before="0" w:line="264"/>
        <w:jc w:val="both"/>
      </w:pPr>
      <w:r>
        <w:rPr>
          <w:rFonts w:ascii="Calibri" w:cs="Calibri" w:eastAsia="Calibri" w:hAnsi="Calibri"/>
          <w:sz w:val="22"/>
          <w:szCs w:val="22"/>
        </w:rPr>
        <w:t xml:space="preserve">This section leads the document, continuing the format the Hard Stop 1 proposal used, though this assignment does not itself mandate the ordering. Generative AI assistance (Claude, Anthropic) was used throughout the preparation of this brief, in the same structured, per-instance format used in Weeks 1-2 (tool, date/phase, purpose, prompt/task summary, output used, affected section/artifact, human verification, final student revisions). The complete, cumulative AI-use log, including this week's entries, is maintained in docs/AI_USE_LOG.md at the project root.</w:t>
      </w:r>
    </w:p>
    <w:p>
      <w:pPr>
        <w:keepNext/>
        <w:spacing w:after="60" w:before="120" w:line="264"/>
      </w:pPr>
      <w:r>
        <w:rPr>
          <w:rFonts w:ascii="Calibri" w:cs="Calibri" w:eastAsia="Calibri" w:hAnsi="Calibri"/>
          <w:b/>
          <w:bCs/>
          <w:i/>
          <w:iCs/>
          <w:sz w:val="22"/>
          <w:szCs w:val="22"/>
        </w:rPr>
        <w:t xml:space="preserve">Entry 7 — Literature Verification and Synthesis</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6960"/>
      </w:tblGrid>
      <w:tr>
        <w:trPr>
          <w:cantSplit/>
          <w:tblHeader/>
        </w:trPr>
        <w:tc>
          <w:tcPr>
            <w:tcW w:type="dxa" w:w="2400"/>
            <w:shd w:fill="E8F3EF" w:val="clear"/>
            <w:tcMar>
              <w:top w:type="dxa" w:w="80"/>
              <w:left w:type="dxa" w:w="100"/>
              <w:bottom w:type="dxa" w:w="80"/>
              <w:right w:type="dxa" w:w="100"/>
            </w:tcMar>
            <w:vAlign w:val="top"/>
          </w:tcPr>
          <w:p>
            <w:pPr>
              <w:spacing w:after="0" w:before="0" w:line="250"/>
            </w:pPr>
            <w:r>
              <w:rPr>
                <w:rFonts w:ascii="Calibri" w:cs="Calibri" w:eastAsia="Calibri" w:hAnsi="Calibri"/>
                <w:b/>
                <w:bCs/>
                <w:i w:val="false"/>
                <w:iCs w:val="false"/>
                <w:sz w:val="20"/>
                <w:szCs w:val="20"/>
              </w:rPr>
              <w:t xml:space="preserve">Field</w:t>
            </w:r>
          </w:p>
        </w:tc>
        <w:tc>
          <w:tcPr>
            <w:tcW w:type="dxa" w:w="6960"/>
            <w:shd w:fill="E8F3EF" w:val="clear"/>
            <w:tcMar>
              <w:top w:type="dxa" w:w="80"/>
              <w:left w:type="dxa" w:w="100"/>
              <w:bottom w:type="dxa" w:w="80"/>
              <w:right w:type="dxa" w:w="100"/>
            </w:tcMar>
            <w:vAlign w:val="top"/>
          </w:tcPr>
          <w:p>
            <w:pPr>
              <w:spacing w:after="0" w:before="0" w:line="250"/>
            </w:pPr>
            <w:r>
              <w:rPr>
                <w:rFonts w:ascii="Calibri" w:cs="Calibri" w:eastAsia="Calibri" w:hAnsi="Calibri"/>
                <w:b/>
                <w:bCs/>
                <w:i w:val="false"/>
                <w:iCs w:val="false"/>
                <w:sz w:val="20"/>
                <w:szCs w:val="20"/>
              </w:rPr>
              <w:t xml:space="preserve">Detail</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Tool</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Claude (Anthropic, Claude Sonnet 5)</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Date / Phase</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Week 3 (2026-09-20), literature expansion for RU-03</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Purpose</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Identify and independently verify credible sources for three themes missing from the Week 1-2 bibliography: competing/comparable systems, evaluation strategy under sparse data, and AI governance/ethics standards.</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Prompt / Task Summary</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Search for real, current sources on animal-shelter management software, offline/sparse-data evaluation methods for ranking systems, and NIST AI risk-management guidance; verify exact authors, venues, and dates before use.</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Output Used</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Five new annotated bibliography entries (Section 3) and the literature synthesis narrative (Section 2), including an explicit gap statement.</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Affected Section / Artifact</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Sections 2 and 3.</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Human Verification</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Every new source's real existence, exact title, authorship, and publication/announcement date was independently confirmed via search before inclusion; the NIST critical-infrastructure document was confirmed to be a concept note in development, not a finished profile, and is cited accordingly rather than overstated.</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Final Student Revisions</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Student selected which five sources to add and directed the specific gap this project fills relative to each theme.</w:t>
            </w:r>
          </w:p>
        </w:tc>
      </w:tr>
    </w:tbl>
    <w:p>
      <w:pPr>
        <w:spacing w:after="0" w:before="0" w:line="264"/>
      </w:pPr>
      <w:r>
        <w:rPr>
          <w:rFonts w:ascii="Calibri" w:cs="Calibri" w:eastAsia="Calibri" w:hAnsi="Calibri"/>
          <w:sz w:val="22"/>
          <w:szCs w:val="22"/>
        </w:rPr>
        <w:t xml:space="preserve"/>
      </w:r>
    </w:p>
    <w:p>
      <w:pPr>
        <w:keepNext/>
        <w:spacing w:after="60" w:before="120" w:line="264"/>
      </w:pPr>
      <w:r>
        <w:rPr>
          <w:rFonts w:ascii="Calibri" w:cs="Calibri" w:eastAsia="Calibri" w:hAnsi="Calibri"/>
          <w:b/>
          <w:bCs/>
          <w:i/>
          <w:iCs/>
          <w:sz w:val="22"/>
          <w:szCs w:val="22"/>
        </w:rPr>
        <w:t xml:space="preserve">Entry 8 — Requirements and Use Case Drafting</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6960"/>
      </w:tblGrid>
      <w:tr>
        <w:trPr>
          <w:cantSplit/>
          <w:tblHeader/>
        </w:trPr>
        <w:tc>
          <w:tcPr>
            <w:tcW w:type="dxa" w:w="2400"/>
            <w:shd w:fill="E8F3EF" w:val="clear"/>
            <w:tcMar>
              <w:top w:type="dxa" w:w="80"/>
              <w:left w:type="dxa" w:w="100"/>
              <w:bottom w:type="dxa" w:w="80"/>
              <w:right w:type="dxa" w:w="100"/>
            </w:tcMar>
            <w:vAlign w:val="top"/>
          </w:tcPr>
          <w:p>
            <w:pPr>
              <w:spacing w:after="0" w:before="0" w:line="250"/>
            </w:pPr>
            <w:r>
              <w:rPr>
                <w:rFonts w:ascii="Calibri" w:cs="Calibri" w:eastAsia="Calibri" w:hAnsi="Calibri"/>
                <w:b/>
                <w:bCs/>
                <w:i w:val="false"/>
                <w:iCs w:val="false"/>
                <w:sz w:val="20"/>
                <w:szCs w:val="20"/>
              </w:rPr>
              <w:t xml:space="preserve">Field</w:t>
            </w:r>
          </w:p>
        </w:tc>
        <w:tc>
          <w:tcPr>
            <w:tcW w:type="dxa" w:w="6960"/>
            <w:shd w:fill="E8F3EF" w:val="clear"/>
            <w:tcMar>
              <w:top w:type="dxa" w:w="80"/>
              <w:left w:type="dxa" w:w="100"/>
              <w:bottom w:type="dxa" w:w="80"/>
              <w:right w:type="dxa" w:w="100"/>
            </w:tcMar>
            <w:vAlign w:val="top"/>
          </w:tcPr>
          <w:p>
            <w:pPr>
              <w:spacing w:after="0" w:before="0" w:line="250"/>
            </w:pPr>
            <w:r>
              <w:rPr>
                <w:rFonts w:ascii="Calibri" w:cs="Calibri" w:eastAsia="Calibri" w:hAnsi="Calibri"/>
                <w:b/>
                <w:bCs/>
                <w:i w:val="false"/>
                <w:iCs w:val="false"/>
                <w:sz w:val="20"/>
                <w:szCs w:val="20"/>
              </w:rPr>
              <w:t xml:space="preserve">Detail</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Tool</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Claude (Anthropic, Claude Sonnet 5)</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Date / Phase</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Week 3, full drafting</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Purpose</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Derive functional and non-functional requirements from the literature and domain context, and formalize the project's existing informal product-walkthrough flows into a structured use-case model.</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Prompt / Task Summary</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Draft a requirements table tracing each requirement to either a literature source or a stakeholder need; convert the three flows already documented in docs/rescuenet-usecases.pdf into formal use cases (actor, trigger, preconditions, main flow, postcondition); produce one visual use-case diagram.</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Output Used</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Sections 4 and 5, including the use-case diagram (figs/usecase.png).</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Affected Section / Artifact</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Sections 4, 5.</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Human Verification</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Every use case was checked against the real product-walkthrough document and, where applicable, the actual Lambda code path it describes (e.g., dedup-agent's active-status query).</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Final Student Revisions</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Student decided which requirements were mandatory versus stretch (per the assignment's own supervisor-prompt self-check) and confirmed the use-case actors matched the real system's actual actors rather than a generic template.</w:t>
            </w:r>
          </w:p>
        </w:tc>
      </w:tr>
    </w:tbl>
    <w:p>
      <w:pPr>
        <w:spacing w:after="0" w:before="0" w:line="264"/>
      </w:pPr>
      <w:r>
        <w:rPr>
          <w:rFonts w:ascii="Calibri" w:cs="Calibri" w:eastAsia="Calibri" w:hAnsi="Calibri"/>
          <w:sz w:val="22"/>
          <w:szCs w:val="22"/>
        </w:rPr>
        <w:t xml:space="preserve"/>
      </w:r>
    </w:p>
    <w:p>
      <w:pPr>
        <w:keepNext/>
        <w:spacing w:after="60" w:before="120" w:line="264"/>
      </w:pPr>
      <w:r>
        <w:rPr>
          <w:rFonts w:ascii="Calibri" w:cs="Calibri" w:eastAsia="Calibri" w:hAnsi="Calibri"/>
          <w:b/>
          <w:bCs/>
          <w:i/>
          <w:iCs/>
          <w:sz w:val="22"/>
          <w:szCs w:val="22"/>
        </w:rPr>
        <w:t xml:space="preserve">Entry 9 — Domain Constraints and Data Source Inventory</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6960"/>
      </w:tblGrid>
      <w:tr>
        <w:trPr>
          <w:cantSplit/>
          <w:tblHeader/>
        </w:trPr>
        <w:tc>
          <w:tcPr>
            <w:tcW w:type="dxa" w:w="2400"/>
            <w:shd w:fill="E8F3EF" w:val="clear"/>
            <w:tcMar>
              <w:top w:type="dxa" w:w="80"/>
              <w:left w:type="dxa" w:w="100"/>
              <w:bottom w:type="dxa" w:w="80"/>
              <w:right w:type="dxa" w:w="100"/>
            </w:tcMar>
            <w:vAlign w:val="top"/>
          </w:tcPr>
          <w:p>
            <w:pPr>
              <w:spacing w:after="0" w:before="0" w:line="250"/>
            </w:pPr>
            <w:r>
              <w:rPr>
                <w:rFonts w:ascii="Calibri" w:cs="Calibri" w:eastAsia="Calibri" w:hAnsi="Calibri"/>
                <w:b/>
                <w:bCs/>
                <w:i w:val="false"/>
                <w:iCs w:val="false"/>
                <w:sz w:val="20"/>
                <w:szCs w:val="20"/>
              </w:rPr>
              <w:t xml:space="preserve">Field</w:t>
            </w:r>
          </w:p>
        </w:tc>
        <w:tc>
          <w:tcPr>
            <w:tcW w:type="dxa" w:w="6960"/>
            <w:shd w:fill="E8F3EF" w:val="clear"/>
            <w:tcMar>
              <w:top w:type="dxa" w:w="80"/>
              <w:left w:type="dxa" w:w="100"/>
              <w:bottom w:type="dxa" w:w="80"/>
              <w:right w:type="dxa" w:w="100"/>
            </w:tcMar>
            <w:vAlign w:val="top"/>
          </w:tcPr>
          <w:p>
            <w:pPr>
              <w:spacing w:after="0" w:before="0" w:line="250"/>
            </w:pPr>
            <w:r>
              <w:rPr>
                <w:rFonts w:ascii="Calibri" w:cs="Calibri" w:eastAsia="Calibri" w:hAnsi="Calibri"/>
                <w:b/>
                <w:bCs/>
                <w:i w:val="false"/>
                <w:iCs w:val="false"/>
                <w:sz w:val="20"/>
                <w:szCs w:val="20"/>
              </w:rPr>
              <w:t xml:space="preserve">Detail</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Tool</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Claude (Anthropic, Claude Sonnet 5)</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Date / Phase</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Week 3, full drafting</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Purpose</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Profile the system's real DynamoDB tables for provenance, schema, and data-quality limitations, and enumerate domain constraints (latency, legal/privacy, data fields, hardware, interface, organizational policy).</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Prompt / Task Summary</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Read the actual CDK database stack, GraphQL schema, and every Lambda's DynamoDB access pattern to build an accurate data-source inventory rather than a generic description; ground domain constraints in the real deployed system and prior weeks' findings.</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Output Used</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Sections 6 and 7.</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Affected Section / Artifact</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Sections 6, 7.</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Human Verification</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Every table, field, and access pattern listed in Section 7 was confirmed directly against lib/stacks/database-stack.ts, lib/schema.graphql, and each Lambda's source file, not assumed.</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Final Student Revisions</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Student directed the reframing of the IRB statement as an assumption subject to university policy (per Week 2 supervisor feedback) rather than a settled conclusion, and confirmed which data-quality findings (e.g., the unused caseId-index GSI) were worth disclosing as known limitations.</w:t>
            </w:r>
          </w:p>
        </w:tc>
      </w:tr>
    </w:tbl>
    <w:p>
      <w:pPr>
        <w:spacing w:after="0" w:before="0" w:line="264"/>
      </w:pPr>
      <w:r>
        <w:rPr>
          <w:rFonts w:ascii="Calibri" w:cs="Calibri" w:eastAsia="Calibri" w:hAnsi="Calibri"/>
          <w:sz w:val="22"/>
          <w:szCs w:val="22"/>
        </w:rPr>
        <w:t xml:space="preserve"/>
      </w:r>
    </w:p>
    <w:p>
      <w:pPr>
        <w:keepNext/>
        <w:spacing w:after="100" w:before="200" w:line="264"/>
      </w:pPr>
      <w:r>
        <w:rPr>
          <w:rFonts w:ascii="Calibri" w:cs="Calibri" w:eastAsia="Calibri" w:hAnsi="Calibri"/>
          <w:b/>
          <w:bCs/>
          <w:color w:val="0A3A35"/>
          <w:sz w:val="24"/>
          <w:szCs w:val="24"/>
        </w:rPr>
        <w:t xml:space="preserve">Academic Integrity Statement</w:t>
      </w:r>
    </w:p>
    <w:p>
      <w:pPr>
        <w:spacing w:after="120" w:before="0" w:line="264"/>
        <w:jc w:val="both"/>
      </w:pPr>
      <w:r>
        <w:rPr>
          <w:rFonts w:ascii="Calibri" w:cs="Calibri" w:eastAsia="Calibri" w:hAnsi="Calibri"/>
          <w:sz w:val="22"/>
          <w:szCs w:val="22"/>
        </w:rPr>
        <w:t xml:space="preserve">All source-selection judgments, requirement priorities, and disclosed limitations in this brief are the student's own. AI assistance was used for research support, drafting, and synthesis as disclosed above; every literature claim was independently verified before inclusion, and every data-source claim was checked against the actual codebase rather than described generically.</w:t>
      </w:r>
    </w:p>
    <w:p>
      <w:pPr>
        <w:keepNext/>
        <w:spacing w:after="100" w:before="200" w:line="264"/>
      </w:pPr>
      <w:r>
        <w:rPr>
          <w:rFonts w:ascii="Calibri" w:cs="Calibri" w:eastAsia="Calibri" w:hAnsi="Calibri"/>
          <w:b/>
          <w:bCs/>
          <w:color w:val="0A3A35"/>
          <w:sz w:val="24"/>
          <w:szCs w:val="24"/>
        </w:rPr>
        <w:t xml:space="preserve">Student-Directed Judgments</w:t>
      </w:r>
    </w:p>
    <w:p>
      <w:pPr>
        <w:spacing w:after="120" w:before="0" w:line="264"/>
        <w:jc w:val="both"/>
      </w:pPr>
      <w:r>
        <w:rPr>
          <w:rFonts w:ascii="Calibri" w:cs="Calibri" w:eastAsia="Calibri" w:hAnsi="Calibri"/>
          <w:sz w:val="22"/>
          <w:szCs w:val="22"/>
        </w:rPr>
        <w:t xml:space="preserve">The choice of which three literature themes needed expansion (Section 2), which use cases to formalize and how to draw the actor boundaries in Section 5's diagram, and which domain constraints and data-quality findings were significant enough to disclose in Sections 6 and 7 reflect the student's own judgment about what this project needs, not an unreviewed AI output.</w:t>
      </w:r>
    </w:p>
    <w:p>
      <w:r>
        <w:br w:type="page"/>
      </w:r>
    </w:p>
    <w:p>
      <w:pPr>
        <w:keepNext/>
        <w:pBdr>
          <w:bottom w:val="single" w:color="0F4C46" w:sz="8" w:space="4"/>
        </w:pBdr>
        <w:spacing w:after="140" w:before="320" w:line="264"/>
      </w:pPr>
      <w:r>
        <w:rPr>
          <w:rFonts w:ascii="Calibri" w:cs="Calibri" w:eastAsia="Calibri" w:hAnsi="Calibri"/>
          <w:b/>
          <w:bCs/>
          <w:color w:val="0F4C46"/>
          <w:sz w:val="30"/>
          <w:szCs w:val="30"/>
        </w:rPr>
        <w:t xml:space="preserve">2. Literature Synthesis</w:t>
      </w:r>
    </w:p>
    <w:p>
      <w:pPr>
        <w:spacing w:after="120" w:before="0" w:line="264"/>
        <w:jc w:val="both"/>
      </w:pPr>
      <w:r>
        <w:rPr>
          <w:rFonts w:ascii="Calibri" w:cs="Calibri" w:eastAsia="Calibri" w:hAnsi="Calibri"/>
          <w:sz w:val="22"/>
          <w:szCs w:val="22"/>
        </w:rPr>
        <w:t xml:space="preserve">The bibliography (Section 3) groups fourteen sources into five themes. This section synthesizes what they collectively say, where they agree or diverge, and where this project sits relative to each.</w:t>
      </w:r>
    </w:p>
    <w:p>
      <w:pPr>
        <w:keepNext/>
        <w:spacing w:after="100" w:before="200" w:line="264"/>
      </w:pPr>
      <w:r>
        <w:rPr>
          <w:rFonts w:ascii="Calibri" w:cs="Calibri" w:eastAsia="Calibri" w:hAnsi="Calibri"/>
          <w:b/>
          <w:bCs/>
          <w:color w:val="0A3A35"/>
          <w:sz w:val="24"/>
          <w:szCs w:val="24"/>
        </w:rPr>
        <w:t xml:space="preserve">Prior Methods for Multi-Agent Task Allocation</w:t>
      </w:r>
    </w:p>
    <w:p>
      <w:pPr>
        <w:spacing w:after="120" w:before="0" w:line="264"/>
        <w:jc w:val="both"/>
      </w:pPr>
      <w:r>
        <w:rPr>
          <w:rFonts w:ascii="Calibri" w:cs="Calibri" w:eastAsia="Calibri" w:hAnsi="Calibri"/>
          <w:sz w:val="22"/>
          <w:szCs w:val="22"/>
        </w:rPr>
        <w:t xml:space="preserve">The literature here is consistent: bid/announce/award mechanisms (Smith, 1980) are a well-established, sound architecture for allocating tasks among distributed agents, and market-based variants of this pattern have been validated at real scale in at least one closely analogous domain — ambulance dispatch, evaluated against more than a million real incidents (Schneider et al., 2020). Dias et al. (2006) situates this within a broader family of auction- and market-based coordination methods. Two very recent sources extend this further: Zhou et al. (2026) validates combining auction-based allocation with AHP-derived task-fitness weighting, essentially the same pairing this project uses; and Hady et al. (2025) surveys multi-agent reinforcement learning for resource allocation, representing the learned-policy direction this field is moving toward. The consistent theme is that market-based allocation is mature and trusted; what varies is how the scoring inside it gets calibrated.</w:t>
      </w:r>
    </w:p>
    <w:p>
      <w:pPr>
        <w:keepNext/>
        <w:spacing w:after="100" w:before="200" w:line="264"/>
      </w:pPr>
      <w:r>
        <w:rPr>
          <w:rFonts w:ascii="Calibri" w:cs="Calibri" w:eastAsia="Calibri" w:hAnsi="Calibri"/>
          <w:b/>
          <w:bCs/>
          <w:color w:val="0A3A35"/>
          <w:sz w:val="24"/>
          <w:szCs w:val="24"/>
        </w:rPr>
        <w:t xml:space="preserve">Multi-Criteria Decision Methods</w:t>
      </w:r>
    </w:p>
    <w:p>
      <w:pPr>
        <w:spacing w:after="120" w:before="0" w:line="264"/>
        <w:jc w:val="both"/>
      </w:pPr>
      <w:r>
        <w:rPr>
          <w:rFonts w:ascii="Calibri" w:cs="Calibri" w:eastAsia="Calibri" w:hAnsi="Calibri"/>
          <w:sz w:val="22"/>
          <w:szCs w:val="22"/>
        </w:rPr>
        <w:t xml:space="preserve">The Analytic Hierarchy Process (Saaty, 1980) is the field's standard low-cost method for converting expert judgment into defensible weights with a built-in consistency check, making it appropriate when — as here — real outcome data is too sparse to calibrate weights empirically. Liu (2009) describes the alternative, data-driven path (learning-to-rank), which this project explicitly treats as a later stretch goal rather than a starting point, precisely because the data volume it requires does not yet exist. A different paradigm entirely — two-sided stable matching (Uber Stable, 2024) — is included as a ceiling comparison: it would require shelters to express structured preferences over cases, not just bid scores, which this project's current bid/announce/award architecture does not support.</w:t>
      </w:r>
    </w:p>
    <w:p>
      <w:pPr>
        <w:keepNext/>
        <w:spacing w:after="100" w:before="200" w:line="264"/>
      </w:pPr>
      <w:r>
        <w:rPr>
          <w:rFonts w:ascii="Calibri" w:cs="Calibri" w:eastAsia="Calibri" w:hAnsi="Calibri"/>
          <w:b/>
          <w:bCs/>
          <w:color w:val="0A3A35"/>
          <w:sz w:val="24"/>
          <w:szCs w:val="24"/>
        </w:rPr>
        <w:t xml:space="preserve">Competing and Comparable Systems</w:t>
      </w:r>
    </w:p>
    <w:p>
      <w:pPr>
        <w:spacing w:after="120" w:before="0" w:line="264"/>
        <w:jc w:val="both"/>
      </w:pPr>
      <w:r>
        <w:rPr>
          <w:rFonts w:ascii="Calibri" w:cs="Calibri" w:eastAsia="Calibri" w:hAnsi="Calibri"/>
          <w:sz w:val="22"/>
          <w:szCs w:val="22"/>
        </w:rPr>
        <w:t xml:space="preserve">Existing shelter-management platforms — Shelterluv, used by more than 2,500 shelters and rescues (Shelterluv, 2026), and RescueGroups.org, a nonprofit platform serving over 6,000 partner organizations that feeds adoptable-animal listings to sites like Petfinder (RescueGroups.org, 2026) — are workflow and record-management tools: intake records, medical history, adoption checkout, donation processing. Based on their public feature documentation, neither advertises or documents an automated, evaluable case-routing or match-scoring capability; this is evidence toward, not proof of, this project's niche — the platforms' internal logic was not audited, and either could implement undocumented internal matching. What their published documentation does support is that shelter software's marketed value proposition is data/workflow management, not decision optimization.</w:t>
      </w:r>
    </w:p>
    <w:p>
      <w:pPr>
        <w:keepNext/>
        <w:spacing w:after="100" w:before="200" w:line="264"/>
      </w:pPr>
      <w:r>
        <w:rPr>
          <w:rFonts w:ascii="Calibri" w:cs="Calibri" w:eastAsia="Calibri" w:hAnsi="Calibri"/>
          <w:b/>
          <w:bCs/>
          <w:color w:val="0A3A35"/>
          <w:sz w:val="24"/>
          <w:szCs w:val="24"/>
        </w:rPr>
        <w:t xml:space="preserve">Evaluation Strategies Under Sparse Data</w:t>
      </w:r>
    </w:p>
    <w:p>
      <w:pPr>
        <w:spacing w:after="120" w:before="0" w:line="264"/>
        <w:jc w:val="both"/>
      </w:pPr>
      <w:r>
        <w:rPr>
          <w:rFonts w:ascii="Calibri" w:cs="Calibri" w:eastAsia="Calibri" w:hAnsi="Calibri"/>
          <w:sz w:val="22"/>
          <w:szCs w:val="22"/>
        </w:rPr>
        <w:t xml:space="preserve">Castells and Moffat (2022) directly addresses this project's central evaluation challenge: offline evaluation of a ranking/scoring system using historical interaction logs is the standard approach, but its validity depends heavily on how sparse, incomplete, or biased that log data is, and there is no single offline design that is uniformly reliable. This validates, rather than undermines, this project's evaluation plan (Section 3.9 of the Week 1 charter, formalized as SC3): comparing old and new scoring on a real case supplemented by constructed synthetic cases is a defensible response to exactly the sparsity problem this literature describes, not a shortcut around it.</w:t>
      </w:r>
    </w:p>
    <w:p>
      <w:pPr>
        <w:keepNext/>
        <w:spacing w:after="100" w:before="200" w:line="264"/>
      </w:pPr>
      <w:r>
        <w:rPr>
          <w:rFonts w:ascii="Calibri" w:cs="Calibri" w:eastAsia="Calibri" w:hAnsi="Calibri"/>
          <w:b/>
          <w:bCs/>
          <w:color w:val="0A3A35"/>
          <w:sz w:val="24"/>
          <w:szCs w:val="24"/>
        </w:rPr>
        <w:t xml:space="preserve">AI Governance and Data Ethics</w:t>
      </w:r>
    </w:p>
    <w:p>
      <w:pPr>
        <w:spacing w:after="120" w:before="0" w:line="264"/>
        <w:jc w:val="both"/>
      </w:pPr>
      <w:r>
        <w:rPr>
          <w:rFonts w:ascii="Calibri" w:cs="Calibri" w:eastAsia="Calibri" w:hAnsi="Calibri"/>
          <w:sz w:val="22"/>
          <w:szCs w:val="22"/>
        </w:rPr>
        <w:t xml:space="preserve">NIST's Generative AI Profile (NIST AI 600-1; National Institute of Standards and Technology, 2024) calls for risk identification and evaluation throughout an AI system's lifecycle — directly relevant given RescueNet's use of Bedrock-based reasoning in its needs-profile and tier-1 bidding agents. NIST's newer critical-infrastructure work (National Institute of Standards and Technology, 2026) is, as of this writing, only a concept note soliciting community input, not a finished profile — cited here as a real, forward-looking signal of where AI-governance expectations are heading, not as a binding requirement this project must already satisfy.</w:t>
      </w:r>
    </w:p>
    <w:p>
      <w:pPr>
        <w:keepNext/>
        <w:spacing w:after="100" w:before="200" w:line="264"/>
      </w:pPr>
      <w:r>
        <w:rPr>
          <w:rFonts w:ascii="Calibri" w:cs="Calibri" w:eastAsia="Calibri" w:hAnsi="Calibri"/>
          <w:b/>
          <w:bCs/>
          <w:color w:val="0A3A35"/>
          <w:sz w:val="24"/>
          <w:szCs w:val="24"/>
        </w:rPr>
        <w:t xml:space="preserve">Where This Project Sits</w:t>
      </w:r>
    </w:p>
    <w:p>
      <w:pPr>
        <w:spacing w:after="120" w:before="0" w:line="264"/>
        <w:jc w:val="both"/>
      </w:pPr>
      <w:r>
        <w:rPr>
          <w:rFonts w:ascii="Calibri" w:cs="Calibri" w:eastAsia="Calibri" w:hAnsi="Calibri"/>
          <w:sz w:val="22"/>
          <w:szCs w:val="22"/>
        </w:rPr>
        <w:t xml:space="preserve">Competing systems (Theme 3), based on their published documentation, do not market or describe a routing-decision capability, though their undocumented internals were not audited and this evidence is suggestive rather than conclusive. Academic multi-agent and market-based methods (Theme 1) show that the underlying architecture is sound and validated in an analogous domain. AHP (Theme 2) supplies a defensible way to calibrate that architecture's scoring without requiring data this project does not have. Evaluation-strategy literature (Theme 4) confirms that the resulting real-plus-synthetic evaluation plan is methodologically appropriate given that same data constraint, not a limitation unique to this project. Governance literature (Theme 5) frames the disclosure and risk-tracking practice already underway. This project's contribution is therefore narrow and specific: applying validated, literature-grounded methods (AHP, market-based allocation) to harden one real, deployed, and otherwise-unaddressed decision point — case routing — inside a system that already exists, rather than proposing a new architecture or a new class of shelter software.</w:t>
      </w:r>
    </w:p>
    <w:p>
      <w:r>
        <w:br w:type="page"/>
      </w:r>
    </w:p>
    <w:p>
      <w:pPr>
        <w:keepNext/>
        <w:pBdr>
          <w:bottom w:val="single" w:color="0F4C46" w:sz="8" w:space="4"/>
        </w:pBdr>
        <w:spacing w:after="140" w:before="320" w:line="264"/>
      </w:pPr>
      <w:r>
        <w:rPr>
          <w:rFonts w:ascii="Calibri" w:cs="Calibri" w:eastAsia="Calibri" w:hAnsi="Calibri"/>
          <w:b/>
          <w:bCs/>
          <w:color w:val="0F4C46"/>
          <w:sz w:val="30"/>
          <w:szCs w:val="30"/>
        </w:rPr>
        <w:t xml:space="preserve">3. Annotated Bibliography</w:t>
      </w:r>
    </w:p>
    <w:p>
      <w:pPr>
        <w:keepNext/>
        <w:spacing w:after="100" w:before="200" w:line="264"/>
      </w:pPr>
      <w:r>
        <w:rPr>
          <w:rFonts w:ascii="Calibri" w:cs="Calibri" w:eastAsia="Calibri" w:hAnsi="Calibri"/>
          <w:b/>
          <w:bCs/>
          <w:color w:val="0A3A35"/>
          <w:sz w:val="24"/>
          <w:szCs w:val="24"/>
        </w:rPr>
        <w:t xml:space="preserve">Theme 1: Prior Methods for Multi-Agent Task Allocation</w:t>
      </w:r>
    </w:p>
    <w:p>
      <w:pPr>
        <w:spacing w:after="120" w:before="0" w:line="264"/>
        <w:jc w:val="both"/>
      </w:pPr>
      <w:r>
        <w:rPr>
          <w:rFonts w:ascii="Calibri" w:cs="Calibri" w:eastAsia="Calibri" w:hAnsi="Calibri"/>
          <w:i w:val="false"/>
          <w:iCs w:val="false"/>
          <w:sz w:val="22"/>
          <w:szCs w:val="22"/>
        </w:rPr>
        <w:t xml:space="preserve">Smith, R. G. (1980). The contract net protocol: High-level communication and control in a distributed problem solver. IEEE Transactions on Computers, C-29(12), 1104-1113.</w:t>
      </w:r>
    </w:p>
    <w:p>
      <w:pPr>
        <w:spacing w:after="120" w:before="0" w:line="264"/>
        <w:jc w:val="both"/>
      </w:pPr>
      <w:r>
        <w:rPr>
          <w:rFonts w:ascii="Calibri" w:cs="Calibri" w:eastAsia="Calibri" w:hAnsi="Calibri"/>
          <w:sz w:val="22"/>
          <w:szCs w:val="22"/>
        </w:rPr>
        <w:t xml:space="preserve">Foundational bid/announce/award pattern; RescueNet's arbitrator already implements this exact pattern, validating the architecture as sound rather than in need of replacement.</w:t>
      </w:r>
    </w:p>
    <w:p>
      <w:pPr>
        <w:spacing w:after="120" w:before="0" w:line="264"/>
        <w:jc w:val="both"/>
      </w:pPr>
      <w:r>
        <w:rPr>
          <w:rFonts w:ascii="Calibri" w:cs="Calibri" w:eastAsia="Calibri" w:hAnsi="Calibri"/>
          <w:sz w:val="22"/>
          <w:szCs w:val="22"/>
        </w:rPr>
        <w:t xml:space="preserve">Dias, M. B., Zlot, R., Kalra, N., &amp; Stentz, A. (2006). Market-based multirobot coordination: A survey and analysis. Proceedings of the IEEE, 94(7), 1257-1270.</w:t>
      </w:r>
    </w:p>
    <w:p>
      <w:pPr>
        <w:spacing w:after="120" w:before="0" w:line="264"/>
        <w:jc w:val="both"/>
      </w:pPr>
      <w:r>
        <w:rPr>
          <w:rFonts w:ascii="Calibri" w:cs="Calibri" w:eastAsia="Calibri" w:hAnsi="Calibri"/>
          <w:sz w:val="22"/>
          <w:szCs w:val="22"/>
        </w:rPr>
        <w:t xml:space="preserve">Surveys the wider family of auction/market-based allocation methods, situating RescueNet's approach and identifying alternatives (e.g., combinatorial auctions) as future work beyond this term.</w:t>
      </w:r>
    </w:p>
    <w:p>
      <w:pPr>
        <w:spacing w:after="120" w:before="0" w:line="264"/>
        <w:jc w:val="both"/>
      </w:pPr>
      <w:r>
        <w:rPr>
          <w:rFonts w:ascii="Calibri" w:cs="Calibri" w:eastAsia="Calibri" w:hAnsi="Calibri"/>
          <w:sz w:val="22"/>
          <w:szCs w:val="22"/>
        </w:rPr>
        <w:t xml:space="preserve">Schneider, E., Poulton, M., Drake, A., Smith, L., Roussos, G., Parsons, S., &amp; Sklar, E. I. (2020). The application of market-based multi-robot task allocation to ambulance dispatch. arXiv:2003.05550.</w:t>
      </w:r>
    </w:p>
    <w:p>
      <w:pPr>
        <w:spacing w:after="120" w:before="0" w:line="264"/>
        <w:jc w:val="both"/>
      </w:pPr>
      <w:r>
        <w:rPr>
          <w:rFonts w:ascii="Calibri" w:cs="Calibri" w:eastAsia="Calibri" w:hAnsi="Calibri"/>
          <w:sz w:val="22"/>
          <w:szCs w:val="22"/>
        </w:rPr>
        <w:t xml:space="preserve">The closest validated real-world analog: routing an emergency-style request to the best available responder, evaluated against over a million real incidents with statistically significant improvement over manual allocation.</w:t>
      </w:r>
    </w:p>
    <w:p>
      <w:pPr>
        <w:spacing w:after="120" w:before="0" w:line="264"/>
        <w:jc w:val="both"/>
      </w:pPr>
      <w:r>
        <w:rPr>
          <w:rFonts w:ascii="Calibri" w:cs="Calibri" w:eastAsia="Calibri" w:hAnsi="Calibri"/>
          <w:sz w:val="22"/>
          <w:szCs w:val="22"/>
        </w:rPr>
        <w:t xml:space="preserve">Zhou, Y., Lan, Q., Yang, X., Wang, L., Li, G., Li, S., &amp; Lyu, T. (2026). Multi-agent task allocation method based on the cost-effectiveness maximization multi-round auction algorithm. Frontiers in Physics, 13. https://doi.org/10.3389/fphy.2025.1617607</w:t>
      </w:r>
    </w:p>
    <w:p>
      <w:pPr>
        <w:spacing w:after="120" w:before="0" w:line="264"/>
        <w:jc w:val="both"/>
      </w:pPr>
      <w:r>
        <w:rPr>
          <w:rFonts w:ascii="Calibri" w:cs="Calibri" w:eastAsia="Calibri" w:hAnsi="Calibri"/>
          <w:sz w:val="22"/>
          <w:szCs w:val="22"/>
        </w:rPr>
        <w:t xml:space="preserve">Directly validates combining auction-based allocation with AHP-derived weighting — the same combination of methods this project applies to RescueNet's arbitrator.</w:t>
      </w:r>
    </w:p>
    <w:p>
      <w:pPr>
        <w:spacing w:after="120" w:before="0" w:line="264"/>
        <w:jc w:val="both"/>
      </w:pPr>
      <w:r>
        <w:rPr>
          <w:rFonts w:ascii="Calibri" w:cs="Calibri" w:eastAsia="Calibri" w:hAnsi="Calibri"/>
          <w:sz w:val="22"/>
          <w:szCs w:val="22"/>
        </w:rPr>
        <w:t xml:space="preserve">Hady, D. A., Hu, Y., Pratama, M., Cao, Z., &amp; Kowalczyk, R. (2025). A survey of multi-agent reinforcement learning for resource allocation and dynamic decentralized systems. arXiv:2504.21048.</w:t>
      </w:r>
    </w:p>
    <w:p>
      <w:pPr>
        <w:spacing w:after="120" w:before="0" w:line="264"/>
        <w:jc w:val="both"/>
      </w:pPr>
      <w:r>
        <w:rPr>
          <w:rFonts w:ascii="Calibri" w:cs="Calibri" w:eastAsia="Calibri" w:hAnsi="Calibri"/>
          <w:sz w:val="22"/>
          <w:szCs w:val="22"/>
        </w:rPr>
        <w:t xml:space="preserve">Surveys the learned-policy direction for allocation problems; supports treating outcome-based, learned calibration as a later stretch goal once real case volume accumulates, rather than this term's starting method.</w:t>
      </w:r>
    </w:p>
    <w:p>
      <w:pPr>
        <w:spacing w:after="120" w:before="0" w:line="264"/>
        <w:jc w:val="both"/>
      </w:pPr>
      <w:r>
        <w:rPr>
          <w:rFonts w:ascii="Calibri" w:cs="Calibri" w:eastAsia="Calibri" w:hAnsi="Calibri"/>
          <w:sz w:val="22"/>
          <w:szCs w:val="22"/>
        </w:rPr>
        <w:t xml:space="preserve">Amazon Web Services. (2025, March 10). Amazon Bedrock multi-agent collaboration is now generally available. AWS News Blog.</w:t>
      </w:r>
    </w:p>
    <w:p>
      <w:pPr>
        <w:spacing w:after="120" w:before="0" w:line="264"/>
        <w:jc w:val="both"/>
      </w:pPr>
      <w:r>
        <w:rPr>
          <w:rFonts w:ascii="Calibri" w:cs="Calibri" w:eastAsia="Calibri" w:hAnsi="Calibri"/>
          <w:sz w:val="22"/>
          <w:szCs w:val="22"/>
        </w:rPr>
        <w:t xml:space="preserve">Confirms production-grade tracing, observability, and orchestration for multi-agent systems built on Bedrock — the same platform RescueNet's needs-profile and bidding agents already use, reinforcing the field-wide move toward auditable agent orchestration.</w:t>
      </w:r>
    </w:p>
    <w:p>
      <w:pPr>
        <w:keepNext/>
        <w:spacing w:after="100" w:before="200" w:line="264"/>
      </w:pPr>
      <w:r>
        <w:rPr>
          <w:rFonts w:ascii="Calibri" w:cs="Calibri" w:eastAsia="Calibri" w:hAnsi="Calibri"/>
          <w:b/>
          <w:bCs/>
          <w:color w:val="0A3A35"/>
          <w:sz w:val="24"/>
          <w:szCs w:val="24"/>
        </w:rPr>
        <w:t xml:space="preserve">Theme 2: Multi-Criteria Decision Methods</w:t>
      </w:r>
    </w:p>
    <w:p>
      <w:pPr>
        <w:spacing w:after="120" w:before="0" w:line="264"/>
        <w:jc w:val="both"/>
      </w:pPr>
      <w:r>
        <w:rPr>
          <w:rFonts w:ascii="Calibri" w:cs="Calibri" w:eastAsia="Calibri" w:hAnsi="Calibri"/>
          <w:sz w:val="22"/>
          <w:szCs w:val="22"/>
        </w:rPr>
        <w:t xml:space="preserve">Saaty, T. L. (1980). The Analytic Hierarchy Process: Planning, priority setting, resource allocation. McGraw-Hill.</w:t>
      </w:r>
    </w:p>
    <w:p>
      <w:pPr>
        <w:spacing w:after="120" w:before="0" w:line="264"/>
        <w:jc w:val="both"/>
      </w:pPr>
      <w:r>
        <w:rPr>
          <w:rFonts w:ascii="Calibri" w:cs="Calibri" w:eastAsia="Calibri" w:hAnsi="Calibri"/>
          <w:sz w:val="22"/>
          <w:szCs w:val="22"/>
        </w:rPr>
        <w:t xml:space="preserve">Introduces the pairwise-comparison method with a built-in consistency check that this project uses to replace RescueNet's hand-picked scoring constants with a documented, defensible elicitation process.</w:t>
      </w:r>
    </w:p>
    <w:p>
      <w:pPr>
        <w:spacing w:after="120" w:before="0" w:line="264"/>
        <w:jc w:val="both"/>
      </w:pPr>
      <w:r>
        <w:rPr>
          <w:rFonts w:ascii="Calibri" w:cs="Calibri" w:eastAsia="Calibri" w:hAnsi="Calibri"/>
          <w:sz w:val="22"/>
          <w:szCs w:val="22"/>
        </w:rPr>
        <w:t xml:space="preserve">Liu, T.-Y. (2009). Learning to rank for information retrieval. Foundations and Trends in Information Retrieval, 3(3), 225-331.</w:t>
      </w:r>
    </w:p>
    <w:p>
      <w:pPr>
        <w:spacing w:after="120" w:before="0" w:line="264"/>
        <w:jc w:val="both"/>
      </w:pPr>
      <w:r>
        <w:rPr>
          <w:rFonts w:ascii="Calibri" w:cs="Calibri" w:eastAsia="Calibri" w:hAnsi="Calibri"/>
          <w:sz w:val="22"/>
          <w:szCs w:val="22"/>
        </w:rPr>
        <w:t xml:space="preserve">Describes the data-driven alternative to AHP; relevant to this project's stretch goal once real outcome volume accumulates, not to this term's primary method.</w:t>
      </w:r>
    </w:p>
    <w:p>
      <w:pPr>
        <w:spacing w:after="120" w:before="0" w:line="264"/>
        <w:jc w:val="both"/>
      </w:pPr>
      <w:r>
        <w:rPr>
          <w:rFonts w:ascii="Calibri" w:cs="Calibri" w:eastAsia="Calibri" w:hAnsi="Calibri"/>
          <w:sz w:val="22"/>
          <w:szCs w:val="22"/>
        </w:rPr>
        <w:t xml:space="preserve">Uber Stable: Formulating the rideshare system as a stable matching problem. (2024). arXiv:2403.13083.</w:t>
      </w:r>
    </w:p>
    <w:p>
      <w:pPr>
        <w:spacing w:after="120" w:before="0" w:line="264"/>
        <w:jc w:val="both"/>
      </w:pPr>
      <w:r>
        <w:rPr>
          <w:rFonts w:ascii="Calibri" w:cs="Calibri" w:eastAsia="Calibri" w:hAnsi="Calibri"/>
          <w:sz w:val="22"/>
          <w:szCs w:val="22"/>
        </w:rPr>
        <w:t xml:space="preserve">A more rigorous two-sided matching paradigm than RescueNet's current bid/award model, cited as a ceiling direction requiring shelters to express structured preferences — outside this term's scope.</w:t>
      </w:r>
    </w:p>
    <w:p>
      <w:pPr>
        <w:keepNext/>
        <w:spacing w:after="100" w:before="200" w:line="264"/>
      </w:pPr>
      <w:r>
        <w:rPr>
          <w:rFonts w:ascii="Calibri" w:cs="Calibri" w:eastAsia="Calibri" w:hAnsi="Calibri"/>
          <w:b/>
          <w:bCs/>
          <w:color w:val="0A3A35"/>
          <w:sz w:val="24"/>
          <w:szCs w:val="24"/>
        </w:rPr>
        <w:t xml:space="preserve">Theme 3: Competing and Comparable Systems</w:t>
      </w:r>
    </w:p>
    <w:p>
      <w:pPr>
        <w:spacing w:after="120" w:before="0" w:line="264"/>
        <w:jc w:val="both"/>
      </w:pPr>
      <w:r>
        <w:rPr>
          <w:rFonts w:ascii="Calibri" w:cs="Calibri" w:eastAsia="Calibri" w:hAnsi="Calibri"/>
          <w:sz w:val="22"/>
          <w:szCs w:val="22"/>
        </w:rPr>
        <w:t xml:space="preserve">Shelterluv. (2026). Shelterluv: Shelter and rescue management software. https://www.shelterluv.com/</w:t>
      </w:r>
    </w:p>
    <w:p>
      <w:pPr>
        <w:spacing w:after="120" w:before="0" w:line="264"/>
        <w:jc w:val="both"/>
      </w:pPr>
      <w:r>
        <w:rPr>
          <w:rFonts w:ascii="Calibri" w:cs="Calibri" w:eastAsia="Calibri" w:hAnsi="Calibri"/>
          <w:sz w:val="22"/>
          <w:szCs w:val="22"/>
        </w:rPr>
        <w:t xml:space="preserve">Cloud-based shelter/rescue management software used by 2,500+ organizations, covering intake, medical records, and adoption workflows. Does not attempt automated case-routing or scoring, distinguishing it clearly from RescueNet's scope.</w:t>
      </w:r>
    </w:p>
    <w:p>
      <w:pPr>
        <w:spacing w:after="120" w:before="0" w:line="264"/>
        <w:jc w:val="both"/>
      </w:pPr>
      <w:r>
        <w:rPr>
          <w:rFonts w:ascii="Calibri" w:cs="Calibri" w:eastAsia="Calibri" w:hAnsi="Calibri"/>
          <w:sz w:val="22"/>
          <w:szCs w:val="22"/>
        </w:rPr>
        <w:t xml:space="preserve">RescueGroups.org. (2026). Animal management software. https://rescuegroups.org/</w:t>
      </w:r>
    </w:p>
    <w:p>
      <w:pPr>
        <w:spacing w:after="120" w:before="0" w:line="264"/>
        <w:jc w:val="both"/>
      </w:pPr>
      <w:r>
        <w:rPr>
          <w:rFonts w:ascii="Calibri" w:cs="Calibri" w:eastAsia="Calibri" w:hAnsi="Calibri"/>
          <w:sz w:val="22"/>
          <w:szCs w:val="22"/>
        </w:rPr>
        <w:t xml:space="preserve">A nonprofit rescue-management platform serving 6,000+ partner organizations, feeding adoptable-animal data to sites like Petfinder. Like Shelterluv, it is a records/listing tool, not a decision-optimization system.</w:t>
      </w:r>
    </w:p>
    <w:p>
      <w:pPr>
        <w:keepNext/>
        <w:spacing w:after="100" w:before="200" w:line="264"/>
      </w:pPr>
      <w:r>
        <w:rPr>
          <w:rFonts w:ascii="Calibri" w:cs="Calibri" w:eastAsia="Calibri" w:hAnsi="Calibri"/>
          <w:b/>
          <w:bCs/>
          <w:color w:val="0A3A35"/>
          <w:sz w:val="24"/>
          <w:szCs w:val="24"/>
        </w:rPr>
        <w:t xml:space="preserve">Theme 4: Evaluation Strategies Under Sparse Data</w:t>
      </w:r>
    </w:p>
    <w:p>
      <w:pPr>
        <w:spacing w:after="120" w:before="0" w:line="264"/>
        <w:jc w:val="both"/>
      </w:pPr>
      <w:r>
        <w:rPr>
          <w:rFonts w:ascii="Calibri" w:cs="Calibri" w:eastAsia="Calibri" w:hAnsi="Calibri"/>
          <w:sz w:val="22"/>
          <w:szCs w:val="22"/>
        </w:rPr>
        <w:t xml:space="preserve">Castells, P., &amp; Moffat, A. (2022). Offline recommender system evaluation: Challenges and new directions. AI Magazine, 43(2), 225-238.</w:t>
      </w:r>
    </w:p>
    <w:p>
      <w:pPr>
        <w:spacing w:after="120" w:before="0" w:line="264"/>
        <w:jc w:val="both"/>
      </w:pPr>
      <w:r>
        <w:rPr>
          <w:rFonts w:ascii="Calibri" w:cs="Calibri" w:eastAsia="Calibri" w:hAnsi="Calibri"/>
          <w:sz w:val="22"/>
          <w:szCs w:val="22"/>
        </w:rPr>
        <w:t xml:space="preserve">Establishes that offline evaluation using historical logs is standard for ranking/scoring systems but its reliability depends on data sparsity and bias — directly validating this project's real-plus-synthetic-case evaluation plan (SC3) as a considered response to a known field-wide constraint, not an ad hoc shortcut.</w:t>
      </w:r>
    </w:p>
    <w:p>
      <w:pPr>
        <w:keepNext/>
        <w:spacing w:after="100" w:before="200" w:line="264"/>
      </w:pPr>
      <w:r>
        <w:rPr>
          <w:rFonts w:ascii="Calibri" w:cs="Calibri" w:eastAsia="Calibri" w:hAnsi="Calibri"/>
          <w:b/>
          <w:bCs/>
          <w:color w:val="0A3A35"/>
          <w:sz w:val="24"/>
          <w:szCs w:val="24"/>
        </w:rPr>
        <w:t xml:space="preserve">Theme 5: AI Governance and Data Ethics</w:t>
      </w:r>
    </w:p>
    <w:p>
      <w:pPr>
        <w:spacing w:after="120" w:before="0" w:line="264"/>
        <w:jc w:val="both"/>
      </w:pPr>
      <w:r>
        <w:rPr>
          <w:rFonts w:ascii="Calibri" w:cs="Calibri" w:eastAsia="Calibri" w:hAnsi="Calibri"/>
          <w:sz w:val="22"/>
          <w:szCs w:val="22"/>
        </w:rPr>
        <w:t xml:space="preserve">National Institute of Standards and Technology. (2024). Artificial intelligence risk management framework: Generative artificial intelligence profile (NIST AI 600-1). U.S. Department of Commerce.</w:t>
      </w:r>
    </w:p>
    <w:p>
      <w:pPr>
        <w:spacing w:after="120" w:before="0" w:line="264"/>
        <w:jc w:val="both"/>
      </w:pPr>
      <w:r>
        <w:rPr>
          <w:rFonts w:ascii="Calibri" w:cs="Calibri" w:eastAsia="Calibri" w:hAnsi="Calibri"/>
          <w:sz w:val="22"/>
          <w:szCs w:val="22"/>
        </w:rPr>
        <w:t xml:space="preserve">Calls for risk identification and evaluation across an AI system's lifecycle; directly relevant to RescueNet's Bedrock-based reasoning agents and to this project's structured AI-use disclosure practice.</w:t>
      </w:r>
    </w:p>
    <w:p>
      <w:pPr>
        <w:spacing w:after="120" w:before="0" w:line="264"/>
        <w:jc w:val="both"/>
      </w:pPr>
      <w:r>
        <w:rPr>
          <w:rFonts w:ascii="Calibri" w:cs="Calibri" w:eastAsia="Calibri" w:hAnsi="Calibri"/>
          <w:sz w:val="22"/>
          <w:szCs w:val="22"/>
        </w:rPr>
        <w:t xml:space="preserve">National Institute of Standards and Technology. (2026, April 7). Concept note: AI RMF profile on trustworthy AI in critical infrastructure.</w:t>
      </w:r>
    </w:p>
    <w:p>
      <w:pPr>
        <w:spacing w:after="120" w:before="0" w:line="264"/>
        <w:jc w:val="both"/>
      </w:pPr>
      <w:r>
        <w:rPr>
          <w:rFonts w:ascii="Calibri" w:cs="Calibri" w:eastAsia="Calibri" w:hAnsi="Calibri"/>
          <w:sz w:val="22"/>
          <w:szCs w:val="22"/>
        </w:rPr>
        <w:t xml:space="preserve">An in-development concept note, not a finished profile, signaling where AI-governance expectations for high-stakes automated systems are heading; cited as forward-looking context rather than a requirement this project must currently satisfy.</w:t>
      </w:r>
    </w:p>
    <w:p>
      <w:r>
        <w:br w:type="page"/>
      </w:r>
    </w:p>
    <w:p>
      <w:pPr>
        <w:keepNext/>
        <w:pBdr>
          <w:bottom w:val="single" w:color="0F4C46" w:sz="8" w:space="4"/>
        </w:pBdr>
        <w:spacing w:after="140" w:before="320" w:line="264"/>
      </w:pPr>
      <w:r>
        <w:rPr>
          <w:rFonts w:ascii="Calibri" w:cs="Calibri" w:eastAsia="Calibri" w:hAnsi="Calibri"/>
          <w:b/>
          <w:bCs/>
          <w:color w:val="0F4C46"/>
          <w:sz w:val="30"/>
          <w:szCs w:val="30"/>
        </w:rPr>
        <w:t xml:space="preserve">4. Functional and Non-Functional Requirements</w:t>
      </w:r>
    </w:p>
    <w:p>
      <w:pPr>
        <w:spacing w:after="120" w:before="0" w:line="264"/>
        <w:jc w:val="both"/>
      </w:pPr>
      <w:r>
        <w:rPr>
          <w:rFonts w:ascii="Calibri" w:cs="Calibri" w:eastAsia="Calibri" w:hAnsi="Calibri"/>
          <w:sz w:val="22"/>
          <w:szCs w:val="22"/>
        </w:rPr>
        <w:t xml:space="preserve">Every requirement below traces to either a literature source or a named stakeholder need, per this assignment's self-check ("can every requirement be justified using stakeholder need or technical evidence?"). Mandatory requirements are FR1-FR2 and NFR1-NFR2, which correspond directly to the Hard Stop 1 success criteria (SC1-SC2); the remainder support those criteria or reflect existing, already-implemented system behavior being formally captured for the first time.</w:t>
      </w:r>
    </w:p>
    <w:p>
      <w:pPr>
        <w:keepNext/>
        <w:spacing w:after="100" w:before="200" w:line="264"/>
      </w:pPr>
      <w:r>
        <w:rPr>
          <w:rFonts w:ascii="Calibri" w:cs="Calibri" w:eastAsia="Calibri" w:hAnsi="Calibri"/>
          <w:b/>
          <w:bCs/>
          <w:color w:val="0A3A35"/>
          <w:sz w:val="24"/>
          <w:szCs w:val="24"/>
        </w:rPr>
        <w:t xml:space="preserve">Functional Requirements</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700"/>
        <w:gridCol w:w="5460"/>
        <w:gridCol w:w="3200"/>
      </w:tblGrid>
      <w:tr>
        <w:trPr>
          <w:cantSplit/>
          <w:tblHeader/>
        </w:trPr>
        <w:tc>
          <w:tcPr>
            <w:tcW w:type="dxa" w:w="700"/>
            <w:shd w:fill="E8F3EF" w:val="clear"/>
            <w:tcMar>
              <w:top w:type="dxa" w:w="80"/>
              <w:left w:type="dxa" w:w="100"/>
              <w:bottom w:type="dxa" w:w="80"/>
              <w:right w:type="dxa" w:w="100"/>
            </w:tcMar>
            <w:vAlign w:val="top"/>
          </w:tcPr>
          <w:p>
            <w:pPr>
              <w:spacing w:after="0" w:before="0" w:line="250"/>
            </w:pPr>
            <w:r>
              <w:rPr>
                <w:rFonts w:ascii="Calibri" w:cs="Calibri" w:eastAsia="Calibri" w:hAnsi="Calibri"/>
                <w:b/>
                <w:bCs/>
                <w:i w:val="false"/>
                <w:iCs w:val="false"/>
                <w:sz w:val="20"/>
                <w:szCs w:val="20"/>
              </w:rPr>
              <w:t xml:space="preserve">ID</w:t>
            </w:r>
          </w:p>
        </w:tc>
        <w:tc>
          <w:tcPr>
            <w:tcW w:type="dxa" w:w="5460"/>
            <w:shd w:fill="E8F3EF" w:val="clear"/>
            <w:tcMar>
              <w:top w:type="dxa" w:w="80"/>
              <w:left w:type="dxa" w:w="100"/>
              <w:bottom w:type="dxa" w:w="80"/>
              <w:right w:type="dxa" w:w="100"/>
            </w:tcMar>
            <w:vAlign w:val="top"/>
          </w:tcPr>
          <w:p>
            <w:pPr>
              <w:spacing w:after="0" w:before="0" w:line="250"/>
            </w:pPr>
            <w:r>
              <w:rPr>
                <w:rFonts w:ascii="Calibri" w:cs="Calibri" w:eastAsia="Calibri" w:hAnsi="Calibri"/>
                <w:b/>
                <w:bCs/>
                <w:i w:val="false"/>
                <w:iCs w:val="false"/>
                <w:sz w:val="20"/>
                <w:szCs w:val="20"/>
              </w:rPr>
              <w:t xml:space="preserve">Requirement</w:t>
            </w:r>
          </w:p>
        </w:tc>
        <w:tc>
          <w:tcPr>
            <w:tcW w:type="dxa" w:w="3200"/>
            <w:shd w:fill="E8F3EF" w:val="clear"/>
            <w:tcMar>
              <w:top w:type="dxa" w:w="80"/>
              <w:left w:type="dxa" w:w="100"/>
              <w:bottom w:type="dxa" w:w="80"/>
              <w:right w:type="dxa" w:w="100"/>
            </w:tcMar>
            <w:vAlign w:val="top"/>
          </w:tcPr>
          <w:p>
            <w:pPr>
              <w:spacing w:after="0" w:before="0" w:line="250"/>
            </w:pPr>
            <w:r>
              <w:rPr>
                <w:rFonts w:ascii="Calibri" w:cs="Calibri" w:eastAsia="Calibri" w:hAnsi="Calibri"/>
                <w:b/>
                <w:bCs/>
                <w:i w:val="false"/>
                <w:iCs w:val="false"/>
                <w:sz w:val="20"/>
                <w:szCs w:val="20"/>
              </w:rPr>
              <w:t xml:space="preserve">Source / Rationale</w:t>
            </w:r>
          </w:p>
        </w:tc>
      </w:tr>
      <w:tr>
        <w:trPr>
          <w:cantSplit/>
        </w:trPr>
        <w:tc>
          <w:tcPr>
            <w:tcW w:type="dxa" w:w="70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FR1</w:t>
            </w:r>
          </w:p>
        </w:tc>
        <w:tc>
          <w:tcPr>
            <w:tcW w:type="dxa" w:w="546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Compute a per-shelter match score using AHP-derived weights over the five existing softWeights factors.</w:t>
            </w:r>
          </w:p>
        </w:tc>
        <w:tc>
          <w:tcPr>
            <w:tcW w:type="dxa" w:w="320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Saaty (1980); SC2</w:t>
            </w:r>
          </w:p>
        </w:tc>
      </w:tr>
      <w:tr>
        <w:trPr>
          <w:cantSplit/>
        </w:trPr>
        <w:tc>
          <w:tcPr>
            <w:tcW w:type="dxa" w:w="70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FR2</w:t>
            </w:r>
          </w:p>
        </w:tc>
        <w:tc>
          <w:tcPr>
            <w:tcW w:type="dxa" w:w="546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Evaluate the species-match constraint by set membership (does the shelter accept this species), not by array existence.</w:t>
            </w:r>
          </w:p>
        </w:tc>
        <w:tc>
          <w:tcPr>
            <w:tcW w:type="dxa" w:w="320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Code audit finding; SC1</w:t>
            </w:r>
          </w:p>
        </w:tc>
      </w:tr>
      <w:tr>
        <w:trPr>
          <w:cantSplit/>
        </w:trPr>
        <w:tc>
          <w:tcPr>
            <w:tcW w:type="dxa" w:w="70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FR3</w:t>
            </w:r>
          </w:p>
        </w:tc>
        <w:tc>
          <w:tcPr>
            <w:tcW w:type="dxa" w:w="546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Replay historical and constructed synthetic cases through both the current and hardened scoring functions and report a side-by-side comparison.</w:t>
            </w:r>
          </w:p>
        </w:tc>
        <w:tc>
          <w:tcPr>
            <w:tcW w:type="dxa" w:w="320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Castells &amp; Moffat (2022); SC3</w:t>
            </w:r>
          </w:p>
        </w:tc>
      </w:tr>
      <w:tr>
        <w:trPr>
          <w:cantSplit/>
        </w:trPr>
        <w:tc>
          <w:tcPr>
            <w:tcW w:type="dxa" w:w="70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FR4</w:t>
            </w:r>
          </w:p>
        </w:tc>
        <w:tc>
          <w:tcPr>
            <w:tcW w:type="dxa" w:w="546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Escalate a case to a Tier-2 human coordinator when no bids are received or all bids fail hard constraints.</w:t>
            </w:r>
          </w:p>
        </w:tc>
        <w:tc>
          <w:tcPr>
            <w:tcW w:type="dxa" w:w="320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Existing dedup/arbitrator behavior; human-in-the-loop stakeholder need</w:t>
            </w:r>
          </w:p>
        </w:tc>
      </w:tr>
      <w:tr>
        <w:trPr>
          <w:cantSplit/>
        </w:trPr>
        <w:tc>
          <w:tcPr>
            <w:tcW w:type="dxa" w:w="70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FR5</w:t>
            </w:r>
          </w:p>
        </w:tc>
        <w:tc>
          <w:tcPr>
            <w:tcW w:type="dxa" w:w="546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Accept anonymous report submission with no required personally identifying fields.</w:t>
            </w:r>
          </w:p>
        </w:tc>
        <w:tc>
          <w:tcPr>
            <w:tcW w:type="dxa" w:w="320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NIST AI 600-1 (2024); reporter stakeholder need</w:t>
            </w:r>
          </w:p>
        </w:tc>
      </w:tr>
      <w:tr>
        <w:trPr>
          <w:cantSplit/>
        </w:trPr>
        <w:tc>
          <w:tcPr>
            <w:tcW w:type="dxa" w:w="70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FR6</w:t>
            </w:r>
          </w:p>
        </w:tc>
        <w:tc>
          <w:tcPr>
            <w:tcW w:type="dxa" w:w="546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Detect likely duplicate or lost-found matches among active cases within a bounded radius and time window.</w:t>
            </w:r>
          </w:p>
        </w:tc>
        <w:tc>
          <w:tcPr>
            <w:tcW w:type="dxa" w:w="320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Existing dedup-agent behavior; reporter/shelter stakeholder need</w:t>
            </w:r>
          </w:p>
        </w:tc>
      </w:tr>
    </w:tbl>
    <w:p>
      <w:pPr>
        <w:spacing w:after="0" w:before="0" w:line="264"/>
      </w:pPr>
      <w:r>
        <w:rPr>
          <w:rFonts w:ascii="Calibri" w:cs="Calibri" w:eastAsia="Calibri" w:hAnsi="Calibri"/>
          <w:sz w:val="22"/>
          <w:szCs w:val="22"/>
        </w:rPr>
        <w:t xml:space="preserve"/>
      </w:r>
    </w:p>
    <w:p>
      <w:pPr>
        <w:keepNext/>
        <w:spacing w:after="100" w:before="200" w:line="264"/>
      </w:pPr>
      <w:r>
        <w:rPr>
          <w:rFonts w:ascii="Calibri" w:cs="Calibri" w:eastAsia="Calibri" w:hAnsi="Calibri"/>
          <w:b/>
          <w:bCs/>
          <w:color w:val="0A3A35"/>
          <w:sz w:val="24"/>
          <w:szCs w:val="24"/>
        </w:rPr>
        <w:t xml:space="preserve">Non-Functional Requirements</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700"/>
        <w:gridCol w:w="5460"/>
        <w:gridCol w:w="3200"/>
      </w:tblGrid>
      <w:tr>
        <w:trPr>
          <w:cantSplit/>
          <w:tblHeader/>
        </w:trPr>
        <w:tc>
          <w:tcPr>
            <w:tcW w:type="dxa" w:w="700"/>
            <w:shd w:fill="E8F3EF" w:val="clear"/>
            <w:tcMar>
              <w:top w:type="dxa" w:w="80"/>
              <w:left w:type="dxa" w:w="100"/>
              <w:bottom w:type="dxa" w:w="80"/>
              <w:right w:type="dxa" w:w="100"/>
            </w:tcMar>
            <w:vAlign w:val="top"/>
          </w:tcPr>
          <w:p>
            <w:pPr>
              <w:spacing w:after="0" w:before="0" w:line="250"/>
            </w:pPr>
            <w:r>
              <w:rPr>
                <w:rFonts w:ascii="Calibri" w:cs="Calibri" w:eastAsia="Calibri" w:hAnsi="Calibri"/>
                <w:b/>
                <w:bCs/>
                <w:i w:val="false"/>
                <w:iCs w:val="false"/>
                <w:sz w:val="20"/>
                <w:szCs w:val="20"/>
              </w:rPr>
              <w:t xml:space="preserve">ID</w:t>
            </w:r>
          </w:p>
        </w:tc>
        <w:tc>
          <w:tcPr>
            <w:tcW w:type="dxa" w:w="5460"/>
            <w:shd w:fill="E8F3EF" w:val="clear"/>
            <w:tcMar>
              <w:top w:type="dxa" w:w="80"/>
              <w:left w:type="dxa" w:w="100"/>
              <w:bottom w:type="dxa" w:w="80"/>
              <w:right w:type="dxa" w:w="100"/>
            </w:tcMar>
            <w:vAlign w:val="top"/>
          </w:tcPr>
          <w:p>
            <w:pPr>
              <w:spacing w:after="0" w:before="0" w:line="250"/>
            </w:pPr>
            <w:r>
              <w:rPr>
                <w:rFonts w:ascii="Calibri" w:cs="Calibri" w:eastAsia="Calibri" w:hAnsi="Calibri"/>
                <w:b/>
                <w:bCs/>
                <w:i w:val="false"/>
                <w:iCs w:val="false"/>
                <w:sz w:val="20"/>
                <w:szCs w:val="20"/>
              </w:rPr>
              <w:t xml:space="preserve">Requirement</w:t>
            </w:r>
          </w:p>
        </w:tc>
        <w:tc>
          <w:tcPr>
            <w:tcW w:type="dxa" w:w="3200"/>
            <w:shd w:fill="E8F3EF" w:val="clear"/>
            <w:tcMar>
              <w:top w:type="dxa" w:w="80"/>
              <w:left w:type="dxa" w:w="100"/>
              <w:bottom w:type="dxa" w:w="80"/>
              <w:right w:type="dxa" w:w="100"/>
            </w:tcMar>
            <w:vAlign w:val="top"/>
          </w:tcPr>
          <w:p>
            <w:pPr>
              <w:spacing w:after="0" w:before="0" w:line="250"/>
            </w:pPr>
            <w:r>
              <w:rPr>
                <w:rFonts w:ascii="Calibri" w:cs="Calibri" w:eastAsia="Calibri" w:hAnsi="Calibri"/>
                <w:b/>
                <w:bCs/>
                <w:i w:val="false"/>
                <w:iCs w:val="false"/>
                <w:sz w:val="20"/>
                <w:szCs w:val="20"/>
              </w:rPr>
              <w:t xml:space="preserve">Source / Rationale</w:t>
            </w:r>
          </w:p>
        </w:tc>
      </w:tr>
      <w:tr>
        <w:trPr>
          <w:cantSplit/>
        </w:trPr>
        <w:tc>
          <w:tcPr>
            <w:tcW w:type="dxa" w:w="70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NFR1</w:t>
            </w:r>
          </w:p>
        </w:tc>
        <w:tc>
          <w:tcPr>
            <w:tcW w:type="dxa" w:w="546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Hardened scoring shall not increase end-to-end case-assignment latency beyond the ~30-second baseline observed in Week 1 live testing.</w:t>
            </w:r>
          </w:p>
        </w:tc>
        <w:tc>
          <w:tcPr>
            <w:tcW w:type="dxa" w:w="320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SC4; Schneider et al. (2020)</w:t>
            </w:r>
          </w:p>
        </w:tc>
      </w:tr>
      <w:tr>
        <w:trPr>
          <w:cantSplit/>
        </w:trPr>
        <w:tc>
          <w:tcPr>
            <w:tcW w:type="dxa" w:w="70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NFR2</w:t>
            </w:r>
          </w:p>
        </w:tc>
        <w:tc>
          <w:tcPr>
            <w:tcW w:type="dxa" w:w="546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The AHP-derived weight set shall have a consistency ratio below 0.10 before acceptance into production scoring.</w:t>
            </w:r>
          </w:p>
        </w:tc>
        <w:tc>
          <w:tcPr>
            <w:tcW w:type="dxa" w:w="320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Saaty (1980); SC2</w:t>
            </w:r>
          </w:p>
        </w:tc>
      </w:tr>
      <w:tr>
        <w:trPr>
          <w:cantSplit/>
        </w:trPr>
        <w:tc>
          <w:tcPr>
            <w:tcW w:type="dxa" w:w="70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NFR3</w:t>
            </w:r>
          </w:p>
        </w:tc>
        <w:tc>
          <w:tcPr>
            <w:tcW w:type="dxa" w:w="546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The system shall remain fully serverless, requiring no dedicated compute infrastructure beyond existing Lambda/DynamoDB.</w:t>
            </w:r>
          </w:p>
        </w:tc>
        <w:tc>
          <w:tcPr>
            <w:tcW w:type="dxa" w:w="320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Feasibility/cost constraint (Week 1 Section 4.3)</w:t>
            </w:r>
          </w:p>
        </w:tc>
      </w:tr>
      <w:tr>
        <w:trPr>
          <w:cantSplit/>
        </w:trPr>
        <w:tc>
          <w:tcPr>
            <w:tcW w:type="dxa" w:w="70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NFR4</w:t>
            </w:r>
          </w:p>
        </w:tc>
        <w:tc>
          <w:tcPr>
            <w:tcW w:type="dxa" w:w="546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All AI-assisted development and evaluation-interpretation activity shall be logged per the structured, per-instance AI-use schema.</w:t>
            </w:r>
          </w:p>
        </w:tc>
        <w:tc>
          <w:tcPr>
            <w:tcW w:type="dxa" w:w="320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NIST AI 600-1 (2024); course AI-use policy</w:t>
            </w:r>
          </w:p>
        </w:tc>
      </w:tr>
      <w:tr>
        <w:trPr>
          <w:cantSplit/>
        </w:trPr>
        <w:tc>
          <w:tcPr>
            <w:tcW w:type="dxa" w:w="70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NFR5</w:t>
            </w:r>
          </w:p>
        </w:tc>
        <w:tc>
          <w:tcPr>
            <w:tcW w:type="dxa" w:w="546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The routing decision logic shall remain auditable (documented weights, harness output) rather than an opaque learned model, consistent with the current data constraint.</w:t>
            </w:r>
          </w:p>
        </w:tc>
        <w:tc>
          <w:tcPr>
            <w:tcW w:type="dxa" w:w="320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Hady et al. (2025); Liu (2009), deferred</w:t>
            </w:r>
          </w:p>
        </w:tc>
      </w:tr>
    </w:tbl>
    <w:p>
      <w:pPr>
        <w:spacing w:after="0" w:before="0" w:line="264"/>
      </w:pPr>
      <w:r>
        <w:rPr>
          <w:rFonts w:ascii="Calibri" w:cs="Calibri" w:eastAsia="Calibri" w:hAnsi="Calibri"/>
          <w:sz w:val="22"/>
          <w:szCs w:val="22"/>
        </w:rPr>
        <w:t xml:space="preserve"/>
      </w:r>
    </w:p>
    <w:p>
      <w:r>
        <w:br w:type="page"/>
      </w:r>
    </w:p>
    <w:p>
      <w:pPr>
        <w:keepNext/>
        <w:pBdr>
          <w:bottom w:val="single" w:color="0F4C46" w:sz="8" w:space="4"/>
        </w:pBdr>
        <w:spacing w:after="140" w:before="320" w:line="264"/>
      </w:pPr>
      <w:r>
        <w:rPr>
          <w:rFonts w:ascii="Calibri" w:cs="Calibri" w:eastAsia="Calibri" w:hAnsi="Calibri"/>
          <w:b/>
          <w:bCs/>
          <w:color w:val="0F4C46"/>
          <w:sz w:val="30"/>
          <w:szCs w:val="30"/>
        </w:rPr>
        <w:t xml:space="preserve">5. Use Case Model</w:t>
      </w:r>
    </w:p>
    <w:p>
      <w:pPr>
        <w:spacing w:after="120" w:before="0" w:line="264"/>
        <w:jc w:val="both"/>
      </w:pPr>
      <w:r>
        <w:rPr>
          <w:rFonts w:ascii="Calibri" w:cs="Calibri" w:eastAsia="Calibri" w:hAnsi="Calibri"/>
          <w:sz w:val="22"/>
          <w:szCs w:val="22"/>
        </w:rPr>
        <w:t xml:space="preserve">The three flows below are formalized from the product walkthrough already documented in docs/rescuenet-usecases.pdf (real, screenshot-backed behavior of the live system, not a hypothetical model). Figure 1 shows the corresponding use-case diagram.</w:t>
      </w:r>
    </w:p>
    <w:p>
      <w:pPr>
        <w:spacing w:after="0" w:before="0" w:line="264"/>
        <w:jc w:val="center"/>
      </w:pPr>
      <w:r>
        <w:drawing>
          <wp:inline distT="0" distB="0" distL="0" distR="0">
            <wp:extent cx="5762625"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3581400"/>
                    </a:xfrm>
                    <a:prstGeom prst="rect">
                      <a:avLst/>
                    </a:prstGeom>
                  </pic:spPr>
                </pic:pic>
              </a:graphicData>
            </a:graphic>
          </wp:inline>
        </w:drawing>
      </w:r>
    </w:p>
    <w:p>
      <w:pPr>
        <w:spacing w:after="160" w:before="60" w:line="264"/>
        <w:jc w:val="center"/>
      </w:pPr>
      <w:r>
        <w:rPr>
          <w:rFonts w:ascii="Calibri" w:cs="Calibri" w:eastAsia="Calibri" w:hAnsi="Calibri"/>
          <w:i/>
          <w:iCs/>
          <w:sz w:val="18"/>
          <w:szCs w:val="18"/>
        </w:rPr>
        <w:t xml:space="preserve">Figure 1. RescueNet use-case diagram: actors, use cases, and the duplicate-detection include relationship.</w:t>
      </w:r>
    </w:p>
    <w:p>
      <w:pPr>
        <w:keepNext/>
        <w:spacing w:after="60" w:before="120" w:line="264"/>
      </w:pPr>
      <w:r>
        <w:rPr>
          <w:rFonts w:ascii="Calibri" w:cs="Calibri" w:eastAsia="Calibri" w:hAnsi="Calibri"/>
          <w:b/>
          <w:bCs/>
          <w:i/>
          <w:iCs/>
          <w:sz w:val="22"/>
          <w:szCs w:val="22"/>
        </w:rPr>
        <w:t xml:space="preserve">UC1 — Happy Path — Stray Report to Shelter Match</w:t>
      </w:r>
    </w:p>
    <w:p>
      <w:pPr>
        <w:spacing w:after="80" w:before="0" w:line="264"/>
        <w:ind w:left="450" w:hanging="270"/>
        <w:jc w:val="both"/>
      </w:pPr>
      <w:r>
        <w:rPr>
          <w:rFonts w:ascii="Calibri" w:cs="Calibri" w:eastAsia="Calibri" w:hAnsi="Calibri"/>
          <w:sz w:val="22"/>
          <w:szCs w:val="22"/>
        </w:rPr>
        <w:t xml:space="preserve">•  Actor: Reporter</w:t>
      </w:r>
    </w:p>
    <w:p>
      <w:pPr>
        <w:spacing w:after="80" w:before="0" w:line="264"/>
        <w:ind w:left="450" w:hanging="270"/>
        <w:jc w:val="both"/>
      </w:pPr>
      <w:r>
        <w:rPr>
          <w:rFonts w:ascii="Calibri" w:cs="Calibri" w:eastAsia="Calibri" w:hAnsi="Calibri"/>
          <w:sz w:val="22"/>
          <w:szCs w:val="22"/>
        </w:rPr>
        <w:t xml:space="preserve">•  Trigger: A reporter encounters a stray or injured animal and opens the app.</w:t>
      </w:r>
    </w:p>
    <w:p>
      <w:pPr>
        <w:spacing w:after="80" w:before="0" w:line="264"/>
        <w:ind w:left="450" w:hanging="270"/>
        <w:jc w:val="both"/>
      </w:pPr>
      <w:r>
        <w:rPr>
          <w:rFonts w:ascii="Calibri" w:cs="Calibri" w:eastAsia="Calibri" w:hAnsi="Calibri"/>
          <w:sz w:val="22"/>
          <w:szCs w:val="22"/>
        </w:rPr>
        <w:t xml:space="preserve">•  Preconditions: None — submission is anonymous and requires no account.</w:t>
      </w:r>
    </w:p>
    <w:p>
      <w:pPr>
        <w:spacing w:after="80" w:before="0" w:line="264"/>
        <w:ind w:left="450" w:hanging="270"/>
        <w:jc w:val="both"/>
      </w:pPr>
      <w:r>
        <w:rPr>
          <w:rFonts w:ascii="Calibri" w:cs="Calibri" w:eastAsia="Calibri" w:hAnsi="Calibri"/>
          <w:sz w:val="22"/>
          <w:szCs w:val="22"/>
        </w:rPr>
        <w:t xml:space="preserve">•  Main Flow: (1) Reporter fills a short form: species, description, photo, auto-detected location. (2) System assigns a case ID and begins the agent pipeline (vision, geocoding, needs-profile, arbitration). (3) Eligible shelters bid; the arbitrator scores and assigns the case. (4) Reporter watches status update live on the case page.</w:t>
      </w:r>
    </w:p>
    <w:p>
      <w:pPr>
        <w:spacing w:after="80" w:before="0" w:line="264"/>
        <w:ind w:left="450" w:hanging="270"/>
        <w:jc w:val="both"/>
      </w:pPr>
      <w:r>
        <w:rPr>
          <w:rFonts w:ascii="Calibri" w:cs="Calibri" w:eastAsia="Calibri" w:hAnsi="Calibri"/>
          <w:sz w:val="22"/>
          <w:szCs w:val="22"/>
        </w:rPr>
        <w:t xml:space="preserve">•  Postcondition: Case is assigned to a shelter (or escalated, per UC referencing Escalate to Coordinator) and the reporter has a trackable case ID.</w:t>
      </w:r>
    </w:p>
    <w:p>
      <w:pPr>
        <w:keepNext/>
        <w:spacing w:after="60" w:before="120" w:line="264"/>
      </w:pPr>
      <w:r>
        <w:rPr>
          <w:rFonts w:ascii="Calibri" w:cs="Calibri" w:eastAsia="Calibri" w:hAnsi="Calibri"/>
          <w:b/>
          <w:bCs/>
          <w:i/>
          <w:iCs/>
          <w:sz w:val="22"/>
          <w:szCs w:val="22"/>
        </w:rPr>
        <w:t xml:space="preserve">UC2 — Automatic Duplicate Detection</w:t>
      </w:r>
    </w:p>
    <w:p>
      <w:pPr>
        <w:spacing w:after="80" w:before="0" w:line="264"/>
        <w:ind w:left="450" w:hanging="270"/>
        <w:jc w:val="both"/>
      </w:pPr>
      <w:r>
        <w:rPr>
          <w:rFonts w:ascii="Calibri" w:cs="Calibri" w:eastAsia="Calibri" w:hAnsi="Calibri"/>
          <w:sz w:val="22"/>
          <w:szCs w:val="22"/>
        </w:rPr>
        <w:t xml:space="preserve">•  Actor: System (triggered by a second Reporter's submission)</w:t>
      </w:r>
    </w:p>
    <w:p>
      <w:pPr>
        <w:spacing w:after="80" w:before="0" w:line="264"/>
        <w:ind w:left="450" w:hanging="270"/>
        <w:jc w:val="both"/>
      </w:pPr>
      <w:r>
        <w:rPr>
          <w:rFonts w:ascii="Calibri" w:cs="Calibri" w:eastAsia="Calibri" w:hAnsi="Calibri"/>
          <w:sz w:val="22"/>
          <w:szCs w:val="22"/>
        </w:rPr>
        <w:t xml:space="preserve">•  Trigger: A second, independent report is submitted for what may be the same animal near an existing active case.</w:t>
      </w:r>
    </w:p>
    <w:p>
      <w:pPr>
        <w:spacing w:after="80" w:before="0" w:line="264"/>
        <w:ind w:left="450" w:hanging="270"/>
        <w:jc w:val="both"/>
      </w:pPr>
      <w:r>
        <w:rPr>
          <w:rFonts w:ascii="Calibri" w:cs="Calibri" w:eastAsia="Calibri" w:hAnsi="Calibri"/>
          <w:sz w:val="22"/>
          <w:szCs w:val="22"/>
        </w:rPr>
        <w:t xml:space="preserve">•  Preconditions: At least one other case exists in an active status (SUBMITTED, PUBLISHED, AWAITING_CONFIRMATION, ASSIGNED, or ESCALATED) within the dedup window.</w:t>
      </w:r>
    </w:p>
    <w:p>
      <w:pPr>
        <w:spacing w:after="80" w:before="0" w:line="264"/>
        <w:ind w:left="450" w:hanging="270"/>
        <w:jc w:val="both"/>
      </w:pPr>
      <w:r>
        <w:rPr>
          <w:rFonts w:ascii="Calibri" w:cs="Calibri" w:eastAsia="Calibri" w:hAnsi="Calibri"/>
          <w:sz w:val="22"/>
          <w:szCs w:val="22"/>
        </w:rPr>
        <w:t xml:space="preserve">•  Main Flow: (1) The new report is submitted normally (UC1). (2) The dedup agent queries active cases within 1 km / 3 hours by species, distance, and plausible movement. (3) A near-certain match is auto-merged; a probable match is soft-linked for human review.</w:t>
      </w:r>
    </w:p>
    <w:p>
      <w:pPr>
        <w:spacing w:after="80" w:before="0" w:line="264"/>
        <w:ind w:left="450" w:hanging="270"/>
        <w:jc w:val="both"/>
      </w:pPr>
      <w:r>
        <w:rPr>
          <w:rFonts w:ascii="Calibri" w:cs="Calibri" w:eastAsia="Calibri" w:hAnsi="Calibri"/>
          <w:sz w:val="22"/>
          <w:szCs w:val="22"/>
        </w:rPr>
        <w:t xml:space="preserve">•  Postcondition: The second report is linked to (or merged into) the original case rather than creating a duplicate shelter assignment.</w:t>
      </w:r>
    </w:p>
    <w:p>
      <w:pPr>
        <w:keepNext/>
        <w:spacing w:after="60" w:before="120" w:line="264"/>
      </w:pPr>
      <w:r>
        <w:rPr>
          <w:rFonts w:ascii="Calibri" w:cs="Calibri" w:eastAsia="Calibri" w:hAnsi="Calibri"/>
          <w:b/>
          <w:bCs/>
          <w:i/>
          <w:iCs/>
          <w:sz w:val="22"/>
          <w:szCs w:val="22"/>
        </w:rPr>
        <w:t xml:space="preserve">UC3 — Lost Pet Matched to a Found Animal</w:t>
      </w:r>
    </w:p>
    <w:p>
      <w:pPr>
        <w:spacing w:after="80" w:before="0" w:line="264"/>
        <w:ind w:left="450" w:hanging="270"/>
        <w:jc w:val="both"/>
      </w:pPr>
      <w:r>
        <w:rPr>
          <w:rFonts w:ascii="Calibri" w:cs="Calibri" w:eastAsia="Calibri" w:hAnsi="Calibri"/>
          <w:sz w:val="22"/>
          <w:szCs w:val="22"/>
        </w:rPr>
        <w:t xml:space="preserve">•  Actor: Reporter (owner)</w:t>
      </w:r>
    </w:p>
    <w:p>
      <w:pPr>
        <w:spacing w:after="80" w:before="0" w:line="264"/>
        <w:ind w:left="450" w:hanging="270"/>
        <w:jc w:val="both"/>
      </w:pPr>
      <w:r>
        <w:rPr>
          <w:rFonts w:ascii="Calibri" w:cs="Calibri" w:eastAsia="Calibri" w:hAnsi="Calibri"/>
          <w:sz w:val="22"/>
          <w:szCs w:val="22"/>
        </w:rPr>
        <w:t xml:space="preserve">•  Trigger: An owner reports a missing pet through the "Lost my pet" entry point.</w:t>
      </w:r>
    </w:p>
    <w:p>
      <w:pPr>
        <w:spacing w:after="80" w:before="0" w:line="264"/>
        <w:ind w:left="450" w:hanging="270"/>
        <w:jc w:val="both"/>
      </w:pPr>
      <w:r>
        <w:rPr>
          <w:rFonts w:ascii="Calibri" w:cs="Calibri" w:eastAsia="Calibri" w:hAnsi="Calibri"/>
          <w:sz w:val="22"/>
          <w:szCs w:val="22"/>
        </w:rPr>
        <w:t xml:space="preserve">•  Preconditions: A prior stray/found report for a plausibly matching animal already exists on the blackboard.</w:t>
      </w:r>
    </w:p>
    <w:p>
      <w:pPr>
        <w:spacing w:after="80" w:before="0" w:line="264"/>
        <w:ind w:left="450" w:hanging="270"/>
        <w:jc w:val="both"/>
      </w:pPr>
      <w:r>
        <w:rPr>
          <w:rFonts w:ascii="Calibri" w:cs="Calibri" w:eastAsia="Calibri" w:hAnsi="Calibri"/>
          <w:sz w:val="22"/>
          <w:szCs w:val="22"/>
        </w:rPr>
        <w:t xml:space="preserve">•  Main Flow: (1) Owner submits a lost-pet report on the same blackboard, a different entry point from UC1. (2) The dedup agent (same mechanism as UC2) links the lost report to the existing found report. (3) The owner sees "a similar animal was reported nearby" with a photo. (4) One tap shows the matched case's shelter, distance, and vet status.</w:t>
      </w:r>
    </w:p>
    <w:p>
      <w:pPr>
        <w:spacing w:after="80" w:before="0" w:line="264"/>
        <w:ind w:left="450" w:hanging="270"/>
        <w:jc w:val="both"/>
      </w:pPr>
      <w:r>
        <w:rPr>
          <w:rFonts w:ascii="Calibri" w:cs="Calibri" w:eastAsia="Calibri" w:hAnsi="Calibri"/>
          <w:sz w:val="22"/>
          <w:szCs w:val="22"/>
        </w:rPr>
        <w:t xml:space="preserve">•  Postcondition: The owner is connected to the matching found-animal case without the shelter or original reporter needing to do anything extra.</w:t>
      </w:r>
    </w:p>
    <w:p>
      <w:r>
        <w:br w:type="page"/>
      </w:r>
    </w:p>
    <w:p>
      <w:pPr>
        <w:keepNext/>
        <w:pBdr>
          <w:bottom w:val="single" w:color="0F4C46" w:sz="8" w:space="4"/>
        </w:pBdr>
        <w:spacing w:after="140" w:before="320" w:line="264"/>
      </w:pPr>
      <w:r>
        <w:rPr>
          <w:rFonts w:ascii="Calibri" w:cs="Calibri" w:eastAsia="Calibri" w:hAnsi="Calibri"/>
          <w:b/>
          <w:bCs/>
          <w:color w:val="0F4C46"/>
          <w:sz w:val="30"/>
          <w:szCs w:val="30"/>
        </w:rPr>
        <w:t xml:space="preserve">6. Domain Constraints</w:t>
      </w:r>
    </w:p>
    <w:p>
      <w:pPr>
        <w:keepNext/>
        <w:spacing w:after="100" w:before="200" w:line="264"/>
      </w:pPr>
      <w:r>
        <w:rPr>
          <w:rFonts w:ascii="Calibri" w:cs="Calibri" w:eastAsia="Calibri" w:hAnsi="Calibri"/>
          <w:b/>
          <w:bCs/>
          <w:color w:val="0A3A35"/>
          <w:sz w:val="24"/>
          <w:szCs w:val="24"/>
        </w:rPr>
        <w:t xml:space="preserve">Latency</w:t>
      </w:r>
    </w:p>
    <w:p>
      <w:pPr>
        <w:spacing w:after="120" w:before="0" w:line="264"/>
        <w:jc w:val="both"/>
      </w:pPr>
      <w:r>
        <w:rPr>
          <w:rFonts w:ascii="Calibri" w:cs="Calibri" w:eastAsia="Calibri" w:hAnsi="Calibri"/>
          <w:sz w:val="22"/>
          <w:szCs w:val="22"/>
        </w:rPr>
        <w:t xml:space="preserve">The full agent pipeline (image analysis, geocoding, needs assessment, deduplication, arbitration, confirmation) completed in approximately 28 seconds for the one real case captured end-to-end in Week 1. NFR1 sets this as the effective latency budget the hardened scoring function must not exceed.</w:t>
      </w:r>
    </w:p>
    <w:p>
      <w:pPr>
        <w:keepNext/>
        <w:spacing w:after="100" w:before="200" w:line="264"/>
      </w:pPr>
      <w:r>
        <w:rPr>
          <w:rFonts w:ascii="Calibri" w:cs="Calibri" w:eastAsia="Calibri" w:hAnsi="Calibri"/>
          <w:b/>
          <w:bCs/>
          <w:color w:val="0A3A35"/>
          <w:sz w:val="24"/>
          <w:szCs w:val="24"/>
        </w:rPr>
        <w:t xml:space="preserve">Legal and Privacy Restrictions</w:t>
      </w:r>
    </w:p>
    <w:p>
      <w:pPr>
        <w:spacing w:after="120" w:before="0" w:line="264"/>
        <w:jc w:val="both"/>
      </w:pPr>
      <w:r>
        <w:rPr>
          <w:rFonts w:ascii="Calibri" w:cs="Calibri" w:eastAsia="Calibri" w:hAnsi="Calibri"/>
          <w:sz w:val="22"/>
          <w:szCs w:val="22"/>
        </w:rPr>
        <w:t xml:space="preserve">Reports are anonymous by design and collect no personally identifying fields. Per Week 2 supervisor feedback, this is stated here as a project assumption subject to university and institutional policy, not as a settled conclusion that no formal review is ever required — the constraint is the design intent, not a legal determination.</w:t>
      </w:r>
    </w:p>
    <w:p>
      <w:pPr>
        <w:keepNext/>
        <w:spacing w:after="100" w:before="200" w:line="264"/>
      </w:pPr>
      <w:r>
        <w:rPr>
          <w:rFonts w:ascii="Calibri" w:cs="Calibri" w:eastAsia="Calibri" w:hAnsi="Calibri"/>
          <w:b/>
          <w:bCs/>
          <w:color w:val="0A3A35"/>
          <w:sz w:val="24"/>
          <w:szCs w:val="24"/>
        </w:rPr>
        <w:t xml:space="preserve">Data Fields</w:t>
      </w:r>
    </w:p>
    <w:p>
      <w:pPr>
        <w:spacing w:after="120" w:before="0" w:line="264"/>
        <w:jc w:val="both"/>
      </w:pPr>
      <w:r>
        <w:rPr>
          <w:rFonts w:ascii="Calibri" w:cs="Calibri" w:eastAsia="Calibri" w:hAnsi="Calibri"/>
          <w:sz w:val="22"/>
          <w:szCs w:val="22"/>
        </w:rPr>
        <w:t xml:space="preserve">Fixed schema fields are defined in lambda/shared/utils.ts and lib/schema.graphql: CaseRecord (caseId, timestamp, status, location, reporterId, channel, reportData, eventHistory, needsProfile, bidSummary, assignedTo), ShelterBid (caseId, shelterId, availableSlots, hasVetOnSite, acceptedSpecies, distanceKm, confidence, dataFreshness), and NeedsProfile (hardConstraints, softWeights, urgencyLevel). These are the real, currently deployed fields, not a proposed schema.</w:t>
      </w:r>
    </w:p>
    <w:p>
      <w:pPr>
        <w:keepNext/>
        <w:spacing w:after="100" w:before="200" w:line="264"/>
      </w:pPr>
      <w:r>
        <w:rPr>
          <w:rFonts w:ascii="Calibri" w:cs="Calibri" w:eastAsia="Calibri" w:hAnsi="Calibri"/>
          <w:b/>
          <w:bCs/>
          <w:color w:val="0A3A35"/>
          <w:sz w:val="24"/>
          <w:szCs w:val="24"/>
        </w:rPr>
        <w:t xml:space="preserve">Hardware Limitations</w:t>
      </w:r>
    </w:p>
    <w:p>
      <w:pPr>
        <w:spacing w:after="120" w:before="0" w:line="264"/>
        <w:jc w:val="both"/>
      </w:pPr>
      <w:r>
        <w:rPr>
          <w:rFonts w:ascii="Calibri" w:cs="Calibri" w:eastAsia="Calibri" w:hAnsi="Calibri"/>
          <w:sz w:val="22"/>
          <w:szCs w:val="22"/>
        </w:rPr>
        <w:t xml:space="preserve">The system is entirely serverless (Lambda, DynamoDB, EventBridge, AppSync, S3); no GPU or dedicated compute is required or available, which constrains the computational method choice (Section 2, Theme 2) toward AHP and rule-based scoring rather than model training.</w:t>
      </w:r>
    </w:p>
    <w:p>
      <w:pPr>
        <w:keepNext/>
        <w:spacing w:after="100" w:before="200" w:line="264"/>
      </w:pPr>
      <w:r>
        <w:rPr>
          <w:rFonts w:ascii="Calibri" w:cs="Calibri" w:eastAsia="Calibri" w:hAnsi="Calibri"/>
          <w:b/>
          <w:bCs/>
          <w:color w:val="0A3A35"/>
          <w:sz w:val="24"/>
          <w:szCs w:val="24"/>
        </w:rPr>
        <w:t xml:space="preserve">Interface Constraints</w:t>
      </w:r>
    </w:p>
    <w:p>
      <w:pPr>
        <w:spacing w:after="120" w:before="0" w:line="264"/>
        <w:jc w:val="both"/>
      </w:pPr>
      <w:r>
        <w:rPr>
          <w:rFonts w:ascii="Calibri" w:cs="Calibri" w:eastAsia="Calibri" w:hAnsi="Calibri"/>
          <w:sz w:val="22"/>
          <w:szCs w:val="22"/>
        </w:rPr>
        <w:t xml:space="preserve">Reporters interact through an Expo-based mobile app; Tier-2 shelter coordinators interact through Slack; all clients read and write through a single AppSync GraphQL API, meaning any schema change must remain compatible with the existing mobile app and Slack webhook without a coordinated multi-client migration.</w:t>
      </w:r>
    </w:p>
    <w:p>
      <w:pPr>
        <w:keepNext/>
        <w:spacing w:after="100" w:before="200" w:line="264"/>
      </w:pPr>
      <w:r>
        <w:rPr>
          <w:rFonts w:ascii="Calibri" w:cs="Calibri" w:eastAsia="Calibri" w:hAnsi="Calibri"/>
          <w:b/>
          <w:bCs/>
          <w:color w:val="0A3A35"/>
          <w:sz w:val="24"/>
          <w:szCs w:val="24"/>
        </w:rPr>
        <w:t xml:space="preserve">Organizational Policy</w:t>
      </w:r>
    </w:p>
    <w:p>
      <w:pPr>
        <w:spacing w:after="120" w:before="0" w:line="264"/>
        <w:jc w:val="both"/>
      </w:pPr>
      <w:r>
        <w:rPr>
          <w:rFonts w:ascii="Calibri" w:cs="Calibri" w:eastAsia="Calibri" w:hAnsi="Calibri"/>
          <w:sz w:val="22"/>
          <w:szCs w:val="22"/>
        </w:rPr>
        <w:t xml:space="preserve">The project operates under a single-supervisor-approved capstone scope (harden the routing algorithm only); no real shelter data-sharing agreement exists, so all shelter data is either seeded or the one real captured case. A private GitHub repository now exists as of Week 2, resolving the prior workspace-governance gap.</w:t>
      </w:r>
    </w:p>
    <w:p>
      <w:r>
        <w:br w:type="page"/>
      </w:r>
    </w:p>
    <w:p>
      <w:pPr>
        <w:keepNext/>
        <w:pBdr>
          <w:bottom w:val="single" w:color="0F4C46" w:sz="8" w:space="4"/>
        </w:pBdr>
        <w:spacing w:after="140" w:before="320" w:line="264"/>
      </w:pPr>
      <w:r>
        <w:rPr>
          <w:rFonts w:ascii="Calibri" w:cs="Calibri" w:eastAsia="Calibri" w:hAnsi="Calibri"/>
          <w:b/>
          <w:bCs/>
          <w:color w:val="0F4C46"/>
          <w:sz w:val="30"/>
          <w:szCs w:val="30"/>
        </w:rPr>
        <w:t xml:space="preserve">7. Data Source Inventory</w:t>
      </w:r>
    </w:p>
    <w:p>
      <w:pPr>
        <w:spacing w:after="120" w:before="0" w:line="264"/>
        <w:jc w:val="both"/>
      </w:pPr>
      <w:r>
        <w:rPr>
          <w:rFonts w:ascii="Calibri" w:cs="Calibri" w:eastAsia="Calibri" w:hAnsi="Calibri"/>
          <w:sz w:val="22"/>
          <w:szCs w:val="22"/>
        </w:rPr>
        <w:t xml:space="preserve">This project is data-driven with respect to its own operational data (cases, bids, shelters), so each real data source is profiled below for provenance, structure, and known quality limitations, confirmed directly against lib/stacks/database-stack.ts, lib/schema.graphql, and each Lambda's source rather than described generically.</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1600"/>
        <w:gridCol w:w="2400"/>
        <w:gridCol w:w="2760"/>
        <w:gridCol w:w="2600"/>
      </w:tblGrid>
      <w:tr>
        <w:trPr>
          <w:cantSplit/>
          <w:tblHeader/>
        </w:trPr>
        <w:tc>
          <w:tcPr>
            <w:tcW w:type="dxa" w:w="1600"/>
            <w:shd w:fill="E8F3EF" w:val="clear"/>
            <w:tcMar>
              <w:top w:type="dxa" w:w="80"/>
              <w:left w:type="dxa" w:w="100"/>
              <w:bottom w:type="dxa" w:w="80"/>
              <w:right w:type="dxa" w:w="100"/>
            </w:tcMar>
            <w:vAlign w:val="top"/>
          </w:tcPr>
          <w:p>
            <w:pPr>
              <w:spacing w:after="0" w:before="0" w:line="250"/>
            </w:pPr>
            <w:r>
              <w:rPr>
                <w:rFonts w:ascii="Calibri" w:cs="Calibri" w:eastAsia="Calibri" w:hAnsi="Calibri"/>
                <w:b/>
                <w:bCs/>
                <w:i w:val="false"/>
                <w:iCs w:val="false"/>
                <w:sz w:val="20"/>
                <w:szCs w:val="20"/>
              </w:rPr>
              <w:t xml:space="preserve">Source</w:t>
            </w:r>
          </w:p>
        </w:tc>
        <w:tc>
          <w:tcPr>
            <w:tcW w:type="dxa" w:w="2400"/>
            <w:shd w:fill="E8F3EF" w:val="clear"/>
            <w:tcMar>
              <w:top w:type="dxa" w:w="80"/>
              <w:left w:type="dxa" w:w="100"/>
              <w:bottom w:type="dxa" w:w="80"/>
              <w:right w:type="dxa" w:w="100"/>
            </w:tcMar>
            <w:vAlign w:val="top"/>
          </w:tcPr>
          <w:p>
            <w:pPr>
              <w:spacing w:after="0" w:before="0" w:line="250"/>
            </w:pPr>
            <w:r>
              <w:rPr>
                <w:rFonts w:ascii="Calibri" w:cs="Calibri" w:eastAsia="Calibri" w:hAnsi="Calibri"/>
                <w:b/>
                <w:bCs/>
                <w:i w:val="false"/>
                <w:iCs w:val="false"/>
                <w:sz w:val="20"/>
                <w:szCs w:val="20"/>
              </w:rPr>
              <w:t xml:space="preserve">Provenance</w:t>
            </w:r>
          </w:p>
        </w:tc>
        <w:tc>
          <w:tcPr>
            <w:tcW w:type="dxa" w:w="2760"/>
            <w:shd w:fill="E8F3EF" w:val="clear"/>
            <w:tcMar>
              <w:top w:type="dxa" w:w="80"/>
              <w:left w:type="dxa" w:w="100"/>
              <w:bottom w:type="dxa" w:w="80"/>
              <w:right w:type="dxa" w:w="100"/>
            </w:tcMar>
            <w:vAlign w:val="top"/>
          </w:tcPr>
          <w:p>
            <w:pPr>
              <w:spacing w:after="0" w:before="0" w:line="250"/>
            </w:pPr>
            <w:r>
              <w:rPr>
                <w:rFonts w:ascii="Calibri" w:cs="Calibri" w:eastAsia="Calibri" w:hAnsi="Calibri"/>
                <w:b/>
                <w:bCs/>
                <w:i w:val="false"/>
                <w:iCs w:val="false"/>
                <w:sz w:val="20"/>
                <w:szCs w:val="20"/>
              </w:rPr>
              <w:t xml:space="preserve">Field Structure</w:t>
            </w:r>
          </w:p>
        </w:tc>
        <w:tc>
          <w:tcPr>
            <w:tcW w:type="dxa" w:w="2600"/>
            <w:shd w:fill="E8F3EF" w:val="clear"/>
            <w:tcMar>
              <w:top w:type="dxa" w:w="80"/>
              <w:left w:type="dxa" w:w="100"/>
              <w:bottom w:type="dxa" w:w="80"/>
              <w:right w:type="dxa" w:w="100"/>
            </w:tcMar>
            <w:vAlign w:val="top"/>
          </w:tcPr>
          <w:p>
            <w:pPr>
              <w:spacing w:after="0" w:before="0" w:line="250"/>
            </w:pPr>
            <w:r>
              <w:rPr>
                <w:rFonts w:ascii="Calibri" w:cs="Calibri" w:eastAsia="Calibri" w:hAnsi="Calibri"/>
                <w:b/>
                <w:bCs/>
                <w:i w:val="false"/>
                <w:iCs w:val="false"/>
                <w:sz w:val="20"/>
                <w:szCs w:val="20"/>
              </w:rPr>
              <w:t xml:space="preserve">Quality Concerns / Limitations</w:t>
            </w:r>
          </w:p>
        </w:tc>
      </w:tr>
      <w:tr>
        <w:trPr>
          <w:cantSplit/>
        </w:trPr>
        <w:tc>
          <w:tcPr>
            <w:tcW w:type="dxa" w:w="160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rescuenet-cases</w:t>
            </w:r>
          </w:p>
        </w:tc>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Live production data (real submitted reports) plus one fully captured real end-to-end case from Week 1.</w:t>
            </w:r>
          </w:p>
        </w:tc>
        <w:tc>
          <w:tcPr>
            <w:tcW w:type="dxa" w:w="276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caseId (PK); timestamp, status, location, reporterId, channel, reportData (freeform map), eventHistory (append-only list), needsProfile, bidSummary, assignedTo, dupStatus, linkedTo, ttl.</w:t>
            </w:r>
          </w:p>
        </w:tc>
        <w:tc>
          <w:tcPr>
            <w:tcW w:type="dxa" w:w="260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eventHistory is an unbounded list attribute with no size cap; needsProfile is duplicated here and in the separate rescuenet-needs table with no single source of truth.</w:t>
            </w:r>
          </w:p>
        </w:tc>
      </w:tr>
      <w:tr>
        <w:trPr>
          <w:cantSplit/>
        </w:trPr>
        <w:tc>
          <w:tcPr>
            <w:tcW w:type="dxa" w:w="160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rescuenet-shelters</w:t>
            </w:r>
          </w:p>
        </w:tc>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Seeded synthetic shelter profiles (six shelters) defined in lib/constants.ts; no real shelter has been onboarded.</w:t>
            </w:r>
          </w:p>
        </w:tc>
        <w:tc>
          <w:tcPr>
            <w:tcW w:type="dxa" w:w="276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shelterId (PK); name, tier (1 or 2), location, preferences (timeout/filters), capacity (tier 1) or slack channel (tier 2).</w:t>
            </w:r>
          </w:p>
        </w:tc>
        <w:tc>
          <w:tcPr>
            <w:tcW w:type="dxa" w:w="260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Small, fixed roster; not representative of real shelter diversity or scale — an explicit limitation for any evaluation drawn from it.</w:t>
            </w:r>
          </w:p>
        </w:tc>
      </w:tr>
      <w:tr>
        <w:trPr>
          <w:cantSplit/>
        </w:trPr>
        <w:tc>
          <w:tcPr>
            <w:tcW w:type="dxa" w:w="160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rescuenet-bids</w:t>
            </w:r>
          </w:p>
        </w:tc>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Generated live by shelters (real or seeded) bidding on real or seeded cases.</w:t>
            </w:r>
          </w:p>
        </w:tc>
        <w:tc>
          <w:tcPr>
            <w:tcW w:type="dxa" w:w="276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caseId + shelterId (composite PK); shelterName, availableSlots, hasVetOnSite, acceptedSpecies, distanceKm, confidence, dataFreshness, matchScore.</w:t>
            </w:r>
          </w:p>
        </w:tc>
        <w:tc>
          <w:tcPr>
            <w:tcW w:type="dxa" w:w="260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No known quality issues; already models a clean child-of-Case relationship.</w:t>
            </w:r>
          </w:p>
        </w:tc>
      </w:tr>
      <w:tr>
        <w:trPr>
          <w:cantSplit/>
        </w:trPr>
        <w:tc>
          <w:tcPr>
            <w:tcW w:type="dxa" w:w="160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rescuenet-needs</w:t>
            </w:r>
          </w:p>
        </w:tc>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Generated by the needs-profile Lambda's Bedrock reasoning call for each case.</w:t>
            </w:r>
          </w:p>
        </w:tc>
        <w:tc>
          <w:tcPr>
            <w:tcW w:type="dxa" w:w="276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caseId (PK); hardConstraints, softWeights (five factors), urgencyLevel, reasoning.</w:t>
            </w:r>
          </w:p>
        </w:tc>
        <w:tc>
          <w:tcPr>
            <w:tcW w:type="dxa" w:w="260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Duplicated onto the Case item's own needsProfile attribute (see above); the softWeights values are exactly what SC2's AHP work will replace.</w:t>
            </w:r>
          </w:p>
        </w:tc>
      </w:tr>
      <w:tr>
        <w:trPr>
          <w:cantSplit/>
        </w:trPr>
        <w:tc>
          <w:tcPr>
            <w:tcW w:type="dxa" w:w="160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rescuenet-qa-sessions</w:t>
            </w:r>
          </w:p>
        </w:tc>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Generated by Tier-2 Slack Q&amp;A flows.</w:t>
            </w:r>
          </w:p>
        </w:tc>
        <w:tc>
          <w:tcPr>
            <w:tcW w:type="dxa" w:w="276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sessionId (PK); caseId, channelId, shelterId, status, question/answer state.</w:t>
            </w:r>
          </w:p>
        </w:tc>
        <w:tc>
          <w:tcPr>
            <w:tcW w:type="dxa" w:w="260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A caseId-index GSI exists in the CDK stack but is not queried anywhere in the Lambda code — a real, previously undocumented dead index found while compiling this inventory.</w:t>
            </w:r>
          </w:p>
        </w:tc>
      </w:tr>
      <w:tr>
        <w:trPr>
          <w:cantSplit/>
        </w:trPr>
        <w:tc>
          <w:tcPr>
            <w:tcW w:type="dxa" w:w="160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S3 photo bucket</w:t>
            </w:r>
          </w:p>
        </w:tc>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Uploaded directly by reporters at report time.</w:t>
            </w:r>
          </w:p>
        </w:tc>
        <w:tc>
          <w:tcPr>
            <w:tcW w:type="dxa" w:w="276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Objects keyed by cases/{caseId}/*.jpg; no DynamoDB metadata item exists for photos today.</w:t>
            </w:r>
          </w:p>
        </w:tc>
        <w:tc>
          <w:tcPr>
            <w:tcW w:type="dxa" w:w="2600"/>
            <w:tcMar>
              <w:top w:type="dxa" w:w="80"/>
              <w:left w:type="dxa" w:w="100"/>
              <w:bottom w:type="dxa" w:w="80"/>
              <w:right w:type="dxa" w:w="100"/>
            </w:tcMar>
            <w:vAlign w:val="top"/>
          </w:tcPr>
          <w:p>
            <w:pPr>
              <w:spacing w:after="0" w:before="0" w:line="250"/>
            </w:pPr>
            <w:r>
              <w:rPr>
                <w:rFonts w:ascii="Calibri" w:cs="Calibri" w:eastAsia="Calibri" w:hAnsi="Calibri"/>
                <w:b w:val="false"/>
                <w:bCs w:val="false"/>
                <w:i w:val="false"/>
                <w:iCs w:val="false"/>
                <w:sz w:val="20"/>
                <w:szCs w:val="20"/>
              </w:rPr>
              <w:t xml:space="preserve">Photo existence/order is inferred purely from S3 listing, not tracked as structured data — a gap if photo metadata (upload time, moderation status) is ever needed.</w:t>
            </w:r>
          </w:p>
        </w:tc>
      </w:tr>
    </w:tbl>
    <w:p>
      <w:pPr>
        <w:spacing w:after="0" w:before="0" w:line="264"/>
      </w:pPr>
      <w:r>
        <w:rPr>
          <w:rFonts w:ascii="Calibri" w:cs="Calibri" w:eastAsia="Calibri" w:hAnsi="Calibri"/>
          <w:sz w:val="22"/>
          <w:szCs w:val="22"/>
        </w:rPr>
        <w:t xml:space="preserve"/>
      </w:r>
    </w:p>
    <w:p>
      <w:r>
        <w:br w:type="page"/>
      </w:r>
    </w:p>
    <w:p>
      <w:pPr>
        <w:keepNext/>
        <w:pBdr>
          <w:bottom w:val="single" w:color="0F4C46" w:sz="8" w:space="4"/>
        </w:pBdr>
        <w:spacing w:after="140" w:before="320" w:line="264"/>
      </w:pPr>
      <w:r>
        <w:rPr>
          <w:rFonts w:ascii="Calibri" w:cs="Calibri" w:eastAsia="Calibri" w:hAnsi="Calibri"/>
          <w:b/>
          <w:bCs/>
          <w:color w:val="0F4C46"/>
          <w:sz w:val="30"/>
          <w:szCs w:val="30"/>
        </w:rPr>
        <w:t xml:space="preserve">8. Supervisor Review</w:t>
      </w:r>
    </w:p>
    <w:p>
      <w:pPr>
        <w:spacing w:after="120" w:before="0" w:line="264"/>
        <w:jc w:val="both"/>
      </w:pPr>
      <w:r>
        <w:rPr>
          <w:rFonts w:ascii="Calibri" w:cs="Calibri" w:eastAsia="Calibri" w:hAnsi="Calibri"/>
          <w:sz w:val="22"/>
          <w:szCs w:val="22"/>
        </w:rPr>
        <w:t xml:space="preserve">Per this assignment's task list, this brief should be reviewed with the supervisor and weak or untestable requirements revised accordingly. Consistent with how the Week 1 and Hard Stop 1 "confirm with supervisor" items were handled, no separate meeting was scheduled specifically for this document by the Sunday deadline; the self-check below was performed directly against the assignment's own prompt ("can every requirement be justified using stakeholder need or technical evidence?").</w:t>
      </w:r>
    </w:p>
    <w:p>
      <w:pPr>
        <w:spacing w:after="80" w:before="0" w:line="264"/>
        <w:ind w:left="450" w:hanging="270"/>
        <w:jc w:val="both"/>
      </w:pPr>
      <w:r>
        <w:rPr>
          <w:rFonts w:ascii="Calibri" w:cs="Calibri" w:eastAsia="Calibri" w:hAnsi="Calibri"/>
          <w:sz w:val="22"/>
          <w:szCs w:val="22"/>
        </w:rPr>
        <w:t xml:space="preserve">•  FR1, FR2, NFR1, NFR2 are directly testable: each has an automatable pass/fail condition (regression test, consistency-ratio computation, timing measurement) already defined in the Hard Stop 1 success criteria.</w:t>
      </w:r>
    </w:p>
    <w:p>
      <w:pPr>
        <w:spacing w:after="80" w:before="0" w:line="264"/>
        <w:ind w:left="450" w:hanging="270"/>
        <w:jc w:val="both"/>
      </w:pPr>
      <w:r>
        <w:rPr>
          <w:rFonts w:ascii="Calibri" w:cs="Calibri" w:eastAsia="Calibri" w:hAnsi="Calibri"/>
          <w:sz w:val="22"/>
          <w:szCs w:val="22"/>
        </w:rPr>
        <w:t xml:space="preserve">•  FR3 depends on Castells and Moffat's (2022) acknowledged point that no offline evaluation design is uniformly reliable — this is disclosed as a methodological limitation in Section 2 rather than presented as fully solved.</w:t>
      </w:r>
    </w:p>
    <w:p>
      <w:pPr>
        <w:spacing w:after="80" w:before="0" w:line="264"/>
        <w:ind w:left="450" w:hanging="270"/>
        <w:jc w:val="both"/>
      </w:pPr>
      <w:r>
        <w:rPr>
          <w:rFonts w:ascii="Calibri" w:cs="Calibri" w:eastAsia="Calibri" w:hAnsi="Calibri"/>
          <w:sz w:val="22"/>
          <w:szCs w:val="22"/>
        </w:rPr>
        <w:t xml:space="preserve">•  FR5's privacy framing was already corrected once, per Week 2 feedback, from an unqualified conclusion to a stated assumption; the same caution is applied to it here.</w:t>
      </w:r>
    </w:p>
    <w:p>
      <w:pPr>
        <w:spacing w:after="80" w:before="0" w:line="264"/>
        <w:ind w:left="450" w:hanging="270"/>
        <w:jc w:val="both"/>
      </w:pPr>
      <w:r>
        <w:rPr>
          <w:rFonts w:ascii="Calibri" w:cs="Calibri" w:eastAsia="Calibri" w:hAnsi="Calibri"/>
          <w:sz w:val="22"/>
          <w:szCs w:val="22"/>
        </w:rPr>
        <w:t xml:space="preserve">•  Open item for actual supervisor confirmation at the next scheduled review: whether the six seeded shelter profiles (Section 7) remain an acceptable requirements-validation baseline, or whether broader synthetic shelter diversity should be a requirement in its own right before implementation begins in Week 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e058f44b3d9889ddaa37b108c2537a58a3d197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2026-09-22T18:36:15.013Z</dcterms:created>
  <dcterms:modified xsi:type="dcterms:W3CDTF">2026-09-22T18:36:15.018Z</dcterms:modified>
</cp:coreProperties>
</file>

<file path=docProps/custom.xml><?xml version="1.0" encoding="utf-8"?>
<Properties xmlns="http://schemas.openxmlformats.org/officeDocument/2006/custom-properties" xmlns:vt="http://schemas.openxmlformats.org/officeDocument/2006/docPropsVTypes"/>
</file>