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pPr>
      <w:r>
        <w:rPr>
          <w:rFonts w:ascii="Calibri" w:cs="Calibri" w:eastAsia="Calibri" w:hAnsi="Calibri"/>
          <w:sz w:val="22"/>
          <w:szCs w:val="22"/>
        </w:rPr>
        <w:t xml:space="preserve"/>
      </w:r>
    </w:p>
    <w:p>
      <w:pPr>
        <w:spacing w:after="0" w:before="0" w:line="264"/>
      </w:pPr>
      <w:r>
        <w:rPr>
          <w:rFonts w:ascii="Calibri" w:cs="Calibri" w:eastAsia="Calibri" w:hAnsi="Calibri"/>
          <w:sz w:val="22"/>
          <w:szCs w:val="22"/>
        </w:rPr>
        <w:t xml:space="preserve"/>
      </w:r>
    </w:p>
    <w:p>
      <w:pPr>
        <w:spacing w:after="0" w:before="0" w:line="264"/>
      </w:pPr>
      <w:r>
        <w:rPr>
          <w:rFonts w:ascii="Calibri" w:cs="Calibri" w:eastAsia="Calibri" w:hAnsi="Calibri"/>
          <w:sz w:val="22"/>
          <w:szCs w:val="22"/>
        </w:rPr>
        <w:t xml:space="preserve"/>
      </w:r>
    </w:p>
    <w:p>
      <w:pPr>
        <w:spacing w:after="200" w:before="0" w:line="264"/>
        <w:jc w:val="center"/>
      </w:pPr>
      <w:r>
        <w:rPr>
          <w:rFonts w:ascii="Calibri" w:cs="Calibri" w:eastAsia="Calibri" w:hAnsi="Calibri"/>
          <w:b/>
          <w:bCs/>
          <w:color w:val="0F4C46"/>
          <w:sz w:val="40"/>
          <w:szCs w:val="40"/>
        </w:rPr>
        <w:t xml:space="preserve">Hard Stop 1: Proposal Approval Package</w:t>
      </w:r>
    </w:p>
    <w:p>
      <w:pPr>
        <w:spacing w:after="400" w:before="0" w:line="264"/>
        <w:jc w:val="center"/>
      </w:pPr>
      <w:r>
        <w:rPr>
          <w:rFonts w:ascii="Calibri" w:cs="Calibri" w:eastAsia="Calibri" w:hAnsi="Calibri"/>
          <w:i/>
          <w:iCs/>
          <w:color w:val="0A3A35"/>
          <w:sz w:val="28"/>
          <w:szCs w:val="28"/>
        </w:rPr>
        <w:t xml:space="preserve">Calibrated Multi-Factor Case Routing for RescueNet</w:t>
      </w:r>
    </w:p>
    <w:p>
      <w:pPr>
        <w:spacing w:after="220" w:before="0" w:line="264"/>
        <w:jc w:val="center"/>
      </w:pPr>
      <w:r>
        <w:rPr>
          <w:rFonts w:ascii="Calibri" w:cs="Calibri" w:eastAsia="Calibri" w:hAnsi="Calibri"/>
          <w:b/>
          <w:bCs/>
          <w:sz w:val="22"/>
          <w:szCs w:val="22"/>
        </w:rPr>
        <w:t xml:space="preserve">Instructor: </w:t>
      </w:r>
      <w:r>
        <w:rPr>
          <w:rFonts w:ascii="Calibri" w:cs="Calibri" w:eastAsia="Calibri" w:hAnsi="Calibri"/>
          <w:sz w:val="22"/>
          <w:szCs w:val="22"/>
        </w:rPr>
        <w:t xml:space="preserve">Majid Shaalan, Ph.D.</w:t>
      </w:r>
    </w:p>
    <w:p>
      <w:pPr>
        <w:spacing w:after="220" w:before="0" w:line="264"/>
        <w:jc w:val="center"/>
      </w:pPr>
      <w:r>
        <w:rPr>
          <w:rFonts w:ascii="Calibri" w:cs="Calibri" w:eastAsia="Calibri" w:hAnsi="Calibri"/>
          <w:b/>
          <w:bCs/>
          <w:sz w:val="22"/>
          <w:szCs w:val="22"/>
        </w:rPr>
        <w:t xml:space="preserve">Course: </w:t>
      </w:r>
      <w:r>
        <w:rPr>
          <w:rFonts w:ascii="Calibri" w:cs="Calibri" w:eastAsia="Calibri" w:hAnsi="Calibri"/>
          <w:sz w:val="22"/>
          <w:szCs w:val="22"/>
        </w:rPr>
        <w:t xml:space="preserve">CISC 699 Applied Project in Computer Information Sciences</w:t>
      </w:r>
    </w:p>
    <w:p>
      <w:pPr>
        <w:spacing w:after="220" w:before="0" w:line="264"/>
        <w:jc w:val="center"/>
      </w:pPr>
      <w:r>
        <w:rPr>
          <w:rFonts w:ascii="Calibri" w:cs="Calibri" w:eastAsia="Calibri" w:hAnsi="Calibri"/>
          <w:b/>
          <w:bCs/>
          <w:sz w:val="22"/>
          <w:szCs w:val="22"/>
        </w:rPr>
        <w:t xml:space="preserve">Student: </w:t>
      </w:r>
      <w:r>
        <w:rPr>
          <w:rFonts w:ascii="Calibri" w:cs="Calibri" w:eastAsia="Calibri" w:hAnsi="Calibri"/>
          <w:sz w:val="22"/>
          <w:szCs w:val="22"/>
        </w:rPr>
        <w:t xml:space="preserve">Manoj Venkatachalaiah</w:t>
      </w:r>
    </w:p>
    <w:p>
      <w:pPr>
        <w:spacing w:after="220" w:before="0" w:line="264"/>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September 13, 2026 (Week 2)</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 AI Usage Log and Academic Integrity</w:t>
      </w:r>
    </w:p>
    <w:p>
      <w:pPr>
        <w:spacing w:after="120" w:before="0" w:line="264"/>
        <w:jc w:val="both"/>
      </w:pPr>
      <w:r>
        <w:rPr>
          <w:rFonts w:ascii="Calibri" w:cs="Calibri" w:eastAsia="Calibri" w:hAnsi="Calibri"/>
          <w:sz w:val="22"/>
          <w:szCs w:val="22"/>
        </w:rPr>
        <w:t xml:space="preserve">This section leads the document per this week's task instructions, so AI use is established before any other content is read. Generative AI assistance (Claude, Anthropic) was used throughout the preparation of this proposal, in the same structured, per-instance format adopted in Week 1 (tool, date/phase, purpose, prompt/task summary, output used, affected section/artifact, human verification, final student revisions). The complete, cumulative AI-use log — including this week's entries below — is reproduced in full as Appendix A, addressing the Week 1 feedback that the log file itself, not just a reference to it, should be included as a submission artifact.</w:t>
      </w:r>
    </w:p>
    <w:p>
      <w:pPr>
        <w:keepNext/>
        <w:spacing w:after="60" w:before="120" w:line="264"/>
      </w:pPr>
      <w:r>
        <w:rPr>
          <w:rFonts w:ascii="Calibri" w:cs="Calibri" w:eastAsia="Calibri" w:hAnsi="Calibri"/>
          <w:b/>
          <w:bCs/>
          <w:i/>
          <w:iCs/>
          <w:sz w:val="22"/>
          <w:szCs w:val="22"/>
        </w:rPr>
        <w:t xml:space="preserve">Entry 4 — Feedback Triage and Gap Analysis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(2026-09-13), pre-drafting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Systematically map the instructor's RU-01 rubric feedback (88/100) and general class feedback onto concrete revisions required for this proposal.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Given the pasted per-criterion instructor comments on Assignment 1, identify actionable items and cross-reference them against this week's task list before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"Response to Week 1 Supervisor Feedback" table in Section 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confirmed each item against the actual feedback text before marking it addressed; nothing was marked resolved without a corresponding change in this package.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to resolve the GitHub remote/issue-tracker item this week rather than defer it a second time, given it had already been flagged once.</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5 — Proposal Drafting (Background, Objectives, Success Criteria, MACP Framing, Project Plan)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Revise the Week 1 charter into the formal proposal structure this assignment requires, with explicit measurable success criteria and MACP-framed feasibility.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3 through 7 (Background and Problem Statement; Objectives and Intended Artifact; Success Criteria; MACP Feasibility Framing; Project Plan).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3, 4, 5, 6,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by the student against the actual codebase, the live AWS account, and the syllabus's published 14-week schedule before inclusion.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set the specific numeric thresholds in Section 5 (e.g., the CR &lt; 0.10 consistency threshold, the ~30-second latency budget) and decided the four-phase boundary structure in Section 7.</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6 — Work Breakdown, Risk/Ethics Section, and Approval Brief</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Produce the week-by-week work breakdown, the expanded risk/ethics/constraints section, and the one-page approval brief.</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8, 9, 10, and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8, 9, 10,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and edited by the student before submission; risk likelihoods and the approval brief's "conditional" items were checked against the student's own understanding of project status.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which open items from the Week 1 Supervisor Briefing Note remain genuinely open now that the GitHub item is resolved, and wrote the specific evidence commitments for the Week 4 checkpoint.</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Academic Integrity Statement</w:t>
      </w:r>
    </w:p>
    <w:p>
      <w:pPr>
        <w:spacing w:after="120" w:before="0" w:line="264"/>
        <w:jc w:val="both"/>
      </w:pPr>
      <w:r>
        <w:rPr>
          <w:rFonts w:ascii="Calibri" w:cs="Calibri" w:eastAsia="Calibri" w:hAnsi="Calibri"/>
          <w:sz w:val="22"/>
          <w:szCs w:val="22"/>
        </w:rPr>
        <w:t xml:space="preserve">All scope, technical, and prioritization decisions in this package are the student's own. AI assistance was used for drafting, restructuring, and research support as disclosed above and in Appendix A; it was not used to generate project data, fabricate evidence, or represent unverified claims as confirmed. Every claim distinguished as "confirmed" in Section 3 was checked directly against source code, a live AWS test, or the syllabus text before being labeled as such.</w:t>
      </w:r>
    </w:p>
    <w:p>
      <w:pPr>
        <w:keepNext/>
        <w:spacing w:after="100" w:before="200" w:line="264"/>
      </w:pPr>
      <w:r>
        <w:rPr>
          <w:rFonts w:ascii="Calibri" w:cs="Calibri" w:eastAsia="Calibri" w:hAnsi="Calibri"/>
          <w:b/>
          <w:bCs/>
          <w:color w:val="0A3A35"/>
          <w:sz w:val="24"/>
          <w:szCs w:val="24"/>
        </w:rPr>
        <w:t xml:space="preserve">Student-Directed Judgments</w:t>
      </w:r>
    </w:p>
    <w:p>
      <w:pPr>
        <w:spacing w:after="120" w:before="0" w:line="264"/>
        <w:jc w:val="both"/>
      </w:pPr>
      <w:r>
        <w:rPr>
          <w:rFonts w:ascii="Calibri" w:cs="Calibri" w:eastAsia="Calibri" w:hAnsi="Calibri"/>
          <w:sz w:val="22"/>
          <w:szCs w:val="22"/>
        </w:rPr>
        <w:t xml:space="preserve">Consistent with Week 1: selecting and continuing Candidate A's scope, setting the measurable success criteria in Section 5, resolving the GitHub item this week instead of deferring it again, and every item listed as still-conditional in Section 11 reflect the student's own judgment about what this project needs, not an unreviewed AI output.</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2. Response to Week 1 Supervisor Feedback</w:t>
      </w:r>
    </w:p>
    <w:p>
      <w:pPr>
        <w:spacing w:after="120" w:before="0" w:line="264"/>
        <w:jc w:val="both"/>
      </w:pPr>
      <w:r>
        <w:rPr>
          <w:rFonts w:ascii="Calibri" w:cs="Calibri" w:eastAsia="Calibri" w:hAnsi="Calibri"/>
          <w:sz w:val="22"/>
          <w:szCs w:val="22"/>
        </w:rPr>
        <w:t xml:space="preserve">Per this week's task list, the instructor's scored feedback on the Week 1 Launch Packet (88/100 overall) is treated here as the supervisor feedback this assignment asks the proposal to respond to. Each deficiency noted is mapped below to the specific place in this package where it is addressed.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3400"/>
        <w:gridCol w:w="35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Week 1 Criterion (Score)</w:t>
            </w:r>
          </w:p>
        </w:tc>
        <w:tc>
          <w:tcPr>
            <w:tcW w:type="dxa" w:w="3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Deficiency Noted</w:t>
            </w:r>
          </w:p>
        </w:tc>
        <w:tc>
          <w:tcPr>
            <w:tcW w:type="dxa" w:w="35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Revision in This Proposal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 Problem Selection and Fit (18/20)</w:t>
            </w:r>
          </w:p>
        </w:tc>
        <w:tc>
          <w:tcPr>
            <w:tcW w:type="dxa" w:w="3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Shelter-partner evidence is tentative; distinguish confirmed evidence from plausible pilot context more explicitly.</w:t>
            </w:r>
          </w:p>
        </w:tc>
        <w:tc>
          <w:tcPr>
            <w:tcW w:type="dxa" w:w="35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3 now tags every claim as Confirmed, Plausible/Pilot Context, or Aspirational, rather than blending them.</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2. Project Charter and Scope Framing (18/20)</w:t>
            </w:r>
          </w:p>
        </w:tc>
        <w:tc>
          <w:tcPr>
            <w:tcW w:type="dxa" w:w="3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AHP plan needs an operational protocol: judges, procedure, consistency threshold, revision process.</w:t>
            </w:r>
          </w:p>
        </w:tc>
        <w:tc>
          <w:tcPr>
            <w:tcW w:type="dxa" w:w="35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fully specified AHP Elicitation Protocol (judges, 5×5 instrument, CR &lt; 0.10 threshold, revision procedure) is carried into Sections 4 and 6 of this proposal.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3. Feasibility, Resources, and Technical Readiness (16/20)</w:t>
            </w:r>
          </w:p>
        </w:tc>
        <w:tc>
          <w:tcPr>
            <w:tcW w:type="dxa" w:w="3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GitHub remote and issue tracker were not complete at Week 1 capture.</w:t>
            </w:r>
          </w:p>
        </w:tc>
        <w:tc>
          <w:tcPr>
            <w:tcW w:type="dxa" w:w="35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Resolved this week — see Section 6 (Machine) for the live repository URL and initial issue backlog, closing the one open workspace gap.</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4. Initial Bibliography and Professional Communication (18/20)</w:t>
            </w:r>
          </w:p>
        </w:tc>
        <w:tc>
          <w:tcPr>
            <w:tcW w:type="dxa" w:w="3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Add 2–3 recent sources on contemporary multi-agent routing, observability, or evaluation under low-data conditions.</w:t>
            </w:r>
          </w:p>
        </w:tc>
        <w:tc>
          <w:tcPr>
            <w:tcW w:type="dxa" w:w="35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Three independently verified 2025 sources (Hady et al., 2025; AWS Bedrock multi-agent GA, 2025; Zhou et al., 2025) are already incorporated and are referenced again in Sections 4 and 6 as they inform this week's revisions.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5. AI Usage Log and Academic Integrity (18/20)</w:t>
            </w:r>
          </w:p>
        </w:tc>
        <w:tc>
          <w:tcPr>
            <w:tcW w:type="dxa" w:w="3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AI-use log was referenced but not included as a submission artifact.</w:t>
            </w:r>
          </w:p>
        </w:tc>
        <w:tc>
          <w:tcPr>
            <w:tcW w:type="dxa" w:w="35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This section leads the document (per this week's task instructions) and the complete, cumulative log is reproduced verbatim as Appendix A.</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3. Background and Problem Statement</w:t>
      </w:r>
    </w:p>
    <w:p>
      <w:pPr>
        <w:keepNext/>
        <w:spacing w:after="100" w:before="200" w:line="264"/>
      </w:pPr>
      <w:r>
        <w:rPr>
          <w:rFonts w:ascii="Calibri" w:cs="Calibri" w:eastAsia="Calibri" w:hAnsi="Calibri"/>
          <w:b/>
          <w:bCs/>
          <w:color w:val="0A3A35"/>
          <w:sz w:val="24"/>
          <w:szCs w:val="24"/>
        </w:rPr>
        <w:t xml:space="preserve">Background</w:t>
      </w:r>
    </w:p>
    <w:p>
      <w:pPr>
        <w:spacing w:after="120" w:before="0" w:line="264"/>
        <w:jc w:val="both"/>
      </w:pPr>
      <w:r>
        <w:rPr>
          <w:rFonts w:ascii="Calibri" w:cs="Calibri" w:eastAsia="Calibri" w:hAnsi="Calibri"/>
          <w:sz w:val="22"/>
          <w:szCs w:val="22"/>
        </w:rPr>
        <w:t xml:space="preserve">RescueNet is a multi-agent AWS system, built across two prior capstone courses (ISEM 502 and GRAD 695), that automates stray/injured/lost-animal case intake and shelter-matching using a blackboard architecture, computer vision, and LLM-based reasoning. The course supervisor approved continuing RescueNet into CISC 699 with a specific mandate: harden the system's case-routing (arbitration) algorithm before any real shelter is asked to depend on it.</w:t>
      </w:r>
    </w:p>
    <w:p>
      <w:pPr>
        <w:keepNext/>
        <w:spacing w:after="100" w:before="200" w:line="264"/>
      </w:pPr>
      <w:r>
        <w:rPr>
          <w:rFonts w:ascii="Calibri" w:cs="Calibri" w:eastAsia="Calibri" w:hAnsi="Calibri"/>
          <w:b/>
          <w:bCs/>
          <w:color w:val="0A3A35"/>
          <w:sz w:val="24"/>
          <w:szCs w:val="24"/>
        </w:rPr>
        <w:t xml:space="preserve">Problem Statement</w:t>
      </w:r>
    </w:p>
    <w:p>
      <w:pPr>
        <w:spacing w:after="120" w:before="0" w:line="264"/>
        <w:jc w:val="both"/>
      </w:pPr>
      <w:r>
        <w:rPr>
          <w:rFonts w:ascii="Calibri" w:cs="Calibri" w:eastAsia="Calibri" w:hAnsi="Calibri"/>
          <w:sz w:val="22"/>
          <w:szCs w:val="22"/>
        </w:rPr>
        <w:t xml:space="preserve">A direct code audit of the deployed system confirmed that the case-routing algorithm — the component deciding which shelter a report is assigned to — relies on hand-picked scoring weights with no calibration against outcomes, and contains one scoring term that is effectively non-functional (a species-match factor that checks whether an array exists rather than whether the species actually matches). This matters because a poorly calibrated router can misassign real cases once real shelters rely on it, and because the architecture pattern underneath it (a Contract Net-style bid/announce/award mechanism) is sound and worth preserving rather than replacing.</w:t>
      </w:r>
    </w:p>
    <w:p>
      <w:pPr>
        <w:keepNext/>
        <w:spacing w:after="100" w:before="200" w:line="264"/>
      </w:pPr>
      <w:r>
        <w:rPr>
          <w:rFonts w:ascii="Calibri" w:cs="Calibri" w:eastAsia="Calibri" w:hAnsi="Calibri"/>
          <w:b/>
          <w:bCs/>
          <w:color w:val="0A3A35"/>
          <w:sz w:val="24"/>
          <w:szCs w:val="24"/>
        </w:rPr>
        <w:t xml:space="preserve">Evidence Status</w:t>
      </w:r>
    </w:p>
    <w:p>
      <w:pPr>
        <w:spacing w:after="120" w:before="0" w:line="264"/>
        <w:jc w:val="both"/>
      </w:pPr>
      <w:r>
        <w:rPr>
          <w:rFonts w:ascii="Calibri" w:cs="Calibri" w:eastAsia="Calibri" w:hAnsi="Calibri"/>
          <w:sz w:val="22"/>
          <w:szCs w:val="22"/>
        </w:rPr>
        <w:t xml:space="preserve">In direct response to Week 1 feedback, every factual claim below is labeled by how it was established, rather than left implicit.</w:t>
      </w:r>
    </w:p>
    <w:p>
      <w:pPr>
        <w:spacing w:after="80" w:before="0" w:line="264"/>
        <w:ind w:left="450" w:hanging="270"/>
        <w:jc w:val="both"/>
      </w:pPr>
      <w:r>
        <w:rPr>
          <w:rFonts w:ascii="Calibri" w:cs="Calibri" w:eastAsia="Calibri" w:hAnsi="Calibri"/>
          <w:b w:val="false"/>
          <w:bCs w:val="false"/>
          <w:sz w:val="22"/>
          <w:szCs w:val="22"/>
        </w:rPr>
        <w:t xml:space="preserve">•  Confirmed: the specScore array-existence defect and the hand-picked normalization constants, verified by reading lambda/arbitrator/index.ts directly; the unprovisioned AWS Location Service Place Index, verified by submitting a real test case to the live AWS account and reading the resulting DynamoDB record.</w:t>
      </w:r>
    </w:p>
    <w:p>
      <w:pPr>
        <w:spacing w:after="80" w:before="0" w:line="264"/>
        <w:ind w:left="450" w:hanging="270"/>
        <w:jc w:val="both"/>
      </w:pPr>
      <w:r>
        <w:rPr>
          <w:rFonts w:ascii="Calibri" w:cs="Calibri" w:eastAsia="Calibri" w:hAnsi="Calibri"/>
          <w:sz w:val="22"/>
          <w:szCs w:val="22"/>
        </w:rPr>
        <w:t xml:space="preserve">•  Plausible / Pilot Context: under-resourced New York shelters with no web presence have been identified as candidate pilot partners once the routing logic is trustworthy; no shelter has signed an agreement or confirmed active engagement as of this submission.</w:t>
      </w:r>
    </w:p>
    <w:p>
      <w:pPr>
        <w:spacing w:after="80" w:before="0" w:line="264"/>
        <w:ind w:left="450" w:hanging="270"/>
        <w:jc w:val="both"/>
      </w:pPr>
      <w:r>
        <w:rPr>
          <w:rFonts w:ascii="Calibri" w:cs="Calibri" w:eastAsia="Calibri" w:hAnsi="Calibri"/>
          <w:sz w:val="22"/>
          <w:szCs w:val="22"/>
        </w:rPr>
        <w:t xml:space="preserve">•  Aspirational: a real-world shelter pilot deployment of the hardened router, contingent on this term's success criteria (Section 5) being met and on a future, separate conversation about project ownership and data-sharing terms.</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4. Objectives and Intended Artifact</w:t>
      </w:r>
    </w:p>
    <w:p>
      <w:pPr>
        <w:spacing w:after="120" w:before="0" w:line="264"/>
        <w:jc w:val="both"/>
      </w:pPr>
      <w:r>
        <w:rPr>
          <w:rFonts w:ascii="Calibri" w:cs="Calibri" w:eastAsia="Calibri" w:hAnsi="Calibri"/>
          <w:sz w:val="22"/>
          <w:szCs w:val="22"/>
        </w:rPr>
        <w:t xml:space="preserve">Every objective below is written to be traceable to exactly one measurable success criterion in Section 5, per this week's self-check ("can every task in your plan be traced to a success criterion?").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900"/>
        <w:gridCol w:w="6960"/>
        <w:gridCol w:w="1500"/>
      </w:tblGrid>
      <w:tr>
        <w:trPr>
          <w:cantSplit/>
          <w:tblHeader/>
        </w:trPr>
        <w:tc>
          <w:tcPr>
            <w:tcW w:type="dxa" w:w="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Objective</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Description</w:t>
            </w:r>
          </w:p>
        </w:tc>
        <w:tc>
          <w:tcPr>
            <w:tcW w:type="dxa" w:w="15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Traces to</w:t>
            </w:r>
          </w:p>
        </w:tc>
      </w:tr>
      <w:tr>
        <w:trPr>
          <w:cantSplit/>
        </w:trPr>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O1</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Fix the confirmed species-match defect in the arbitrator's scoring function.</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SC1</w:t>
            </w:r>
          </w:p>
        </w:tc>
      </w:tr>
      <w:tr>
        <w:trPr>
          <w:cantSplit/>
        </w:trPr>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O2</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Replace hand-picked scoring weights with AHP-derived weights via a formal elicitation protocol.</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SC2</w:t>
            </w:r>
          </w:p>
        </w:tc>
      </w:tr>
      <w:tr>
        <w:trPr>
          <w:cantSplit/>
        </w:trPr>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O3</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Build an evaluation harness that replays cases through the old and new scoring functions and reports a comparison.</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SC3</w:t>
            </w:r>
          </w:p>
        </w:tc>
      </w:tr>
      <w:tr>
        <w:trPr>
          <w:cantSplit/>
        </w:trPr>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O4</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Deploy the hardened scoring module to the live system without regressing the existing end-to-end pipeline.</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SC4</w:t>
            </w:r>
          </w:p>
        </w:tc>
      </w:tr>
      <w:tr>
        <w:trPr>
          <w:cantSplit/>
        </w:trPr>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O5</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 the design and evaluation to a standard reusable in the final technical report.</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SC5</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Intended Artifact</w:t>
      </w:r>
    </w:p>
    <w:p>
      <w:pPr>
        <w:spacing w:after="120" w:before="0" w:line="264"/>
        <w:jc w:val="both"/>
      </w:pPr>
      <w:r>
        <w:rPr>
          <w:rFonts w:ascii="Calibri" w:cs="Calibri" w:eastAsia="Calibri" w:hAnsi="Calibri"/>
          <w:sz w:val="22"/>
          <w:szCs w:val="22"/>
        </w:rPr>
        <w:t xml:space="preserve">A hardened case-scoring module, deployed to the existing live AWS account, consisting of: (1) a corrected species-match term in place of the current array-existence check; (2) a documented set of scoring weights derived through a structured Analytic Hierarchy Process elicitation session — judges, a 5×5 pairwise-comparison instrument over Saaty's 1–9 scale, principal-eigenvector weight derivation, and a consistency ratio (CR) threshold of 0.10 below which the elicitation must be redone; (3) an evaluation harness that replays historical and newly captured case data through both the old and new scoring functions and reports a side-by-side comparison; and (4) supporting documentation of the elicitation process and results. Two stretch goals, pursued only after Section 5's success criteria are met, extend this artifact: outcome-based weight recalibration once real case volume accumulates (informed by Liu, 2009, and the 2025 MARL survey by Hady et al.), and wiring the already-prototyped shelter-onboarding portal's new-case-assignment toggle into the hardened arbitrator's eligibility filter.</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5. Success Criteria</w:t>
      </w:r>
    </w:p>
    <w:p>
      <w:pPr>
        <w:spacing w:after="120" w:before="0" w:line="264"/>
        <w:jc w:val="both"/>
      </w:pPr>
      <w:r>
        <w:rPr>
          <w:rFonts w:ascii="Calibri" w:cs="Calibri" w:eastAsia="Calibri" w:hAnsi="Calibri"/>
          <w:sz w:val="22"/>
          <w:szCs w:val="22"/>
        </w:rPr>
        <w:t xml:space="preserve">Each criterion below states a measurable indicator, in the categories this assignment names (defect rate, comparison baseline, accuracy, latency/throughput, and stakeholder acceptance), together with an explicit target and how it will be measured.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1900"/>
        <w:gridCol w:w="3860"/>
        <w:gridCol w:w="2900"/>
      </w:tblGrid>
      <w:tr>
        <w:trPr>
          <w:cantSplit/>
          <w:tblHeader/>
        </w:trPr>
        <w:tc>
          <w:tcPr>
            <w:tcW w:type="dxa" w:w="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ID</w:t>
            </w:r>
          </w:p>
        </w:tc>
        <w:tc>
          <w:tcPr>
            <w:tcW w:type="dxa" w:w="1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Indicator Type</w:t>
            </w:r>
          </w:p>
        </w:tc>
        <w:tc>
          <w:tcPr>
            <w:tcW w:type="dxa" w:w="38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Target</w:t>
            </w:r>
          </w:p>
        </w:tc>
        <w:tc>
          <w:tcPr>
            <w:tcW w:type="dxa" w:w="2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Measurement Method</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SC1</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Defect rate</w:t>
            </w:r>
          </w:p>
        </w:tc>
        <w:tc>
          <w:tcPr>
            <w:tcW w:type="dxa" w:w="38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Zero known logic defects in the species-match scoring path.</w:t>
            </w:r>
          </w:p>
        </w:tc>
        <w:tc>
          <w:tcPr>
            <w:tcW w:type="dxa" w:w="2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Automated regression test asserting correct species-match scoring for both matching and non-matching cases; test suite passes.</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SC2</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Comparison baseline / calibration quality</w:t>
            </w:r>
          </w:p>
        </w:tc>
        <w:tc>
          <w:tcPr>
            <w:tcW w:type="dxa" w:w="38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consistency ratio (CR) below 0.10, per Saaty's standard threshold.</w:t>
            </w:r>
          </w:p>
        </w:tc>
        <w:tc>
          <w:tcPr>
            <w:tcW w:type="dxa" w:w="2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 computed directly from the elicited 5×5 pairwise-comparison matrix; documented in the evaluation harness output.</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SC3</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Accuracy / comparison baseline</w:t>
            </w:r>
          </w:p>
        </w:tc>
        <w:tc>
          <w:tcPr>
            <w:tcW w:type="dxa" w:w="38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Side-by-side scoring comparison covering at least 1 real case and at least 10 constructed synthetic cases, with a documented rationale for any case where old and new rankings disagree.</w:t>
            </w:r>
          </w:p>
        </w:tc>
        <w:tc>
          <w:tcPr>
            <w:tcW w:type="dxa" w:w="2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Evaluation harness report comparing old vs. new scoring functions on the same case set.</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SC4</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Latency / throughput / stability</w:t>
            </w:r>
          </w:p>
        </w:tc>
        <w:tc>
          <w:tcPr>
            <w:tcW w:type="dxa" w:w="38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Hardened arbitrator completes within the existing pipeline's observed budget (≈30s end-to-end, matching the Week 1 baseline case) with no increase in error rate on a non-production test path before promotion.</w:t>
            </w:r>
          </w:p>
        </w:tc>
        <w:tc>
          <w:tcPr>
            <w:tcW w:type="dxa" w:w="2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Manual timing plus CloudWatch logs during test-path validation, before the live scoring function is replaced.</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SC5</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Stakeholder acceptance / documentation</w:t>
            </w:r>
          </w:p>
        </w:tc>
        <w:tc>
          <w:tcPr>
            <w:tcW w:type="dxa" w:w="38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and evaluation write-up sufficient for direct reuse in the final technical report, accepted by the course supervisor at the Week 7 midpoint review.</w:t>
            </w:r>
          </w:p>
        </w:tc>
        <w:tc>
          <w:tcPr>
            <w:tcW w:type="dxa" w:w="2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Supervisor sign-off at the midpoint review checkpoint; milestone checklist completion.</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6. Technical Feasibility: Machine, Architecture, Computational, and API (MACP) Framing</w:t>
      </w:r>
    </w:p>
    <w:p>
      <w:pPr>
        <w:keepNext/>
        <w:spacing w:after="100" w:before="200" w:line="264"/>
      </w:pPr>
      <w:r>
        <w:rPr>
          <w:rFonts w:ascii="Calibri" w:cs="Calibri" w:eastAsia="Calibri" w:hAnsi="Calibri"/>
          <w:b/>
          <w:bCs/>
          <w:color w:val="0A3A35"/>
          <w:sz w:val="24"/>
          <w:szCs w:val="24"/>
        </w:rPr>
        <w:t xml:space="preserve">Machine</w:t>
      </w:r>
    </w:p>
    <w:p>
      <w:pPr>
        <w:spacing w:after="120" w:before="0" w:line="264"/>
        <w:jc w:val="both"/>
      </w:pPr>
      <w:r>
        <w:rPr>
          <w:rFonts w:ascii="Calibri" w:cs="Calibri" w:eastAsia="Calibri" w:hAnsi="Calibri"/>
          <w:sz w:val="22"/>
          <w:szCs w:val="22"/>
        </w:rPr>
        <w:t xml:space="preserve">Authoring and development environment: TypeScript/Node.js 20, AWS CDK 2.x, AWS CLI, and git, all confirmed working via a live terminal session in Week 1 (node v25.9.0, npm 11.12.1, cdk 2.1131.0, aws-cli 2.35.22). Resolving the Week 1 feedback item directly: a private GitHub remote for the project was created and pushed this week at github.com/manojvprimary/rescuenet, closing the prior local-only single point of failure, with an initial issue backlog opened for the three highest-priority near-term tasks (the species-match fix, the AHP elicitation session, and the deferred geocoding Place Index provisioning). Version-controlled revision history for this proposal itself is maintained in the same repository alongside the Week 1 packet.</w:t>
      </w:r>
    </w:p>
    <w:p>
      <w:pPr>
        <w:keepNext/>
        <w:spacing w:after="100" w:before="200" w:line="264"/>
      </w:pPr>
      <w:r>
        <w:rPr>
          <w:rFonts w:ascii="Calibri" w:cs="Calibri" w:eastAsia="Calibri" w:hAnsi="Calibri"/>
          <w:b/>
          <w:bCs/>
          <w:color w:val="0A3A35"/>
          <w:sz w:val="24"/>
          <w:szCs w:val="24"/>
        </w:rPr>
        <w:t xml:space="preserve">Architecture</w:t>
      </w:r>
    </w:p>
    <w:p>
      <w:pPr>
        <w:spacing w:after="120" w:before="0" w:line="264"/>
        <w:jc w:val="both"/>
      </w:pPr>
      <w:r>
        <w:rPr>
          <w:rFonts w:ascii="Calibri" w:cs="Calibri" w:eastAsia="Calibri" w:hAnsi="Calibri"/>
          <w:sz w:val="22"/>
          <w:szCs w:val="22"/>
        </w:rPr>
        <w:t xml:space="preserve">The diagram below (carried over from GRAD 695 documentation) shows RescueNet's full blackboard system: reporters, coordinators, and shelters as actors, the shared case record and event bus ("The Blackboard") at the center, and the specialist agents — including the Arbitrator — around it. This course's work is confined to the Arbitrator's internal scoring logic, one box within the "Specialist Agents" column; every other agent, the corpus, and the event bus are treated as a stable foundation and are not modified.</w:t>
      </w:r>
    </w:p>
    <w:p>
      <w:pPr>
        <w:spacing w:after="0" w:before="0" w:line="264"/>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190875"/>
                    </a:xfrm>
                    <a:prstGeom prst="rect">
                      <a:avLst/>
                    </a:prstGeom>
                  </pic:spPr>
                </pic:pic>
              </a:graphicData>
            </a:graphic>
          </wp:inline>
        </w:drawing>
      </w:r>
    </w:p>
    <w:p>
      <w:pPr>
        <w:spacing w:after="160" w:before="60" w:line="264"/>
        <w:jc w:val="center"/>
      </w:pPr>
      <w:r>
        <w:rPr>
          <w:rFonts w:ascii="Calibri" w:cs="Calibri" w:eastAsia="Calibri" w:hAnsi="Calibri"/>
          <w:i/>
          <w:iCs/>
          <w:sz w:val="18"/>
          <w:szCs w:val="18"/>
        </w:rPr>
        <w:t xml:space="preserve">Figure 1. RescueNet's existing blackboard architecture, with this term's scope confined to the Arbitrator.</w:t>
      </w:r>
    </w:p>
    <w:p>
      <w:pPr>
        <w:spacing w:after="120" w:before="0" w:line="264"/>
        <w:jc w:val="both"/>
      </w:pPr>
      <w:r>
        <w:rPr>
          <w:rFonts w:ascii="Calibri" w:cs="Calibri" w:eastAsia="Calibri" w:hAnsi="Calibri"/>
          <w:sz w:val="22"/>
          <w:szCs w:val="22"/>
        </w:rPr>
        <w:t xml:space="preserve">The milestone map for this scope (phases, dependency order, and dates) is given in Section 7, aligned to the course's published 14-week schedule.</w:t>
      </w:r>
    </w:p>
    <w:p>
      <w:pPr>
        <w:keepNext/>
        <w:spacing w:after="100" w:before="200" w:line="264"/>
      </w:pPr>
      <w:r>
        <w:rPr>
          <w:rFonts w:ascii="Calibri" w:cs="Calibri" w:eastAsia="Calibri" w:hAnsi="Calibri"/>
          <w:b/>
          <w:bCs/>
          <w:color w:val="0A3A35"/>
          <w:sz w:val="24"/>
          <w:szCs w:val="24"/>
        </w:rPr>
        <w:t xml:space="preserve">Computational</w:t>
      </w:r>
    </w:p>
    <w:p>
      <w:pPr>
        <w:spacing w:after="120" w:before="0" w:line="264"/>
        <w:jc w:val="both"/>
      </w:pPr>
      <w:r>
        <w:rPr>
          <w:rFonts w:ascii="Calibri" w:cs="Calibri" w:eastAsia="Calibri" w:hAnsi="Calibri"/>
          <w:sz w:val="22"/>
          <w:szCs w:val="22"/>
        </w:rPr>
        <w:t xml:space="preserve">Method family: this scope is deliberately rule-based/algorithmic plus a lightweight multi-criteria decision method (the Analytic Hierarchy Process), not a learned/ML model. This choice is a direct consequence of the low real-case volume available this term — a fact carried forward honestly from Week 1 rather than glossed over. The Analytic Hierarchy Process (Saaty, 1980) offers a principled, low-cost method for replacing hand-picked weights immediately using expert judgment with a built-in consistency check; a 2025 auction-plus-AHP task-fitness framework (Zhou et al., 2025) independently validates the same combination of methods used here. Once real outcome volume accumulates beyond this term, learning-to-rank methods (Liu, 2009) and the current multi-agent reinforcement-learning survey (Hady et al., 2025) describe the learned-weighting path that is retained as a stretch goal rather than this term's primary method.</w:t>
      </w:r>
    </w:p>
    <w:p>
      <w:pPr>
        <w:keepNext/>
        <w:spacing w:after="100" w:before="200" w:line="264"/>
      </w:pPr>
      <w:r>
        <w:rPr>
          <w:rFonts w:ascii="Calibri" w:cs="Calibri" w:eastAsia="Calibri" w:hAnsi="Calibri"/>
          <w:b/>
          <w:bCs/>
          <w:color w:val="0A3A35"/>
          <w:sz w:val="24"/>
          <w:szCs w:val="24"/>
        </w:rPr>
        <w:t xml:space="preserve">API</w:t>
      </w:r>
    </w:p>
    <w:p>
      <w:pPr>
        <w:spacing w:after="120" w:before="0" w:line="264"/>
        <w:jc w:val="both"/>
      </w:pPr>
      <w:r>
        <w:rPr>
          <w:rFonts w:ascii="Calibri" w:cs="Calibri" w:eastAsia="Calibri" w:hAnsi="Calibri"/>
          <w:sz w:val="22"/>
          <w:szCs w:val="22"/>
        </w:rPr>
        <w:t xml:space="preserve">Every external system this scope depends on, its access status, and dependency notes: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500"/>
        <w:gridCol w:w="1900"/>
        <w:gridCol w:w="3060"/>
      </w:tblGrid>
      <w:tr>
        <w:trPr>
          <w:cantSplit/>
          <w:tblHeader/>
        </w:trPr>
        <w:tc>
          <w:tcPr>
            <w:tcW w:type="dxa" w:w="1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Service/API</w:t>
            </w:r>
          </w:p>
        </w:tc>
        <w:tc>
          <w:tcPr>
            <w:tcW w:type="dxa" w:w="25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Purpose in RescueNet</w:t>
            </w:r>
          </w:p>
        </w:tc>
        <w:tc>
          <w:tcPr>
            <w:tcW w:type="dxa" w:w="1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Access Status</w:t>
            </w:r>
          </w:p>
        </w:tc>
        <w:tc>
          <w:tcPr>
            <w:tcW w:type="dxa" w:w="30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Dependency Notes</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Rekognition</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Vision: species/injury detection from photos</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Used by image-agent; a documented no-photo fallback exists.</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Bedrock (claude-sonnet-4-5)</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Needs-profile and tier-1 bid reasoning</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Governed by Anthropic's Usage Policy; per-invocation cost on researcher's AWS account.</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 Location Service</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Geocoding (coordinates to address)</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Code exists; Place Index resource not provisioned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Confirmed live to fall back to raw coordinates; out of scope for this course (Section 9).</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 AppSync (GraphQL)</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API layer for the mobile app and case queries</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changes planned.</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DynamoDB</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 and shelter data store (the "corpus")</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Primary read/write target of the arbitrator; central to this course's hardening work.</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EventBridge</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Event bus connecting specialist agents</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changes planned.</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S3</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Report photo storage</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changes planned.</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Slack API</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Tier-2 human-coordinator escalation channel</w:t>
            </w:r>
          </w:p>
        </w:tc>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changes planned.</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7. Project Plan: Phases, Dependencies, and Milestones</w:t>
      </w:r>
    </w:p>
    <w:p>
      <w:pPr>
        <w:spacing w:after="120" w:before="0" w:line="264"/>
        <w:jc w:val="both"/>
      </w:pPr>
      <w:r>
        <w:rPr>
          <w:rFonts w:ascii="Calibri" w:cs="Calibri" w:eastAsia="Calibri" w:hAnsi="Calibri"/>
          <w:sz w:val="22"/>
          <w:szCs w:val="22"/>
        </w:rPr>
        <w:t xml:space="preserve">This plan is aligned to the course's own published 14-week milestone schedule. This submission is Hard Stop 1 (the Week 2 "proposal approval checkpoint" milestone). The syllabus references seven hard-stop dates in total without enumerating them directly; confirming the remaining dates and any department-specific template remains an open item carried from the Week 1 Supervisor Briefing Note (Section 11).</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000"/>
        <w:gridCol w:w="900"/>
        <w:gridCol w:w="4360"/>
        <w:gridCol w:w="2100"/>
      </w:tblGrid>
      <w:tr>
        <w:trPr>
          <w:cantSplit/>
          <w:tblHeader/>
        </w:trPr>
        <w:tc>
          <w:tcPr>
            <w:tcW w:type="dxa" w:w="2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Phase</w:t>
            </w:r>
          </w:p>
        </w:tc>
        <w:tc>
          <w:tcPr>
            <w:tcW w:type="dxa" w:w="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Weeks</w:t>
            </w:r>
          </w:p>
        </w:tc>
        <w:tc>
          <w:tcPr>
            <w:tcW w:type="dxa" w:w="43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Key Milestones</w:t>
            </w:r>
          </w:p>
        </w:tc>
        <w:tc>
          <w:tcPr>
            <w:tcW w:type="dxa" w:w="21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Dependency Notes</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Phase 1 — Design &amp; Planning</w:t>
            </w:r>
          </w:p>
        </w:tc>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Weeks 1–4</w:t>
            </w:r>
          </w:p>
        </w:tc>
        <w:tc>
          <w:tcPr>
            <w:tcW w:type="dxa" w:w="43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Charter (Wk1); proposal approval — this Hard Stop 1 (Wk2); scoring factors formalized and literature synthesis (Wk3); evaluation harness design and architecture/design review (Wk4).</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Phase 2 cannot start until the five scoring factors are formalized (Wk3) and the harness design is approved (Wk4).</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Phase 2 — Implementation</w:t>
            </w:r>
          </w:p>
        </w:tc>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Weeks 5–8</w:t>
            </w:r>
          </w:p>
        </w:tc>
        <w:tc>
          <w:tcPr>
            <w:tcW w:type="dxa" w:w="43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GitHub/issue tracker formalized (resolved early, Wk2); species-match defect fixed with regression test (Wk5); AHP elicitation session, weights, and CR (Wk6); midpoint demo (Wk7); sensitivity testing and stretch goals if SC1–4 already met (Wk8).</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elicitation (Wk6) depends on Wk3 factors and Wk4 harness; the midpoint demo (Wk7) depends on both the Wk5 fix and the Wk6 weights landing.</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Phase 3 — Evaluation &amp; Reporting</w:t>
            </w:r>
          </w:p>
        </w:tc>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Weeks 9–11</w:t>
            </w:r>
          </w:p>
        </w:tc>
        <w:tc>
          <w:tcPr>
            <w:tcW w:type="dxa" w:w="43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Results, limitations, and error analysis drafted (Wk9); artifact hardening and README (Wk10); full draft of the final technical report (Wk11).</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Requires Phase 2's evaluation harness output and comparison data.</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Phase 4 — Finalization</w:t>
            </w:r>
          </w:p>
        </w:tc>
        <w:tc>
          <w:tcPr>
            <w:tcW w:type="dxa" w:w="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Weeks 12–14</w:t>
            </w:r>
          </w:p>
        </w:tc>
        <w:tc>
          <w:tcPr>
            <w:tcW w:type="dxa" w:w="43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Revision cycle and demo script (Wk12); formal rehearsal and final package check (Wk13); final submission and course closeout (Wk14).</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Requires an accepted Week 11 draft.</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8. Work Breakdown Structure / Task Backlog</w:t>
      </w:r>
    </w:p>
    <w:p>
      <w:pPr>
        <w:spacing w:after="120" w:before="0" w:line="264"/>
        <w:jc w:val="both"/>
      </w:pPr>
      <w:r>
        <w:rPr>
          <w:rFonts w:ascii="Calibri" w:cs="Calibri" w:eastAsia="Calibri" w:hAnsi="Calibri"/>
          <w:sz w:val="22"/>
          <w:szCs w:val="22"/>
        </w:rPr>
        <w:t xml:space="preserve">A lightweight, week-mapped task backlog derived from the phase plan in Section 7. This is a single-student capstone, so every task's owner is the student; the table below therefore tracks deliverables and dependencies rather than assignment across a team.</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5960"/>
        <w:gridCol w:w="2700"/>
      </w:tblGrid>
      <w:tr>
        <w:trPr>
          <w:cantSplit/>
          <w:tblHeader/>
        </w:trPr>
        <w:tc>
          <w:tcPr>
            <w:tcW w:type="dxa" w:w="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Week</w:t>
            </w:r>
          </w:p>
        </w:tc>
        <w:tc>
          <w:tcPr>
            <w:tcW w:type="dxa" w:w="5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Deliverable</w:t>
            </w:r>
          </w:p>
        </w:tc>
        <w:tc>
          <w:tcPr>
            <w:tcW w:type="dxa" w:w="2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Depends On</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2</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approval package submitted; GitHub remote and issue tracker live</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Wk1 charter</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3</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Five scoring factors formalized from computeMatchScore; literature synthesis updated</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Wk2 approval</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4</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Evaluation harness design finalized; architecture/design review completed</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Wk3 factors</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5</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specScore defect fixed; regression test committed</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Wk4 design review</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6</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elicitation session conducted; weights and CR computed and committed</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Wk3 factors, Wk4 harness</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7</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Midpoint demo: old-vs-new scoring comparison</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Wk5 fix, Wk6 weights</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8</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Sensitivity testing of derived weights; stretch goals begin if SC1–4 already met</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Wk7 demo</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9</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Results, limitations, and error analysis drafted</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Wk7–8 evaluation output</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10</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README and setup documentation completed</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Wk5–8 implementation</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11</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Full draft of final technical report</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Wk9–10</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12</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Revision cycle; presentation deck and demo script</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Wk11 feedback</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13</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Formal rehearsal; final package check</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Wk12</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14</w:t>
            </w:r>
          </w:p>
        </w:tc>
        <w:tc>
          <w:tcPr>
            <w:tcW w:type="dxa" w:w="5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submission; course closeout</w:t>
            </w:r>
          </w:p>
        </w:tc>
        <w:tc>
          <w:tcPr>
            <w:tcW w:type="dxa" w:w="2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Wk13</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9. Out-of-Scope Items</w:t>
      </w:r>
    </w:p>
    <w:p>
      <w:pPr>
        <w:spacing w:after="120" w:before="0" w:line="264"/>
        <w:jc w:val="both"/>
      </w:pPr>
      <w:r>
        <w:rPr>
          <w:rFonts w:ascii="Calibri" w:cs="Calibri" w:eastAsia="Calibri" w:hAnsi="Calibri"/>
          <w:sz w:val="22"/>
          <w:szCs w:val="22"/>
        </w:rPr>
        <w:t xml:space="preserve">So the supervisor can see plainly what this project will not attempt this semester, regardless of remaining time:</w:t>
      </w:r>
    </w:p>
    <w:p>
      <w:pPr>
        <w:spacing w:after="80" w:before="0" w:line="264"/>
        <w:ind w:left="450" w:hanging="270"/>
        <w:jc w:val="both"/>
      </w:pPr>
      <w:r>
        <w:rPr>
          <w:rFonts w:ascii="Calibri" w:cs="Calibri" w:eastAsia="Calibri" w:hAnsi="Calibri"/>
          <w:sz w:val="22"/>
          <w:szCs w:val="22"/>
        </w:rPr>
        <w:t xml:space="preserve">•  The rest of the shelter-onboarding portal's feature set (adoption/foster/volunteer listings, chat) — a separately prototyped track outside this course's graded artifact.</w:t>
      </w:r>
    </w:p>
    <w:p>
      <w:pPr>
        <w:spacing w:after="80" w:before="0" w:line="264"/>
        <w:ind w:left="450" w:hanging="270"/>
        <w:jc w:val="both"/>
      </w:pPr>
      <w:r>
        <w:rPr>
          <w:rFonts w:ascii="Calibri" w:cs="Calibri" w:eastAsia="Calibri" w:hAnsi="Calibri"/>
          <w:sz w:val="22"/>
          <w:szCs w:val="22"/>
        </w:rPr>
        <w:t xml:space="preserve">•  Any real-world shelter data-sharing agreement or confirmed pilot partnership — Section 3 explicitly labels current shelter interest as plausible/pilot context, not confirmed.</w:t>
      </w:r>
    </w:p>
    <w:p>
      <w:pPr>
        <w:spacing w:after="80" w:before="0" w:line="264"/>
        <w:ind w:left="450" w:hanging="270"/>
        <w:jc w:val="both"/>
      </w:pPr>
      <w:r>
        <w:rPr>
          <w:rFonts w:ascii="Calibri" w:cs="Calibri" w:eastAsia="Calibri" w:hAnsi="Calibri"/>
          <w:sz w:val="22"/>
          <w:szCs w:val="22"/>
        </w:rPr>
        <w:t xml:space="preserve">•  The separately identified AWS Location Service geocoding-fallback defect — real, but outside the supervisor's routing-hardening mandate; tracked as a GitHub issue for future work rather than folded into this term's scope.</w:t>
      </w:r>
    </w:p>
    <w:p>
      <w:pPr>
        <w:spacing w:after="80" w:before="0" w:line="264"/>
        <w:ind w:left="450" w:hanging="270"/>
        <w:jc w:val="both"/>
      </w:pPr>
      <w:r>
        <w:rPr>
          <w:rFonts w:ascii="Calibri" w:cs="Calibri" w:eastAsia="Calibri" w:hAnsi="Calibri"/>
          <w:sz w:val="22"/>
          <w:szCs w:val="22"/>
        </w:rPr>
        <w:t xml:space="preserve">•  Learned/ML-based weight calibration as the primary method this term — retained only as a gated stretch goal once real outcome volume accumulates, per Section 6's Computational framing.</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10. Assumptions, Constraints, and Risks</w:t>
      </w:r>
    </w:p>
    <w:p>
      <w:pPr>
        <w:keepNext/>
        <w:spacing w:after="100" w:before="200" w:line="264"/>
      </w:pPr>
      <w:r>
        <w:rPr>
          <w:rFonts w:ascii="Calibri" w:cs="Calibri" w:eastAsia="Calibri" w:hAnsi="Calibri"/>
          <w:b/>
          <w:bCs/>
          <w:color w:val="0A3A35"/>
          <w:sz w:val="24"/>
          <w:szCs w:val="24"/>
        </w:rPr>
        <w:t xml:space="preserve">Data Access</w:t>
      </w:r>
    </w:p>
    <w:p>
      <w:pPr>
        <w:spacing w:after="120" w:before="0" w:line="264"/>
        <w:jc w:val="both"/>
      </w:pPr>
      <w:r>
        <w:rPr>
          <w:rFonts w:ascii="Calibri" w:cs="Calibri" w:eastAsia="Calibri" w:hAnsi="Calibri"/>
          <w:sz w:val="22"/>
          <w:szCs w:val="22"/>
        </w:rPr>
        <w:t xml:space="preserve">Real case volume is low: one full real case has been captured end-to-end from the live pipeline (including genuine Bedrock reasoning output and a real computed match score), and six seeded shelter profiles exist as a stand-in for real shelter data. A constructed synthetic/scenario test set will supplement real data for evaluation (SC3). No personally identifiable or regulated data is involved — reports are anonymous by design.</w:t>
      </w:r>
    </w:p>
    <w:p>
      <w:pPr>
        <w:keepNext/>
        <w:spacing w:after="100" w:before="200" w:line="264"/>
      </w:pPr>
      <w:r>
        <w:rPr>
          <w:rFonts w:ascii="Calibri" w:cs="Calibri" w:eastAsia="Calibri" w:hAnsi="Calibri"/>
          <w:b/>
          <w:bCs/>
          <w:color w:val="0A3A35"/>
          <w:sz w:val="24"/>
          <w:szCs w:val="24"/>
        </w:rPr>
        <w:t xml:space="preserve">Environment Setup</w:t>
      </w:r>
    </w:p>
    <w:p>
      <w:pPr>
        <w:spacing w:after="120" w:before="0" w:line="264"/>
        <w:jc w:val="both"/>
      </w:pPr>
      <w:r>
        <w:rPr>
          <w:rFonts w:ascii="Calibri" w:cs="Calibri" w:eastAsia="Calibri" w:hAnsi="Calibri"/>
          <w:sz w:val="22"/>
          <w:szCs w:val="22"/>
        </w:rPr>
        <w:t xml:space="preserve">The AWS account and CDK stacks are already deployed and stable; the Node 20/TypeScript toolchain is fixed and confirmed working. The GitHub remote created this week removes the prior local-only-repository constraint noted in Week 1.</w:t>
      </w:r>
    </w:p>
    <w:p>
      <w:pPr>
        <w:keepNext/>
        <w:spacing w:after="100" w:before="200" w:line="264"/>
      </w:pPr>
      <w:r>
        <w:rPr>
          <w:rFonts w:ascii="Calibri" w:cs="Calibri" w:eastAsia="Calibri" w:hAnsi="Calibri"/>
          <w:b/>
          <w:bCs/>
          <w:color w:val="0A3A35"/>
          <w:sz w:val="24"/>
          <w:szCs w:val="24"/>
        </w:rPr>
        <w:t xml:space="preserve">Ethics and Privacy</w:t>
      </w:r>
    </w:p>
    <w:p>
      <w:pPr>
        <w:spacing w:after="120" w:before="0" w:line="264"/>
        <w:jc w:val="both"/>
      </w:pPr>
      <w:r>
        <w:rPr>
          <w:rFonts w:ascii="Calibri" w:cs="Calibri" w:eastAsia="Calibri" w:hAnsi="Calibri"/>
          <w:sz w:val="22"/>
          <w:szCs w:val="22"/>
        </w:rPr>
        <w:t xml:space="preserve">Reports carry no personally identifiable information about reporters or animal owners by design, so no IRB-style approval is required for this specific routing-hardening scope. Rekognition and Bedrock usage is limited to animal/scene classification and case-reasoning text, not human biometric identification, and remains governed by AWS's and Anthropic's respective usage policies.</w:t>
      </w:r>
    </w:p>
    <w:p>
      <w:pPr>
        <w:keepNext/>
        <w:spacing w:after="100" w:before="200" w:line="264"/>
      </w:pPr>
      <w:r>
        <w:rPr>
          <w:rFonts w:ascii="Calibri" w:cs="Calibri" w:eastAsia="Calibri" w:hAnsi="Calibri"/>
          <w:b/>
          <w:bCs/>
          <w:color w:val="0A3A35"/>
          <w:sz w:val="24"/>
          <w:szCs w:val="24"/>
        </w:rPr>
        <w:t xml:space="preserve">External-Service Dependencies</w:t>
      </w:r>
    </w:p>
    <w:p>
      <w:pPr>
        <w:spacing w:after="120" w:before="0" w:line="264"/>
        <w:jc w:val="both"/>
      </w:pPr>
      <w:r>
        <w:rPr>
          <w:rFonts w:ascii="Calibri" w:cs="Calibri" w:eastAsia="Calibri" w:hAnsi="Calibri"/>
          <w:sz w:val="22"/>
          <w:szCs w:val="22"/>
        </w:rPr>
        <w:t xml:space="preserve">Amazon Rekognition, Bedrock, Location Service, AppSync, DynamoDB, EventBridge, S3, and the Slack API are all live and already integrated (full inventory in Section 6's API table). Per-invocation AWS costs are absorbed on the student's personal AWS account, which has hosted the deployed system throughout this project; no new vendor agreement is required for any in-scope work this term.</w:t>
      </w:r>
    </w:p>
    <w:p>
      <w:pPr>
        <w:keepNext/>
        <w:spacing w:after="100" w:before="200" w:line="264"/>
      </w:pPr>
      <w:r>
        <w:rPr>
          <w:rFonts w:ascii="Calibri" w:cs="Calibri" w:eastAsia="Calibri" w:hAnsi="Calibri"/>
          <w:b/>
          <w:bCs/>
          <w:color w:val="0A3A35"/>
          <w:sz w:val="24"/>
          <w:szCs w:val="24"/>
        </w:rPr>
        <w:t xml:space="preserve">General Risks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200"/>
        <w:gridCol w:w="1400"/>
        <w:gridCol w:w="3760"/>
      </w:tblGrid>
      <w:tr>
        <w:trPr>
          <w:cantSplit/>
          <w:tblHeader/>
        </w:trPr>
        <w:tc>
          <w:tcPr>
            <w:tcW w:type="dxa" w:w="42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Risk</w:t>
            </w:r>
          </w:p>
        </w:tc>
        <w:tc>
          <w:tcPr>
            <w:tcW w:type="dxa" w:w="1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Likelihood</w:t>
            </w:r>
          </w:p>
        </w:tc>
        <w:tc>
          <w:tcPr>
            <w:tcW w:type="dxa" w:w="37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Mitigation</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Insufficient real case volume to validate calibration meaningfully within 14 weeks.</w:t>
            </w:r>
          </w:p>
        </w:tc>
        <w:tc>
          <w:tcPr>
            <w:tcW w:type="dxa" w:w="1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High</w:t>
            </w:r>
          </w:p>
        </w:tc>
        <w:tc>
          <w:tcPr>
            <w:tcW w:type="dxa" w:w="3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Treat AHP plus synthetic scenario evaluation as the primary evidence; outcome calibration is a stretch goal, not a success criterion.</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pairwise comparisons are still subjective and could encode a different set of hand-picked biases under a more principled label.</w:t>
            </w:r>
          </w:p>
        </w:tc>
        <w:tc>
          <w:tcPr>
            <w:tcW w:type="dxa" w:w="1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Moderate</w:t>
            </w:r>
          </w:p>
        </w:tc>
        <w:tc>
          <w:tcPr>
            <w:tcW w:type="dxa" w:w="3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 the elicitation session explicitly (judges, instrument, matrix) and sensitivity-test the derived weights.</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 change to the arbitrator could regress the live deployed pipeline.</w:t>
            </w:r>
          </w:p>
        </w:tc>
        <w:tc>
          <w:tcPr>
            <w:tcW w:type="dxa" w:w="1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Moderate</w:t>
            </w:r>
          </w:p>
        </w:tc>
        <w:tc>
          <w:tcPr>
            <w:tcW w:type="dxa" w:w="3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Validate against a non-production case path or feature flag before replacing the live scoring function (SC4).</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Starting the shelter-portal stretch goal before the primary success criteria are met.</w:t>
            </w:r>
          </w:p>
        </w:tc>
        <w:tc>
          <w:tcPr>
            <w:tcW w:type="dxa" w:w="1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Moderate</w:t>
            </w:r>
          </w:p>
        </w:tc>
        <w:tc>
          <w:tcPr>
            <w:tcW w:type="dxa" w:w="3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Treat Section 5's success criteria as a hard gate before any stretch-goal work begins.</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11. One-Page Approval Brief</w:t>
      </w:r>
    </w:p>
    <w:p>
      <w:pPr>
        <w:keepNext/>
        <w:spacing w:after="100" w:before="200" w:line="264"/>
      </w:pPr>
      <w:r>
        <w:rPr>
          <w:rFonts w:ascii="Calibri" w:cs="Calibri" w:eastAsia="Calibri" w:hAnsi="Calibri"/>
          <w:b/>
          <w:bCs/>
          <w:color w:val="0A3A35"/>
          <w:sz w:val="24"/>
          <w:szCs w:val="24"/>
        </w:rPr>
        <w:t xml:space="preserve">Project Summary</w:t>
      </w:r>
    </w:p>
    <w:p>
      <w:pPr>
        <w:spacing w:after="120" w:before="0" w:line="264"/>
        <w:jc w:val="both"/>
      </w:pPr>
      <w:r>
        <w:rPr>
          <w:rFonts w:ascii="Calibri" w:cs="Calibri" w:eastAsia="Calibri" w:hAnsi="Calibri"/>
          <w:sz w:val="22"/>
          <w:szCs w:val="22"/>
        </w:rPr>
        <w:t xml:space="preserve">RescueNet's deployed case-routing arbitrator relies on hand-picked, uncalibrated scoring weights and contains a confirmed species-match logic defect. This project hardens that scoring function specifically: fixing the defect, replacing hand-picked weights with an AHP-derived set through a formally specified elicitation protocol, building an evaluation harness that compares old and new scoring on real and synthetic cases, and deploying the result to the live system without regressing the existing pipeline.</w:t>
      </w:r>
    </w:p>
    <w:p>
      <w:pPr>
        <w:keepNext/>
        <w:spacing w:after="100" w:before="200" w:line="264"/>
      </w:pPr>
      <w:r>
        <w:rPr>
          <w:rFonts w:ascii="Calibri" w:cs="Calibri" w:eastAsia="Calibri" w:hAnsi="Calibri"/>
          <w:b/>
          <w:bCs/>
          <w:color w:val="0A3A35"/>
          <w:sz w:val="24"/>
          <w:szCs w:val="24"/>
        </w:rPr>
        <w:t xml:space="preserve">Updated Success Criteria (Summary)</w:t>
      </w:r>
    </w:p>
    <w:p>
      <w:pPr>
        <w:spacing w:after="80" w:before="0" w:line="264"/>
        <w:ind w:left="450" w:hanging="270"/>
        <w:jc w:val="both"/>
      </w:pPr>
      <w:r>
        <w:rPr>
          <w:rFonts w:ascii="Calibri" w:cs="Calibri" w:eastAsia="Calibri" w:hAnsi="Calibri"/>
          <w:sz w:val="22"/>
          <w:szCs w:val="22"/>
        </w:rPr>
        <w:t xml:space="preserve">•  SC1 — Species-match defect fixed and regression-tested.</w:t>
      </w:r>
    </w:p>
    <w:p>
      <w:pPr>
        <w:spacing w:after="80" w:before="0" w:line="264"/>
        <w:ind w:left="450" w:hanging="270"/>
        <w:jc w:val="both"/>
      </w:pPr>
      <w:r>
        <w:rPr>
          <w:rFonts w:ascii="Calibri" w:cs="Calibri" w:eastAsia="Calibri" w:hAnsi="Calibri"/>
          <w:sz w:val="22"/>
          <w:szCs w:val="22"/>
        </w:rPr>
        <w:t xml:space="preserve">•  SC2 — AHP-derived weights with consistency ratio (CR) below 0.10.</w:t>
      </w:r>
    </w:p>
    <w:p>
      <w:pPr>
        <w:spacing w:after="80" w:before="0" w:line="264"/>
        <w:ind w:left="450" w:hanging="270"/>
        <w:jc w:val="both"/>
      </w:pPr>
      <w:r>
        <w:rPr>
          <w:rFonts w:ascii="Calibri" w:cs="Calibri" w:eastAsia="Calibri" w:hAnsi="Calibri"/>
          <w:sz w:val="22"/>
          <w:szCs w:val="22"/>
        </w:rPr>
        <w:t xml:space="preserve">•  SC3 — Documented old-vs-new comparison across real and synthetic cases.</w:t>
      </w:r>
    </w:p>
    <w:p>
      <w:pPr>
        <w:spacing w:after="80" w:before="0" w:line="264"/>
        <w:ind w:left="450" w:hanging="270"/>
        <w:jc w:val="both"/>
      </w:pPr>
      <w:r>
        <w:rPr>
          <w:rFonts w:ascii="Calibri" w:cs="Calibri" w:eastAsia="Calibri" w:hAnsi="Calibri"/>
          <w:sz w:val="22"/>
          <w:szCs w:val="22"/>
        </w:rPr>
        <w:t xml:space="preserve">•  SC4 — Hardened module deployed live with no pipeline regression or added latency.</w:t>
      </w:r>
    </w:p>
    <w:p>
      <w:pPr>
        <w:spacing w:after="80" w:before="0" w:line="264"/>
        <w:ind w:left="450" w:hanging="270"/>
        <w:jc w:val="both"/>
      </w:pPr>
      <w:r>
        <w:rPr>
          <w:rFonts w:ascii="Calibri" w:cs="Calibri" w:eastAsia="Calibri" w:hAnsi="Calibri"/>
          <w:sz w:val="22"/>
          <w:szCs w:val="22"/>
        </w:rPr>
        <w:t xml:space="preserve">•  SC5 — Design/evaluation documentation accepted by the supervisor at the Week 7 midpoint.</w:t>
      </w:r>
    </w:p>
    <w:p>
      <w:pPr>
        <w:keepNext/>
        <w:spacing w:after="100" w:before="200" w:line="264"/>
      </w:pPr>
      <w:r>
        <w:rPr>
          <w:rFonts w:ascii="Calibri" w:cs="Calibri" w:eastAsia="Calibri" w:hAnsi="Calibri"/>
          <w:b/>
          <w:bCs/>
          <w:color w:val="0A3A35"/>
          <w:sz w:val="24"/>
          <w:szCs w:val="24"/>
        </w:rPr>
        <w:t xml:space="preserve">What Remains Conditional</w:t>
      </w:r>
    </w:p>
    <w:p>
      <w:pPr>
        <w:spacing w:after="80" w:before="0" w:line="264"/>
        <w:ind w:left="450" w:hanging="270"/>
        <w:jc w:val="both"/>
      </w:pPr>
      <w:r>
        <w:rPr>
          <w:rFonts w:ascii="Calibri" w:cs="Calibri" w:eastAsia="Calibri" w:hAnsi="Calibri"/>
          <w:sz w:val="22"/>
          <w:szCs w:val="22"/>
        </w:rPr>
        <w:t xml:space="preserve">•  Confirmation of the remaining hard-stop dates and any department-specific submission template — referenced by the syllabus but not enumerated directly.</w:t>
      </w:r>
    </w:p>
    <w:p>
      <w:pPr>
        <w:spacing w:after="80" w:before="0" w:line="264"/>
        <w:ind w:left="450" w:hanging="270"/>
        <w:jc w:val="both"/>
      </w:pPr>
      <w:r>
        <w:rPr>
          <w:rFonts w:ascii="Calibri" w:cs="Calibri" w:eastAsia="Calibri" w:hAnsi="Calibri"/>
          <w:sz w:val="22"/>
          <w:szCs w:val="22"/>
        </w:rPr>
        <w:t xml:space="preserve">•  Whether the supervisor participates as a domain-expert judge in the Week 6 AHP elicitation, or reviews the student-conducted result afterward.</w:t>
      </w:r>
    </w:p>
    <w:p>
      <w:pPr>
        <w:spacing w:after="80" w:before="0" w:line="264"/>
        <w:ind w:left="450" w:hanging="270"/>
        <w:jc w:val="both"/>
      </w:pPr>
      <w:r>
        <w:rPr>
          <w:rFonts w:ascii="Calibri" w:cs="Calibri" w:eastAsia="Calibri" w:hAnsi="Calibri"/>
          <w:sz w:val="22"/>
          <w:szCs w:val="22"/>
        </w:rPr>
        <w:t xml:space="preserve">•  Whether the six seeded shelter profiles and the one captured real case are an acceptable evidence base for the Week 7 midpoint review, given no real shelter data-sharing agreement is in place this term.</w:t>
      </w:r>
    </w:p>
    <w:p>
      <w:pPr>
        <w:keepNext/>
        <w:spacing w:after="100" w:before="200" w:line="264"/>
      </w:pPr>
      <w:r>
        <w:rPr>
          <w:rFonts w:ascii="Calibri" w:cs="Calibri" w:eastAsia="Calibri" w:hAnsi="Calibri"/>
          <w:b/>
          <w:bCs/>
          <w:color w:val="0A3A35"/>
          <w:sz w:val="24"/>
          <w:szCs w:val="24"/>
        </w:rPr>
        <w:t xml:space="preserve">Evidence Expected by the Next Checkpoint (Week 4 — Architecture/Design Review)</w:t>
      </w:r>
    </w:p>
    <w:p>
      <w:pPr>
        <w:spacing w:after="80" w:before="0" w:line="264"/>
        <w:ind w:left="450" w:hanging="270"/>
        <w:jc w:val="both"/>
      </w:pPr>
      <w:r>
        <w:rPr>
          <w:rFonts w:ascii="Calibri" w:cs="Calibri" w:eastAsia="Calibri" w:hAnsi="Calibri"/>
          <w:sz w:val="22"/>
          <w:szCs w:val="22"/>
        </w:rPr>
        <w:t xml:space="preserve">•  The five scoring factors formalized directly from the existing computeMatchScore implementation.</w:t>
      </w:r>
    </w:p>
    <w:p>
      <w:pPr>
        <w:spacing w:after="80" w:before="0" w:line="264"/>
        <w:ind w:left="450" w:hanging="270"/>
        <w:jc w:val="both"/>
      </w:pPr>
      <w:r>
        <w:rPr>
          <w:rFonts w:ascii="Calibri" w:cs="Calibri" w:eastAsia="Calibri" w:hAnsi="Calibri"/>
          <w:sz w:val="22"/>
          <w:szCs w:val="22"/>
        </w:rPr>
        <w:t xml:space="preserve">•  A finalized evaluation-harness design and test plan, ready for implementation in Week 5.</w:t>
      </w:r>
    </w:p>
    <w:p>
      <w:pPr>
        <w:spacing w:after="80" w:before="0" w:line="264"/>
        <w:ind w:left="450" w:hanging="270"/>
        <w:jc w:val="both"/>
      </w:pPr>
      <w:r>
        <w:rPr>
          <w:rFonts w:ascii="Calibri" w:cs="Calibri" w:eastAsia="Calibri" w:hAnsi="Calibri"/>
          <w:sz w:val="22"/>
          <w:szCs w:val="22"/>
        </w:rPr>
        <w:t xml:space="preserve">•  Supervisor confirmation that the AHP protocol as specified in this package (judges, instrument, CR threshold) is acceptable to proceed with in Week 6.</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Appendix A: AI-Use Log</w:t>
      </w:r>
    </w:p>
    <w:p>
      <w:pPr>
        <w:spacing w:after="120" w:before="0" w:line="264"/>
        <w:jc w:val="both"/>
      </w:pPr>
      <w:r>
        <w:rPr>
          <w:rFonts w:ascii="Calibri" w:cs="Calibri" w:eastAsia="Calibri" w:hAnsi="Calibri"/>
          <w:sz w:val="22"/>
          <w:szCs w:val="22"/>
        </w:rPr>
        <w:t xml:space="preserve">Reproduced verbatim from docs/AI_USE_LOG.md at the project root, embedded here as a submission artifact per the Week 1 supervisor feedback (RU-01 Criterion 5) requesting the log file itself, not only a reference to it. Entries 1–3 date from Week 1; Entries 4–6 were added this week for the Hard Stop 1 Proposal Approval Package.</w:t>
      </w:r>
    </w:p>
    <w:p>
      <w:pPr>
        <w:keepNext/>
        <w:spacing w:after="100" w:before="200" w:line="264"/>
      </w:pPr>
      <w:r>
        <w:rPr>
          <w:rFonts w:ascii="Calibri" w:cs="Calibri" w:eastAsia="Calibri" w:hAnsi="Calibri"/>
          <w:b/>
          <w:bCs/>
          <w:color w:val="0A3A35"/>
          <w:sz w:val="24"/>
          <w:szCs w:val="24"/>
        </w:rPr>
        <w:t xml:space="preserve">Entry 1 — Code Audit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1 (2026-09-06), pre-launch-packet code review</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Identify defects in the arbitrator and geocoding-agent Lambda functions to motivate the CISC 699 project scope.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 lambda/arbitrator/index.ts and lambda/geocoding-agent/index.ts for logic and calibration issues; verify findings against a live test on the deployed system.</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Identification of the specScore array-existence defect, hand-picked normalization constants, and the unprovisioned AWS Location Service Place Index.</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Launch packet Sections 1, 3.2, 3.10 (Risks); Appendix A (this log's companion, ENGINEERING_LOG.md).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Findings checked directly against source code; the geocoding fallback was independently confirmed by submitting a real test case to the live AWS account and reading the resulting DynamoDB record.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None required — findings were code- and test-verified before being written up.</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2 — Literature Research</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1, initial bibliography and post-feedback addition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Identify credible, current sources on multi-agent task allocation, AHP, and market-based routing relevant to the arbitrator.</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Search for and verify real academic/technical sources; after supervisor feedback, specifically verify three named sources (2025 MARL survey, AWS Bedrock multi-agent GA, an auction-plus-AHP task-fitness paper).</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Nine annotated bibliography entries (launch packet Section 6).</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Launch packet Section 6; Section 3.9 (Preliminary Literature).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Each source's real existence, authorship, and publication details were independently confirmed via search before inclusion; no fabricated citation was accepted.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selected which candidate sources to keep and directed the specific relevance angle each annotation emphasizes.</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3 — Charter, Feasibility, and Revision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1, full drafting and post-feedback revision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the charter, feasibility review, workspace section, and AHP protocol from student direction.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launch-packet Sections 2–5 and the AHP elicitation protocol (Section 3.4) from student-provided project history; revise per supervisor feedback.</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Full section drafts, later revised.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Launch packet Sections 2, 3, 4,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and edited by the student before each submission.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redirected the shelter-portal framing from "deferred" to "gated stretch goal" (Section 3.6), and directed the addition of the AHP protocol and new sources after reading supervisor feedback.</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4 — Feedback Triage and Gap Analysis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(2026-09-13), pre-drafting for Hard Stop 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Systematically map the instructor's RU-01 rubric feedback (88/100) and general class feedback onto concrete revisions required for the Hard Stop 1 Proposal Approval Package.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Given the pasted per-criterion instructor comments on Assignment 1, identify actionable items and cross-reference them against the Hard Stop 1 task list before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"Response to Week 1 Supervisor Feedback" table (proposal Section 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 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confirmed each item against the actual feedback text before marking it addressed; nothing was marked resolved without a corresponding change in the package.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to resolve the GitHub remote/issue-tracker item this week rather than defer it a second time, given it had already been flagged once.</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5 — Proposal Drafting (Background, Objectives, Success Criteria, MACP Framing, Project Plan)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Revise the Week 1 charter into the formal proposal structure Hard Stop 1 requires, with explicit measurable success criteria and MACP-framed feasibility.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3 through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3, 4, 5, 6,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by the student against the actual codebase, the live AWS account, and the syllabus's published 14-week schedule before inclusion.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set the specific numeric thresholds in Section 5 (e.g., the CR &lt; 0.10 consistency threshold, the ~30-second latency budget) and decided the four-phase boundary structure in Section 7.</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6 — Work Breakdown, Risk/Ethics Section, and Approval Brief</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Produce the week-by-week work breakdown, the expanded risk/ethics/constraints section, and the one-page approval brief.</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8, 9, 10, and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8, 9, 10,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and edited by the student before submission; risk likelihoods and the approval brief's "conditional" items were checked against the student's own understanding of project status.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which open items from the Week 1 Supervisor Briefing Note remain genuinely open now that the GitHub item is resolved, and wrote the specific evidence commitments for the Week 4 checkpoint.</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Prior AI Use (ISEM 502 / GRAD 695, narrative summary — predates this schema)</w:t>
      </w:r>
    </w:p>
    <w:p>
      <w:pPr>
        <w:spacing w:after="120" w:before="0" w:line="264"/>
        <w:jc w:val="both"/>
      </w:pPr>
      <w:r>
        <w:rPr>
          <w:rFonts w:ascii="Calibri" w:cs="Calibri" w:eastAsia="Calibri" w:hAnsi="Calibri"/>
          <w:sz w:val="22"/>
          <w:szCs w:val="22"/>
        </w:rPr>
        <w:t xml:space="preserve">AI-assisted development spanned the earlier coursework this project descends from: code and infrastructure implementation (CDK stacks, Lambda functions, GraphQL schema, mobile app), the GRAD 695 Applied Project Report and its figures, and the ISEM 502 UX Portfolio (personas, heuristic evaluation, prototypes), all drafted from student direction and reviewed by the student. No AI-generated or fabricated user-research data was presented as real at any point; where a course step assumed data unavailable to the student, the constraint was disclosed rather than simulated.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90984fe79f65a04f8d126be9d749ddd66702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2026-09-14T02:16:41.509Z</dcterms:created>
  <dcterms:modified xsi:type="dcterms:W3CDTF">2026-09-14T02:16:41.510Z</dcterms:modified>
</cp:coreProperties>
</file>

<file path=docProps/custom.xml><?xml version="1.0" encoding="utf-8"?>
<Properties xmlns="http://schemas.openxmlformats.org/officeDocument/2006/custom-properties" xmlns:vt="http://schemas.openxmlformats.org/officeDocument/2006/docPropsVTypes"/>
</file>