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F4C46"/>
          <w:sz w:val="40"/>
          <w:szCs w:val="40"/>
        </w:rPr>
        <w:t xml:space="preserve">Midpoint Technical Progress Review and Adjustment Memo</w:t>
      </w:r>
    </w:p>
    <w:p>
      <w:pPr>
        <w:spacing w:after="110" w:before="70" w:line="262"/>
      </w:pPr>
      <w:r>
        <w:rPr>
          <w:rFonts w:ascii="Calibri" w:cs="Calibri" w:eastAsia="Calibri" w:hAnsi="Calibri"/>
          <w:i/>
          <w:iCs/>
          <w:sz w:val="26"/>
          <w:szCs w:val="26"/>
        </w:rPr>
        <w:t xml:space="preserve">Calibrated Multi-Factor Case Routing for RescueNet</w:t>
      </w:r>
    </w:p>
    <w:p>
      <w:pPr>
        <w:spacing w:after="110" w:before="70" w:line="262"/>
      </w:pPr>
      <w:r>
        <w:rPr>
          <w:rFonts w:ascii="Calibri" w:cs="Calibri" w:eastAsia="Calibri" w:hAnsi="Calibri"/>
          <w:b/>
          <w:bCs/>
          <w:sz w:val="21"/>
          <w:szCs w:val="21"/>
        </w:rPr>
        <w:t xml:space="preserve">Instructor: </w:t>
      </w:r>
      <w:r>
        <w:rPr>
          <w:rFonts w:ascii="Calibri" w:cs="Calibri" w:eastAsia="Calibri" w:hAnsi="Calibri"/>
          <w:sz w:val="21"/>
          <w:szCs w:val="21"/>
        </w:rPr>
        <w:t xml:space="preserve">Majid Shaalan, Ph.D.   </w:t>
      </w:r>
      <w:r>
        <w:rPr>
          <w:rFonts w:ascii="Calibri" w:cs="Calibri" w:eastAsia="Calibri" w:hAnsi="Calibri"/>
          <w:b/>
          <w:bCs/>
          <w:sz w:val="21"/>
          <w:szCs w:val="21"/>
        </w:rPr>
        <w:t xml:space="preserve">Course: </w:t>
      </w:r>
      <w:r>
        <w:rPr>
          <w:rFonts w:ascii="Calibri" w:cs="Calibri" w:eastAsia="Calibri" w:hAnsi="Calibri"/>
          <w:sz w:val="21"/>
          <w:szCs w:val="21"/>
        </w:rPr>
        <w:t xml:space="preserve">CISC 699 Applied Project in Computer Information Sciences   </w:t>
      </w:r>
      <w:r>
        <w:rPr>
          <w:rFonts w:ascii="Calibri" w:cs="Calibri" w:eastAsia="Calibri" w:hAnsi="Calibri"/>
          <w:b/>
          <w:bCs/>
          <w:sz w:val="21"/>
          <w:szCs w:val="21"/>
        </w:rPr>
        <w:t xml:space="preserve">Student: </w:t>
      </w:r>
      <w:r>
        <w:rPr>
          <w:rFonts w:ascii="Calibri" w:cs="Calibri" w:eastAsia="Calibri" w:hAnsi="Calibri"/>
          <w:sz w:val="21"/>
          <w:szCs w:val="21"/>
        </w:rPr>
        <w:t xml:space="preserve">Manoj Venkatachalaiah</w:t>
      </w:r>
    </w:p>
    <w:p>
      <w:pPr>
        <w:spacing w:after="110" w:before="70" w:line="262"/>
      </w:pPr>
      <w:r>
        <w:rPr>
          <w:rFonts w:ascii="Calibri" w:cs="Calibri" w:eastAsia="Calibri" w:hAnsi="Calibri"/>
          <w:b/>
          <w:bCs/>
          <w:sz w:val="21"/>
          <w:szCs w:val="21"/>
        </w:rPr>
        <w:t xml:space="preserve">Assignment: </w:t>
      </w:r>
      <w:r>
        <w:rPr>
          <w:rFonts w:ascii="Calibri" w:cs="Calibri" w:eastAsia="Calibri" w:hAnsi="Calibri"/>
          <w:sz w:val="21"/>
          <w:szCs w:val="21"/>
        </w:rPr>
        <w:t xml:space="preserve">07 Midpoint Demo and Adjustment Memo (due Oct 18, 2026, 11:59 PM EDT)   </w:t>
      </w:r>
      <w:r>
        <w:rPr>
          <w:rFonts w:ascii="Calibri" w:cs="Calibri" w:eastAsia="Calibri" w:hAnsi="Calibri"/>
          <w:b/>
          <w:bCs/>
          <w:sz w:val="21"/>
          <w:szCs w:val="21"/>
        </w:rPr>
        <w:t xml:space="preserve">Prepared: </w:t>
      </w:r>
      <w:r>
        <w:rPr>
          <w:rFonts w:ascii="Calibri" w:cs="Calibri" w:eastAsia="Calibri" w:hAnsi="Calibri"/>
          <w:sz w:val="21"/>
          <w:szCs w:val="21"/>
        </w:rPr>
        <w:t xml:space="preserve">October 21, 2026   </w:t>
      </w:r>
      <w:r>
        <w:rPr>
          <w:rFonts w:ascii="Calibri" w:cs="Calibri" w:eastAsia="Calibri" w:hAnsi="Calibri"/>
          <w:b/>
          <w:bCs/>
          <w:sz w:val="21"/>
          <w:szCs w:val="21"/>
        </w:rPr>
        <w:t xml:space="preserve">Repository: </w:t>
      </w:r>
      <w:r>
        <w:rPr>
          <w:rFonts w:ascii="Calibri" w:cs="Calibri" w:eastAsia="Calibri" w:hAnsi="Calibri"/>
          <w:sz w:val="21"/>
          <w:szCs w:val="21"/>
        </w:rPr>
        <w:t xml:space="preserve">https://github.com/manojvprimary/rescuenet</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9720"/>
      </w:tblGrid>
      <w:tr>
        <w:trPr>
          <w:cantSplit/>
          <w:tblHeader/>
        </w:trPr>
        <w:tc>
          <w:tcPr>
            <w:tcW w:type="dxa" w:w="9720"/>
            <w:shd w:fill="FFF1D6" w:val="clear"/>
            <w:tcMar>
              <w:top w:type="dxa" w:w="45"/>
              <w:left w:type="dxa" w:w="85"/>
              <w:bottom w:type="dxa" w:w="45"/>
              <w:right w:type="dxa" w:w="85"/>
            </w:tcMar>
          </w:tcPr>
          <w:p>
            <w:pPr>
              <w:spacing w:after="20"/>
            </w:pPr>
            <w:r>
              <w:rPr>
                <w:rFonts w:ascii="Calibri" w:cs="Calibri" w:eastAsia="Calibri" w:hAnsi="Calibri"/>
                <w:b/>
                <w:bCs/>
                <w:sz w:val="18"/>
                <w:szCs w:val="18"/>
              </w:rPr>
              <w:t xml:space="preserve">Submission note: this package is late. It was submitted after the October 18 deadline. No extension was announced for the applied-project track, and no live midpoint review took place, so the demo is submitted as a slide-supported demo with captured evidence (the assignment lists this as an accepted form).</w:t>
            </w:r>
          </w:p>
        </w:tc>
      </w:tr>
    </w:tbl>
    <w:p>
      <w:pPr>
        <w:pStyle w:val="Heading1"/>
        <w:keepNext/>
        <w:spacing w:after="120" w:before="280"/>
      </w:pPr>
      <w:r>
        <w:rPr>
          <w:rFonts w:ascii="Calibri" w:cs="Calibri" w:eastAsia="Calibri" w:hAnsi="Calibri"/>
          <w:b/>
          <w:bCs/>
          <w:color w:val="0F4C46"/>
          <w:sz w:val="30"/>
          <w:szCs w:val="30"/>
        </w:rPr>
        <w:t xml:space="preserve">1. AI Usage Log and Academic Integrity</w:t>
      </w:r>
    </w:p>
    <w:p>
      <w:pPr>
        <w:spacing w:after="110" w:before="70" w:line="262"/>
      </w:pPr>
      <w:r>
        <w:rPr>
          <w:rFonts w:ascii="Calibri" w:cs="Calibri" w:eastAsia="Calibri" w:hAnsi="Calibri"/>
          <w:sz w:val="21"/>
          <w:szCs w:val="21"/>
        </w:rPr>
        <w:t xml:space="preserve">As in earlier submissions, this section leads. Claude (Anthropic) wrote the scripts, ran the deployment and measurement under the student's instruction, and generated this memo, the deck, and the figure. The full cumulative log is in Appendix A; the two entries for this assignment follow.</w:t>
      </w:r>
    </w:p>
    <w:p>
      <w:pPr>
        <w:keepNext/>
        <w:spacing w:after="60" w:before="160"/>
      </w:pPr>
      <w:r>
        <w:rPr>
          <w:rFonts w:ascii="Calibri" w:cs="Calibri" w:eastAsia="Calibri" w:hAnsi="Calibri"/>
          <w:b/>
          <w:bCs/>
          <w:sz w:val="22"/>
          <w:szCs w:val="22"/>
        </w:rPr>
        <w:t xml:space="preserve">Entry 22 — Midpoint: Non-Production Deployment, Measurement, and Demo Scripts</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7 (2026-10-18 to 2026-10-21), Midpoint Demo and Adjustment Memo</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Produce the deployment-level evidence that Hard Stop 3 lacked: deploy the v2 code behind WEIGHTING_MODE, measure latency, errors, and rollback on the deployed pipeline, and make the live demo scripts work end to end.</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Run a read-only cdk diff; snapshot the deployed functions; deploy the Lambda stack only; write scripts/measure-v2.py (13 cases: 6 under llm, 6 under blend, rollback, 1 verification case) and scripts/demo-e2e.sh / scripts/demo-v2-live.ts; run them against the student's AWS account. AI-generated scripts and operation of the AWS CLI.</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deployed state, docs/evidence/sprint-3/ (pre-deploy snapshot, scrubbed deploy summary, measure-v2.json), and the three scripts.</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deployed RescueNetLambda stack (13 functions: new code plus one environment variable, default unchanged); the midpoint package.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diff was read before deploying (functions only; no IAM, table, or rule changes; the one API-key expiry change was left undeployed by deploying only the Lambda stack). A post-deploy end-to-end run under the unchanged llm default passed before any measurement. The measurement read the stored case records and the functions' own CloudWatch REPORT lines rather than relying on the script's printed output; 13 of 13 cases reached ASSIGNED and no error lines appeared in the nine pipeline functions' logs. Rollback was verified by running a case afterwards and checking the stored profile carried no v2 fields. Problems found along the way: the older scripts/demo.sh simulated a retired in-app Q&amp;A and could not complete (replaced); my first demo script could not parse the intake response; the first measurement run died on an AWS clock-skew error when the laptop slept (retries added, run repeated from the start; the five cases from the aborted run remain in the table as test data).</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I asked the student whether to deploy and which feature to name as the cut. The student declined the question prompt and instead told me, in chat, to go ahead without waiting and report afterwards, and said they did not mind which feature was cut. I therefore chose the options I had recommended (deploy, measure, roll back; cut the fairness check). The student has not reviewed the deployment steps or the scripts line by line.</w:t>
            </w:r>
          </w:p>
        </w:tc>
      </w:tr>
    </w:tbl>
    <w:p>
      <w:pPr>
        <w:keepNext/>
        <w:spacing w:after="60" w:before="160"/>
      </w:pPr>
      <w:r>
        <w:rPr>
          <w:rFonts w:ascii="Calibri" w:cs="Calibri" w:eastAsia="Calibri" w:hAnsi="Calibri"/>
          <w:b/>
          <w:bCs/>
          <w:sz w:val="22"/>
          <w:szCs w:val="22"/>
        </w:rPr>
        <w:t xml:space="preserve">Entry 23 — Midpoint Package (Memo and Slide-Supported Demo)</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7 (2026-10-21), Midpoint Demo and Adjustment Memo</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Assemble the midpoint submission: adjustment memo, slide-supported demo with captured evidence, current-state architecture figure, and updated backlog.</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Generate the memo, the deck, and the figure from the repository's own evidence files (results JSON, measure-v2.json, the Hard Stop 3 feedback, the requirement and success-criteria tables from Hard Stop 2); every number is read from a file by the generator rather than typed. AI-generated text, tables, and figure.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memo and the deck, submitted to Canvas.</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whole package; ENGINEERING_LOG.md Week 7; the backlog and issue log.</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Pages and slides were rendered and inspected; each figure was cross-checked against docs/evidence/sprint-3/measure-v2.json and the Hard Stop 3 evidence file. The memo states what the deployment evidence does not show (one dominant shelter in the demo roster, no isolated environment, no independent review).</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student set the scope and delegated the choice of the feature to cut. Any edits the student makes before submitting are not reflected here. This package was prepared after the Oct 18 deadline had passed.</w:t>
            </w:r>
          </w:p>
        </w:tc>
      </w:tr>
    </w:tbl>
    <w:p>
      <w:pPr>
        <w:spacing w:after="110" w:before="70" w:line="262"/>
      </w:pPr>
      <w:r>
        <w:rPr>
          <w:rFonts w:ascii="Calibri" w:cs="Calibri" w:eastAsia="Calibri" w:hAnsi="Calibri"/>
          <w:b/>
          <w:bCs/>
          <w:sz w:val="21"/>
          <w:szCs w:val="21"/>
        </w:rPr>
        <w:t xml:space="preserve">What to read into Entry 22. </w:t>
      </w:r>
      <w:r>
        <w:rPr>
          <w:rFonts w:ascii="Calibri" w:cs="Calibri" w:eastAsia="Calibri" w:hAnsi="Calibri"/>
          <w:sz w:val="21"/>
          <w:szCs w:val="21"/>
        </w:rPr>
        <w:t xml:space="preserve">The student did not answer my question about whether to deploy; they told me to proceed without waiting and report afterwards. I then chose the options I had recommended. The student has not reviewed the deployment steps or the scripts line by line. This is the same limitation the Hard Stop 3 feedback raised (human review of AI-generated work), and it appears in the plan below as a critical item rather than being left implicit.</w:t>
      </w:r>
    </w:p>
    <w:p>
      <w:pPr>
        <w:pStyle w:val="Heading1"/>
        <w:keepNext/>
        <w:spacing w:after="120" w:before="280"/>
      </w:pPr>
      <w:r>
        <w:rPr>
          <w:rFonts w:ascii="Calibri" w:cs="Calibri" w:eastAsia="Calibri" w:hAnsi="Calibri"/>
          <w:b/>
          <w:bCs/>
          <w:color w:val="0F4C46"/>
          <w:sz w:val="30"/>
          <w:szCs w:val="30"/>
        </w:rPr>
        <w:t xml:space="preserve">2. The Project As It Is (self-check)</w:t>
      </w:r>
    </w:p>
    <w:p>
      <w:pPr>
        <w:spacing w:after="110" w:before="70" w:line="262"/>
      </w:pPr>
      <w:r>
        <w:rPr>
          <w:rFonts w:ascii="Calibri" w:cs="Calibri" w:eastAsia="Calibri" w:hAnsi="Calibri"/>
          <w:sz w:val="21"/>
          <w:szCs w:val="21"/>
        </w:rPr>
        <w:t xml:space="preserve">The instructor's self-check asks whether I am presenting the project as it is or as I hoped it would be. As it is: the weighting method works mechanically and reproducibly, it is now deployed behind a flag and was measured on the deployed pipeline without regression, and it has not been shown to route better than the baseline. The strongest evidence is about process (pre-registration, reproducibility, an honest negative result). The weakest is independence: one annotator, one judge whose judgments were proposed by the AI, no supervisor review, and eight synthetic cases. The next stretch of work is therefore about independent validation and isolating what actually drives routing, not about adding features.</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3300"/>
        <w:gridCol w:w="6420"/>
      </w:tblGrid>
      <w:tr>
        <w:trPr>
          <w:cantSplit/>
          <w:tblHeader/>
        </w:trPr>
        <w:tc>
          <w:tcPr>
            <w:tcW w:type="dxa" w:w="33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Measure</w:t>
            </w:r>
          </w:p>
        </w:tc>
        <w:tc>
          <w:tcPr>
            <w:tcW w:type="dxa" w:w="64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Where it stands</w:t>
            </w:r>
          </w:p>
        </w:tc>
      </w:tr>
      <w:tr>
        <w:trPr>
          <w:cantSplit/>
          <w:tblHeader w:val="off"/>
        </w:trPr>
        <w:tc>
          <w:tcPr>
            <w:tcW w:type="dxa" w:w="3300"/>
            <w:tcMar>
              <w:top w:type="dxa" w:w="45"/>
              <w:left w:type="dxa" w:w="85"/>
              <w:bottom w:type="dxa" w:w="45"/>
              <w:right w:type="dxa" w:w="85"/>
            </w:tcMar>
          </w:tcPr>
          <w:p>
            <w:pPr>
              <w:spacing w:after="20"/>
            </w:pPr>
            <w:r>
              <w:rPr>
                <w:rFonts w:ascii="Calibri" w:cs="Calibri" w:eastAsia="Calibri" w:hAnsi="Calibri"/>
                <w:b/>
                <w:bCs/>
                <w:sz w:val="17"/>
                <w:szCs w:val="17"/>
              </w:rPr>
              <w:t xml:space="preserve">Deployed pipeline, v2 behind WEIGHTING_MODE</w:t>
            </w:r>
          </w:p>
        </w:tc>
        <w:tc>
          <w:tcPr>
            <w:tcW w:type="dxa" w:w="64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13 of 13 cases ASSIGNED; 0 error lines in the nine pipeline functions; deployed 2026-10-18 with the default unchanged (llm)</w:t>
            </w:r>
          </w:p>
        </w:tc>
      </w:tr>
      <w:tr>
        <w:trPr>
          <w:cantSplit/>
          <w:tblHeader w:val="off"/>
        </w:trPr>
        <w:tc>
          <w:tcPr>
            <w:tcW w:type="dxa" w:w="3300"/>
            <w:tcMar>
              <w:top w:type="dxa" w:w="45"/>
              <w:left w:type="dxa" w:w="85"/>
              <w:bottom w:type="dxa" w:w="45"/>
              <w:right w:type="dxa" w:w="85"/>
            </w:tcMar>
          </w:tcPr>
          <w:p>
            <w:pPr>
              <w:spacing w:after="20"/>
            </w:pPr>
            <w:r>
              <w:rPr>
                <w:rFonts w:ascii="Calibri" w:cs="Calibri" w:eastAsia="Calibri" w:hAnsi="Calibri"/>
                <w:b/>
                <w:bCs/>
                <w:sz w:val="17"/>
                <w:szCs w:val="17"/>
              </w:rPr>
              <w:t xml:space="preserve">Time from submission to a scored assignment</w:t>
            </w:r>
          </w:p>
        </w:tc>
        <w:tc>
          <w:tcPr>
            <w:tcW w:type="dxa" w:w="64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llm median 24.7 s (range 23.0 to 29.2); blend median 24.1 s (range 23.2 to 24.6); after rollback 24.2 s. Target: about 30 s</w:t>
            </w:r>
          </w:p>
        </w:tc>
      </w:tr>
      <w:tr>
        <w:trPr>
          <w:cantSplit/>
          <w:tblHeader w:val="off"/>
        </w:trPr>
        <w:tc>
          <w:tcPr>
            <w:tcW w:type="dxa" w:w="3300"/>
            <w:tcMar>
              <w:top w:type="dxa" w:w="45"/>
              <w:left w:type="dxa" w:w="85"/>
              <w:bottom w:type="dxa" w:w="45"/>
              <w:right w:type="dxa" w:w="85"/>
            </w:tcMar>
          </w:tcPr>
          <w:p>
            <w:pPr>
              <w:spacing w:after="20"/>
            </w:pPr>
            <w:r>
              <w:rPr>
                <w:rFonts w:ascii="Calibri" w:cs="Calibri" w:eastAsia="Calibri" w:hAnsi="Calibri"/>
                <w:b/>
                <w:bCs/>
                <w:sz w:val="17"/>
                <w:szCs w:val="17"/>
              </w:rPr>
              <w:t xml:space="preserve">Rollback</w:t>
            </w:r>
          </w:p>
        </w:tc>
        <w:tc>
          <w:tcPr>
            <w:tcW w:type="dxa" w:w="64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Environment-variable change took 7.3 s; the next case stored no v2 fields (weightingMode: null)</w:t>
            </w:r>
          </w:p>
        </w:tc>
      </w:tr>
      <w:tr>
        <w:trPr>
          <w:cantSplit/>
          <w:tblHeader w:val="off"/>
        </w:trPr>
        <w:tc>
          <w:tcPr>
            <w:tcW w:type="dxa" w:w="3300"/>
            <w:tcMar>
              <w:top w:type="dxa" w:w="45"/>
              <w:left w:type="dxa" w:w="85"/>
              <w:bottom w:type="dxa" w:w="45"/>
              <w:right w:type="dxa" w:w="85"/>
            </w:tcMar>
          </w:tcPr>
          <w:p>
            <w:pPr>
              <w:spacing w:after="20"/>
            </w:pPr>
            <w:r>
              <w:rPr>
                <w:rFonts w:ascii="Calibri" w:cs="Calibri" w:eastAsia="Calibri" w:hAnsi="Calibri"/>
                <w:b/>
                <w:bCs/>
                <w:sz w:val="17"/>
                <w:szCs w:val="17"/>
              </w:rPr>
              <w:t xml:space="preserve">Offline evaluation (8 synthetic cases)</w:t>
            </w:r>
          </w:p>
        </w:tc>
        <w:tc>
          <w:tcPr>
            <w:tcW w:type="dxa" w:w="64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v1 3 of 6 and v2 3 of 6 by raw score; 5 of 6 for v2 only with the tie rule</w:t>
            </w:r>
          </w:p>
        </w:tc>
      </w:tr>
      <w:tr>
        <w:trPr>
          <w:cantSplit/>
          <w:tblHeader w:val="off"/>
        </w:trPr>
        <w:tc>
          <w:tcPr>
            <w:tcW w:type="dxa" w:w="3300"/>
            <w:tcMar>
              <w:top w:type="dxa" w:w="45"/>
              <w:left w:type="dxa" w:w="85"/>
              <w:bottom w:type="dxa" w:w="45"/>
              <w:right w:type="dxa" w:w="85"/>
            </w:tcMar>
          </w:tcPr>
          <w:p>
            <w:pPr>
              <w:spacing w:after="20"/>
            </w:pPr>
            <w:r>
              <w:rPr>
                <w:rFonts w:ascii="Calibri" w:cs="Calibri" w:eastAsia="Calibri" w:hAnsi="Calibri"/>
                <w:b/>
                <w:bCs/>
                <w:sz w:val="17"/>
                <w:szCs w:val="17"/>
              </w:rPr>
              <w:t xml:space="preserve">Weights</w:t>
            </w:r>
          </w:p>
        </w:tc>
        <w:tc>
          <w:tcPr>
            <w:tcW w:type="dxa" w:w="64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Three AHP matrices, CR 0.034, 0.023, 0.022; judgments proposed by the AI from five sources and adopted by the student</w:t>
            </w:r>
          </w:p>
        </w:tc>
      </w:tr>
      <w:tr>
        <w:trPr>
          <w:cantSplit/>
          <w:tblHeader w:val="off"/>
        </w:trPr>
        <w:tc>
          <w:tcPr>
            <w:tcW w:type="dxa" w:w="3300"/>
            <w:tcMar>
              <w:top w:type="dxa" w:w="45"/>
              <w:left w:type="dxa" w:w="85"/>
              <w:bottom w:type="dxa" w:w="45"/>
              <w:right w:type="dxa" w:w="85"/>
            </w:tcMar>
          </w:tcPr>
          <w:p>
            <w:pPr>
              <w:spacing w:after="20"/>
            </w:pPr>
            <w:r>
              <w:rPr>
                <w:rFonts w:ascii="Calibri" w:cs="Calibri" w:eastAsia="Calibri" w:hAnsi="Calibri"/>
                <w:b/>
                <w:bCs/>
                <w:sz w:val="17"/>
                <w:szCs w:val="17"/>
              </w:rPr>
              <w:t xml:space="preserve">Not done</w:t>
            </w:r>
          </w:p>
        </w:tc>
        <w:tc>
          <w:tcPr>
            <w:tcW w:type="dxa" w:w="64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Supervisor review; independent annotation; real case; formula ablation; isolated-environment measurement; promotion of v2</w:t>
            </w:r>
          </w:p>
        </w:tc>
      </w:tr>
    </w:tbl>
    <w:p>
      <w:pPr>
        <w:pStyle w:val="Heading1"/>
        <w:keepNext/>
        <w:spacing w:after="120" w:before="280"/>
      </w:pPr>
      <w:r>
        <w:rPr>
          <w:rFonts w:ascii="Calibri" w:cs="Calibri" w:eastAsia="Calibri" w:hAnsi="Calibri"/>
          <w:b/>
          <w:bCs/>
          <w:color w:val="0F4C46"/>
          <w:sz w:val="30"/>
          <w:szCs w:val="30"/>
        </w:rPr>
        <w:t xml:space="preserve">3. Demo Assets and What They Show</w:t>
      </w:r>
    </w:p>
    <w:p>
      <w:pPr>
        <w:spacing w:after="110" w:before="70" w:line="262"/>
      </w:pPr>
      <w:r>
        <w:rPr>
          <w:rFonts w:ascii="Calibri" w:cs="Calibri" w:eastAsia="Calibri" w:hAnsi="Calibri"/>
          <w:sz w:val="21"/>
          <w:szCs w:val="21"/>
        </w:rPr>
        <w:t xml:space="preserve">The assignment accepts a "demo recording or slide-supported demo plus screenshots." Because there was no live session and nothing was recorded, the demo is the slide deck submitted with this memo, with speaker notes written so it can be narrated. Everything in it comes from real runs; it contains no mock-ups.</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500"/>
        <w:gridCol w:w="3000"/>
        <w:gridCol w:w="4220"/>
      </w:tblGrid>
      <w:tr>
        <w:trPr>
          <w:cantSplit/>
          <w:tblHeader/>
        </w:trPr>
        <w:tc>
          <w:tcPr>
            <w:tcW w:type="dxa" w:w="250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Asset</w:t>
            </w:r>
          </w:p>
        </w:tc>
        <w:tc>
          <w:tcPr>
            <w:tcW w:type="dxa" w:w="300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File</w:t>
            </w:r>
          </w:p>
        </w:tc>
        <w:tc>
          <w:tcPr>
            <w:tcW w:type="dxa" w:w="422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What it demonstrates</w:t>
            </w:r>
          </w:p>
        </w:tc>
      </w:tr>
      <w:tr>
        <w:trPr>
          <w:cantSplit/>
          <w:tblHeader w:val="off"/>
        </w:trPr>
        <w:tc>
          <w:tcPr>
            <w:tcW w:type="dxa" w:w="25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Slide-supported demo</w:t>
            </w:r>
          </w:p>
        </w:tc>
        <w:tc>
          <w:tcPr>
            <w:tcW w:type="dxa" w:w="30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CISC699_Midpoint_Demo.pptx</w:t>
            </w:r>
          </w:p>
        </w:tc>
        <w:tc>
          <w:tcPr>
            <w:tcW w:type="dxa" w:w="42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The strongest implemented path: the deployed pipeline running per scenario, v1 and v2 side by side, latency and rollback, the offline v1-vs-v2 comparison, requirement status, scope adjustment, critical path</w:t>
            </w:r>
          </w:p>
        </w:tc>
      </w:tr>
      <w:tr>
        <w:trPr>
          <w:cantSplit/>
          <w:tblHeader w:val="off"/>
        </w:trPr>
        <w:tc>
          <w:tcPr>
            <w:tcW w:type="dxa" w:w="25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Current-state architecture figure</w:t>
            </w:r>
          </w:p>
        </w:tc>
        <w:tc>
          <w:tcPr>
            <w:tcW w:type="dxa" w:w="30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Section 4 and slide 3</w:t>
            </w:r>
          </w:p>
        </w:tc>
        <w:tc>
          <w:tcPr>
            <w:tcW w:type="dxa" w:w="42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What is existing, what changed and is deployed, what runs only offline, what is pending, and what is cut</w:t>
            </w:r>
          </w:p>
        </w:tc>
      </w:tr>
      <w:tr>
        <w:trPr>
          <w:cantSplit/>
          <w:tblHeader w:val="off"/>
        </w:trPr>
        <w:tc>
          <w:tcPr>
            <w:tcW w:type="dxa" w:w="25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Captured evidence</w:t>
            </w:r>
          </w:p>
        </w:tc>
        <w:tc>
          <w:tcPr>
            <w:tcW w:type="dxa" w:w="30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docs/evidence/sprint-3/measure-v2.json; docs/evidence/sprint-2/node20-fresh-clone.txt</w:t>
            </w:r>
          </w:p>
        </w:tc>
        <w:tc>
          <w:tcPr>
            <w:tcW w:type="dxa" w:w="42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Per-case records (status, weights, winner, timings) and the Node 20 clean-restart evidence</w:t>
            </w:r>
          </w:p>
        </w:tc>
      </w:tr>
      <w:tr>
        <w:trPr>
          <w:cantSplit/>
          <w:tblHeader w:val="off"/>
        </w:trPr>
        <w:tc>
          <w:tcPr>
            <w:tcW w:type="dxa" w:w="25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Demo scripts</w:t>
            </w:r>
          </w:p>
        </w:tc>
        <w:tc>
          <w:tcPr>
            <w:tcW w:type="dxa" w:w="30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scripts/demo-e2e.sh, scripts/demo-v2-live.ts, scripts/measure-v2.py</w:t>
            </w:r>
          </w:p>
        </w:tc>
        <w:tc>
          <w:tcPr>
            <w:tcW w:type="dxa" w:w="42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Anyone with the repository and AWS access can reproduce the live demonstration</w:t>
            </w:r>
          </w:p>
        </w:tc>
      </w:tr>
      <w:tr>
        <w:trPr>
          <w:cantSplit/>
          <w:tblHeader w:val="off"/>
        </w:trPr>
        <w:tc>
          <w:tcPr>
            <w:tcW w:type="dxa" w:w="25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Updated backlog</w:t>
            </w:r>
          </w:p>
        </w:tc>
        <w:tc>
          <w:tcPr>
            <w:tcW w:type="dxa" w:w="30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Section 10</w:t>
            </w:r>
          </w:p>
        </w:tc>
        <w:tc>
          <w:tcPr>
            <w:tcW w:type="dxa" w:w="42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Revised after the Hard Stop 3 critique</w:t>
            </w:r>
          </w:p>
        </w:tc>
      </w:tr>
    </w:tbl>
    <w:p>
      <w:pPr>
        <w:pStyle w:val="Heading1"/>
        <w:keepNext/>
        <w:spacing w:after="120" w:before="280"/>
      </w:pPr>
      <w:r>
        <w:rPr>
          <w:rFonts w:ascii="Calibri" w:cs="Calibri" w:eastAsia="Calibri" w:hAnsi="Calibri"/>
          <w:b/>
          <w:bCs/>
          <w:color w:val="0F4C46"/>
          <w:sz w:val="30"/>
          <w:szCs w:val="30"/>
        </w:rPr>
        <w:t xml:space="preserve">4. Current-State Architecture</w:t>
      </w:r>
    </w:p>
    <w:p>
      <w:pPr>
        <w:spacing w:after="100" w:before="80"/>
        <w:jc w:val="center"/>
      </w:pPr>
      <w:r>
        <w:drawing>
          <wp:inline distT="0" distB="0" distL="0" distR="0">
            <wp:extent cx="5905500" cy="32194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219450"/>
                    </a:xfrm>
                    <a:prstGeom prst="rect">
                      <a:avLst/>
                    </a:prstGeom>
                  </pic:spPr>
                </pic:pic>
              </a:graphicData>
            </a:graphic>
          </wp:inline>
        </w:drawing>
      </w:r>
    </w:p>
    <w:p>
      <w:pPr>
        <w:spacing w:after="110" w:before="70" w:line="262"/>
      </w:pPr>
      <w:r>
        <w:rPr>
          <w:rFonts w:ascii="Calibri" w:cs="Calibri" w:eastAsia="Calibri" w:hAnsi="Calibri"/>
          <w:sz w:val="21"/>
          <w:szCs w:val="21"/>
        </w:rPr>
        <w:t xml:space="preserve">Green is the existing system (v1 behaviour, unchanged by default). Blue marks what changed this term and is now deployed behind a flag: the needs-profile classifier path and the arbitrator's scoring, which now calls a pure module that an oracle test pins to the original code. Amber is offline-only work. Red is pending. Grey is cut.</w:t>
      </w:r>
    </w:p>
    <w:p>
      <w:pPr>
        <w:pStyle w:val="Heading1"/>
        <w:keepNext/>
        <w:spacing w:after="120" w:before="280"/>
      </w:pPr>
      <w:r>
        <w:rPr>
          <w:rFonts w:ascii="Calibri" w:cs="Calibri" w:eastAsia="Calibri" w:hAnsi="Calibri"/>
          <w:b/>
          <w:bCs/>
          <w:color w:val="0F4C46"/>
          <w:sz w:val="30"/>
          <w:szCs w:val="30"/>
        </w:rPr>
        <w:t xml:space="preserve">5. Requirements and Success Criteria: Achieved, Partial, Not Yet</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650"/>
        <w:gridCol w:w="3300"/>
        <w:gridCol w:w="1500"/>
        <w:gridCol w:w="4270"/>
      </w:tblGrid>
      <w:tr>
        <w:trPr>
          <w:cantSplit/>
          <w:tblHeader/>
        </w:trPr>
        <w:tc>
          <w:tcPr>
            <w:tcW w:type="dxa" w:w="650"/>
            <w:shd w:fill="E8F3EF" w:val="clear"/>
            <w:tcMar>
              <w:top w:type="dxa" w:w="45"/>
              <w:left w:type="dxa" w:w="85"/>
              <w:bottom w:type="dxa" w:w="45"/>
              <w:right w:type="dxa" w:w="85"/>
            </w:tcMar>
          </w:tcPr>
          <w:p>
            <w:pPr>
              <w:spacing w:after="20"/>
            </w:pPr>
            <w:r>
              <w:rPr>
                <w:rFonts w:ascii="Calibri" w:cs="Calibri" w:eastAsia="Calibri" w:hAnsi="Calibri"/>
                <w:b/>
                <w:bCs/>
                <w:sz w:val="15"/>
                <w:szCs w:val="15"/>
              </w:rPr>
              <w:t xml:space="preserve">ID</w:t>
            </w:r>
          </w:p>
        </w:tc>
        <w:tc>
          <w:tcPr>
            <w:tcW w:type="dxa" w:w="3300"/>
            <w:shd w:fill="E8F3EF" w:val="clear"/>
            <w:tcMar>
              <w:top w:type="dxa" w:w="45"/>
              <w:left w:type="dxa" w:w="85"/>
              <w:bottom w:type="dxa" w:w="45"/>
              <w:right w:type="dxa" w:w="85"/>
            </w:tcMar>
          </w:tcPr>
          <w:p>
            <w:pPr>
              <w:spacing w:after="20"/>
            </w:pPr>
            <w:r>
              <w:rPr>
                <w:rFonts w:ascii="Calibri" w:cs="Calibri" w:eastAsia="Calibri" w:hAnsi="Calibri"/>
                <w:b/>
                <w:bCs/>
                <w:sz w:val="15"/>
                <w:szCs w:val="15"/>
              </w:rPr>
              <w:t xml:space="preserve">Requirement or criterion (Hard Stop 2)</w:t>
            </w:r>
          </w:p>
        </w:tc>
        <w:tc>
          <w:tcPr>
            <w:tcW w:type="dxa" w:w="1500"/>
            <w:shd w:fill="E8F3EF" w:val="clear"/>
            <w:tcMar>
              <w:top w:type="dxa" w:w="45"/>
              <w:left w:type="dxa" w:w="85"/>
              <w:bottom w:type="dxa" w:w="45"/>
              <w:right w:type="dxa" w:w="85"/>
            </w:tcMar>
          </w:tcPr>
          <w:p>
            <w:pPr>
              <w:spacing w:after="20"/>
            </w:pPr>
            <w:r>
              <w:rPr>
                <w:rFonts w:ascii="Calibri" w:cs="Calibri" w:eastAsia="Calibri" w:hAnsi="Calibri"/>
                <w:b/>
                <w:bCs/>
                <w:sz w:val="15"/>
                <w:szCs w:val="15"/>
              </w:rPr>
              <w:t xml:space="preserve">Status</w:t>
            </w:r>
          </w:p>
        </w:tc>
        <w:tc>
          <w:tcPr>
            <w:tcW w:type="dxa" w:w="4270"/>
            <w:shd w:fill="E8F3EF" w:val="clear"/>
            <w:tcMar>
              <w:top w:type="dxa" w:w="45"/>
              <w:left w:type="dxa" w:w="85"/>
              <w:bottom w:type="dxa" w:w="45"/>
              <w:right w:type="dxa" w:w="85"/>
            </w:tcMar>
          </w:tcPr>
          <w:p>
            <w:pPr>
              <w:spacing w:after="20"/>
            </w:pPr>
            <w:r>
              <w:rPr>
                <w:rFonts w:ascii="Calibri" w:cs="Calibri" w:eastAsia="Calibri" w:hAnsi="Calibri"/>
                <w:b/>
                <w:bCs/>
                <w:sz w:val="15"/>
                <w:szCs w:val="15"/>
              </w:rPr>
              <w:t xml:space="preserve">Evidence and limit</w:t>
            </w:r>
          </w:p>
        </w:tc>
      </w:tr>
      <w:tr>
        <w:trPr>
          <w:cantSplit/>
          <w:tblHeader w:val="off"/>
        </w:trPr>
        <w:tc>
          <w:tcPr>
            <w:tcW w:type="dxa" w:w="65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SC1</w:t>
            </w:r>
          </w:p>
        </w:tc>
        <w:tc>
          <w:tcPr>
            <w:tcW w:type="dxa" w:w="33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Species check uses membership, regression-tested</w:t>
            </w:r>
          </w:p>
        </w:tc>
        <w:tc>
          <w:tcPr>
            <w:tcW w:type="dxa" w:w="1500"/>
            <w:shd w:fill="DDF0E4" w:val="clear"/>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Achieved</w:t>
            </w:r>
          </w:p>
        </w:tc>
        <w:tc>
          <w:tcPr>
            <w:tcW w:type="dxa" w:w="427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9 tests incl. a mutation check; deployed 2026-10-18 with the arbitrator</w:t>
            </w:r>
          </w:p>
        </w:tc>
      </w:tr>
      <w:tr>
        <w:trPr>
          <w:cantSplit/>
          <w:tblHeader w:val="off"/>
        </w:trPr>
        <w:tc>
          <w:tcPr>
            <w:tcW w:type="dxa" w:w="65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SC2</w:t>
            </w:r>
          </w:p>
        </w:tc>
        <w:tc>
          <w:tcPr>
            <w:tcW w:type="dxa" w:w="33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AHP vector per archetype, CR &lt; 0.10; no single perturbation flips 2 or more cases</w:t>
            </w:r>
          </w:p>
        </w:tc>
        <w:tc>
          <w:tcPr>
            <w:tcW w:type="dxa" w:w="1500"/>
            <w:shd w:fill="FFF1D6" w:val="clear"/>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Achieved, validity partial</w:t>
            </w:r>
          </w:p>
        </w:tc>
        <w:tc>
          <w:tcPr>
            <w:tcW w:type="dxa" w:w="427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CR 0.034, 0.023, 0.022; 60 perturbations, largest flip count 1. Single judge; judgments AI-proposed; 8 cases</w:t>
            </w:r>
          </w:p>
        </w:tc>
      </w:tr>
      <w:tr>
        <w:trPr>
          <w:cantSplit/>
          <w:tblHeader w:val="off"/>
        </w:trPr>
        <w:tc>
          <w:tcPr>
            <w:tcW w:type="dxa" w:w="65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SC3</w:t>
            </w:r>
          </w:p>
        </w:tc>
        <w:tc>
          <w:tcPr>
            <w:tcW w:type="dxa" w:w="33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v2 matches annotation in at least as many cases as v1; disagreements explained</w:t>
            </w:r>
          </w:p>
        </w:tc>
        <w:tc>
          <w:tcPr>
            <w:tcW w:type="dxa" w:w="1500"/>
            <w:shd w:fill="FFF1D6" w:val="clear"/>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Met, weak</w:t>
            </w:r>
          </w:p>
        </w:tc>
        <w:tc>
          <w:tcPr>
            <w:tcW w:type="dxa" w:w="427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Tie rule: v1 3/6, v2 5/6. Raw score: 3/6 each, same winners. No real case</w:t>
            </w:r>
          </w:p>
        </w:tc>
      </w:tr>
      <w:tr>
        <w:trPr>
          <w:cantSplit/>
          <w:tblHeader w:val="off"/>
        </w:trPr>
        <w:tc>
          <w:tcPr>
            <w:tcW w:type="dxa" w:w="65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SC4</w:t>
            </w:r>
          </w:p>
        </w:tc>
        <w:tc>
          <w:tcPr>
            <w:tcW w:type="dxa" w:w="33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Deployed, no regression or added latency (about 30 s), rollback via WEIGHTING_MODE</w:t>
            </w:r>
          </w:p>
        </w:tc>
        <w:tc>
          <w:tcPr>
            <w:tcW w:type="dxa" w:w="1500"/>
            <w:shd w:fill="DDF0E4" w:val="clear"/>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Achieved (small sample)</w:t>
            </w:r>
          </w:p>
        </w:tc>
        <w:tc>
          <w:tcPr>
            <w:tcW w:type="dxa" w:w="427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13/13 ASSIGNED, 0 errors, 23.0 to 29.2 s; rollback 7.3 s. One environment, v2 not promoted</w:t>
            </w:r>
          </w:p>
        </w:tc>
      </w:tr>
      <w:tr>
        <w:trPr>
          <w:cantSplit/>
          <w:tblHeader w:val="off"/>
        </w:trPr>
        <w:tc>
          <w:tcPr>
            <w:tcW w:type="dxa" w:w="65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SC5</w:t>
            </w:r>
          </w:p>
        </w:tc>
        <w:tc>
          <w:tcPr>
            <w:tcW w:type="dxa" w:w="33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Documentation accepted by the supervisor at the midpoint</w:t>
            </w:r>
          </w:p>
        </w:tc>
        <w:tc>
          <w:tcPr>
            <w:tcW w:type="dxa" w:w="1500"/>
            <w:shd w:fill="FBE0DD" w:val="clear"/>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Not yet</w:t>
            </w:r>
          </w:p>
        </w:tc>
        <w:tc>
          <w:tcPr>
            <w:tcW w:type="dxa" w:w="427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No supervisor review has taken place (see Section 8)</w:t>
            </w:r>
          </w:p>
        </w:tc>
      </w:tr>
      <w:tr>
        <w:trPr>
          <w:cantSplit/>
          <w:tblHeader w:val="off"/>
        </w:trPr>
        <w:tc>
          <w:tcPr>
            <w:tcW w:type="dxa" w:w="65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FR1</w:t>
            </w:r>
          </w:p>
        </w:tc>
        <w:tc>
          <w:tcPr>
            <w:tcW w:type="dxa" w:w="33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Score each bid with AHP-derived weights</w:t>
            </w:r>
          </w:p>
        </w:tc>
        <w:tc>
          <w:tcPr>
            <w:tcW w:type="dxa" w:w="1500"/>
            <w:shd w:fill="DDF0E4" w:val="clear"/>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Achieved</w:t>
            </w:r>
          </w:p>
        </w:tc>
        <w:tc>
          <w:tcPr>
            <w:tcW w:type="dxa" w:w="427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Unit tests; deployed behind flag; 6 live cases under blend</w:t>
            </w:r>
          </w:p>
        </w:tc>
      </w:tr>
      <w:tr>
        <w:trPr>
          <w:cantSplit/>
          <w:tblHeader w:val="off"/>
        </w:trPr>
        <w:tc>
          <w:tcPr>
            <w:tcW w:type="dxa" w:w="65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FR3</w:t>
            </w:r>
          </w:p>
        </w:tc>
        <w:tc>
          <w:tcPr>
            <w:tcW w:type="dxa" w:w="33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Replay real and synthetic cases through both versions</w:t>
            </w:r>
          </w:p>
        </w:tc>
        <w:tc>
          <w:tcPr>
            <w:tcW w:type="dxa" w:w="1500"/>
            <w:shd w:fill="FFF1D6" w:val="clear"/>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Partial</w:t>
            </w:r>
          </w:p>
        </w:tc>
        <w:tc>
          <w:tcPr>
            <w:tcW w:type="dxa" w:w="427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8 synthetic cases, 7 with frozen live v1 profiles; no real case</w:t>
            </w:r>
          </w:p>
        </w:tc>
      </w:tr>
      <w:tr>
        <w:trPr>
          <w:cantSplit/>
          <w:tblHeader w:val="off"/>
        </w:trPr>
        <w:tc>
          <w:tcPr>
            <w:tcW w:type="dxa" w:w="65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FR4</w:t>
            </w:r>
          </w:p>
        </w:tc>
        <w:tc>
          <w:tcPr>
            <w:tcW w:type="dxa" w:w="33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Escalate when no or failed bids</w:t>
            </w:r>
          </w:p>
        </w:tc>
        <w:tc>
          <w:tcPr>
            <w:tcW w:type="dxa" w:w="1500"/>
            <w:shd w:fill="EEEEEE" w:val="clear"/>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Not exercised</w:t>
            </w:r>
          </w:p>
        </w:tc>
        <w:tc>
          <w:tcPr>
            <w:tcW w:type="dxa" w:w="427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Unchanged code; no escalation occurred in 13 cases</w:t>
            </w:r>
          </w:p>
        </w:tc>
      </w:tr>
      <w:tr>
        <w:trPr>
          <w:cantSplit/>
          <w:tblHeader w:val="off"/>
        </w:trPr>
        <w:tc>
          <w:tcPr>
            <w:tcW w:type="dxa" w:w="65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FR7</w:t>
            </w:r>
          </w:p>
        </w:tc>
        <w:tc>
          <w:tcPr>
            <w:tcW w:type="dxa" w:w="33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Weights are a convex combination of the archetype vectors</w:t>
            </w:r>
          </w:p>
        </w:tc>
        <w:tc>
          <w:tcPr>
            <w:tcW w:type="dxa" w:w="1500"/>
            <w:shd w:fill="DDF0E4" w:val="clear"/>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Achieved</w:t>
            </w:r>
          </w:p>
        </w:tc>
        <w:tc>
          <w:tcPr>
            <w:tcW w:type="dxa" w:w="427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Property tests; stored probabilities and weightsVersion on live cases</w:t>
            </w:r>
          </w:p>
        </w:tc>
      </w:tr>
      <w:tr>
        <w:trPr>
          <w:cantSplit/>
          <w:tblHeader w:val="off"/>
        </w:trPr>
        <w:tc>
          <w:tcPr>
            <w:tcW w:type="dxa" w:w="65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FR8</w:t>
            </w:r>
          </w:p>
        </w:tc>
        <w:tc>
          <w:tcPr>
            <w:tcW w:type="dxa" w:w="33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Validate classifier output; fall back safely</w:t>
            </w:r>
          </w:p>
        </w:tc>
        <w:tc>
          <w:tcPr>
            <w:tcW w:type="dxa" w:w="1500"/>
            <w:shd w:fill="DDF0E4" w:val="clear"/>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Achieved (offline)</w:t>
            </w:r>
          </w:p>
        </w:tc>
        <w:tc>
          <w:tcPr>
            <w:tcW w:type="dxa" w:w="427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SYN-08, 12 malformed-output cases, mocked-Bedrock handler tests; 0 invalid outputs in about 50 live calls, so the live fallback was not exercised</w:t>
            </w:r>
          </w:p>
        </w:tc>
      </w:tr>
      <w:tr>
        <w:trPr>
          <w:cantSplit/>
          <w:tblHeader w:val="off"/>
        </w:trPr>
        <w:tc>
          <w:tcPr>
            <w:tcW w:type="dxa" w:w="65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NFR1</w:t>
            </w:r>
          </w:p>
        </w:tc>
        <w:tc>
          <w:tcPr>
            <w:tcW w:type="dxa" w:w="33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Latency about 30 s or less</w:t>
            </w:r>
          </w:p>
        </w:tc>
        <w:tc>
          <w:tcPr>
            <w:tcW w:type="dxa" w:w="1500"/>
            <w:shd w:fill="DDF0E4" w:val="clear"/>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Met</w:t>
            </w:r>
          </w:p>
        </w:tc>
        <w:tc>
          <w:tcPr>
            <w:tcW w:type="dxa" w:w="427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See SC4</w:t>
            </w:r>
          </w:p>
        </w:tc>
      </w:tr>
      <w:tr>
        <w:trPr>
          <w:cantSplit/>
          <w:tblHeader w:val="off"/>
        </w:trPr>
        <w:tc>
          <w:tcPr>
            <w:tcW w:type="dxa" w:w="65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NFR5</w:t>
            </w:r>
          </w:p>
        </w:tc>
        <w:tc>
          <w:tcPr>
            <w:tcW w:type="dxa" w:w="33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Auditable decision logic</w:t>
            </w:r>
          </w:p>
        </w:tc>
        <w:tc>
          <w:tcPr>
            <w:tcW w:type="dxa" w:w="1500"/>
            <w:shd w:fill="DDF0E4" w:val="clear"/>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Achieved</w:t>
            </w:r>
          </w:p>
        </w:tc>
        <w:tc>
          <w:tcPr>
            <w:tcW w:type="dxa" w:w="427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Probabilities, weights version and fallback flag stored on each v2 case</w:t>
            </w:r>
          </w:p>
        </w:tc>
      </w:tr>
      <w:tr>
        <w:trPr>
          <w:cantSplit/>
          <w:tblHeader w:val="off"/>
        </w:trPr>
        <w:tc>
          <w:tcPr>
            <w:tcW w:type="dxa" w:w="65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NFR6</w:t>
            </w:r>
          </w:p>
        </w:tc>
        <w:tc>
          <w:tcPr>
            <w:tcW w:type="dxa" w:w="33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Same inputs give the same weights and scores</w:t>
            </w:r>
          </w:p>
        </w:tc>
        <w:tc>
          <w:tcPr>
            <w:tcW w:type="dxa" w:w="1500"/>
            <w:shd w:fill="DDF0E4" w:val="clear"/>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Achieved (offline)</w:t>
            </w:r>
          </w:p>
        </w:tc>
        <w:tc>
          <w:tcPr>
            <w:tcW w:type="dxa" w:w="427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Identical result hashes in 3 of 3 runs; classifier spread 0.05 at temperature 0</w:t>
            </w:r>
          </w:p>
        </w:tc>
      </w:tr>
      <w:tr>
        <w:trPr>
          <w:cantSplit/>
          <w:tblHeader w:val="off"/>
        </w:trPr>
        <w:tc>
          <w:tcPr>
            <w:tcW w:type="dxa" w:w="65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NFR7</w:t>
            </w:r>
          </w:p>
        </w:tc>
        <w:tc>
          <w:tcPr>
            <w:tcW w:type="dxa" w:w="330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Scoring does not systematically favor a shelter characteristic</w:t>
            </w:r>
          </w:p>
        </w:tc>
        <w:tc>
          <w:tcPr>
            <w:tcW w:type="dxa" w:w="1500"/>
            <w:shd w:fill="EEEEEE" w:val="clear"/>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Cut</w:t>
            </w:r>
          </w:p>
        </w:tc>
        <w:tc>
          <w:tcPr>
            <w:tcW w:type="dxa" w:w="4270"/>
            <w:tcMar>
              <w:top w:type="dxa" w:w="45"/>
              <w:left w:type="dxa" w:w="85"/>
              <w:bottom w:type="dxa" w:w="45"/>
              <w:right w:type="dxa" w:w="85"/>
            </w:tcMar>
          </w:tcPr>
          <w:p>
            <w:pPr>
              <w:spacing w:after="20"/>
            </w:pPr>
            <w:r>
              <w:rPr>
                <w:rFonts w:ascii="Calibri" w:cs="Calibri" w:eastAsia="Calibri" w:hAnsi="Calibri"/>
                <w:b w:val="false"/>
                <w:bCs w:val="false"/>
                <w:sz w:val="15"/>
                <w:szCs w:val="15"/>
              </w:rPr>
              <w:t xml:space="preserve">Deferred; reasons in Section 7</w:t>
            </w:r>
          </w:p>
        </w:tc>
      </w:tr>
    </w:tbl>
    <w:p>
      <w:pPr>
        <w:pStyle w:val="Heading1"/>
        <w:keepNext/>
        <w:spacing w:after="120" w:before="280"/>
      </w:pPr>
      <w:r>
        <w:rPr>
          <w:rFonts w:ascii="Calibri" w:cs="Calibri" w:eastAsia="Calibri" w:hAnsi="Calibri"/>
          <w:b/>
          <w:bCs/>
          <w:color w:val="0F4C46"/>
          <w:sz w:val="30"/>
          <w:szCs w:val="30"/>
        </w:rPr>
        <w:t xml:space="preserve">6. Updated Plan: Earned Progress, Not Assumed Progress</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2650"/>
        <w:gridCol w:w="3100"/>
        <w:gridCol w:w="187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Week / deliverable</w:t>
            </w:r>
          </w:p>
        </w:tc>
        <w:tc>
          <w:tcPr>
            <w:tcW w:type="dxa" w:w="265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Planned (Hard Stop 2)</w:t>
            </w:r>
          </w:p>
        </w:tc>
        <w:tc>
          <w:tcPr>
            <w:tcW w:type="dxa" w:w="310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Earned</w:t>
            </w:r>
          </w:p>
        </w:tc>
        <w:tc>
          <w:tcPr>
            <w:tcW w:type="dxa" w:w="187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Gap</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1 to 4: charter, proposal, brief, design</w:t>
            </w:r>
          </w:p>
        </w:tc>
        <w:tc>
          <w:tcPr>
            <w:tcW w:type="dxa" w:w="26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Approved package and design</w:t>
            </w:r>
          </w:p>
        </w:tc>
        <w:tc>
          <w:tcPr>
            <w:tcW w:type="dxa" w:w="31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Hard Stop 1: 99. Design review: 97. Supervisor approved the three-archetype design (Sep 27)</w:t>
            </w:r>
          </w:p>
        </w:tc>
        <w:tc>
          <w:tcPr>
            <w:tcW w:type="dxa" w:w="187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None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5: Sprint I check-in</w:t>
            </w:r>
          </w:p>
        </w:tc>
        <w:tc>
          <w:tcPr>
            <w:tcW w:type="dxa" w:w="26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Weights module, flag, tests, fix</w:t>
            </w:r>
          </w:p>
        </w:tc>
        <w:tc>
          <w:tcPr>
            <w:tcW w:type="dxa" w:w="31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Delivered, tagged v0.1.0-baseline, 36 tests</w:t>
            </w:r>
          </w:p>
        </w:tc>
        <w:tc>
          <w:tcPr>
            <w:tcW w:type="dxa" w:w="187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None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6: Hard Stop 3</w:t>
            </w:r>
          </w:p>
        </w:tc>
        <w:tc>
          <w:tcPr>
            <w:tcW w:type="dxa" w:w="26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AHP elicitation, first harness run, classifier results</w:t>
            </w:r>
          </w:p>
        </w:tc>
        <w:tc>
          <w:tcPr>
            <w:tcW w:type="dxa" w:w="31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Delivered; scored 90/100. Judgments AI-proposed and student-adopted</w:t>
            </w:r>
          </w:p>
        </w:tc>
        <w:tc>
          <w:tcPr>
            <w:tcW w:type="dxa" w:w="187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Independence of the judgments</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7: midpoint</w:t>
            </w:r>
          </w:p>
        </w:tc>
        <w:tc>
          <w:tcPr>
            <w:tcW w:type="dxa" w:w="26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Full comparison on 9 cases; non-production latency run with the flag on; fairness breakdown</w:t>
            </w:r>
          </w:p>
        </w:tc>
        <w:tc>
          <w:tcPr>
            <w:tcW w:type="dxa" w:w="31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Comparison on 8 cases; deployment, latency, errors and rollback measured on the deployed pipeline</w:t>
            </w:r>
          </w:p>
        </w:tc>
        <w:tc>
          <w:tcPr>
            <w:tcW w:type="dxa" w:w="187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No real case; fairness check cut; not an isolated environment</w:t>
            </w:r>
          </w:p>
        </w:tc>
      </w:tr>
    </w:tbl>
    <w:p>
      <w:pPr>
        <w:pStyle w:val="Heading1"/>
        <w:keepNext/>
        <w:spacing w:after="120" w:before="280"/>
      </w:pPr>
      <w:r>
        <w:rPr>
          <w:rFonts w:ascii="Calibri" w:cs="Calibri" w:eastAsia="Calibri" w:hAnsi="Calibri"/>
          <w:b/>
          <w:bCs/>
          <w:color w:val="0F4C46"/>
          <w:sz w:val="30"/>
          <w:szCs w:val="30"/>
        </w:rPr>
        <w:t xml:space="preserve">7. Adjustment Memo: What Changes and Why</w:t>
      </w:r>
    </w:p>
    <w:p>
      <w:pPr>
        <w:spacing w:after="110" w:before="70" w:line="262"/>
      </w:pPr>
      <w:r>
        <w:rPr>
          <w:rFonts w:ascii="Calibri" w:cs="Calibri" w:eastAsia="Calibri" w:hAnsi="Calibri"/>
          <w:sz w:val="21"/>
          <w:szCs w:val="21"/>
        </w:rPr>
        <w:t xml:space="preserve">Every change below is tied to evidence from implementation, validation, or the Hard Stop 3 feedback. The format is the course's keep, cut, defer, and protect worksheet.</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1400"/>
        <w:gridCol w:w="3500"/>
        <w:gridCol w:w="4820"/>
      </w:tblGrid>
      <w:tr>
        <w:trPr>
          <w:cantSplit/>
          <w:tblHeader/>
        </w:trPr>
        <w:tc>
          <w:tcPr>
            <w:tcW w:type="dxa" w:w="140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Decision</w:t>
            </w:r>
          </w:p>
        </w:tc>
        <w:tc>
          <w:tcPr>
            <w:tcW w:type="dxa" w:w="350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Item</w:t>
            </w:r>
          </w:p>
        </w:tc>
        <w:tc>
          <w:tcPr>
            <w:tcW w:type="dxa" w:w="482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Why (evidence)</w:t>
            </w:r>
          </w:p>
        </w:tc>
      </w:tr>
      <w:tr>
        <w:trPr>
          <w:cantSplit/>
          <w:tblHeader w:val="off"/>
        </w:trPr>
        <w:tc>
          <w:tcPr>
            <w:tcW w:type="dxa" w:w="1400"/>
            <w:shd w:fill="DDF0E4" w:val="clear"/>
            <w:tcMar>
              <w:top w:type="dxa" w:w="45"/>
              <w:left w:type="dxa" w:w="85"/>
              <w:bottom w:type="dxa" w:w="45"/>
              <w:right w:type="dxa" w:w="85"/>
            </w:tcMar>
          </w:tcPr>
          <w:p>
            <w:pPr>
              <w:spacing w:after="20"/>
            </w:pPr>
            <w:r>
              <w:rPr>
                <w:rFonts w:ascii="Calibri" w:cs="Calibri" w:eastAsia="Calibri" w:hAnsi="Calibri"/>
                <w:b/>
                <w:bCs/>
                <w:sz w:val="16"/>
                <w:szCs w:val="16"/>
              </w:rPr>
              <w:t xml:space="preserve">PROTECT</w:t>
            </w:r>
          </w:p>
        </w:tc>
        <w:tc>
          <w:tcPr>
            <w:tcW w:type="dxa" w:w="35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Controlled ablation: vary the scoring formula holding weights fixed, and the reverse</w:t>
            </w:r>
          </w:p>
        </w:tc>
        <w:tc>
          <w:tcPr>
            <w:tcW w:type="dxa" w:w="48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The central finding: by raw score v1 and v2 pick the same shelter in all 6 cases and both get 3, so the weights are not what limits correctness. The instructor called the formula hypothesis plausible but unproven and made the controlled test Priority 4</w:t>
            </w:r>
          </w:p>
        </w:tc>
      </w:tr>
      <w:tr>
        <w:trPr>
          <w:cantSplit/>
          <w:tblHeader w:val="off"/>
        </w:trPr>
        <w:tc>
          <w:tcPr>
            <w:tcW w:type="dxa" w:w="1400"/>
            <w:shd w:fill="DDF0E4" w:val="clear"/>
            <w:tcMar>
              <w:top w:type="dxa" w:w="45"/>
              <w:left w:type="dxa" w:w="85"/>
              <w:bottom w:type="dxa" w:w="45"/>
              <w:right w:type="dxa" w:w="85"/>
            </w:tcMar>
          </w:tcPr>
          <w:p>
            <w:pPr>
              <w:spacing w:after="20"/>
            </w:pPr>
            <w:r>
              <w:rPr>
                <w:rFonts w:ascii="Calibri" w:cs="Calibri" w:eastAsia="Calibri" w:hAnsi="Calibri"/>
                <w:b/>
                <w:bCs/>
                <w:sz w:val="16"/>
                <w:szCs w:val="16"/>
              </w:rPr>
              <w:t xml:space="preserve">PROTECT</w:t>
            </w:r>
          </w:p>
        </w:tc>
        <w:tc>
          <w:tcPr>
            <w:tcW w:type="dxa" w:w="35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Independent validation: second annotator, second judge for the AHP magnitudes, a privacy-reviewed real case</w:t>
            </w:r>
          </w:p>
        </w:tc>
        <w:tc>
          <w:tcPr>
            <w:tcW w:type="dxa" w:w="48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Priority 3. Every result so far rests on one person; the AHP judgments were AI-proposed</w:t>
            </w:r>
          </w:p>
        </w:tc>
      </w:tr>
      <w:tr>
        <w:trPr>
          <w:cantSplit/>
          <w:tblHeader w:val="off"/>
        </w:trPr>
        <w:tc>
          <w:tcPr>
            <w:tcW w:type="dxa" w:w="1400"/>
            <w:shd w:fill="DDF0E4" w:val="clear"/>
            <w:tcMar>
              <w:top w:type="dxa" w:w="45"/>
              <w:left w:type="dxa" w:w="85"/>
              <w:bottom w:type="dxa" w:w="45"/>
              <w:right w:type="dxa" w:w="85"/>
            </w:tcMar>
          </w:tcPr>
          <w:p>
            <w:pPr>
              <w:spacing w:after="20"/>
            </w:pPr>
            <w:r>
              <w:rPr>
                <w:rFonts w:ascii="Calibri" w:cs="Calibri" w:eastAsia="Calibri" w:hAnsi="Calibri"/>
                <w:b/>
                <w:bCs/>
                <w:sz w:val="16"/>
                <w:szCs w:val="16"/>
              </w:rPr>
              <w:t xml:space="preserve">PROTECT</w:t>
            </w:r>
          </w:p>
        </w:tc>
        <w:tc>
          <w:tcPr>
            <w:tcW w:type="dxa" w:w="35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Student-led review of the scoring function, classifier fallback, and evaluation harness, with written records</w:t>
            </w:r>
          </w:p>
        </w:tc>
        <w:tc>
          <w:tcPr>
            <w:tcW w:type="dxa" w:w="48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Priority 5. The student has not read all AI-generated code, and the AI log criterion lost 2.5 of 10 points on exactly this</w:t>
            </w:r>
          </w:p>
        </w:tc>
      </w:tr>
      <w:tr>
        <w:trPr>
          <w:cantSplit/>
          <w:tblHeader w:val="off"/>
        </w:trPr>
        <w:tc>
          <w:tcPr>
            <w:tcW w:type="dxa" w:w="1400"/>
            <w:shd w:fill="DDF0E4" w:val="clear"/>
            <w:tcMar>
              <w:top w:type="dxa" w:w="45"/>
              <w:left w:type="dxa" w:w="85"/>
              <w:bottom w:type="dxa" w:w="45"/>
              <w:right w:type="dxa" w:w="85"/>
            </w:tcMar>
          </w:tcPr>
          <w:p>
            <w:pPr>
              <w:spacing w:after="20"/>
            </w:pPr>
            <w:r>
              <w:rPr>
                <w:rFonts w:ascii="Calibri" w:cs="Calibri" w:eastAsia="Calibri" w:hAnsi="Calibri"/>
                <w:b/>
                <w:bCs/>
                <w:sz w:val="16"/>
                <w:szCs w:val="16"/>
              </w:rPr>
              <w:t xml:space="preserve">PROTECT</w:t>
            </w:r>
          </w:p>
        </w:tc>
        <w:tc>
          <w:tcPr>
            <w:tcW w:type="dxa" w:w="35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Pre-registration discipline, reproducible evidence, the AI log</w:t>
            </w:r>
          </w:p>
        </w:tc>
        <w:tc>
          <w:tcPr>
            <w:tcW w:type="dxa" w:w="48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Praised in feedback (19 of 20, and "unusually strong experimental traceability"); cheap to keep</w:t>
            </w:r>
          </w:p>
        </w:tc>
      </w:tr>
      <w:tr>
        <w:trPr>
          <w:cantSplit/>
          <w:tblHeader w:val="off"/>
        </w:trPr>
        <w:tc>
          <w:tcPr>
            <w:tcW w:type="dxa" w:w="1400"/>
            <w:shd w:fill="DDF0E4" w:val="clear"/>
            <w:tcMar>
              <w:top w:type="dxa" w:w="45"/>
              <w:left w:type="dxa" w:w="85"/>
              <w:bottom w:type="dxa" w:w="45"/>
              <w:right w:type="dxa" w:w="85"/>
            </w:tcMar>
          </w:tcPr>
          <w:p>
            <w:pPr>
              <w:spacing w:after="20"/>
            </w:pPr>
            <w:r>
              <w:rPr>
                <w:rFonts w:ascii="Calibri" w:cs="Calibri" w:eastAsia="Calibri" w:hAnsi="Calibri"/>
                <w:b/>
                <w:bCs/>
                <w:sz w:val="16"/>
                <w:szCs w:val="16"/>
              </w:rPr>
              <w:t xml:space="preserve">KEEP</w:t>
            </w:r>
          </w:p>
        </w:tc>
        <w:tc>
          <w:tcPr>
            <w:tcW w:type="dxa" w:w="35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The blend design and the STABLE_ROUTINE fallback, the harness, the sensitivity check</w:t>
            </w:r>
          </w:p>
        </w:tc>
        <w:tc>
          <w:tcPr>
            <w:tcW w:type="dxa" w:w="48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Supervisor-approved design; all measured as working. Keep, but stop treating the blend as proven better</w:t>
            </w:r>
          </w:p>
        </w:tc>
      </w:tr>
      <w:tr>
        <w:trPr>
          <w:cantSplit/>
          <w:tblHeader w:val="off"/>
        </w:trPr>
        <w:tc>
          <w:tcPr>
            <w:tcW w:type="dxa" w:w="1400"/>
            <w:shd w:fill="EEEEEE" w:val="clear"/>
            <w:tcMar>
              <w:top w:type="dxa" w:w="45"/>
              <w:left w:type="dxa" w:w="85"/>
              <w:bottom w:type="dxa" w:w="45"/>
              <w:right w:type="dxa" w:w="85"/>
            </w:tcMar>
          </w:tcPr>
          <w:p>
            <w:pPr>
              <w:spacing w:after="20"/>
            </w:pPr>
            <w:r>
              <w:rPr>
                <w:rFonts w:ascii="Calibri" w:cs="Calibri" w:eastAsia="Calibri" w:hAnsi="Calibri"/>
                <w:b/>
                <w:bCs/>
                <w:sz w:val="16"/>
                <w:szCs w:val="16"/>
              </w:rPr>
              <w:t xml:space="preserve">CUT</w:t>
            </w:r>
          </w:p>
        </w:tc>
        <w:tc>
          <w:tcPr>
            <w:tcW w:type="dxa" w:w="35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Fairness-by-shelter-characteristic check (NFR7)</w:t>
            </w:r>
          </w:p>
        </w:tc>
        <w:tc>
          <w:tcPr>
            <w:tcW w:type="dxa" w:w="48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Weakest evidence and off the critical path. With 6 cases a won-share breakdown is noise, and the seeded roster has one dominant shelter that won all 13 measured cases in both modes (KI-17), so a breakdown by tier, vet or distance would show that one shelter, not a pattern. It would not change any decision</w:t>
            </w:r>
          </w:p>
        </w:tc>
      </w:tr>
      <w:tr>
        <w:trPr>
          <w:cantSplit/>
          <w:tblHeader w:val="off"/>
        </w:trPr>
        <w:tc>
          <w:tcPr>
            <w:tcW w:type="dxa" w:w="1400"/>
            <w:shd w:fill="FFF1D6" w:val="clear"/>
            <w:tcMar>
              <w:top w:type="dxa" w:w="45"/>
              <w:left w:type="dxa" w:w="85"/>
              <w:bottom w:type="dxa" w:w="45"/>
              <w:right w:type="dxa" w:w="85"/>
            </w:tcMar>
          </w:tcPr>
          <w:p>
            <w:pPr>
              <w:spacing w:after="20"/>
            </w:pPr>
            <w:r>
              <w:rPr>
                <w:rFonts w:ascii="Calibri" w:cs="Calibri" w:eastAsia="Calibri" w:hAnsi="Calibri"/>
                <w:b/>
                <w:bCs/>
                <w:sz w:val="16"/>
                <w:szCs w:val="16"/>
              </w:rPr>
              <w:t xml:space="preserve">DEFER</w:t>
            </w:r>
          </w:p>
        </w:tc>
        <w:tc>
          <w:tcPr>
            <w:tcW w:type="dxa" w:w="35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Promoting blend to the default (WEIGHTING_MODE)</w:t>
            </w:r>
          </w:p>
        </w:tc>
        <w:tc>
          <w:tcPr>
            <w:tcW w:type="dxa" w:w="48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No demonstrated gain by raw score. Decide after the ablation; rollback is already proven, so deferring costs nothing</w:t>
            </w:r>
          </w:p>
        </w:tc>
      </w:tr>
      <w:tr>
        <w:trPr>
          <w:cantSplit/>
          <w:tblHeader w:val="off"/>
        </w:trPr>
        <w:tc>
          <w:tcPr>
            <w:tcW w:type="dxa" w:w="1400"/>
            <w:shd w:fill="FFF1D6" w:val="clear"/>
            <w:tcMar>
              <w:top w:type="dxa" w:w="45"/>
              <w:left w:type="dxa" w:w="85"/>
              <w:bottom w:type="dxa" w:w="45"/>
              <w:right w:type="dxa" w:w="85"/>
            </w:tcMar>
          </w:tcPr>
          <w:p>
            <w:pPr>
              <w:spacing w:after="20"/>
            </w:pPr>
            <w:r>
              <w:rPr>
                <w:rFonts w:ascii="Calibri" w:cs="Calibri" w:eastAsia="Calibri" w:hAnsi="Calibri"/>
                <w:b/>
                <w:bCs/>
                <w:sz w:val="16"/>
                <w:szCs w:val="16"/>
              </w:rPr>
              <w:t xml:space="preserve">DEFER</w:t>
            </w:r>
          </w:p>
        </w:tc>
        <w:tc>
          <w:tcPr>
            <w:tcW w:type="dxa" w:w="35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Calibrating the classifier probabilities</w:t>
            </w:r>
          </w:p>
        </w:tc>
        <w:tc>
          <w:tcPr>
            <w:tcW w:type="dxa" w:w="48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They are near one-hot, so blend behaves like top-archetype (KI-13). Worth fixing only if the ablation shows the weights matter</w:t>
            </w:r>
          </w:p>
        </w:tc>
      </w:tr>
      <w:tr>
        <w:trPr>
          <w:cantSplit/>
          <w:tblHeader w:val="off"/>
        </w:trPr>
        <w:tc>
          <w:tcPr>
            <w:tcW w:type="dxa" w:w="1400"/>
            <w:shd w:fill="FFF1D6" w:val="clear"/>
            <w:tcMar>
              <w:top w:type="dxa" w:w="45"/>
              <w:left w:type="dxa" w:w="85"/>
              <w:bottom w:type="dxa" w:w="45"/>
              <w:right w:type="dxa" w:w="85"/>
            </w:tcMar>
          </w:tcPr>
          <w:p>
            <w:pPr>
              <w:spacing w:after="20"/>
            </w:pPr>
            <w:r>
              <w:rPr>
                <w:rFonts w:ascii="Calibri" w:cs="Calibri" w:eastAsia="Calibri" w:hAnsi="Calibri"/>
                <w:b/>
                <w:bCs/>
                <w:sz w:val="16"/>
                <w:szCs w:val="16"/>
              </w:rPr>
              <w:t xml:space="preserve">DEFER</w:t>
            </w:r>
          </w:p>
        </w:tc>
        <w:tc>
          <w:tcPr>
            <w:tcW w:type="dxa" w:w="35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Real-case evaluation</w:t>
            </w:r>
          </w:p>
        </w:tc>
        <w:tc>
          <w:tcPr>
            <w:tcW w:type="dxa" w:w="48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Needs a personal-information review first; schedule it, but do not block the ablation on it</w:t>
            </w:r>
          </w:p>
        </w:tc>
      </w:tr>
      <w:tr>
        <w:trPr>
          <w:cantSplit/>
          <w:tblHeader w:val="off"/>
        </w:trPr>
        <w:tc>
          <w:tcPr>
            <w:tcW w:type="dxa" w:w="1400"/>
            <w:shd w:fill="EEEEEE" w:val="clear"/>
            <w:tcMar>
              <w:top w:type="dxa" w:w="45"/>
              <w:left w:type="dxa" w:w="85"/>
              <w:bottom w:type="dxa" w:w="45"/>
              <w:right w:type="dxa" w:w="85"/>
            </w:tcMar>
          </w:tcPr>
          <w:p>
            <w:pPr>
              <w:spacing w:after="20"/>
            </w:pPr>
            <w:r>
              <w:rPr>
                <w:rFonts w:ascii="Calibri" w:cs="Calibri" w:eastAsia="Calibri" w:hAnsi="Calibri"/>
                <w:b/>
                <w:bCs/>
                <w:sz w:val="16"/>
                <w:szCs w:val="16"/>
              </w:rPr>
              <w:t xml:space="preserve">OUT OF SCOPE</w:t>
            </w:r>
          </w:p>
        </w:tc>
        <w:tc>
          <w:tcPr>
            <w:tcW w:type="dxa" w:w="35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Mobile UI, geocoding Place Index, shelter portal</w:t>
            </w:r>
          </w:p>
        </w:tc>
        <w:tc>
          <w:tcPr>
            <w:tcW w:type="dxa" w:w="48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Unchanged from the approved scope</w:t>
            </w:r>
          </w:p>
        </w:tc>
      </w:tr>
    </w:tbl>
    <w:p>
      <w:pPr>
        <w:pStyle w:val="Heading2"/>
        <w:keepNext/>
        <w:spacing w:after="80" w:before="200"/>
      </w:pPr>
      <w:r>
        <w:rPr>
          <w:rFonts w:ascii="Calibri" w:cs="Calibri" w:eastAsia="Calibri" w:hAnsi="Calibri"/>
          <w:b/>
          <w:bCs/>
          <w:color w:val="0F4C46"/>
          <w:sz w:val="24"/>
          <w:szCs w:val="24"/>
        </w:rPr>
        <w:t xml:space="preserve">Changes to sequencing and evaluation</w:t>
      </w:r>
    </w:p>
    <w:p>
      <w:pPr>
        <w:pStyle w:val="ListParagraph"/>
        <w:numPr>
          <w:ilvl w:val="0"/>
          <w:numId w:val="2"/>
        </w:numPr>
        <w:spacing w:after="60" w:line="255"/>
      </w:pPr>
      <w:r>
        <w:rPr>
          <w:rFonts w:ascii="Calibri" w:cs="Calibri" w:eastAsia="Calibri" w:hAnsi="Calibri"/>
          <w:sz w:val="21"/>
          <w:szCs w:val="21"/>
        </w:rPr>
        <w:t xml:space="preserve">Evaluation strategy: add cases that isolate the weighting method (not decided by hard constraints and not near-ties), pre-register their annotations before any run, and report ranking correctness separately from tie handling. The raw-score metric becomes the primary one; the tie rule is reported but not credited.</w:t>
      </w:r>
    </w:p>
    <w:p>
      <w:pPr>
        <w:pStyle w:val="ListParagraph"/>
        <w:numPr>
          <w:ilvl w:val="0"/>
          <w:numId w:val="2"/>
        </w:numPr>
        <w:spacing w:after="60" w:line="255"/>
      </w:pPr>
      <w:r>
        <w:rPr>
          <w:rFonts w:ascii="Calibri" w:cs="Calibri" w:eastAsia="Calibri" w:hAnsi="Calibri"/>
          <w:sz w:val="21"/>
          <w:szCs w:val="21"/>
        </w:rPr>
        <w:t xml:space="preserve">Sequencing: independent annotation and the supervisor review move from "if feasible" to the critical path, ahead of Hard Stop 4; the isolated-environment measurement moves to Hard Stop 5.</w:t>
      </w:r>
    </w:p>
    <w:p>
      <w:pPr>
        <w:pStyle w:val="ListParagraph"/>
        <w:numPr>
          <w:ilvl w:val="0"/>
          <w:numId w:val="2"/>
        </w:numPr>
        <w:spacing w:after="60" w:line="255"/>
      </w:pPr>
      <w:r>
        <w:rPr>
          <w:rFonts w:ascii="Calibri" w:cs="Calibri" w:eastAsia="Calibri" w:hAnsi="Calibri"/>
          <w:sz w:val="21"/>
          <w:szCs w:val="21"/>
        </w:rPr>
        <w:t xml:space="preserve">Interface and dataset: no change. The roster change in KI-17 (add a roster variant so the live path can discriminate) is added to the backlog.</w:t>
      </w:r>
    </w:p>
    <w:p>
      <w:pPr>
        <w:pStyle w:val="Heading2"/>
        <w:keepNext/>
        <w:spacing w:after="80" w:before="200"/>
      </w:pPr>
      <w:r>
        <w:rPr>
          <w:rFonts w:ascii="Calibri" w:cs="Calibri" w:eastAsia="Calibri" w:hAnsi="Calibri"/>
          <w:b/>
          <w:bCs/>
          <w:color w:val="0F4C46"/>
          <w:sz w:val="24"/>
          <w:szCs w:val="24"/>
        </w:rPr>
        <w:t xml:space="preserve">Answer to the supervisor prompt</w:t>
      </w:r>
    </w:p>
    <w:p>
      <w:pPr>
        <w:spacing w:after="110" w:before="70" w:line="262"/>
      </w:pPr>
      <w:r>
        <w:rPr>
          <w:rFonts w:ascii="Calibri" w:cs="Calibri" w:eastAsia="Calibri" w:hAnsi="Calibri"/>
          <w:b/>
          <w:bCs/>
          <w:sz w:val="21"/>
          <w:szCs w:val="21"/>
        </w:rPr>
        <w:t xml:space="preserve">Which feature or evaluation activity should be cut if the project falls behind after Week 8? </w:t>
      </w:r>
      <w:r>
        <w:rPr>
          <w:rFonts w:ascii="Calibri" w:cs="Calibri" w:eastAsia="Calibri" w:hAnsi="Calibri"/>
          <w:sz w:val="21"/>
          <w:szCs w:val="21"/>
        </w:rPr>
        <w:t xml:space="preserve">The fairness-by-shelter-characteristic check (NFR7). It is already cut here. If more must go, the next candidate is classifier calibration. The ablation, independent annotation, and the review records are not to be cut.</w:t>
      </w:r>
    </w:p>
    <w:p>
      <w:pPr>
        <w:pStyle w:val="Heading1"/>
        <w:keepNext/>
        <w:spacing w:after="120" w:before="280"/>
      </w:pPr>
      <w:r>
        <w:rPr>
          <w:rFonts w:ascii="Calibri" w:cs="Calibri" w:eastAsia="Calibri" w:hAnsi="Calibri"/>
          <w:b/>
          <w:bCs/>
          <w:color w:val="0F4C46"/>
          <w:sz w:val="30"/>
          <w:szCs w:val="30"/>
        </w:rPr>
        <w:t xml:space="preserve">8. Critique Received and the Midpoint Review Record</w:t>
      </w:r>
    </w:p>
    <w:p>
      <w:pPr>
        <w:spacing w:after="110" w:before="70" w:line="262"/>
      </w:pPr>
      <w:r>
        <w:rPr>
          <w:rFonts w:ascii="Calibri" w:cs="Calibri" w:eastAsia="Calibri" w:hAnsi="Calibri"/>
          <w:sz w:val="21"/>
          <w:szCs w:val="21"/>
        </w:rPr>
        <w:t xml:space="preserve">No live midpoint review session took place, so there are no new questions or requested changes from one. The critique on record is the Hard Stop 3 feedback (90/100: toolchain 22/25, evidence 18.5/20, discipline 19/20, interpretation 23/25, AI log 7.5/10). Each priority was turned into a backlog item:</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4300"/>
        <w:gridCol w:w="4000"/>
        <w:gridCol w:w="1420"/>
      </w:tblGrid>
      <w:tr>
        <w:trPr>
          <w:cantSplit/>
          <w:tblHeader/>
        </w:trPr>
        <w:tc>
          <w:tcPr>
            <w:tcW w:type="dxa" w:w="430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Instructor priority (Hard Stop 3)</w:t>
            </w:r>
          </w:p>
        </w:tc>
        <w:tc>
          <w:tcPr>
            <w:tcW w:type="dxa" w:w="400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Response</w:t>
            </w:r>
          </w:p>
        </w:tc>
        <w:tc>
          <w:tcPr>
            <w:tcW w:type="dxa" w:w="142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Status</w:t>
            </w:r>
          </w:p>
        </w:tc>
      </w:tr>
      <w:tr>
        <w:trPr>
          <w:cantSplit/>
          <w:tblHeader w:val="off"/>
        </w:trPr>
        <w:tc>
          <w:tcPr>
            <w:tcW w:type="dxa" w:w="43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1 Critical: non-production deployment of the updated path, with traces, latency, errors, rollback</w:t>
            </w:r>
          </w:p>
        </w:tc>
        <w:tc>
          <w:tcPr>
            <w:tcW w:type="dxa" w:w="40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Deployed 2026-10-18 and measured; Section 2 and slide 5. Still one environment</w:t>
            </w:r>
          </w:p>
        </w:tc>
        <w:tc>
          <w:tcPr>
            <w:tcW w:type="dxa" w:w="1420"/>
            <w:shd w:fill="FFF1D6" w:val="clear"/>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Done (partly)</w:t>
            </w:r>
          </w:p>
        </w:tc>
      </w:tr>
      <w:tr>
        <w:trPr>
          <w:cantSplit/>
          <w:tblHeader w:val="off"/>
        </w:trPr>
        <w:tc>
          <w:tcPr>
            <w:tcW w:type="dxa" w:w="43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2 Critical: the required supervisor review, with a meeting record</w:t>
            </w:r>
          </w:p>
        </w:tc>
        <w:tc>
          <w:tcPr>
            <w:tcW w:type="dxa" w:w="40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Not yet held. On the critical path ahead of Hard Stop 4 (B-04)</w:t>
            </w:r>
          </w:p>
        </w:tc>
        <w:tc>
          <w:tcPr>
            <w:tcW w:type="dxa" w:w="1420"/>
            <w:shd w:fill="FBE0DD" w:val="clear"/>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Open</w:t>
            </w:r>
          </w:p>
        </w:tc>
      </w:tr>
      <w:tr>
        <w:trPr>
          <w:cantSplit/>
          <w:tblHeader w:val="off"/>
        </w:trPr>
        <w:tc>
          <w:tcPr>
            <w:tcW w:type="dxa" w:w="43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3 High: independent validation of annotations and AHP judgments</w:t>
            </w:r>
          </w:p>
        </w:tc>
        <w:tc>
          <w:tcPr>
            <w:tcW w:type="dxa" w:w="40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B-03: second annotator and judge, disagreement analysis</w:t>
            </w:r>
          </w:p>
        </w:tc>
        <w:tc>
          <w:tcPr>
            <w:tcW w:type="dxa" w:w="1420"/>
            <w:shd w:fill="FBE0DD" w:val="clear"/>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Open</w:t>
            </w:r>
          </w:p>
        </w:tc>
      </w:tr>
      <w:tr>
        <w:trPr>
          <w:cantSplit/>
          <w:tblHeader w:val="off"/>
        </w:trPr>
        <w:tc>
          <w:tcPr>
            <w:tcW w:type="dxa" w:w="43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4 High: isolate the scoring formula's influence</w:t>
            </w:r>
          </w:p>
        </w:tc>
        <w:tc>
          <w:tcPr>
            <w:tcW w:type="dxa" w:w="40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B-02: controlled ablation, formula by weights</w:t>
            </w:r>
          </w:p>
        </w:tc>
        <w:tc>
          <w:tcPr>
            <w:tcW w:type="dxa" w:w="1420"/>
            <w:shd w:fill="FBE0DD" w:val="clear"/>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Open</w:t>
            </w:r>
          </w:p>
        </w:tc>
      </w:tr>
      <w:tr>
        <w:trPr>
          <w:cantSplit/>
          <w:tblHeader w:val="off"/>
        </w:trPr>
        <w:tc>
          <w:tcPr>
            <w:tcW w:type="dxa" w:w="43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5 High: human review of AI-generated work</w:t>
            </w:r>
          </w:p>
        </w:tc>
        <w:tc>
          <w:tcPr>
            <w:tcW w:type="dxa" w:w="40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B-05: written review records for the three highest-risk modules</w:t>
            </w:r>
          </w:p>
        </w:tc>
        <w:tc>
          <w:tcPr>
            <w:tcW w:type="dxa" w:w="1420"/>
            <w:shd w:fill="FBE0DD" w:val="clear"/>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Open</w:t>
            </w:r>
          </w:p>
        </w:tc>
      </w:tr>
      <w:tr>
        <w:trPr>
          <w:cantSplit/>
          <w:tblHeader w:val="off"/>
        </w:trPr>
        <w:tc>
          <w:tcPr>
            <w:tcW w:type="dxa" w:w="43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6 Moderate: more cases and a privacy-reviewed real case</w:t>
            </w:r>
          </w:p>
        </w:tc>
        <w:tc>
          <w:tcPr>
            <w:tcW w:type="dxa" w:w="40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B-01 and B-08</w:t>
            </w:r>
          </w:p>
        </w:tc>
        <w:tc>
          <w:tcPr>
            <w:tcW w:type="dxa" w:w="1420"/>
            <w:shd w:fill="FBE0DD" w:val="clear"/>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Open</w:t>
            </w:r>
          </w:p>
        </w:tc>
      </w:tr>
    </w:tbl>
    <w:p>
      <w:pPr>
        <w:pStyle w:val="Heading1"/>
        <w:keepNext/>
        <w:spacing w:after="120" w:before="280"/>
      </w:pPr>
      <w:r>
        <w:rPr>
          <w:rFonts w:ascii="Calibri" w:cs="Calibri" w:eastAsia="Calibri" w:hAnsi="Calibri"/>
          <w:b/>
          <w:bCs/>
          <w:color w:val="0F4C46"/>
          <w:sz w:val="30"/>
          <w:szCs w:val="30"/>
        </w:rPr>
        <w:t xml:space="preserve">9. Critical Path, Weeks 8 to 14</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1700"/>
        <w:gridCol w:w="2800"/>
        <w:gridCol w:w="5220"/>
      </w:tblGrid>
      <w:tr>
        <w:trPr>
          <w:cantSplit/>
          <w:tblHeader/>
        </w:trPr>
        <w:tc>
          <w:tcPr>
            <w:tcW w:type="dxa" w:w="170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Week / due date</w:t>
            </w:r>
          </w:p>
        </w:tc>
        <w:tc>
          <w:tcPr>
            <w:tcW w:type="dxa" w:w="280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Deliverable</w:t>
            </w:r>
          </w:p>
        </w:tc>
        <w:tc>
          <w:tcPr>
            <w:tcW w:type="dxa" w:w="522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Non-negotiable technical milestone</w:t>
            </w:r>
          </w:p>
        </w:tc>
      </w:tr>
      <w:tr>
        <w:trPr>
          <w:cantSplit/>
          <w:tblHeader w:val="off"/>
        </w:trPr>
        <w:tc>
          <w:tcPr>
            <w:tcW w:type="dxa" w:w="17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8: Oct 25</w:t>
            </w:r>
          </w:p>
        </w:tc>
        <w:tc>
          <w:tcPr>
            <w:tcW w:type="dxa" w:w="28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Hard Stop 4 (100)</w:t>
            </w:r>
          </w:p>
        </w:tc>
        <w:tc>
          <w:tcPr>
            <w:tcW w:type="dxa" w:w="52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Pre-registered expansion cases; controlled ablation run; second annotator engaged; supervisor review held; student-led review records started</w:t>
            </w:r>
          </w:p>
        </w:tc>
      </w:tr>
      <w:tr>
        <w:trPr>
          <w:cantSplit/>
          <w:tblHeader w:val="off"/>
        </w:trPr>
        <w:tc>
          <w:tcPr>
            <w:tcW w:type="dxa" w:w="17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9: Nov 1</w:t>
            </w:r>
          </w:p>
        </w:tc>
        <w:tc>
          <w:tcPr>
            <w:tcW w:type="dxa" w:w="28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Results and Limitations Memo</w:t>
            </w:r>
          </w:p>
        </w:tc>
        <w:tc>
          <w:tcPr>
            <w:tcW w:type="dxa" w:w="52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Ablation results with uncertainty; promotion decision for WEIGHTING_MODE; real case if permitted</w:t>
            </w:r>
          </w:p>
        </w:tc>
      </w:tr>
      <w:tr>
        <w:trPr>
          <w:cantSplit/>
          <w:tblHeader w:val="off"/>
        </w:trPr>
        <w:tc>
          <w:tcPr>
            <w:tcW w:type="dxa" w:w="17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10: Nov 8</w:t>
            </w:r>
          </w:p>
        </w:tc>
        <w:tc>
          <w:tcPr>
            <w:tcW w:type="dxa" w:w="28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Hard Stop 5 (100)</w:t>
            </w:r>
          </w:p>
        </w:tc>
        <w:tc>
          <w:tcPr>
            <w:tcW w:type="dxa" w:w="52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Isolated-environment measurement with warm-up; clean-machine synth; dependency-advisory plan; self-contained validation archive</w:t>
            </w:r>
          </w:p>
        </w:tc>
      </w:tr>
      <w:tr>
        <w:trPr>
          <w:cantSplit/>
          <w:tblHeader w:val="off"/>
        </w:trPr>
        <w:tc>
          <w:tcPr>
            <w:tcW w:type="dxa" w:w="17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11: Nov 15</w:t>
            </w:r>
          </w:p>
        </w:tc>
        <w:tc>
          <w:tcPr>
            <w:tcW w:type="dxa" w:w="28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Full Draft</w:t>
            </w:r>
          </w:p>
        </w:tc>
        <w:tc>
          <w:tcPr>
            <w:tcW w:type="dxa" w:w="52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Report draft with results, limitations, and the independent-review evidence</w:t>
            </w:r>
          </w:p>
        </w:tc>
      </w:tr>
      <w:tr>
        <w:trPr>
          <w:cantSplit/>
          <w:tblHeader w:val="off"/>
        </w:trPr>
        <w:tc>
          <w:tcPr>
            <w:tcW w:type="dxa" w:w="17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12: Nov 22</w:t>
            </w:r>
          </w:p>
        </w:tc>
        <w:tc>
          <w:tcPr>
            <w:tcW w:type="dxa" w:w="28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Hard Stop 6</w:t>
            </w:r>
          </w:p>
        </w:tc>
        <w:tc>
          <w:tcPr>
            <w:tcW w:type="dxa" w:w="52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Draft report, deck, final test evidence</w:t>
            </w:r>
          </w:p>
        </w:tc>
      </w:tr>
      <w:tr>
        <w:trPr>
          <w:cantSplit/>
          <w:tblHeader w:val="off"/>
        </w:trPr>
        <w:tc>
          <w:tcPr>
            <w:tcW w:type="dxa" w:w="17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13: Nov 29</w:t>
            </w:r>
          </w:p>
        </w:tc>
        <w:tc>
          <w:tcPr>
            <w:tcW w:type="dxa" w:w="28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Rehearsal and checklist</w:t>
            </w:r>
          </w:p>
        </w:tc>
        <w:tc>
          <w:tcPr>
            <w:tcW w:type="dxa" w:w="52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Package check against submission requirements</w:t>
            </w:r>
          </w:p>
        </w:tc>
      </w:tr>
      <w:tr>
        <w:trPr>
          <w:cantSplit/>
          <w:tblHeader w:val="off"/>
        </w:trPr>
        <w:tc>
          <w:tcPr>
            <w:tcW w:type="dxa" w:w="17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14: Dec 6</w:t>
            </w:r>
          </w:p>
        </w:tc>
        <w:tc>
          <w:tcPr>
            <w:tcW w:type="dxa" w:w="28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Hard Stop 7 and final</w:t>
            </w:r>
          </w:p>
        </w:tc>
        <w:tc>
          <w:tcPr>
            <w:tcW w:type="dxa" w:w="52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Final artifact, report, and demo</w:t>
            </w:r>
          </w:p>
        </w:tc>
      </w:tr>
    </w:tbl>
    <w:p>
      <w:pPr>
        <w:spacing w:after="110" w:before="70" w:line="262"/>
      </w:pPr>
      <w:r>
        <w:rPr>
          <w:rFonts w:ascii="Calibri" w:cs="Calibri" w:eastAsia="Calibri" w:hAnsi="Calibri"/>
          <w:sz w:val="21"/>
          <w:szCs w:val="21"/>
        </w:rPr>
        <w:t xml:space="preserve">The path that must not slip is: pre-registered cases, then the ablation, then the independent review. Everything in Weeks 9 to 14 depends on knowing whether the weights or the formula drive routing.</w:t>
      </w:r>
    </w:p>
    <w:p>
      <w:pPr>
        <w:pStyle w:val="Heading1"/>
        <w:keepNext/>
        <w:spacing w:after="120" w:before="280"/>
      </w:pPr>
      <w:r>
        <w:rPr>
          <w:rFonts w:ascii="Calibri" w:cs="Calibri" w:eastAsia="Calibri" w:hAnsi="Calibri"/>
          <w:b/>
          <w:bCs/>
          <w:color w:val="0F4C46"/>
          <w:sz w:val="30"/>
          <w:szCs w:val="30"/>
        </w:rPr>
        <w:t xml:space="preserve">10. Updated Backlog and Issue Log</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650"/>
        <w:gridCol w:w="5250"/>
        <w:gridCol w:w="900"/>
        <w:gridCol w:w="1500"/>
        <w:gridCol w:w="1420"/>
      </w:tblGrid>
      <w:tr>
        <w:trPr>
          <w:cantSplit/>
          <w:tblHeader/>
        </w:trPr>
        <w:tc>
          <w:tcPr>
            <w:tcW w:type="dxa" w:w="65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ID</w:t>
            </w:r>
          </w:p>
        </w:tc>
        <w:tc>
          <w:tcPr>
            <w:tcW w:type="dxa" w:w="525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Item</w:t>
            </w:r>
          </w:p>
        </w:tc>
        <w:tc>
          <w:tcPr>
            <w:tcW w:type="dxa" w:w="90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Priority</w:t>
            </w:r>
          </w:p>
        </w:tc>
        <w:tc>
          <w:tcPr>
            <w:tcW w:type="dxa" w:w="150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Target</w:t>
            </w:r>
          </w:p>
        </w:tc>
        <w:tc>
          <w:tcPr>
            <w:tcW w:type="dxa" w:w="142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Status</w:t>
            </w:r>
          </w:p>
        </w:tc>
      </w:tr>
      <w:tr>
        <w:trPr>
          <w:cantSplit/>
          <w:tblHeader w:val="off"/>
        </w:trPr>
        <w:tc>
          <w:tcPr>
            <w:tcW w:type="dxa" w:w="6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B-01</w:t>
            </w:r>
          </w:p>
        </w:tc>
        <w:tc>
          <w:tcPr>
            <w:tcW w:type="dxa" w:w="52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Pre-register 8 more cases that isolate the weighting method</w:t>
            </w:r>
          </w:p>
        </w:tc>
        <w:tc>
          <w:tcPr>
            <w:tcW w:type="dxa" w:w="9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P1</w:t>
            </w:r>
          </w:p>
        </w:tc>
        <w:tc>
          <w:tcPr>
            <w:tcW w:type="dxa" w:w="15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Wk 8</w:t>
            </w:r>
          </w:p>
        </w:tc>
        <w:tc>
          <w:tcPr>
            <w:tcW w:type="dxa" w:w="14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Open</w:t>
            </w:r>
          </w:p>
        </w:tc>
      </w:tr>
      <w:tr>
        <w:trPr>
          <w:cantSplit/>
          <w:tblHeader w:val="off"/>
        </w:trPr>
        <w:tc>
          <w:tcPr>
            <w:tcW w:type="dxa" w:w="6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B-02</w:t>
            </w:r>
          </w:p>
        </w:tc>
        <w:tc>
          <w:tcPr>
            <w:tcW w:type="dxa" w:w="52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Controlled ablation: scoring-formula variants by weighting variants</w:t>
            </w:r>
          </w:p>
        </w:tc>
        <w:tc>
          <w:tcPr>
            <w:tcW w:type="dxa" w:w="9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P1</w:t>
            </w:r>
          </w:p>
        </w:tc>
        <w:tc>
          <w:tcPr>
            <w:tcW w:type="dxa" w:w="15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Wk 8</w:t>
            </w:r>
          </w:p>
        </w:tc>
        <w:tc>
          <w:tcPr>
            <w:tcW w:type="dxa" w:w="14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Open</w:t>
            </w:r>
          </w:p>
        </w:tc>
      </w:tr>
      <w:tr>
        <w:trPr>
          <w:cantSplit/>
          <w:tblHeader w:val="off"/>
        </w:trPr>
        <w:tc>
          <w:tcPr>
            <w:tcW w:type="dxa" w:w="6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B-03</w:t>
            </w:r>
          </w:p>
        </w:tc>
        <w:tc>
          <w:tcPr>
            <w:tcW w:type="dxa" w:w="52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Second annotator and second AHP judge; disagreement analysis</w:t>
            </w:r>
          </w:p>
        </w:tc>
        <w:tc>
          <w:tcPr>
            <w:tcW w:type="dxa" w:w="9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P1</w:t>
            </w:r>
          </w:p>
        </w:tc>
        <w:tc>
          <w:tcPr>
            <w:tcW w:type="dxa" w:w="15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Wk 8 to 9</w:t>
            </w:r>
          </w:p>
        </w:tc>
        <w:tc>
          <w:tcPr>
            <w:tcW w:type="dxa" w:w="14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Open</w:t>
            </w:r>
          </w:p>
        </w:tc>
      </w:tr>
      <w:tr>
        <w:trPr>
          <w:cantSplit/>
          <w:tblHeader w:val="off"/>
        </w:trPr>
        <w:tc>
          <w:tcPr>
            <w:tcW w:type="dxa" w:w="6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B-04</w:t>
            </w:r>
          </w:p>
        </w:tc>
        <w:tc>
          <w:tcPr>
            <w:tcW w:type="dxa" w:w="52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Supervisor review with a meeting record</w:t>
            </w:r>
          </w:p>
        </w:tc>
        <w:tc>
          <w:tcPr>
            <w:tcW w:type="dxa" w:w="9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P1</w:t>
            </w:r>
          </w:p>
        </w:tc>
        <w:tc>
          <w:tcPr>
            <w:tcW w:type="dxa" w:w="15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Before Oct 25</w:t>
            </w:r>
          </w:p>
        </w:tc>
        <w:tc>
          <w:tcPr>
            <w:tcW w:type="dxa" w:w="14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Open</w:t>
            </w:r>
          </w:p>
        </w:tc>
      </w:tr>
      <w:tr>
        <w:trPr>
          <w:cantSplit/>
          <w:tblHeader w:val="off"/>
        </w:trPr>
        <w:tc>
          <w:tcPr>
            <w:tcW w:type="dxa" w:w="6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B-05</w:t>
            </w:r>
          </w:p>
        </w:tc>
        <w:tc>
          <w:tcPr>
            <w:tcW w:type="dxa" w:w="52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Student-led review records: scoring function, classifier fallback, harness; justify a representative set of AHP judgments</w:t>
            </w:r>
          </w:p>
        </w:tc>
        <w:tc>
          <w:tcPr>
            <w:tcW w:type="dxa" w:w="9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P1</w:t>
            </w:r>
          </w:p>
        </w:tc>
        <w:tc>
          <w:tcPr>
            <w:tcW w:type="dxa" w:w="15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Wk 8</w:t>
            </w:r>
          </w:p>
        </w:tc>
        <w:tc>
          <w:tcPr>
            <w:tcW w:type="dxa" w:w="14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Open</w:t>
            </w:r>
          </w:p>
        </w:tc>
      </w:tr>
      <w:tr>
        <w:trPr>
          <w:cantSplit/>
          <w:tblHeader w:val="off"/>
        </w:trPr>
        <w:tc>
          <w:tcPr>
            <w:tcW w:type="dxa" w:w="6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B-06</w:t>
            </w:r>
          </w:p>
        </w:tc>
        <w:tc>
          <w:tcPr>
            <w:tcW w:type="dxa" w:w="52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Isolated stack or alias; warm-up; repeat the measurement</w:t>
            </w:r>
          </w:p>
        </w:tc>
        <w:tc>
          <w:tcPr>
            <w:tcW w:type="dxa" w:w="9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P2</w:t>
            </w:r>
          </w:p>
        </w:tc>
        <w:tc>
          <w:tcPr>
            <w:tcW w:type="dxa" w:w="15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Wk 10</w:t>
            </w:r>
          </w:p>
        </w:tc>
        <w:tc>
          <w:tcPr>
            <w:tcW w:type="dxa" w:w="14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Open</w:t>
            </w:r>
          </w:p>
        </w:tc>
      </w:tr>
      <w:tr>
        <w:trPr>
          <w:cantSplit/>
          <w:tblHeader w:val="off"/>
        </w:trPr>
        <w:tc>
          <w:tcPr>
            <w:tcW w:type="dxa" w:w="6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B-07</w:t>
            </w:r>
          </w:p>
        </w:tc>
        <w:tc>
          <w:tcPr>
            <w:tcW w:type="dxa" w:w="52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Promotion decision for WEIGHTING_MODE</w:t>
            </w:r>
          </w:p>
        </w:tc>
        <w:tc>
          <w:tcPr>
            <w:tcW w:type="dxa" w:w="9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P2</w:t>
            </w:r>
          </w:p>
        </w:tc>
        <w:tc>
          <w:tcPr>
            <w:tcW w:type="dxa" w:w="15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After B-02</w:t>
            </w:r>
          </w:p>
        </w:tc>
        <w:tc>
          <w:tcPr>
            <w:tcW w:type="dxa" w:w="14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Open</w:t>
            </w:r>
          </w:p>
        </w:tc>
      </w:tr>
      <w:tr>
        <w:trPr>
          <w:cantSplit/>
          <w:tblHeader w:val="off"/>
        </w:trPr>
        <w:tc>
          <w:tcPr>
            <w:tcW w:type="dxa" w:w="6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B-08</w:t>
            </w:r>
          </w:p>
        </w:tc>
        <w:tc>
          <w:tcPr>
            <w:tcW w:type="dxa" w:w="52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Real case after a personal-information review</w:t>
            </w:r>
          </w:p>
        </w:tc>
        <w:tc>
          <w:tcPr>
            <w:tcW w:type="dxa" w:w="9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P2</w:t>
            </w:r>
          </w:p>
        </w:tc>
        <w:tc>
          <w:tcPr>
            <w:tcW w:type="dxa" w:w="15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Wk 9</w:t>
            </w:r>
          </w:p>
        </w:tc>
        <w:tc>
          <w:tcPr>
            <w:tcW w:type="dxa" w:w="14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Open</w:t>
            </w:r>
          </w:p>
        </w:tc>
      </w:tr>
      <w:tr>
        <w:trPr>
          <w:cantSplit/>
          <w:tblHeader w:val="off"/>
        </w:trPr>
        <w:tc>
          <w:tcPr>
            <w:tcW w:type="dxa" w:w="6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B-09</w:t>
            </w:r>
          </w:p>
        </w:tc>
        <w:tc>
          <w:tcPr>
            <w:tcW w:type="dxa" w:w="52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Self-contained validation archive next to the repo link</w:t>
            </w:r>
          </w:p>
        </w:tc>
        <w:tc>
          <w:tcPr>
            <w:tcW w:type="dxa" w:w="9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P2</w:t>
            </w:r>
          </w:p>
        </w:tc>
        <w:tc>
          <w:tcPr>
            <w:tcW w:type="dxa" w:w="15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Wk 10</w:t>
            </w:r>
          </w:p>
        </w:tc>
        <w:tc>
          <w:tcPr>
            <w:tcW w:type="dxa" w:w="14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Open</w:t>
            </w:r>
          </w:p>
        </w:tc>
      </w:tr>
      <w:tr>
        <w:trPr>
          <w:cantSplit/>
          <w:tblHeader w:val="off"/>
        </w:trPr>
        <w:tc>
          <w:tcPr>
            <w:tcW w:type="dxa" w:w="6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B-10</w:t>
            </w:r>
          </w:p>
        </w:tc>
        <w:tc>
          <w:tcPr>
            <w:tcW w:type="dxa" w:w="52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Dependency-advisory plan; clean-machine cdk synth</w:t>
            </w:r>
          </w:p>
        </w:tc>
        <w:tc>
          <w:tcPr>
            <w:tcW w:type="dxa" w:w="9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P3</w:t>
            </w:r>
          </w:p>
        </w:tc>
        <w:tc>
          <w:tcPr>
            <w:tcW w:type="dxa" w:w="15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Wk 10</w:t>
            </w:r>
          </w:p>
        </w:tc>
        <w:tc>
          <w:tcPr>
            <w:tcW w:type="dxa" w:w="14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Open</w:t>
            </w:r>
          </w:p>
        </w:tc>
      </w:tr>
      <w:tr>
        <w:trPr>
          <w:cantSplit/>
          <w:tblHeader w:val="off"/>
        </w:trPr>
        <w:tc>
          <w:tcPr>
            <w:tcW w:type="dxa" w:w="6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B-11</w:t>
            </w:r>
          </w:p>
        </w:tc>
        <w:tc>
          <w:tcPr>
            <w:tcW w:type="dxa" w:w="52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Classifier prompt or calibration (near one-hot probabilities)</w:t>
            </w:r>
          </w:p>
        </w:tc>
        <w:tc>
          <w:tcPr>
            <w:tcW w:type="dxa" w:w="9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P3</w:t>
            </w:r>
          </w:p>
        </w:tc>
        <w:tc>
          <w:tcPr>
            <w:tcW w:type="dxa" w:w="15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Wk 9</w:t>
            </w:r>
          </w:p>
        </w:tc>
        <w:tc>
          <w:tcPr>
            <w:tcW w:type="dxa" w:w="14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Deferred</w:t>
            </w:r>
          </w:p>
        </w:tc>
      </w:tr>
      <w:tr>
        <w:trPr>
          <w:cantSplit/>
          <w:tblHeader w:val="off"/>
        </w:trPr>
        <w:tc>
          <w:tcPr>
            <w:tcW w:type="dxa" w:w="6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B-12</w:t>
            </w:r>
          </w:p>
        </w:tc>
        <w:tc>
          <w:tcPr>
            <w:tcW w:type="dxa" w:w="52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Console Bedrock quota check</w:t>
            </w:r>
          </w:p>
        </w:tc>
        <w:tc>
          <w:tcPr>
            <w:tcW w:type="dxa" w:w="9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P3</w:t>
            </w:r>
          </w:p>
        </w:tc>
        <w:tc>
          <w:tcPr>
            <w:tcW w:type="dxa" w:w="15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Wk 8</w:t>
            </w:r>
          </w:p>
        </w:tc>
        <w:tc>
          <w:tcPr>
            <w:tcW w:type="dxa" w:w="14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Open</w:t>
            </w:r>
          </w:p>
        </w:tc>
      </w:tr>
      <w:tr>
        <w:trPr>
          <w:cantSplit/>
          <w:tblHeader w:val="off"/>
        </w:trPr>
        <w:tc>
          <w:tcPr>
            <w:tcW w:type="dxa" w:w="6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B-13</w:t>
            </w:r>
          </w:p>
        </w:tc>
        <w:tc>
          <w:tcPr>
            <w:tcW w:type="dxa" w:w="52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Add a roster variant so live runs can discriminate (KI-17)</w:t>
            </w:r>
          </w:p>
        </w:tc>
        <w:tc>
          <w:tcPr>
            <w:tcW w:type="dxa" w:w="9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P3</w:t>
            </w:r>
          </w:p>
        </w:tc>
        <w:tc>
          <w:tcPr>
            <w:tcW w:type="dxa" w:w="15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Wk 8</w:t>
            </w:r>
          </w:p>
        </w:tc>
        <w:tc>
          <w:tcPr>
            <w:tcW w:type="dxa" w:w="14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Open</w:t>
            </w:r>
          </w:p>
        </w:tc>
      </w:tr>
      <w:tr>
        <w:trPr>
          <w:cantSplit/>
          <w:tblHeader w:val="off"/>
        </w:trPr>
        <w:tc>
          <w:tcPr>
            <w:tcW w:type="dxa" w:w="6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Done</w:t>
            </w:r>
          </w:p>
        </w:tc>
        <w:tc>
          <w:tcPr>
            <w:tcW w:type="dxa" w:w="52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Deploy v2 behind the flag; measure latency, errors, rollback; replace the stale demo script</w:t>
            </w:r>
          </w:p>
        </w:tc>
        <w:tc>
          <w:tcPr>
            <w:tcW w:type="dxa" w:w="9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w:t>
            </w:r>
          </w:p>
        </w:tc>
        <w:tc>
          <w:tcPr>
            <w:tcW w:type="dxa" w:w="15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Wk 7</w:t>
            </w:r>
          </w:p>
        </w:tc>
        <w:tc>
          <w:tcPr>
            <w:tcW w:type="dxa" w:w="1420"/>
            <w:shd w:fill="DDF0E4" w:val="clear"/>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Done</w:t>
            </w:r>
          </w:p>
        </w:tc>
      </w:tr>
      <w:tr>
        <w:trPr>
          <w:cantSplit/>
          <w:tblHeader w:val="off"/>
        </w:trPr>
        <w:tc>
          <w:tcPr>
            <w:tcW w:type="dxa" w:w="6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Cut</w:t>
            </w:r>
          </w:p>
        </w:tc>
        <w:tc>
          <w:tcPr>
            <w:tcW w:type="dxa" w:w="525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NFR7 fairness-by-characteristic check</w:t>
            </w:r>
          </w:p>
        </w:tc>
        <w:tc>
          <w:tcPr>
            <w:tcW w:type="dxa" w:w="9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w:t>
            </w:r>
          </w:p>
        </w:tc>
        <w:tc>
          <w:tcPr>
            <w:tcW w:type="dxa" w:w="15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w:t>
            </w:r>
          </w:p>
        </w:tc>
        <w:tc>
          <w:tcPr>
            <w:tcW w:type="dxa" w:w="1420"/>
            <w:shd w:fill="EEEEEE" w:val="clear"/>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Cut</w:t>
            </w:r>
          </w:p>
        </w:tc>
      </w:tr>
    </w:tbl>
    <w:p>
      <w:pPr>
        <w:spacing w:after="110" w:before="70" w:line="262"/>
      </w:pPr>
      <w:r>
        <w:rPr>
          <w:rFonts w:ascii="Calibri" w:cs="Calibri" w:eastAsia="Calibri" w:hAnsi="Calibri"/>
          <w:sz w:val="21"/>
          <w:szCs w:val="21"/>
        </w:rPr>
        <w:t xml:space="preserve">Issue log changes this sprint (full log in KNOWN_ISSUES.md and docs/RISK_LOG.md): new KI-17 (one dominant shelter), KI-18 (single, cold environment), KI-19 (test cases left in the table); I-11 (stale demo script) opened and closed; R-04 (regression risk) and R-06 (Bedrock throttling) updated with the measurements; KI-01 updated (v2 deployed, not promoted).</w:t>
      </w:r>
    </w:p>
    <w:p>
      <w:pPr>
        <w:pStyle w:val="Heading2"/>
        <w:keepNext/>
        <w:spacing w:after="80" w:before="200"/>
      </w:pPr>
      <w:r>
        <w:rPr>
          <w:rFonts w:ascii="Calibri" w:cs="Calibri" w:eastAsia="Calibri" w:hAnsi="Calibri"/>
          <w:b/>
          <w:bCs/>
          <w:color w:val="0F4C46"/>
          <w:sz w:val="24"/>
          <w:szCs w:val="24"/>
        </w:rPr>
        <w:t xml:space="preserve">Integration status</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3000"/>
        <w:gridCol w:w="2100"/>
        <w:gridCol w:w="4620"/>
      </w:tblGrid>
      <w:tr>
        <w:trPr>
          <w:cantSplit/>
          <w:tblHeader/>
        </w:trPr>
        <w:tc>
          <w:tcPr>
            <w:tcW w:type="dxa" w:w="300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Integration</w:t>
            </w:r>
          </w:p>
        </w:tc>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Status</w:t>
            </w:r>
          </w:p>
        </w:tc>
        <w:tc>
          <w:tcPr>
            <w:tcW w:type="dxa" w:w="4620"/>
            <w:shd w:fill="E8F3EF" w:val="clear"/>
            <w:tcMar>
              <w:top w:type="dxa" w:w="45"/>
              <w:left w:type="dxa" w:w="85"/>
              <w:bottom w:type="dxa" w:w="45"/>
              <w:right w:type="dxa" w:w="85"/>
            </w:tcMar>
          </w:tcPr>
          <w:p>
            <w:pPr>
              <w:spacing w:after="20"/>
            </w:pPr>
            <w:r>
              <w:rPr>
                <w:rFonts w:ascii="Calibri" w:cs="Calibri" w:eastAsia="Calibri" w:hAnsi="Calibri"/>
                <w:b/>
                <w:bCs/>
                <w:sz w:val="16"/>
                <w:szCs w:val="16"/>
              </w:rPr>
              <w:t xml:space="preserve">Evidence / limit</w:t>
            </w:r>
          </w:p>
        </w:tc>
      </w:tr>
      <w:tr>
        <w:trPr>
          <w:cantSplit/>
          <w:tblHeader w:val="off"/>
        </w:trPr>
        <w:tc>
          <w:tcPr>
            <w:tcW w:type="dxa" w:w="30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Amazon Bedrock (classifier and v1 profiles)</w:t>
            </w:r>
          </w:p>
        </w:tc>
        <w:tc>
          <w:tcPr>
            <w:tcW w:type="dxa" w:w="21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Working, measured</w:t>
            </w:r>
          </w:p>
        </w:tc>
        <w:tc>
          <w:tcPr>
            <w:tcW w:type="dxa" w:w="46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About 70 live calls, 0 throttled; console quota check still open</w:t>
            </w:r>
          </w:p>
        </w:tc>
      </w:tr>
      <w:tr>
        <w:trPr>
          <w:cantSplit/>
          <w:tblHeader w:val="off"/>
        </w:trPr>
        <w:tc>
          <w:tcPr>
            <w:tcW w:type="dxa" w:w="30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Lambda, EventBridge, DynamoDB pipeline</w:t>
            </w:r>
          </w:p>
        </w:tc>
        <w:tc>
          <w:tcPr>
            <w:tcW w:type="dxa" w:w="21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Working, measured</w:t>
            </w:r>
          </w:p>
        </w:tc>
        <w:tc>
          <w:tcPr>
            <w:tcW w:type="dxa" w:w="46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13 deployed cases, 0 error lines; plus earlier demo cases</w:t>
            </w:r>
          </w:p>
        </w:tc>
      </w:tr>
      <w:tr>
        <w:trPr>
          <w:cantSplit/>
          <w:tblHeader w:val="off"/>
        </w:trPr>
        <w:tc>
          <w:tcPr>
            <w:tcW w:type="dxa" w:w="30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Slack (tier 2)</w:t>
            </w:r>
          </w:p>
        </w:tc>
        <w:tc>
          <w:tcPr>
            <w:tcW w:type="dxa" w:w="21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Working; replies simulated</w:t>
            </w:r>
          </w:p>
        </w:tc>
        <w:tc>
          <w:tcPr>
            <w:tcW w:type="dxa" w:w="46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The agent posts to the real channels; coordinator replies were simulated by events in the demo, so the inbound webhook was not exercised this sprint</w:t>
            </w:r>
          </w:p>
        </w:tc>
      </w:tr>
      <w:tr>
        <w:trPr>
          <w:cantSplit/>
          <w:tblHeader w:val="off"/>
        </w:trPr>
        <w:tc>
          <w:tcPr>
            <w:tcW w:type="dxa" w:w="30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Mobile app and AppSync</w:t>
            </w:r>
          </w:p>
        </w:tc>
        <w:tc>
          <w:tcPr>
            <w:tcW w:type="dxa" w:w="21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Deployed, unchanged</w:t>
            </w:r>
          </w:p>
        </w:tc>
        <w:tc>
          <w:tcPr>
            <w:tcW w:type="dxa" w:w="46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Not exercised in this sprint</w:t>
            </w:r>
          </w:p>
        </w:tc>
      </w:tr>
      <w:tr>
        <w:trPr>
          <w:cantSplit/>
          <w:tblHeader w:val="off"/>
        </w:trPr>
        <w:tc>
          <w:tcPr>
            <w:tcW w:type="dxa" w:w="30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Rekognition (photo path)</w:t>
            </w:r>
          </w:p>
        </w:tc>
        <w:tc>
          <w:tcPr>
            <w:tcW w:type="dxa" w:w="21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Not exercised</w:t>
            </w:r>
          </w:p>
        </w:tc>
        <w:tc>
          <w:tcPr>
            <w:tcW w:type="dxa" w:w="46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No photos in the test reports; species taken from the report text</w:t>
            </w:r>
          </w:p>
        </w:tc>
      </w:tr>
      <w:tr>
        <w:trPr>
          <w:cantSplit/>
          <w:tblHeader w:val="off"/>
        </w:trPr>
        <w:tc>
          <w:tcPr>
            <w:tcW w:type="dxa" w:w="30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Location Service (geocoding)</w:t>
            </w:r>
          </w:p>
        </w:tc>
        <w:tc>
          <w:tcPr>
            <w:tcW w:type="dxa" w:w="210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Not provisioned</w:t>
            </w:r>
          </w:p>
        </w:tc>
        <w:tc>
          <w:tcPr>
            <w:tcW w:type="dxa" w:w="4620"/>
            <w:tcMar>
              <w:top w:type="dxa" w:w="45"/>
              <w:left w:type="dxa" w:w="85"/>
              <w:bottom w:type="dxa" w:w="45"/>
              <w:right w:type="dxa" w:w="85"/>
            </w:tcMar>
          </w:tcPr>
          <w:p>
            <w:pPr>
              <w:spacing w:after="20"/>
            </w:pPr>
            <w:r>
              <w:rPr>
                <w:rFonts w:ascii="Calibri" w:cs="Calibri" w:eastAsia="Calibri" w:hAnsi="Calibri"/>
                <w:b w:val="false"/>
                <w:bCs w:val="false"/>
                <w:sz w:val="16"/>
                <w:szCs w:val="16"/>
              </w:rPr>
              <w:t xml:space="preserve">Falls back to raw coordinates (KI-08, out of scope)</w:t>
            </w:r>
          </w:p>
        </w:tc>
      </w:tr>
    </w:tbl>
    <w:p>
      <w:pPr>
        <w:pStyle w:val="Heading1"/>
        <w:keepNext/>
        <w:spacing w:after="120" w:before="280"/>
      </w:pPr>
      <w:r>
        <w:rPr>
          <w:rFonts w:ascii="Calibri" w:cs="Calibri" w:eastAsia="Calibri" w:hAnsi="Calibri"/>
          <w:b/>
          <w:bCs/>
          <w:color w:val="0F4C46"/>
          <w:sz w:val="30"/>
          <w:szCs w:val="30"/>
        </w:rPr>
        <w:t xml:space="preserve">11. What I Am Not Claiming</w:t>
      </w:r>
    </w:p>
    <w:p>
      <w:pPr>
        <w:pStyle w:val="ListParagraph"/>
        <w:numPr>
          <w:ilvl w:val="0"/>
          <w:numId w:val="2"/>
        </w:numPr>
        <w:spacing w:after="60" w:line="255"/>
      </w:pPr>
      <w:r>
        <w:rPr>
          <w:rFonts w:ascii="Calibri" w:cs="Calibri" w:eastAsia="Calibri" w:hAnsi="Calibri"/>
          <w:sz w:val="21"/>
          <w:szCs w:val="21"/>
        </w:rPr>
        <w:t xml:space="preserve">That v2 routes better than v1. By raw score they are identical on every case.</w:t>
      </w:r>
    </w:p>
    <w:p>
      <w:pPr>
        <w:pStyle w:val="ListParagraph"/>
        <w:numPr>
          <w:ilvl w:val="0"/>
          <w:numId w:val="2"/>
        </w:numPr>
        <w:spacing w:after="60" w:line="255"/>
      </w:pPr>
      <w:r>
        <w:rPr>
          <w:rFonts w:ascii="Calibri" w:cs="Calibri" w:eastAsia="Calibri" w:hAnsi="Calibri"/>
          <w:sz w:val="21"/>
          <w:szCs w:val="21"/>
        </w:rPr>
        <w:t xml:space="preserve">That the latency figures are a production benchmark: one environment, demo data, a small sample, and each block started on freshly reconfigured (cold) functions.</w:t>
      </w:r>
    </w:p>
    <w:p>
      <w:pPr>
        <w:pStyle w:val="ListParagraph"/>
        <w:numPr>
          <w:ilvl w:val="0"/>
          <w:numId w:val="2"/>
        </w:numPr>
        <w:spacing w:after="60" w:line="255"/>
      </w:pPr>
      <w:r>
        <w:rPr>
          <w:rFonts w:ascii="Calibri" w:cs="Calibri" w:eastAsia="Calibri" w:hAnsi="Calibri"/>
          <w:sz w:val="21"/>
          <w:szCs w:val="21"/>
        </w:rPr>
        <w:t xml:space="preserve">That the weights are correct. They are consistent, single-judge, AI-proposed, and their magnitudes have no source.</w:t>
      </w:r>
    </w:p>
    <w:p>
      <w:pPr>
        <w:pStyle w:val="ListParagraph"/>
        <w:numPr>
          <w:ilvl w:val="0"/>
          <w:numId w:val="2"/>
        </w:numPr>
        <w:spacing w:after="60" w:line="255"/>
      </w:pPr>
      <w:r>
        <w:rPr>
          <w:rFonts w:ascii="Calibri" w:cs="Calibri" w:eastAsia="Calibri" w:hAnsi="Calibri"/>
          <w:sz w:val="21"/>
          <w:szCs w:val="21"/>
        </w:rPr>
        <w:t xml:space="preserve">That the live roster tests routing: one dominant shelter won every measured case in both modes.</w:t>
      </w:r>
    </w:p>
    <w:p>
      <w:pPr>
        <w:pStyle w:val="ListParagraph"/>
        <w:numPr>
          <w:ilvl w:val="0"/>
          <w:numId w:val="2"/>
        </w:numPr>
        <w:spacing w:after="60" w:line="255"/>
      </w:pPr>
      <w:r>
        <w:rPr>
          <w:rFonts w:ascii="Calibri" w:cs="Calibri" w:eastAsia="Calibri" w:hAnsi="Calibri"/>
          <w:sz w:val="21"/>
          <w:szCs w:val="21"/>
        </w:rPr>
        <w:t xml:space="preserve">That anyone other than me has reviewed this work.</w:t>
      </w:r>
    </w:p>
    <w:p>
      <w:pPr>
        <w:pageBreakBefore/>
      </w:pPr>
    </w:p>
    <w:p>
      <w:pPr>
        <w:pStyle w:val="Heading1"/>
        <w:keepNext/>
        <w:spacing w:after="120" w:before="280"/>
      </w:pPr>
      <w:r>
        <w:rPr>
          <w:rFonts w:ascii="Calibri" w:cs="Calibri" w:eastAsia="Calibri" w:hAnsi="Calibri"/>
          <w:b/>
          <w:bCs/>
          <w:color w:val="0F4C46"/>
          <w:sz w:val="30"/>
          <w:szCs w:val="30"/>
        </w:rPr>
        <w:t xml:space="preserve">Appendix A. Cumulative AI Use Log</w:t>
      </w:r>
    </w:p>
    <w:p>
      <w:pPr>
        <w:spacing w:after="110" w:before="70" w:line="262"/>
      </w:pPr>
      <w:r>
        <w:rPr>
          <w:rFonts w:ascii="Calibri" w:cs="Calibri" w:eastAsia="Calibri" w:hAnsi="Calibri"/>
          <w:sz w:val="21"/>
          <w:szCs w:val="21"/>
        </w:rPr>
        <w:t xml:space="preserve">The full log from docs/AI_USE_LOG.md, embedded rather than referenced. Entries 22 and 23 are in Section 1.</w:t>
      </w:r>
    </w:p>
    <w:p>
      <w:pPr>
        <w:keepNext/>
        <w:spacing w:after="60" w:before="160"/>
      </w:pPr>
      <w:r>
        <w:rPr>
          <w:rFonts w:ascii="Calibri" w:cs="Calibri" w:eastAsia="Calibri" w:hAnsi="Calibri"/>
          <w:b/>
          <w:bCs/>
          <w:sz w:val="22"/>
          <w:szCs w:val="22"/>
        </w:rPr>
        <w:t xml:space="preserve">Entry 1 — Code Audit</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1 (2026-09-06), pre-launch-packet code review</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Identify defects in the arbitrator and geocoding-agent Lambda functions to motivate the CISC 699 project scope.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Review lambda/arbitrator/index.ts and lambda/geocoding-agent/index.ts for logic and calibration issues; verify findings against a live test on the deployed system.</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Identification of the specScore array-existence defect, hand-picked normalization constants, and the unprovisioned AWS Location Service Place Index.</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Launch packet Sections 1, 3.2, 3.10 (Risks); Appendix A (this log's companion, ENGINEERING_LOG.md).</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Findings checked directly against source code; the geocoding fallback was independently confirmed by submitting a real test case to the live AWS account and reading the resulting DynamoDB record.</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None required — findings were code- and test-verified before being written up.</w:t>
            </w:r>
          </w:p>
        </w:tc>
      </w:tr>
    </w:tbl>
    <w:p>
      <w:pPr>
        <w:keepNext/>
        <w:spacing w:after="60" w:before="160"/>
      </w:pPr>
      <w:r>
        <w:rPr>
          <w:rFonts w:ascii="Calibri" w:cs="Calibri" w:eastAsia="Calibri" w:hAnsi="Calibri"/>
          <w:b/>
          <w:bCs/>
          <w:sz w:val="22"/>
          <w:szCs w:val="22"/>
        </w:rPr>
        <w:t xml:space="preserve">Entry 2 — Literature Research</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1, initial bibliography and post-feedback addition</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Identify credible, current sources on multi-agent task allocation, AHP, and market-based routing relevant to the arbitrator.</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Search for and verify real academic/technical sources; after supervisor feedback, specifically verify three named sources (2025 MARL survey, AWS Bedrock multi-agent GA, an auction-plus-AHP task-fitness paper).</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Nine annotated bibliography entries (launch packet Section 6).</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Section 6; Section 3.9 (Preliminary Literature).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Each source's real existence, authorship, and publication details were independently confirmed via search before inclusion; no fabricated citation was accepted.</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Student selected which candidate sources to keep and directed the specific relevance angle each annotation emphasizes.</w:t>
            </w:r>
          </w:p>
        </w:tc>
      </w:tr>
    </w:tbl>
    <w:p>
      <w:pPr>
        <w:keepNext/>
        <w:spacing w:after="60" w:before="160"/>
      </w:pPr>
      <w:r>
        <w:rPr>
          <w:rFonts w:ascii="Calibri" w:cs="Calibri" w:eastAsia="Calibri" w:hAnsi="Calibri"/>
          <w:b/>
          <w:bCs/>
          <w:sz w:val="22"/>
          <w:szCs w:val="22"/>
        </w:rPr>
        <w:t xml:space="preserve">Entry 3 — Charter, Feasibility, and Revision Drafting</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1, full drafting and post-feedback revision</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Draft the charter, feasibility review, workspace section, and AHP protocol from student direction.</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Draft launch-packet Sections 2–5 and the AHP elicitation protocol (Section 3.4) from student-provided project history; revise per supervisor feedback.</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Full section drafts, later revised.</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Sections 2, 3, 4,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Reviewed and edited by the student before each submission.</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Student redirected the shelter-portal framing from "deferred" to "gated stretch goal" (Section 3.6), and directed the addition of the AHP protocol and new sources after reading supervisor feedback.</w:t>
            </w:r>
          </w:p>
        </w:tc>
      </w:tr>
    </w:tbl>
    <w:p>
      <w:pPr>
        <w:keepNext/>
        <w:spacing w:after="60" w:before="160"/>
      </w:pPr>
      <w:r>
        <w:rPr>
          <w:rFonts w:ascii="Calibri" w:cs="Calibri" w:eastAsia="Calibri" w:hAnsi="Calibri"/>
          <w:b/>
          <w:bCs/>
          <w:sz w:val="22"/>
          <w:szCs w:val="22"/>
        </w:rPr>
        <w:t xml:space="preserve">Entry 4 — Feedback Triage and Gap Analysis</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2 (2026-09-13), pre-drafting for Hard Stop 1</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Systematically map the instructor's RU-01 rubric feedback (88/100) and general class feedback onto concrete revisions required for the Hard Stop 1 Proposal Approval Package.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Given the pasted per-criterion instructor comments on Assignment 1, identify actionable items and cross-reference them against the Hard Stop 1 task list before drafting.</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"Response to Week 1 Supervisor Feedback" table (proposal Section 2).</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Proposal Section 2.</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Student confirmed each item against the actual feedback text before marking it addressed; nothing was marked resolved without a corresponding change in the package.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Student decided to resolve the GitHub remote/issue-tracker item this week rather than defer it a second time, given it had already been flagged once.</w:t>
            </w:r>
          </w:p>
        </w:tc>
      </w:tr>
    </w:tbl>
    <w:p>
      <w:pPr>
        <w:keepNext/>
        <w:spacing w:after="60" w:before="160"/>
      </w:pPr>
      <w:r>
        <w:rPr>
          <w:rFonts w:ascii="Calibri" w:cs="Calibri" w:eastAsia="Calibri" w:hAnsi="Calibri"/>
          <w:b/>
          <w:bCs/>
          <w:sz w:val="22"/>
          <w:szCs w:val="22"/>
        </w:rPr>
        <w:t xml:space="preserve">Entry 5 — Proposal Drafting (Background, Objectives, Success Criteria, MACP Framing, Project Plan)</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2, full drafting</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Revise the Week 1 charter into the formal proposal structure Hard Stop 1 requires, with explicit measurable success criteria and MACP-framed feasibility.</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Restructure Week 1 charter content under the assignment's required headings; add measurable indicators not present in the Week 1 packet; reframe the feasibility review under Machine/Architecture/Computational/API headings; build a phased project plan aligned to the syllabus's 14-week schedule.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Proposal Sections 3 through 7 (Background and Problem Statement; Objectives and Intended Artifact; Success Criteria; MACP Feasibility Framing; Project Plan).</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Proposal Sections 3, 4, 5, 6, 7.</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Reviewed by the student against the actual codebase, the live AWS account, and the syllabus's published 14-week schedule before inclusion.</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Student set the specific numeric thresholds in Section 5 (e.g., the CR &lt; 0.10 consistency threshold, the ~30-second latency budget) and decided the four-phase boundary structure in Section 7.</w:t>
            </w:r>
          </w:p>
        </w:tc>
      </w:tr>
    </w:tbl>
    <w:p>
      <w:pPr>
        <w:keepNext/>
        <w:spacing w:after="60" w:before="160"/>
      </w:pPr>
      <w:r>
        <w:rPr>
          <w:rFonts w:ascii="Calibri" w:cs="Calibri" w:eastAsia="Calibri" w:hAnsi="Calibri"/>
          <w:b/>
          <w:bCs/>
          <w:sz w:val="22"/>
          <w:szCs w:val="22"/>
        </w:rPr>
        <w:t xml:space="preserve">Entry 6 — Work Breakdown, Risk/Ethics Section, and Approval Brief</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2, full drafting</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Produce the week-by-week work breakdown, the expanded risk/ethics/constraints section, and the one-page approval brief.</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Draft a task backlog from the Section 7 project plan; expand the Week 1 risk list into explicit data-access, environment, ethics/privacy, and external-service-dependency categories; summarize the full proposal into a one-page brief covering what remains conditional and what evidence is expected by the next checkpoint.</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Proposal Sections 8, 9, 10, and 11.</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Proposal Sections 8, 9, 10, 11.</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Reviewed and edited by the student before submission; risk likelihoods and the approval brief's "conditional" items were checked against the student's own understanding of project status.</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Student decided which open items from the Week 1 Supervisor Briefing Note remain genuinely open now that the GitHub item is resolved, and wrote the specific evidence commitments for the Week 4 checkpoint.</w:t>
            </w:r>
          </w:p>
        </w:tc>
      </w:tr>
    </w:tbl>
    <w:p>
      <w:pPr>
        <w:keepNext/>
        <w:spacing w:after="60" w:before="160"/>
      </w:pPr>
      <w:r>
        <w:rPr>
          <w:rFonts w:ascii="Calibri" w:cs="Calibri" w:eastAsia="Calibri" w:hAnsi="Calibri"/>
          <w:b/>
          <w:bCs/>
          <w:sz w:val="22"/>
          <w:szCs w:val="22"/>
        </w:rPr>
        <w:t xml:space="preserve">Entry 7 — Literature Verification and Synthesis</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3 (2026-09-20), literature expansion for RU-03</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Identify and independently verify credible sources for three themes missing from the Week 1-2 bibliography: competing/comparable systems, evaluation strategy under sparse data, and AI governance/ethics standards.</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Search for real, current sources on animal-shelter management software, offline/sparse-data evaluation methods for ranking systems, and NIST AI risk-management guidance; verify exact authors, venues, and dates before use.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Five new annotated bibliography entries and the literature synthesis narrative, including an explicit gap statement.</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Literature and Requirements Brief, Sections 2 and 3.</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Every new source's real existence, exact title, authorship, and publication/announcement date was independently confirmed via search before inclusion; the NIST critical-infrastructure document was confirmed to be a concept note in development, not a finished profile, and is cited accordingly rather than overstated.</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Student selected which five sources to add and directed the specific gap this project fills relative to each theme.</w:t>
            </w:r>
          </w:p>
        </w:tc>
      </w:tr>
    </w:tbl>
    <w:p>
      <w:pPr>
        <w:keepNext/>
        <w:spacing w:after="60" w:before="160"/>
      </w:pPr>
      <w:r>
        <w:rPr>
          <w:rFonts w:ascii="Calibri" w:cs="Calibri" w:eastAsia="Calibri" w:hAnsi="Calibri"/>
          <w:b/>
          <w:bCs/>
          <w:sz w:val="22"/>
          <w:szCs w:val="22"/>
        </w:rPr>
        <w:t xml:space="preserve">Entry 8 — Requirements and Use Case Drafting</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3, full drafting</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Derive functional and non-functional requirements from the literature and domain context, and formalize the project's existing informal product-walkthrough flows into a structured use-case model.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Draft a requirements table tracing each requirement to either a literature source or a stakeholder need; convert the three flows already documented in docs/rescuenet-usecases.pdf into formal use cases (actor, trigger, preconditions, main flow, postcondition); produce one visual use-case diagram.</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Literature and Requirements Brief, Sections 4 and 5, including the use-case diagram.</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Sections 4,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Every use case was checked against the real product-walkthrough document and, where applicable, the actual Lambda code path it describes (e.g., dedup-agent's active-status query).</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Student decided which requirements were mandatory versus stretch and confirmed the use-case actors matched the real system's actual actors rather than a generic template.</w:t>
            </w:r>
          </w:p>
        </w:tc>
      </w:tr>
    </w:tbl>
    <w:p>
      <w:pPr>
        <w:keepNext/>
        <w:spacing w:after="60" w:before="160"/>
      </w:pPr>
      <w:r>
        <w:rPr>
          <w:rFonts w:ascii="Calibri" w:cs="Calibri" w:eastAsia="Calibri" w:hAnsi="Calibri"/>
          <w:b/>
          <w:bCs/>
          <w:sz w:val="22"/>
          <w:szCs w:val="22"/>
        </w:rPr>
        <w:t xml:space="preserve">Entry 9 — Domain Constraints and Data Source Inventory</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3, full drafting</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Profile the system's real DynamoDB tables for provenance, schema, and data-quality limitations, and enumerate domain constraints (latency, legal/privacy, data fields, hardware, interface, organizational policy).</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Read the actual CDK database stack, GraphQL schema, and every Lambda's DynamoDB access pattern to build an accurate data-source inventory rather than a generic description; ground domain constraints in the real deployed system and prior weeks' findings.</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Literature and Requirements Brief, Sections 6 and 7.</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Sections 6, 7.</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Every table, field, and access pattern listed was confirmed directly against lib/stacks/database-stack.ts, lib/schema.graphql, and each Lambda's source file, not assumed.</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Student directed the reframing of the IRB statement as an assumption subject to university policy (per Week 2 supervisor feedback) rather than a settled conclusion, and confirmed which data-quality findings (e.g., the unused caseId-index GSI) were worth disclosing as known limitations.</w:t>
            </w:r>
          </w:p>
        </w:tc>
      </w:tr>
    </w:tbl>
    <w:p>
      <w:pPr>
        <w:keepNext/>
        <w:spacing w:after="60" w:before="160"/>
      </w:pPr>
      <w:r>
        <w:rPr>
          <w:rFonts w:ascii="Calibri" w:cs="Calibri" w:eastAsia="Calibri" w:hAnsi="Calibri"/>
          <w:b/>
          <w:bCs/>
          <w:sz w:val="22"/>
          <w:szCs w:val="22"/>
        </w:rPr>
        <w:t xml:space="preserve">Entry 10 — Citation Re-Verification and Correction (Post-Feedback)</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3 (2026-09-22), post-submission correction following RU-03 instructor feedback</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Correct a bibliographic error the instructor identified in the Zhou et al. citation, and re-verify it properly this time.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Instructor feedback flagged that "the bibliographic details in the student's brief need correction." Re-fetched the actual Frontiers in Physics article page directly (not a search-result summary) to confirm the real author list, title, and publication date.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Corrected citation — Zhou, Y., Lan, Q., Yang, X., Wang, L., Li, G., Li, S., &amp; Lyu, T. (2026), "Multi-agent task allocation method based on the cost-effectiveness maximization multi-round auction algorithm," Frontiers in Physics, 13 — replacing a version with the wrong year (2025 vs. actual 2026), a fabricated title, and incorrect middle initials for six of seven authors.</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Literature and Requirements Brief, Sections 2 and 3.</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original Week 3 verification had confirmed the paper's real existence and DOI but relied on a search-engine summary for the author list and title rather than the source page itself — an insufficient verification standard. This entry documents fetching the actual article page directly as the corrective standard going forward.</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Student also directed softening two overstated claims the same feedback flagged: the "competing systems ignore routing" and project-niche conclusions in Sections 2 and 3 now explicitly note they rest on published documentation only, not an audit of undocumented internals.</w:t>
            </w:r>
          </w:p>
        </w:tc>
      </w:tr>
    </w:tbl>
    <w:p>
      <w:pPr>
        <w:keepNext/>
        <w:spacing w:after="60" w:before="160"/>
      </w:pPr>
      <w:r>
        <w:rPr>
          <w:rFonts w:ascii="Calibri" w:cs="Calibri" w:eastAsia="Calibri" w:hAnsi="Calibri"/>
          <w:b/>
          <w:bCs/>
          <w:sz w:val="22"/>
          <w:szCs w:val="22"/>
        </w:rPr>
        <w:t xml:space="preserve">Entry 11 — Architecture, Data Flow, and Computational Method Drafting</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4 (2026-09-27), full drafting</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Translate the approved RU-03 requirements into a formal architecture description, a data-flow diagram scoped to the arbitrator, and reproducible pseudocode for both the corrected scoring function and the AHP weight-derivation procedure.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Read the real Lambda source (arbitrator, needs-profile) and CDK stack to build an accurate component/responsibility table and data-flow diagram; derive AHP pseudocode including the verified Saaty random-index table; independently verify the RI(5)=1.12 value rather than assume it from memory.</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Design Review Package, Sections 3, 4, and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Sections 3, 4,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Components and code lines were checked against the Lambda source, but the first draft of the pipeline ordering (Figure 2) was wrong and was corrected after the EventBridge rules were read directly (see Entry 15); the RI(5) value was independently re-verified via search rather than trusted from training knowledge.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Student confirmed the arbitrator scope boundary drawn in Figure 2 matches the charter's Section 9 (Out-of-Scope) boundary exactly, and directed which real Bedrock prompt fields to show as the API contract example.</w:t>
            </w:r>
          </w:p>
        </w:tc>
      </w:tr>
    </w:tbl>
    <w:p>
      <w:pPr>
        <w:keepNext/>
        <w:spacing w:after="60" w:before="160"/>
      </w:pPr>
      <w:r>
        <w:rPr>
          <w:rFonts w:ascii="Calibri" w:cs="Calibri" w:eastAsia="Calibri" w:hAnsi="Calibri"/>
          <w:b/>
          <w:bCs/>
          <w:sz w:val="22"/>
          <w:szCs w:val="22"/>
        </w:rPr>
        <w:t xml:space="preserve">Entry 12 — Test and Evaluation Plan, Traceability Matrix</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4, full drafting</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Design a concrete, evidence-producing test and evaluation plan, including a defined synthetic-case matrix with ground-truth answers, and trace every RU-03 requirement to a design component and test method.</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Define test types, metrics, acceptance thresholds, and comparison logic for SC1-SC5; construct a concrete synthetic case matrix varying species match, urgency, distance, capacity, and vet availability with expert-annotated expected outcomes; design a sensitivity/perturbation check answering the Week 2 supervisor-feedback request for a fairness check.</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Design Review Package, Sections 8 and 9.</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Sections 8, 9.</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synthetic case matrix was checked by the student for domain plausibility before being accepted as ground truth.</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Student set the specific perturbation design (±1 Saaty-scale step, one judgment at a time) for the sensitivity check and decided the highest-risk dependency call in Section 10.</w:t>
            </w:r>
          </w:p>
        </w:tc>
      </w:tr>
    </w:tbl>
    <w:p>
      <w:pPr>
        <w:keepNext/>
        <w:spacing w:after="60" w:before="160"/>
      </w:pPr>
      <w:r>
        <w:rPr>
          <w:rFonts w:ascii="Calibri" w:cs="Calibri" w:eastAsia="Calibri" w:hAnsi="Calibri"/>
          <w:b/>
          <w:bCs/>
          <w:sz w:val="22"/>
          <w:szCs w:val="22"/>
        </w:rPr>
        <w:t xml:space="preserve">Entry 13 — Environment, API Contracts, and Supervisor Review Drafting</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4, full drafting</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Document the real environment/toolchain plan and API contracts, and draft a genuine supervisor-review request rather than a self-review disclosure, directly applying the Week 3 feedback that a disclosed self-check does not substitute for the assignment-required review.</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Confirm real runtime/dependency versions from package.json, tsconfig.json, and the CDK stack; pull a real Bedrock request payload from needs-profile/index.ts as the API contract example rather than a fabricated one; draft a short, sendable message requesting actual supervisor review of this package's highest-risk item before the deadline.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Design Review Package, Sections 6, 7, and 11.</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Sections 6, 7, 11.</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Every version number and dependency in Section 6 was confirmed directly against package.json/tsconfig.json/cdk.json, not assumed from the Week 1 environment snapshot.</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Student sent the supervisor-review email (Sep 26, 5:55 PM EDT) after the AI-drafted text was shortened and made more conversational at the student's direction; a follow-up on the later design change was sent at 7:14 PM EDT.</w:t>
            </w:r>
          </w:p>
        </w:tc>
      </w:tr>
    </w:tbl>
    <w:p>
      <w:pPr>
        <w:keepNext/>
        <w:spacing w:after="60" w:before="160"/>
      </w:pPr>
      <w:r>
        <w:rPr>
          <w:rFonts w:ascii="Calibri" w:cs="Calibri" w:eastAsia="Calibri" w:hAnsi="Calibri"/>
          <w:b/>
          <w:bCs/>
          <w:sz w:val="22"/>
          <w:szCs w:val="22"/>
        </w:rPr>
        <w:t xml:space="preserve">Entry 14 — Design Revision: Dynamic Archetype-Blended Weighting</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4 (2026-09-26), design revision before Hard Stop 2 submission</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Resolve the student's question of whether routing should use one settled weight set or case-specific weights, by checking what the code actually does and revising the design accordingly.</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Re-read lambda/needs-profile/index.ts and lambda/arbitrator/index.ts to establish that weights are already generated per case by an unseeded Bedrock call; lay out three design options (single AHP set, AHP per archetype, LLM-only); revise the Design Review Package for the chosen option.</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Revised Sections 2.2, 3, 4, 5, 7, 8, 9, 10, and 11 of the Design Review Package, including the archetype-blend method, the expanded test plan, and the frozen-v1 comparison design.</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Most of the Design Review Package; also corrects the Hard Stop 1 framing of "constant hand-picked weights."</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claim that weights are already per-case was verified against the source, not assumed; the species-check defect's real scope was re-checked against the hard-constraint filter and downgraded accordingly.</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Student chose the archetype-blending option and directed that the design be as dynamic as possible, accepting the scope expansion into needs-profile. The three archetypes and all thresholds marked provisional are AI proposals for the student and supervisor to confirm or change.</w:t>
            </w:r>
          </w:p>
        </w:tc>
      </w:tr>
    </w:tbl>
    <w:p>
      <w:pPr>
        <w:keepNext/>
        <w:spacing w:after="60" w:before="160"/>
      </w:pPr>
      <w:r>
        <w:rPr>
          <w:rFonts w:ascii="Calibri" w:cs="Calibri" w:eastAsia="Calibri" w:hAnsi="Calibri"/>
          <w:b/>
          <w:bCs/>
          <w:sz w:val="22"/>
          <w:szCs w:val="22"/>
        </w:rPr>
        <w:t xml:space="preserve">Entry 15 — Rubric Audit and Corrections</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4 (2026-09-26), audit before Hard Stop 2 submission</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Check the Design Review Package against the RU-04 rubric and the assignment task list, and close the gaps found.</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Compare each section with the five rubric criteria and nine tasks; re-read lib/stacks/lambda-stack.ts for the real event wiring; re-check every reader and writer of NEEDS_TABLE; add the missing tradeoff analysis, setup steps, data-validation steps, failure-mode table, interface table, revised success criteria, Figure 3, and the risks, dependencies, and gaps lists.</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Sections 2.3, 3 (interface table), 5.4, 6.1 to 6.3, 8 (failure modes), 9 (revised success criteria), 11 (three-part lists), Figures 2 and 3; corrections to the RU-03 brief and engineering log.</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Most of the Design Review Package, the RU-03 repository copy, ENGINEERING_LOG.md.</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event fan-out was read from the EventBridge rules; the unused needs table was confirmed by searching every reference to NEEDS_TABLE. Both showed earlier AI-drafted claims were wrong (Entry 9 said every table and access pattern was confirmed against source, but the duplicated-needs-profile finding had been inferred, not verified), which is why they are disclosed.</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Student requested the rubric check. Whether to tell the instructor about the RU-03 correction is the student's decision. Figures 2 and 3 were drawn by the AI as SVG from the verified design.</w:t>
            </w:r>
          </w:p>
        </w:tc>
      </w:tr>
    </w:tbl>
    <w:p>
      <w:pPr>
        <w:keepNext/>
        <w:spacing w:after="60" w:before="160"/>
      </w:pPr>
      <w:r>
        <w:rPr>
          <w:rFonts w:ascii="Calibri" w:cs="Calibri" w:eastAsia="Calibri" w:hAnsi="Calibri"/>
          <w:b/>
          <w:bCs/>
          <w:sz w:val="22"/>
          <w:szCs w:val="22"/>
        </w:rPr>
        <w:t xml:space="preserve">Entry 16 — Incorporating the Supervisor's Response</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4 (2026-09-28), revision after supervisor reply</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Read the supervisor's actual reply to the two emailed requests and revise the design and Section 11 to act on it, rather than only disclosing that a reply was expected.</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Open and quote the supervisor's Sep 27, 8:59 PM EDT reply approving the three-archetype approach and requiring the blend to be explicit about being deterministic, documented, and reproducible; add that explicit statement to Section 5.3; update Section 11 with the quoted response and what was and was not directly addressed; note the class-wide deadline extension to Sep 29 and that this revision is being made to act on the response, not merely to use extra time.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Revised Sections 5.3 and 11 of the Design Review Package.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Sections 5.3, 11.</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quoted reply was read directly from Outlook, not paraphrased from memory; the Canvas assignment page was checked directly for the real extended availability date (Sep 29, 11:59 PM) rather than computing it from the announcement's "two days" wording alone.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Student decided that the second-judge and evidence-base questions, not directly addressed in the reply, would be treated as resolved by proceeding rather than re-asked, consistent with the decision to stop emailing and document instead.</w:t>
            </w:r>
          </w:p>
        </w:tc>
      </w:tr>
    </w:tbl>
    <w:p>
      <w:pPr>
        <w:keepNext/>
        <w:spacing w:after="60" w:before="160"/>
      </w:pPr>
      <w:r>
        <w:rPr>
          <w:rFonts w:ascii="Calibri" w:cs="Calibri" w:eastAsia="Calibri" w:hAnsi="Calibri"/>
          <w:b/>
          <w:bCs/>
          <w:sz w:val="22"/>
          <w:szCs w:val="22"/>
        </w:rPr>
        <w:t xml:space="preserve">Entry 17 — Fairness-by-Shelter-Characteristic Check</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4 (2026-09-29), addition before resubmission</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Add the second half of the Week 2 fairness/sensitivity request, which the sensitivity check alone did not cover: whether scoring systematically favors a shelter characteristic regardless of case merit.</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Re-read the exact Week 2 feedback wording to separate its two asks (judgment sensitivity vs. input-factor fairness); design a won-share-vs-eligible-share method by shelter characteristic (tier, vet availability, distance, freshness); add it to Section 8 with an honest statistical-power caveat given only 9 planned cases; add a traceability row and a Week 7 build-order update.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New Section 8 subsection, Section 9 row NFR7, Section 11 Week 7 build step, of the Design Review Package.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Sections 8, 9, 11.</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Week 2 feedback text was re-read verbatim rather than paraphrased from memory to confirm it named two distinct checks, not one.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Student requested this addition given the extended deadline; the specific characteristics checked and the "reported as counts, not percentages" honesty framing were directed by the student.</w:t>
            </w:r>
          </w:p>
        </w:tc>
      </w:tr>
    </w:tbl>
    <w:p>
      <w:pPr>
        <w:keepNext/>
        <w:spacing w:after="60" w:before="160"/>
      </w:pPr>
      <w:r>
        <w:rPr>
          <w:rFonts w:ascii="Calibri" w:cs="Calibri" w:eastAsia="Calibri" w:hAnsi="Calibri"/>
          <w:b/>
          <w:bCs/>
          <w:sz w:val="22"/>
          <w:szCs w:val="22"/>
        </w:rPr>
        <w:t xml:space="preserve">Entry 18 — Implementation Sprint I: Code, Tests, and Engineering Documentation</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5 (2026-10-03 to 2026-10-04), Implementation Sprint I check-in</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Build the first runnable baseline of the Hard Stop 2 design: tested weight-derivation code, the species-match fix, test and smoke tooling, and the documentation and risk log the check-in requires.</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From the approved design (Sections 5.3, 8, 11), generate lambda/shared/weights.ts, scoring.ts, ahp-weights.json (placeholder vectors), 36 Jest tests, a smoke script, a six-line arbitrator change, README/CHANGELOG/KNOWN_ISSUES/CONTRIBUTING/RISK_LOG/ARCHITECTURE_NOTES, and this sprint's reflection and submission package. AI-generated code and documents; no AI-generated measurements or results exist (none have been produced yet).</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All of the above, committed on branch sprint-1/baseline and merged to main under tag v0.1.0-baseline.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repository (new files plus lambda/arbitrator/index.ts, package.json, README.md); docs/evidence/sprint-1/.</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Verified by execution rather than reading: type-check clean before and after; 36 tests pass; a mutation check showed the regression tests fail against the original buggy logic; the documented steps were run on a fresh git clone in an empty directory (all exit codes 0); cdk synth succeeded on the author's machine. Two AI errors were caught and fixed during the sprint: an unpinned ts-node dependency, and a first evidence file with a blank exit code and a hand-typed line, which was regenerated from a capture script. Verified later (2026-10-04): the same steps pass under Node 20.20.2 (supplied temporarily via npx) on an anonymous clone of the public repo, with no engine warning; evidence in docs/evidence/sprint-1/node20-output.txt. Still not verified: synth on a machine without the author's AWS setup.</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student set the design and scope (archetype blending, three profiles, as approved by the supervisor on 2026-09-27) and requested this sprint build. The student reviewed the generated code and reported on 2026-10-04 that it looks good, and made no changes to it.</w:t>
            </w:r>
          </w:p>
        </w:tc>
      </w:tr>
    </w:tbl>
    <w:p>
      <w:pPr>
        <w:keepNext/>
        <w:spacing w:after="60" w:before="160"/>
      </w:pPr>
      <w:r>
        <w:rPr>
          <w:rFonts w:ascii="Calibri" w:cs="Calibri" w:eastAsia="Calibri" w:hAnsi="Calibri"/>
          <w:b/>
          <w:bCs/>
          <w:sz w:val="22"/>
          <w:szCs w:val="22"/>
        </w:rPr>
        <w:t xml:space="preserve">Entry 19 — Implementation Sprint II: Evaluation Harness, Classifier Wiring, and Evidence</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6 (2026-10-10 to 2026-10-11), Hard Stop 3</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Build and run the first validation of the Hard Stop 2 design: AHP calculator, evaluation harness over pre-registered fixtures, WEIGHTING_MODE wiring in needs-profile, live classifier and v1-baseline runs, and the evidence capture.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From the approved design (Sections 5.2, 5.3, 8) and the Sprint I reflection plan, generate lambda/shared/ahp.ts, match.ts, geo.ts, needs-classifier.ts, the needs-profile change, eval/ (fixtures, annotations, harness, sensitivity), the scripts, 72 new Jest tests, and the documentation updates. AI-generated code and documents. The student chose to run 42 live Bedrock calls (about $0.25) after being told the count and cost.</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All of the above, on branch sprint-2/validation.</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repository (lambda/, eval/, scripts/, test/, docs); docs/evidence/sprint-2/.</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Verified by execution rather than reading: type-check clean; 108 tests pass under Node 25.9 and Node 20.20.2; the scoring extraction is pinned by an oracle test against a verbatim copy of the original code (216 comparisons) and the v1 prompt by golden files rendered from the pre-change handler; AHP references were computed in a separate Python implementation; the fixtures and annotations were committed before the harness and their hash re-checked in a fresh clone; three repeated runs per classifier give identical result hashes. Errors found and fixed during the sprint: an expected-winner computation that skipped the tie rule (SYN-08 test failed), a double comma from a scripted edit, a nested npx in the evidence script that produced empty hash lines. A metric (raw-score correctness) was added after seeing the first results because the tie rule had flattered v2; it is labelled as post hoc.</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student set the scope (three archetypes, approved by the supervisor on 2026-09-27) and authorised the live calls. The student did not read every generated line of code.</w:t>
            </w:r>
          </w:p>
        </w:tc>
      </w:tr>
    </w:tbl>
    <w:p>
      <w:pPr>
        <w:keepNext/>
        <w:spacing w:after="60" w:before="160"/>
      </w:pPr>
      <w:r>
        <w:rPr>
          <w:rFonts w:ascii="Calibri" w:cs="Calibri" w:eastAsia="Calibri" w:hAnsi="Calibri"/>
          <w:b/>
          <w:bCs/>
          <w:sz w:val="22"/>
          <w:szCs w:val="22"/>
        </w:rPr>
        <w:t xml:space="preserve">Entry 20 — Evidence-Informed AHP Judgments (Proposed by AI, Adopted by the Student)</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5.5), with web search and page fetch</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6 (2026-10-11), Hard Stop 3</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Replace the student's own 30-question elicitation with literature-informed judgments, at the student's request ("instead of me having to make the decisions ... derive the weights"), while keeping the student as the judge of record.</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Research what is known about injured-animal triage, loose-animal response priorities, and shelter capacity; propose a Saaty-scale answer for each of the 30 pairs with a per-pair rationale and source; check consistency (CR) before any harness run. The student asked for forum evidence (r/IndianPets, X); those sites could not be read by any available tool and no forum content is used.</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eval/ahp/evidence-informed-proposal.json (sources, 30 answers, 30 rationales) and the three judgment files saved by scripts/ahp-adopt.ts --adopt after the student's decision; v1 vectors in lambda/shared/ahp-weights.json.</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AHP vectors, SC2, KI-02, R-01.</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Five sources were read directly (DoveLewis triage guide and the 2010 ASV guidelines as PDFs; Hawaii County Animal Control, Million Cat Challenge, and the University of Illinois pages as web pages); claims taken from search snippets alone were discarded or flagged (for example the 2022 ASV edition and a University of Florida quotation were not relied on). The sources support direction (which factor matters more in which case) but none supports a magnitude on the 1-9 scale; the magnitudes are the AI's reading and the proposal says so. All three matrices passed CR &lt; 0.10 on the first attempt with no tuning, and the proposal was committed (92373a8) before the harness was run against it. The student was shown the full table and reasoning before deciding.</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student reviewed the table and reasoning and adopted all 30 judgments unchanged (93f895a). The judgments are therefore AI-proposed and student-adopted, not the student's unaided elicitation; this is disclosed in Hard Stop 3 and in KI-02.</w:t>
            </w:r>
          </w:p>
        </w:tc>
      </w:tr>
    </w:tbl>
    <w:p>
      <w:pPr>
        <w:keepNext/>
        <w:spacing w:after="60" w:before="160"/>
      </w:pPr>
      <w:r>
        <w:rPr>
          <w:rFonts w:ascii="Calibri" w:cs="Calibri" w:eastAsia="Calibri" w:hAnsi="Calibri"/>
          <w:b/>
          <w:bCs/>
          <w:sz w:val="22"/>
          <w:szCs w:val="22"/>
        </w:rPr>
        <w:t xml:space="preserve">Entry 21 — Hard Stop 3 Validation Package (This Document)</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6 (2026-10-11), Hard Stop 3: Early Implementation Validation Package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Assemble the submission from the repository's own files and evidence, and write the interpretation memo.</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Generate this document, its two figures, and its tables from the committed results files (eval/results, eval/ahp, docs/evidence/sprint-2, git history). Every number in the tables is read programmatically from those files by the generator rather than typed. AI-generated text and figures.</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This document, submitted to Canvas as the third hard-stop deliverable.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whole package; the AI log (Section 1, Appendix A); the engineering log entry for Week 6.</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Pages were rendered and inspected; each headline figure was cross-checked against the fresh-clone evidence file (test count, result hashes, annotation hash). Two corrections to my own work are disclosed in Sections 6 and 7 (the raw-score metric added after seeing results; the capture script bug). The interpretation memo states what the evidence does not show. Reddit and X could not be read and are not cited.</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student set the scope, authorised the 42 live calls and the push to GitHub, and adopted the AHP judgments after reading the full table. Any edits the student makes to this document before submitting are not reflected in this entry.</w:t>
            </w:r>
          </w:p>
        </w:tc>
      </w:tr>
    </w:tbl>
    <w:p>
      <w:pPr>
        <w:keepNext/>
        <w:spacing w:after="60" w:before="160"/>
      </w:pPr>
      <w:r>
        <w:rPr>
          <w:rFonts w:ascii="Calibri" w:cs="Calibri" w:eastAsia="Calibri" w:hAnsi="Calibri"/>
          <w:b/>
          <w:bCs/>
          <w:sz w:val="22"/>
          <w:szCs w:val="22"/>
        </w:rPr>
        <w:t xml:space="preserve">Entry 22 — Midpoint: Non-Production Deployment, Measurement, and Demo Scripts</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7 (2026-10-18 to 2026-10-21), Midpoint Demo and Adjustment Memo</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Produce the deployment-level evidence that Hard Stop 3 lacked: deploy the v2 code behind WEIGHTING_MODE, measure latency, errors, and rollback on the deployed pipeline, and make the live demo scripts work end to end.</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Run a read-only cdk diff; snapshot the deployed functions; deploy the Lambda stack only; write scripts/measure-v2.py (13 cases: 6 under llm, 6 under blend, rollback, 1 verification case) and scripts/demo-e2e.sh / scripts/demo-v2-live.ts; run them against the student's AWS account. AI-generated scripts and operation of the AWS CLI.</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deployed state, docs/evidence/sprint-3/ (pre-deploy snapshot, scrubbed deploy summary, measure-v2.json), and the three scripts.</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deployed RescueNetLambda stack (13 functions: new code plus one environment variable, default unchanged); the midpoint package.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diff was read before deploying (functions only; no IAM, table, or rule changes; the one API-key expiry change was left undeployed by deploying only the Lambda stack). A post-deploy end-to-end run under the unchanged llm default passed before any measurement. The measurement read the stored case records and the functions' own CloudWatch REPORT lines rather than relying on the script's printed output; 13 of 13 cases reached ASSIGNED and no error lines appeared in the nine pipeline functions' logs. Rollback was verified by running a case afterwards and checking the stored profile carried no v2 fields. Problems found along the way: the older scripts/demo.sh simulated a retired in-app Q&amp;A and could not complete (replaced); my first demo script could not parse the intake response; the first measurement run died on an AWS clock-skew error when the laptop slept (retries added, run repeated from the start; the five cases from the aborted run remain in the table as test data).</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I asked the student whether to deploy and which feature to name as the cut. The student declined the question prompt and instead told me, in chat, to go ahead without waiting and report afterwards, and said they did not mind which feature was cut. I therefore chose the options I had recommended (deploy, measure, roll back; cut the fairness check). The student has not reviewed the deployment steps or the scripts line by line.</w:t>
            </w:r>
          </w:p>
        </w:tc>
      </w:tr>
    </w:tbl>
    <w:p>
      <w:pPr>
        <w:keepNext/>
        <w:spacing w:after="60" w:before="160"/>
      </w:pPr>
      <w:r>
        <w:rPr>
          <w:rFonts w:ascii="Calibri" w:cs="Calibri" w:eastAsia="Calibri" w:hAnsi="Calibri"/>
          <w:b/>
          <w:bCs/>
          <w:sz w:val="22"/>
          <w:szCs w:val="22"/>
        </w:rPr>
        <w:t xml:space="preserve">Entry 23 — Midpoint Package (Memo and Slide-Supported Demo)</w:t>
      </w:r>
    </w:p>
    <w:tbl>
      <w:tblPr>
        <w:tblW w:type="dxa" w:w="9720"/>
        <w:tblBorders>
          <w:top w:val="single" w:color="A0A0A0" w:sz="4"/>
          <w:left w:val="single" w:color="A0A0A0" w:sz="4"/>
          <w:bottom w:val="single" w:color="A0A0A0" w:sz="4"/>
          <w:right w:val="single" w:color="A0A0A0" w:sz="4"/>
          <w:insideH w:val="single" w:color="A0A0A0" w:sz="4"/>
          <w:insideV w:val="single" w:color="A0A0A0" w:sz="4"/>
        </w:tblBorders>
      </w:tblPr>
      <w:tblGrid>
        <w:gridCol w:w="2100"/>
        <w:gridCol w:w="7620"/>
      </w:tblGrid>
      <w:tr>
        <w:trPr>
          <w:cantSplit/>
          <w:tblHeader/>
        </w:trPr>
        <w:tc>
          <w:tcPr>
            <w:tcW w:type="dxa" w:w="210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Field</w:t>
            </w:r>
          </w:p>
        </w:tc>
        <w:tc>
          <w:tcPr>
            <w:tcW w:type="dxa" w:w="7620"/>
            <w:shd w:fill="E8F3EF" w:val="clear"/>
            <w:tcMar>
              <w:top w:type="dxa" w:w="45"/>
              <w:left w:type="dxa" w:w="85"/>
              <w:bottom w:type="dxa" w:w="45"/>
              <w:right w:type="dxa" w:w="85"/>
            </w:tcMar>
          </w:tcPr>
          <w:p>
            <w:pPr>
              <w:spacing w:after="20"/>
            </w:pPr>
            <w:r>
              <w:rPr>
                <w:rFonts w:ascii="Calibri" w:cs="Calibri" w:eastAsia="Calibri" w:hAnsi="Calibri"/>
                <w:b/>
                <w:bCs/>
                <w:sz w:val="17"/>
                <w:szCs w:val="17"/>
              </w:rPr>
              <w:t xml:space="preserve">Detail</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Tool</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Claude (Anthropic, Claude Sonnet 5.5)</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Date / Phase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Week 7 (2026-10-21), Midpoint Demo and Adjustment Memo</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Purpose</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Assemble the midpoint submission: adjustment memo, slide-supported demo with captured evidence, current-state architecture figure, and updated backlog.</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Prompt / Task Summary</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Generate the memo, the deck, and the figure from the repository's own evidence files (results JSON, measure-v2.json, the Hard Stop 3 feedback, the requirement and success-criteria tables from Hard Stop 2); every number is read from a file by the generator rather than typed. AI-generated text, tables, and figure.</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Output Used</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memo and the deck, submitted to Canvas.</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Affected Section / Artifact</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whole package; ENGINEERING_LOG.md Week 7; the backlog and issue log.</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Human Verification</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Pages and slides were rendered and inspected; each figure was cross-checked against docs/evidence/sprint-3/measure-v2.json and the Hard Stop 3 evidence file. The memo states what the deployment evidence does not show (one dominant shelter in the demo roster, no isolated environment, no independent review).</w:t>
            </w:r>
          </w:p>
        </w:tc>
      </w:tr>
      <w:tr>
        <w:trPr>
          <w:cantSplit/>
          <w:tblHeader w:val="off"/>
        </w:trPr>
        <w:tc>
          <w:tcPr>
            <w:tcW w:type="dxa" w:w="2100"/>
            <w:tcMar>
              <w:top w:type="dxa" w:w="45"/>
              <w:left w:type="dxa" w:w="85"/>
              <w:bottom w:type="dxa" w:w="45"/>
              <w:right w:type="dxa" w:w="85"/>
            </w:tcMar>
          </w:tcPr>
          <w:p>
            <w:pPr>
              <w:spacing w:after="20"/>
            </w:pPr>
            <w:r>
              <w:rPr>
                <w:rFonts w:ascii="Calibri" w:cs="Calibri" w:eastAsia="Calibri" w:hAnsi="Calibri"/>
                <w:b/>
                <w:bCs/>
                <w:sz w:val="17"/>
                <w:szCs w:val="17"/>
              </w:rPr>
              <w:t xml:space="preserve">Final Student Revisions</w:t>
            </w:r>
          </w:p>
        </w:tc>
        <w:tc>
          <w:tcPr>
            <w:tcW w:type="dxa" w:w="7620"/>
            <w:tcMar>
              <w:top w:type="dxa" w:w="45"/>
              <w:left w:type="dxa" w:w="85"/>
              <w:bottom w:type="dxa" w:w="45"/>
              <w:right w:type="dxa" w:w="85"/>
            </w:tcMar>
          </w:tcPr>
          <w:p>
            <w:pPr>
              <w:spacing w:after="20"/>
            </w:pPr>
            <w:r>
              <w:rPr>
                <w:rFonts w:ascii="Calibri" w:cs="Calibri" w:eastAsia="Calibri" w:hAnsi="Calibri"/>
                <w:b w:val="false"/>
                <w:bCs w:val="false"/>
                <w:sz w:val="17"/>
                <w:szCs w:val="17"/>
              </w:rPr>
              <w:t xml:space="preserve">The student set the scope and delegated the choice of the feature to cut. Any edits the student makes before submitting are not reflected here. This package was prepared after the Oct 18 deadline had passed.</w:t>
            </w:r>
          </w:p>
        </w:tc>
      </w:tr>
    </w:tbl>
    <w:p>
      <w:pPr>
        <w:pStyle w:val="Heading2"/>
        <w:keepNext/>
        <w:spacing w:after="80" w:before="200"/>
      </w:pPr>
      <w:r>
        <w:rPr>
          <w:rFonts w:ascii="Calibri" w:cs="Calibri" w:eastAsia="Calibri" w:hAnsi="Calibri"/>
          <w:b/>
          <w:bCs/>
          <w:color w:val="0F4C46"/>
          <w:sz w:val="24"/>
          <w:szCs w:val="24"/>
        </w:rPr>
        <w:t xml:space="preserve">Prior AI Use (ISEM 502 / GRAD 695)</w:t>
      </w:r>
    </w:p>
    <w:p>
      <w:pPr>
        <w:spacing w:after="110" w:before="70" w:line="262"/>
      </w:pPr>
      <w:r>
        <w:rPr>
          <w:rFonts w:ascii="Calibri" w:cs="Calibri" w:eastAsia="Calibri" w:hAnsi="Calibri"/>
          <w:sz w:val="21"/>
          <w:szCs w:val="21"/>
        </w:rPr>
        <w:t xml:space="preserve">AI-assisted development spanned the earlier coursework this project descends from: code and infrastructure implementation (CDK stacks, Lambda functions, GraphQL schema, mobile app), the GRAD 695 Applied Project Report and its figures, and the ISEM 502 UX Portfolio (personas, heuristic evaluation, prototypes), all drafted from student direction and reviewed by the student. No AI-generated or fabricated user-research data was presented as real at any point; where a course step assumed data unavailable to the student, the constraint was disclosed rather than simulated.</w:t>
      </w:r>
    </w:p>
    <w:sectPr>
      <w:headerReference w:type="default" r:id="rId6"/>
      <w:footerReference w:type="default" r:id="rId7"/>
      <w:pgSz w:w="12240" w:h="15840" w:orient="portrait"/>
      <w:pgMar w:top="1000" w:right="1260" w:bottom="1000" w:left="12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Page </w:t>
    </w:r>
    <w:r>
      <w:rPr>
        <w:rFonts w:ascii="Calibri" w:cs="Calibri" w:eastAsia="Calibri" w:hAnsi="Calibri"/>
        <w:color w:val="777777"/>
        <w:sz w:val="16"/>
        <w:szCs w:val="16"/>
      </w:rPr>
      <w:fldChar w:fldCharType="begin"/>
    </w:r>
    <w:r>
      <w:rPr>
        <w:rFonts w:ascii="Calibri" w:cs="Calibri" w:eastAsia="Calibri" w:hAnsi="Calibri"/>
        <w:color w:val="777777"/>
        <w:sz w:val="16"/>
        <w:szCs w:val="16"/>
      </w:rPr>
      <w:instrText xml:space="preserve">PAGE</w:instrText>
    </w:r>
    <w:r>
      <w:rPr>
        <w:rFonts w:ascii="Calibri" w:cs="Calibri" w:eastAsia="Calibri" w:hAnsi="Calibri"/>
        <w:color w:val="777777"/>
        <w:sz w:val="16"/>
        <w:szCs w:val="16"/>
      </w:rPr>
      <w:fldChar w:fldCharType="separate"/>
    </w:r>
    <w:r>
      <w:rPr>
        <w:rFonts w:ascii="Calibri" w:cs="Calibri" w:eastAsia="Calibri" w:hAnsi="Calibri"/>
        <w:color w:val="77777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777777"/>
        <w:sz w:val="16"/>
        <w:szCs w:val="16"/>
      </w:rPr>
      <w:t xml:space="preserve">CISC 699 | Midpoint Review and Adjustment Memo | Manoj Venkatachalaiah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0a9dfb16b91980fb5bda3be78d0212afa00b114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CISC 699 Midpoint Technical Progress Review and Adjustment Memo</dc:title>
  <dc:creator>Manoj Venkatachalaiah</dc:creator>
  <cp:lastModifiedBy>Un-named</cp:lastModifiedBy>
  <cp:revision>1</cp:revision>
  <dcterms:created xsi:type="dcterms:W3CDTF">2026-10-21T16:35:08.648Z</dcterms:created>
  <dcterms:modified xsi:type="dcterms:W3CDTF">2026-10-21T16:35:08.648Z</dcterms:modified>
</cp:coreProperties>
</file>

<file path=docProps/custom.xml><?xml version="1.0" encoding="utf-8"?>
<Properties xmlns="http://schemas.openxmlformats.org/officeDocument/2006/custom-properties" xmlns:vt="http://schemas.openxmlformats.org/officeDocument/2006/docPropsVTypes"/>
</file>