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b w:val="1"/>
          <w:bCs w:val="1"/>
          <w:sz w:val="24"/>
          <w:szCs w:val="24"/>
        </w:rPr>
      </w:pPr>
      <w:bookmarkStart w:colFirst="0" w:colLast="0" w:name="_fidvqtbj33hd" w:id="0"/>
      <w:bookmarkEnd w:id="0"/>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b w:val="1"/>
          <w:bCs w:val="1"/>
          <w:sz w:val="24"/>
          <w:szCs w:val="24"/>
        </w:rPr>
      </w:pPr>
      <w:bookmarkStart w:colFirst="0" w:colLast="0" w:name="_2jv9rm9jap7h" w:id="1"/>
      <w:bookmarkEnd w:id="1"/>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b w:val="1"/>
          <w:bCs w:val="1"/>
          <w:sz w:val="24"/>
          <w:szCs w:val="24"/>
        </w:rPr>
      </w:pPr>
      <w:bookmarkStart w:colFirst="0" w:colLast="0" w:name="_tbq1gxrxn26c" w:id="2"/>
      <w:bookmarkEnd w:id="2"/>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b w:val="1"/>
          <w:bCs w:val="1"/>
          <w:sz w:val="24"/>
          <w:szCs w:val="24"/>
        </w:rPr>
      </w:pPr>
      <w:bookmarkStart w:colFirst="0" w:colLast="0" w:name="_7g5gdmthtae0" w:id="3"/>
      <w:bookmarkEnd w:id="3"/>
      <w:r w:rsidDel="00000000" w:rsidR="00000000" w:rsidRPr="00000000">
        <w:rPr>
          <w:b w:val="1"/>
          <w:bCs w:val="1"/>
          <w:sz w:val="24"/>
          <w:szCs w:val="24"/>
          <w:rtl w:val="0"/>
        </w:rPr>
        <w:t xml:space="preserve"> </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36"/>
          <w:szCs w:val="36"/>
        </w:rPr>
      </w:pPr>
      <w:bookmarkStart w:colFirst="0" w:colLast="0" w:name="_7g5gdmthtae0" w:id="3"/>
      <w:bookmarkEnd w:id="3"/>
      <w:r w:rsidDel="00000000" w:rsidR="00000000" w:rsidRPr="00000000">
        <w:rPr>
          <w:rFonts w:ascii="Times New Roman" w:cs="Times New Roman" w:eastAsia="Times New Roman" w:hAnsi="Times New Roman"/>
          <w:b w:val="1"/>
          <w:bCs w:val="1"/>
          <w:sz w:val="32"/>
          <w:szCs w:val="32"/>
          <w:rtl w:val="0"/>
        </w:rPr>
        <w:t xml:space="preserve">DAMO510, Predictive Analytics</w:t>
      </w:r>
      <w:r w:rsidDel="00000000" w:rsidR="00000000" w:rsidRPr="00000000">
        <w:rPr>
          <w:rtl w:val="0"/>
        </w:rPr>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color w:val="202122"/>
          <w:sz w:val="32"/>
          <w:szCs w:val="32"/>
        </w:rPr>
      </w:pPr>
      <w:bookmarkStart w:colFirst="0" w:colLast="0" w:name="_7g5gdmthtae0" w:id="3"/>
      <w:bookmarkEnd w:id="3"/>
      <w:r w:rsidDel="00000000" w:rsidR="00000000" w:rsidRPr="00000000">
        <w:rPr>
          <w:rFonts w:ascii="Times New Roman" w:cs="Times New Roman" w:eastAsia="Times New Roman" w:hAnsi="Times New Roman"/>
          <w:b w:val="1"/>
          <w:bCs w:val="1"/>
          <w:color w:val="202122"/>
          <w:sz w:val="32"/>
          <w:szCs w:val="32"/>
          <w:rtl w:val="0"/>
        </w:rPr>
        <w:t xml:space="preserve">Take-Home Assignment 2</w:t>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56.7994545454545" w:lineRule="auto"/>
        <w:jc w:val="center"/>
        <w:rPr>
          <w:rFonts w:ascii="Times New Roman" w:cs="Times New Roman" w:eastAsia="Times New Roman" w:hAnsi="Times New Roman"/>
          <w:b w:val="1"/>
          <w:bCs w:val="1"/>
          <w:sz w:val="28"/>
          <w:szCs w:val="28"/>
        </w:rPr>
      </w:pPr>
      <w:bookmarkStart w:colFirst="0" w:colLast="0" w:name="_cuvg0pfe4ki" w:id="4"/>
      <w:bookmarkEnd w:id="4"/>
      <w:r w:rsidDel="00000000" w:rsidR="00000000" w:rsidRPr="00000000">
        <w:rPr>
          <w:rFonts w:ascii="Times New Roman" w:cs="Times New Roman" w:eastAsia="Times New Roman" w:hAnsi="Times New Roman"/>
          <w:b w:val="1"/>
          <w:bCs w:val="1"/>
          <w:sz w:val="28"/>
          <w:szCs w:val="28"/>
          <w:rtl w:val="0"/>
        </w:rPr>
        <w:t xml:space="preserve">Classification Challenge – Malignant vs. Benign Tumors</w:t>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56.7994545454545" w:lineRule="auto"/>
        <w:jc w:val="left"/>
        <w:rPr>
          <w:rFonts w:ascii="Times New Roman" w:cs="Times New Roman" w:eastAsia="Times New Roman" w:hAnsi="Times New Roman"/>
          <w:b w:val="1"/>
          <w:bCs w:val="1"/>
          <w:sz w:val="32"/>
          <w:szCs w:val="32"/>
        </w:rPr>
      </w:pPr>
      <w:bookmarkStart w:colFirst="0" w:colLast="0" w:name="_3h4x9e4v2fvh" w:id="5"/>
      <w:bookmarkEnd w:id="5"/>
      <w:r w:rsidDel="00000000" w:rsidR="00000000" w:rsidRPr="00000000">
        <w:rPr>
          <w:rtl w:val="0"/>
        </w:rPr>
      </w:r>
    </w:p>
    <w:p w:rsidR="00000000" w:rsidDel="00000000" w:rsidP="00000000" w:rsidRDefault="00000000" w:rsidRPr="00000000" w14:paraId="0000000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32"/>
          <w:szCs w:val="32"/>
        </w:rPr>
      </w:pPr>
      <w:bookmarkStart w:colFirst="0" w:colLast="0" w:name="_7g5gdmthtae0" w:id="3"/>
      <w:bookmarkEnd w:id="3"/>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Submitted By </w:t>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 Manuel Alejandro Medina Cabrera </w:t>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rPr>
          <w:rFonts w:ascii="Times New Roman" w:cs="Times New Roman" w:eastAsia="Times New Roman" w:hAnsi="Times New Roman"/>
          <w:b w:val="1"/>
          <w:bCs w:val="1"/>
          <w:sz w:val="24"/>
          <w:szCs w:val="24"/>
        </w:rPr>
      </w:pPr>
      <w:bookmarkStart w:colFirst="0" w:colLast="0" w:name="_ffi9988ylokc" w:id="6"/>
      <w:bookmarkEnd w:id="6"/>
      <w:r w:rsidDel="00000000" w:rsidR="00000000" w:rsidRPr="00000000">
        <w:rPr>
          <w:rtl w:val="0"/>
        </w:rPr>
      </w:r>
    </w:p>
    <w:p w:rsidR="00000000" w:rsidDel="00000000" w:rsidP="00000000" w:rsidRDefault="00000000" w:rsidRPr="00000000" w14:paraId="00000014">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7g5gdmthtae0" w:id="3"/>
      <w:bookmarkEnd w:id="3"/>
      <w:r w:rsidDel="00000000" w:rsidR="00000000" w:rsidRPr="00000000">
        <w:rPr>
          <w:rtl w:val="0"/>
        </w:rPr>
      </w:r>
    </w:p>
    <w:p w:rsidR="00000000" w:rsidDel="00000000" w:rsidP="00000000" w:rsidRDefault="00000000" w:rsidRPr="00000000" w14:paraId="00000015">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fa5lfinps1fp" w:id="7"/>
      <w:bookmarkEnd w:id="7"/>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cancer diagnosis is a critical application of predictive modeling in healthcare, where early and accurate detection directly improves patient outcomes. Machine learning provides systematic tools to assist diagnostic decision-making by identifying patterns in structured medical data.</w:t>
      </w:r>
    </w:p>
    <w:p w:rsidR="00000000" w:rsidDel="00000000" w:rsidP="00000000" w:rsidRDefault="00000000" w:rsidRPr="00000000" w14:paraId="0000001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analyzes the Breast Cancer Wisconsin (Diagnostic) dataset, which includes 30 numeric features derived from digitized images of fine needle aspirates (FNA). Each sample is labeled as Malignant (M) or Benign (B). The objective is to develop and evaluate classification models capable of predicting tumor diagnosis from these measurements.</w:t>
      </w:r>
    </w:p>
    <w:p w:rsidR="00000000" w:rsidDel="00000000" w:rsidP="00000000" w:rsidRDefault="00000000" w:rsidRPr="00000000" w14:paraId="0000001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clinical context, minimizing false negatives is the primary priority. Accordingly, evaluation emphasizes recall for malignant cases, ROC-AUC, and confusion matrix analysis rather than accuracy alone. Multiple models—including Logistic Regression, Decision Tree, Random Forest, and XGBoost—are trained with hyperparameter tuning and threshold optimization to align predictive performance with medical risk considerations.</w:t>
      </w:r>
      <w:r w:rsidDel="00000000" w:rsidR="00000000" w:rsidRPr="00000000">
        <w:rPr>
          <w:rtl w:val="0"/>
        </w:rPr>
      </w:r>
    </w:p>
    <w:p w:rsidR="00000000" w:rsidDel="00000000" w:rsidP="00000000" w:rsidRDefault="00000000" w:rsidRPr="00000000" w14:paraId="00000019">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paqqozyjidfc" w:id="8"/>
      <w:bookmarkEnd w:id="8"/>
      <w:r w:rsidDel="00000000" w:rsidR="00000000" w:rsidRPr="00000000">
        <w:rPr>
          <w:rFonts w:ascii="Times New Roman" w:cs="Times New Roman" w:eastAsia="Times New Roman" w:hAnsi="Times New Roman"/>
          <w:b w:val="1"/>
          <w:bCs w:val="1"/>
          <w:sz w:val="24"/>
          <w:szCs w:val="24"/>
          <w:rtl w:val="0"/>
        </w:rPr>
        <w:t xml:space="preserve">2. Data Exploration </w:t>
      </w:r>
    </w:p>
    <w:p w:rsidR="00000000" w:rsidDel="00000000" w:rsidP="00000000" w:rsidRDefault="00000000" w:rsidRPr="00000000" w14:paraId="0000001A">
      <w:pPr>
        <w:pStyle w:val="Heading1"/>
        <w:keepNext w:val="0"/>
        <w:keepLines w:val="0"/>
        <w:spacing w:before="480" w:line="480" w:lineRule="auto"/>
        <w:jc w:val="both"/>
        <w:rPr>
          <w:rFonts w:ascii="Times New Roman" w:cs="Times New Roman" w:eastAsia="Times New Roman" w:hAnsi="Times New Roman"/>
          <w:b w:val="1"/>
          <w:bCs w:val="1"/>
          <w:color w:val="000000"/>
          <w:sz w:val="26"/>
          <w:szCs w:val="26"/>
        </w:rPr>
      </w:pPr>
      <w:bookmarkStart w:colFirst="0" w:colLast="0" w:name="_2rh8xgdt5i0w" w:id="9"/>
      <w:bookmarkEnd w:id="9"/>
      <w:r w:rsidDel="00000000" w:rsidR="00000000" w:rsidRPr="00000000">
        <w:rPr>
          <w:rFonts w:ascii="Times New Roman" w:cs="Times New Roman" w:eastAsia="Times New Roman" w:hAnsi="Times New Roman"/>
          <w:sz w:val="24"/>
          <w:szCs w:val="24"/>
          <w:rtl w:val="0"/>
        </w:rPr>
        <w:t xml:space="preserve">The dataset consists of 569 observations and 30 numeric predictor variables. Features are grouped into three categories: mean measurements, standard error measurements, and worst-case measurements of cell nucleo characteristics such as radius, perimeter, area, smoothness, concavity, and symmetry. Exploratory data analysis revealed that many geometric features (e.g., area, perimeter, concavity) exhibit positive skewness. This is expected in biomedical measurement data, where tumor sizes and irregularities naturally vary across a wide range. Although some variables show asymmetry, no extreme anomalies were detected. Significant scale differences were observed across predictors. Area-related features operate on much larger numerical scales compared to smoothness and fractal dimension variables. This finding confirmed the necessity of feature standardization for scale-sensitive models.</w:t>
      </w:r>
      <w:r w:rsidDel="00000000" w:rsidR="00000000" w:rsidRPr="00000000">
        <w:rPr>
          <w:rtl w:val="0"/>
        </w:rPr>
      </w:r>
    </w:p>
    <w:p w:rsidR="00000000" w:rsidDel="00000000" w:rsidP="00000000" w:rsidRDefault="00000000" w:rsidRPr="00000000" w14:paraId="0000001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exhibits moderate class imbalance, with benign tumors slightly outnumbering malignant cases. While not extreme, this imbalance reinforces the importance of prioritizing recall for malignant tumors to reduce false negatives.</w:t>
      </w:r>
    </w:p>
    <w:p w:rsidR="00000000" w:rsidDel="00000000" w:rsidP="00000000" w:rsidRDefault="00000000" w:rsidRPr="00000000" w14:paraId="0000001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revealed strong multicollinearity among geometric variables such as radius, perimeter, and area. Variance Inflation Factor (VIF) values were extremely high for many predictors, confirming structural redundancy. Principal Component Analysis (PCA) further showed that only 7 components explain 90% of the variance and 10 components explain 95%, indicating substantial dimensional redundancy.</w:t>
      </w:r>
    </w:p>
    <w:p w:rsidR="00000000" w:rsidDel="00000000" w:rsidP="00000000" w:rsidRDefault="00000000" w:rsidRPr="00000000" w14:paraId="0000001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dimensionality reduction was not immediately applied, as interpretability remains important in medical applications.</w:t>
      </w:r>
    </w:p>
    <w:p w:rsidR="00000000" w:rsidDel="00000000" w:rsidP="00000000" w:rsidRDefault="00000000" w:rsidRPr="00000000" w14:paraId="0000001E">
      <w:pPr>
        <w:keepNext w:val="0"/>
        <w:keepLines w:val="0"/>
        <w:spacing w:after="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Preprocessing Strategy</w:t>
      </w:r>
    </w:p>
    <w:p w:rsidR="00000000" w:rsidDel="00000000" w:rsidP="00000000" w:rsidRDefault="00000000" w:rsidRPr="00000000" w14:paraId="0000001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exploratory findings, a structured preprocessing strategy was implemented. Feature scaling was applied using StandardScaler for models sensitive to feature magnitude, particularly Logistic Regression and PCA, due to substantial differences in variable scales. To address moderate class imbalance and prioritize malignant detection, class weighting was incorporated where appropriate, especially in Logistic Regression and Decision Tree models. Although PCA revealed significant redundancy in the feature space, models were initially trained using the full set of predictors to preserve interpretability, with dimensionality reduction evaluated experimentally to assess trade-offs between stability and transparency.</w:t>
      </w:r>
      <w:r w:rsidDel="00000000" w:rsidR="00000000" w:rsidRPr="00000000">
        <w:rPr>
          <w:rtl w:val="0"/>
        </w:rPr>
      </w:r>
    </w:p>
    <w:p w:rsidR="00000000" w:rsidDel="00000000" w:rsidP="00000000" w:rsidRDefault="00000000" w:rsidRPr="00000000" w14:paraId="00000020">
      <w:pPr>
        <w:keepNext w:val="0"/>
        <w:keepLines w:val="0"/>
        <w:spacing w:after="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Modeling Approach</w:t>
      </w:r>
    </w:p>
    <w:p w:rsidR="00000000" w:rsidDel="00000000" w:rsidP="00000000" w:rsidRDefault="00000000" w:rsidRPr="00000000" w14:paraId="0000002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classification models were trained and evaluated: Logistic Regression, Decision Tree, Random Forest, and XGBoost. For each model, hyperparameters were tuned using </w:t>
      </w:r>
      <w:r w:rsidDel="00000000" w:rsidR="00000000" w:rsidRPr="00000000">
        <w:rPr>
          <w:rFonts w:ascii="Times New Roman" w:cs="Times New Roman" w:eastAsia="Times New Roman" w:hAnsi="Times New Roman"/>
          <w:b w:val="1"/>
          <w:bCs w:val="1"/>
          <w:sz w:val="24"/>
          <w:szCs w:val="24"/>
          <w:rtl w:val="0"/>
        </w:rPr>
        <w:t xml:space="preserve">GridSearchCV with 5-fold cross-validation</w:t>
      </w:r>
      <w:r w:rsidDel="00000000" w:rsidR="00000000" w:rsidRPr="00000000">
        <w:rPr>
          <w:rFonts w:ascii="Times New Roman" w:cs="Times New Roman" w:eastAsia="Times New Roman" w:hAnsi="Times New Roman"/>
          <w:sz w:val="24"/>
          <w:szCs w:val="24"/>
          <w:rtl w:val="0"/>
        </w:rPr>
        <w:t xml:space="preserve">. Model selection was based primarily on </w:t>
      </w:r>
      <w:r w:rsidDel="00000000" w:rsidR="00000000" w:rsidRPr="00000000">
        <w:rPr>
          <w:rFonts w:ascii="Times New Roman" w:cs="Times New Roman" w:eastAsia="Times New Roman" w:hAnsi="Times New Roman"/>
          <w:b w:val="1"/>
          <w:bCs w:val="1"/>
          <w:sz w:val="24"/>
          <w:szCs w:val="24"/>
          <w:rtl w:val="0"/>
        </w:rPr>
        <w:t xml:space="preserve">recall for the malignant class</w:t>
      </w:r>
      <w:r w:rsidDel="00000000" w:rsidR="00000000" w:rsidRPr="00000000">
        <w:rPr>
          <w:rFonts w:ascii="Times New Roman" w:cs="Times New Roman" w:eastAsia="Times New Roman" w:hAnsi="Times New Roman"/>
          <w:sz w:val="24"/>
          <w:szCs w:val="24"/>
          <w:rtl w:val="0"/>
        </w:rPr>
        <w:t xml:space="preserve">, given the clinical objective of minimizing false negatives. This ensured that hyperparameter optimization aligned with the medical priority of detecting malignant tumors.</w:t>
      </w:r>
    </w:p>
    <w:p w:rsidR="00000000" w:rsidDel="00000000" w:rsidP="00000000" w:rsidRDefault="00000000" w:rsidRPr="00000000" w14:paraId="0000002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summarizes the final performance of each model evaluated on the test set under the default decision threshold (0.5).</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both"/>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both"/>
              <w:rPr>
                <w:sz w:val="20"/>
                <w:szCs w:val="20"/>
              </w:rPr>
            </w:pPr>
            <w:r w:rsidDel="00000000" w:rsidR="00000000" w:rsidRPr="00000000">
              <w:rPr>
                <w:b w:val="1"/>
                <w:bCs w:val="1"/>
                <w:sz w:val="20"/>
                <w:szCs w:val="20"/>
                <w:rtl w:val="0"/>
              </w:rPr>
              <w:t xml:space="preserve">Accuracy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both"/>
              <w:rPr>
                <w:sz w:val="20"/>
                <w:szCs w:val="20"/>
              </w:rPr>
            </w:pPr>
            <w:r w:rsidDel="00000000" w:rsidR="00000000" w:rsidRPr="00000000">
              <w:rPr>
                <w:b w:val="1"/>
                <w:bCs w:val="1"/>
                <w:sz w:val="20"/>
                <w:szCs w:val="20"/>
                <w:rtl w:val="0"/>
              </w:rPr>
              <w:t xml:space="preserve">Precision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both"/>
              <w:rPr>
                <w:sz w:val="20"/>
                <w:szCs w:val="20"/>
              </w:rPr>
            </w:pPr>
            <w:r w:rsidDel="00000000" w:rsidR="00000000" w:rsidRPr="00000000">
              <w:rPr>
                <w:b w:val="1"/>
                <w:bCs w:val="1"/>
                <w:sz w:val="20"/>
                <w:szCs w:val="20"/>
                <w:rtl w:val="0"/>
              </w:rPr>
              <w:t xml:space="preserve">Recall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both"/>
              <w:rPr>
                <w:sz w:val="20"/>
                <w:szCs w:val="20"/>
              </w:rPr>
            </w:pPr>
            <w:r w:rsidDel="00000000" w:rsidR="00000000" w:rsidRPr="00000000">
              <w:rPr>
                <w:b w:val="1"/>
                <w:bCs w:val="1"/>
                <w:sz w:val="20"/>
                <w:szCs w:val="20"/>
                <w:rtl w:val="0"/>
              </w:rPr>
              <w:t xml:space="preserve">F1-score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both"/>
              <w:rPr>
                <w:sz w:val="20"/>
                <w:szCs w:val="20"/>
              </w:rPr>
            </w:pPr>
            <w:r w:rsidDel="00000000" w:rsidR="00000000" w:rsidRPr="00000000">
              <w:rPr>
                <w:b w:val="1"/>
                <w:bCs w:val="1"/>
                <w:sz w:val="20"/>
                <w:szCs w:val="20"/>
                <w:rtl w:val="0"/>
              </w:rPr>
              <w:t xml:space="preserve">ROC-AUC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both"/>
              <w:rPr>
                <w:sz w:val="20"/>
                <w:szCs w:val="20"/>
              </w:rPr>
            </w:pPr>
            <w:r w:rsidDel="00000000" w:rsidR="00000000" w:rsidRPr="00000000">
              <w:rPr>
                <w:b w:val="1"/>
                <w:bCs w:val="1"/>
                <w:sz w:val="20"/>
                <w:szCs w:val="20"/>
                <w:rtl w:val="0"/>
              </w:rPr>
              <w:t xml:space="preserve">False Negatives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both"/>
              <w:rPr>
                <w:b w:val="1"/>
                <w:bCs w:val="1"/>
                <w:sz w:val="20"/>
                <w:szCs w:val="20"/>
              </w:rPr>
            </w:pPr>
            <w:r w:rsidDel="00000000" w:rsidR="00000000" w:rsidRPr="00000000">
              <w:rPr>
                <w:b w:val="1"/>
                <w:bCs w:val="1"/>
                <w:sz w:val="20"/>
                <w:szCs w:val="20"/>
                <w:rtl w:val="0"/>
              </w:rPr>
              <w:t xml:space="preserve">Logistic Regression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both"/>
              <w:rPr>
                <w:b w:val="1"/>
                <w:bCs w:val="1"/>
                <w:sz w:val="20"/>
                <w:szCs w:val="20"/>
              </w:rPr>
            </w:pPr>
            <w:r w:rsidDel="00000000" w:rsidR="00000000" w:rsidRPr="00000000">
              <w:rPr>
                <w:b w:val="1"/>
                <w:bCs w:val="1"/>
                <w:sz w:val="20"/>
                <w:szCs w:val="20"/>
                <w:rtl w:val="0"/>
              </w:rPr>
              <w:t xml:space="preserve">0.974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both"/>
              <w:rPr>
                <w:sz w:val="20"/>
                <w:szCs w:val="20"/>
              </w:rPr>
            </w:pPr>
            <w:r w:rsidDel="00000000" w:rsidR="00000000" w:rsidRPr="00000000">
              <w:rPr>
                <w:sz w:val="20"/>
                <w:szCs w:val="20"/>
                <w:rtl w:val="0"/>
              </w:rPr>
              <w:t xml:space="preserve">0.976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both"/>
              <w:rPr>
                <w:b w:val="1"/>
                <w:bCs w:val="1"/>
                <w:sz w:val="20"/>
                <w:szCs w:val="20"/>
              </w:rPr>
            </w:pPr>
            <w:r w:rsidDel="00000000" w:rsidR="00000000" w:rsidRPr="00000000">
              <w:rPr>
                <w:b w:val="1"/>
                <w:bCs w:val="1"/>
                <w:sz w:val="20"/>
                <w:szCs w:val="20"/>
                <w:rtl w:val="0"/>
              </w:rPr>
              <w:t xml:space="preserve">0.952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both"/>
              <w:rPr>
                <w:b w:val="1"/>
                <w:bCs w:val="1"/>
                <w:sz w:val="20"/>
                <w:szCs w:val="20"/>
              </w:rPr>
            </w:pPr>
            <w:r w:rsidDel="00000000" w:rsidR="00000000" w:rsidRPr="00000000">
              <w:rPr>
                <w:b w:val="1"/>
                <w:bCs w:val="1"/>
                <w:sz w:val="20"/>
                <w:szCs w:val="20"/>
                <w:rtl w:val="0"/>
              </w:rPr>
              <w:t xml:space="preserve">0.964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both"/>
              <w:rPr>
                <w:b w:val="1"/>
                <w:bCs w:val="1"/>
                <w:sz w:val="20"/>
                <w:szCs w:val="20"/>
              </w:rPr>
            </w:pPr>
            <w:r w:rsidDel="00000000" w:rsidR="00000000" w:rsidRPr="00000000">
              <w:rPr>
                <w:b w:val="1"/>
                <w:bCs w:val="1"/>
                <w:sz w:val="20"/>
                <w:szCs w:val="20"/>
                <w:rtl w:val="0"/>
              </w:rPr>
              <w:t xml:space="preserve">0.995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both"/>
              <w:rPr>
                <w:b w:val="1"/>
                <w:bCs w:val="1"/>
                <w:sz w:val="20"/>
                <w:szCs w:val="20"/>
              </w:rPr>
            </w:pPr>
            <w:r w:rsidDel="00000000" w:rsidR="00000000" w:rsidRPr="00000000">
              <w:rPr>
                <w:b w:val="1"/>
                <w:bCs w:val="1"/>
                <w:sz w:val="20"/>
                <w:szCs w:val="20"/>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both"/>
              <w:rPr>
                <w:sz w:val="20"/>
                <w:szCs w:val="20"/>
              </w:rPr>
            </w:pPr>
            <w:r w:rsidDel="00000000" w:rsidR="00000000" w:rsidRPr="00000000">
              <w:rPr>
                <w:sz w:val="20"/>
                <w:szCs w:val="20"/>
                <w:rtl w:val="0"/>
              </w:rPr>
              <w:t xml:space="preserve">Decision Tree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both"/>
              <w:rPr>
                <w:sz w:val="20"/>
                <w:szCs w:val="20"/>
              </w:rPr>
            </w:pPr>
            <w:r w:rsidDel="00000000" w:rsidR="00000000" w:rsidRPr="00000000">
              <w:rPr>
                <w:sz w:val="20"/>
                <w:szCs w:val="20"/>
                <w:rtl w:val="0"/>
              </w:rPr>
              <w:t xml:space="preserve">0.904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both"/>
              <w:rPr>
                <w:sz w:val="20"/>
                <w:szCs w:val="20"/>
              </w:rPr>
            </w:pPr>
            <w:r w:rsidDel="00000000" w:rsidR="00000000" w:rsidRPr="00000000">
              <w:rPr>
                <w:sz w:val="20"/>
                <w:szCs w:val="20"/>
                <w:rtl w:val="0"/>
              </w:rPr>
              <w:t xml:space="preserve">0.897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both"/>
              <w:rPr>
                <w:sz w:val="20"/>
                <w:szCs w:val="20"/>
              </w:rPr>
            </w:pPr>
            <w:r w:rsidDel="00000000" w:rsidR="00000000" w:rsidRPr="00000000">
              <w:rPr>
                <w:sz w:val="20"/>
                <w:szCs w:val="20"/>
                <w:rtl w:val="0"/>
              </w:rPr>
              <w:t xml:space="preserve">0.833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both"/>
              <w:rPr>
                <w:sz w:val="20"/>
                <w:szCs w:val="20"/>
              </w:rPr>
            </w:pPr>
            <w:r w:rsidDel="00000000" w:rsidR="00000000" w:rsidRPr="00000000">
              <w:rPr>
                <w:sz w:val="20"/>
                <w:szCs w:val="20"/>
                <w:rtl w:val="0"/>
              </w:rPr>
              <w:t xml:space="preserve">0.864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both"/>
              <w:rPr>
                <w:sz w:val="20"/>
                <w:szCs w:val="20"/>
              </w:rPr>
            </w:pPr>
            <w:r w:rsidDel="00000000" w:rsidR="00000000" w:rsidRPr="00000000">
              <w:rPr>
                <w:sz w:val="20"/>
                <w:szCs w:val="20"/>
                <w:rtl w:val="0"/>
              </w:rPr>
              <w:t xml:space="preserve">0.908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both"/>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both"/>
              <w:rPr>
                <w:sz w:val="20"/>
                <w:szCs w:val="20"/>
              </w:rPr>
            </w:pPr>
            <w:r w:rsidDel="00000000" w:rsidR="00000000" w:rsidRPr="00000000">
              <w:rPr>
                <w:sz w:val="20"/>
                <w:szCs w:val="20"/>
                <w:rtl w:val="0"/>
              </w:rPr>
              <w:t xml:space="preserve">Random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both"/>
              <w:rPr>
                <w:sz w:val="20"/>
                <w:szCs w:val="20"/>
              </w:rPr>
            </w:pPr>
            <w:r w:rsidDel="00000000" w:rsidR="00000000" w:rsidRPr="00000000">
              <w:rPr>
                <w:sz w:val="20"/>
                <w:szCs w:val="20"/>
                <w:rtl w:val="0"/>
              </w:rPr>
              <w:t xml:space="preserve">0.974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both"/>
              <w:rPr>
                <w:b w:val="1"/>
                <w:bCs w:val="1"/>
                <w:sz w:val="20"/>
                <w:szCs w:val="20"/>
              </w:rPr>
            </w:pPr>
            <w:r w:rsidDel="00000000" w:rsidR="00000000" w:rsidRPr="00000000">
              <w:rPr>
                <w:b w:val="1"/>
                <w:bCs w:val="1"/>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both"/>
              <w:rPr>
                <w:sz w:val="20"/>
                <w:szCs w:val="20"/>
              </w:rPr>
            </w:pPr>
            <w:r w:rsidDel="00000000" w:rsidR="00000000" w:rsidRPr="00000000">
              <w:rPr>
                <w:sz w:val="20"/>
                <w:szCs w:val="20"/>
                <w:rtl w:val="0"/>
              </w:rPr>
              <w:t xml:space="preserve">0.929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both"/>
              <w:rPr>
                <w:sz w:val="20"/>
                <w:szCs w:val="20"/>
              </w:rPr>
            </w:pPr>
            <w:r w:rsidDel="00000000" w:rsidR="00000000" w:rsidRPr="00000000">
              <w:rPr>
                <w:sz w:val="20"/>
                <w:szCs w:val="20"/>
                <w:rtl w:val="0"/>
              </w:rPr>
              <w:t xml:space="preserve">0.963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both"/>
              <w:rPr>
                <w:sz w:val="20"/>
                <w:szCs w:val="20"/>
              </w:rPr>
            </w:pPr>
            <w:r w:rsidDel="00000000" w:rsidR="00000000" w:rsidRPr="00000000">
              <w:rPr>
                <w:sz w:val="20"/>
                <w:szCs w:val="20"/>
                <w:rtl w:val="0"/>
              </w:rPr>
              <w:t xml:space="preserve">0.993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both"/>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both"/>
              <w:rPr>
                <w:sz w:val="20"/>
                <w:szCs w:val="20"/>
              </w:rPr>
            </w:pPr>
            <w:r w:rsidDel="00000000" w:rsidR="00000000" w:rsidRPr="00000000">
              <w:rPr>
                <w:sz w:val="20"/>
                <w:szCs w:val="20"/>
                <w:rtl w:val="0"/>
              </w:rPr>
              <w:t xml:space="preserve">XGBoost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both"/>
              <w:rPr>
                <w:sz w:val="20"/>
                <w:szCs w:val="20"/>
              </w:rPr>
            </w:pPr>
            <w:r w:rsidDel="00000000" w:rsidR="00000000" w:rsidRPr="00000000">
              <w:rPr>
                <w:sz w:val="20"/>
                <w:szCs w:val="20"/>
                <w:rtl w:val="0"/>
              </w:rPr>
              <w:t xml:space="preserve">0.974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both"/>
              <w:rPr>
                <w:b w:val="1"/>
                <w:bCs w:val="1"/>
                <w:sz w:val="20"/>
                <w:szCs w:val="20"/>
              </w:rPr>
            </w:pPr>
            <w:r w:rsidDel="00000000" w:rsidR="00000000" w:rsidRPr="00000000">
              <w:rPr>
                <w:b w:val="1"/>
                <w:bCs w:val="1"/>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both"/>
              <w:rPr>
                <w:sz w:val="20"/>
                <w:szCs w:val="20"/>
              </w:rPr>
            </w:pPr>
            <w:r w:rsidDel="00000000" w:rsidR="00000000" w:rsidRPr="00000000">
              <w:rPr>
                <w:sz w:val="20"/>
                <w:szCs w:val="20"/>
                <w:rtl w:val="0"/>
              </w:rPr>
              <w:t xml:space="preserve">0.929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both"/>
              <w:rPr>
                <w:sz w:val="20"/>
                <w:szCs w:val="20"/>
              </w:rPr>
            </w:pPr>
            <w:r w:rsidDel="00000000" w:rsidR="00000000" w:rsidRPr="00000000">
              <w:rPr>
                <w:sz w:val="20"/>
                <w:szCs w:val="20"/>
                <w:rtl w:val="0"/>
              </w:rPr>
              <w:t xml:space="preserve">0.963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both"/>
              <w:rPr>
                <w:sz w:val="20"/>
                <w:szCs w:val="20"/>
              </w:rPr>
            </w:pPr>
            <w:r w:rsidDel="00000000" w:rsidR="00000000" w:rsidRPr="00000000">
              <w:rPr>
                <w:sz w:val="20"/>
                <w:szCs w:val="20"/>
                <w:rtl w:val="0"/>
              </w:rPr>
              <w:t xml:space="preserve">0.993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both"/>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046">
      <w:pPr>
        <w:keepNext w:val="0"/>
        <w:keepLines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ensemble methods demonstrated strong performance, Logistic Regression achieved the highest recall, the highest ROC-AUC, and the lowest number of false negatives</w:t>
      </w:r>
    </w:p>
    <w:p w:rsidR="00000000" w:rsidDel="00000000" w:rsidP="00000000" w:rsidRDefault="00000000" w:rsidRPr="00000000" w14:paraId="00000047">
      <w:pPr>
        <w:keepNext w:val="0"/>
        <w:keepLines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minimizing missed malignant tumors is the primary clinical objective, Logistic Regression emerged as the best-performing model under the default threshold.</w:t>
      </w:r>
    </w:p>
    <w:p w:rsidR="00000000" w:rsidDel="00000000" w:rsidP="00000000" w:rsidRDefault="00000000" w:rsidRPr="00000000" w14:paraId="00000048">
      <w:pPr>
        <w:keepNext w:val="0"/>
        <w:keepLines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superior performance of a linear model suggests that the dataset is largely linearly separable. The additional complexity introduced by ensemble methods did not translate into meaningful gains in malignant detection.</w:t>
      </w:r>
    </w:p>
    <w:p w:rsidR="00000000" w:rsidDel="00000000" w:rsidP="00000000" w:rsidRDefault="00000000" w:rsidRPr="00000000" w14:paraId="00000049">
      <w:pPr>
        <w:keepNext w:val="0"/>
        <w:keepLines w:val="0"/>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Therefore, under both predictive and interpretability considerations, Logistic Regression was selected as the preferred model prior to threshold optimization.</w:t>
      </w:r>
      <w:r w:rsidDel="00000000" w:rsidR="00000000" w:rsidRPr="00000000">
        <w:rPr>
          <w:rtl w:val="0"/>
        </w:rPr>
      </w:r>
    </w:p>
    <w:p w:rsidR="00000000" w:rsidDel="00000000" w:rsidP="00000000" w:rsidRDefault="00000000" w:rsidRPr="00000000" w14:paraId="0000004A">
      <w:pPr>
        <w:keepNext w:val="0"/>
        <w:keepLines w:val="0"/>
        <w:spacing w:after="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Evaluation and Threshold Optimization</w:t>
      </w:r>
    </w:p>
    <w:p w:rsidR="00000000" w:rsidDel="00000000" w:rsidP="00000000" w:rsidRDefault="00000000" w:rsidRPr="00000000" w14:paraId="0000004B">
      <w:pPr>
        <w:pStyle w:val="Heading2"/>
        <w:keepNext w:val="0"/>
        <w:keepLines w:val="0"/>
        <w:spacing w:after="80" w:line="480" w:lineRule="auto"/>
        <w:jc w:val="both"/>
        <w:rPr>
          <w:rFonts w:ascii="Times New Roman" w:cs="Times New Roman" w:eastAsia="Times New Roman" w:hAnsi="Times New Roman"/>
          <w:sz w:val="24"/>
          <w:szCs w:val="24"/>
        </w:rPr>
      </w:pPr>
      <w:bookmarkStart w:colFirst="0" w:colLast="0" w:name="_1c8vmhxgt7wd" w:id="10"/>
      <w:bookmarkEnd w:id="10"/>
      <w:r w:rsidDel="00000000" w:rsidR="00000000" w:rsidRPr="00000000">
        <w:rPr>
          <w:rFonts w:ascii="Times New Roman" w:cs="Times New Roman" w:eastAsia="Times New Roman" w:hAnsi="Times New Roman"/>
          <w:sz w:val="24"/>
          <w:szCs w:val="24"/>
          <w:rtl w:val="0"/>
        </w:rPr>
        <w:t xml:space="preserve">Although Logistic Regression achieved the best performance at the default threshold of 0.5, two malignant tumors were misclassified as benign. Given the clinical priority of minimizing false negatives, a threshold analysis was conducted by evaluating recall and precision across multiple probability cutoffs. Lowering the threshold to 0.1 increased recall to 1.0 and eliminated all false negatives, but reduced precision to 0.824 due to an increase in false positives.</w:t>
      </w:r>
    </w:p>
    <w:p w:rsidR="00000000" w:rsidDel="00000000" w:rsidP="00000000" w:rsidRDefault="00000000" w:rsidRPr="00000000" w14:paraId="0000004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trade-off reflects the fundamental balance between sensitivity and precision. In a medical context, especially in oncology screening, eliminating false negatives is often prioritized because missed malignancies can significantly affect patient outcomes. False positives, while undesirable, can typically be resolved through additional diagnostic testing. This analysis demonstrates that model utility depends not only on algorithm selection but also on decision threshold policy aligned with domain-specific risk tolerance.</w:t>
      </w:r>
    </w:p>
    <w:p w:rsidR="00000000" w:rsidDel="00000000" w:rsidP="00000000" w:rsidRDefault="00000000" w:rsidRPr="00000000" w14:paraId="0000004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Misclassification analysis revealed that malignant cases incorrectly classified at the default threshold were located in overlapping regions of the feature space, particularly in variables such as smoothness and symmetry. These tumors exhibited characteristics closer to benign distributions, making them inherently more ambiguous. The fact that lowering the threshold corrected these cases suggests that the model assigned moderately elevated probabilities that were simply below the 0.5 cutoff. Therefore, errors were not random but occurred near the class boundary.</w:t>
      </w:r>
    </w:p>
    <w:p w:rsidR="00000000" w:rsidDel="00000000" w:rsidP="00000000" w:rsidRDefault="00000000" w:rsidRPr="00000000" w14:paraId="0000004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evaluated models, Logistic Regression achieved the highest recall and ROC-AUC. Although Random Forest and XGBoost achieved perfect precision at the default threshold, they did not reduce false negatives relative to Logistic Regression. This outcome suggests that the dataset is largely linearly separable, limiting the benefit of more complex ensemble methods. When linear separability is strong, increased algorithmic complexity does not necessarily improve discrimination performance.</w:t>
      </w:r>
    </w:p>
    <w:p w:rsidR="00000000" w:rsidDel="00000000" w:rsidP="00000000" w:rsidRDefault="00000000" w:rsidRPr="00000000" w14:paraId="0000004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Interpretability versus Predictive Power</w:t>
      </w:r>
    </w:p>
    <w:p w:rsidR="00000000" w:rsidDel="00000000" w:rsidP="00000000" w:rsidRDefault="00000000" w:rsidRPr="00000000" w14:paraId="0000005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clinical standpoint, interpretability is critical. Logistic Regression provides transparent coefficient estimates, stable probabilistic outputs, and simpler deployment. Given that ensemble methods offered minimal improvement in malignant detection while reducing interpretability, Logistic Regression represents the optimal balance between predictive performance and clinical transparency.</w:t>
      </w:r>
    </w:p>
    <w:p w:rsidR="00000000" w:rsidDel="00000000" w:rsidP="00000000" w:rsidRDefault="00000000" w:rsidRPr="00000000" w14:paraId="0000005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Limitations and Future Improvements</w:t>
      </w:r>
    </w:p>
    <w:p w:rsidR="00000000" w:rsidDel="00000000" w:rsidP="00000000" w:rsidRDefault="00000000" w:rsidRPr="00000000" w14:paraId="0000005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limitations should be acknowledged. The dataset is relatively small, and no external validation dataset was used. Strong multicollinearity complicates the direct interpretation of coefficients, even with regularization. Additionally, threshold tuning was performed on the test set, which may introduce optimistic bias. Future work should include nested cross-validation, external validation on independent cohorts, probability calibration techniques, and cost-sensitive learning approaches that explicitly model the costs of clinical misclassification.</w:t>
      </w:r>
    </w:p>
    <w:p w:rsidR="00000000" w:rsidDel="00000000" w:rsidP="00000000" w:rsidRDefault="00000000" w:rsidRPr="00000000" w14:paraId="00000053">
      <w:pPr>
        <w:keepNext w:val="0"/>
        <w:keepLines w:val="0"/>
        <w:spacing w:after="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Conclusion</w:t>
      </w:r>
    </w:p>
    <w:p w:rsidR="00000000" w:rsidDel="00000000" w:rsidP="00000000" w:rsidRDefault="00000000" w:rsidRPr="00000000" w14:paraId="0000005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study demonstrates that effective medical predictive modeling requires careful preprocessing, appropriate metric prioritization, hyperparameter tuning, and threshold optimization. Regularized Logistic Regression achieved the strongest overall performance, and threshold adjustment enabled perfect recall when clinically required. Model selection in healthcare must therefore balance statistical accuracy, interpretability, and the real-world consequences of diagnostic error.</w:t>
      </w:r>
    </w:p>
    <w:p w:rsidR="00000000" w:rsidDel="00000000" w:rsidP="00000000" w:rsidRDefault="00000000" w:rsidRPr="00000000" w14:paraId="0000005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of Artificial Intelligence Tools</w:t>
      </w:r>
    </w:p>
    <w:p w:rsidR="00000000" w:rsidDel="00000000" w:rsidP="00000000" w:rsidRDefault="00000000" w:rsidRPr="00000000" w14:paraId="00000056">
      <w:pPr>
        <w:keepNext w:val="0"/>
        <w:keepLines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tools were used solely for productivity and language refinement. All preprocessing, modeling, hyperparameter tuning, and evaluation procedures were independently designed and implemented by the author, with GitHub Copilot assisting only in code autocompletion and ChatGPT used to improve clarity and academic fluency. AI tools did not replace conceptual reasoning, analytical design, or interpretative judgment.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