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78B2" w:rsidRDefault="00791406">
      <w:pPr>
        <w:jc w:val="center"/>
        <w:rPr>
          <w:rFonts w:ascii="Palatino Linotype" w:hAnsi="Palatino Linotype"/>
          <w:b/>
          <w:sz w:val="22"/>
          <w:szCs w:val="22"/>
        </w:rPr>
      </w:pPr>
      <w:r>
        <w:rPr>
          <w:rFonts w:ascii="Palatino Linotype" w:hAnsi="Palatino Linotype"/>
          <w:b/>
          <w:smallCaps/>
          <w:sz w:val="22"/>
          <w:szCs w:val="22"/>
        </w:rPr>
        <w:t>Instrumento Particular de Escritura de Emissão Pública de</w:t>
      </w:r>
      <w:r>
        <w:rPr>
          <w:rFonts w:ascii="Palatino Linotype" w:hAnsi="Palatino Linotype"/>
          <w:b/>
          <w:smallCaps/>
          <w:sz w:val="22"/>
          <w:szCs w:val="22"/>
        </w:rPr>
        <w:br/>
        <w:t>Debêntures Simples, Não Conversíveis em Ações, da</w:t>
      </w:r>
      <w:r>
        <w:rPr>
          <w:rFonts w:ascii="Palatino Linotype" w:hAnsi="Palatino Linotype"/>
          <w:b/>
          <w:smallCaps/>
          <w:sz w:val="22"/>
          <w:szCs w:val="22"/>
        </w:rPr>
        <w:br/>
        <w:t xml:space="preserve">Espécie Quirografária, da segunda Emissão da </w:t>
      </w:r>
      <w:r>
        <w:rPr>
          <w:rFonts w:ascii="Palatino Linotype" w:hAnsi="Palatino Linotype"/>
          <w:b/>
          <w:smallCaps/>
          <w:sz w:val="22"/>
          <w:szCs w:val="22"/>
        </w:rPr>
        <w:br/>
        <w:t>Cosan S.A.</w:t>
      </w:r>
    </w:p>
    <w:p w:rsidR="00DE78B2" w:rsidRDefault="00DE78B2">
      <w:pPr>
        <w:rPr>
          <w:rFonts w:ascii="Palatino Linotype" w:hAnsi="Palatino Linotype"/>
          <w:sz w:val="22"/>
          <w:szCs w:val="22"/>
        </w:rPr>
      </w:pPr>
    </w:p>
    <w:p w:rsidR="00DE78B2" w:rsidRDefault="00791406">
      <w:pPr>
        <w:rPr>
          <w:rFonts w:ascii="Palatino Linotype" w:hAnsi="Palatino Linotype"/>
          <w:sz w:val="22"/>
          <w:szCs w:val="22"/>
        </w:rPr>
      </w:pPr>
      <w:r>
        <w:rPr>
          <w:rFonts w:ascii="Palatino Linotype" w:hAnsi="Palatino Linotype"/>
          <w:sz w:val="22"/>
          <w:szCs w:val="22"/>
        </w:rPr>
        <w:t>Celebram este "Instrumento Particular de Escritura de Emissão Pública de Debêntures Simples, Não Conversíveis em Ações, da Espécie Quirografária, da Segunda Emissão da Cosan S.A." ("</w:t>
      </w:r>
      <w:r>
        <w:rPr>
          <w:rFonts w:ascii="Palatino Linotype" w:hAnsi="Palatino Linotype"/>
          <w:sz w:val="22"/>
          <w:szCs w:val="22"/>
          <w:u w:val="single"/>
        </w:rPr>
        <w:t>Escritura de Emissão</w:t>
      </w:r>
      <w:r>
        <w:rPr>
          <w:rFonts w:ascii="Palatino Linotype" w:hAnsi="Palatino Linotype"/>
          <w:sz w:val="22"/>
          <w:szCs w:val="22"/>
        </w:rPr>
        <w:t>"):</w:t>
      </w:r>
    </w:p>
    <w:p w:rsidR="00DE78B2" w:rsidRDefault="00791406">
      <w:pPr>
        <w:keepNext/>
        <w:numPr>
          <w:ilvl w:val="0"/>
          <w:numId w:val="1"/>
        </w:numPr>
        <w:ind w:left="709" w:hanging="709"/>
        <w:rPr>
          <w:rFonts w:ascii="Palatino Linotype" w:hAnsi="Palatino Linotype"/>
          <w:sz w:val="22"/>
          <w:szCs w:val="22"/>
        </w:rPr>
      </w:pPr>
      <w:r>
        <w:rPr>
          <w:rFonts w:ascii="Palatino Linotype" w:hAnsi="Palatino Linotype"/>
          <w:sz w:val="22"/>
          <w:szCs w:val="22"/>
        </w:rPr>
        <w:t>como emissora e ofertante das debêntures objeto desta Escritura de Emissão:</w:t>
      </w:r>
    </w:p>
    <w:p w:rsidR="00DE78B2" w:rsidRDefault="00791406">
      <w:pPr>
        <w:keepLines/>
        <w:ind w:left="709"/>
        <w:rPr>
          <w:rFonts w:ascii="Palatino Linotype" w:hAnsi="Palatino Linotype"/>
          <w:sz w:val="22"/>
          <w:szCs w:val="22"/>
        </w:rPr>
      </w:pPr>
      <w:r>
        <w:rPr>
          <w:rFonts w:ascii="Palatino Linotype" w:hAnsi="Palatino Linotype"/>
          <w:smallCaps/>
          <w:sz w:val="22"/>
          <w:szCs w:val="22"/>
        </w:rPr>
        <w:t>Cosan S.A.</w:t>
      </w:r>
      <w:r>
        <w:rPr>
          <w:rFonts w:ascii="Palatino Linotype" w:hAnsi="Palatino Linotype"/>
          <w:sz w:val="22"/>
          <w:szCs w:val="22"/>
        </w:rPr>
        <w:t>, sociedade por ações com registro de emissor de valores mobiliários perante a Comissão de Valores Mobiliários ("</w:t>
      </w:r>
      <w:r>
        <w:rPr>
          <w:rFonts w:ascii="Palatino Linotype" w:hAnsi="Palatino Linotype"/>
          <w:sz w:val="22"/>
          <w:szCs w:val="22"/>
          <w:u w:val="single"/>
        </w:rPr>
        <w:t>CVM</w:t>
      </w:r>
      <w:r>
        <w:rPr>
          <w:rFonts w:ascii="Palatino Linotype" w:hAnsi="Palatino Linotype"/>
          <w:sz w:val="22"/>
          <w:szCs w:val="22"/>
        </w:rPr>
        <w:t>") sob o n.º 19836, com sede na Cidade de São Paulo, Estado de São Paulo, na Av. Brigadeiro Faria Lima, nº 4.100, 16º andar, sala 01, Itaim Bibi, CEP 04.538-132, inscrita no Cadastro Nacional da Pessoa Jurídica do Ministério da Fazenda ("</w:t>
      </w:r>
      <w:r>
        <w:rPr>
          <w:rFonts w:ascii="Palatino Linotype" w:hAnsi="Palatino Linotype"/>
          <w:sz w:val="22"/>
          <w:szCs w:val="22"/>
          <w:u w:val="single"/>
        </w:rPr>
        <w:t>CNPJ/MF</w:t>
      </w:r>
      <w:r>
        <w:rPr>
          <w:rFonts w:ascii="Palatino Linotype" w:hAnsi="Palatino Linotype"/>
          <w:sz w:val="22"/>
          <w:szCs w:val="22"/>
        </w:rPr>
        <w:t>") sob o n.º 50.746.577/0001-15, com seus atos constitutivos registrados perante a Junta Comercial do Estado de São Paulo ("</w:t>
      </w:r>
      <w:r>
        <w:rPr>
          <w:rFonts w:ascii="Palatino Linotype" w:hAnsi="Palatino Linotype"/>
          <w:sz w:val="22"/>
          <w:szCs w:val="22"/>
          <w:u w:val="single"/>
        </w:rPr>
        <w:t>JUCESP</w:t>
      </w:r>
      <w:r>
        <w:rPr>
          <w:rFonts w:ascii="Palatino Linotype" w:hAnsi="Palatino Linotype"/>
          <w:sz w:val="22"/>
          <w:szCs w:val="22"/>
        </w:rPr>
        <w:t>") sob o NIRE 35.300.177.045, neste ato representada nos termos de seu estatuto social ("</w:t>
      </w:r>
      <w:r>
        <w:rPr>
          <w:rFonts w:ascii="Palatino Linotype" w:hAnsi="Palatino Linotype"/>
          <w:sz w:val="22"/>
          <w:szCs w:val="22"/>
          <w:u w:val="single"/>
        </w:rPr>
        <w:t>Companhia</w:t>
      </w:r>
      <w:r>
        <w:rPr>
          <w:rFonts w:ascii="Palatino Linotype" w:hAnsi="Palatino Linotype"/>
          <w:sz w:val="22"/>
          <w:szCs w:val="22"/>
        </w:rPr>
        <w:t>" ou "</w:t>
      </w:r>
      <w:r>
        <w:rPr>
          <w:rFonts w:ascii="Palatino Linotype" w:hAnsi="Palatino Linotype"/>
          <w:sz w:val="22"/>
          <w:szCs w:val="22"/>
          <w:u w:val="single"/>
        </w:rPr>
        <w:t>Emissora</w:t>
      </w:r>
      <w:r>
        <w:rPr>
          <w:rFonts w:ascii="Palatino Linotype" w:hAnsi="Palatino Linotype"/>
          <w:sz w:val="22"/>
          <w:szCs w:val="22"/>
        </w:rPr>
        <w:t>"); e</w:t>
      </w:r>
    </w:p>
    <w:p w:rsidR="00DE78B2" w:rsidRDefault="00791406">
      <w:pPr>
        <w:keepNext/>
        <w:keepLines/>
        <w:numPr>
          <w:ilvl w:val="0"/>
          <w:numId w:val="1"/>
        </w:numPr>
        <w:ind w:left="709" w:hanging="709"/>
        <w:rPr>
          <w:rFonts w:ascii="Palatino Linotype" w:hAnsi="Palatino Linotype"/>
          <w:sz w:val="22"/>
          <w:szCs w:val="22"/>
        </w:rPr>
      </w:pPr>
      <w:r>
        <w:rPr>
          <w:rFonts w:ascii="Palatino Linotype" w:hAnsi="Palatino Linotype"/>
          <w:sz w:val="22"/>
          <w:szCs w:val="22"/>
        </w:rPr>
        <w:t>como agente fiduciário, nomeado nesta Escritura de Emissão, representando a comunhão dos titulares das Debêntures (conforme definido abaixo) ("</w:t>
      </w:r>
      <w:r>
        <w:rPr>
          <w:rFonts w:ascii="Palatino Linotype" w:hAnsi="Palatino Linotype"/>
          <w:sz w:val="22"/>
          <w:szCs w:val="22"/>
          <w:u w:val="single"/>
        </w:rPr>
        <w:t>Debenturistas</w:t>
      </w:r>
      <w:r>
        <w:rPr>
          <w:rFonts w:ascii="Palatino Linotype" w:hAnsi="Palatino Linotype"/>
          <w:sz w:val="22"/>
          <w:szCs w:val="22"/>
        </w:rPr>
        <w:t xml:space="preserve">"): </w:t>
      </w:r>
    </w:p>
    <w:p w:rsidR="00DE78B2" w:rsidRDefault="00791406">
      <w:pPr>
        <w:keepNext/>
        <w:keepLines/>
        <w:ind w:left="709"/>
        <w:rPr>
          <w:rFonts w:ascii="Palatino Linotype" w:hAnsi="Palatino Linotype"/>
          <w:sz w:val="22"/>
          <w:szCs w:val="22"/>
        </w:rPr>
      </w:pPr>
      <w:r>
        <w:rPr>
          <w:rFonts w:ascii="Palatino Linotype" w:hAnsi="Palatino Linotype"/>
          <w:smallCaps/>
          <w:sz w:val="22"/>
          <w:szCs w:val="22"/>
        </w:rPr>
        <w:t>Oliveira Trust Distribuidora de Títulos e Valores Mobiliários S.A.</w:t>
      </w:r>
      <w:r>
        <w:rPr>
          <w:rFonts w:ascii="Palatino Linotype" w:hAnsi="Palatino Linotype"/>
          <w:sz w:val="22"/>
          <w:szCs w:val="22"/>
        </w:rPr>
        <w:t>, instituição financeira, com domicílio na Cidade de São Paulo, Estado de São Paulo, na Rua Joaquim Floriano, nº 1.052, 13º andar, Itaim Bibi, CEP 04534-004, inscrita no CNPJ/MF sob o nº 36.113.876/0004-34, neste ato representada na forma de seu estatuto social ("</w:t>
      </w:r>
      <w:r>
        <w:rPr>
          <w:rFonts w:ascii="Palatino Linotype" w:hAnsi="Palatino Linotype"/>
          <w:sz w:val="22"/>
          <w:szCs w:val="22"/>
          <w:u w:val="single"/>
        </w:rPr>
        <w:t>Agente Fiduciário</w:t>
      </w:r>
      <w:r>
        <w:rPr>
          <w:rFonts w:ascii="Palatino Linotype" w:hAnsi="Palatino Linotype"/>
          <w:sz w:val="22"/>
          <w:szCs w:val="22"/>
        </w:rPr>
        <w:t xml:space="preserve">"); </w:t>
      </w:r>
    </w:p>
    <w:p w:rsidR="00DE78B2" w:rsidRDefault="00791406">
      <w:pPr>
        <w:rPr>
          <w:rFonts w:ascii="Palatino Linotype" w:hAnsi="Palatino Linotype"/>
          <w:sz w:val="22"/>
          <w:szCs w:val="22"/>
        </w:rPr>
      </w:pPr>
      <w:r>
        <w:rPr>
          <w:rFonts w:ascii="Palatino Linotype" w:hAnsi="Palatino Linotype"/>
          <w:sz w:val="22"/>
          <w:szCs w:val="22"/>
        </w:rPr>
        <w:t>que resolvem celebrar esta Escritura de Emissão, de acordo com os seguintes termos e condições:</w:t>
      </w:r>
    </w:p>
    <w:p w:rsidR="00DE78B2" w:rsidRDefault="00DE78B2">
      <w:pPr>
        <w:rPr>
          <w:rFonts w:ascii="Palatino Linotype" w:hAnsi="Palatino Linotype"/>
          <w:sz w:val="22"/>
          <w:szCs w:val="22"/>
        </w:rPr>
      </w:pPr>
    </w:p>
    <w:p w:rsidR="00DE78B2" w:rsidRDefault="00791406">
      <w:pPr>
        <w:keepNext/>
        <w:numPr>
          <w:ilvl w:val="0"/>
          <w:numId w:val="10"/>
        </w:numPr>
        <w:tabs>
          <w:tab w:val="clear" w:pos="709"/>
        </w:tabs>
        <w:rPr>
          <w:rFonts w:ascii="Palatino Linotype" w:hAnsi="Palatino Linotype"/>
          <w:smallCaps/>
          <w:sz w:val="22"/>
          <w:szCs w:val="22"/>
          <w:u w:val="single"/>
        </w:rPr>
      </w:pPr>
      <w:bookmarkStart w:id="0" w:name="h.gjdgxs" w:colFirst="0" w:colLast="0"/>
      <w:bookmarkEnd w:id="0"/>
      <w:r>
        <w:rPr>
          <w:rFonts w:ascii="Palatino Linotype" w:hAnsi="Palatino Linotype"/>
          <w:smallCaps/>
          <w:sz w:val="22"/>
          <w:szCs w:val="22"/>
          <w:u w:val="single"/>
        </w:rPr>
        <w:t>Autorização</w:t>
      </w:r>
    </w:p>
    <w:p w:rsidR="00DE78B2" w:rsidRDefault="00791406">
      <w:pPr>
        <w:numPr>
          <w:ilvl w:val="1"/>
          <w:numId w:val="10"/>
        </w:numPr>
        <w:tabs>
          <w:tab w:val="clear" w:pos="709"/>
        </w:tabs>
        <w:rPr>
          <w:rFonts w:ascii="Palatino Linotype" w:hAnsi="Palatino Linotype"/>
          <w:sz w:val="22"/>
          <w:szCs w:val="22"/>
        </w:rPr>
      </w:pPr>
      <w:bookmarkStart w:id="1" w:name="h.30j0zll" w:colFirst="0" w:colLast="0"/>
      <w:bookmarkEnd w:id="1"/>
      <w:r>
        <w:rPr>
          <w:rFonts w:ascii="Palatino Linotype" w:hAnsi="Palatino Linotype"/>
          <w:sz w:val="22"/>
          <w:szCs w:val="22"/>
        </w:rPr>
        <w:t>A emissão das Debêntures (conforme definido abaixo), nos termos da Lei n.º 6.404, de 15 de dezembro de 1976, conforme alterada ("</w:t>
      </w:r>
      <w:r>
        <w:rPr>
          <w:rFonts w:ascii="Palatino Linotype" w:hAnsi="Palatino Linotype"/>
          <w:sz w:val="22"/>
          <w:szCs w:val="22"/>
          <w:u w:val="single"/>
        </w:rPr>
        <w:t>Lei das Sociedades por Ações</w:t>
      </w:r>
      <w:r>
        <w:rPr>
          <w:rFonts w:ascii="Palatino Linotype" w:hAnsi="Palatino Linotype"/>
          <w:sz w:val="22"/>
          <w:szCs w:val="22"/>
        </w:rPr>
        <w:t>") ("</w:t>
      </w:r>
      <w:r>
        <w:rPr>
          <w:rFonts w:ascii="Palatino Linotype" w:hAnsi="Palatino Linotype"/>
          <w:sz w:val="22"/>
          <w:szCs w:val="22"/>
          <w:u w:val="single"/>
        </w:rPr>
        <w:t>Emissão</w:t>
      </w:r>
      <w:r>
        <w:rPr>
          <w:rFonts w:ascii="Palatino Linotype" w:hAnsi="Palatino Linotype"/>
          <w:sz w:val="22"/>
          <w:szCs w:val="22"/>
        </w:rPr>
        <w:t>"), a oferta pública de distribuição, com esforços restritos de distribuição das Debêntures, nos termos da Lei n.º 6.385, de 7 de dezembro de 1976, conforme alterada ("</w:t>
      </w:r>
      <w:r>
        <w:rPr>
          <w:rFonts w:ascii="Palatino Linotype" w:hAnsi="Palatino Linotype"/>
          <w:sz w:val="22"/>
          <w:szCs w:val="22"/>
          <w:u w:val="single"/>
        </w:rPr>
        <w:t>Lei do Mercado de Valores Mobiliários</w:t>
      </w:r>
      <w:r>
        <w:rPr>
          <w:rFonts w:ascii="Palatino Linotype" w:hAnsi="Palatino Linotype"/>
          <w:sz w:val="22"/>
          <w:szCs w:val="22"/>
        </w:rPr>
        <w:t>"), da Instrução da CVM n.º 476, de 16 de janeiro de 2009, conforme alterada ("</w:t>
      </w:r>
      <w:r>
        <w:rPr>
          <w:rFonts w:ascii="Palatino Linotype" w:hAnsi="Palatino Linotype"/>
          <w:sz w:val="22"/>
          <w:szCs w:val="22"/>
          <w:u w:val="single"/>
        </w:rPr>
        <w:t>Instrução CVM 476</w:t>
      </w:r>
      <w:r>
        <w:rPr>
          <w:rFonts w:ascii="Palatino Linotype" w:hAnsi="Palatino Linotype"/>
          <w:sz w:val="22"/>
          <w:szCs w:val="22"/>
        </w:rPr>
        <w:t>"), e das demais disposições legais e regulamentares aplicáveis ("</w:t>
      </w:r>
      <w:r>
        <w:rPr>
          <w:rFonts w:ascii="Palatino Linotype" w:hAnsi="Palatino Linotype"/>
          <w:sz w:val="22"/>
          <w:szCs w:val="22"/>
          <w:u w:val="single"/>
        </w:rPr>
        <w:t>Oferta</w:t>
      </w:r>
      <w:r>
        <w:rPr>
          <w:rFonts w:ascii="Palatino Linotype" w:hAnsi="Palatino Linotype"/>
          <w:sz w:val="22"/>
          <w:szCs w:val="22"/>
        </w:rPr>
        <w:t xml:space="preserve">"), e a celebração desta Escritura de Emissão e do Contrato de Distribuição (conforme definido abaixo) serão realizadas com base nas deliberações da reunião do conselho de administração da Companhia realizada em </w:t>
      </w:r>
      <w:r w:rsidR="002C475F">
        <w:rPr>
          <w:rFonts w:ascii="Palatino Linotype" w:hAnsi="Palatino Linotype"/>
          <w:sz w:val="22"/>
          <w:szCs w:val="22"/>
        </w:rPr>
        <w:t xml:space="preserve">15 de fevereiro de 2019 </w:t>
      </w:r>
      <w:r>
        <w:rPr>
          <w:rFonts w:ascii="Palatino Linotype" w:hAnsi="Palatino Linotype"/>
          <w:sz w:val="22"/>
          <w:szCs w:val="22"/>
        </w:rPr>
        <w:t>("</w:t>
      </w:r>
      <w:r>
        <w:rPr>
          <w:rFonts w:ascii="Palatino Linotype" w:hAnsi="Palatino Linotype"/>
          <w:sz w:val="22"/>
          <w:szCs w:val="22"/>
          <w:u w:val="single"/>
        </w:rPr>
        <w:t>RCA</w:t>
      </w:r>
      <w:r>
        <w:rPr>
          <w:rFonts w:ascii="Palatino Linotype" w:hAnsi="Palatino Linotype"/>
          <w:sz w:val="22"/>
          <w:szCs w:val="22"/>
        </w:rPr>
        <w:t xml:space="preserve">"), na forma do disposto no </w:t>
      </w:r>
      <w:r>
        <w:rPr>
          <w:rFonts w:ascii="Palatino Linotype" w:hAnsi="Palatino Linotype"/>
          <w:sz w:val="22"/>
          <w:szCs w:val="22"/>
        </w:rPr>
        <w:lastRenderedPageBreak/>
        <w:t>artigo 20, alínea (xi), do estatuto social da Companhia e do artigo 59, parágrafo 1º, da Lei das Sociedades por Ações.</w:t>
      </w:r>
    </w:p>
    <w:p w:rsidR="00DE78B2" w:rsidRDefault="00DE78B2">
      <w:pPr>
        <w:rPr>
          <w:rFonts w:ascii="Palatino Linotype" w:hAnsi="Palatino Linotype"/>
          <w:sz w:val="22"/>
          <w:szCs w:val="22"/>
        </w:rPr>
      </w:pPr>
    </w:p>
    <w:p w:rsidR="00DE78B2" w:rsidRDefault="00791406">
      <w:pPr>
        <w:keepNext/>
        <w:numPr>
          <w:ilvl w:val="0"/>
          <w:numId w:val="10"/>
        </w:numPr>
        <w:tabs>
          <w:tab w:val="clear" w:pos="709"/>
        </w:tabs>
        <w:rPr>
          <w:rFonts w:ascii="Palatino Linotype" w:hAnsi="Palatino Linotype"/>
          <w:smallCaps/>
          <w:sz w:val="22"/>
          <w:szCs w:val="22"/>
          <w:u w:val="single"/>
        </w:rPr>
      </w:pPr>
      <w:bookmarkStart w:id="2" w:name="h.1fob9te" w:colFirst="0" w:colLast="0"/>
      <w:bookmarkStart w:id="3" w:name="_Ref437361750"/>
      <w:bookmarkEnd w:id="2"/>
      <w:r>
        <w:rPr>
          <w:rFonts w:ascii="Palatino Linotype" w:hAnsi="Palatino Linotype"/>
          <w:smallCaps/>
          <w:sz w:val="22"/>
          <w:szCs w:val="22"/>
          <w:u w:val="single"/>
        </w:rPr>
        <w:t>Requisitos</w:t>
      </w:r>
      <w:bookmarkEnd w:id="3"/>
    </w:p>
    <w:p w:rsidR="00DE78B2" w:rsidRDefault="00791406">
      <w:pPr>
        <w:numPr>
          <w:ilvl w:val="1"/>
          <w:numId w:val="10"/>
        </w:numPr>
        <w:tabs>
          <w:tab w:val="clear" w:pos="709"/>
        </w:tabs>
        <w:rPr>
          <w:rFonts w:ascii="Palatino Linotype" w:hAnsi="Palatino Linotype"/>
          <w:sz w:val="22"/>
          <w:szCs w:val="22"/>
        </w:rPr>
      </w:pPr>
      <w:r>
        <w:rPr>
          <w:rFonts w:ascii="Palatino Linotype" w:hAnsi="Palatino Linotype"/>
          <w:sz w:val="22"/>
          <w:szCs w:val="22"/>
        </w:rPr>
        <w:t>A Emissão, a Oferta e a celebração desta Escritura de Emissão e do Contrato de Distribuição serão realizadas com observância aos seguintes requisitos:</w:t>
      </w:r>
    </w:p>
    <w:p w:rsidR="00DE78B2" w:rsidRDefault="00791406">
      <w:pPr>
        <w:numPr>
          <w:ilvl w:val="2"/>
          <w:numId w:val="10"/>
        </w:numPr>
        <w:tabs>
          <w:tab w:val="clear" w:pos="1701"/>
        </w:tabs>
        <w:rPr>
          <w:rFonts w:ascii="Palatino Linotype" w:hAnsi="Palatino Linotype"/>
          <w:sz w:val="22"/>
          <w:szCs w:val="22"/>
        </w:rPr>
      </w:pPr>
      <w:r>
        <w:rPr>
          <w:rFonts w:ascii="Palatino Linotype" w:hAnsi="Palatino Linotype"/>
          <w:i/>
          <w:sz w:val="22"/>
          <w:szCs w:val="22"/>
        </w:rPr>
        <w:t>Arquivamento e publicação da ata da RCA</w:t>
      </w:r>
      <w:r>
        <w:rPr>
          <w:rFonts w:ascii="Palatino Linotype" w:hAnsi="Palatino Linotype"/>
          <w:sz w:val="22"/>
          <w:szCs w:val="22"/>
        </w:rPr>
        <w:t>. Nos termos do artigo 62, inciso I, da Lei das Sociedades por Ações, a ata da RCA será arquivada na JUCESP e publicada no Diário Oficial do Estado de São Paulo ("</w:t>
      </w:r>
      <w:r>
        <w:rPr>
          <w:rFonts w:ascii="Palatino Linotype" w:hAnsi="Palatino Linotype"/>
          <w:sz w:val="22"/>
          <w:szCs w:val="22"/>
          <w:u w:val="single"/>
        </w:rPr>
        <w:t>DOESP</w:t>
      </w:r>
      <w:r>
        <w:rPr>
          <w:rFonts w:ascii="Palatino Linotype" w:hAnsi="Palatino Linotype"/>
          <w:sz w:val="22"/>
          <w:szCs w:val="22"/>
        </w:rPr>
        <w:t>") e no jornal "Folha de São Paulo".</w:t>
      </w:r>
    </w:p>
    <w:p w:rsidR="00DE78B2" w:rsidRDefault="00791406">
      <w:pPr>
        <w:numPr>
          <w:ilvl w:val="2"/>
          <w:numId w:val="10"/>
        </w:numPr>
        <w:tabs>
          <w:tab w:val="clear" w:pos="1701"/>
        </w:tabs>
        <w:rPr>
          <w:rFonts w:ascii="Palatino Linotype" w:hAnsi="Palatino Linotype"/>
          <w:sz w:val="22"/>
          <w:szCs w:val="22"/>
        </w:rPr>
      </w:pPr>
      <w:r>
        <w:rPr>
          <w:rFonts w:ascii="Palatino Linotype" w:hAnsi="Palatino Linotype"/>
          <w:i/>
          <w:sz w:val="22"/>
          <w:szCs w:val="22"/>
        </w:rPr>
        <w:t>Inscrição desta Escritura de Emissão e de seus aditamentos</w:t>
      </w:r>
      <w:r>
        <w:rPr>
          <w:rFonts w:ascii="Palatino Linotype" w:hAnsi="Palatino Linotype"/>
          <w:sz w:val="22"/>
          <w:szCs w:val="22"/>
        </w:rPr>
        <w:t>. Nos termos do artigo 62, inciso II e parágrafo 3º, da Lei das Sociedades por Ações, esta Escritura de Emissão e seus aditamentos serão inscritos na JUCESP. A presente Escritura e seus eventuais aditamentos deverão ser protocolados perante a JUCESP em até 2 (dois) Dias Úteis a contar desta data ou das respectivas celebrações, conforme o caso, sendo que uma via original desta Escritura e de seus eventuais aditamentos devidamente arquivados na JUCESP, deverão ser enviadas ao Agente Fiduciário em até 2 (dois) Dias Úteis a contar da data dos respectivos arquivamentos.</w:t>
      </w:r>
    </w:p>
    <w:p w:rsidR="00DE78B2" w:rsidRDefault="00791406">
      <w:pPr>
        <w:numPr>
          <w:ilvl w:val="2"/>
          <w:numId w:val="10"/>
        </w:numPr>
        <w:rPr>
          <w:rFonts w:ascii="Palatino Linotype" w:hAnsi="Palatino Linotype"/>
          <w:sz w:val="22"/>
          <w:szCs w:val="22"/>
        </w:rPr>
      </w:pPr>
      <w:bookmarkStart w:id="4" w:name="h.3znysh7" w:colFirst="0" w:colLast="0"/>
      <w:bookmarkEnd w:id="4"/>
      <w:r>
        <w:rPr>
          <w:rFonts w:ascii="Palatino Linotype" w:hAnsi="Palatino Linotype"/>
          <w:i/>
          <w:sz w:val="22"/>
          <w:szCs w:val="22"/>
        </w:rPr>
        <w:t>Depósito para distribuição, negociação e liquidação financeira</w:t>
      </w:r>
      <w:r>
        <w:rPr>
          <w:rFonts w:ascii="Palatino Linotype" w:hAnsi="Palatino Linotype"/>
          <w:sz w:val="22"/>
          <w:szCs w:val="22"/>
        </w:rPr>
        <w:t>. As Debêntures serão depositadas para (i) distribuição no mercado primário por meio do MDA – Módulo de Distribuição de Ativos ("</w:t>
      </w:r>
      <w:r>
        <w:rPr>
          <w:rFonts w:ascii="Palatino Linotype" w:hAnsi="Palatino Linotype"/>
          <w:sz w:val="22"/>
          <w:szCs w:val="22"/>
          <w:u w:val="single"/>
        </w:rPr>
        <w:t>MDA</w:t>
      </w:r>
      <w:r>
        <w:rPr>
          <w:rFonts w:ascii="Palatino Linotype" w:hAnsi="Palatino Linotype"/>
          <w:sz w:val="22"/>
          <w:szCs w:val="22"/>
        </w:rPr>
        <w:t>"), administrado e operacionalizado pela B3 S.A. – Brasil, Bolsa, Balcão - Segmento CETIP UTVM ("</w:t>
      </w:r>
      <w:r>
        <w:rPr>
          <w:rFonts w:ascii="Palatino Linotype" w:hAnsi="Palatino Linotype"/>
          <w:sz w:val="22"/>
          <w:szCs w:val="22"/>
          <w:u w:val="single"/>
        </w:rPr>
        <w:t>B3</w:t>
      </w:r>
      <w:r>
        <w:rPr>
          <w:rFonts w:ascii="Palatino Linotype" w:hAnsi="Palatino Linotype"/>
          <w:sz w:val="22"/>
          <w:szCs w:val="22"/>
        </w:rPr>
        <w:t>"), sendo a distribuição liquidada financeiramente por meio da B3; e (ii) negociação no mercado secundário por meio do CETIP21 – Títulos e Valores Mobiliários ("</w:t>
      </w:r>
      <w:r>
        <w:rPr>
          <w:rFonts w:ascii="Palatino Linotype" w:hAnsi="Palatino Linotype"/>
          <w:sz w:val="22"/>
          <w:szCs w:val="22"/>
          <w:u w:val="single"/>
        </w:rPr>
        <w:t>CETIP21</w:t>
      </w:r>
      <w:r>
        <w:rPr>
          <w:rFonts w:ascii="Palatino Linotype" w:hAnsi="Palatino Linotype"/>
          <w:sz w:val="22"/>
          <w:szCs w:val="22"/>
        </w:rPr>
        <w:t>"), administrado e operacionalizado pela B3, sendo as negociações liquidadas financeiramente e as Debêntures custodiadas eletronicamente na B3. Alternativamente, as Debêntures poderão ser mantidas em registro no Escriturador.</w:t>
      </w:r>
    </w:p>
    <w:p w:rsidR="00DE78B2" w:rsidRDefault="00791406">
      <w:pPr>
        <w:numPr>
          <w:ilvl w:val="2"/>
          <w:numId w:val="10"/>
        </w:numPr>
        <w:rPr>
          <w:rFonts w:ascii="Palatino Linotype" w:hAnsi="Palatino Linotype"/>
          <w:sz w:val="22"/>
          <w:szCs w:val="22"/>
        </w:rPr>
      </w:pPr>
      <w:r>
        <w:rPr>
          <w:rFonts w:ascii="Palatino Linotype" w:hAnsi="Palatino Linotype"/>
          <w:i/>
          <w:sz w:val="22"/>
          <w:szCs w:val="22"/>
        </w:rPr>
        <w:t>Dispensa de registro da Oferta pela CVM</w:t>
      </w:r>
      <w:r>
        <w:rPr>
          <w:rFonts w:ascii="Palatino Linotype" w:hAnsi="Palatino Linotype"/>
          <w:sz w:val="22"/>
          <w:szCs w:val="22"/>
        </w:rPr>
        <w:t>. Nos termos do artigo 6º da Instrução CVM 476, , a Oferta está automaticamente dispensada do registro perante a CVM de que trata o artigo 19 da Lei nº 6.385, de 7 de dezembro de 1976, conforme alterada, por se tratar de oferta pública de valores mobiliários, com esforços restritos de distribuição, não sendo, portanto, objeto de protocolo, registro ou arquivamento perante a CVM, exceto pelo envio da comunicação sobre o início da Oferta e da comunicação sobre seu encerramento à CVM, nos termos dos artigos 7º-A e 8º, respectivamente, da Instrução CVM 476 ("</w:t>
      </w:r>
      <w:r>
        <w:rPr>
          <w:rFonts w:ascii="Palatino Linotype" w:hAnsi="Palatino Linotype"/>
          <w:sz w:val="22"/>
          <w:szCs w:val="22"/>
          <w:u w:val="single"/>
        </w:rPr>
        <w:t>Comunicação de Início</w:t>
      </w:r>
      <w:r>
        <w:rPr>
          <w:rFonts w:ascii="Palatino Linotype" w:hAnsi="Palatino Linotype"/>
          <w:sz w:val="22"/>
          <w:szCs w:val="22"/>
        </w:rPr>
        <w:t>" e "</w:t>
      </w:r>
      <w:r>
        <w:rPr>
          <w:rFonts w:ascii="Palatino Linotype" w:hAnsi="Palatino Linotype"/>
          <w:sz w:val="22"/>
          <w:szCs w:val="22"/>
          <w:u w:val="single"/>
        </w:rPr>
        <w:t>Comunicação de Encerramento</w:t>
      </w:r>
      <w:r>
        <w:rPr>
          <w:rFonts w:ascii="Palatino Linotype" w:hAnsi="Palatino Linotype"/>
          <w:sz w:val="22"/>
          <w:szCs w:val="22"/>
        </w:rPr>
        <w:t>", respectivamente).</w:t>
      </w:r>
    </w:p>
    <w:p w:rsidR="00DE78B2" w:rsidRDefault="00791406">
      <w:pPr>
        <w:numPr>
          <w:ilvl w:val="2"/>
          <w:numId w:val="10"/>
        </w:numPr>
        <w:rPr>
          <w:rFonts w:ascii="Palatino Linotype" w:hAnsi="Palatino Linotype"/>
          <w:sz w:val="22"/>
          <w:szCs w:val="22"/>
        </w:rPr>
      </w:pPr>
      <w:r>
        <w:rPr>
          <w:rFonts w:ascii="Palatino Linotype" w:hAnsi="Palatino Linotype"/>
          <w:i/>
          <w:sz w:val="22"/>
          <w:szCs w:val="22"/>
        </w:rPr>
        <w:lastRenderedPageBreak/>
        <w:t>Registro da Oferta pela ANBIMA</w:t>
      </w:r>
      <w:r>
        <w:rPr>
          <w:rFonts w:ascii="Palatino Linotype" w:hAnsi="Palatino Linotype"/>
          <w:sz w:val="22"/>
          <w:szCs w:val="22"/>
        </w:rPr>
        <w:t>. A Oferta será objeto de registro pela ANBIMA – Associação Brasileira das Entidades dos Mercados Financeiro e de Capitais ("</w:t>
      </w:r>
      <w:r>
        <w:rPr>
          <w:rFonts w:ascii="Palatino Linotype" w:hAnsi="Palatino Linotype"/>
          <w:sz w:val="22"/>
          <w:szCs w:val="22"/>
          <w:u w:val="single"/>
        </w:rPr>
        <w:t>ANBIMA</w:t>
      </w:r>
      <w:r>
        <w:rPr>
          <w:rFonts w:ascii="Palatino Linotype" w:hAnsi="Palatino Linotype"/>
          <w:sz w:val="22"/>
          <w:szCs w:val="22"/>
        </w:rPr>
        <w:t>"), nos termos do artigo 1º, parágrafo 1º, inciso I, e parágrafo 2º, do "Código ANBIMA de Regulação e Melhores Práticas para as Ofertas Públicas de Distribuição e Aquisição de Valores Mobiliários", exclusivamente para fins de envio de informações para a Base de Dados (conforme definido no referido código) da ANBIMA, desde que sejam expedidas diretrizes específicas nesse sentido pelo Conselho de Regulação e Melhores Práticas da ANBIMA, até o momento do envio da Comunicação de Encerramento à CVM.</w:t>
      </w:r>
    </w:p>
    <w:p w:rsidR="00DE78B2" w:rsidRDefault="00DE78B2">
      <w:pPr>
        <w:ind w:left="709"/>
        <w:rPr>
          <w:rFonts w:ascii="Palatino Linotype" w:hAnsi="Palatino Linotype"/>
          <w:sz w:val="22"/>
          <w:szCs w:val="22"/>
        </w:rPr>
      </w:pPr>
    </w:p>
    <w:p w:rsidR="00DE78B2" w:rsidRDefault="00791406">
      <w:pPr>
        <w:keepNext/>
        <w:numPr>
          <w:ilvl w:val="0"/>
          <w:numId w:val="10"/>
        </w:numPr>
        <w:tabs>
          <w:tab w:val="clear" w:pos="709"/>
        </w:tabs>
        <w:rPr>
          <w:rFonts w:ascii="Palatino Linotype" w:hAnsi="Palatino Linotype"/>
          <w:smallCaps/>
          <w:sz w:val="22"/>
          <w:szCs w:val="22"/>
          <w:u w:val="single"/>
        </w:rPr>
      </w:pPr>
      <w:r>
        <w:rPr>
          <w:rFonts w:ascii="Palatino Linotype" w:hAnsi="Palatino Linotype"/>
          <w:smallCaps/>
          <w:sz w:val="22"/>
          <w:szCs w:val="22"/>
          <w:u w:val="single"/>
        </w:rPr>
        <w:t>Objeto Social da Companhia</w:t>
      </w:r>
    </w:p>
    <w:p w:rsidR="00DE78B2" w:rsidRDefault="00791406">
      <w:pPr>
        <w:numPr>
          <w:ilvl w:val="1"/>
          <w:numId w:val="10"/>
        </w:numPr>
        <w:rPr>
          <w:rFonts w:ascii="Palatino Linotype" w:hAnsi="Palatino Linotype"/>
          <w:sz w:val="22"/>
          <w:szCs w:val="22"/>
        </w:rPr>
      </w:pPr>
      <w:r>
        <w:rPr>
          <w:rFonts w:ascii="Palatino Linotype" w:hAnsi="Palatino Linotype"/>
          <w:sz w:val="22"/>
          <w:szCs w:val="22"/>
        </w:rPr>
        <w:t>A Companhia tem por objeto social: (i) a importação, exportação, produção e comercialização de açúcar, álcool, cana-de-açúcar e demais derivados de tal produto agrícola; (ii) a distribuição de combustíveis em geral e o comércio de produtos derivados do petróleo; (iii) a exploração de postos de abastecimento e a compra e venda de combustíveis e lubrificantes derivados de petróleo; (iv) os serviços de logística, portuária e de assessoria técnica, administrativa e financeira; (v) o transporte, de toda espécie, de passageiros e cargas, inclusive navegação interior e de travessia fluvial e lacustre; (vi) a produção e comercialização de energia elétrica, vapor vivo, vapor de escape e todos os derivados provenientes de cogeração de energia elétrica; (vii) a exploração agrícola e pastoril em terras próprias ou de terceiros; (viii) a importação, exportação, manipulação, comercialização, industrialização, guarda, serviços de carga e descarga de fertilizantes e demais insumos agrícolas; (ix) a administração, por conta própria ou de terceiros, de bens móveis e imóveis, podendo arrendar e dar em arrendamento, receber e dar em parceria, alugar e locar móveis, imóveis e equipamentos em geral; (x) a prestação de serviços técnicos relativos às atividades antes mencionadas; (xi) a participação no capital social de outras sociedades; e (xii) beneficiamento e comercialização de gases combustíveis.</w:t>
      </w:r>
    </w:p>
    <w:p w:rsidR="00DE78B2" w:rsidRDefault="00DE78B2">
      <w:pPr>
        <w:rPr>
          <w:rFonts w:ascii="Palatino Linotype" w:hAnsi="Palatino Linotype"/>
          <w:sz w:val="22"/>
          <w:szCs w:val="22"/>
        </w:rPr>
      </w:pPr>
    </w:p>
    <w:p w:rsidR="00DE78B2" w:rsidRDefault="00791406">
      <w:pPr>
        <w:keepNext/>
        <w:numPr>
          <w:ilvl w:val="0"/>
          <w:numId w:val="10"/>
        </w:numPr>
        <w:tabs>
          <w:tab w:val="clear" w:pos="709"/>
        </w:tabs>
        <w:rPr>
          <w:rFonts w:ascii="Palatino Linotype" w:hAnsi="Palatino Linotype"/>
          <w:smallCaps/>
          <w:sz w:val="22"/>
          <w:szCs w:val="22"/>
          <w:u w:val="single"/>
        </w:rPr>
      </w:pPr>
      <w:bookmarkStart w:id="5" w:name="h.2et92p0" w:colFirst="0" w:colLast="0"/>
      <w:bookmarkStart w:id="6" w:name="_Ref437375366"/>
      <w:bookmarkEnd w:id="5"/>
      <w:r>
        <w:rPr>
          <w:rFonts w:ascii="Palatino Linotype" w:hAnsi="Palatino Linotype"/>
          <w:smallCaps/>
          <w:sz w:val="22"/>
          <w:szCs w:val="22"/>
          <w:u w:val="single"/>
        </w:rPr>
        <w:t>Destinação dos Recursos</w:t>
      </w:r>
      <w:bookmarkEnd w:id="6"/>
    </w:p>
    <w:p w:rsidR="00DE78B2" w:rsidRDefault="00791406">
      <w:pPr>
        <w:numPr>
          <w:ilvl w:val="1"/>
          <w:numId w:val="10"/>
        </w:numPr>
        <w:rPr>
          <w:rFonts w:ascii="Palatino Linotype" w:hAnsi="Palatino Linotype"/>
          <w:sz w:val="22"/>
          <w:szCs w:val="22"/>
        </w:rPr>
      </w:pPr>
      <w:bookmarkStart w:id="7" w:name="h.tyjcwt" w:colFirst="0" w:colLast="0"/>
      <w:bookmarkEnd w:id="7"/>
      <w:r>
        <w:rPr>
          <w:rFonts w:ascii="Palatino Linotype" w:hAnsi="Palatino Linotype"/>
          <w:sz w:val="22"/>
          <w:szCs w:val="22"/>
        </w:rPr>
        <w:t>Os recursos obtidos pela Companhia com a Emissão serão destinados ao financiamento da aquisição, pela Companhia, de ações de emissão da Companhia de Gás de São Paulo – COMGÁS (“</w:t>
      </w:r>
      <w:r>
        <w:rPr>
          <w:rFonts w:ascii="Palatino Linotype" w:hAnsi="Palatino Linotype"/>
          <w:sz w:val="22"/>
          <w:szCs w:val="22"/>
          <w:u w:val="single"/>
        </w:rPr>
        <w:t>Comgás</w:t>
      </w:r>
      <w:r>
        <w:rPr>
          <w:rFonts w:ascii="Palatino Linotype" w:hAnsi="Palatino Linotype"/>
          <w:sz w:val="22"/>
          <w:szCs w:val="22"/>
        </w:rPr>
        <w:t>”) no âmbito da oferta pública voluntária para aquisição de ações preferenciais classe “A” de emissão da Comgás, nos termos do Edital publicado em 31 de janeiro de 2019 (“</w:t>
      </w:r>
      <w:r>
        <w:rPr>
          <w:rFonts w:ascii="Palatino Linotype" w:hAnsi="Palatino Linotype"/>
          <w:sz w:val="22"/>
          <w:szCs w:val="22"/>
          <w:u w:val="single"/>
        </w:rPr>
        <w:t>OPA</w:t>
      </w:r>
      <w:r>
        <w:rPr>
          <w:rFonts w:ascii="Palatino Linotype" w:hAnsi="Palatino Linotype"/>
          <w:sz w:val="22"/>
          <w:szCs w:val="22"/>
        </w:rPr>
        <w:t>”), conforme aditado. Eventuais recursos remanescentes após destinação no âmbito da OPA, serão utilizados para reforço do capital de giro da Companhia.</w:t>
      </w:r>
    </w:p>
    <w:p w:rsidR="00DE78B2" w:rsidRDefault="00DE78B2">
      <w:pPr>
        <w:rPr>
          <w:rFonts w:ascii="Palatino Linotype" w:hAnsi="Palatino Linotype"/>
          <w:sz w:val="22"/>
          <w:szCs w:val="22"/>
        </w:rPr>
      </w:pPr>
    </w:p>
    <w:p w:rsidR="00DE78B2" w:rsidRDefault="00791406">
      <w:pPr>
        <w:keepNext/>
        <w:numPr>
          <w:ilvl w:val="0"/>
          <w:numId w:val="10"/>
        </w:numPr>
        <w:tabs>
          <w:tab w:val="clear" w:pos="709"/>
        </w:tabs>
        <w:rPr>
          <w:rFonts w:ascii="Palatino Linotype" w:hAnsi="Palatino Linotype"/>
          <w:smallCaps/>
          <w:sz w:val="22"/>
          <w:szCs w:val="22"/>
          <w:u w:val="single"/>
        </w:rPr>
      </w:pPr>
      <w:r>
        <w:rPr>
          <w:rFonts w:ascii="Palatino Linotype" w:hAnsi="Palatino Linotype"/>
          <w:smallCaps/>
          <w:sz w:val="22"/>
          <w:szCs w:val="22"/>
          <w:u w:val="single"/>
        </w:rPr>
        <w:lastRenderedPageBreak/>
        <w:t>Características da Oferta</w:t>
      </w:r>
    </w:p>
    <w:p w:rsidR="00DE78B2" w:rsidRDefault="00791406">
      <w:pPr>
        <w:numPr>
          <w:ilvl w:val="1"/>
          <w:numId w:val="10"/>
        </w:numPr>
        <w:rPr>
          <w:rFonts w:ascii="Palatino Linotype" w:hAnsi="Palatino Linotype"/>
          <w:sz w:val="22"/>
          <w:szCs w:val="22"/>
        </w:rPr>
      </w:pPr>
      <w:bookmarkStart w:id="8" w:name="_Ref532907380"/>
      <w:r>
        <w:rPr>
          <w:rFonts w:ascii="Palatino Linotype" w:hAnsi="Palatino Linotype"/>
          <w:i/>
          <w:sz w:val="22"/>
          <w:szCs w:val="22"/>
        </w:rPr>
        <w:t>Colocação</w:t>
      </w:r>
      <w:r>
        <w:rPr>
          <w:rFonts w:ascii="Palatino Linotype" w:hAnsi="Palatino Linotype"/>
          <w:sz w:val="22"/>
          <w:szCs w:val="22"/>
        </w:rPr>
        <w:t>. As Debêntures serão objeto de oferta pública de distribuição com esforços restritos de distribuição, nos termos da Lei do Mercado de Valores Mobiliários, da Instrução CVM 476 e das demais disposições legais e regulamentares aplicáveis, e do "Contrato de Coordenação e Distribuição Pública de Debêntures Simples, Não Conversíveis em Ações, da Espécie Quirografária, da Segunda Emissão da Cosan S.A." ("</w:t>
      </w:r>
      <w:r>
        <w:rPr>
          <w:rFonts w:ascii="Palatino Linotype" w:hAnsi="Palatino Linotype"/>
          <w:sz w:val="22"/>
          <w:szCs w:val="22"/>
          <w:u w:val="single"/>
        </w:rPr>
        <w:t>Contrato de Distribuição</w:t>
      </w:r>
      <w:r>
        <w:rPr>
          <w:rFonts w:ascii="Palatino Linotype" w:hAnsi="Palatino Linotype"/>
          <w:sz w:val="22"/>
          <w:szCs w:val="22"/>
        </w:rPr>
        <w:t>"), com a intermediação de instituição integrante do sistema de distribuição de valores mobiliários ("</w:t>
      </w:r>
      <w:r>
        <w:rPr>
          <w:rFonts w:ascii="Palatino Linotype" w:hAnsi="Palatino Linotype"/>
          <w:sz w:val="22"/>
          <w:szCs w:val="22"/>
          <w:u w:val="single"/>
        </w:rPr>
        <w:t>Coordenador Líder</w:t>
      </w:r>
      <w:r>
        <w:rPr>
          <w:rFonts w:ascii="Palatino Linotype" w:hAnsi="Palatino Linotype"/>
          <w:sz w:val="22"/>
          <w:szCs w:val="22"/>
        </w:rPr>
        <w:t xml:space="preserve">"), sob o regime de garantia firme de colocação para o Valor Total da Emissão (conforme abaixo definido), a qual somente será exercida caso a demanda apurada no Procedimento de </w:t>
      </w:r>
      <w:r>
        <w:rPr>
          <w:rFonts w:ascii="Palatino Linotype" w:hAnsi="Palatino Linotype"/>
          <w:i/>
          <w:sz w:val="22"/>
          <w:szCs w:val="22"/>
        </w:rPr>
        <w:t>Bookbuilding</w:t>
      </w:r>
      <w:r>
        <w:rPr>
          <w:rFonts w:ascii="Palatino Linotype" w:hAnsi="Palatino Linotype"/>
          <w:sz w:val="22"/>
          <w:szCs w:val="22"/>
        </w:rPr>
        <w:t xml:space="preserve"> (conforme abaixo definido) não seja suficiente para atingir o volume total da Oferta, devendo observar o Valor Total da Emissão e a Remuneração (conforme abaixo definida) (“</w:t>
      </w:r>
      <w:r>
        <w:rPr>
          <w:rFonts w:ascii="Palatino Linotype" w:hAnsi="Palatino Linotype"/>
          <w:sz w:val="22"/>
          <w:szCs w:val="22"/>
          <w:u w:val="single"/>
        </w:rPr>
        <w:t>Garantia Firme</w:t>
      </w:r>
      <w:r>
        <w:rPr>
          <w:rFonts w:ascii="Palatino Linotype" w:hAnsi="Palatino Linotype"/>
          <w:sz w:val="22"/>
          <w:szCs w:val="22"/>
        </w:rPr>
        <w:t>”). A Oferta terá como público alvo investidores profissionais, assim definidos nos termos do artigo 9º</w:t>
      </w:r>
      <w:r>
        <w:rPr>
          <w:rFonts w:ascii="Palatino Linotype" w:hAnsi="Palatino Linotype"/>
          <w:sz w:val="22"/>
          <w:szCs w:val="22"/>
        </w:rPr>
        <w:noBreakHyphen/>
        <w:t>A da Instrução da CVM nº 539, de 13 de novembro de 2013, conforme alterada ("</w:t>
      </w:r>
      <w:r>
        <w:rPr>
          <w:rFonts w:ascii="Palatino Linotype" w:hAnsi="Palatino Linotype"/>
          <w:sz w:val="22"/>
          <w:szCs w:val="22"/>
          <w:u w:val="single"/>
        </w:rPr>
        <w:t>Investidores Profissionais</w:t>
      </w:r>
      <w:r>
        <w:rPr>
          <w:rFonts w:ascii="Palatino Linotype" w:hAnsi="Palatino Linotype"/>
          <w:sz w:val="22"/>
          <w:szCs w:val="22"/>
        </w:rPr>
        <w:t>"). O plano de distribuição seguirá o procedimento descrito na Instrução CVM 476, conforme previsto no Contrato de Distribuição. Para tanto, o Coordenador Líder poderá acessar, no máximo, 75 (setenta e cinco) Investidores Profissionais, sendo possível a subscrição ou aquisição por, no máximo, 50 (cinquenta) Investidores Profissionais. Nos termos da Instrução CVM 476, a Oferta será destinada a Investidores Profissionais, observado que os fundos de investimento e carteiras administradas de valores mobiliários cujas decisões de investimento sejam tomadas pelo mesmo gestor serão considerados como um único investidor.</w:t>
      </w:r>
      <w:bookmarkEnd w:id="8"/>
    </w:p>
    <w:p w:rsidR="00DE78B2" w:rsidRDefault="00791406">
      <w:pPr>
        <w:numPr>
          <w:ilvl w:val="1"/>
          <w:numId w:val="10"/>
        </w:numPr>
        <w:tabs>
          <w:tab w:val="clear" w:pos="709"/>
        </w:tabs>
        <w:rPr>
          <w:rFonts w:ascii="Palatino Linotype" w:hAnsi="Palatino Linotype"/>
          <w:sz w:val="22"/>
          <w:szCs w:val="22"/>
        </w:rPr>
      </w:pPr>
      <w:bookmarkStart w:id="9" w:name="h.3dy6vkm" w:colFirst="0" w:colLast="0"/>
      <w:bookmarkEnd w:id="9"/>
      <w:r>
        <w:rPr>
          <w:rFonts w:ascii="Palatino Linotype" w:hAnsi="Palatino Linotype"/>
          <w:i/>
          <w:sz w:val="22"/>
          <w:szCs w:val="22"/>
        </w:rPr>
        <w:t>Prazo de Subscrição</w:t>
      </w:r>
      <w:r>
        <w:rPr>
          <w:rFonts w:ascii="Palatino Linotype" w:hAnsi="Palatino Linotype"/>
          <w:sz w:val="22"/>
          <w:szCs w:val="22"/>
        </w:rPr>
        <w:t>. Respeitado o atendimento dos requisitos a que se refere a Cláusula </w:t>
      </w:r>
      <w:r>
        <w:rPr>
          <w:rFonts w:ascii="Palatino Linotype" w:hAnsi="Palatino Linotype"/>
          <w:sz w:val="22"/>
          <w:szCs w:val="22"/>
        </w:rPr>
        <w:fldChar w:fldCharType="begin"/>
      </w:r>
      <w:r>
        <w:rPr>
          <w:rFonts w:ascii="Palatino Linotype" w:hAnsi="Palatino Linotype"/>
          <w:sz w:val="22"/>
          <w:szCs w:val="22"/>
        </w:rPr>
        <w:instrText xml:space="preserve"> REF _Ref437361750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2 acima</w:t>
      </w:r>
      <w:r>
        <w:rPr>
          <w:rFonts w:ascii="Palatino Linotype" w:hAnsi="Palatino Linotype"/>
          <w:sz w:val="22"/>
          <w:szCs w:val="22"/>
        </w:rPr>
        <w:fldChar w:fldCharType="end"/>
      </w:r>
      <w:r>
        <w:rPr>
          <w:rFonts w:ascii="Palatino Linotype" w:hAnsi="Palatino Linotype"/>
          <w:sz w:val="22"/>
          <w:szCs w:val="22"/>
        </w:rPr>
        <w:t>, as Debêntures serão subscritas, a qualquer tempo, a partir da data de início de distribuição da Oferta, observado o disposto nos artigos 7º</w:t>
      </w:r>
      <w:r>
        <w:rPr>
          <w:rFonts w:ascii="Palatino Linotype" w:hAnsi="Palatino Linotype"/>
          <w:sz w:val="22"/>
          <w:szCs w:val="22"/>
        </w:rPr>
        <w:noBreakHyphen/>
        <w:t>A, 8º, parágrafo 2º, e 8º-A da Instrução CVM 476.</w:t>
      </w:r>
      <w:bookmarkStart w:id="10" w:name="h.1t3h5sf" w:colFirst="0" w:colLast="0"/>
      <w:bookmarkEnd w:id="10"/>
    </w:p>
    <w:p w:rsidR="00DE78B2" w:rsidRDefault="00791406">
      <w:pPr>
        <w:numPr>
          <w:ilvl w:val="1"/>
          <w:numId w:val="10"/>
        </w:numPr>
        <w:rPr>
          <w:rFonts w:ascii="Palatino Linotype" w:hAnsi="Palatino Linotype"/>
          <w:sz w:val="22"/>
          <w:szCs w:val="22"/>
        </w:rPr>
      </w:pPr>
      <w:r>
        <w:rPr>
          <w:rFonts w:ascii="Palatino Linotype" w:hAnsi="Palatino Linotype"/>
          <w:i/>
          <w:sz w:val="22"/>
          <w:szCs w:val="22"/>
        </w:rPr>
        <w:t>Preço de Subscrição e Forma de Integralização</w:t>
      </w:r>
      <w:r>
        <w:rPr>
          <w:rFonts w:ascii="Palatino Linotype" w:hAnsi="Palatino Linotype"/>
          <w:sz w:val="22"/>
          <w:szCs w:val="22"/>
        </w:rPr>
        <w:t>. As Debêntures serão subscritas e integralizadas por meio do MDA, por, no máximo, 50 (cinquenta) Investidores Profissionais, à vista, no ato da subscrição (cada uma, uma "</w:t>
      </w:r>
      <w:r>
        <w:rPr>
          <w:rFonts w:ascii="Palatino Linotype" w:hAnsi="Palatino Linotype"/>
          <w:sz w:val="22"/>
          <w:szCs w:val="22"/>
          <w:u w:val="single"/>
        </w:rPr>
        <w:t>Data de Integralização</w:t>
      </w:r>
      <w:r>
        <w:rPr>
          <w:rFonts w:ascii="Palatino Linotype" w:hAnsi="Palatino Linotype"/>
          <w:sz w:val="22"/>
          <w:szCs w:val="22"/>
        </w:rPr>
        <w:t xml:space="preserve">"), e em moeda corrente nacional, pelo Valor Nominal Unitário (conforme definido abaixo), acrescido da Remuneração (conforme definido abaixo), que será definida em Procedimento de </w:t>
      </w:r>
      <w:r>
        <w:rPr>
          <w:rFonts w:ascii="Palatino Linotype" w:hAnsi="Palatino Linotype"/>
          <w:i/>
          <w:sz w:val="22"/>
          <w:szCs w:val="22"/>
        </w:rPr>
        <w:t>Bookbuilding</w:t>
      </w:r>
      <w:r>
        <w:rPr>
          <w:rFonts w:ascii="Palatino Linotype" w:hAnsi="Palatino Linotype"/>
          <w:sz w:val="22"/>
          <w:szCs w:val="22"/>
        </w:rPr>
        <w:t xml:space="preserve">, calculada </w:t>
      </w:r>
      <w:r>
        <w:rPr>
          <w:rFonts w:ascii="Palatino Linotype" w:hAnsi="Palatino Linotype"/>
          <w:i/>
          <w:sz w:val="22"/>
          <w:szCs w:val="22"/>
        </w:rPr>
        <w:t>pro rata temporis</w:t>
      </w:r>
      <w:r>
        <w:rPr>
          <w:rFonts w:ascii="Palatino Linotype" w:hAnsi="Palatino Linotype"/>
          <w:sz w:val="22"/>
          <w:szCs w:val="22"/>
        </w:rPr>
        <w:t xml:space="preserve"> desde a 1ª (primeira) Data de Integralização ("</w:t>
      </w:r>
      <w:r>
        <w:rPr>
          <w:rFonts w:ascii="Palatino Linotype" w:hAnsi="Palatino Linotype"/>
          <w:sz w:val="22"/>
          <w:szCs w:val="22"/>
          <w:u w:val="single"/>
        </w:rPr>
        <w:t>Primeira Data de Integralização</w:t>
      </w:r>
      <w:r>
        <w:rPr>
          <w:rFonts w:ascii="Palatino Linotype" w:hAnsi="Palatino Linotype"/>
          <w:sz w:val="22"/>
          <w:szCs w:val="22"/>
        </w:rPr>
        <w:t>") até a respectiva Data de Integralização. As Debêntures poderão ser colocadas com ágio ou deságio, a ser definido pelo Coordenador Líder</w:t>
      </w:r>
      <w:r>
        <w:rPr>
          <w:rFonts w:ascii="Palatino Linotype" w:hAnsi="Palatino Linotype"/>
          <w:i/>
          <w:sz w:val="22"/>
          <w:szCs w:val="22"/>
        </w:rPr>
        <w:t>.</w:t>
      </w:r>
      <w:bookmarkStart w:id="11" w:name="_DV_M78"/>
      <w:bookmarkEnd w:id="11"/>
    </w:p>
    <w:p w:rsidR="00DE78B2" w:rsidRDefault="00791406">
      <w:pPr>
        <w:numPr>
          <w:ilvl w:val="1"/>
          <w:numId w:val="10"/>
        </w:numPr>
        <w:rPr>
          <w:rFonts w:ascii="Palatino Linotype" w:hAnsi="Palatino Linotype"/>
          <w:sz w:val="22"/>
          <w:szCs w:val="22"/>
        </w:rPr>
      </w:pPr>
      <w:bookmarkStart w:id="12" w:name="h.4d34og8" w:colFirst="0" w:colLast="0"/>
      <w:bookmarkStart w:id="13" w:name="_Ref437375291"/>
      <w:bookmarkEnd w:id="12"/>
      <w:r>
        <w:rPr>
          <w:rFonts w:ascii="Palatino Linotype" w:hAnsi="Palatino Linotype"/>
          <w:i/>
          <w:sz w:val="22"/>
          <w:szCs w:val="22"/>
        </w:rPr>
        <w:t>Negociação</w:t>
      </w:r>
      <w:r>
        <w:rPr>
          <w:rFonts w:ascii="Palatino Linotype" w:hAnsi="Palatino Linotype"/>
          <w:sz w:val="22"/>
          <w:szCs w:val="22"/>
        </w:rPr>
        <w:t xml:space="preserve">. As Debêntures serão depositadas para negociação no mercado secundário através do CETIP21, administrado e operacionalizado pela B3. As Debêntures somente poderão ser negociadas em mercado de balcão organizado depois de decorridos 90 (noventa) dias contados de cada subscrição ou aquisição pelos respectivos Investidores Profissionais, exceto pelo lote de Debêntures objeto </w:t>
      </w:r>
      <w:r>
        <w:rPr>
          <w:rFonts w:ascii="Palatino Linotype" w:hAnsi="Palatino Linotype"/>
          <w:sz w:val="22"/>
          <w:szCs w:val="22"/>
        </w:rPr>
        <w:lastRenderedPageBreak/>
        <w:t>de eventual Garantia Firme, observados, na negociação subsequente, os limites e condições previstos nos artigos 2º e 3º da Instrução CVM 476, nos termos dos artigos 13 e 15, parágrafo primeiro da Instrução CVM 476, e depois de observado o cumprimento, pela Companhia, das obrigações previstas no artigo 17 da Instrução CVM 476, sendo que a negociação das Debêntures deverá sempre respeitar as disposições legais e regulamentares aplicáveis, em especial o disposto no parágrafo único do artigo 13 da Instrução CVM 476.</w:t>
      </w:r>
      <w:bookmarkEnd w:id="13"/>
    </w:p>
    <w:p w:rsidR="00DE78B2" w:rsidRDefault="00791406">
      <w:pPr>
        <w:numPr>
          <w:ilvl w:val="1"/>
          <w:numId w:val="10"/>
        </w:numPr>
        <w:rPr>
          <w:rFonts w:ascii="Palatino Linotype" w:hAnsi="Palatino Linotype"/>
          <w:sz w:val="22"/>
          <w:szCs w:val="22"/>
        </w:rPr>
      </w:pPr>
      <w:r>
        <w:rPr>
          <w:rFonts w:ascii="Palatino Linotype" w:hAnsi="Palatino Linotype"/>
          <w:i/>
          <w:iCs/>
          <w:sz w:val="22"/>
          <w:szCs w:val="22"/>
        </w:rPr>
        <w:t>Coleta de Intenções de Investimento</w:t>
      </w:r>
      <w:r>
        <w:rPr>
          <w:rFonts w:ascii="Palatino Linotype" w:hAnsi="Palatino Linotype"/>
          <w:iCs/>
          <w:sz w:val="22"/>
          <w:szCs w:val="22"/>
        </w:rPr>
        <w:t xml:space="preserve">. </w:t>
      </w:r>
      <w:r>
        <w:rPr>
          <w:rFonts w:ascii="Palatino Linotype" w:hAnsi="Palatino Linotype"/>
          <w:sz w:val="22"/>
          <w:szCs w:val="22"/>
        </w:rPr>
        <w:t>Será adotado o procedimento de coleta de intenções de investimento, organizado pelo Coordenador Líder, sem recebimento de reservas, sem lotes mínimos ou máximos, para a definição, com a Companhia, observado o disposto no artigo 3º da Instrução CVM 476, da Remuneração (conforme definido abaixo), observado o limite previsto na Cláusula </w:t>
      </w:r>
      <w:r>
        <w:rPr>
          <w:rFonts w:ascii="Palatino Linotype" w:hAnsi="Palatino Linotype"/>
          <w:sz w:val="22"/>
          <w:szCs w:val="22"/>
        </w:rPr>
        <w:fldChar w:fldCharType="begin"/>
      </w:r>
      <w:r>
        <w:rPr>
          <w:rFonts w:ascii="Palatino Linotype" w:hAnsi="Palatino Linotype"/>
          <w:sz w:val="22"/>
          <w:szCs w:val="22"/>
        </w:rPr>
        <w:instrText xml:space="preserve"> REF _Ref532907230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6.14 abaixo</w:t>
      </w:r>
      <w:r>
        <w:rPr>
          <w:rFonts w:ascii="Palatino Linotype" w:hAnsi="Palatino Linotype"/>
          <w:sz w:val="22"/>
          <w:szCs w:val="22"/>
        </w:rPr>
        <w:fldChar w:fldCharType="end"/>
      </w:r>
      <w:r>
        <w:rPr>
          <w:rFonts w:ascii="Palatino Linotype" w:hAnsi="Palatino Linotype"/>
          <w:sz w:val="22"/>
          <w:szCs w:val="22"/>
        </w:rPr>
        <w:t xml:space="preserve"> ("</w:t>
      </w:r>
      <w:r>
        <w:rPr>
          <w:rFonts w:ascii="Palatino Linotype" w:hAnsi="Palatino Linotype"/>
          <w:sz w:val="22"/>
          <w:szCs w:val="22"/>
          <w:u w:val="single"/>
        </w:rPr>
        <w:t xml:space="preserve">Procedimento de </w:t>
      </w:r>
      <w:proofErr w:type="spellStart"/>
      <w:r>
        <w:rPr>
          <w:rFonts w:ascii="Palatino Linotype" w:hAnsi="Palatino Linotype"/>
          <w:i/>
          <w:sz w:val="22"/>
          <w:szCs w:val="22"/>
          <w:u w:val="single"/>
        </w:rPr>
        <w:t>Bookbuilding</w:t>
      </w:r>
      <w:proofErr w:type="spellEnd"/>
      <w:r>
        <w:rPr>
          <w:rFonts w:ascii="Palatino Linotype" w:hAnsi="Palatino Linotype"/>
          <w:sz w:val="22"/>
          <w:szCs w:val="22"/>
        </w:rPr>
        <w:t>").</w:t>
      </w:r>
    </w:p>
    <w:p w:rsidR="00DE78B2" w:rsidRDefault="00791406">
      <w:pPr>
        <w:pStyle w:val="PargrafodaLista"/>
        <w:numPr>
          <w:ilvl w:val="1"/>
          <w:numId w:val="10"/>
        </w:numPr>
        <w:rPr>
          <w:rFonts w:ascii="Palatino Linotype" w:hAnsi="Palatino Linotype"/>
          <w:sz w:val="22"/>
          <w:szCs w:val="22"/>
        </w:rPr>
      </w:pPr>
      <w:r>
        <w:rPr>
          <w:rFonts w:ascii="Palatino Linotype" w:hAnsi="Palatino Linotype"/>
          <w:sz w:val="22"/>
          <w:szCs w:val="22"/>
        </w:rPr>
        <w:t xml:space="preserve">O resultado do Procedimento de </w:t>
      </w:r>
      <w:r>
        <w:rPr>
          <w:rFonts w:ascii="Palatino Linotype" w:hAnsi="Palatino Linotype"/>
          <w:i/>
          <w:sz w:val="22"/>
          <w:szCs w:val="22"/>
        </w:rPr>
        <w:t>Bookbuilding</w:t>
      </w:r>
      <w:r>
        <w:rPr>
          <w:rFonts w:ascii="Palatino Linotype" w:hAnsi="Palatino Linotype"/>
          <w:sz w:val="22"/>
          <w:szCs w:val="22"/>
        </w:rPr>
        <w:t xml:space="preserve"> será ratificado por meio de aditamento a essa Escritura de Emissão, independentemente de qualquer aprovação societária adicional da Companhia e sendo dispensada a realização de Assembleia Geral de Debenturistas.</w:t>
      </w:r>
    </w:p>
    <w:p w:rsidR="00DE78B2" w:rsidRDefault="00DE78B2">
      <w:pPr>
        <w:rPr>
          <w:rFonts w:ascii="Palatino Linotype" w:hAnsi="Palatino Linotype"/>
          <w:sz w:val="22"/>
          <w:szCs w:val="22"/>
        </w:rPr>
      </w:pPr>
    </w:p>
    <w:p w:rsidR="00DE78B2" w:rsidRDefault="00791406">
      <w:pPr>
        <w:keepNext/>
        <w:numPr>
          <w:ilvl w:val="0"/>
          <w:numId w:val="10"/>
        </w:numPr>
        <w:tabs>
          <w:tab w:val="clear" w:pos="709"/>
        </w:tabs>
        <w:rPr>
          <w:rFonts w:ascii="Palatino Linotype" w:hAnsi="Palatino Linotype"/>
          <w:smallCaps/>
          <w:sz w:val="22"/>
          <w:szCs w:val="22"/>
          <w:u w:val="single"/>
        </w:rPr>
      </w:pPr>
      <w:r>
        <w:rPr>
          <w:rFonts w:ascii="Palatino Linotype" w:hAnsi="Palatino Linotype"/>
          <w:smallCaps/>
          <w:sz w:val="22"/>
          <w:szCs w:val="22"/>
          <w:u w:val="single"/>
        </w:rPr>
        <w:t>Características da Emissão e das Debêntures</w:t>
      </w:r>
    </w:p>
    <w:p w:rsidR="00DE78B2" w:rsidRDefault="00791406">
      <w:pPr>
        <w:numPr>
          <w:ilvl w:val="1"/>
          <w:numId w:val="10"/>
        </w:numPr>
        <w:tabs>
          <w:tab w:val="clear" w:pos="709"/>
        </w:tabs>
        <w:rPr>
          <w:rFonts w:ascii="Palatino Linotype" w:hAnsi="Palatino Linotype"/>
          <w:sz w:val="22"/>
          <w:szCs w:val="22"/>
        </w:rPr>
      </w:pPr>
      <w:bookmarkStart w:id="14" w:name="h.2s8eyo1" w:colFirst="0" w:colLast="0"/>
      <w:bookmarkEnd w:id="14"/>
      <w:r>
        <w:rPr>
          <w:rFonts w:ascii="Palatino Linotype" w:hAnsi="Palatino Linotype"/>
          <w:i/>
          <w:sz w:val="22"/>
          <w:szCs w:val="22"/>
        </w:rPr>
        <w:t>Número da Emissão</w:t>
      </w:r>
      <w:r>
        <w:rPr>
          <w:rFonts w:ascii="Palatino Linotype" w:hAnsi="Palatino Linotype"/>
          <w:sz w:val="22"/>
          <w:szCs w:val="22"/>
        </w:rPr>
        <w:t>. As Debêntures representam a 2ª (segunda) emissão de debêntures da Companhia.</w:t>
      </w:r>
    </w:p>
    <w:p w:rsidR="00DE78B2" w:rsidRDefault="00791406">
      <w:pPr>
        <w:numPr>
          <w:ilvl w:val="1"/>
          <w:numId w:val="10"/>
        </w:numPr>
        <w:rPr>
          <w:rFonts w:ascii="Palatino Linotype" w:hAnsi="Palatino Linotype"/>
          <w:sz w:val="22"/>
          <w:szCs w:val="22"/>
        </w:rPr>
      </w:pPr>
      <w:bookmarkStart w:id="15" w:name="h.17dp8vu" w:colFirst="0" w:colLast="0"/>
      <w:bookmarkEnd w:id="15"/>
      <w:r>
        <w:rPr>
          <w:rFonts w:ascii="Palatino Linotype" w:hAnsi="Palatino Linotype"/>
          <w:i/>
          <w:sz w:val="22"/>
          <w:szCs w:val="22"/>
        </w:rPr>
        <w:t>Valor Total da Emissão</w:t>
      </w:r>
      <w:r>
        <w:rPr>
          <w:rFonts w:ascii="Palatino Linotype" w:hAnsi="Palatino Linotype"/>
          <w:sz w:val="22"/>
          <w:szCs w:val="22"/>
        </w:rPr>
        <w:t>. O valor total da Emissão será de R$1.700.000.000,00 (um bilhão e setecentos milhões de reais), na Data de Emissão (conforme definido abaixo) (“</w:t>
      </w:r>
      <w:r>
        <w:rPr>
          <w:rFonts w:ascii="Palatino Linotype" w:hAnsi="Palatino Linotype"/>
          <w:sz w:val="22"/>
          <w:szCs w:val="22"/>
          <w:u w:val="single"/>
        </w:rPr>
        <w:t>Valor Total da Emissão</w:t>
      </w:r>
      <w:r>
        <w:rPr>
          <w:rFonts w:ascii="Palatino Linotype" w:hAnsi="Palatino Linotype"/>
          <w:sz w:val="22"/>
          <w:szCs w:val="22"/>
        </w:rPr>
        <w:t>”).</w:t>
      </w:r>
    </w:p>
    <w:p w:rsidR="00DE78B2" w:rsidRDefault="00791406">
      <w:pPr>
        <w:numPr>
          <w:ilvl w:val="1"/>
          <w:numId w:val="10"/>
        </w:numPr>
        <w:rPr>
          <w:rFonts w:ascii="Palatino Linotype" w:hAnsi="Palatino Linotype"/>
          <w:sz w:val="22"/>
          <w:szCs w:val="22"/>
        </w:rPr>
      </w:pPr>
      <w:bookmarkStart w:id="16" w:name="h.3rdcrjn" w:colFirst="0" w:colLast="0"/>
      <w:bookmarkStart w:id="17" w:name="_Ref437363762"/>
      <w:bookmarkStart w:id="18" w:name="_Ref437362051"/>
      <w:bookmarkEnd w:id="16"/>
      <w:r>
        <w:rPr>
          <w:rFonts w:ascii="Palatino Linotype" w:hAnsi="Palatino Linotype"/>
          <w:i/>
          <w:sz w:val="22"/>
          <w:szCs w:val="22"/>
        </w:rPr>
        <w:t>Quantidade</w:t>
      </w:r>
      <w:r>
        <w:rPr>
          <w:rFonts w:ascii="Palatino Linotype" w:hAnsi="Palatino Linotype"/>
          <w:sz w:val="22"/>
          <w:szCs w:val="22"/>
        </w:rPr>
        <w:t>. Serão emitidas 1.700.000 (um milhão e setecentas mil) Debêntures.</w:t>
      </w:r>
      <w:bookmarkEnd w:id="17"/>
      <w:bookmarkEnd w:id="18"/>
    </w:p>
    <w:p w:rsidR="00DE78B2" w:rsidRDefault="00791406">
      <w:pPr>
        <w:numPr>
          <w:ilvl w:val="1"/>
          <w:numId w:val="10"/>
        </w:numPr>
        <w:tabs>
          <w:tab w:val="clear" w:pos="709"/>
        </w:tabs>
        <w:rPr>
          <w:rFonts w:ascii="Palatino Linotype" w:hAnsi="Palatino Linotype"/>
          <w:sz w:val="22"/>
          <w:szCs w:val="22"/>
        </w:rPr>
      </w:pPr>
      <w:bookmarkStart w:id="19" w:name="h.26in1rg" w:colFirst="0" w:colLast="0"/>
      <w:bookmarkEnd w:id="19"/>
      <w:r>
        <w:rPr>
          <w:rFonts w:ascii="Palatino Linotype" w:hAnsi="Palatino Linotype"/>
          <w:i/>
          <w:sz w:val="22"/>
          <w:szCs w:val="22"/>
        </w:rPr>
        <w:t>Valor Nominal Unitário</w:t>
      </w:r>
      <w:r>
        <w:rPr>
          <w:rFonts w:ascii="Palatino Linotype" w:hAnsi="Palatino Linotype"/>
          <w:sz w:val="22"/>
          <w:szCs w:val="22"/>
        </w:rPr>
        <w:t>. As Debêntures terão valor nominal unitário de R$1.000,00 (mil reais), na Data de Emissão ("</w:t>
      </w:r>
      <w:r>
        <w:rPr>
          <w:rFonts w:ascii="Palatino Linotype" w:hAnsi="Palatino Linotype"/>
          <w:sz w:val="22"/>
          <w:szCs w:val="22"/>
          <w:u w:val="single"/>
        </w:rPr>
        <w:t>Valor Nominal Unitário</w:t>
      </w:r>
      <w:r>
        <w:rPr>
          <w:rFonts w:ascii="Palatino Linotype" w:hAnsi="Palatino Linotype"/>
          <w:sz w:val="22"/>
          <w:szCs w:val="22"/>
        </w:rPr>
        <w:t>").</w:t>
      </w:r>
    </w:p>
    <w:p w:rsidR="00DE78B2" w:rsidRDefault="00791406">
      <w:pPr>
        <w:numPr>
          <w:ilvl w:val="1"/>
          <w:numId w:val="10"/>
        </w:numPr>
        <w:tabs>
          <w:tab w:val="clear" w:pos="709"/>
        </w:tabs>
        <w:rPr>
          <w:rFonts w:ascii="Palatino Linotype" w:hAnsi="Palatino Linotype"/>
          <w:sz w:val="22"/>
          <w:szCs w:val="22"/>
        </w:rPr>
      </w:pPr>
      <w:bookmarkStart w:id="20" w:name="h.lnxbz9" w:colFirst="0" w:colLast="0"/>
      <w:bookmarkStart w:id="21" w:name="_Ref437362068"/>
      <w:bookmarkEnd w:id="20"/>
      <w:r>
        <w:rPr>
          <w:rFonts w:ascii="Palatino Linotype" w:hAnsi="Palatino Linotype"/>
          <w:i/>
          <w:sz w:val="22"/>
          <w:szCs w:val="22"/>
        </w:rPr>
        <w:t>Séries</w:t>
      </w:r>
      <w:r>
        <w:rPr>
          <w:rFonts w:ascii="Palatino Linotype" w:hAnsi="Palatino Linotype"/>
          <w:sz w:val="22"/>
          <w:szCs w:val="22"/>
        </w:rPr>
        <w:t xml:space="preserve">. </w:t>
      </w:r>
      <w:bookmarkEnd w:id="21"/>
      <w:r>
        <w:rPr>
          <w:rFonts w:ascii="Palatino Linotype" w:hAnsi="Palatino Linotype"/>
          <w:sz w:val="22"/>
          <w:szCs w:val="22"/>
        </w:rPr>
        <w:t xml:space="preserve">A Emissão será realizada em série única. </w:t>
      </w:r>
    </w:p>
    <w:p w:rsidR="00DE78B2" w:rsidRDefault="00791406">
      <w:pPr>
        <w:numPr>
          <w:ilvl w:val="1"/>
          <w:numId w:val="10"/>
        </w:numPr>
        <w:rPr>
          <w:rFonts w:ascii="Palatino Linotype" w:hAnsi="Palatino Linotype"/>
          <w:sz w:val="22"/>
          <w:szCs w:val="22"/>
        </w:rPr>
      </w:pPr>
      <w:r>
        <w:rPr>
          <w:rFonts w:ascii="Palatino Linotype" w:hAnsi="Palatino Linotype"/>
          <w:i/>
          <w:sz w:val="22"/>
          <w:szCs w:val="22"/>
        </w:rPr>
        <w:t>Forma e Comprovação de Titularidade</w:t>
      </w:r>
      <w:r>
        <w:rPr>
          <w:rFonts w:ascii="Palatino Linotype" w:hAnsi="Palatino Linotype"/>
          <w:sz w:val="22"/>
          <w:szCs w:val="22"/>
        </w:rPr>
        <w:t>. As Debêntures serão emitidas sob a forma nominativa, escritural, sem emissão de certificados, sendo que, para todos os fins de direito, a titularidade das Debêntures será comprovada pelo extrato emitido pelo Escriturador (conforme definido abaixo). Adicionalmente, será reconhecido como comprovante de titularidade das Debêntures o extrato expedido pela B3 em nome do Debenturista, quando as Debêntures estiverem custodiadas eletronicamente na B3.</w:t>
      </w:r>
    </w:p>
    <w:p w:rsidR="00DE78B2" w:rsidRDefault="00791406">
      <w:pPr>
        <w:numPr>
          <w:ilvl w:val="1"/>
          <w:numId w:val="10"/>
        </w:numPr>
        <w:tabs>
          <w:tab w:val="clear" w:pos="709"/>
        </w:tabs>
        <w:rPr>
          <w:rFonts w:ascii="Palatino Linotype" w:hAnsi="Palatino Linotype"/>
          <w:sz w:val="22"/>
          <w:szCs w:val="22"/>
        </w:rPr>
      </w:pPr>
      <w:bookmarkStart w:id="22" w:name="h.35nkun2" w:colFirst="0" w:colLast="0"/>
      <w:bookmarkStart w:id="23" w:name="_Ref807031"/>
      <w:bookmarkEnd w:id="22"/>
      <w:r>
        <w:rPr>
          <w:rFonts w:ascii="Palatino Linotype" w:hAnsi="Palatino Linotype"/>
          <w:i/>
          <w:sz w:val="22"/>
          <w:szCs w:val="22"/>
        </w:rPr>
        <w:t>Escriturador</w:t>
      </w:r>
      <w:r>
        <w:rPr>
          <w:rFonts w:ascii="Palatino Linotype" w:hAnsi="Palatino Linotype"/>
          <w:sz w:val="22"/>
          <w:szCs w:val="22"/>
        </w:rPr>
        <w:t>. A instituição prestadora de serviços de escrituração das Debêntures será o Banco Bradesco S.A., instituição financeira com sede na Cidade de Osasco, Estado de São Paulo, no núcleo administrativo denominado "Cidade de Deus", s/nº, inscrita no CNPJ/MF sob o nº 60.746.948/0001-12 ("</w:t>
      </w:r>
      <w:proofErr w:type="spellStart"/>
      <w:r>
        <w:rPr>
          <w:rFonts w:ascii="Palatino Linotype" w:hAnsi="Palatino Linotype"/>
          <w:sz w:val="22"/>
          <w:szCs w:val="22"/>
          <w:u w:val="single"/>
        </w:rPr>
        <w:t>Escriturador</w:t>
      </w:r>
      <w:proofErr w:type="spellEnd"/>
      <w:r>
        <w:rPr>
          <w:rFonts w:ascii="Palatino Linotype" w:hAnsi="Palatino Linotype"/>
          <w:sz w:val="22"/>
          <w:szCs w:val="22"/>
        </w:rPr>
        <w:t>").</w:t>
      </w:r>
      <w:bookmarkEnd w:id="23"/>
    </w:p>
    <w:p w:rsidR="00DE78B2" w:rsidRDefault="00791406">
      <w:pPr>
        <w:numPr>
          <w:ilvl w:val="1"/>
          <w:numId w:val="10"/>
        </w:numPr>
        <w:tabs>
          <w:tab w:val="clear" w:pos="709"/>
        </w:tabs>
        <w:rPr>
          <w:rFonts w:ascii="Palatino Linotype" w:hAnsi="Palatino Linotype"/>
          <w:sz w:val="22"/>
          <w:szCs w:val="22"/>
        </w:rPr>
      </w:pPr>
      <w:r>
        <w:rPr>
          <w:rFonts w:ascii="Palatino Linotype" w:hAnsi="Palatino Linotype"/>
          <w:i/>
          <w:sz w:val="22"/>
          <w:szCs w:val="22"/>
        </w:rPr>
        <w:lastRenderedPageBreak/>
        <w:t>Banco Liquidante</w:t>
      </w:r>
      <w:r>
        <w:rPr>
          <w:rFonts w:ascii="Palatino Linotype" w:hAnsi="Palatino Linotype"/>
          <w:sz w:val="22"/>
          <w:szCs w:val="22"/>
        </w:rPr>
        <w:t xml:space="preserve">. A instituição prestadora de serviços de banco liquidante das Debêntures é o Banco Bradesco S.A., conforme qualificado na cláusula </w:t>
      </w:r>
      <w:r>
        <w:rPr>
          <w:rFonts w:ascii="Palatino Linotype" w:hAnsi="Palatino Linotype"/>
          <w:sz w:val="22"/>
          <w:szCs w:val="22"/>
        </w:rPr>
        <w:fldChar w:fldCharType="begin"/>
      </w:r>
      <w:r>
        <w:rPr>
          <w:rFonts w:ascii="Palatino Linotype" w:hAnsi="Palatino Linotype"/>
          <w:sz w:val="22"/>
          <w:szCs w:val="22"/>
        </w:rPr>
        <w:instrText xml:space="preserve"> REF _Ref807031 \r \p \h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6.7 acima</w:t>
      </w:r>
      <w:r>
        <w:rPr>
          <w:rFonts w:ascii="Palatino Linotype" w:hAnsi="Palatino Linotype"/>
          <w:sz w:val="22"/>
          <w:szCs w:val="22"/>
        </w:rPr>
        <w:fldChar w:fldCharType="end"/>
      </w:r>
      <w:r>
        <w:rPr>
          <w:rFonts w:ascii="Palatino Linotype" w:hAnsi="Palatino Linotype"/>
          <w:sz w:val="22"/>
          <w:szCs w:val="22"/>
        </w:rPr>
        <w:t xml:space="preserve"> ("</w:t>
      </w:r>
      <w:r>
        <w:rPr>
          <w:rFonts w:ascii="Palatino Linotype" w:hAnsi="Palatino Linotype"/>
          <w:sz w:val="22"/>
          <w:szCs w:val="22"/>
          <w:u w:val="single"/>
        </w:rPr>
        <w:t>Banco Liquidante</w:t>
      </w:r>
      <w:r>
        <w:rPr>
          <w:rFonts w:ascii="Palatino Linotype" w:hAnsi="Palatino Linotype"/>
          <w:sz w:val="22"/>
          <w:szCs w:val="22"/>
        </w:rPr>
        <w:t>").</w:t>
      </w:r>
    </w:p>
    <w:p w:rsidR="00DE78B2" w:rsidRDefault="00791406">
      <w:pPr>
        <w:numPr>
          <w:ilvl w:val="1"/>
          <w:numId w:val="10"/>
        </w:numPr>
        <w:tabs>
          <w:tab w:val="clear" w:pos="709"/>
        </w:tabs>
        <w:rPr>
          <w:rFonts w:ascii="Palatino Linotype" w:hAnsi="Palatino Linotype"/>
          <w:sz w:val="22"/>
          <w:szCs w:val="22"/>
        </w:rPr>
      </w:pPr>
      <w:r>
        <w:rPr>
          <w:rFonts w:ascii="Palatino Linotype" w:hAnsi="Palatino Linotype"/>
          <w:i/>
          <w:sz w:val="22"/>
          <w:szCs w:val="22"/>
        </w:rPr>
        <w:t>Conversibilidade</w:t>
      </w:r>
      <w:r>
        <w:rPr>
          <w:rFonts w:ascii="Palatino Linotype" w:hAnsi="Palatino Linotype"/>
          <w:sz w:val="22"/>
          <w:szCs w:val="22"/>
        </w:rPr>
        <w:t>. As Debêntures serão simples, ou seja, não serão conversíveis em ações de emissão da Companhia.</w:t>
      </w:r>
    </w:p>
    <w:p w:rsidR="00DE78B2" w:rsidRDefault="00791406">
      <w:pPr>
        <w:numPr>
          <w:ilvl w:val="1"/>
          <w:numId w:val="10"/>
        </w:numPr>
        <w:rPr>
          <w:rFonts w:ascii="Palatino Linotype" w:hAnsi="Palatino Linotype"/>
          <w:sz w:val="22"/>
          <w:szCs w:val="22"/>
        </w:rPr>
      </w:pPr>
      <w:r>
        <w:rPr>
          <w:rFonts w:ascii="Palatino Linotype" w:hAnsi="Palatino Linotype"/>
          <w:i/>
          <w:sz w:val="22"/>
          <w:szCs w:val="22"/>
        </w:rPr>
        <w:t>Espécie</w:t>
      </w:r>
      <w:r>
        <w:rPr>
          <w:rFonts w:ascii="Palatino Linotype" w:hAnsi="Palatino Linotype"/>
          <w:sz w:val="22"/>
          <w:szCs w:val="22"/>
        </w:rPr>
        <w:t>. As Debêntures serão da espécie quirografária, nos termos do artigo 58 da Lei das Sociedades por Ações, sem garantias adicionais reais ou fidejussórias e sem preferência, não conferindo, portanto, qualquer privilégio especial ou geral a seus titulares.</w:t>
      </w:r>
    </w:p>
    <w:p w:rsidR="00DE78B2" w:rsidRDefault="00791406">
      <w:pPr>
        <w:numPr>
          <w:ilvl w:val="1"/>
          <w:numId w:val="10"/>
        </w:numPr>
        <w:tabs>
          <w:tab w:val="clear" w:pos="709"/>
        </w:tabs>
        <w:rPr>
          <w:rFonts w:ascii="Palatino Linotype" w:hAnsi="Palatino Linotype"/>
          <w:sz w:val="22"/>
          <w:szCs w:val="22"/>
        </w:rPr>
      </w:pPr>
      <w:bookmarkStart w:id="24" w:name="h.1ksv4uv" w:colFirst="0" w:colLast="0"/>
      <w:bookmarkEnd w:id="24"/>
      <w:r>
        <w:rPr>
          <w:rFonts w:ascii="Palatino Linotype" w:hAnsi="Palatino Linotype"/>
          <w:i/>
          <w:sz w:val="22"/>
          <w:szCs w:val="22"/>
        </w:rPr>
        <w:t>Data de Emissão</w:t>
      </w:r>
      <w:r>
        <w:rPr>
          <w:rFonts w:ascii="Palatino Linotype" w:hAnsi="Palatino Linotype"/>
          <w:sz w:val="22"/>
          <w:szCs w:val="22"/>
        </w:rPr>
        <w:t>. Para todos os efeitos legais, a data de emissão das Debêntures será 28 de fevereiro de 2019 ("</w:t>
      </w:r>
      <w:r>
        <w:rPr>
          <w:rFonts w:ascii="Palatino Linotype" w:hAnsi="Palatino Linotype"/>
          <w:sz w:val="22"/>
          <w:szCs w:val="22"/>
          <w:u w:val="single"/>
        </w:rPr>
        <w:t>Data de Emissão</w:t>
      </w:r>
      <w:r>
        <w:rPr>
          <w:rFonts w:ascii="Palatino Linotype" w:hAnsi="Palatino Linotype"/>
          <w:sz w:val="22"/>
          <w:szCs w:val="22"/>
        </w:rPr>
        <w:t>").</w:t>
      </w:r>
    </w:p>
    <w:p w:rsidR="00DE78B2" w:rsidRDefault="00791406">
      <w:pPr>
        <w:numPr>
          <w:ilvl w:val="1"/>
          <w:numId w:val="10"/>
        </w:numPr>
        <w:tabs>
          <w:tab w:val="clear" w:pos="709"/>
        </w:tabs>
        <w:rPr>
          <w:rFonts w:ascii="Palatino Linotype" w:hAnsi="Palatino Linotype"/>
          <w:sz w:val="22"/>
          <w:szCs w:val="22"/>
        </w:rPr>
      </w:pPr>
      <w:bookmarkStart w:id="25" w:name="h.44sinio" w:colFirst="0" w:colLast="0"/>
      <w:bookmarkEnd w:id="25"/>
      <w:r>
        <w:rPr>
          <w:rFonts w:ascii="Palatino Linotype" w:hAnsi="Palatino Linotype"/>
          <w:i/>
          <w:sz w:val="22"/>
          <w:szCs w:val="22"/>
        </w:rPr>
        <w:t>Prazo e Data de Vencimento</w:t>
      </w:r>
      <w:r>
        <w:rPr>
          <w:rFonts w:ascii="Palatino Linotype" w:hAnsi="Palatino Linotype"/>
          <w:sz w:val="22"/>
          <w:szCs w:val="22"/>
        </w:rPr>
        <w:t>. Ressalvadas as hipóteses de vencimento antecipado das obrigações decorrentes das Debêntures e/ou Resgate Antecipado Facultativo (conforme abaixo definido) das Debêntures (conforme abaixo definido), nos termos previstos nesta Escritura de Emissão, o prazo das Debêntures será de 2 (dois) anos contados da Data de Emissão, vencendo-se, portanto, em 28 de fevereiro de 2021 ("</w:t>
      </w:r>
      <w:r>
        <w:rPr>
          <w:rFonts w:ascii="Palatino Linotype" w:hAnsi="Palatino Linotype"/>
          <w:sz w:val="22"/>
          <w:szCs w:val="22"/>
          <w:u w:val="single"/>
        </w:rPr>
        <w:t>Data de Vencimento</w:t>
      </w:r>
      <w:r>
        <w:rPr>
          <w:rFonts w:ascii="Palatino Linotype" w:hAnsi="Palatino Linotype"/>
          <w:sz w:val="22"/>
          <w:szCs w:val="22"/>
        </w:rPr>
        <w:t>").</w:t>
      </w:r>
    </w:p>
    <w:p w:rsidR="00DE78B2" w:rsidRDefault="00791406">
      <w:pPr>
        <w:numPr>
          <w:ilvl w:val="1"/>
          <w:numId w:val="10"/>
        </w:numPr>
        <w:tabs>
          <w:tab w:val="clear" w:pos="709"/>
        </w:tabs>
        <w:rPr>
          <w:rFonts w:ascii="Palatino Linotype" w:hAnsi="Palatino Linotype"/>
          <w:sz w:val="22"/>
          <w:szCs w:val="22"/>
        </w:rPr>
      </w:pPr>
      <w:bookmarkStart w:id="26" w:name="h.2jxsxqh" w:colFirst="0" w:colLast="0"/>
      <w:bookmarkEnd w:id="26"/>
      <w:r>
        <w:rPr>
          <w:rFonts w:ascii="Palatino Linotype" w:hAnsi="Palatino Linotype"/>
          <w:i/>
          <w:sz w:val="22"/>
          <w:szCs w:val="22"/>
        </w:rPr>
        <w:t>Amortização do Valor Nominal Unitário</w:t>
      </w:r>
      <w:r>
        <w:rPr>
          <w:rFonts w:ascii="Palatino Linotype" w:hAnsi="Palatino Linotype"/>
          <w:sz w:val="22"/>
          <w:szCs w:val="22"/>
        </w:rPr>
        <w:t>. Sem prejuízo dos pagamentos em decorrência de vencimento antecipado das obrigações decorrentes das Debêntures, Amortização Antecipada Facultativa (conforme abaixo definido) e/ou Resgate Antecipado Facultativo das Debêntures, nos termos previstos nesta Escritura de Emissão, o Valor Nominal Unitário das Debêntures será amortizado da seguinte forma:</w:t>
      </w:r>
    </w:p>
    <w:p w:rsidR="00DE78B2" w:rsidRDefault="00DE78B2">
      <w:pPr>
        <w:pStyle w:val="PargrafodaLista"/>
        <w:ind w:left="1701"/>
        <w:rPr>
          <w:rFonts w:ascii="Palatino Linotype" w:hAnsi="Palatino Linotype"/>
          <w:sz w:val="22"/>
          <w:szCs w:val="22"/>
        </w:rPr>
      </w:pPr>
    </w:p>
    <w:tbl>
      <w:tblPr>
        <w:tblStyle w:val="Tabelacomgrade"/>
        <w:tblW w:w="0" w:type="auto"/>
        <w:jc w:val="center"/>
        <w:tblLook w:val="04A0" w:firstRow="1" w:lastRow="0" w:firstColumn="1" w:lastColumn="0" w:noHBand="0" w:noVBand="1"/>
      </w:tblPr>
      <w:tblGrid>
        <w:gridCol w:w="2194"/>
        <w:gridCol w:w="2448"/>
        <w:gridCol w:w="2216"/>
      </w:tblGrid>
      <w:tr w:rsidR="00DE78B2">
        <w:trPr>
          <w:jc w:val="center"/>
        </w:trPr>
        <w:tc>
          <w:tcPr>
            <w:tcW w:w="2194" w:type="dxa"/>
            <w:vAlign w:val="center"/>
          </w:tcPr>
          <w:p w:rsidR="00DE78B2" w:rsidRDefault="00791406">
            <w:pPr>
              <w:pStyle w:val="PargrafodaLista"/>
              <w:ind w:left="0"/>
              <w:jc w:val="center"/>
              <w:rPr>
                <w:rFonts w:ascii="Palatino Linotype" w:hAnsi="Palatino Linotype"/>
                <w:b/>
                <w:sz w:val="22"/>
                <w:szCs w:val="22"/>
              </w:rPr>
            </w:pPr>
            <w:r>
              <w:rPr>
                <w:rFonts w:ascii="Palatino Linotype" w:hAnsi="Palatino Linotype"/>
                <w:b/>
                <w:sz w:val="22"/>
                <w:szCs w:val="22"/>
              </w:rPr>
              <w:t>Parcela</w:t>
            </w:r>
          </w:p>
        </w:tc>
        <w:tc>
          <w:tcPr>
            <w:tcW w:w="2219" w:type="dxa"/>
            <w:vAlign w:val="center"/>
          </w:tcPr>
          <w:p w:rsidR="00DE78B2" w:rsidRDefault="00791406">
            <w:pPr>
              <w:pStyle w:val="PargrafodaLista"/>
              <w:ind w:left="0"/>
              <w:jc w:val="center"/>
              <w:rPr>
                <w:rFonts w:ascii="Palatino Linotype" w:hAnsi="Palatino Linotype"/>
                <w:b/>
                <w:sz w:val="22"/>
                <w:szCs w:val="22"/>
              </w:rPr>
            </w:pPr>
            <w:r>
              <w:rPr>
                <w:rFonts w:ascii="Palatino Linotype" w:hAnsi="Palatino Linotype"/>
                <w:b/>
                <w:sz w:val="22"/>
                <w:szCs w:val="22"/>
              </w:rPr>
              <w:t>Data de Amortização</w:t>
            </w:r>
          </w:p>
        </w:tc>
        <w:tc>
          <w:tcPr>
            <w:tcW w:w="2216" w:type="dxa"/>
            <w:vAlign w:val="center"/>
          </w:tcPr>
          <w:p w:rsidR="00DE78B2" w:rsidRDefault="00791406">
            <w:pPr>
              <w:pStyle w:val="PargrafodaLista"/>
              <w:ind w:left="0"/>
              <w:jc w:val="center"/>
              <w:rPr>
                <w:rFonts w:ascii="Palatino Linotype" w:hAnsi="Palatino Linotype"/>
                <w:b/>
                <w:sz w:val="22"/>
                <w:szCs w:val="22"/>
              </w:rPr>
            </w:pPr>
            <w:r>
              <w:rPr>
                <w:rFonts w:ascii="Palatino Linotype" w:hAnsi="Palatino Linotype"/>
                <w:b/>
                <w:sz w:val="22"/>
                <w:szCs w:val="22"/>
              </w:rPr>
              <w:t xml:space="preserve">% do Valor Nominal Unitário Amortizado das Debêntures </w:t>
            </w:r>
          </w:p>
        </w:tc>
      </w:tr>
      <w:tr w:rsidR="00DE78B2">
        <w:trPr>
          <w:jc w:val="center"/>
        </w:trPr>
        <w:tc>
          <w:tcPr>
            <w:tcW w:w="2194" w:type="dxa"/>
          </w:tcPr>
          <w:p w:rsidR="00DE78B2" w:rsidRDefault="00791406">
            <w:pPr>
              <w:pStyle w:val="PargrafodaLista"/>
              <w:ind w:left="0"/>
              <w:rPr>
                <w:rFonts w:ascii="Palatino Linotype" w:hAnsi="Palatino Linotype"/>
                <w:sz w:val="22"/>
                <w:szCs w:val="22"/>
              </w:rPr>
            </w:pPr>
            <w:r>
              <w:rPr>
                <w:rFonts w:ascii="Palatino Linotype" w:hAnsi="Palatino Linotype"/>
                <w:sz w:val="22"/>
                <w:szCs w:val="22"/>
              </w:rPr>
              <w:t xml:space="preserve">1ª </w:t>
            </w:r>
          </w:p>
        </w:tc>
        <w:tc>
          <w:tcPr>
            <w:tcW w:w="2219" w:type="dxa"/>
          </w:tcPr>
          <w:p w:rsidR="00DE78B2" w:rsidRDefault="00791406">
            <w:pPr>
              <w:pStyle w:val="PargrafodaLista"/>
              <w:ind w:left="0"/>
              <w:jc w:val="center"/>
              <w:rPr>
                <w:rFonts w:ascii="Palatino Linotype" w:hAnsi="Palatino Linotype"/>
                <w:sz w:val="22"/>
                <w:szCs w:val="22"/>
              </w:rPr>
            </w:pPr>
            <w:r>
              <w:rPr>
                <w:rFonts w:ascii="Palatino Linotype" w:hAnsi="Palatino Linotype"/>
                <w:sz w:val="22"/>
                <w:szCs w:val="22"/>
              </w:rPr>
              <w:t>28 de fevereiro de 2020</w:t>
            </w:r>
          </w:p>
        </w:tc>
        <w:tc>
          <w:tcPr>
            <w:tcW w:w="2216" w:type="dxa"/>
          </w:tcPr>
          <w:p w:rsidR="00DE78B2" w:rsidRDefault="00791406">
            <w:pPr>
              <w:pStyle w:val="PargrafodaLista"/>
              <w:ind w:left="0"/>
              <w:jc w:val="center"/>
              <w:rPr>
                <w:rFonts w:ascii="Palatino Linotype" w:hAnsi="Palatino Linotype"/>
                <w:sz w:val="22"/>
                <w:szCs w:val="22"/>
              </w:rPr>
            </w:pPr>
            <w:r>
              <w:rPr>
                <w:rFonts w:ascii="Palatino Linotype" w:hAnsi="Palatino Linotype"/>
                <w:sz w:val="22"/>
                <w:szCs w:val="22"/>
              </w:rPr>
              <w:t>33,3300%</w:t>
            </w:r>
          </w:p>
        </w:tc>
      </w:tr>
      <w:tr w:rsidR="00DE78B2">
        <w:trPr>
          <w:jc w:val="center"/>
        </w:trPr>
        <w:tc>
          <w:tcPr>
            <w:tcW w:w="2194" w:type="dxa"/>
          </w:tcPr>
          <w:p w:rsidR="00DE78B2" w:rsidRDefault="00791406">
            <w:pPr>
              <w:pStyle w:val="PargrafodaLista"/>
              <w:ind w:left="0"/>
              <w:rPr>
                <w:rFonts w:ascii="Palatino Linotype" w:hAnsi="Palatino Linotype"/>
                <w:sz w:val="22"/>
                <w:szCs w:val="22"/>
              </w:rPr>
            </w:pPr>
            <w:r>
              <w:rPr>
                <w:rFonts w:ascii="Palatino Linotype" w:hAnsi="Palatino Linotype"/>
                <w:sz w:val="22"/>
                <w:szCs w:val="22"/>
              </w:rPr>
              <w:t>2ª</w:t>
            </w:r>
          </w:p>
        </w:tc>
        <w:tc>
          <w:tcPr>
            <w:tcW w:w="2219" w:type="dxa"/>
          </w:tcPr>
          <w:p w:rsidR="00DE78B2" w:rsidRDefault="00791406">
            <w:pPr>
              <w:pStyle w:val="PargrafodaLista"/>
              <w:ind w:left="0"/>
              <w:jc w:val="center"/>
              <w:rPr>
                <w:rFonts w:ascii="Palatino Linotype" w:hAnsi="Palatino Linotype"/>
                <w:sz w:val="22"/>
                <w:szCs w:val="22"/>
              </w:rPr>
            </w:pPr>
            <w:r>
              <w:rPr>
                <w:rFonts w:ascii="Palatino Linotype" w:hAnsi="Palatino Linotype"/>
                <w:sz w:val="22"/>
                <w:szCs w:val="22"/>
              </w:rPr>
              <w:t>28 de agosto de 2020</w:t>
            </w:r>
          </w:p>
        </w:tc>
        <w:tc>
          <w:tcPr>
            <w:tcW w:w="2216" w:type="dxa"/>
          </w:tcPr>
          <w:p w:rsidR="00DE78B2" w:rsidRDefault="00791406">
            <w:pPr>
              <w:pStyle w:val="PargrafodaLista"/>
              <w:ind w:left="0"/>
              <w:jc w:val="center"/>
              <w:rPr>
                <w:rFonts w:ascii="Palatino Linotype" w:hAnsi="Palatino Linotype"/>
                <w:sz w:val="22"/>
                <w:szCs w:val="22"/>
              </w:rPr>
            </w:pPr>
            <w:r>
              <w:rPr>
                <w:rFonts w:ascii="Palatino Linotype" w:hAnsi="Palatino Linotype"/>
                <w:sz w:val="22"/>
                <w:szCs w:val="22"/>
              </w:rPr>
              <w:t>33,3300%</w:t>
            </w:r>
          </w:p>
        </w:tc>
      </w:tr>
      <w:tr w:rsidR="00DE78B2">
        <w:trPr>
          <w:jc w:val="center"/>
        </w:trPr>
        <w:tc>
          <w:tcPr>
            <w:tcW w:w="2194" w:type="dxa"/>
          </w:tcPr>
          <w:p w:rsidR="00DE78B2" w:rsidRDefault="00791406">
            <w:pPr>
              <w:pStyle w:val="PargrafodaLista"/>
              <w:ind w:left="0"/>
              <w:rPr>
                <w:rFonts w:ascii="Palatino Linotype" w:hAnsi="Palatino Linotype"/>
                <w:sz w:val="22"/>
                <w:szCs w:val="22"/>
              </w:rPr>
            </w:pPr>
            <w:r>
              <w:rPr>
                <w:rFonts w:ascii="Palatino Linotype" w:hAnsi="Palatino Linotype"/>
                <w:sz w:val="22"/>
                <w:szCs w:val="22"/>
              </w:rPr>
              <w:t>3ª</w:t>
            </w:r>
          </w:p>
        </w:tc>
        <w:tc>
          <w:tcPr>
            <w:tcW w:w="2219" w:type="dxa"/>
          </w:tcPr>
          <w:p w:rsidR="00DE78B2" w:rsidRDefault="00791406">
            <w:pPr>
              <w:pStyle w:val="PargrafodaLista"/>
              <w:ind w:left="0"/>
              <w:jc w:val="center"/>
              <w:rPr>
                <w:rFonts w:ascii="Palatino Linotype" w:hAnsi="Palatino Linotype"/>
                <w:sz w:val="22"/>
                <w:szCs w:val="22"/>
              </w:rPr>
            </w:pPr>
            <w:r>
              <w:rPr>
                <w:rFonts w:ascii="Palatino Linotype" w:hAnsi="Palatino Linotype"/>
                <w:sz w:val="22"/>
                <w:szCs w:val="22"/>
              </w:rPr>
              <w:t>Data de Vencimento</w:t>
            </w:r>
          </w:p>
        </w:tc>
        <w:tc>
          <w:tcPr>
            <w:tcW w:w="2216" w:type="dxa"/>
          </w:tcPr>
          <w:p w:rsidR="00DE78B2" w:rsidRDefault="00791406">
            <w:pPr>
              <w:pStyle w:val="PargrafodaLista"/>
              <w:ind w:left="0"/>
              <w:jc w:val="center"/>
              <w:rPr>
                <w:rFonts w:ascii="Palatino Linotype" w:hAnsi="Palatino Linotype"/>
                <w:sz w:val="22"/>
                <w:szCs w:val="22"/>
              </w:rPr>
            </w:pPr>
            <w:r>
              <w:rPr>
                <w:rFonts w:ascii="Palatino Linotype" w:hAnsi="Palatino Linotype"/>
                <w:sz w:val="22"/>
                <w:szCs w:val="22"/>
              </w:rPr>
              <w:t>33,3400%</w:t>
            </w:r>
          </w:p>
        </w:tc>
      </w:tr>
    </w:tbl>
    <w:p w:rsidR="00DE78B2" w:rsidRDefault="00DE78B2">
      <w:pPr>
        <w:pStyle w:val="PargrafodaLista"/>
        <w:ind w:left="1701"/>
        <w:rPr>
          <w:rFonts w:ascii="Palatino Linotype" w:hAnsi="Palatino Linotype"/>
          <w:sz w:val="22"/>
          <w:szCs w:val="22"/>
        </w:rPr>
      </w:pPr>
    </w:p>
    <w:p w:rsidR="00DE78B2" w:rsidRDefault="00791406">
      <w:pPr>
        <w:numPr>
          <w:ilvl w:val="1"/>
          <w:numId w:val="10"/>
        </w:numPr>
        <w:tabs>
          <w:tab w:val="clear" w:pos="709"/>
        </w:tabs>
        <w:rPr>
          <w:rFonts w:ascii="Palatino Linotype" w:hAnsi="Palatino Linotype"/>
          <w:sz w:val="22"/>
          <w:szCs w:val="22"/>
        </w:rPr>
      </w:pPr>
      <w:bookmarkStart w:id="27" w:name="h.z337ya" w:colFirst="0" w:colLast="0"/>
      <w:bookmarkStart w:id="28" w:name="h.3j2qqm3" w:colFirst="0" w:colLast="0"/>
      <w:bookmarkStart w:id="29" w:name="_Ref532907230"/>
      <w:bookmarkEnd w:id="27"/>
      <w:bookmarkEnd w:id="28"/>
      <w:r>
        <w:rPr>
          <w:rFonts w:ascii="Palatino Linotype" w:hAnsi="Palatino Linotype"/>
          <w:i/>
          <w:sz w:val="22"/>
          <w:szCs w:val="22"/>
        </w:rPr>
        <w:t>Remuneração</w:t>
      </w:r>
      <w:r>
        <w:rPr>
          <w:rFonts w:ascii="Palatino Linotype" w:hAnsi="Palatino Linotype"/>
          <w:sz w:val="22"/>
          <w:szCs w:val="22"/>
        </w:rPr>
        <w:t>. A remuneração das Debêntures será a seguinte:</w:t>
      </w:r>
      <w:bookmarkEnd w:id="29"/>
    </w:p>
    <w:p w:rsidR="00DE78B2" w:rsidRDefault="00791406">
      <w:pPr>
        <w:numPr>
          <w:ilvl w:val="2"/>
          <w:numId w:val="10"/>
        </w:numPr>
        <w:tabs>
          <w:tab w:val="clear" w:pos="1701"/>
        </w:tabs>
        <w:rPr>
          <w:rFonts w:ascii="Palatino Linotype" w:hAnsi="Palatino Linotype"/>
          <w:sz w:val="22"/>
          <w:szCs w:val="22"/>
        </w:rPr>
      </w:pPr>
      <w:r>
        <w:rPr>
          <w:rFonts w:ascii="Palatino Linotype" w:hAnsi="Palatino Linotype"/>
          <w:i/>
          <w:sz w:val="22"/>
          <w:szCs w:val="22"/>
        </w:rPr>
        <w:t>atualização monetária</w:t>
      </w:r>
      <w:r>
        <w:rPr>
          <w:rFonts w:ascii="Palatino Linotype" w:hAnsi="Palatino Linotype"/>
          <w:sz w:val="22"/>
          <w:szCs w:val="22"/>
        </w:rPr>
        <w:t>: o Valor Nominal Unitário das Debêntures não será atualizado monetariamente; e</w:t>
      </w:r>
    </w:p>
    <w:p w:rsidR="00DE78B2" w:rsidRDefault="00791406">
      <w:pPr>
        <w:numPr>
          <w:ilvl w:val="2"/>
          <w:numId w:val="10"/>
        </w:numPr>
        <w:rPr>
          <w:rFonts w:ascii="Palatino Linotype" w:hAnsi="Palatino Linotype"/>
          <w:sz w:val="22"/>
          <w:szCs w:val="22"/>
        </w:rPr>
      </w:pPr>
      <w:bookmarkStart w:id="30" w:name="h.1y810tw" w:colFirst="0" w:colLast="0"/>
      <w:bookmarkEnd w:id="30"/>
      <w:r>
        <w:rPr>
          <w:rFonts w:ascii="Palatino Linotype" w:hAnsi="Palatino Linotype"/>
          <w:i/>
          <w:sz w:val="22"/>
          <w:szCs w:val="22"/>
        </w:rPr>
        <w:t>juros remuneratórios</w:t>
      </w:r>
      <w:r>
        <w:rPr>
          <w:rFonts w:ascii="Palatino Linotype" w:hAnsi="Palatino Linotype"/>
          <w:sz w:val="22"/>
          <w:szCs w:val="22"/>
        </w:rPr>
        <w:t xml:space="preserve">: sobre o Valor Nominal Unitário ou saldo do Valor Nominal Unitário das Debêntures, conforme o caso, incidirão juros remuneratórios correspondentes a um determinado percentual a ser definido no Procedimento de </w:t>
      </w:r>
      <w:r>
        <w:rPr>
          <w:rFonts w:ascii="Palatino Linotype" w:hAnsi="Palatino Linotype"/>
          <w:i/>
          <w:sz w:val="22"/>
          <w:szCs w:val="22"/>
        </w:rPr>
        <w:t>Bookbuilding</w:t>
      </w:r>
      <w:r>
        <w:rPr>
          <w:rFonts w:ascii="Palatino Linotype" w:hAnsi="Palatino Linotype"/>
          <w:sz w:val="22"/>
          <w:szCs w:val="22"/>
        </w:rPr>
        <w:t>, limitado a 109,00% (cento e nove por cento) da variação acumulada das taxas médias diárias dos DI – Depósitos Interfinanceiros de um dia, “</w:t>
      </w:r>
      <w:r>
        <w:rPr>
          <w:rFonts w:ascii="Palatino Linotype" w:hAnsi="Palatino Linotype"/>
          <w:i/>
          <w:sz w:val="22"/>
          <w:szCs w:val="22"/>
        </w:rPr>
        <w:t>over extra-grupo</w:t>
      </w:r>
      <w:r>
        <w:rPr>
          <w:rFonts w:ascii="Palatino Linotype" w:hAnsi="Palatino Linotype"/>
          <w:sz w:val="22"/>
          <w:szCs w:val="22"/>
        </w:rPr>
        <w:t>” (“</w:t>
      </w:r>
      <w:r>
        <w:rPr>
          <w:rFonts w:ascii="Palatino Linotype" w:hAnsi="Palatino Linotype"/>
          <w:sz w:val="22"/>
          <w:szCs w:val="22"/>
          <w:u w:val="single"/>
        </w:rPr>
        <w:t>Taxa DI</w:t>
      </w:r>
      <w:r>
        <w:rPr>
          <w:rFonts w:ascii="Palatino Linotype" w:hAnsi="Palatino Linotype"/>
          <w:sz w:val="22"/>
          <w:szCs w:val="22"/>
        </w:rPr>
        <w:t xml:space="preserve">”), </w:t>
      </w:r>
      <w:r>
        <w:rPr>
          <w:rFonts w:ascii="Palatino Linotype" w:hAnsi="Palatino Linotype"/>
          <w:sz w:val="22"/>
          <w:szCs w:val="22"/>
        </w:rPr>
        <w:lastRenderedPageBreak/>
        <w:t>expressas na forma percentual ao ano, base 252 (duzentos e cinquenta e dois) dias úteis, calculadas e divulgadas diariamente pela B3, no informativo diário disponível em sua página na Internet (</w:t>
      </w:r>
      <w:hyperlink r:id="rId13" w:history="1">
        <w:r>
          <w:rPr>
            <w:rStyle w:val="Hyperlink"/>
            <w:rFonts w:ascii="Palatino Linotype" w:hAnsi="Palatino Linotype"/>
            <w:sz w:val="22"/>
            <w:szCs w:val="22"/>
          </w:rPr>
          <w:t>http://www.b3.com.br</w:t>
        </w:r>
      </w:hyperlink>
      <w:r>
        <w:rPr>
          <w:rFonts w:ascii="Palatino Linotype" w:hAnsi="Palatino Linotype"/>
          <w:sz w:val="22"/>
          <w:szCs w:val="22"/>
        </w:rPr>
        <w:t>) (“</w:t>
      </w:r>
      <w:r>
        <w:rPr>
          <w:rFonts w:ascii="Palatino Linotype" w:hAnsi="Palatino Linotype"/>
          <w:sz w:val="22"/>
          <w:szCs w:val="22"/>
          <w:u w:val="single"/>
        </w:rPr>
        <w:t>Remuneração das Debêntures</w:t>
      </w:r>
      <w:r>
        <w:rPr>
          <w:rFonts w:ascii="Palatino Linotype" w:hAnsi="Palatino Linotype"/>
          <w:sz w:val="22"/>
          <w:szCs w:val="22"/>
        </w:rPr>
        <w:t xml:space="preserve">”), calculados de forma exponencial e cumulativa </w:t>
      </w:r>
      <w:r>
        <w:rPr>
          <w:rFonts w:ascii="Palatino Linotype" w:hAnsi="Palatino Linotype"/>
          <w:i/>
          <w:sz w:val="22"/>
          <w:szCs w:val="22"/>
        </w:rPr>
        <w:t>pro rata temporis</w:t>
      </w:r>
      <w:r>
        <w:rPr>
          <w:rFonts w:ascii="Palatino Linotype" w:hAnsi="Palatino Linotype"/>
          <w:sz w:val="22"/>
          <w:szCs w:val="22"/>
        </w:rPr>
        <w:t xml:space="preserve"> por dias úteis decorridos, desde a Primeira Data de Integralização das Debêntures ou a data de pagamento de Remuneração das Debêntures imediatamente anterior, conforme o caso, até a data do efetivo pagamento. Sem prejuízo dos pagamentos em decorrência de Amortização Antecipada Facultativa, Resgate Antecipado Facultativo das Debêntures ou vencimento antecipado das obrigações decorrentes das Debêntures, nos termos previstos nesta Escritura de Emissão, a Remuneração das Debêntures será paga semestralmente, no dia 28</w:t>
      </w:r>
      <w:r>
        <w:rPr>
          <w:sz w:val="22"/>
          <w:szCs w:val="22"/>
        </w:rPr>
        <w:t> </w:t>
      </w:r>
      <w:r>
        <w:rPr>
          <w:rFonts w:ascii="Palatino Linotype" w:hAnsi="Palatino Linotype"/>
          <w:sz w:val="22"/>
          <w:szCs w:val="22"/>
        </w:rPr>
        <w:t xml:space="preserve">(vinte e oito) dos meses de fevereiro e agosto de cada ano, nas datas indicadas na Cláusula </w:t>
      </w:r>
      <w:r>
        <w:rPr>
          <w:rFonts w:ascii="Palatino Linotype" w:hAnsi="Palatino Linotype"/>
          <w:sz w:val="22"/>
          <w:szCs w:val="22"/>
        </w:rPr>
        <w:fldChar w:fldCharType="begin"/>
      </w:r>
      <w:r>
        <w:rPr>
          <w:rFonts w:ascii="Palatino Linotype" w:hAnsi="Palatino Linotype"/>
          <w:sz w:val="22"/>
          <w:szCs w:val="22"/>
        </w:rPr>
        <w:instrText xml:space="preserve"> REF _Ref533021776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6.14.5 abaixo</w:t>
      </w:r>
      <w:r>
        <w:rPr>
          <w:rFonts w:ascii="Palatino Linotype" w:hAnsi="Palatino Linotype"/>
          <w:sz w:val="22"/>
          <w:szCs w:val="22"/>
        </w:rPr>
        <w:fldChar w:fldCharType="end"/>
      </w:r>
      <w:r>
        <w:rPr>
          <w:rFonts w:ascii="Palatino Linotype" w:hAnsi="Palatino Linotype"/>
          <w:sz w:val="22"/>
          <w:szCs w:val="22"/>
        </w:rPr>
        <w:t>. A Remuneração das Debêntures será calculada de acordo com a seguinte fórmula:</w:t>
      </w:r>
    </w:p>
    <w:p w:rsidR="00DE78B2" w:rsidRDefault="00DE78B2">
      <w:pPr>
        <w:rPr>
          <w:rFonts w:ascii="Palatino Linotype" w:hAnsi="Palatino Linotype"/>
          <w:sz w:val="22"/>
          <w:szCs w:val="22"/>
        </w:rPr>
      </w:pPr>
    </w:p>
    <w:p w:rsidR="00DE78B2" w:rsidRDefault="00791406">
      <w:pPr>
        <w:jc w:val="center"/>
        <w:rPr>
          <w:rFonts w:ascii="Palatino Linotype" w:hAnsi="Palatino Linotype"/>
          <w:sz w:val="22"/>
          <w:szCs w:val="22"/>
        </w:rPr>
      </w:pPr>
      <w:r>
        <w:rPr>
          <w:rFonts w:ascii="Palatino Linotype" w:hAnsi="Palatino Linotype"/>
          <w:b/>
          <w:sz w:val="22"/>
          <w:szCs w:val="22"/>
        </w:rPr>
        <w:t>J = VNe x (FatorDI – 1)</w:t>
      </w:r>
    </w:p>
    <w:p w:rsidR="00DE78B2" w:rsidRDefault="00791406">
      <w:pPr>
        <w:rPr>
          <w:rFonts w:ascii="Palatino Linotype" w:hAnsi="Palatino Linotype"/>
          <w:sz w:val="22"/>
          <w:szCs w:val="22"/>
        </w:rPr>
      </w:pPr>
      <w:r>
        <w:rPr>
          <w:rFonts w:ascii="Palatino Linotype" w:hAnsi="Palatino Linotype"/>
          <w:sz w:val="22"/>
          <w:szCs w:val="22"/>
        </w:rPr>
        <w:t>onde:</w:t>
      </w:r>
    </w:p>
    <w:p w:rsidR="00DE78B2" w:rsidRDefault="00791406">
      <w:pPr>
        <w:rPr>
          <w:rFonts w:ascii="Palatino Linotype" w:hAnsi="Palatino Linotype"/>
          <w:sz w:val="22"/>
          <w:szCs w:val="22"/>
        </w:rPr>
      </w:pPr>
      <w:r>
        <w:rPr>
          <w:rFonts w:ascii="Palatino Linotype" w:hAnsi="Palatino Linotype"/>
          <w:sz w:val="22"/>
          <w:szCs w:val="22"/>
        </w:rPr>
        <w:t xml:space="preserve">J = valor unitário da Remuneração devida ao final do Período de Capitalização, calculado com 8 (oito) casas decimais sem arredondamento; </w:t>
      </w:r>
    </w:p>
    <w:p w:rsidR="00DE78B2" w:rsidRDefault="00791406">
      <w:pPr>
        <w:rPr>
          <w:rFonts w:ascii="Palatino Linotype" w:hAnsi="Palatino Linotype"/>
          <w:sz w:val="22"/>
          <w:szCs w:val="22"/>
        </w:rPr>
      </w:pPr>
      <w:r>
        <w:rPr>
          <w:rFonts w:ascii="Palatino Linotype" w:hAnsi="Palatino Linotype"/>
          <w:sz w:val="22"/>
          <w:szCs w:val="22"/>
        </w:rPr>
        <w:t>VNe = Valor Nominal Unitário ou saldo do Valor Nominal Unitário das Debêntures, conforme o caso, informado/calculado com 8 (oito) casas decimais, sem arredondamento; e</w:t>
      </w:r>
    </w:p>
    <w:p w:rsidR="00DE78B2" w:rsidRDefault="00791406">
      <w:pPr>
        <w:rPr>
          <w:rFonts w:ascii="Palatino Linotype" w:hAnsi="Palatino Linotype"/>
          <w:sz w:val="22"/>
          <w:szCs w:val="22"/>
        </w:rPr>
      </w:pPr>
      <w:r>
        <w:rPr>
          <w:rFonts w:ascii="Palatino Linotype" w:hAnsi="Palatino Linotype"/>
          <w:sz w:val="22"/>
          <w:szCs w:val="22"/>
        </w:rPr>
        <w:t>FatorDI = produtório das Taxas DI, desde a Primeira Data de Integralização ou a Data de Pagamento de Remuneração imediatamente anterior, conforme o caso, inclusive, até a data de cálculo, exclusive, calculado com 8 (oito) casas decimais, com arredondamento, apurado da seguinte forma:</w:t>
      </w:r>
    </w:p>
    <w:p w:rsidR="00DE78B2" w:rsidRDefault="00791406">
      <w:pPr>
        <w:jc w:val="center"/>
        <w:rPr>
          <w:rFonts w:ascii="Palatino Linotype" w:hAnsi="Palatino Linotype"/>
          <w:sz w:val="22"/>
          <w:szCs w:val="22"/>
        </w:rPr>
      </w:pPr>
      <w:r>
        <w:rPr>
          <w:rFonts w:asciiTheme="minorHAnsi" w:hAnsiTheme="minorHAnsi" w:cs="Calibri"/>
          <w:noProof/>
        </w:rPr>
        <w:drawing>
          <wp:inline distT="0" distB="0" distL="0" distR="0">
            <wp:extent cx="2083241" cy="462302"/>
            <wp:effectExtent l="0" t="0" r="0" b="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cstate="print"/>
                    <a:srcRect t="12048" b="22891"/>
                    <a:stretch>
                      <a:fillRect/>
                    </a:stretch>
                  </pic:blipFill>
                  <pic:spPr bwMode="auto">
                    <a:xfrm>
                      <a:off x="0" y="0"/>
                      <a:ext cx="2114348" cy="469205"/>
                    </a:xfrm>
                    <a:prstGeom prst="rect">
                      <a:avLst/>
                    </a:prstGeom>
                    <a:noFill/>
                    <a:ln w="9525">
                      <a:noFill/>
                      <a:miter lim="800000"/>
                      <a:headEnd/>
                      <a:tailEnd/>
                    </a:ln>
                  </pic:spPr>
                </pic:pic>
              </a:graphicData>
            </a:graphic>
          </wp:inline>
        </w:drawing>
      </w:r>
    </w:p>
    <w:p w:rsidR="00DE78B2" w:rsidRDefault="00791406">
      <w:pPr>
        <w:rPr>
          <w:rFonts w:ascii="Palatino Linotype" w:hAnsi="Palatino Linotype"/>
          <w:sz w:val="22"/>
          <w:szCs w:val="22"/>
        </w:rPr>
      </w:pPr>
      <w:r>
        <w:rPr>
          <w:rFonts w:ascii="Palatino Linotype" w:hAnsi="Palatino Linotype"/>
          <w:sz w:val="22"/>
          <w:szCs w:val="22"/>
        </w:rPr>
        <w:t>onde:</w:t>
      </w:r>
    </w:p>
    <w:p w:rsidR="00DE78B2" w:rsidRDefault="00791406">
      <w:pPr>
        <w:rPr>
          <w:rFonts w:ascii="Palatino Linotype" w:hAnsi="Palatino Linotype"/>
          <w:sz w:val="22"/>
          <w:szCs w:val="22"/>
        </w:rPr>
      </w:pPr>
      <w:r>
        <w:rPr>
          <w:rFonts w:ascii="Palatino Linotype" w:hAnsi="Palatino Linotype"/>
          <w:sz w:val="22"/>
          <w:szCs w:val="22"/>
        </w:rPr>
        <w:t>n = número total de Taxas DI, consideradas na apuração do “FatorDI”, sendo “n” um número inteiro;</w:t>
      </w:r>
    </w:p>
    <w:p w:rsidR="00DE78B2" w:rsidRDefault="00791406">
      <w:pPr>
        <w:rPr>
          <w:rFonts w:ascii="Palatino Linotype" w:hAnsi="Palatino Linotype"/>
          <w:sz w:val="22"/>
          <w:szCs w:val="22"/>
        </w:rPr>
      </w:pPr>
      <w:r>
        <w:rPr>
          <w:rFonts w:ascii="Palatino Linotype" w:hAnsi="Palatino Linotype"/>
          <w:sz w:val="22"/>
          <w:szCs w:val="22"/>
        </w:rPr>
        <w:t xml:space="preserve">p = a ser definida em Procedimento de </w:t>
      </w:r>
      <w:r>
        <w:rPr>
          <w:rFonts w:ascii="Palatino Linotype" w:hAnsi="Palatino Linotype"/>
          <w:i/>
          <w:sz w:val="22"/>
          <w:szCs w:val="22"/>
        </w:rPr>
        <w:t>Bookbuilding</w:t>
      </w:r>
      <w:r>
        <w:rPr>
          <w:rFonts w:ascii="Palatino Linotype" w:hAnsi="Palatino Linotype"/>
          <w:sz w:val="22"/>
          <w:szCs w:val="22"/>
        </w:rPr>
        <w:t>, mas limitada a 109,00 (cento e nove inteiros); e</w:t>
      </w:r>
    </w:p>
    <w:p w:rsidR="00DE78B2" w:rsidRDefault="00791406">
      <w:pPr>
        <w:rPr>
          <w:rFonts w:ascii="Palatino Linotype" w:hAnsi="Palatino Linotype"/>
          <w:sz w:val="22"/>
          <w:szCs w:val="22"/>
        </w:rPr>
      </w:pPr>
      <w:r>
        <w:rPr>
          <w:rFonts w:ascii="Palatino Linotype" w:hAnsi="Palatino Linotype"/>
          <w:sz w:val="22"/>
          <w:szCs w:val="22"/>
        </w:rPr>
        <w:t>TDIk = Taxa DI, de ordem k, expressa ao dia, calculada com 8 (oito) casas decimais, com arredondamento, apurada da seguinte forma:</w:t>
      </w:r>
    </w:p>
    <w:p w:rsidR="00DE78B2" w:rsidRDefault="00791406">
      <w:pPr>
        <w:jc w:val="center"/>
        <w:rPr>
          <w:rFonts w:ascii="Palatino Linotype" w:hAnsi="Palatino Linotype"/>
          <w:sz w:val="22"/>
          <w:szCs w:val="22"/>
        </w:rPr>
      </w:pPr>
      <w:r>
        <w:rPr>
          <w:rFonts w:asciiTheme="minorHAnsi" w:hAnsiTheme="minorHAnsi" w:cs="Calibri"/>
          <w:noProof/>
        </w:rPr>
        <w:drawing>
          <wp:inline distT="0" distB="0" distL="0" distR="0">
            <wp:extent cx="1759585" cy="466090"/>
            <wp:effectExtent l="1905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5" cstate="print"/>
                    <a:srcRect t="14458" b="22891"/>
                    <a:stretch>
                      <a:fillRect/>
                    </a:stretch>
                  </pic:blipFill>
                  <pic:spPr bwMode="auto">
                    <a:xfrm>
                      <a:off x="0" y="0"/>
                      <a:ext cx="1759585" cy="466090"/>
                    </a:xfrm>
                    <a:prstGeom prst="rect">
                      <a:avLst/>
                    </a:prstGeom>
                    <a:noFill/>
                    <a:ln w="9525">
                      <a:noFill/>
                      <a:miter lim="800000"/>
                      <a:headEnd/>
                      <a:tailEnd/>
                    </a:ln>
                  </pic:spPr>
                </pic:pic>
              </a:graphicData>
            </a:graphic>
          </wp:inline>
        </w:drawing>
      </w:r>
    </w:p>
    <w:p w:rsidR="00DE78B2" w:rsidRDefault="00DE78B2">
      <w:pPr>
        <w:jc w:val="center"/>
        <w:rPr>
          <w:rFonts w:ascii="Palatino Linotype" w:hAnsi="Palatino Linotype"/>
          <w:sz w:val="22"/>
          <w:szCs w:val="22"/>
        </w:rPr>
      </w:pPr>
    </w:p>
    <w:p w:rsidR="00DE78B2" w:rsidRDefault="00791406">
      <w:pPr>
        <w:rPr>
          <w:rFonts w:ascii="Palatino Linotype" w:hAnsi="Palatino Linotype"/>
          <w:sz w:val="22"/>
          <w:szCs w:val="22"/>
        </w:rPr>
      </w:pPr>
      <w:r>
        <w:rPr>
          <w:rFonts w:ascii="Palatino Linotype" w:hAnsi="Palatino Linotype"/>
          <w:sz w:val="22"/>
          <w:szCs w:val="22"/>
        </w:rPr>
        <w:t>onde:</w:t>
      </w:r>
    </w:p>
    <w:p w:rsidR="00DE78B2" w:rsidRDefault="00DE78B2">
      <w:pPr>
        <w:rPr>
          <w:rFonts w:ascii="Palatino Linotype" w:hAnsi="Palatino Linotype"/>
          <w:sz w:val="22"/>
          <w:szCs w:val="22"/>
        </w:rPr>
      </w:pPr>
    </w:p>
    <w:p w:rsidR="00DE78B2" w:rsidRDefault="00791406">
      <w:pPr>
        <w:rPr>
          <w:rFonts w:ascii="Palatino Linotype" w:hAnsi="Palatino Linotype"/>
          <w:sz w:val="22"/>
          <w:szCs w:val="22"/>
        </w:rPr>
      </w:pPr>
      <w:r>
        <w:rPr>
          <w:rFonts w:ascii="Palatino Linotype" w:hAnsi="Palatino Linotype"/>
          <w:sz w:val="22"/>
          <w:szCs w:val="22"/>
        </w:rPr>
        <w:t>DIk = Taxa DI de ordem k, divulgada pela B3, utilizada com 2 (duas) casas decimais; e</w:t>
      </w:r>
    </w:p>
    <w:p w:rsidR="00DE78B2" w:rsidRDefault="00791406">
      <w:pPr>
        <w:rPr>
          <w:rFonts w:ascii="Palatino Linotype" w:hAnsi="Palatino Linotype"/>
          <w:sz w:val="22"/>
          <w:szCs w:val="22"/>
        </w:rPr>
      </w:pPr>
      <w:r>
        <w:rPr>
          <w:rFonts w:ascii="Palatino Linotype" w:hAnsi="Palatino Linotype"/>
          <w:sz w:val="22"/>
          <w:szCs w:val="22"/>
        </w:rPr>
        <w:t>k = número de ordem da Taxa DI, variando de 1 (um) até n.</w:t>
      </w:r>
    </w:p>
    <w:p w:rsidR="00DE78B2" w:rsidRDefault="00791406">
      <w:pPr>
        <w:rPr>
          <w:rFonts w:ascii="Palatino Linotype" w:hAnsi="Palatino Linotype"/>
          <w:sz w:val="22"/>
          <w:szCs w:val="22"/>
        </w:rPr>
      </w:pPr>
      <w:r>
        <w:rPr>
          <w:rFonts w:ascii="Palatino Linotype" w:hAnsi="Palatino Linotype"/>
          <w:sz w:val="22"/>
          <w:szCs w:val="22"/>
        </w:rPr>
        <w:t>Observações:</w:t>
      </w:r>
    </w:p>
    <w:p w:rsidR="00DE78B2" w:rsidRDefault="00791406">
      <w:pPr>
        <w:rPr>
          <w:rFonts w:ascii="Palatino Linotype" w:hAnsi="Palatino Linotype"/>
          <w:sz w:val="22"/>
          <w:szCs w:val="22"/>
        </w:rPr>
      </w:pPr>
      <w:r>
        <w:rPr>
          <w:rFonts w:ascii="Palatino Linotype" w:hAnsi="Palatino Linotype"/>
          <w:sz w:val="22"/>
          <w:szCs w:val="22"/>
        </w:rPr>
        <w:t>(i)</w:t>
      </w:r>
      <w:r>
        <w:rPr>
          <w:rFonts w:ascii="Palatino Linotype" w:hAnsi="Palatino Linotype"/>
          <w:sz w:val="22"/>
          <w:szCs w:val="22"/>
        </w:rPr>
        <w:tab/>
        <w:t xml:space="preserve">o fator resultante da expressão </w:t>
      </w:r>
      <w:r>
        <w:rPr>
          <w:rFonts w:asciiTheme="minorHAnsi" w:hAnsiTheme="minorHAnsi" w:cs="Calibri"/>
          <w:b/>
          <w:noProof/>
        </w:rPr>
        <w:drawing>
          <wp:inline distT="0" distB="0" distL="0" distR="0">
            <wp:extent cx="1026795" cy="293370"/>
            <wp:effectExtent l="19050" t="0" r="1905" b="0"/>
            <wp:docPr id="1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6" cstate="print"/>
                    <a:srcRect/>
                    <a:stretch>
                      <a:fillRect/>
                    </a:stretch>
                  </pic:blipFill>
                  <pic:spPr bwMode="auto">
                    <a:xfrm>
                      <a:off x="0" y="0"/>
                      <a:ext cx="1026795" cy="293370"/>
                    </a:xfrm>
                    <a:prstGeom prst="rect">
                      <a:avLst/>
                    </a:prstGeom>
                    <a:noFill/>
                    <a:ln w="9525">
                      <a:noFill/>
                      <a:miter lim="800000"/>
                      <a:headEnd/>
                      <a:tailEnd/>
                    </a:ln>
                  </pic:spPr>
                </pic:pic>
              </a:graphicData>
            </a:graphic>
          </wp:inline>
        </w:drawing>
      </w:r>
      <w:r>
        <w:rPr>
          <w:rFonts w:ascii="Palatino Linotype" w:hAnsi="Palatino Linotype"/>
          <w:sz w:val="22"/>
          <w:szCs w:val="22"/>
        </w:rPr>
        <w:t xml:space="preserve">  é considerado com 16 (dezesseis) casas decimais, sem arredondamento, assim como seu produtório;</w:t>
      </w:r>
    </w:p>
    <w:p w:rsidR="00DE78B2" w:rsidRDefault="00791406">
      <w:pPr>
        <w:rPr>
          <w:rFonts w:ascii="Palatino Linotype" w:hAnsi="Palatino Linotype"/>
          <w:sz w:val="22"/>
          <w:szCs w:val="22"/>
        </w:rPr>
      </w:pPr>
      <w:r>
        <w:rPr>
          <w:rFonts w:ascii="Palatino Linotype" w:hAnsi="Palatino Linotype"/>
          <w:sz w:val="22"/>
          <w:szCs w:val="22"/>
        </w:rPr>
        <w:t>(ii)</w:t>
      </w:r>
      <w:r>
        <w:rPr>
          <w:rFonts w:ascii="Palatino Linotype" w:hAnsi="Palatino Linotype"/>
          <w:sz w:val="22"/>
          <w:szCs w:val="22"/>
        </w:rPr>
        <w:tab/>
        <w:t>efetua-se o produtório dos fatores diários</w:t>
      </w:r>
      <w:r>
        <w:rPr>
          <w:rFonts w:ascii="Palatino Linotype" w:hAnsi="Palatino Linotype"/>
          <w:sz w:val="22"/>
          <w:szCs w:val="22"/>
        </w:rPr>
        <w:tab/>
      </w:r>
      <w:r>
        <w:rPr>
          <w:rFonts w:asciiTheme="minorHAnsi" w:hAnsiTheme="minorHAnsi" w:cs="Calibri"/>
          <w:b/>
          <w:noProof/>
        </w:rPr>
        <w:drawing>
          <wp:inline distT="0" distB="0" distL="0" distR="0">
            <wp:extent cx="1026795" cy="293370"/>
            <wp:effectExtent l="19050" t="0" r="1905" b="0"/>
            <wp:docPr id="16"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6" cstate="print"/>
                    <a:srcRect/>
                    <a:stretch>
                      <a:fillRect/>
                    </a:stretch>
                  </pic:blipFill>
                  <pic:spPr bwMode="auto">
                    <a:xfrm>
                      <a:off x="0" y="0"/>
                      <a:ext cx="1026795" cy="293370"/>
                    </a:xfrm>
                    <a:prstGeom prst="rect">
                      <a:avLst/>
                    </a:prstGeom>
                    <a:noFill/>
                    <a:ln w="9525">
                      <a:noFill/>
                      <a:miter lim="800000"/>
                      <a:headEnd/>
                      <a:tailEnd/>
                    </a:ln>
                  </pic:spPr>
                </pic:pic>
              </a:graphicData>
            </a:graphic>
          </wp:inline>
        </w:drawing>
      </w:r>
      <w:r>
        <w:rPr>
          <w:rFonts w:ascii="Palatino Linotype" w:hAnsi="Palatino Linotype"/>
          <w:sz w:val="22"/>
          <w:szCs w:val="22"/>
        </w:rPr>
        <w:t>, sendo que a cada fator diário acumulado, trunca-se o resultado com 16 (dezesseis) casas decimais, aplicando-se o próximo fator diário, e assim por diante até o último considerado;</w:t>
      </w:r>
    </w:p>
    <w:p w:rsidR="00DE78B2" w:rsidRDefault="00791406">
      <w:pPr>
        <w:rPr>
          <w:rFonts w:ascii="Palatino Linotype" w:hAnsi="Palatino Linotype"/>
          <w:sz w:val="22"/>
          <w:szCs w:val="22"/>
        </w:rPr>
      </w:pPr>
      <w:r>
        <w:rPr>
          <w:rFonts w:ascii="Palatino Linotype" w:hAnsi="Palatino Linotype"/>
          <w:sz w:val="22"/>
          <w:szCs w:val="22"/>
        </w:rPr>
        <w:t>(iii)</w:t>
      </w:r>
      <w:r>
        <w:rPr>
          <w:rFonts w:ascii="Palatino Linotype" w:hAnsi="Palatino Linotype"/>
          <w:sz w:val="22"/>
          <w:szCs w:val="22"/>
        </w:rPr>
        <w:tab/>
        <w:t>uma vez os fatores estando acumulados, considera-se o fator resultante do produtório “Fator DI” com 8 (oito) casas decimais, com arredondamento; e</w:t>
      </w:r>
    </w:p>
    <w:p w:rsidR="00DE78B2" w:rsidRDefault="00791406">
      <w:pPr>
        <w:rPr>
          <w:rFonts w:ascii="Palatino Linotype" w:hAnsi="Palatino Linotype"/>
          <w:sz w:val="22"/>
          <w:szCs w:val="22"/>
        </w:rPr>
      </w:pPr>
      <w:r>
        <w:rPr>
          <w:rFonts w:ascii="Palatino Linotype" w:hAnsi="Palatino Linotype"/>
          <w:sz w:val="22"/>
          <w:szCs w:val="22"/>
        </w:rPr>
        <w:t>(iv)</w:t>
      </w:r>
      <w:r>
        <w:rPr>
          <w:rFonts w:ascii="Palatino Linotype" w:hAnsi="Palatino Linotype"/>
          <w:sz w:val="22"/>
          <w:szCs w:val="22"/>
        </w:rPr>
        <w:tab/>
        <w:t>a Taxa DI deverá ser utilizada considerando idêntico número de casas decimais divulgado pelo órgão responsável pelo seu cálculo, salvo quando expressamente indicado de outra forma.</w:t>
      </w:r>
    </w:p>
    <w:p w:rsidR="00DE78B2" w:rsidRDefault="00791406">
      <w:pPr>
        <w:rPr>
          <w:rFonts w:ascii="Palatino Linotype" w:hAnsi="Palatino Linotype"/>
          <w:sz w:val="22"/>
          <w:szCs w:val="22"/>
        </w:rPr>
      </w:pPr>
      <w:r>
        <w:rPr>
          <w:rFonts w:ascii="Palatino Linotype" w:hAnsi="Palatino Linotype"/>
          <w:sz w:val="22"/>
          <w:szCs w:val="22"/>
        </w:rPr>
        <w:t>Define-se "Período de Capitalização" como o intervalo de tempo que se inicia na Primeira Data de Integralização ou na Data de Pagamento de Remuneração imediatamente anterior, conforme o caso, e termina na data de pagamento da Remuneração.</w:t>
      </w:r>
    </w:p>
    <w:p w:rsidR="00DE78B2" w:rsidRDefault="00DE78B2">
      <w:pPr>
        <w:rPr>
          <w:rFonts w:ascii="Palatino Linotype" w:hAnsi="Palatino Linotype"/>
          <w:sz w:val="22"/>
          <w:szCs w:val="22"/>
        </w:rPr>
      </w:pPr>
    </w:p>
    <w:p w:rsidR="00DE78B2" w:rsidRDefault="00791406">
      <w:pPr>
        <w:numPr>
          <w:ilvl w:val="5"/>
          <w:numId w:val="10"/>
        </w:numPr>
        <w:rPr>
          <w:rFonts w:ascii="Palatino Linotype" w:hAnsi="Palatino Linotype"/>
          <w:sz w:val="22"/>
          <w:szCs w:val="22"/>
        </w:rPr>
      </w:pPr>
      <w:bookmarkStart w:id="31" w:name="h.4i7ojhp" w:colFirst="0" w:colLast="0"/>
      <w:bookmarkEnd w:id="31"/>
      <w:r>
        <w:rPr>
          <w:rFonts w:ascii="Palatino Linotype" w:hAnsi="Palatino Linotype"/>
          <w:sz w:val="22"/>
          <w:szCs w:val="22"/>
        </w:rPr>
        <w:t>Observado o disposto na Cláusula </w:t>
      </w:r>
      <w:r>
        <w:rPr>
          <w:rFonts w:ascii="Palatino Linotype" w:hAnsi="Palatino Linotype"/>
          <w:sz w:val="22"/>
          <w:szCs w:val="22"/>
        </w:rPr>
        <w:fldChar w:fldCharType="begin"/>
      </w:r>
      <w:r>
        <w:rPr>
          <w:rFonts w:ascii="Palatino Linotype" w:hAnsi="Palatino Linotype"/>
          <w:sz w:val="22"/>
          <w:szCs w:val="22"/>
        </w:rPr>
        <w:instrText xml:space="preserve"> REF _Ref437365689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6.14.2 abaixo</w:t>
      </w:r>
      <w:r>
        <w:rPr>
          <w:rFonts w:ascii="Palatino Linotype" w:hAnsi="Palatino Linotype"/>
          <w:sz w:val="22"/>
          <w:szCs w:val="22"/>
        </w:rPr>
        <w:fldChar w:fldCharType="end"/>
      </w:r>
      <w:r>
        <w:rPr>
          <w:rFonts w:ascii="Palatino Linotype" w:hAnsi="Palatino Linotype"/>
          <w:sz w:val="22"/>
          <w:szCs w:val="22"/>
        </w:rPr>
        <w:t>, no caso de indisponibilidade temporária da Taxa DI quando do cálculo de quaisquer obrigações pecuniárias relativas às Debêntures previstas nesta Escritura de Emissão, será utilizado, em sua substituição, para apuração da Taxa DI, o percentual correspondente à última Taxa DI divulgada oficialmente até a data do cálculo, não sendo devidas quaisquer compensações financeiras, multas ou penalidades entre a Companhia e os Debenturistas, quando da divulgação posterior da Taxa DI.</w:t>
      </w:r>
    </w:p>
    <w:p w:rsidR="00DE78B2" w:rsidRDefault="00791406">
      <w:pPr>
        <w:numPr>
          <w:ilvl w:val="5"/>
          <w:numId w:val="10"/>
        </w:numPr>
        <w:rPr>
          <w:rFonts w:ascii="Palatino Linotype" w:hAnsi="Palatino Linotype"/>
          <w:sz w:val="22"/>
          <w:szCs w:val="22"/>
        </w:rPr>
      </w:pPr>
      <w:bookmarkStart w:id="32" w:name="h.2xcytpi" w:colFirst="0" w:colLast="0"/>
      <w:bookmarkStart w:id="33" w:name="_Ref437365689"/>
      <w:bookmarkEnd w:id="32"/>
      <w:r>
        <w:rPr>
          <w:rFonts w:ascii="Palatino Linotype" w:hAnsi="Palatino Linotype"/>
          <w:sz w:val="22"/>
          <w:szCs w:val="22"/>
        </w:rPr>
        <w:t xml:space="preserve">Na hipótese de extinção, limitação e/ou não divulgação da Taxa DI por mais de 10 (dez) dias consecutivos após a data esperada para sua apuração e/ou divulgação, ou no caso de impossibilidade de aplicação da Taxa DI às Debêntures por proibição legal ou judicial, será utilizado o novo parâmetro legalmente estabelecido em substituição à Taxa DI. Caso não haja um novo parâmetro legalmente estabelecido, o Agente Fiduciário deverá, no prazo de até 2 (dias) Dias Úteis contados da data de término do prazo de 10 (dez) dias consecutivos ou da data de extinção da Taxa DI ou de impossibilidade de aplicação da Taxa DI por proibição legal ou judicial, conforme o caso, convocar assembleia geral de Debenturistas para que estes deliberem, em comum acordo com a Companhia e observada a regulamentação </w:t>
      </w:r>
      <w:r>
        <w:rPr>
          <w:rFonts w:ascii="Palatino Linotype" w:hAnsi="Palatino Linotype"/>
          <w:sz w:val="22"/>
          <w:szCs w:val="22"/>
        </w:rPr>
        <w:lastRenderedPageBreak/>
        <w:t>aplicável, sobre o novo parâmetro de remuneração das Debêntures a ser aplicado, que deverá ser aquele que melhor reflita os parâmetros utilizados em operações similares vigentes à época. Até a deliberação desse novo parâmetro de remuneração das Debêntures, quando do cálculo de quaisquer obrigações pecuniárias relativas às Debêntures previstas nesta Escritura de Emissão, será utilizado, para apuração da Taxa DI, o percentual correspondente à última Taxa DI divulgada oficialmente, não sendo devidas quaisquer compensações entre a Companhia e/ou os Debenturistas quando da deliberação do novo parâmetro de remuneração para as Debêntures.</w:t>
      </w:r>
    </w:p>
    <w:p w:rsidR="00DE78B2" w:rsidRDefault="00791406">
      <w:pPr>
        <w:numPr>
          <w:ilvl w:val="5"/>
          <w:numId w:val="10"/>
        </w:numPr>
        <w:rPr>
          <w:rFonts w:ascii="Palatino Linotype" w:hAnsi="Palatino Linotype"/>
          <w:sz w:val="22"/>
          <w:szCs w:val="22"/>
        </w:rPr>
      </w:pPr>
      <w:r>
        <w:rPr>
          <w:rFonts w:ascii="Palatino Linotype" w:hAnsi="Palatino Linotype"/>
          <w:sz w:val="22"/>
          <w:szCs w:val="22"/>
        </w:rPr>
        <w:t>Caso a Taxa DI volte a ser divulgada antes da realização da assembleia geral de Debenturistas prevista acima, referida assembleia geral de Debenturistas não será realizada, e a Taxa DI, a partir da data de sua divulgação, voltará a ser novamente utilizada para o cálculo de quaisquer obrigações pecuniárias relativas às Debêntures previstas nesta Escritura de Emissão.</w:t>
      </w:r>
    </w:p>
    <w:p w:rsidR="00DE78B2" w:rsidRDefault="00791406">
      <w:pPr>
        <w:numPr>
          <w:ilvl w:val="5"/>
          <w:numId w:val="10"/>
        </w:numPr>
        <w:rPr>
          <w:rFonts w:ascii="Palatino Linotype" w:hAnsi="Palatino Linotype"/>
          <w:sz w:val="22"/>
          <w:szCs w:val="22"/>
        </w:rPr>
      </w:pPr>
      <w:bookmarkStart w:id="34" w:name="_Ref535534404"/>
      <w:r>
        <w:rPr>
          <w:rFonts w:ascii="Palatino Linotype" w:hAnsi="Palatino Linotype"/>
          <w:sz w:val="22"/>
          <w:szCs w:val="22"/>
        </w:rPr>
        <w:t xml:space="preserve">Caso na assembleia geral de Debenturistas prevista acima não haja acordo sobre a nova remuneração das Debêntures entre a Companhia e Debenturistas representando, no mínimo, 2/3 (dois terços) das Debêntures em circulação, a Companhia se obriga, desde já, a resgatar a totalidade das Debêntures, com seu consequente cancelamento, no prazo de 30 (trinta) dias contados da data da realização da assembleia geral de Debenturistas prevista acima ou na Data de Vencimento, o que ocorrer primeiro, pelo Valor Nominal Unitário ou saldo do Valor Nominal Unitário das Debêntures, conforme o caso, acrescido da Remuneração das Debêntures devida, calculada </w:t>
      </w:r>
      <w:r>
        <w:rPr>
          <w:rFonts w:ascii="Palatino Linotype" w:hAnsi="Palatino Linotype"/>
          <w:i/>
          <w:sz w:val="22"/>
          <w:szCs w:val="22"/>
        </w:rPr>
        <w:t>pro rata temporis</w:t>
      </w:r>
      <w:r>
        <w:rPr>
          <w:rFonts w:ascii="Palatino Linotype" w:hAnsi="Palatino Linotype"/>
          <w:sz w:val="22"/>
          <w:szCs w:val="22"/>
        </w:rPr>
        <w:t xml:space="preserve"> desde a Primeira Data de Integralização ou a Data de Pagamento de Remuneração imediatamente anterior, conforme o caso, até a data do efetivo pagamento, caso em que, quando do cálculo de quaisquer obrigações pecuniárias relativas às Debêntures previstas nesta Escritura de Emissão, será utilizado, para apuração da Taxa DI, o percentual correspondente à última Taxa DI divulgada oficialmente.</w:t>
      </w:r>
      <w:bookmarkEnd w:id="34"/>
    </w:p>
    <w:p w:rsidR="00DE78B2" w:rsidRDefault="00791406">
      <w:pPr>
        <w:numPr>
          <w:ilvl w:val="5"/>
          <w:numId w:val="10"/>
        </w:numPr>
        <w:rPr>
          <w:rFonts w:ascii="Palatino Linotype" w:hAnsi="Palatino Linotype"/>
          <w:sz w:val="22"/>
          <w:szCs w:val="22"/>
        </w:rPr>
      </w:pPr>
      <w:r>
        <w:rPr>
          <w:rFonts w:ascii="Palatino Linotype" w:hAnsi="Palatino Linotype"/>
          <w:sz w:val="22"/>
          <w:szCs w:val="22"/>
        </w:rPr>
        <w:tab/>
      </w:r>
      <w:bookmarkStart w:id="35" w:name="_Ref533021776"/>
      <w:r>
        <w:rPr>
          <w:rFonts w:ascii="Palatino Linotype" w:hAnsi="Palatino Linotype"/>
          <w:sz w:val="22"/>
          <w:szCs w:val="22"/>
        </w:rPr>
        <w:t>Sem prejuízo dos pagamentos em decorrência de vencimento antecipado das obrigações decorrentes das Debêntures, nos termos previstos nesta Escritura de Emissão, a Remuneração das Debêntures será paga semestralmente a partir da Data de Emissão, no dia 28 (vinte e oito) dos meses de fevereiro e agosto de cada ano (cada uma, uma "</w:t>
      </w:r>
      <w:r>
        <w:rPr>
          <w:rFonts w:ascii="Palatino Linotype" w:hAnsi="Palatino Linotype"/>
          <w:sz w:val="22"/>
          <w:szCs w:val="22"/>
          <w:u w:val="single"/>
        </w:rPr>
        <w:t>Data de Pagamento de Remuneração</w:t>
      </w:r>
      <w:r>
        <w:rPr>
          <w:rFonts w:ascii="Palatino Linotype" w:hAnsi="Palatino Linotype"/>
          <w:sz w:val="22"/>
          <w:szCs w:val="22"/>
        </w:rPr>
        <w:t>"), ocorrendo o primeiro pagamento em 28 de agosto de 2019 e o último na Data de Vencimento, conforme tabela abaixo:</w:t>
      </w:r>
      <w:bookmarkEnd w:id="35"/>
    </w:p>
    <w:p w:rsidR="00DE78B2" w:rsidRDefault="00DE78B2">
      <w:pPr>
        <w:ind w:left="709"/>
        <w:rPr>
          <w:rFonts w:ascii="Palatino Linotype" w:hAnsi="Palatino Linotype"/>
          <w:sz w:val="22"/>
          <w:szCs w:val="22"/>
        </w:rPr>
      </w:pPr>
    </w:p>
    <w:tbl>
      <w:tblPr>
        <w:tblStyle w:val="Tabelacomgrade"/>
        <w:tblW w:w="0" w:type="auto"/>
        <w:tblInd w:w="729" w:type="dxa"/>
        <w:tblLook w:val="04A0" w:firstRow="1" w:lastRow="0" w:firstColumn="1" w:lastColumn="0" w:noHBand="0" w:noVBand="1"/>
      </w:tblPr>
      <w:tblGrid>
        <w:gridCol w:w="846"/>
        <w:gridCol w:w="7260"/>
      </w:tblGrid>
      <w:tr w:rsidR="00DE78B2">
        <w:tc>
          <w:tcPr>
            <w:tcW w:w="846" w:type="dxa"/>
            <w:tcBorders>
              <w:top w:val="nil"/>
              <w:left w:val="nil"/>
            </w:tcBorders>
          </w:tcPr>
          <w:p w:rsidR="00DE78B2" w:rsidRDefault="00DE78B2">
            <w:pPr>
              <w:rPr>
                <w:rFonts w:ascii="Palatino Linotype" w:hAnsi="Palatino Linotype"/>
                <w:sz w:val="22"/>
                <w:szCs w:val="22"/>
              </w:rPr>
            </w:pPr>
          </w:p>
        </w:tc>
        <w:tc>
          <w:tcPr>
            <w:tcW w:w="7260" w:type="dxa"/>
          </w:tcPr>
          <w:p w:rsidR="00DE78B2" w:rsidRDefault="00791406">
            <w:pPr>
              <w:jc w:val="center"/>
              <w:rPr>
                <w:rFonts w:ascii="Palatino Linotype" w:hAnsi="Palatino Linotype"/>
                <w:b/>
                <w:sz w:val="22"/>
                <w:szCs w:val="22"/>
              </w:rPr>
            </w:pPr>
            <w:r>
              <w:rPr>
                <w:rFonts w:ascii="Palatino Linotype" w:hAnsi="Palatino Linotype"/>
                <w:b/>
                <w:sz w:val="22"/>
                <w:szCs w:val="22"/>
              </w:rPr>
              <w:t xml:space="preserve">Data de Pagamento de Remuneração das Debêntures </w:t>
            </w:r>
          </w:p>
        </w:tc>
      </w:tr>
      <w:tr w:rsidR="00DE78B2">
        <w:tc>
          <w:tcPr>
            <w:tcW w:w="846" w:type="dxa"/>
          </w:tcPr>
          <w:p w:rsidR="00DE78B2" w:rsidRDefault="00791406">
            <w:pPr>
              <w:rPr>
                <w:rFonts w:ascii="Palatino Linotype" w:hAnsi="Palatino Linotype"/>
                <w:sz w:val="22"/>
                <w:szCs w:val="22"/>
              </w:rPr>
            </w:pPr>
            <w:r>
              <w:rPr>
                <w:rFonts w:ascii="Palatino Linotype" w:hAnsi="Palatino Linotype"/>
                <w:sz w:val="22"/>
                <w:szCs w:val="22"/>
              </w:rPr>
              <w:t>1ª</w:t>
            </w:r>
          </w:p>
        </w:tc>
        <w:tc>
          <w:tcPr>
            <w:tcW w:w="7260" w:type="dxa"/>
          </w:tcPr>
          <w:p w:rsidR="00DE78B2" w:rsidRDefault="00791406">
            <w:pPr>
              <w:jc w:val="center"/>
              <w:rPr>
                <w:rFonts w:ascii="Palatino Linotype" w:hAnsi="Palatino Linotype"/>
                <w:sz w:val="22"/>
                <w:szCs w:val="22"/>
              </w:rPr>
            </w:pPr>
            <w:r>
              <w:rPr>
                <w:rFonts w:ascii="Palatino Linotype" w:hAnsi="Palatino Linotype"/>
                <w:sz w:val="22"/>
                <w:szCs w:val="22"/>
              </w:rPr>
              <w:t>28 de agosto de 2019</w:t>
            </w:r>
          </w:p>
        </w:tc>
      </w:tr>
      <w:tr w:rsidR="00DE78B2">
        <w:tc>
          <w:tcPr>
            <w:tcW w:w="846" w:type="dxa"/>
          </w:tcPr>
          <w:p w:rsidR="00DE78B2" w:rsidRDefault="00791406">
            <w:pPr>
              <w:rPr>
                <w:rFonts w:ascii="Palatino Linotype" w:hAnsi="Palatino Linotype"/>
                <w:sz w:val="22"/>
                <w:szCs w:val="22"/>
              </w:rPr>
            </w:pPr>
            <w:r>
              <w:rPr>
                <w:rFonts w:ascii="Palatino Linotype" w:hAnsi="Palatino Linotype"/>
                <w:sz w:val="22"/>
                <w:szCs w:val="22"/>
              </w:rPr>
              <w:t>2º</w:t>
            </w:r>
          </w:p>
        </w:tc>
        <w:tc>
          <w:tcPr>
            <w:tcW w:w="7260" w:type="dxa"/>
          </w:tcPr>
          <w:p w:rsidR="00DE78B2" w:rsidRDefault="00791406">
            <w:pPr>
              <w:jc w:val="center"/>
              <w:rPr>
                <w:rFonts w:ascii="Palatino Linotype" w:hAnsi="Palatino Linotype"/>
                <w:sz w:val="22"/>
                <w:szCs w:val="22"/>
              </w:rPr>
            </w:pPr>
            <w:r>
              <w:rPr>
                <w:rFonts w:ascii="Palatino Linotype" w:hAnsi="Palatino Linotype"/>
                <w:sz w:val="22"/>
                <w:szCs w:val="22"/>
              </w:rPr>
              <w:t>28 de fevereiro de 2020</w:t>
            </w:r>
          </w:p>
        </w:tc>
      </w:tr>
      <w:tr w:rsidR="00DE78B2">
        <w:tc>
          <w:tcPr>
            <w:tcW w:w="846" w:type="dxa"/>
          </w:tcPr>
          <w:p w:rsidR="00DE78B2" w:rsidRDefault="00791406">
            <w:pPr>
              <w:rPr>
                <w:rFonts w:ascii="Palatino Linotype" w:hAnsi="Palatino Linotype"/>
                <w:sz w:val="22"/>
                <w:szCs w:val="22"/>
              </w:rPr>
            </w:pPr>
            <w:r>
              <w:rPr>
                <w:rFonts w:ascii="Palatino Linotype" w:hAnsi="Palatino Linotype"/>
                <w:sz w:val="22"/>
                <w:szCs w:val="22"/>
              </w:rPr>
              <w:t>3º</w:t>
            </w:r>
          </w:p>
        </w:tc>
        <w:tc>
          <w:tcPr>
            <w:tcW w:w="7260" w:type="dxa"/>
          </w:tcPr>
          <w:p w:rsidR="00DE78B2" w:rsidRDefault="00791406">
            <w:pPr>
              <w:jc w:val="center"/>
              <w:rPr>
                <w:rFonts w:ascii="Palatino Linotype" w:hAnsi="Palatino Linotype"/>
                <w:sz w:val="22"/>
                <w:szCs w:val="22"/>
              </w:rPr>
            </w:pPr>
            <w:r>
              <w:rPr>
                <w:rFonts w:ascii="Palatino Linotype" w:hAnsi="Palatino Linotype"/>
                <w:sz w:val="22"/>
                <w:szCs w:val="22"/>
              </w:rPr>
              <w:t>28 de agosto de 2020</w:t>
            </w:r>
          </w:p>
        </w:tc>
      </w:tr>
      <w:tr w:rsidR="00DE78B2">
        <w:tc>
          <w:tcPr>
            <w:tcW w:w="846" w:type="dxa"/>
          </w:tcPr>
          <w:p w:rsidR="00DE78B2" w:rsidRDefault="00791406">
            <w:pPr>
              <w:rPr>
                <w:rFonts w:ascii="Palatino Linotype" w:hAnsi="Palatino Linotype"/>
                <w:sz w:val="22"/>
                <w:szCs w:val="22"/>
              </w:rPr>
            </w:pPr>
            <w:r>
              <w:rPr>
                <w:rFonts w:ascii="Palatino Linotype" w:hAnsi="Palatino Linotype"/>
                <w:sz w:val="22"/>
                <w:szCs w:val="22"/>
              </w:rPr>
              <w:t>4º</w:t>
            </w:r>
          </w:p>
        </w:tc>
        <w:tc>
          <w:tcPr>
            <w:tcW w:w="7260" w:type="dxa"/>
          </w:tcPr>
          <w:p w:rsidR="00DE78B2" w:rsidRDefault="00791406">
            <w:pPr>
              <w:jc w:val="center"/>
              <w:rPr>
                <w:rFonts w:ascii="Palatino Linotype" w:hAnsi="Palatino Linotype"/>
                <w:sz w:val="22"/>
                <w:szCs w:val="22"/>
              </w:rPr>
            </w:pPr>
            <w:r>
              <w:rPr>
                <w:rFonts w:ascii="Palatino Linotype" w:hAnsi="Palatino Linotype"/>
                <w:sz w:val="22"/>
                <w:szCs w:val="22"/>
              </w:rPr>
              <w:t>Data de Vencimento</w:t>
            </w:r>
          </w:p>
        </w:tc>
      </w:tr>
    </w:tbl>
    <w:p w:rsidR="00DE78B2" w:rsidRDefault="00DE78B2">
      <w:pPr>
        <w:ind w:left="709"/>
        <w:rPr>
          <w:rFonts w:ascii="Palatino Linotype" w:hAnsi="Palatino Linotype"/>
          <w:sz w:val="22"/>
          <w:szCs w:val="22"/>
        </w:rPr>
      </w:pPr>
    </w:p>
    <w:p w:rsidR="00DE78B2" w:rsidRDefault="00791406">
      <w:pPr>
        <w:numPr>
          <w:ilvl w:val="1"/>
          <w:numId w:val="10"/>
        </w:numPr>
        <w:rPr>
          <w:rFonts w:ascii="Palatino Linotype" w:hAnsi="Palatino Linotype"/>
          <w:sz w:val="22"/>
          <w:szCs w:val="22"/>
        </w:rPr>
      </w:pPr>
      <w:bookmarkStart w:id="36" w:name="h.1ci93xb" w:colFirst="0" w:colLast="0"/>
      <w:bookmarkStart w:id="37" w:name="h.3whwml4" w:colFirst="0" w:colLast="0"/>
      <w:bookmarkStart w:id="38" w:name="h.2bn6wsx" w:colFirst="0" w:colLast="0"/>
      <w:bookmarkStart w:id="39" w:name="h.qsh70q" w:colFirst="0" w:colLast="0"/>
      <w:bookmarkEnd w:id="33"/>
      <w:bookmarkEnd w:id="36"/>
      <w:bookmarkEnd w:id="37"/>
      <w:bookmarkEnd w:id="38"/>
      <w:bookmarkEnd w:id="39"/>
      <w:r>
        <w:rPr>
          <w:rFonts w:ascii="Palatino Linotype" w:hAnsi="Palatino Linotype"/>
          <w:i/>
          <w:sz w:val="22"/>
          <w:szCs w:val="22"/>
        </w:rPr>
        <w:t>Repactuação Programada</w:t>
      </w:r>
      <w:r>
        <w:rPr>
          <w:rFonts w:ascii="Palatino Linotype" w:hAnsi="Palatino Linotype"/>
          <w:sz w:val="22"/>
          <w:szCs w:val="22"/>
        </w:rPr>
        <w:t>. Não haverá repactuação programada.</w:t>
      </w:r>
    </w:p>
    <w:p w:rsidR="00DE78B2" w:rsidRDefault="00791406">
      <w:pPr>
        <w:numPr>
          <w:ilvl w:val="1"/>
          <w:numId w:val="10"/>
        </w:numPr>
        <w:rPr>
          <w:rFonts w:ascii="Palatino Linotype" w:hAnsi="Palatino Linotype"/>
          <w:sz w:val="22"/>
          <w:szCs w:val="22"/>
        </w:rPr>
      </w:pPr>
      <w:bookmarkStart w:id="40" w:name="h.3as4poj" w:colFirst="0" w:colLast="0"/>
      <w:bookmarkStart w:id="41" w:name="_Ref437376443"/>
      <w:bookmarkEnd w:id="40"/>
      <w:r>
        <w:rPr>
          <w:rFonts w:ascii="Palatino Linotype" w:hAnsi="Palatino Linotype"/>
          <w:i/>
          <w:sz w:val="22"/>
          <w:szCs w:val="22"/>
        </w:rPr>
        <w:lastRenderedPageBreak/>
        <w:t>Resgate Antecipado Facultativo</w:t>
      </w:r>
      <w:r>
        <w:rPr>
          <w:rFonts w:ascii="Palatino Linotype" w:hAnsi="Palatino Linotype"/>
          <w:sz w:val="22"/>
          <w:szCs w:val="22"/>
        </w:rPr>
        <w:t xml:space="preserve">. A Companhia poderá realizar o resgate antecipado facultativo da totalidade (sendo vedado o resgate parcial) das Debêntures, com seu consequente cancelamento, a qualquer momento, a partir do 6º (sexto) mês contado da Data de Emissão, ou seja, a partir de 28 de agosto de 2019, e desde que, cumulativamente: (1) a Companhia, com, no mínimo, 10 (dez) dias de antecedência da data do resgate antecipado facultativo, comunique os Debenturistas por meio de publicação de anúncio nos termos da Cláusula </w:t>
      </w:r>
      <w:r>
        <w:rPr>
          <w:rFonts w:ascii="Palatino Linotype" w:hAnsi="Palatino Linotype"/>
          <w:sz w:val="22"/>
          <w:szCs w:val="22"/>
        </w:rPr>
        <w:fldChar w:fldCharType="begin"/>
      </w:r>
      <w:r>
        <w:rPr>
          <w:rFonts w:ascii="Palatino Linotype" w:hAnsi="Palatino Linotype"/>
          <w:sz w:val="22"/>
          <w:szCs w:val="22"/>
        </w:rPr>
        <w:instrText xml:space="preserve"> REF _Ref533029668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6.25.7 abaixo</w:t>
      </w:r>
      <w:r>
        <w:rPr>
          <w:rFonts w:ascii="Palatino Linotype" w:hAnsi="Palatino Linotype"/>
          <w:sz w:val="22"/>
          <w:szCs w:val="22"/>
        </w:rPr>
        <w:fldChar w:fldCharType="end"/>
      </w:r>
      <w:r>
        <w:rPr>
          <w:rFonts w:ascii="Palatino Linotype" w:hAnsi="Palatino Linotype"/>
          <w:sz w:val="22"/>
          <w:szCs w:val="22"/>
        </w:rPr>
        <w:t xml:space="preserve"> ou de comunicação individual, com cópia ao Agente Fiduciário, a qual deverá descrever os termos e condições do resgate antecipado facultativo, incluindo (a) a projeção do valor a ser pago a título de resgate antecipado facultativo, conforme definido no subitem (3) abaixo; (b) a data efetiva para o resgate antecipado facultativo e o pagamento das Debêntures; e (c) demais informações consideradas relevantes pela Emissora para a operacionalização do resgate antecipado facultativo das Debêntures; (2) a B3, o Banco Liquidante e o Escriturador sejam comunicados, pela Companhia, da realização do resgate antecipado facultativo com, no mínimo, 3 (três) Dias Úteis de antecedência da respectiva data do resgate antecipado facultativo; e (3) o resgate antecipado facultativo das Debêntures seja realizado pelo Valor Nominal Unitário ou saldo do Valor Nominal Unitário das Debêntures, conforme o caso, acrescido da Remuneração, calculada</w:t>
      </w:r>
      <w:r>
        <w:rPr>
          <w:rFonts w:ascii="Palatino Linotype" w:hAnsi="Palatino Linotype"/>
          <w:i/>
          <w:sz w:val="22"/>
          <w:szCs w:val="22"/>
        </w:rPr>
        <w:t xml:space="preserve"> pro rata temporis</w:t>
      </w:r>
      <w:r>
        <w:rPr>
          <w:rFonts w:ascii="Palatino Linotype" w:hAnsi="Palatino Linotype"/>
          <w:sz w:val="22"/>
          <w:szCs w:val="22"/>
        </w:rPr>
        <w:t xml:space="preserve"> desde a Primeira Data de Integralização ou a Data de Pagamento de Remuneração imediatamente anterior, conforme o caso, até a data do efetivo pagamento (“</w:t>
      </w:r>
      <w:r>
        <w:rPr>
          <w:rFonts w:ascii="Palatino Linotype" w:hAnsi="Palatino Linotype"/>
          <w:sz w:val="22"/>
          <w:szCs w:val="22"/>
          <w:u w:val="single"/>
        </w:rPr>
        <w:t>Resgate Antecipado Facultativo</w:t>
      </w:r>
      <w:r>
        <w:rPr>
          <w:rFonts w:ascii="Palatino Linotype" w:hAnsi="Palatino Linotype"/>
          <w:sz w:val="22"/>
          <w:szCs w:val="22"/>
        </w:rPr>
        <w:t>”).</w:t>
      </w:r>
      <w:bookmarkEnd w:id="41"/>
      <w:r>
        <w:rPr>
          <w:rFonts w:ascii="Palatino Linotype" w:hAnsi="Palatino Linotype"/>
          <w:sz w:val="22"/>
          <w:szCs w:val="22"/>
        </w:rPr>
        <w:t xml:space="preserve"> Não haverá o pagamento de qualquer prêmio no caso de Resgate Antecipado Facultativo.</w:t>
      </w:r>
    </w:p>
    <w:p w:rsidR="00DE78B2" w:rsidRDefault="00791406">
      <w:pPr>
        <w:numPr>
          <w:ilvl w:val="1"/>
          <w:numId w:val="10"/>
        </w:numPr>
        <w:rPr>
          <w:rFonts w:ascii="Palatino Linotype" w:hAnsi="Palatino Linotype"/>
          <w:sz w:val="22"/>
          <w:szCs w:val="22"/>
        </w:rPr>
      </w:pPr>
      <w:bookmarkStart w:id="42" w:name="h.1pxezwc" w:colFirst="0" w:colLast="0"/>
      <w:bookmarkStart w:id="43" w:name="_Ref437376445"/>
      <w:bookmarkEnd w:id="42"/>
      <w:r>
        <w:rPr>
          <w:rFonts w:ascii="Palatino Linotype" w:hAnsi="Palatino Linotype"/>
          <w:i/>
          <w:sz w:val="22"/>
          <w:szCs w:val="22"/>
        </w:rPr>
        <w:t>Amortização Antecipada Facultativa</w:t>
      </w:r>
      <w:r>
        <w:rPr>
          <w:rFonts w:ascii="Palatino Linotype" w:hAnsi="Palatino Linotype"/>
          <w:sz w:val="22"/>
          <w:szCs w:val="22"/>
        </w:rPr>
        <w:t xml:space="preserve">. A Companhia poderá realizar amortizações antecipadas facultativas sobre o Valor Nominal Unitário ou o saldo do Valor Nominal Unitário da totalidade das Debêntures, conforme o caso, a qualquer momento, a partir do 6º (sexto) mês contado desde a Data de Emissão, ou seja, a partir de 28 de agosto de 2019, e desde que, cumulativamente: (1) a Companhia, com, no mínimo, 10 (dez) dias de antecedência da data da amortização antecipada facultativa, comunique os Debenturistas por meio de publicação de anúncio nos termos da Cláusula </w:t>
      </w:r>
      <w:r>
        <w:rPr>
          <w:rFonts w:ascii="Palatino Linotype" w:hAnsi="Palatino Linotype"/>
          <w:sz w:val="22"/>
          <w:szCs w:val="22"/>
        </w:rPr>
        <w:fldChar w:fldCharType="begin"/>
      </w:r>
      <w:r>
        <w:rPr>
          <w:rFonts w:ascii="Palatino Linotype" w:hAnsi="Palatino Linotype"/>
          <w:sz w:val="22"/>
          <w:szCs w:val="22"/>
        </w:rPr>
        <w:instrText xml:space="preserve"> REF _Ref533029668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6.25.7 abaixo</w:t>
      </w:r>
      <w:r>
        <w:rPr>
          <w:rFonts w:ascii="Palatino Linotype" w:hAnsi="Palatino Linotype"/>
          <w:sz w:val="22"/>
          <w:szCs w:val="22"/>
        </w:rPr>
        <w:fldChar w:fldCharType="end"/>
      </w:r>
      <w:r>
        <w:rPr>
          <w:rFonts w:ascii="Palatino Linotype" w:hAnsi="Palatino Linotype"/>
          <w:sz w:val="22"/>
          <w:szCs w:val="22"/>
        </w:rPr>
        <w:t xml:space="preserve"> ou de comunicação individual, com cópia ao Agente Fiduciário, a qual deverá descrever os termos e condições da amortização antecipada facultativa, incluindo (a) a parcela do Valor Nominal Unitário ou do saldo do Valor Nominal Unitário das Debêntures a ser amortizada, conforme o caso; (b) a projeção do valor a ser pago a título de amortização antecipada facultativa, conforme definido no subitem (3) abaixo; (c) a data efetiva para a amortização antecipada facultativa e o pagamento das Debêntures; e (d) demais informações consideradas relevantes pela Emissora para a operacionalização da amortização antecipada facultativa das Debêntures; (2) a B3, o Banco Liquidante e o Escriturador sejam comunicados, pela Companhia, da realização da amortização antecipada facultativa com, no mínimo, 3 (três) Dias Úteis de antecedência da respectiva data da amortização antecipada facultativa; e (3) a amortização antecipada facultativa das Debêntures seja realizada mediante o pagamento de parcela do Valor Nominal Unitário ou do saldo do Valor Nominal Unitário das Debêntures a ser amortizada, </w:t>
      </w:r>
      <w:r>
        <w:rPr>
          <w:rFonts w:ascii="Palatino Linotype" w:hAnsi="Palatino Linotype"/>
          <w:sz w:val="22"/>
          <w:szCs w:val="22"/>
        </w:rPr>
        <w:lastRenderedPageBreak/>
        <w:t>conforme o caso, limitada a 95% (noventa e cinco por cento) do Valor Nominal Unitário ou do saldo do Valor Nominal Unitário das Debêntures, conforme o caso, acrescido da Remuneração, calculada</w:t>
      </w:r>
      <w:r>
        <w:rPr>
          <w:rFonts w:ascii="Palatino Linotype" w:hAnsi="Palatino Linotype"/>
          <w:i/>
          <w:sz w:val="22"/>
          <w:szCs w:val="22"/>
        </w:rPr>
        <w:t xml:space="preserve"> pro rata temporis</w:t>
      </w:r>
      <w:r>
        <w:rPr>
          <w:rFonts w:ascii="Palatino Linotype" w:hAnsi="Palatino Linotype"/>
          <w:sz w:val="22"/>
          <w:szCs w:val="22"/>
        </w:rPr>
        <w:t xml:space="preserve"> desde a Primeira Data de Integralização ou a Data de Pagamento de Remuneração imediatamente anterior, conforme o caso, até a data do efetivo pagamento (“</w:t>
      </w:r>
      <w:r>
        <w:rPr>
          <w:rFonts w:ascii="Palatino Linotype" w:hAnsi="Palatino Linotype"/>
          <w:sz w:val="22"/>
          <w:szCs w:val="22"/>
          <w:u w:val="single"/>
        </w:rPr>
        <w:t>Amortização Antecipada Facultativa</w:t>
      </w:r>
      <w:r>
        <w:rPr>
          <w:rFonts w:ascii="Palatino Linotype" w:hAnsi="Palatino Linotype"/>
          <w:sz w:val="22"/>
          <w:szCs w:val="22"/>
        </w:rPr>
        <w:t>”). Não haverá o pagamento de qualquer prêmio no caso de Amortização Antecipada Facultativa.</w:t>
      </w:r>
      <w:bookmarkEnd w:id="43"/>
    </w:p>
    <w:p w:rsidR="00DE78B2" w:rsidRDefault="00791406">
      <w:pPr>
        <w:numPr>
          <w:ilvl w:val="1"/>
          <w:numId w:val="10"/>
        </w:numPr>
        <w:rPr>
          <w:rFonts w:ascii="Palatino Linotype" w:hAnsi="Palatino Linotype"/>
          <w:sz w:val="22"/>
          <w:szCs w:val="22"/>
        </w:rPr>
      </w:pPr>
      <w:bookmarkStart w:id="44" w:name="h.49x2ik5" w:colFirst="0" w:colLast="0"/>
      <w:bookmarkStart w:id="45" w:name="h.2p2csry" w:colFirst="0" w:colLast="0"/>
      <w:bookmarkStart w:id="46" w:name="h.147n2zr" w:colFirst="0" w:colLast="0"/>
      <w:bookmarkEnd w:id="44"/>
      <w:bookmarkEnd w:id="45"/>
      <w:bookmarkEnd w:id="46"/>
      <w:r>
        <w:rPr>
          <w:rFonts w:ascii="Palatino Linotype" w:hAnsi="Palatino Linotype"/>
          <w:i/>
          <w:sz w:val="22"/>
          <w:szCs w:val="22"/>
        </w:rPr>
        <w:t>Aquisição Facultativa</w:t>
      </w:r>
      <w:r>
        <w:rPr>
          <w:rFonts w:ascii="Palatino Linotype" w:hAnsi="Palatino Linotype"/>
          <w:sz w:val="22"/>
          <w:szCs w:val="22"/>
        </w:rPr>
        <w:t>. A Companhia poderá, a qualquer tempo, adquirir Debêntures desde que observe o disposto no artigo 55, parágrafo 3º, da Lei das Sociedades por Ações, nos artigos 13 e 15 da Instrução CVM 476 e na regulamentação aplicável da CVM. As Debêntures adquiridas pela Companhia poderão, a critério da Companhia, ser canceladas, permanecer em tesouraria ou ser novamente colocadas no mercado. As Debêntures adquiridas pela Companhia para permanência em tesouraria nos termos desta Cláusula, se e quando recolocadas no mercado, farão jus à mesma Remuneração aplicável às demais Debêntures.</w:t>
      </w:r>
    </w:p>
    <w:p w:rsidR="00DE78B2" w:rsidRDefault="00791406">
      <w:pPr>
        <w:numPr>
          <w:ilvl w:val="1"/>
          <w:numId w:val="10"/>
        </w:numPr>
        <w:rPr>
          <w:rFonts w:ascii="Palatino Linotype" w:hAnsi="Palatino Linotype"/>
          <w:sz w:val="22"/>
          <w:szCs w:val="22"/>
        </w:rPr>
      </w:pPr>
      <w:r>
        <w:rPr>
          <w:rFonts w:ascii="Palatino Linotype" w:hAnsi="Palatino Linotype"/>
          <w:i/>
          <w:sz w:val="22"/>
          <w:szCs w:val="22"/>
        </w:rPr>
        <w:t>Direito ao Recebimento dos Pagamentos</w:t>
      </w:r>
      <w:r>
        <w:rPr>
          <w:rFonts w:ascii="Palatino Linotype" w:hAnsi="Palatino Linotype"/>
          <w:sz w:val="22"/>
          <w:szCs w:val="22"/>
        </w:rPr>
        <w:t>. Farão jus ao recebimento de qualquer valor devido aos Debenturistas nos termos desta Escritura de Emissão aqueles que forem Debenturistas no encerramento do Dia Útil imediatamente anterior à respectiva data de pagamento.</w:t>
      </w:r>
    </w:p>
    <w:p w:rsidR="00DE78B2" w:rsidRDefault="00791406">
      <w:pPr>
        <w:numPr>
          <w:ilvl w:val="1"/>
          <w:numId w:val="10"/>
        </w:numPr>
        <w:rPr>
          <w:rFonts w:ascii="Palatino Linotype" w:hAnsi="Palatino Linotype"/>
          <w:sz w:val="22"/>
          <w:szCs w:val="22"/>
        </w:rPr>
      </w:pPr>
      <w:bookmarkStart w:id="47" w:name="h.3o7alnk" w:colFirst="0" w:colLast="0"/>
      <w:bookmarkStart w:id="48" w:name="_Ref437370648"/>
      <w:bookmarkEnd w:id="47"/>
      <w:r>
        <w:rPr>
          <w:rFonts w:ascii="Palatino Linotype" w:hAnsi="Palatino Linotype"/>
          <w:i/>
          <w:sz w:val="22"/>
          <w:szCs w:val="22"/>
        </w:rPr>
        <w:t>Local de Pagamento</w:t>
      </w:r>
      <w:r>
        <w:rPr>
          <w:rFonts w:ascii="Palatino Linotype" w:hAnsi="Palatino Linotype"/>
          <w:sz w:val="22"/>
          <w:szCs w:val="22"/>
        </w:rPr>
        <w:t>. Os pagamentos a que fazem jus as Debêntures serão efetuados pela Emissora: (i) utilizando-se os procedimentos adotados pela B3 para as Debêntures custodiadas eletronicamente na B3; ou (ii) na hipótese de as Debêntures não estarem custodiadas eletronicamente na B3: (a) na sede da Emissora ou do Banco Liquidante; ou (b) conforme o caso, pela instituição financeira contratada para este fim.</w:t>
      </w:r>
      <w:bookmarkEnd w:id="48"/>
    </w:p>
    <w:p w:rsidR="00DE78B2" w:rsidRDefault="00791406">
      <w:pPr>
        <w:numPr>
          <w:ilvl w:val="1"/>
          <w:numId w:val="10"/>
        </w:numPr>
        <w:rPr>
          <w:rFonts w:ascii="Palatino Linotype" w:hAnsi="Palatino Linotype"/>
          <w:sz w:val="22"/>
          <w:szCs w:val="22"/>
        </w:rPr>
      </w:pPr>
      <w:bookmarkStart w:id="49" w:name="h.23ckvvd" w:colFirst="0" w:colLast="0"/>
      <w:bookmarkEnd w:id="49"/>
      <w:r>
        <w:rPr>
          <w:rFonts w:ascii="Palatino Linotype" w:hAnsi="Palatino Linotype"/>
          <w:i/>
          <w:sz w:val="22"/>
          <w:szCs w:val="22"/>
        </w:rPr>
        <w:t>Prorrogação dos Prazos</w:t>
      </w:r>
      <w:r>
        <w:rPr>
          <w:rFonts w:ascii="Palatino Linotype" w:hAnsi="Palatino Linotype"/>
          <w:sz w:val="22"/>
          <w:szCs w:val="22"/>
        </w:rPr>
        <w:t>. Considerar-se-ão automaticamente prorrogados os prazos referentes a qualquer obrigação prevista nesta Escritura de Emissão até o 1º (primeiro) Dia Útil subsequente, se o seu vencimento coincidir com dia que não seja Dia Útil, não sendo devido qualquer acréscimo aos valores a serem pagos. Para os fins desta Escritura de Emissão, "</w:t>
      </w:r>
      <w:r>
        <w:rPr>
          <w:rFonts w:ascii="Palatino Linotype" w:hAnsi="Palatino Linotype"/>
          <w:sz w:val="22"/>
          <w:szCs w:val="22"/>
          <w:u w:val="single"/>
        </w:rPr>
        <w:t>Dia Útil</w:t>
      </w:r>
      <w:r>
        <w:rPr>
          <w:rFonts w:ascii="Palatino Linotype" w:hAnsi="Palatino Linotype"/>
          <w:sz w:val="22"/>
          <w:szCs w:val="22"/>
        </w:rPr>
        <w:t>" significa (i) com relação a qualquer obrigação pecuniária, inclusive para fins de cálculo, qualquer dia que não seja sábado, domingo ou feriado declarado nacional; e (ii) com relação a qualquer obrigação não pecuniária prevista nesta Escritura de Emissão, qualquer dia no qual haja expediente nos bancos comerciais na Cidade de São Paulo, Estado de São Paulo, e que não seja sábado ou domingo.</w:t>
      </w:r>
    </w:p>
    <w:p w:rsidR="00DE78B2" w:rsidRDefault="00791406">
      <w:pPr>
        <w:numPr>
          <w:ilvl w:val="1"/>
          <w:numId w:val="10"/>
        </w:numPr>
        <w:rPr>
          <w:rFonts w:ascii="Palatino Linotype" w:hAnsi="Palatino Linotype"/>
          <w:sz w:val="22"/>
          <w:szCs w:val="22"/>
        </w:rPr>
      </w:pPr>
      <w:bookmarkStart w:id="50" w:name="h.ihv636" w:colFirst="0" w:colLast="0"/>
      <w:bookmarkEnd w:id="50"/>
      <w:r>
        <w:rPr>
          <w:rFonts w:ascii="Palatino Linotype" w:hAnsi="Palatino Linotype"/>
          <w:i/>
          <w:sz w:val="22"/>
          <w:szCs w:val="22"/>
        </w:rPr>
        <w:t>Encargos Moratórios</w:t>
      </w:r>
      <w:r>
        <w:rPr>
          <w:rFonts w:ascii="Palatino Linotype" w:hAnsi="Palatino Linotype"/>
          <w:sz w:val="22"/>
          <w:szCs w:val="22"/>
        </w:rPr>
        <w:t xml:space="preserve">. Ocorrendo impontualidade no pagamento de qualquer valor devido pela Companhia aos Debenturistas nos termos desta Escritura de Emissão, desde que não sanado no prazo de cura estabelecido nesta Escritura de Emissão, adicionalmente ao pagamento da Remuneração, calculada </w:t>
      </w:r>
      <w:r>
        <w:rPr>
          <w:rFonts w:ascii="Palatino Linotype" w:hAnsi="Palatino Linotype"/>
          <w:i/>
          <w:sz w:val="22"/>
          <w:szCs w:val="22"/>
        </w:rPr>
        <w:t>pro rata temporis</w:t>
      </w:r>
      <w:r>
        <w:rPr>
          <w:rFonts w:ascii="Palatino Linotype" w:hAnsi="Palatino Linotype"/>
          <w:sz w:val="22"/>
          <w:szCs w:val="22"/>
        </w:rPr>
        <w:t xml:space="preserve"> desde a Primeira Data de Integralização ou a data de pagamento de Remuneração imediatamente anterior, conforme o caso, até a data do efetivo pagamento, sobre </w:t>
      </w:r>
      <w:r>
        <w:rPr>
          <w:rFonts w:ascii="Palatino Linotype" w:hAnsi="Palatino Linotype"/>
          <w:sz w:val="22"/>
          <w:szCs w:val="22"/>
        </w:rPr>
        <w:lastRenderedPageBreak/>
        <w:t xml:space="preserve">todos e quaisquer valores em atraso, incidirão, independentemente de aviso, notificação ou interpelação judicial ou extrajudicial, (i) juros de mora de 1% (um por cento) ao mês, calculados </w:t>
      </w:r>
      <w:r>
        <w:rPr>
          <w:rFonts w:ascii="Palatino Linotype" w:hAnsi="Palatino Linotype"/>
          <w:i/>
          <w:sz w:val="22"/>
          <w:szCs w:val="22"/>
        </w:rPr>
        <w:t>pro rata temporis</w:t>
      </w:r>
      <w:r>
        <w:rPr>
          <w:rFonts w:ascii="Palatino Linotype" w:hAnsi="Palatino Linotype"/>
          <w:sz w:val="22"/>
          <w:szCs w:val="22"/>
        </w:rPr>
        <w:t xml:space="preserve"> desde a data de inadimplemento até a data do efetivo pagamento; e (ii) multa moratória não compensatória de 2% (dois por cento) ("</w:t>
      </w:r>
      <w:r>
        <w:rPr>
          <w:rFonts w:ascii="Palatino Linotype" w:hAnsi="Palatino Linotype"/>
          <w:sz w:val="22"/>
          <w:szCs w:val="22"/>
          <w:u w:val="single"/>
        </w:rPr>
        <w:t>Encargos Moratórios</w:t>
      </w:r>
      <w:r>
        <w:rPr>
          <w:rFonts w:ascii="Palatino Linotype" w:hAnsi="Palatino Linotype"/>
          <w:sz w:val="22"/>
          <w:szCs w:val="22"/>
        </w:rPr>
        <w:t>").</w:t>
      </w:r>
    </w:p>
    <w:p w:rsidR="00DE78B2" w:rsidRDefault="00791406">
      <w:pPr>
        <w:numPr>
          <w:ilvl w:val="1"/>
          <w:numId w:val="10"/>
        </w:numPr>
        <w:rPr>
          <w:rFonts w:ascii="Palatino Linotype" w:hAnsi="Palatino Linotype"/>
          <w:sz w:val="22"/>
          <w:szCs w:val="22"/>
        </w:rPr>
      </w:pPr>
      <w:r>
        <w:rPr>
          <w:rFonts w:ascii="Palatino Linotype" w:hAnsi="Palatino Linotype"/>
          <w:i/>
          <w:sz w:val="22"/>
          <w:szCs w:val="22"/>
        </w:rPr>
        <w:t>Decadência dos Direitos aos Acréscimos</w:t>
      </w:r>
      <w:r>
        <w:rPr>
          <w:rFonts w:ascii="Palatino Linotype" w:hAnsi="Palatino Linotype"/>
          <w:sz w:val="22"/>
          <w:szCs w:val="22"/>
        </w:rPr>
        <w:t>.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ou pagamento, no caso de impontualidade no pagamento.</w:t>
      </w:r>
    </w:p>
    <w:p w:rsidR="00DE78B2" w:rsidRDefault="00791406">
      <w:pPr>
        <w:numPr>
          <w:ilvl w:val="1"/>
          <w:numId w:val="10"/>
        </w:numPr>
        <w:rPr>
          <w:rFonts w:ascii="Palatino Linotype" w:hAnsi="Palatino Linotype"/>
          <w:sz w:val="22"/>
          <w:szCs w:val="22"/>
        </w:rPr>
      </w:pPr>
      <w:bookmarkStart w:id="51" w:name="_Ref533025419"/>
      <w:r>
        <w:rPr>
          <w:rFonts w:ascii="Palatino Linotype" w:hAnsi="Palatino Linotype"/>
          <w:i/>
          <w:sz w:val="22"/>
          <w:szCs w:val="22"/>
        </w:rPr>
        <w:t>Imunidade Tributária</w:t>
      </w:r>
      <w:r>
        <w:rPr>
          <w:rFonts w:ascii="Palatino Linotype" w:hAnsi="Palatino Linotype"/>
          <w:sz w:val="22"/>
          <w:szCs w:val="22"/>
        </w:rPr>
        <w:t>. Caso qualquer Debenturista tenha imunidade ou isenção tributária, este deverá encaminhar ao Banco Liquidante, no prazo mínimo de 10 (dez) Dias Úteis anteriores à data prevista para recebimento de valores relativos às Debêntures, documentação comprobatória da referida imunidade ou isenção tributária, sob pena de ter descontado de seus pagamentos os valores devidos nos termos da legislação tributária em vigor.</w:t>
      </w:r>
      <w:bookmarkEnd w:id="51"/>
      <w:r>
        <w:rPr>
          <w:rFonts w:ascii="Palatino Linotype" w:hAnsi="Palatino Linotype"/>
          <w:sz w:val="22"/>
          <w:szCs w:val="22"/>
        </w:rPr>
        <w:t xml:space="preserve"> </w:t>
      </w:r>
    </w:p>
    <w:p w:rsidR="00DE78B2" w:rsidRDefault="00791406">
      <w:pPr>
        <w:numPr>
          <w:ilvl w:val="1"/>
          <w:numId w:val="10"/>
        </w:numPr>
        <w:rPr>
          <w:rFonts w:ascii="Palatino Linotype" w:hAnsi="Palatino Linotype"/>
          <w:sz w:val="22"/>
          <w:szCs w:val="22"/>
        </w:rPr>
      </w:pPr>
      <w:bookmarkStart w:id="52" w:name="h.32hioqz" w:colFirst="0" w:colLast="0"/>
      <w:bookmarkStart w:id="53" w:name="_Ref437376097"/>
      <w:bookmarkStart w:id="54" w:name="_Ref437434676"/>
      <w:bookmarkEnd w:id="52"/>
      <w:r>
        <w:rPr>
          <w:rFonts w:ascii="Palatino Linotype" w:hAnsi="Palatino Linotype"/>
          <w:i/>
          <w:sz w:val="22"/>
          <w:szCs w:val="22"/>
        </w:rPr>
        <w:t>Vencimento Antecipado</w:t>
      </w:r>
      <w:r>
        <w:rPr>
          <w:rFonts w:ascii="Palatino Linotype" w:hAnsi="Palatino Linotype"/>
          <w:sz w:val="22"/>
          <w:szCs w:val="22"/>
        </w:rPr>
        <w:t>. Sujeito ao disposto nas Cláusulas </w:t>
      </w:r>
      <w:r>
        <w:rPr>
          <w:rFonts w:ascii="Palatino Linotype" w:hAnsi="Palatino Linotype"/>
          <w:sz w:val="22"/>
          <w:szCs w:val="22"/>
        </w:rPr>
        <w:fldChar w:fldCharType="begin"/>
      </w:r>
      <w:r>
        <w:rPr>
          <w:rFonts w:ascii="Palatino Linotype" w:hAnsi="Palatino Linotype"/>
          <w:sz w:val="22"/>
          <w:szCs w:val="22"/>
        </w:rPr>
        <w:instrText xml:space="preserve"> REF _Ref532905420 \r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6.25.1</w:t>
      </w:r>
      <w:r>
        <w:rPr>
          <w:rFonts w:ascii="Palatino Linotype" w:hAnsi="Palatino Linotype"/>
          <w:sz w:val="22"/>
          <w:szCs w:val="22"/>
        </w:rPr>
        <w:fldChar w:fldCharType="end"/>
      </w:r>
      <w:r>
        <w:rPr>
          <w:rFonts w:ascii="Palatino Linotype" w:hAnsi="Palatino Linotype"/>
          <w:sz w:val="22"/>
          <w:szCs w:val="22"/>
        </w:rPr>
        <w:t xml:space="preserve"> a </w:t>
      </w:r>
      <w:r>
        <w:rPr>
          <w:rFonts w:ascii="Palatino Linotype" w:hAnsi="Palatino Linotype"/>
          <w:sz w:val="22"/>
          <w:szCs w:val="22"/>
        </w:rPr>
        <w:fldChar w:fldCharType="begin"/>
      </w:r>
      <w:r>
        <w:rPr>
          <w:rFonts w:ascii="Palatino Linotype" w:hAnsi="Palatino Linotype"/>
          <w:sz w:val="22"/>
          <w:szCs w:val="22"/>
        </w:rPr>
        <w:instrText xml:space="preserve"> REF _Ref533025652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6.25.6 abaixo</w:t>
      </w:r>
      <w:r>
        <w:rPr>
          <w:rFonts w:ascii="Palatino Linotype" w:hAnsi="Palatino Linotype"/>
          <w:sz w:val="22"/>
          <w:szCs w:val="22"/>
        </w:rPr>
        <w:fldChar w:fldCharType="end"/>
      </w:r>
      <w:r>
        <w:rPr>
          <w:rFonts w:ascii="Palatino Linotype" w:hAnsi="Palatino Linotype"/>
          <w:sz w:val="22"/>
          <w:szCs w:val="22"/>
        </w:rPr>
        <w:t xml:space="preserve">, o Agente Fiduciário poderá declarar antecipadamente vencidas as obrigações decorrentes das Debêntures, e exigir o imediato pagamento, pela Companhia, do Valor Nominal Unitário ou saldo do Valor Nominal Unitário das Debêntures, conforme o caso, acrescido da Remuneração, calculada </w:t>
      </w:r>
      <w:r>
        <w:rPr>
          <w:rFonts w:ascii="Palatino Linotype" w:hAnsi="Palatino Linotype"/>
          <w:i/>
          <w:sz w:val="22"/>
          <w:szCs w:val="22"/>
        </w:rPr>
        <w:t>pro rata temporis</w:t>
      </w:r>
      <w:r>
        <w:rPr>
          <w:rFonts w:ascii="Palatino Linotype" w:hAnsi="Palatino Linotype"/>
          <w:sz w:val="22"/>
          <w:szCs w:val="22"/>
        </w:rPr>
        <w:t xml:space="preserve"> desde a Primeira Data de Integralização ou a data de pagamento de Remuneração imediatamente anterior, conforme o caso, até a data do efetivo pagamento, sem prejuízo, quando for o caso, dos Encargos Moratórios, na ocorrência de quaisquer dos eventos previstos nas Cláusulas </w:t>
      </w:r>
      <w:r>
        <w:rPr>
          <w:rFonts w:ascii="Palatino Linotype" w:hAnsi="Palatino Linotype"/>
          <w:sz w:val="22"/>
          <w:szCs w:val="22"/>
        </w:rPr>
        <w:fldChar w:fldCharType="begin"/>
      </w:r>
      <w:r>
        <w:rPr>
          <w:rFonts w:ascii="Palatino Linotype" w:hAnsi="Palatino Linotype"/>
          <w:sz w:val="22"/>
          <w:szCs w:val="22"/>
        </w:rPr>
        <w:instrText xml:space="preserve"> REF _Ref532905420 \r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6.25.1</w:t>
      </w:r>
      <w:r>
        <w:rPr>
          <w:rFonts w:ascii="Palatino Linotype" w:hAnsi="Palatino Linotype"/>
          <w:sz w:val="22"/>
          <w:szCs w:val="22"/>
        </w:rPr>
        <w:fldChar w:fldCharType="end"/>
      </w:r>
      <w:r>
        <w:rPr>
          <w:rFonts w:ascii="Palatino Linotype" w:hAnsi="Palatino Linotype"/>
          <w:sz w:val="22"/>
          <w:szCs w:val="22"/>
        </w:rPr>
        <w:t xml:space="preserve"> e </w:t>
      </w:r>
      <w:r>
        <w:rPr>
          <w:rFonts w:ascii="Palatino Linotype" w:hAnsi="Palatino Linotype"/>
          <w:sz w:val="22"/>
          <w:szCs w:val="22"/>
        </w:rPr>
        <w:fldChar w:fldCharType="begin"/>
      </w:r>
      <w:r>
        <w:rPr>
          <w:rFonts w:ascii="Palatino Linotype" w:hAnsi="Palatino Linotype"/>
          <w:sz w:val="22"/>
          <w:szCs w:val="22"/>
        </w:rPr>
        <w:instrText xml:space="preserve"> REF _Ref532905470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6.25.2 abaixo</w:t>
      </w:r>
      <w:r>
        <w:rPr>
          <w:rFonts w:ascii="Palatino Linotype" w:hAnsi="Palatino Linotype"/>
          <w:sz w:val="22"/>
          <w:szCs w:val="22"/>
        </w:rPr>
        <w:fldChar w:fldCharType="end"/>
      </w:r>
      <w:r>
        <w:rPr>
          <w:rFonts w:ascii="Palatino Linotype" w:hAnsi="Palatino Linotype"/>
          <w:sz w:val="22"/>
          <w:szCs w:val="22"/>
        </w:rPr>
        <w:t xml:space="preserve"> (cada evento, um "</w:t>
      </w:r>
      <w:r>
        <w:rPr>
          <w:rFonts w:ascii="Palatino Linotype" w:hAnsi="Palatino Linotype"/>
          <w:sz w:val="22"/>
          <w:szCs w:val="22"/>
          <w:u w:val="single"/>
        </w:rPr>
        <w:t>Evento de Inadimplemento</w:t>
      </w:r>
      <w:r>
        <w:rPr>
          <w:rFonts w:ascii="Palatino Linotype" w:hAnsi="Palatino Linotype"/>
          <w:sz w:val="22"/>
          <w:szCs w:val="22"/>
        </w:rPr>
        <w:t>")</w:t>
      </w:r>
      <w:bookmarkEnd w:id="53"/>
      <w:r>
        <w:rPr>
          <w:rFonts w:ascii="Palatino Linotype" w:hAnsi="Palatino Linotype"/>
          <w:sz w:val="22"/>
          <w:szCs w:val="22"/>
        </w:rPr>
        <w:t>.</w:t>
      </w:r>
      <w:bookmarkEnd w:id="54"/>
    </w:p>
    <w:p w:rsidR="00DE78B2" w:rsidRDefault="00791406">
      <w:pPr>
        <w:numPr>
          <w:ilvl w:val="5"/>
          <w:numId w:val="10"/>
        </w:numPr>
        <w:rPr>
          <w:rFonts w:ascii="Palatino Linotype" w:hAnsi="Palatino Linotype"/>
          <w:sz w:val="22"/>
          <w:szCs w:val="22"/>
        </w:rPr>
      </w:pPr>
      <w:bookmarkStart w:id="55" w:name="_Ref532905420"/>
      <w:r>
        <w:rPr>
          <w:rFonts w:ascii="Palatino Linotype" w:hAnsi="Palatino Linotype"/>
          <w:sz w:val="22"/>
          <w:szCs w:val="22"/>
        </w:rPr>
        <w:t xml:space="preserve">Constituem Eventos de Inadimplemento que acarretam o vencimento automático das obrigações decorrentes das Debêntures, independentemente de aviso ou notificação, judicial ou extrajudicial, aplicando-se o disposto na Cláusula </w:t>
      </w:r>
      <w:r>
        <w:rPr>
          <w:rFonts w:ascii="Palatino Linotype" w:hAnsi="Palatino Linotype"/>
          <w:sz w:val="22"/>
          <w:szCs w:val="22"/>
        </w:rPr>
        <w:fldChar w:fldCharType="begin"/>
      </w:r>
      <w:r>
        <w:rPr>
          <w:rFonts w:ascii="Palatino Linotype" w:hAnsi="Palatino Linotype"/>
          <w:sz w:val="22"/>
          <w:szCs w:val="22"/>
        </w:rPr>
        <w:instrText xml:space="preserve"> REF _Ref533025888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6.25.3 abaixo</w:t>
      </w:r>
      <w:r>
        <w:rPr>
          <w:rFonts w:ascii="Palatino Linotype" w:hAnsi="Palatino Linotype"/>
          <w:sz w:val="22"/>
          <w:szCs w:val="22"/>
        </w:rPr>
        <w:fldChar w:fldCharType="end"/>
      </w:r>
      <w:r>
        <w:rPr>
          <w:rFonts w:ascii="Palatino Linotype" w:hAnsi="Palatino Linotype"/>
          <w:sz w:val="22"/>
          <w:szCs w:val="22"/>
        </w:rPr>
        <w:t>:</w:t>
      </w:r>
      <w:bookmarkEnd w:id="55"/>
      <w:r>
        <w:rPr>
          <w:rFonts w:ascii="Palatino Linotype" w:hAnsi="Palatino Linotype"/>
          <w:sz w:val="22"/>
          <w:szCs w:val="22"/>
        </w:rPr>
        <w:t xml:space="preserve"> </w:t>
      </w:r>
    </w:p>
    <w:p w:rsidR="00DE78B2" w:rsidRDefault="00791406">
      <w:pPr>
        <w:numPr>
          <w:ilvl w:val="2"/>
          <w:numId w:val="13"/>
        </w:numPr>
        <w:rPr>
          <w:rFonts w:ascii="Palatino Linotype" w:hAnsi="Palatino Linotype"/>
          <w:sz w:val="22"/>
          <w:szCs w:val="22"/>
        </w:rPr>
      </w:pPr>
      <w:bookmarkStart w:id="56" w:name="h.1hmsyys" w:colFirst="0" w:colLast="0"/>
      <w:bookmarkStart w:id="57" w:name="_Ref437434946"/>
      <w:bookmarkEnd w:id="56"/>
      <w:r>
        <w:rPr>
          <w:rFonts w:ascii="Palatino Linotype" w:hAnsi="Palatino Linotype"/>
          <w:sz w:val="22"/>
          <w:szCs w:val="22"/>
        </w:rPr>
        <w:t>mora ou inadimplemento, pela Companhia, de qualquer obrigação pecuniária relativa às Debêntures e/ou de quaisquer valores devidos aos Debenturistas previstos nesta Escritura de Emissão, sem que tal descumprimento seja sanado pela Emissora em até 2 (dois) Dias Úteis contados do respectivo inadimplemento;</w:t>
      </w:r>
      <w:bookmarkEnd w:id="57"/>
      <w:r>
        <w:rPr>
          <w:rFonts w:ascii="Palatino Linotype" w:hAnsi="Palatino Linotype"/>
          <w:sz w:val="22"/>
          <w:szCs w:val="22"/>
        </w:rPr>
        <w:t xml:space="preserve"> </w:t>
      </w:r>
    </w:p>
    <w:p w:rsidR="00DE78B2" w:rsidRDefault="00791406">
      <w:pPr>
        <w:numPr>
          <w:ilvl w:val="2"/>
          <w:numId w:val="13"/>
        </w:numPr>
        <w:rPr>
          <w:rFonts w:ascii="Palatino Linotype" w:hAnsi="Palatino Linotype"/>
          <w:sz w:val="22"/>
          <w:szCs w:val="22"/>
        </w:rPr>
      </w:pPr>
      <w:proofErr w:type="gramStart"/>
      <w:r>
        <w:rPr>
          <w:rFonts w:ascii="Palatino Linotype" w:hAnsi="Palatino Linotype"/>
          <w:sz w:val="22"/>
          <w:szCs w:val="22"/>
        </w:rPr>
        <w:t>invalidade</w:t>
      </w:r>
      <w:proofErr w:type="gramEnd"/>
      <w:r>
        <w:rPr>
          <w:rFonts w:ascii="Palatino Linotype" w:hAnsi="Palatino Linotype"/>
          <w:sz w:val="22"/>
          <w:szCs w:val="22"/>
        </w:rPr>
        <w:t xml:space="preserve">, ineficácia, nulidade total ou parcial ou inexequibilidade desta Escritura de Emissão, conforme declarado por decisão judicial proferida pelo segundo grau do judiciário e desde que o efeito suspensivo não tenha </w:t>
      </w:r>
      <w:r>
        <w:rPr>
          <w:rFonts w:ascii="Palatino Linotype" w:hAnsi="Palatino Linotype"/>
          <w:sz w:val="22"/>
          <w:szCs w:val="22"/>
        </w:rPr>
        <w:lastRenderedPageBreak/>
        <w:t xml:space="preserve">sido concedido pelo tribunal superior/supremo ao(s) respectivo(s) recurso(s) interposto(s) contra essa referida decisão judicial; </w:t>
      </w:r>
    </w:p>
    <w:p w:rsidR="00DE78B2" w:rsidRDefault="00791406">
      <w:pPr>
        <w:numPr>
          <w:ilvl w:val="2"/>
          <w:numId w:val="13"/>
        </w:numPr>
        <w:rPr>
          <w:rFonts w:ascii="Palatino Linotype" w:hAnsi="Palatino Linotype"/>
          <w:sz w:val="22"/>
          <w:szCs w:val="22"/>
        </w:rPr>
      </w:pPr>
      <w:r>
        <w:rPr>
          <w:rFonts w:ascii="Palatino Linotype" w:hAnsi="Palatino Linotype"/>
          <w:sz w:val="22"/>
          <w:szCs w:val="22"/>
        </w:rPr>
        <w:t>questionamento judicial, pela Companhia, por qualquer outra sociedade do grupo econômico da Companhia (em conjunto, o “</w:t>
      </w:r>
      <w:r>
        <w:rPr>
          <w:rFonts w:ascii="Palatino Linotype" w:hAnsi="Palatino Linotype"/>
          <w:sz w:val="22"/>
          <w:szCs w:val="22"/>
          <w:u w:val="single"/>
        </w:rPr>
        <w:t>Grupo Econômico</w:t>
      </w:r>
      <w:r>
        <w:rPr>
          <w:rFonts w:ascii="Palatino Linotype" w:hAnsi="Palatino Linotype"/>
          <w:sz w:val="22"/>
          <w:szCs w:val="22"/>
        </w:rPr>
        <w:t xml:space="preserve">”), por qualquer Controladora (conforme definido abaixo), de quaisquer termos e condições desta Escritura de Emissão; </w:t>
      </w:r>
    </w:p>
    <w:p w:rsidR="00DE78B2" w:rsidRDefault="00791406">
      <w:pPr>
        <w:numPr>
          <w:ilvl w:val="2"/>
          <w:numId w:val="13"/>
        </w:numPr>
        <w:rPr>
          <w:rFonts w:ascii="Palatino Linotype" w:hAnsi="Palatino Linotype"/>
          <w:sz w:val="22"/>
          <w:szCs w:val="22"/>
        </w:rPr>
      </w:pPr>
      <w:r>
        <w:rPr>
          <w:rFonts w:ascii="Palatino Linotype" w:hAnsi="Palatino Linotype"/>
          <w:sz w:val="22"/>
          <w:szCs w:val="22"/>
        </w:rPr>
        <w:t xml:space="preserve">cessão, promessa de cessão ou qualquer forma de transferência ou promessa de transferência a terceiros, no todo ou em parte, pela Companhia, de quaisquer de suas obrigações nos termos desta Escritura de Emissão, exceto se aprovado em assembleia geral de Debenturistas por Debenturistas representando 90% (noventa por cento) das Debêntures em circulação; </w:t>
      </w:r>
    </w:p>
    <w:p w:rsidR="00DE78B2" w:rsidRDefault="00791406">
      <w:pPr>
        <w:numPr>
          <w:ilvl w:val="2"/>
          <w:numId w:val="13"/>
        </w:numPr>
        <w:rPr>
          <w:rFonts w:ascii="Palatino Linotype" w:hAnsi="Palatino Linotype"/>
          <w:sz w:val="22"/>
          <w:szCs w:val="22"/>
        </w:rPr>
      </w:pPr>
      <w:r>
        <w:rPr>
          <w:rFonts w:ascii="Palatino Linotype" w:hAnsi="Palatino Linotype"/>
          <w:sz w:val="22"/>
          <w:szCs w:val="22"/>
        </w:rPr>
        <w:t xml:space="preserve">liquidação, dissolução ou extinção da Companhia, exceto se a liquidação, dissolução e/ou extinção decorrer de uma operação societária que não constitua um Evento de Inadimplemento; </w:t>
      </w:r>
    </w:p>
    <w:p w:rsidR="00DE78B2" w:rsidRDefault="00791406">
      <w:pPr>
        <w:numPr>
          <w:ilvl w:val="2"/>
          <w:numId w:val="13"/>
        </w:numPr>
        <w:rPr>
          <w:rFonts w:ascii="Palatino Linotype" w:hAnsi="Palatino Linotype"/>
          <w:sz w:val="22"/>
          <w:szCs w:val="22"/>
        </w:rPr>
      </w:pPr>
      <w:r>
        <w:rPr>
          <w:rFonts w:ascii="Palatino Linotype" w:hAnsi="Palatino Linotype"/>
          <w:sz w:val="22"/>
          <w:szCs w:val="22"/>
        </w:rPr>
        <w:t xml:space="preserve">(a) decretação de falência da Companhia ou de qualquer Controlada Relevante (conforme definido abaixo); (b) pedido de autofalência formulado pela Companhia ou por qualquer Controlada Relevante; (c) pedido de falência da Companhia ou de qualquer Controlada Relevante formulado por terceiros, não elidido no prazo legal; e (d) pedido de recuperação judicial ou de recuperação extrajudicial da Companhia ou de qualquer Controlada Relevante, apresentado pela Companhia ou por qualquer Controlada Relevante, respectivamente, independentemente do deferimento do respectivo pedido; </w:t>
      </w:r>
    </w:p>
    <w:p w:rsidR="00DE78B2" w:rsidRDefault="00791406">
      <w:pPr>
        <w:numPr>
          <w:ilvl w:val="2"/>
          <w:numId w:val="13"/>
        </w:numPr>
        <w:rPr>
          <w:rFonts w:ascii="Palatino Linotype" w:hAnsi="Palatino Linotype"/>
          <w:sz w:val="22"/>
          <w:szCs w:val="22"/>
        </w:rPr>
      </w:pPr>
      <w:r>
        <w:rPr>
          <w:rFonts w:ascii="Palatino Linotype" w:hAnsi="Palatino Linotype"/>
          <w:sz w:val="22"/>
          <w:szCs w:val="22"/>
        </w:rPr>
        <w:t xml:space="preserve">transformação da Companhia de sociedade por ações para outro tipo societário, nos termos dos artigos 220 a 222 da Lei das Sociedades por Ações; </w:t>
      </w:r>
    </w:p>
    <w:p w:rsidR="00DE78B2" w:rsidRDefault="00791406">
      <w:pPr>
        <w:numPr>
          <w:ilvl w:val="2"/>
          <w:numId w:val="13"/>
        </w:numPr>
        <w:rPr>
          <w:rFonts w:ascii="Palatino Linotype" w:hAnsi="Palatino Linotype"/>
          <w:sz w:val="22"/>
          <w:szCs w:val="22"/>
        </w:rPr>
      </w:pPr>
      <w:r>
        <w:rPr>
          <w:rFonts w:ascii="Palatino Linotype" w:hAnsi="Palatino Linotype"/>
          <w:sz w:val="22"/>
          <w:szCs w:val="22"/>
        </w:rPr>
        <w:t xml:space="preserve">redução de capital social da Companhia, exceto: </w:t>
      </w:r>
    </w:p>
    <w:p w:rsidR="00DE78B2" w:rsidRDefault="00791406">
      <w:pPr>
        <w:pStyle w:val="PargrafodaLista"/>
        <w:numPr>
          <w:ilvl w:val="3"/>
          <w:numId w:val="13"/>
        </w:numPr>
        <w:rPr>
          <w:rFonts w:ascii="Palatino Linotype" w:hAnsi="Palatino Linotype"/>
          <w:sz w:val="22"/>
          <w:szCs w:val="22"/>
        </w:rPr>
      </w:pPr>
      <w:r>
        <w:rPr>
          <w:rFonts w:ascii="Palatino Linotype" w:hAnsi="Palatino Linotype"/>
          <w:sz w:val="22"/>
          <w:szCs w:val="22"/>
        </w:rPr>
        <w:t>se previamente autorizado por Debenturistas representando, no mínimo, 2/3% (dois terços) das Debêntures em circulação; e</w:t>
      </w:r>
    </w:p>
    <w:p w:rsidR="00DE78B2" w:rsidRDefault="00791406">
      <w:pPr>
        <w:pStyle w:val="PargrafodaLista"/>
        <w:numPr>
          <w:ilvl w:val="3"/>
          <w:numId w:val="13"/>
        </w:numPr>
        <w:rPr>
          <w:rFonts w:ascii="Palatino Linotype" w:hAnsi="Palatino Linotype"/>
          <w:sz w:val="22"/>
          <w:szCs w:val="22"/>
        </w:rPr>
      </w:pPr>
      <w:r>
        <w:rPr>
          <w:rFonts w:ascii="Palatino Linotype" w:hAnsi="Palatino Linotype"/>
          <w:sz w:val="22"/>
          <w:szCs w:val="22"/>
        </w:rPr>
        <w:t>para a absorção de prejuízos, nos termos do artigo 173 da Lei das Sociedades por Ações;</w:t>
      </w:r>
    </w:p>
    <w:p w:rsidR="00DE78B2" w:rsidRDefault="00791406">
      <w:pPr>
        <w:numPr>
          <w:ilvl w:val="2"/>
          <w:numId w:val="13"/>
        </w:numPr>
        <w:rPr>
          <w:rFonts w:ascii="Palatino Linotype" w:hAnsi="Palatino Linotype"/>
          <w:sz w:val="22"/>
          <w:szCs w:val="22"/>
        </w:rPr>
      </w:pPr>
      <w:r>
        <w:rPr>
          <w:rFonts w:ascii="Palatino Linotype" w:hAnsi="Palatino Linotype"/>
          <w:sz w:val="22"/>
          <w:szCs w:val="22"/>
        </w:rPr>
        <w:t>inadimplemento, pela Companhia e/ou por qualquer Controlada Relevante, de qualquer Obrigação Financeira em valor, individual ou agregado, igual ou superior a R$250.000.000,00 (duzentos e cinquenta milhões de reais), ou seu equivalente em outras moedas, atualizados anualmente, a partir da Data de Emissão, pela variação positiva do Índice Nacional de Preços ao Consumidor Amplo (“</w:t>
      </w:r>
      <w:r>
        <w:rPr>
          <w:rFonts w:ascii="Palatino Linotype" w:hAnsi="Palatino Linotype"/>
          <w:sz w:val="22"/>
          <w:szCs w:val="22"/>
          <w:u w:val="single"/>
        </w:rPr>
        <w:t>IPCA</w:t>
      </w:r>
      <w:r>
        <w:rPr>
          <w:rFonts w:ascii="Palatino Linotype" w:hAnsi="Palatino Linotype"/>
          <w:sz w:val="22"/>
          <w:szCs w:val="22"/>
        </w:rPr>
        <w:t>”) divulgado pelo Instituto Brasileiro de Geografia e Estatística (“</w:t>
      </w:r>
      <w:r>
        <w:rPr>
          <w:rFonts w:ascii="Palatino Linotype" w:hAnsi="Palatino Linotype"/>
          <w:sz w:val="22"/>
          <w:szCs w:val="22"/>
          <w:u w:val="single"/>
        </w:rPr>
        <w:t>IBGE</w:t>
      </w:r>
      <w:r>
        <w:rPr>
          <w:rFonts w:ascii="Palatino Linotype" w:hAnsi="Palatino Linotype"/>
          <w:sz w:val="22"/>
          <w:szCs w:val="22"/>
        </w:rPr>
        <w:t xml:space="preserve">”), não sanado ou não repactuado no prazo previsto no respectivo contrato ou instrumento; </w:t>
      </w:r>
    </w:p>
    <w:p w:rsidR="00DE78B2" w:rsidRDefault="00791406">
      <w:pPr>
        <w:numPr>
          <w:ilvl w:val="2"/>
          <w:numId w:val="13"/>
        </w:numPr>
        <w:rPr>
          <w:rFonts w:ascii="Palatino Linotype" w:hAnsi="Palatino Linotype"/>
          <w:sz w:val="22"/>
          <w:szCs w:val="22"/>
        </w:rPr>
      </w:pPr>
      <w:r>
        <w:rPr>
          <w:rFonts w:ascii="Palatino Linotype" w:hAnsi="Palatino Linotype"/>
          <w:sz w:val="22"/>
          <w:szCs w:val="22"/>
        </w:rPr>
        <w:lastRenderedPageBreak/>
        <w:t xml:space="preserve">vencimento antecipado de qualquer Obrigação Financeira (conforme definido abaixo) da Companhia e/ou de qualquer Controlada Relevante em valor, individual ou agregado, igual ou superior a R$250.000.000,00 (duzentos e cinquenta milhões de reais), ou seu equivalente em outras moedas, atualizados anualmente, a partir da Data de Emissão, pela variação positiva do IPCA; </w:t>
      </w:r>
    </w:p>
    <w:p w:rsidR="00DE78B2" w:rsidRDefault="00791406">
      <w:pPr>
        <w:pStyle w:val="PargrafodaLista"/>
        <w:numPr>
          <w:ilvl w:val="2"/>
          <w:numId w:val="13"/>
        </w:numPr>
        <w:rPr>
          <w:rFonts w:ascii="Palatino Linotype" w:hAnsi="Palatino Linotype"/>
          <w:sz w:val="22"/>
          <w:szCs w:val="22"/>
        </w:rPr>
      </w:pPr>
      <w:r>
        <w:rPr>
          <w:rFonts w:ascii="Palatino Linotype" w:hAnsi="Palatino Linotype"/>
          <w:sz w:val="22"/>
          <w:szCs w:val="22"/>
        </w:rPr>
        <w:t xml:space="preserve">cisão, fusão, incorporação (inclusive incorporação de ações), alteração ou transferência do Controle (conforme definido abaixo), direto ou indireto, da Companhia e/ou transferência do Controle indireto de qualquer Controlada Relevante, conforme configurado na Data de Emissão, exceto: </w:t>
      </w:r>
    </w:p>
    <w:p w:rsidR="00DE78B2" w:rsidRDefault="00791406">
      <w:pPr>
        <w:pStyle w:val="PargrafodaLista"/>
        <w:numPr>
          <w:ilvl w:val="3"/>
          <w:numId w:val="13"/>
        </w:numPr>
        <w:rPr>
          <w:rFonts w:ascii="Palatino Linotype" w:hAnsi="Palatino Linotype"/>
          <w:sz w:val="22"/>
          <w:szCs w:val="22"/>
        </w:rPr>
      </w:pPr>
      <w:r>
        <w:rPr>
          <w:rFonts w:ascii="Palatino Linotype" w:hAnsi="Palatino Linotype"/>
          <w:sz w:val="22"/>
          <w:szCs w:val="22"/>
        </w:rPr>
        <w:t xml:space="preserve">se previamente autorizado por Debenturistas representando (i) no mínimo, 2/3 (dois terços) das Debêntures em circulação caso a reorganização societária seja realizada com participação de sociedades fora do Grupo Econômico da Companhia; e (ii) no mínimo, 50% (cinquenta por cento) mais 1 (uma) das Debêntures em circulação caso a reorganização societária seja realizada exclusivamente entre sociedades do Grupo Econômico da Companhia; </w:t>
      </w:r>
    </w:p>
    <w:p w:rsidR="00DE78B2" w:rsidRDefault="00791406">
      <w:pPr>
        <w:pStyle w:val="PargrafodaLista"/>
        <w:numPr>
          <w:ilvl w:val="3"/>
          <w:numId w:val="13"/>
        </w:numPr>
        <w:rPr>
          <w:rFonts w:ascii="Palatino Linotype" w:hAnsi="Palatino Linotype"/>
          <w:sz w:val="22"/>
          <w:szCs w:val="22"/>
        </w:rPr>
      </w:pPr>
      <w:r>
        <w:rPr>
          <w:rFonts w:ascii="Palatino Linotype" w:hAnsi="Palatino Linotype"/>
          <w:sz w:val="22"/>
          <w:szCs w:val="22"/>
        </w:rPr>
        <w:t>por reorganizações societárias realizadas (i) entre a Companhia (desde que a Companhia seja a sociedade sobrevivente) e Controladas Relevantes ou (ii) entre as Controladas Relevantes, e desde que, nessas hipóteses, a Companhia e/ou as Controladas Relevantes obtenham as necessárias autorizações regulatórias e/ou de terceiros;</w:t>
      </w:r>
    </w:p>
    <w:p w:rsidR="00DE78B2" w:rsidRDefault="00791406">
      <w:pPr>
        <w:pStyle w:val="PargrafodaLista"/>
        <w:numPr>
          <w:ilvl w:val="2"/>
          <w:numId w:val="13"/>
        </w:numPr>
        <w:rPr>
          <w:rFonts w:ascii="Palatino Linotype" w:hAnsi="Palatino Linotype"/>
          <w:sz w:val="22"/>
          <w:szCs w:val="22"/>
        </w:rPr>
      </w:pPr>
      <w:r>
        <w:rPr>
          <w:rFonts w:ascii="Palatino Linotype" w:hAnsi="Palatino Linotype"/>
          <w:sz w:val="22"/>
          <w:szCs w:val="22"/>
        </w:rPr>
        <w:t xml:space="preserve">decisão judicial proferida pelo segundo grau do judiciário </w:t>
      </w:r>
      <w:r w:rsidR="00CF6573">
        <w:rPr>
          <w:rFonts w:ascii="Palatino Linotype" w:hAnsi="Palatino Linotype"/>
          <w:sz w:val="22"/>
          <w:szCs w:val="22"/>
        </w:rPr>
        <w:t xml:space="preserve">(nesta hipótese, </w:t>
      </w:r>
      <w:r>
        <w:rPr>
          <w:rFonts w:ascii="Palatino Linotype" w:hAnsi="Palatino Linotype"/>
          <w:sz w:val="22"/>
          <w:szCs w:val="22"/>
        </w:rPr>
        <w:t xml:space="preserve">desde que o efeito suspensivo não tenha sido concedido pelo tribunal superior/supremo ao(s) respectivo(s) recurso(s) interposto(s) contra essa referida decisão judicial, </w:t>
      </w:r>
      <w:r w:rsidR="000E7E72">
        <w:rPr>
          <w:rFonts w:ascii="Palatino Linotype" w:hAnsi="Palatino Linotype"/>
          <w:sz w:val="22"/>
          <w:szCs w:val="22"/>
        </w:rPr>
        <w:t>relativamente à confirmação, quanto ao procedimento de impugnação ao cumprimento de sentença</w:t>
      </w:r>
      <w:r w:rsidR="00CF6573">
        <w:rPr>
          <w:rFonts w:ascii="Palatino Linotype" w:hAnsi="Palatino Linotype"/>
          <w:sz w:val="22"/>
          <w:szCs w:val="22"/>
        </w:rPr>
        <w:t>) ou</w:t>
      </w:r>
      <w:r>
        <w:rPr>
          <w:rFonts w:ascii="Palatino Linotype" w:hAnsi="Palatino Linotype"/>
          <w:sz w:val="22"/>
          <w:szCs w:val="22"/>
        </w:rPr>
        <w:t xml:space="preserve"> execução judicial de títulos</w:t>
      </w:r>
      <w:r w:rsidR="00CF6573">
        <w:rPr>
          <w:rFonts w:ascii="Palatino Linotype" w:hAnsi="Palatino Linotype"/>
          <w:sz w:val="22"/>
          <w:szCs w:val="22"/>
        </w:rPr>
        <w:t>,</w:t>
      </w:r>
      <w:r>
        <w:rPr>
          <w:rFonts w:ascii="Palatino Linotype" w:hAnsi="Palatino Linotype"/>
          <w:sz w:val="22"/>
          <w:szCs w:val="22"/>
        </w:rPr>
        <w:t xml:space="preserve"> judiciais</w:t>
      </w:r>
      <w:r w:rsidR="00CF6573">
        <w:rPr>
          <w:rFonts w:ascii="Palatino Linotype" w:hAnsi="Palatino Linotype"/>
          <w:sz w:val="22"/>
          <w:szCs w:val="22"/>
        </w:rPr>
        <w:t xml:space="preserve"> ou extrajudiciais,</w:t>
      </w:r>
      <w:r>
        <w:rPr>
          <w:rFonts w:ascii="Palatino Linotype" w:hAnsi="Palatino Linotype"/>
          <w:sz w:val="22"/>
          <w:szCs w:val="22"/>
        </w:rPr>
        <w:t xml:space="preserve"> contra a Companhia e/ou qualquer outra sociedade do Grupo Econômico, cujo valor individual ou agregado seja superior a R$250.000.000,00 (duzentos e cinquenta milhões de reais), ou o seu equivalente em outras moedas, atualizados anualmente, a partir da Data de Emissão, pela variação positiva do IPCA, salvo na hipótese de: </w:t>
      </w:r>
    </w:p>
    <w:p w:rsidR="00DE78B2" w:rsidRDefault="00791406">
      <w:pPr>
        <w:pStyle w:val="PargrafodaLista"/>
        <w:numPr>
          <w:ilvl w:val="3"/>
          <w:numId w:val="13"/>
        </w:numPr>
        <w:rPr>
          <w:rFonts w:ascii="Palatino Linotype" w:hAnsi="Palatino Linotype"/>
          <w:sz w:val="22"/>
          <w:szCs w:val="22"/>
        </w:rPr>
      </w:pPr>
      <w:proofErr w:type="gramStart"/>
      <w:r>
        <w:rPr>
          <w:rFonts w:ascii="Palatino Linotype" w:hAnsi="Palatino Linotype"/>
          <w:sz w:val="22"/>
          <w:szCs w:val="22"/>
        </w:rPr>
        <w:t>garantia</w:t>
      </w:r>
      <w:proofErr w:type="gramEnd"/>
      <w:r>
        <w:rPr>
          <w:rFonts w:ascii="Palatino Linotype" w:hAnsi="Palatino Linotype"/>
          <w:sz w:val="22"/>
          <w:szCs w:val="22"/>
        </w:rPr>
        <w:t xml:space="preserve"> do juízo, por qualquer meio (inclusive, mas não se limitando, a fiança ou seguro garantia), sem a necessidade do efetivo desembolso do valor respectivo pela Companhia e/ou por qualquer outra sociedade do Grupo Econômico por conta dessa garantia prestada; ou </w:t>
      </w:r>
    </w:p>
    <w:p w:rsidR="00DE78B2" w:rsidRDefault="00791406">
      <w:pPr>
        <w:pStyle w:val="PargrafodaLista"/>
        <w:numPr>
          <w:ilvl w:val="3"/>
          <w:numId w:val="13"/>
        </w:numPr>
        <w:rPr>
          <w:rFonts w:ascii="Palatino Linotype" w:hAnsi="Palatino Linotype"/>
          <w:sz w:val="22"/>
          <w:szCs w:val="22"/>
        </w:rPr>
      </w:pPr>
      <w:proofErr w:type="gramStart"/>
      <w:r>
        <w:rPr>
          <w:rFonts w:ascii="Palatino Linotype" w:hAnsi="Palatino Linotype"/>
          <w:sz w:val="22"/>
          <w:szCs w:val="22"/>
        </w:rPr>
        <w:t>no</w:t>
      </w:r>
      <w:proofErr w:type="gramEnd"/>
      <w:r>
        <w:rPr>
          <w:rFonts w:ascii="Palatino Linotype" w:hAnsi="Palatino Linotype"/>
          <w:sz w:val="22"/>
          <w:szCs w:val="22"/>
        </w:rPr>
        <w:t xml:space="preserve"> prazo de até 30 (trinta) dias após a data da referida decisão</w:t>
      </w:r>
      <w:r w:rsidR="00CF6573">
        <w:rPr>
          <w:rFonts w:ascii="Palatino Linotype" w:hAnsi="Palatino Linotype"/>
          <w:sz w:val="22"/>
          <w:szCs w:val="22"/>
        </w:rPr>
        <w:t xml:space="preserve"> ou </w:t>
      </w:r>
      <w:r w:rsidR="00EB6DFE">
        <w:rPr>
          <w:rFonts w:ascii="Palatino Linotype" w:hAnsi="Palatino Linotype"/>
          <w:sz w:val="22"/>
          <w:szCs w:val="22"/>
        </w:rPr>
        <w:t xml:space="preserve">da </w:t>
      </w:r>
      <w:r w:rsidR="00CF6573">
        <w:rPr>
          <w:rFonts w:ascii="Palatino Linotype" w:hAnsi="Palatino Linotype"/>
          <w:sz w:val="22"/>
          <w:szCs w:val="22"/>
        </w:rPr>
        <w:t>execução judicial</w:t>
      </w:r>
      <w:r>
        <w:rPr>
          <w:rFonts w:ascii="Palatino Linotype" w:hAnsi="Palatino Linotype"/>
          <w:sz w:val="22"/>
          <w:szCs w:val="22"/>
        </w:rPr>
        <w:t xml:space="preserve">, seja obtida a suspensão ou cancelamento da exigibilidade imediata do pagamento do referido valor por qualquer motivo, inclusive, mas não se limitando a, obtenção de decisão com </w:t>
      </w:r>
      <w:r>
        <w:rPr>
          <w:rFonts w:ascii="Palatino Linotype" w:hAnsi="Palatino Linotype"/>
          <w:sz w:val="22"/>
          <w:szCs w:val="22"/>
        </w:rPr>
        <w:lastRenderedPageBreak/>
        <w:t xml:space="preserve">efeito suspensivo perante o juízo que determinou a execução do título ou juízo superior a este. </w:t>
      </w:r>
    </w:p>
    <w:p w:rsidR="00DE78B2" w:rsidRDefault="00791406">
      <w:pPr>
        <w:numPr>
          <w:ilvl w:val="5"/>
          <w:numId w:val="10"/>
        </w:numPr>
        <w:rPr>
          <w:rFonts w:ascii="Palatino Linotype" w:hAnsi="Palatino Linotype"/>
          <w:sz w:val="22"/>
          <w:szCs w:val="22"/>
        </w:rPr>
      </w:pPr>
      <w:bookmarkStart w:id="58" w:name="h.41mghml" w:colFirst="0" w:colLast="0"/>
      <w:bookmarkStart w:id="59" w:name="h.2grqrue" w:colFirst="0" w:colLast="0"/>
      <w:bookmarkStart w:id="60" w:name="h.vx1227" w:colFirst="0" w:colLast="0"/>
      <w:bookmarkStart w:id="61" w:name="h.3fwokq0" w:colFirst="0" w:colLast="0"/>
      <w:bookmarkStart w:id="62" w:name="h.1v1yuxt" w:colFirst="0" w:colLast="0"/>
      <w:bookmarkStart w:id="63" w:name="h.4f1mdlm" w:colFirst="0" w:colLast="0"/>
      <w:bookmarkStart w:id="64" w:name="h.2u6wntf" w:colFirst="0" w:colLast="0"/>
      <w:bookmarkStart w:id="65" w:name="h.19c6y18" w:colFirst="0" w:colLast="0"/>
      <w:bookmarkStart w:id="66" w:name="h.3tbugp1" w:colFirst="0" w:colLast="0"/>
      <w:bookmarkStart w:id="67" w:name="h.nmf14n" w:colFirst="0" w:colLast="0"/>
      <w:bookmarkStart w:id="68" w:name="h.28h4qwu" w:colFirst="0" w:colLast="0"/>
      <w:bookmarkStart w:id="69" w:name="h.37m2jsg" w:colFirst="0" w:colLast="0"/>
      <w:bookmarkStart w:id="70" w:name="h.1mrcu09" w:colFirst="0" w:colLast="0"/>
      <w:bookmarkStart w:id="71" w:name="h.46r0co2" w:colFirst="0" w:colLast="0"/>
      <w:bookmarkStart w:id="72" w:name="h.2lwamvv" w:colFirst="0" w:colLast="0"/>
      <w:bookmarkStart w:id="73" w:name="h.111kx3o" w:colFirst="0" w:colLast="0"/>
      <w:bookmarkStart w:id="74" w:name="h.3l18frh" w:colFirst="0" w:colLast="0"/>
      <w:bookmarkStart w:id="75" w:name="h.206ipza" w:colFirst="0" w:colLast="0"/>
      <w:bookmarkStart w:id="76" w:name="_Ref532905470"/>
      <w:bookmarkStart w:id="77" w:name="_Ref130283217"/>
      <w:bookmarkStart w:id="78" w:name="_Ref169028300"/>
      <w:bookmarkStart w:id="79" w:name="_Ref278369126"/>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Pr>
          <w:rFonts w:ascii="Palatino Linotype" w:hAnsi="Palatino Linotype"/>
          <w:sz w:val="22"/>
          <w:szCs w:val="22"/>
        </w:rPr>
        <w:t xml:space="preserve">Constituem Eventos de Inadimplemento que podem acarretar o vencimento das obrigações decorrentes das Debêntures, aplicando-se o disposto na Cláusula </w:t>
      </w:r>
      <w:r>
        <w:rPr>
          <w:rFonts w:ascii="Palatino Linotype" w:hAnsi="Palatino Linotype"/>
          <w:sz w:val="22"/>
          <w:szCs w:val="22"/>
        </w:rPr>
        <w:fldChar w:fldCharType="begin"/>
      </w:r>
      <w:r>
        <w:rPr>
          <w:rFonts w:ascii="Palatino Linotype" w:hAnsi="Palatino Linotype"/>
          <w:sz w:val="22"/>
          <w:szCs w:val="22"/>
        </w:rPr>
        <w:instrText xml:space="preserve"> REF _Ref533026613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6.25.4 abaixo</w:t>
      </w:r>
      <w:r>
        <w:rPr>
          <w:rFonts w:ascii="Palatino Linotype" w:hAnsi="Palatino Linotype"/>
          <w:sz w:val="22"/>
          <w:szCs w:val="22"/>
        </w:rPr>
        <w:fldChar w:fldCharType="end"/>
      </w:r>
      <w:r>
        <w:rPr>
          <w:rFonts w:ascii="Palatino Linotype" w:hAnsi="Palatino Linotype"/>
          <w:sz w:val="22"/>
          <w:szCs w:val="22"/>
        </w:rPr>
        <w:t>, quaisquer dos eventos previstos em lei e/ou qualquer dos seguintes Eventos de Inadimplemento:</w:t>
      </w:r>
      <w:bookmarkEnd w:id="76"/>
    </w:p>
    <w:p w:rsidR="00DE78B2" w:rsidRDefault="00791406">
      <w:pPr>
        <w:numPr>
          <w:ilvl w:val="2"/>
          <w:numId w:val="36"/>
        </w:numPr>
        <w:rPr>
          <w:rFonts w:ascii="Palatino Linotype" w:hAnsi="Palatino Linotype"/>
          <w:sz w:val="22"/>
          <w:szCs w:val="22"/>
        </w:rPr>
      </w:pPr>
      <w:r>
        <w:rPr>
          <w:rFonts w:ascii="Palatino Linotype" w:hAnsi="Palatino Linotype"/>
          <w:sz w:val="22"/>
          <w:szCs w:val="22"/>
        </w:rPr>
        <w:t xml:space="preserve">descumprimento, pela Companhia, de qualquer obrigação não pecuniária prevista nesta Escritura de Emissão, não sanada no prazo de 30 (trinta) dias corridos contados da data de recebimento de notificação do Agente Fiduciário nesse sentido; </w:t>
      </w:r>
    </w:p>
    <w:p w:rsidR="00DE78B2" w:rsidRDefault="00791406">
      <w:pPr>
        <w:numPr>
          <w:ilvl w:val="2"/>
          <w:numId w:val="36"/>
        </w:numPr>
        <w:rPr>
          <w:rFonts w:ascii="Palatino Linotype" w:hAnsi="Palatino Linotype"/>
          <w:sz w:val="22"/>
          <w:szCs w:val="22"/>
        </w:rPr>
      </w:pPr>
      <w:r>
        <w:rPr>
          <w:rFonts w:ascii="Palatino Linotype" w:hAnsi="Palatino Linotype"/>
          <w:sz w:val="22"/>
          <w:szCs w:val="22"/>
        </w:rPr>
        <w:t>alteração do objeto social da Companhia, conforme disposto em seu estatuto social vigente na Data de Emissão, exceto se tal alteração não resultar na mudança da atividade principal da Companhia;</w:t>
      </w:r>
    </w:p>
    <w:p w:rsidR="00DE78B2" w:rsidRDefault="00791406">
      <w:pPr>
        <w:pStyle w:val="PargrafodaLista"/>
        <w:numPr>
          <w:ilvl w:val="2"/>
          <w:numId w:val="36"/>
        </w:numPr>
      </w:pPr>
      <w:r>
        <w:rPr>
          <w:rFonts w:ascii="Palatino Linotype" w:hAnsi="Palatino Linotype"/>
          <w:sz w:val="22"/>
          <w:szCs w:val="22"/>
        </w:rPr>
        <w:t xml:space="preserve">não utilização, pela Companhia, dos recursos obtidos com a Emissão nos termos da Cláusula </w:t>
      </w:r>
      <w:r>
        <w:rPr>
          <w:rFonts w:ascii="Palatino Linotype" w:hAnsi="Palatino Linotype"/>
          <w:sz w:val="22"/>
          <w:szCs w:val="22"/>
        </w:rPr>
        <w:fldChar w:fldCharType="begin"/>
      </w:r>
      <w:r>
        <w:rPr>
          <w:rFonts w:ascii="Palatino Linotype" w:hAnsi="Palatino Linotype"/>
          <w:sz w:val="22"/>
          <w:szCs w:val="22"/>
        </w:rPr>
        <w:instrText xml:space="preserve"> REF _Ref437375366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4 acima</w:t>
      </w:r>
      <w:r>
        <w:rPr>
          <w:rFonts w:ascii="Palatino Linotype" w:hAnsi="Palatino Linotype"/>
          <w:sz w:val="22"/>
          <w:szCs w:val="22"/>
        </w:rPr>
        <w:fldChar w:fldCharType="end"/>
      </w:r>
      <w:r>
        <w:rPr>
          <w:rFonts w:ascii="Palatino Linotype" w:hAnsi="Palatino Linotype"/>
          <w:sz w:val="22"/>
          <w:szCs w:val="22"/>
        </w:rPr>
        <w:t>;</w:t>
      </w:r>
    </w:p>
    <w:p w:rsidR="00DE78B2" w:rsidRDefault="00791406">
      <w:pPr>
        <w:numPr>
          <w:ilvl w:val="2"/>
          <w:numId w:val="36"/>
        </w:numPr>
        <w:rPr>
          <w:rFonts w:ascii="Palatino Linotype" w:hAnsi="Palatino Linotype"/>
          <w:sz w:val="22"/>
          <w:szCs w:val="22"/>
        </w:rPr>
      </w:pPr>
      <w:r>
        <w:rPr>
          <w:rFonts w:ascii="Palatino Linotype" w:hAnsi="Palatino Linotype"/>
          <w:sz w:val="22"/>
          <w:szCs w:val="22"/>
        </w:rPr>
        <w:t xml:space="preserve">provarem-se falsas, inconsistentes, incorretas ou incompletas, quaisquer declarações ou garantias prestadas pela Emissora nesta Escritura e/ou em qualquer dos demais documentos relacionados à Emissão e desde que tal inconsistência, incorreção ou incompletude seja relevante e tenha acarretado prejuízo aos Debenturistas; </w:t>
      </w:r>
    </w:p>
    <w:p w:rsidR="00DE78B2" w:rsidRDefault="00791406">
      <w:pPr>
        <w:numPr>
          <w:ilvl w:val="2"/>
          <w:numId w:val="36"/>
        </w:numPr>
        <w:rPr>
          <w:rFonts w:ascii="Palatino Linotype" w:hAnsi="Palatino Linotype"/>
          <w:sz w:val="22"/>
          <w:szCs w:val="22"/>
        </w:rPr>
      </w:pPr>
      <w:r>
        <w:rPr>
          <w:rFonts w:ascii="Palatino Linotype" w:hAnsi="Palatino Linotype"/>
          <w:sz w:val="22"/>
          <w:szCs w:val="22"/>
        </w:rPr>
        <w:t>cessão, venda, alienação e/ou qualquer forma de transferência de ativos da Companhia e/ou de qualquer outra Controlada da Companhia, por qualquer meio, de forma gratuita ou onerosa, que representem, de forma individual ou agregada, mais de 25% (vinte e cinco por cento) do EBITDA Ajustado consolidado da Companhia, com base nos últimos 12 (doze) meses auferidos com base nas últimas Demonstrações Financeiras Consolidadas da Companhia (conforme definido abaixo) divulgadas, exceto:</w:t>
      </w:r>
    </w:p>
    <w:p w:rsidR="00DE78B2" w:rsidRDefault="00791406">
      <w:pPr>
        <w:pStyle w:val="PargrafodaLista"/>
        <w:numPr>
          <w:ilvl w:val="3"/>
          <w:numId w:val="35"/>
        </w:numPr>
        <w:rPr>
          <w:rFonts w:ascii="Palatino Linotype" w:hAnsi="Palatino Linotype"/>
          <w:sz w:val="22"/>
          <w:szCs w:val="22"/>
        </w:rPr>
      </w:pPr>
      <w:r>
        <w:rPr>
          <w:rFonts w:ascii="Palatino Linotype" w:hAnsi="Palatino Linotype"/>
          <w:sz w:val="22"/>
          <w:szCs w:val="22"/>
        </w:rPr>
        <w:t>se previamente autorizado por Debenturistas representando, no mínimo, 2/3 (dois terços) das Debêntures em circulação; ou</w:t>
      </w:r>
    </w:p>
    <w:p w:rsidR="00DE78B2" w:rsidRDefault="00791406">
      <w:pPr>
        <w:pStyle w:val="PargrafodaLista"/>
        <w:numPr>
          <w:ilvl w:val="3"/>
          <w:numId w:val="35"/>
        </w:numPr>
        <w:rPr>
          <w:rFonts w:ascii="Palatino Linotype" w:hAnsi="Palatino Linotype"/>
          <w:sz w:val="22"/>
          <w:szCs w:val="22"/>
        </w:rPr>
      </w:pPr>
      <w:r>
        <w:rPr>
          <w:rFonts w:ascii="Palatino Linotype" w:hAnsi="Palatino Linotype"/>
          <w:sz w:val="22"/>
          <w:szCs w:val="22"/>
        </w:rPr>
        <w:t>se realizadas (i) entre a Companhia e suas Controladas ou (ii) entre as Controladas da Companhia e desde que, nessas hipóteses, a Companhia e/ou suas Controladas obtenham as necessárias autorizações regulatórias e/ou de terceiros;</w:t>
      </w:r>
    </w:p>
    <w:p w:rsidR="00DE78B2" w:rsidRDefault="00791406">
      <w:pPr>
        <w:pStyle w:val="PargrafodaLista"/>
        <w:numPr>
          <w:ilvl w:val="2"/>
          <w:numId w:val="36"/>
        </w:numPr>
        <w:rPr>
          <w:rFonts w:ascii="Palatino Linotype" w:hAnsi="Palatino Linotype"/>
          <w:sz w:val="22"/>
          <w:szCs w:val="22"/>
        </w:rPr>
      </w:pPr>
      <w:r>
        <w:rPr>
          <w:rFonts w:ascii="Palatino Linotype" w:hAnsi="Palatino Linotype"/>
          <w:sz w:val="22"/>
          <w:szCs w:val="22"/>
        </w:rPr>
        <w:t xml:space="preserve">constituição de qualquer garantia, Ônus (conforme definido abaixo) ou gravames sobre bem(ns), ativo(s) e/ou direitos da Companhia e/ou de qualquer Controlada, exceto: </w:t>
      </w:r>
    </w:p>
    <w:p w:rsidR="00DE78B2" w:rsidRDefault="00791406">
      <w:pPr>
        <w:pStyle w:val="PargrafodaLista"/>
        <w:numPr>
          <w:ilvl w:val="3"/>
          <w:numId w:val="34"/>
        </w:numPr>
        <w:rPr>
          <w:rFonts w:ascii="Palatino Linotype" w:hAnsi="Palatino Linotype"/>
          <w:sz w:val="22"/>
          <w:szCs w:val="22"/>
        </w:rPr>
      </w:pPr>
      <w:r>
        <w:rPr>
          <w:rFonts w:ascii="Palatino Linotype" w:hAnsi="Palatino Linotype"/>
          <w:sz w:val="22"/>
          <w:szCs w:val="22"/>
        </w:rPr>
        <w:t xml:space="preserve">por Ônus existentes na Data de Emissão; </w:t>
      </w:r>
    </w:p>
    <w:p w:rsidR="00DE78B2" w:rsidRDefault="00791406">
      <w:pPr>
        <w:pStyle w:val="PargrafodaLista"/>
        <w:numPr>
          <w:ilvl w:val="3"/>
          <w:numId w:val="34"/>
        </w:numPr>
        <w:rPr>
          <w:rFonts w:ascii="Palatino Linotype" w:hAnsi="Palatino Linotype"/>
          <w:sz w:val="22"/>
          <w:szCs w:val="22"/>
        </w:rPr>
      </w:pPr>
      <w:r>
        <w:rPr>
          <w:rFonts w:ascii="Palatino Linotype" w:hAnsi="Palatino Linotype"/>
          <w:sz w:val="22"/>
          <w:szCs w:val="22"/>
        </w:rPr>
        <w:t xml:space="preserve">por Ônus constituídos em decorrência de renovações ou substituições ou repactuações, totais ou parciais, de dívidas existentes na Data de </w:t>
      </w:r>
      <w:r>
        <w:rPr>
          <w:rFonts w:ascii="Palatino Linotype" w:hAnsi="Palatino Linotype"/>
          <w:sz w:val="22"/>
          <w:szCs w:val="22"/>
        </w:rPr>
        <w:lastRenderedPageBreak/>
        <w:t xml:space="preserve">Emissão, desde que o Ônus seja constituído exclusivamente (1) sobre todo ou parte do ativo que garante a dívida renovada, substituída ou repactuada; ou (2) no âmbito da substituição de Ônus existentes sobre ativos da Companhia ou de qualquer Controlada; </w:t>
      </w:r>
    </w:p>
    <w:p w:rsidR="00DE78B2" w:rsidRDefault="00791406">
      <w:pPr>
        <w:pStyle w:val="PargrafodaLista"/>
        <w:numPr>
          <w:ilvl w:val="3"/>
          <w:numId w:val="34"/>
        </w:numPr>
        <w:rPr>
          <w:rFonts w:ascii="Palatino Linotype" w:hAnsi="Palatino Linotype"/>
          <w:sz w:val="22"/>
          <w:szCs w:val="22"/>
        </w:rPr>
      </w:pPr>
      <w:r>
        <w:rPr>
          <w:rFonts w:ascii="Palatino Linotype" w:hAnsi="Palatino Linotype"/>
          <w:sz w:val="22"/>
          <w:szCs w:val="22"/>
        </w:rPr>
        <w:t xml:space="preserve">por Ônus existentes sobre qualquer ativo de qualquer sociedade no momento em que tal sociedade se torne uma Controlada; </w:t>
      </w:r>
    </w:p>
    <w:p w:rsidR="00DE78B2" w:rsidRDefault="00791406">
      <w:pPr>
        <w:pStyle w:val="PargrafodaLista"/>
        <w:numPr>
          <w:ilvl w:val="3"/>
          <w:numId w:val="34"/>
        </w:numPr>
        <w:rPr>
          <w:rFonts w:ascii="Palatino Linotype" w:hAnsi="Palatino Linotype"/>
          <w:sz w:val="22"/>
          <w:szCs w:val="22"/>
        </w:rPr>
      </w:pPr>
      <w:r>
        <w:rPr>
          <w:rFonts w:ascii="Palatino Linotype" w:hAnsi="Palatino Linotype"/>
          <w:sz w:val="22"/>
          <w:szCs w:val="22"/>
        </w:rPr>
        <w:t xml:space="preserve">por Ônus constituídos para financiar todo ou parte do preço (ou custo de construção ou reforma, incluindo comissões e despesas relacionados com a transação) de aquisição, construção ou reforma, pela Companhia, após a Data de Emissão, de qualquer ativo (incluindo capital social de sociedades), desde que o Ônus seja constituído exclusivamente sobre o ativo adquirido, construído ou reformado; </w:t>
      </w:r>
    </w:p>
    <w:p w:rsidR="00DE78B2" w:rsidRDefault="00791406">
      <w:pPr>
        <w:pStyle w:val="PargrafodaLista"/>
        <w:numPr>
          <w:ilvl w:val="3"/>
          <w:numId w:val="34"/>
        </w:numPr>
        <w:rPr>
          <w:rFonts w:ascii="Palatino Linotype" w:hAnsi="Palatino Linotype"/>
          <w:sz w:val="22"/>
          <w:szCs w:val="22"/>
        </w:rPr>
      </w:pPr>
      <w:r>
        <w:rPr>
          <w:rFonts w:ascii="Palatino Linotype" w:hAnsi="Palatino Linotype"/>
          <w:sz w:val="22"/>
          <w:szCs w:val="22"/>
        </w:rPr>
        <w:t xml:space="preserve">por Ônus constituídos no âmbito de processos judiciais ou administrativos; </w:t>
      </w:r>
    </w:p>
    <w:p w:rsidR="00DE78B2" w:rsidRDefault="00791406">
      <w:pPr>
        <w:pStyle w:val="PargrafodaLista"/>
        <w:numPr>
          <w:ilvl w:val="3"/>
          <w:numId w:val="34"/>
        </w:numPr>
        <w:rPr>
          <w:rFonts w:ascii="Palatino Linotype" w:hAnsi="Palatino Linotype"/>
          <w:sz w:val="22"/>
          <w:szCs w:val="22"/>
        </w:rPr>
      </w:pPr>
      <w:r>
        <w:rPr>
          <w:rFonts w:ascii="Palatino Linotype" w:hAnsi="Palatino Linotype"/>
          <w:sz w:val="22"/>
          <w:szCs w:val="22"/>
        </w:rPr>
        <w:t xml:space="preserve">por Ônus involuntários ou necessários constituídos por força de lei no curso normal dos negócios, incluindo direitos de passagem, servidões, restrições de zoneamento, ou outros Ônus involuntários ou necessários que recaiam sobre bens imóveis no curso normal dos negócios, desde que não possa causar um Efeito Adverso Relevante (conforme definido abaixo); </w:t>
      </w:r>
    </w:p>
    <w:p w:rsidR="00DE78B2" w:rsidRDefault="00791406">
      <w:pPr>
        <w:pStyle w:val="PargrafodaLista"/>
        <w:numPr>
          <w:ilvl w:val="3"/>
          <w:numId w:val="34"/>
        </w:numPr>
        <w:rPr>
          <w:rFonts w:ascii="Palatino Linotype" w:hAnsi="Palatino Linotype"/>
          <w:sz w:val="22"/>
          <w:szCs w:val="22"/>
        </w:rPr>
      </w:pPr>
      <w:r>
        <w:rPr>
          <w:rFonts w:ascii="Palatino Linotype" w:hAnsi="Palatino Linotype"/>
          <w:sz w:val="22"/>
          <w:szCs w:val="22"/>
        </w:rPr>
        <w:t>por Ônus constituídos em decorrência de exigência do licitante em concorrências públicas ou privadas (</w:t>
      </w:r>
      <w:r>
        <w:rPr>
          <w:rFonts w:ascii="Palatino Linotype" w:hAnsi="Palatino Linotype"/>
          <w:i/>
          <w:sz w:val="22"/>
          <w:szCs w:val="22"/>
        </w:rPr>
        <w:t>performance bond</w:t>
      </w:r>
      <w:r>
        <w:rPr>
          <w:rFonts w:ascii="Palatino Linotype" w:hAnsi="Palatino Linotype"/>
          <w:sz w:val="22"/>
          <w:szCs w:val="22"/>
        </w:rPr>
        <w:t xml:space="preserve">), até o limite e prazo determinados nos documentos relativos à respectiva concorrência; </w:t>
      </w:r>
    </w:p>
    <w:p w:rsidR="00DE78B2" w:rsidRDefault="00791406">
      <w:pPr>
        <w:pStyle w:val="PargrafodaLista"/>
        <w:numPr>
          <w:ilvl w:val="3"/>
          <w:numId w:val="34"/>
        </w:numPr>
        <w:rPr>
          <w:rFonts w:ascii="Palatino Linotype" w:hAnsi="Palatino Linotype"/>
          <w:sz w:val="22"/>
          <w:szCs w:val="22"/>
        </w:rPr>
      </w:pPr>
      <w:r>
        <w:rPr>
          <w:rFonts w:ascii="Palatino Linotype" w:hAnsi="Palatino Linotype"/>
          <w:sz w:val="22"/>
          <w:szCs w:val="22"/>
        </w:rPr>
        <w:t xml:space="preserve">por Ônus constituídos sobre estoque ou recebíveis da Companhia e/ou de suas Controladas para garantir linhas de crédito de capital de giro, de financiamento à importação ou de exportação, desde que o valor total da dívida garantida por tal estoque ou por tais recebíveis em determinado período de 12 (doze) meses não exceda 80% (oitenta por cento) da receita bruta de vendas no mesmo período, com base nas então mais recentes das Demonstrações Financeiras Consolidadas da Companhia, observado que as operações de "ACC – Adiantamento sobre Contrato de Câmbio", "ACE – Adiantamento sobre Contrato de Exportação" ou "Pré-Pagamento de Exportação" não são consideradas operações garantidas por estoque ou recebíveis para os fins do cálculo acima; </w:t>
      </w:r>
    </w:p>
    <w:p w:rsidR="00DE78B2" w:rsidRDefault="00791406">
      <w:pPr>
        <w:pStyle w:val="PargrafodaLista"/>
        <w:numPr>
          <w:ilvl w:val="3"/>
          <w:numId w:val="34"/>
        </w:numPr>
        <w:rPr>
          <w:rFonts w:ascii="Palatino Linotype" w:hAnsi="Palatino Linotype"/>
          <w:sz w:val="22"/>
          <w:szCs w:val="22"/>
        </w:rPr>
      </w:pPr>
      <w:r>
        <w:rPr>
          <w:rFonts w:ascii="Palatino Linotype" w:hAnsi="Palatino Linotype"/>
          <w:sz w:val="22"/>
          <w:szCs w:val="22"/>
        </w:rPr>
        <w:t xml:space="preserve">por Ônus constituídos em garantia de Obrigações Financeiras com recursos provenientes, direta ou indiretamente, de entidades multilaterais de crédito ou bancos de desenvolvimento, locais ou internacionais (Banco Nacional de Desenvolvimento Econômico e Social – BNDES, BNDES Participações S.A. – BNDESPAR, FINAME, FINEM, SUDAM, SUDENE, ou entidades assemelhadas), ou de </w:t>
      </w:r>
      <w:r>
        <w:rPr>
          <w:rFonts w:ascii="Palatino Linotype" w:hAnsi="Palatino Linotype"/>
          <w:sz w:val="22"/>
          <w:szCs w:val="22"/>
        </w:rPr>
        <w:lastRenderedPageBreak/>
        <w:t xml:space="preserve">bancos comerciais privados atuando como credores, em conjunto com, ou como agentes de repasse de entidades multilaterais de crédito ou bancos de desenvolvimento, no âmbito de tais Obrigações Financeiras; </w:t>
      </w:r>
    </w:p>
    <w:p w:rsidR="00DE78B2" w:rsidRDefault="00791406">
      <w:pPr>
        <w:pStyle w:val="PargrafodaLista"/>
        <w:numPr>
          <w:ilvl w:val="3"/>
          <w:numId w:val="34"/>
        </w:numPr>
        <w:rPr>
          <w:rFonts w:ascii="Palatino Linotype" w:hAnsi="Palatino Linotype"/>
          <w:sz w:val="22"/>
          <w:szCs w:val="22"/>
        </w:rPr>
      </w:pPr>
      <w:r>
        <w:rPr>
          <w:rFonts w:ascii="Palatino Linotype" w:hAnsi="Palatino Linotype"/>
          <w:sz w:val="22"/>
          <w:szCs w:val="22"/>
        </w:rPr>
        <w:t xml:space="preserve">por Ônus, que não recaiam nas hipóteses das alíneas acima, constituídos sobre ativos que não excedam, em valor individual ou agregado, 20% (vinte por cento) dos ativos da Companhia, com base nas então mais recentes Demonstrações Financeiras Consolidadas da Companhia; </w:t>
      </w:r>
    </w:p>
    <w:p w:rsidR="00DE78B2" w:rsidRDefault="00791406">
      <w:pPr>
        <w:numPr>
          <w:ilvl w:val="2"/>
          <w:numId w:val="36"/>
        </w:numPr>
        <w:rPr>
          <w:rFonts w:ascii="Palatino Linotype" w:hAnsi="Palatino Linotype"/>
          <w:sz w:val="22"/>
          <w:szCs w:val="22"/>
        </w:rPr>
      </w:pPr>
      <w:r>
        <w:rPr>
          <w:rFonts w:ascii="Palatino Linotype" w:hAnsi="Palatino Linotype"/>
          <w:sz w:val="22"/>
          <w:szCs w:val="22"/>
        </w:rPr>
        <w:t xml:space="preserve">desapropriação, confisco ou qualquer outro ato de qualquer entidade ou autoridade governamental de qualquer jurisdição que resulte na efetiva perda, pela Companhia e/ou qualquer Controlada Relevante, da propriedade e/ou da posse direta ou indireta da totalidade ou de parte substancial de seus ativos imobilizado, mediante a imissão da posse pela respectiva autoridade governamental, que possa causar um Efeito Adverso Relevante; </w:t>
      </w:r>
    </w:p>
    <w:p w:rsidR="00DE78B2" w:rsidRDefault="00791406">
      <w:pPr>
        <w:numPr>
          <w:ilvl w:val="2"/>
          <w:numId w:val="36"/>
        </w:numPr>
        <w:rPr>
          <w:rFonts w:ascii="Palatino Linotype" w:hAnsi="Palatino Linotype"/>
          <w:sz w:val="22"/>
          <w:szCs w:val="22"/>
        </w:rPr>
      </w:pPr>
      <w:r>
        <w:rPr>
          <w:rFonts w:ascii="Palatino Linotype" w:hAnsi="Palatino Linotype"/>
          <w:sz w:val="22"/>
          <w:szCs w:val="22"/>
        </w:rPr>
        <w:t>não obtenção ou renovação, cancelamento, revogação, intervenção, suspensão ou extinção das autorizações, concessões, subvenções, alvarás ou licenças (incluindo ambientais) necessárias para o regular exercício das atividades, negócios e operações da Companhia ou de qualquer Controlada Relevante, que possa causar um Efeito Adverso Relevante;</w:t>
      </w:r>
    </w:p>
    <w:p w:rsidR="00DE78B2" w:rsidRDefault="00791406">
      <w:pPr>
        <w:numPr>
          <w:ilvl w:val="2"/>
          <w:numId w:val="36"/>
        </w:numPr>
        <w:rPr>
          <w:rFonts w:ascii="Palatino Linotype" w:hAnsi="Palatino Linotype"/>
          <w:sz w:val="22"/>
          <w:szCs w:val="22"/>
        </w:rPr>
      </w:pPr>
      <w:r>
        <w:rPr>
          <w:rFonts w:ascii="Palatino Linotype" w:hAnsi="Palatino Linotype"/>
          <w:sz w:val="22"/>
          <w:szCs w:val="22"/>
        </w:rPr>
        <w:t xml:space="preserve">distribuição e/ou pagamento, pela Companhia, de dividendos, juros sobre o capital próprio ou quaisquer outras distribuições de lucros ou proventos aos acionistas da Companhia, caso tenha ocorrido e esteja vigente qualquer descumprimento de obrigação pecuniária da Companhia, nos termos desta Escritura de Emissão, e/ou do Índice Financeiro, conforme previsto na alínea </w:t>
      </w:r>
      <w:r>
        <w:rPr>
          <w:rFonts w:ascii="Palatino Linotype" w:hAnsi="Palatino Linotype"/>
          <w:sz w:val="22"/>
          <w:szCs w:val="22"/>
        </w:rPr>
        <w:fldChar w:fldCharType="begin"/>
      </w:r>
      <w:r>
        <w:rPr>
          <w:rFonts w:ascii="Palatino Linotype" w:hAnsi="Palatino Linotype"/>
          <w:sz w:val="22"/>
          <w:szCs w:val="22"/>
        </w:rPr>
        <w:instrText xml:space="preserve"> REF _Ref196929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XII abaixo</w:t>
      </w:r>
      <w:r>
        <w:rPr>
          <w:rFonts w:ascii="Palatino Linotype" w:hAnsi="Palatino Linotype"/>
          <w:sz w:val="22"/>
          <w:szCs w:val="22"/>
        </w:rPr>
        <w:fldChar w:fldCharType="end"/>
      </w:r>
      <w:r>
        <w:rPr>
          <w:rFonts w:ascii="Palatino Linotype" w:hAnsi="Palatino Linotype"/>
          <w:sz w:val="22"/>
          <w:szCs w:val="22"/>
        </w:rPr>
        <w:t xml:space="preserve">, exceto pelos dividendos obrigatórios previstos no artigo 202 da Lei das Sociedades por Ações, nos termos do estatuto social da Companhia vigente na Data de Emissão; </w:t>
      </w:r>
    </w:p>
    <w:p w:rsidR="00DE78B2" w:rsidRDefault="00791406">
      <w:pPr>
        <w:numPr>
          <w:ilvl w:val="2"/>
          <w:numId w:val="36"/>
        </w:numPr>
        <w:rPr>
          <w:rFonts w:ascii="Palatino Linotype" w:hAnsi="Palatino Linotype"/>
          <w:sz w:val="22"/>
          <w:szCs w:val="22"/>
        </w:rPr>
      </w:pPr>
      <w:r>
        <w:rPr>
          <w:rFonts w:ascii="Palatino Linotype" w:hAnsi="Palatino Linotype"/>
          <w:sz w:val="22"/>
          <w:szCs w:val="22"/>
        </w:rPr>
        <w:t>arresto, sequestro ou penhora de bens da Companhia ou de qualquer outra sociedade do Grupo Econômico, cujo valor, individual ou em conjunto, seja igual ou superior a R$250.000.000,00 (duzentos e cinquenta milhões de reais), ou seu equivalente em outras moedas, atualizados anualmente, a partir da Data de Emissão, pela variação positiva do IPCA;</w:t>
      </w:r>
    </w:p>
    <w:p w:rsidR="00DE78B2" w:rsidRDefault="00791406">
      <w:pPr>
        <w:numPr>
          <w:ilvl w:val="2"/>
          <w:numId w:val="36"/>
        </w:numPr>
        <w:rPr>
          <w:rFonts w:ascii="Palatino Linotype" w:hAnsi="Palatino Linotype"/>
          <w:sz w:val="22"/>
          <w:szCs w:val="22"/>
        </w:rPr>
      </w:pPr>
      <w:r>
        <w:rPr>
          <w:rFonts w:ascii="Palatino Linotype" w:hAnsi="Palatino Linotype"/>
          <w:sz w:val="22"/>
          <w:szCs w:val="22"/>
        </w:rPr>
        <w:t xml:space="preserve">protesto de títulos e/ou a inscrição no Sistema de Informações de Crédito do Banco Central contra a Companhia e/ou qualquer Controlada Relevante, em valor, individual ou agregado, igual ou superior a R$250.000.000,00 (duzentos e cinquenta milhões de reais), ou seu equivalente em outras moedas, atualizados anualmente, a partir da Data de Emissão, pela variação positiva do IPCA, exceto se, dentro de 30 (trinta) dias contados da data do respectivo protesto, tiver sido comprovado: </w:t>
      </w:r>
    </w:p>
    <w:p w:rsidR="00DE78B2" w:rsidRDefault="00791406">
      <w:pPr>
        <w:pStyle w:val="PargrafodaLista"/>
        <w:numPr>
          <w:ilvl w:val="3"/>
          <w:numId w:val="36"/>
        </w:numPr>
        <w:rPr>
          <w:rFonts w:ascii="Palatino Linotype" w:hAnsi="Palatino Linotype"/>
          <w:sz w:val="22"/>
          <w:szCs w:val="22"/>
        </w:rPr>
      </w:pPr>
      <w:r>
        <w:rPr>
          <w:rFonts w:ascii="Palatino Linotype" w:hAnsi="Palatino Linotype"/>
          <w:sz w:val="22"/>
          <w:szCs w:val="22"/>
        </w:rPr>
        <w:lastRenderedPageBreak/>
        <w:t xml:space="preserve">que o protesto foi efetuado por erro ou má fé de terceiro e tenha sido tomada medida judicial adequada para a anulação ou sustação de seus efeitos; </w:t>
      </w:r>
    </w:p>
    <w:p w:rsidR="00DE78B2" w:rsidRDefault="00791406">
      <w:pPr>
        <w:pStyle w:val="PargrafodaLista"/>
        <w:numPr>
          <w:ilvl w:val="3"/>
          <w:numId w:val="36"/>
        </w:numPr>
        <w:rPr>
          <w:rFonts w:ascii="Palatino Linotype" w:hAnsi="Palatino Linotype"/>
          <w:sz w:val="22"/>
          <w:szCs w:val="22"/>
        </w:rPr>
      </w:pPr>
      <w:r>
        <w:rPr>
          <w:rFonts w:ascii="Palatino Linotype" w:hAnsi="Palatino Linotype"/>
          <w:sz w:val="22"/>
          <w:szCs w:val="22"/>
        </w:rPr>
        <w:t xml:space="preserve">que o protesto foi cancelado; ou </w:t>
      </w:r>
    </w:p>
    <w:p w:rsidR="00DE78B2" w:rsidRDefault="00791406">
      <w:pPr>
        <w:pStyle w:val="PargrafodaLista"/>
        <w:numPr>
          <w:ilvl w:val="3"/>
          <w:numId w:val="36"/>
        </w:numPr>
        <w:rPr>
          <w:rFonts w:ascii="Palatino Linotype" w:hAnsi="Palatino Linotype"/>
          <w:sz w:val="22"/>
          <w:szCs w:val="22"/>
        </w:rPr>
      </w:pPr>
      <w:r>
        <w:rPr>
          <w:rFonts w:ascii="Palatino Linotype" w:hAnsi="Palatino Linotype"/>
          <w:sz w:val="22"/>
          <w:szCs w:val="22"/>
        </w:rPr>
        <w:t>que o valor do(s) título(s) protestado(s) foi depositado em juízo;</w:t>
      </w:r>
    </w:p>
    <w:p w:rsidR="00DE78B2" w:rsidRDefault="00DE78B2">
      <w:pPr>
        <w:pStyle w:val="PargrafodaLista"/>
        <w:ind w:left="2126"/>
        <w:rPr>
          <w:rFonts w:ascii="Palatino Linotype" w:hAnsi="Palatino Linotype"/>
          <w:sz w:val="22"/>
          <w:szCs w:val="22"/>
        </w:rPr>
      </w:pPr>
    </w:p>
    <w:p w:rsidR="00DE78B2" w:rsidRDefault="00791406">
      <w:pPr>
        <w:pStyle w:val="PargrafodaLista"/>
        <w:numPr>
          <w:ilvl w:val="2"/>
          <w:numId w:val="36"/>
        </w:numPr>
        <w:rPr>
          <w:rFonts w:ascii="Palatino Linotype" w:hAnsi="Palatino Linotype"/>
          <w:sz w:val="22"/>
          <w:szCs w:val="22"/>
        </w:rPr>
      </w:pPr>
      <w:bookmarkStart w:id="80" w:name="_Ref196929"/>
      <w:r>
        <w:rPr>
          <w:rFonts w:ascii="Palatino Linotype" w:hAnsi="Palatino Linotype"/>
          <w:sz w:val="22"/>
          <w:szCs w:val="22"/>
        </w:rPr>
        <w:t>não observância do índice financeiro abaixo ("</w:t>
      </w:r>
      <w:r>
        <w:rPr>
          <w:rFonts w:ascii="Palatino Linotype" w:hAnsi="Palatino Linotype"/>
          <w:sz w:val="22"/>
          <w:szCs w:val="22"/>
          <w:u w:val="single"/>
        </w:rPr>
        <w:t>Índice Financeiro</w:t>
      </w:r>
      <w:r>
        <w:rPr>
          <w:rFonts w:ascii="Palatino Linotype" w:hAnsi="Palatino Linotype"/>
          <w:sz w:val="22"/>
          <w:szCs w:val="22"/>
        </w:rPr>
        <w:t xml:space="preserve">"), a ser apurado pela Companhia trimestralmente e acompanhado pelo Agente Fiduciário, das informações a que se refere a Cláusula </w:t>
      </w:r>
      <w:r>
        <w:rPr>
          <w:rFonts w:ascii="Palatino Linotype" w:hAnsi="Palatino Linotype"/>
          <w:sz w:val="22"/>
          <w:szCs w:val="22"/>
        </w:rPr>
        <w:fldChar w:fldCharType="begin"/>
      </w:r>
      <w:r>
        <w:rPr>
          <w:rFonts w:ascii="Palatino Linotype" w:hAnsi="Palatino Linotype"/>
          <w:sz w:val="22"/>
          <w:szCs w:val="22"/>
        </w:rPr>
        <w:instrText xml:space="preserve"> REF _Ref437375415 \r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7.1</w:t>
      </w:r>
      <w:r>
        <w:rPr>
          <w:rFonts w:ascii="Palatino Linotype" w:hAnsi="Palatino Linotype"/>
          <w:sz w:val="22"/>
          <w:szCs w:val="22"/>
        </w:rPr>
        <w:fldChar w:fldCharType="end"/>
      </w:r>
      <w:r>
        <w:rPr>
          <w:rFonts w:ascii="Palatino Linotype" w:hAnsi="Palatino Linotype"/>
          <w:sz w:val="22"/>
          <w:szCs w:val="22"/>
        </w:rPr>
        <w:t xml:space="preserve">, inciso </w:t>
      </w:r>
      <w:r w:rsidR="00442246">
        <w:rPr>
          <w:rFonts w:ascii="Palatino Linotype" w:hAnsi="Palatino Linotype"/>
          <w:sz w:val="22"/>
          <w:szCs w:val="22"/>
        </w:rPr>
        <w:t>II</w:t>
      </w:r>
      <w:bookmarkStart w:id="81" w:name="_GoBack"/>
      <w:bookmarkEnd w:id="81"/>
      <w:r>
        <w:rPr>
          <w:rFonts w:ascii="Palatino Linotype" w:hAnsi="Palatino Linotype"/>
          <w:sz w:val="22"/>
          <w:szCs w:val="22"/>
        </w:rPr>
        <w:t>, alíneas (a) e (b) abaixo, tendo por base as Demonstrações Financeiras Consolidadas da Companhia, a partir, inclusive, das Demonstrações Financeiras Consolidadas da Companhia relativas a 31 de dezembro de 2018:</w:t>
      </w:r>
      <w:bookmarkEnd w:id="80"/>
    </w:p>
    <w:p w:rsidR="00DE78B2" w:rsidRDefault="00791406">
      <w:pPr>
        <w:pStyle w:val="PargrafodaLista"/>
        <w:numPr>
          <w:ilvl w:val="3"/>
          <w:numId w:val="14"/>
        </w:numPr>
        <w:rPr>
          <w:rFonts w:ascii="Palatino Linotype" w:hAnsi="Palatino Linotype"/>
          <w:sz w:val="22"/>
          <w:szCs w:val="22"/>
        </w:rPr>
      </w:pPr>
      <w:r>
        <w:rPr>
          <w:rFonts w:ascii="Palatino Linotype" w:hAnsi="Palatino Linotype"/>
          <w:sz w:val="22"/>
          <w:szCs w:val="22"/>
        </w:rPr>
        <w:t>índice financeiro decorrente do quociente da divisão da Dívida Líquida Ajustado (conforme definido abaixo) pelo EBITDA Ajustado (conforme definido abaixo), que deverá ser inferior a 4,0 (quatro) vezes.</w:t>
      </w:r>
    </w:p>
    <w:p w:rsidR="00DE78B2" w:rsidRDefault="00791406">
      <w:pPr>
        <w:numPr>
          <w:ilvl w:val="5"/>
          <w:numId w:val="10"/>
        </w:numPr>
        <w:rPr>
          <w:rFonts w:ascii="Palatino Linotype" w:hAnsi="Palatino Linotype"/>
          <w:sz w:val="22"/>
          <w:szCs w:val="22"/>
        </w:rPr>
      </w:pPr>
      <w:bookmarkStart w:id="82" w:name="_Ref533025888"/>
      <w:r>
        <w:rPr>
          <w:rFonts w:ascii="Palatino Linotype" w:hAnsi="Palatino Linotype"/>
          <w:sz w:val="22"/>
          <w:szCs w:val="22"/>
        </w:rPr>
        <w:t>Ocorrendo qualquer dos Eventos de Inadimplemento previstos na Cláusula </w:t>
      </w:r>
      <w:r>
        <w:rPr>
          <w:rFonts w:ascii="Palatino Linotype" w:hAnsi="Palatino Linotype"/>
          <w:sz w:val="22"/>
          <w:szCs w:val="22"/>
        </w:rPr>
        <w:fldChar w:fldCharType="begin"/>
      </w:r>
      <w:r>
        <w:rPr>
          <w:rFonts w:ascii="Palatino Linotype" w:hAnsi="Palatino Linotype"/>
          <w:sz w:val="22"/>
          <w:szCs w:val="22"/>
        </w:rPr>
        <w:instrText xml:space="preserve"> REF _Ref532905420 \r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6.25.1</w:t>
      </w:r>
      <w:r>
        <w:rPr>
          <w:rFonts w:ascii="Palatino Linotype" w:hAnsi="Palatino Linotype"/>
          <w:sz w:val="22"/>
          <w:szCs w:val="22"/>
        </w:rPr>
        <w:fldChar w:fldCharType="end"/>
      </w:r>
      <w:r>
        <w:rPr>
          <w:rFonts w:ascii="Palatino Linotype" w:hAnsi="Palatino Linotype"/>
          <w:sz w:val="22"/>
          <w:szCs w:val="22"/>
        </w:rPr>
        <w:t xml:space="preserve"> acima, as obrigações decorrentes das Debêntures tornar-se-ão automaticamente vencidas, independentemente de aviso ou notificação, judicial ou extrajudicial.</w:t>
      </w:r>
      <w:bookmarkEnd w:id="77"/>
      <w:bookmarkEnd w:id="78"/>
      <w:bookmarkEnd w:id="79"/>
      <w:bookmarkEnd w:id="82"/>
    </w:p>
    <w:p w:rsidR="00DE78B2" w:rsidRDefault="00791406">
      <w:pPr>
        <w:numPr>
          <w:ilvl w:val="5"/>
          <w:numId w:val="10"/>
        </w:numPr>
        <w:rPr>
          <w:rFonts w:ascii="Palatino Linotype" w:hAnsi="Palatino Linotype"/>
          <w:sz w:val="22"/>
          <w:szCs w:val="22"/>
        </w:rPr>
      </w:pPr>
      <w:bookmarkStart w:id="83" w:name="_Ref533026613"/>
      <w:r>
        <w:rPr>
          <w:rFonts w:ascii="Palatino Linotype" w:hAnsi="Palatino Linotype"/>
          <w:sz w:val="22"/>
          <w:szCs w:val="22"/>
        </w:rPr>
        <w:t>Ocorrendo quaisquer dos Eventos de Inadimplemento previstos na Cláusula </w:t>
      </w:r>
      <w:r>
        <w:rPr>
          <w:rFonts w:ascii="Palatino Linotype" w:hAnsi="Palatino Linotype"/>
          <w:sz w:val="22"/>
          <w:szCs w:val="22"/>
        </w:rPr>
        <w:fldChar w:fldCharType="begin"/>
      </w:r>
      <w:r>
        <w:rPr>
          <w:rFonts w:ascii="Palatino Linotype" w:hAnsi="Palatino Linotype"/>
          <w:sz w:val="22"/>
          <w:szCs w:val="22"/>
        </w:rPr>
        <w:instrText xml:space="preserve"> REF _Ref532905470 \r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6.25.2</w:t>
      </w:r>
      <w:r>
        <w:rPr>
          <w:rFonts w:ascii="Palatino Linotype" w:hAnsi="Palatino Linotype"/>
          <w:sz w:val="22"/>
          <w:szCs w:val="22"/>
        </w:rPr>
        <w:fldChar w:fldCharType="end"/>
      </w:r>
      <w:r>
        <w:rPr>
          <w:rFonts w:ascii="Palatino Linotype" w:hAnsi="Palatino Linotype"/>
          <w:sz w:val="22"/>
          <w:szCs w:val="22"/>
        </w:rPr>
        <w:t xml:space="preserve"> acima, o Agente Fiduciário deverá, inclusive para fins do disposto na Cláusula </w:t>
      </w:r>
      <w:r>
        <w:rPr>
          <w:rFonts w:ascii="Palatino Linotype" w:hAnsi="Palatino Linotype"/>
          <w:sz w:val="22"/>
          <w:szCs w:val="22"/>
        </w:rPr>
        <w:fldChar w:fldCharType="begin"/>
      </w:r>
      <w:r>
        <w:rPr>
          <w:rFonts w:ascii="Palatino Linotype" w:hAnsi="Palatino Linotype"/>
          <w:sz w:val="22"/>
          <w:szCs w:val="22"/>
        </w:rPr>
        <w:instrText xml:space="preserve"> REF _Ref437375493 \r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8.6</w:t>
      </w:r>
      <w:r>
        <w:rPr>
          <w:rFonts w:ascii="Palatino Linotype" w:hAnsi="Palatino Linotype"/>
          <w:sz w:val="22"/>
          <w:szCs w:val="22"/>
        </w:rPr>
        <w:fldChar w:fldCharType="end"/>
      </w:r>
      <w:r>
        <w:rPr>
          <w:rFonts w:ascii="Palatino Linotype" w:hAnsi="Palatino Linotype"/>
          <w:sz w:val="22"/>
          <w:szCs w:val="22"/>
        </w:rPr>
        <w:t xml:space="preserve">, convocar, no prazo máximo de 1 (um) Dia Útil contado da data em que constatar sua ocorrência, assembleia geral de Debenturistas, a se realizar no prazo mínimo previsto em lei. Se, na referida assembleia geral de Debenturistas, Debenturistas representando, no mínimo, 2/3 (dois terços) das Debêntures em circulação, decidirem por não considerar o vencimento antecipado das obrigações decorrentes das Debêntures, o Agente Fiduciário não deverá declarar o vencimento antecipado das obrigações decorrentes das Debêntures; caso contrário, ou em caso de não instalação, em segunda convocação, da referida assembleia geral de Debenturistas, o Agente Fiduciário deverá, imediatamente, declarar o vencimento antecipado das obrigações decorrentes das Debêntures. </w:t>
      </w:r>
      <w:bookmarkEnd w:id="83"/>
    </w:p>
    <w:p w:rsidR="00DE78B2" w:rsidRDefault="00791406">
      <w:pPr>
        <w:numPr>
          <w:ilvl w:val="5"/>
          <w:numId w:val="10"/>
        </w:numPr>
        <w:rPr>
          <w:rFonts w:ascii="Palatino Linotype" w:hAnsi="Palatino Linotype"/>
          <w:sz w:val="22"/>
          <w:szCs w:val="22"/>
        </w:rPr>
      </w:pPr>
      <w:r>
        <w:rPr>
          <w:rFonts w:ascii="Palatino Linotype" w:hAnsi="Palatino Linotype"/>
          <w:sz w:val="22"/>
          <w:szCs w:val="22"/>
        </w:rPr>
        <w:t xml:space="preserve">Na ocorrência de qualquer vencimento antecipado das obrigações decorrentes das Debêntures, a Companhia se obriga a pagar a totalidade das Debêntures, mediante o pagamento do Valor Nominal Unitário ou saldo do Valor Nominal Unitário das Debêntures, conforme o caso acrescido da Remuneração, calculada </w:t>
      </w:r>
      <w:r>
        <w:rPr>
          <w:rFonts w:ascii="Palatino Linotype" w:hAnsi="Palatino Linotype"/>
          <w:i/>
          <w:sz w:val="22"/>
          <w:szCs w:val="22"/>
        </w:rPr>
        <w:t>pro rata temporis</w:t>
      </w:r>
      <w:r>
        <w:rPr>
          <w:rFonts w:ascii="Palatino Linotype" w:hAnsi="Palatino Linotype"/>
          <w:sz w:val="22"/>
          <w:szCs w:val="22"/>
        </w:rPr>
        <w:t xml:space="preserve"> desde a Primeira Data de Integralização ou a data de pagamento de Remuneração imediatamente anterior, conforme o caso, até a data do efetivo pagamento, sem prejuízo do pagamento dos Encargos Moratórios, quando for o caso, e de quaisquer outros valores eventualmente devidos pela Companhia nos termos desta Escritura de Emissão, no prazo de até 1 (um) Dia Útil contados da data da declaração do vencimento antecipado, sob pena de, em não o fazendo, ficar obrigada, ainda, ao </w:t>
      </w:r>
      <w:r>
        <w:rPr>
          <w:rFonts w:ascii="Palatino Linotype" w:hAnsi="Palatino Linotype"/>
          <w:sz w:val="22"/>
          <w:szCs w:val="22"/>
        </w:rPr>
        <w:lastRenderedPageBreak/>
        <w:t>pagamento dos Encargos Moratórios, fora do âmbito da B3. A B3 deverá ser comunicada, por meio de correspondência da Companhia com o de acordo do Agente Fiduciário, da ocorrência do vencimento antecipado, imediatamente após a sua declaração.</w:t>
      </w:r>
    </w:p>
    <w:p w:rsidR="00DE78B2" w:rsidRDefault="00791406">
      <w:pPr>
        <w:numPr>
          <w:ilvl w:val="5"/>
          <w:numId w:val="10"/>
        </w:numPr>
        <w:rPr>
          <w:rFonts w:ascii="Palatino Linotype" w:hAnsi="Palatino Linotype"/>
          <w:sz w:val="22"/>
          <w:szCs w:val="22"/>
        </w:rPr>
      </w:pPr>
      <w:bookmarkStart w:id="84" w:name="_Ref533025652"/>
      <w:r>
        <w:rPr>
          <w:rFonts w:ascii="Palatino Linotype" w:hAnsi="Palatino Linotype"/>
          <w:sz w:val="22"/>
          <w:szCs w:val="22"/>
        </w:rPr>
        <w:t>Para os fins desta Escritura de Emissão:</w:t>
      </w:r>
      <w:bookmarkEnd w:id="84"/>
    </w:p>
    <w:p w:rsidR="00DE78B2" w:rsidRDefault="00791406">
      <w:pPr>
        <w:pStyle w:val="PargrafodaLista"/>
        <w:numPr>
          <w:ilvl w:val="3"/>
          <w:numId w:val="16"/>
        </w:numPr>
        <w:rPr>
          <w:rFonts w:ascii="Palatino Linotype" w:hAnsi="Palatino Linotype"/>
          <w:sz w:val="22"/>
          <w:szCs w:val="22"/>
        </w:rPr>
      </w:pPr>
      <w:r>
        <w:rPr>
          <w:rFonts w:ascii="Palatino Linotype" w:hAnsi="Palatino Linotype"/>
          <w:sz w:val="22"/>
          <w:szCs w:val="22"/>
        </w:rPr>
        <w:t>"</w:t>
      </w:r>
      <w:r>
        <w:rPr>
          <w:rFonts w:ascii="Palatino Linotype" w:hAnsi="Palatino Linotype"/>
          <w:sz w:val="22"/>
          <w:szCs w:val="22"/>
          <w:u w:val="single"/>
        </w:rPr>
        <w:t>Controle</w:t>
      </w:r>
      <w:r>
        <w:rPr>
          <w:rFonts w:ascii="Palatino Linotype" w:hAnsi="Palatino Linotype"/>
          <w:sz w:val="22"/>
          <w:szCs w:val="22"/>
        </w:rPr>
        <w:t>", "</w:t>
      </w:r>
      <w:r>
        <w:rPr>
          <w:rFonts w:ascii="Palatino Linotype" w:hAnsi="Palatino Linotype"/>
          <w:sz w:val="22"/>
          <w:szCs w:val="22"/>
          <w:u w:val="single"/>
        </w:rPr>
        <w:t>Controladora</w:t>
      </w:r>
      <w:r>
        <w:rPr>
          <w:rFonts w:ascii="Palatino Linotype" w:hAnsi="Palatino Linotype"/>
          <w:sz w:val="22"/>
          <w:szCs w:val="22"/>
        </w:rPr>
        <w:t>" e/ou "</w:t>
      </w:r>
      <w:r>
        <w:rPr>
          <w:rFonts w:ascii="Palatino Linotype" w:hAnsi="Palatino Linotype"/>
          <w:sz w:val="22"/>
          <w:szCs w:val="22"/>
          <w:u w:val="single"/>
        </w:rPr>
        <w:t>Controlada</w:t>
      </w:r>
      <w:r>
        <w:rPr>
          <w:rFonts w:ascii="Palatino Linotype" w:hAnsi="Palatino Linotype"/>
          <w:sz w:val="22"/>
          <w:szCs w:val="22"/>
        </w:rPr>
        <w:t>" têm o significado previsto no artigo 116 da Lei das Sociedades por Ações;</w:t>
      </w:r>
    </w:p>
    <w:p w:rsidR="00DE78B2" w:rsidRDefault="00791406">
      <w:pPr>
        <w:pStyle w:val="PargrafodaLista"/>
        <w:numPr>
          <w:ilvl w:val="3"/>
          <w:numId w:val="16"/>
        </w:numPr>
        <w:rPr>
          <w:rFonts w:ascii="Palatino Linotype" w:hAnsi="Palatino Linotype"/>
          <w:sz w:val="22"/>
          <w:szCs w:val="22"/>
        </w:rPr>
      </w:pPr>
      <w:r>
        <w:rPr>
          <w:rFonts w:ascii="Palatino Linotype" w:hAnsi="Palatino Linotype"/>
          <w:sz w:val="22"/>
          <w:szCs w:val="22"/>
        </w:rPr>
        <w:t>"</w:t>
      </w:r>
      <w:r>
        <w:rPr>
          <w:rFonts w:ascii="Palatino Linotype" w:hAnsi="Palatino Linotype"/>
          <w:sz w:val="22"/>
          <w:szCs w:val="22"/>
          <w:u w:val="single"/>
        </w:rPr>
        <w:t>Controlada Relevante</w:t>
      </w:r>
      <w:r>
        <w:rPr>
          <w:rFonts w:ascii="Palatino Linotype" w:hAnsi="Palatino Linotype"/>
          <w:sz w:val="22"/>
          <w:szCs w:val="22"/>
        </w:rPr>
        <w:t>" significa as Controladas: (i) Comgás, (ii) Raízen Combustíveis S.A. ("</w:t>
      </w:r>
      <w:r>
        <w:rPr>
          <w:rFonts w:ascii="Palatino Linotype" w:hAnsi="Palatino Linotype"/>
          <w:sz w:val="22"/>
          <w:szCs w:val="22"/>
          <w:u w:val="single"/>
        </w:rPr>
        <w:t>Raízen Combustíveis</w:t>
      </w:r>
      <w:r>
        <w:rPr>
          <w:rFonts w:ascii="Palatino Linotype" w:hAnsi="Palatino Linotype"/>
          <w:sz w:val="22"/>
          <w:szCs w:val="22"/>
        </w:rPr>
        <w:t>") e (iii) Raízen Energia S.A. ("</w:t>
      </w:r>
      <w:r>
        <w:rPr>
          <w:rFonts w:ascii="Palatino Linotype" w:hAnsi="Palatino Linotype"/>
          <w:sz w:val="22"/>
          <w:szCs w:val="22"/>
          <w:u w:val="single"/>
        </w:rPr>
        <w:t>Raízen Energia</w:t>
      </w:r>
      <w:r>
        <w:rPr>
          <w:rFonts w:ascii="Palatino Linotype" w:hAnsi="Palatino Linotype"/>
          <w:sz w:val="22"/>
          <w:szCs w:val="22"/>
        </w:rPr>
        <w:t>"); e (iv) outras sociedades que venham ser Controladoras diretas das sociedades elencadas nos itens (i) a (iii) acima e sejam Controladas pela Emissora;</w:t>
      </w:r>
    </w:p>
    <w:p w:rsidR="00DE78B2" w:rsidRDefault="00791406">
      <w:pPr>
        <w:pStyle w:val="PargrafodaLista"/>
        <w:numPr>
          <w:ilvl w:val="3"/>
          <w:numId w:val="16"/>
        </w:numPr>
        <w:rPr>
          <w:rFonts w:ascii="Palatino Linotype" w:hAnsi="Palatino Linotype"/>
          <w:sz w:val="22"/>
          <w:szCs w:val="22"/>
        </w:rPr>
      </w:pPr>
      <w:r>
        <w:rPr>
          <w:rFonts w:ascii="Palatino Linotype" w:hAnsi="Palatino Linotype"/>
          <w:sz w:val="22"/>
          <w:szCs w:val="22"/>
        </w:rPr>
        <w:t>"</w:t>
      </w:r>
      <w:r>
        <w:rPr>
          <w:rFonts w:ascii="Palatino Linotype" w:hAnsi="Palatino Linotype"/>
          <w:sz w:val="22"/>
          <w:szCs w:val="22"/>
          <w:u w:val="single"/>
        </w:rPr>
        <w:t>Dívida Líquida</w:t>
      </w:r>
      <w:r>
        <w:rPr>
          <w:rFonts w:ascii="Palatino Linotype" w:hAnsi="Palatino Linotype"/>
          <w:sz w:val="22"/>
          <w:szCs w:val="22"/>
        </w:rPr>
        <w:t>" significa o (a) somatório dos empréstimos e financiamentos do circulante e do não circulante, incluídos títulos descontados com regresso  e títulos de renda fixa, conversíveis ou não, frutos de emissão pública ou privada, nos mercados local ou internacional, incluindo, ainda, os passivos decorrentes de instrumentos financeiros (derivativos), dívidas com partes relacionadas, incluindo proporcionalmente a sua participação respectiva na dívida líquida da Raízen Combustíveis e Raízen Energia e suas respectivas subsidiárias menos (b) disponibilidades em caixa e equivalentes de caixa, aplicações financeiras, títulos e valores mobiliários, ativos decorrentes de instrumentos financeiros (derivativos) e qualquer passivo que seja considerado pela implementação do IFRS 16;</w:t>
      </w:r>
    </w:p>
    <w:p w:rsidR="00DE78B2" w:rsidRDefault="00791406">
      <w:pPr>
        <w:pStyle w:val="PargrafodaLista"/>
        <w:numPr>
          <w:ilvl w:val="3"/>
          <w:numId w:val="16"/>
        </w:numPr>
        <w:rPr>
          <w:rFonts w:ascii="Palatino Linotype" w:hAnsi="Palatino Linotype"/>
          <w:sz w:val="22"/>
          <w:szCs w:val="22"/>
        </w:rPr>
      </w:pPr>
      <w:r>
        <w:rPr>
          <w:rFonts w:ascii="Palatino Linotype" w:hAnsi="Palatino Linotype"/>
          <w:sz w:val="22"/>
          <w:szCs w:val="22"/>
        </w:rPr>
        <w:t>"</w:t>
      </w:r>
      <w:r>
        <w:rPr>
          <w:rFonts w:ascii="Palatino Linotype" w:hAnsi="Palatino Linotype"/>
          <w:sz w:val="22"/>
          <w:szCs w:val="22"/>
          <w:u w:val="single"/>
        </w:rPr>
        <w:t>EBITDA Ajustado</w:t>
      </w:r>
      <w:r>
        <w:rPr>
          <w:rFonts w:ascii="Palatino Linotype" w:hAnsi="Palatino Linotype"/>
          <w:sz w:val="22"/>
          <w:szCs w:val="22"/>
        </w:rPr>
        <w:t>" significa, com base nas Demonstrações Financeiras Consolidadas da Companhia relativas aos 4 (quatro) trimestres imediatamente anteriores, o resultado líquido do período, acrescido dos tributos sobre o lucro, das despesas financeiras líquidas das receitas financeiras e das depreciações, amortizações e exaustões, calculado nos termos da Instrução CVM n.º 527, de 4 de outubro de 2012 (“</w:t>
      </w:r>
      <w:r>
        <w:rPr>
          <w:rFonts w:ascii="Palatino Linotype" w:hAnsi="Palatino Linotype"/>
          <w:sz w:val="22"/>
          <w:szCs w:val="22"/>
          <w:u w:val="single"/>
        </w:rPr>
        <w:t>EBITDA CVM</w:t>
      </w:r>
      <w:r>
        <w:rPr>
          <w:rFonts w:ascii="Palatino Linotype" w:hAnsi="Palatino Linotype"/>
          <w:sz w:val="22"/>
          <w:szCs w:val="22"/>
        </w:rPr>
        <w:t>”) (i) adicionado proporcionalmente a sua participação respectiva no EBITDA da Raízen Combustíveis e Raízen Energia e suas respectivas subsidiárias e (ii) subtraindo qualquer eventual equivalência patrimonial dessas entidades que tenha sido considerada no EBITDA CVM ;</w:t>
      </w:r>
    </w:p>
    <w:p w:rsidR="00DE78B2" w:rsidRDefault="00791406">
      <w:pPr>
        <w:pStyle w:val="PargrafodaLista"/>
        <w:numPr>
          <w:ilvl w:val="3"/>
          <w:numId w:val="16"/>
        </w:numPr>
        <w:rPr>
          <w:rFonts w:ascii="Palatino Linotype" w:hAnsi="Palatino Linotype"/>
          <w:sz w:val="22"/>
          <w:szCs w:val="22"/>
        </w:rPr>
      </w:pPr>
      <w:r>
        <w:rPr>
          <w:rFonts w:ascii="Palatino Linotype" w:hAnsi="Palatino Linotype"/>
          <w:sz w:val="22"/>
          <w:szCs w:val="22"/>
        </w:rPr>
        <w:t>"</w:t>
      </w:r>
      <w:bookmarkStart w:id="85" w:name="_Hlk182743"/>
      <w:r>
        <w:rPr>
          <w:rFonts w:ascii="Palatino Linotype" w:hAnsi="Palatino Linotype"/>
          <w:sz w:val="22"/>
          <w:szCs w:val="22"/>
          <w:u w:val="single"/>
        </w:rPr>
        <w:t>Efeito Adverso Relevante</w:t>
      </w:r>
      <w:bookmarkEnd w:id="85"/>
      <w:r>
        <w:rPr>
          <w:rFonts w:ascii="Palatino Linotype" w:hAnsi="Palatino Linotype"/>
          <w:sz w:val="22"/>
          <w:szCs w:val="22"/>
        </w:rPr>
        <w:t>" significa (a) qualquer efeito adverso relevante na situação (financeira ou de outra natureza), nos negócios, nos bens ou nos resultados operacionais; e/ou (b) qualquer efeito adverso na capacidade da Companhia de cumprir qualquer de suas obrigações nos termos desta Escritura de Emissão;</w:t>
      </w:r>
    </w:p>
    <w:p w:rsidR="00DE78B2" w:rsidRDefault="00791406">
      <w:pPr>
        <w:pStyle w:val="PargrafodaLista"/>
        <w:numPr>
          <w:ilvl w:val="3"/>
          <w:numId w:val="16"/>
        </w:numPr>
        <w:rPr>
          <w:rFonts w:ascii="Palatino Linotype" w:hAnsi="Palatino Linotype"/>
          <w:sz w:val="22"/>
          <w:szCs w:val="22"/>
        </w:rPr>
      </w:pPr>
      <w:r>
        <w:rPr>
          <w:rFonts w:ascii="Palatino Linotype" w:hAnsi="Palatino Linotype"/>
          <w:sz w:val="22"/>
          <w:szCs w:val="22"/>
        </w:rPr>
        <w:t>"</w:t>
      </w:r>
      <w:r>
        <w:rPr>
          <w:rFonts w:ascii="Palatino Linotype" w:hAnsi="Palatino Linotype"/>
          <w:sz w:val="22"/>
          <w:szCs w:val="22"/>
          <w:u w:val="single"/>
        </w:rPr>
        <w:t>Obrigação Financeira</w:t>
      </w:r>
      <w:r>
        <w:rPr>
          <w:rFonts w:ascii="Palatino Linotype" w:hAnsi="Palatino Linotype"/>
          <w:sz w:val="22"/>
          <w:szCs w:val="22"/>
        </w:rPr>
        <w:t xml:space="preserve">" significa qualquer valor devido em decorrência de (a) empréstimos, mútuos, financiamentos ou outras </w:t>
      </w:r>
      <w:r>
        <w:rPr>
          <w:rFonts w:ascii="Palatino Linotype" w:hAnsi="Palatino Linotype"/>
          <w:sz w:val="22"/>
          <w:szCs w:val="22"/>
        </w:rPr>
        <w:lastRenderedPageBreak/>
        <w:t>dívidas financeiras ou obrigações onerosas, incluindo, sem limitação, debêntures, letras de câmbio, notas promissórias ou instrumentos similares, no Brasil ou no exterior; (b) aquisições a pagar; (c) saldo líquido das operações ativas e passivas com derivativos em que a Companhia e/ou das Controladas Relevantes sejam partes (sendo que o referido saldo será líquido do que já estiver classificado no passivo circulante e exigível de longo prazo da Companhia); (d) cartas de crédito, avais, fianças, coobrigações e demais garantias prestadas em benefício de empresas não consolidadas nas Demonstrações Financeiras Consolidadas da Companhia; e (e) obrigações decorrentes de resgate de ações e pagamento de dividendos declarados e não pagos, se aplicável; e</w:t>
      </w:r>
    </w:p>
    <w:p w:rsidR="00DE78B2" w:rsidRDefault="00791406">
      <w:pPr>
        <w:pStyle w:val="PargrafodaLista"/>
        <w:numPr>
          <w:ilvl w:val="3"/>
          <w:numId w:val="16"/>
        </w:numPr>
        <w:rPr>
          <w:rFonts w:ascii="Palatino Linotype" w:hAnsi="Palatino Linotype"/>
          <w:sz w:val="22"/>
          <w:szCs w:val="22"/>
        </w:rPr>
      </w:pPr>
      <w:r>
        <w:rPr>
          <w:rFonts w:ascii="Palatino Linotype" w:hAnsi="Palatino Linotype"/>
          <w:sz w:val="22"/>
          <w:szCs w:val="22"/>
        </w:rPr>
        <w:t>"</w:t>
      </w:r>
      <w:r>
        <w:rPr>
          <w:rFonts w:ascii="Palatino Linotype" w:hAnsi="Palatino Linotype"/>
          <w:sz w:val="22"/>
          <w:szCs w:val="22"/>
          <w:u w:val="single"/>
        </w:rPr>
        <w:t>Ônus</w:t>
      </w:r>
      <w:r>
        <w:rPr>
          <w:rFonts w:ascii="Palatino Linotype" w:hAnsi="Palatino Linotype"/>
          <w:sz w:val="22"/>
          <w:szCs w:val="22"/>
        </w:rPr>
        <w:t>" significa hipoteca, penhor, alienação fiduciária, cessão fiduciária, usufruto, fideicomisso, promessa de venda, opção de compra, direito de preferência, encargo, gravame ou ônus, arresto, sequestro ou penhora, judicial ou extrajudicial, voluntário ou involuntário, ou outro ato que tenha efeito prático similar a qualquer das expressões acima.</w:t>
      </w:r>
    </w:p>
    <w:p w:rsidR="00DE78B2" w:rsidRDefault="00DE78B2">
      <w:pPr>
        <w:pStyle w:val="PargrafodaLista"/>
        <w:ind w:left="2126"/>
        <w:rPr>
          <w:rFonts w:ascii="Palatino Linotype" w:hAnsi="Palatino Linotype"/>
          <w:sz w:val="22"/>
          <w:szCs w:val="22"/>
        </w:rPr>
      </w:pPr>
    </w:p>
    <w:p w:rsidR="00DE78B2" w:rsidRDefault="00791406">
      <w:pPr>
        <w:numPr>
          <w:ilvl w:val="5"/>
          <w:numId w:val="10"/>
        </w:numPr>
        <w:rPr>
          <w:rFonts w:ascii="Palatino Linotype" w:hAnsi="Palatino Linotype"/>
          <w:sz w:val="22"/>
          <w:szCs w:val="22"/>
        </w:rPr>
      </w:pPr>
      <w:bookmarkStart w:id="86" w:name="h.4k668n3" w:colFirst="0" w:colLast="0"/>
      <w:bookmarkStart w:id="87" w:name="h.2zbgiuw" w:colFirst="0" w:colLast="0"/>
      <w:bookmarkStart w:id="88" w:name="h.1egqt2p" w:colFirst="0" w:colLast="0"/>
      <w:bookmarkStart w:id="89" w:name="h.3ygebqi" w:colFirst="0" w:colLast="0"/>
      <w:bookmarkStart w:id="90" w:name="h.2dlolyb" w:colFirst="0" w:colLast="0"/>
      <w:bookmarkStart w:id="91" w:name="h.sqyw64" w:colFirst="0" w:colLast="0"/>
      <w:bookmarkStart w:id="92" w:name="h.3cqmetx" w:colFirst="0" w:colLast="0"/>
      <w:bookmarkStart w:id="93" w:name="_Ref533029668"/>
      <w:bookmarkStart w:id="94" w:name="_Ref437375338"/>
      <w:bookmarkEnd w:id="86"/>
      <w:bookmarkEnd w:id="87"/>
      <w:bookmarkEnd w:id="88"/>
      <w:bookmarkEnd w:id="89"/>
      <w:bookmarkEnd w:id="90"/>
      <w:bookmarkEnd w:id="91"/>
      <w:bookmarkEnd w:id="92"/>
      <w:r>
        <w:rPr>
          <w:rFonts w:ascii="Palatino Linotype" w:hAnsi="Palatino Linotype"/>
          <w:i/>
          <w:sz w:val="22"/>
          <w:szCs w:val="22"/>
        </w:rPr>
        <w:t>Publicidade</w:t>
      </w:r>
      <w:r>
        <w:rPr>
          <w:rFonts w:ascii="Palatino Linotype" w:hAnsi="Palatino Linotype"/>
          <w:sz w:val="22"/>
          <w:szCs w:val="22"/>
        </w:rPr>
        <w:t>. Os editais de convocação e as atas de assembleias gerais de Debenturistas deverão ser publicados no DOESP e no jornal “Folha de São Paulo”, bem como divulgados nos websites da Companhia e da CVM, na forma da legislação aplicável. Os demais atos e decisões relativos às Debêntures deverão ser comunicados, na forma de aviso, no portal “Folha de São Paulo”, bem como nos websites da Companhia e da CVM, na forma da legislação aplicável. A Companhia poderá alterar os meios de comunicação previstos nesta Cláusula, mediante comunicação por escrito ao Agente Fiduciário e a publicação ou divulgação, na forma de aviso, no jornal ou no portal a ser substituído, conforme o caso, e nos websites da Companhia e da CVM.</w:t>
      </w:r>
      <w:bookmarkEnd w:id="93"/>
      <w:bookmarkEnd w:id="94"/>
    </w:p>
    <w:p w:rsidR="00DE78B2" w:rsidRDefault="00DE78B2">
      <w:pPr>
        <w:jc w:val="left"/>
        <w:rPr>
          <w:rFonts w:ascii="Palatino Linotype" w:hAnsi="Palatino Linotype"/>
          <w:sz w:val="22"/>
          <w:szCs w:val="22"/>
        </w:rPr>
      </w:pPr>
      <w:bookmarkStart w:id="95" w:name="h.1rvwp1q" w:colFirst="0" w:colLast="0"/>
      <w:bookmarkEnd w:id="95"/>
    </w:p>
    <w:p w:rsidR="00DE78B2" w:rsidRDefault="00791406">
      <w:pPr>
        <w:keepNext/>
        <w:numPr>
          <w:ilvl w:val="0"/>
          <w:numId w:val="10"/>
        </w:numPr>
        <w:tabs>
          <w:tab w:val="clear" w:pos="709"/>
        </w:tabs>
        <w:rPr>
          <w:rFonts w:ascii="Palatino Linotype" w:hAnsi="Palatino Linotype"/>
          <w:smallCaps/>
          <w:sz w:val="22"/>
          <w:szCs w:val="22"/>
          <w:u w:val="single"/>
        </w:rPr>
      </w:pPr>
      <w:bookmarkStart w:id="96" w:name="h.4bvk7pj" w:colFirst="0" w:colLast="0"/>
      <w:bookmarkEnd w:id="96"/>
      <w:r>
        <w:rPr>
          <w:rFonts w:ascii="Palatino Linotype" w:hAnsi="Palatino Linotype"/>
          <w:smallCaps/>
          <w:sz w:val="22"/>
          <w:szCs w:val="22"/>
          <w:u w:val="single"/>
        </w:rPr>
        <w:t>Obrigações Adicionais da Companhia</w:t>
      </w:r>
    </w:p>
    <w:p w:rsidR="00DE78B2" w:rsidRDefault="00791406">
      <w:pPr>
        <w:numPr>
          <w:ilvl w:val="1"/>
          <w:numId w:val="10"/>
        </w:numPr>
        <w:tabs>
          <w:tab w:val="clear" w:pos="709"/>
        </w:tabs>
        <w:rPr>
          <w:rFonts w:ascii="Palatino Linotype" w:hAnsi="Palatino Linotype"/>
          <w:smallCaps/>
          <w:sz w:val="22"/>
          <w:szCs w:val="22"/>
          <w:u w:val="single"/>
        </w:rPr>
      </w:pPr>
      <w:bookmarkStart w:id="97" w:name="h.2r0uhxc" w:colFirst="0" w:colLast="0"/>
      <w:bookmarkStart w:id="98" w:name="_Ref437375415"/>
      <w:bookmarkEnd w:id="97"/>
      <w:r>
        <w:rPr>
          <w:rFonts w:ascii="Palatino Linotype" w:hAnsi="Palatino Linotype"/>
          <w:sz w:val="22"/>
          <w:szCs w:val="22"/>
        </w:rPr>
        <w:t>A Companhia está adicionalmente obrigada a:</w:t>
      </w:r>
      <w:bookmarkEnd w:id="98"/>
    </w:p>
    <w:p w:rsidR="00DE78B2" w:rsidRDefault="00791406">
      <w:pPr>
        <w:numPr>
          <w:ilvl w:val="2"/>
          <w:numId w:val="17"/>
        </w:numPr>
        <w:rPr>
          <w:rFonts w:ascii="Palatino Linotype" w:hAnsi="Palatino Linotype"/>
          <w:sz w:val="22"/>
          <w:szCs w:val="22"/>
        </w:rPr>
      </w:pPr>
      <w:bookmarkStart w:id="99" w:name="h.1664s55" w:colFirst="0" w:colLast="0"/>
      <w:bookmarkStart w:id="100" w:name="_Ref437376652"/>
      <w:bookmarkEnd w:id="99"/>
      <w:r>
        <w:rPr>
          <w:rFonts w:ascii="Palatino Linotype" w:hAnsi="Palatino Linotype"/>
          <w:sz w:val="22"/>
          <w:szCs w:val="22"/>
        </w:rPr>
        <w:t>disponibilizar em sua página na Internet e na página da CVM na Internet:</w:t>
      </w:r>
      <w:bookmarkEnd w:id="100"/>
    </w:p>
    <w:p w:rsidR="00DE78B2" w:rsidRDefault="00791406">
      <w:pPr>
        <w:numPr>
          <w:ilvl w:val="3"/>
          <w:numId w:val="17"/>
        </w:numPr>
        <w:rPr>
          <w:rFonts w:ascii="Palatino Linotype" w:hAnsi="Palatino Linotype"/>
          <w:sz w:val="22"/>
          <w:szCs w:val="22"/>
        </w:rPr>
      </w:pPr>
      <w:bookmarkStart w:id="101" w:name="h.3q5sasy" w:colFirst="0" w:colLast="0"/>
      <w:bookmarkStart w:id="102" w:name="_Ref437376655"/>
      <w:bookmarkEnd w:id="101"/>
      <w:r>
        <w:rPr>
          <w:rFonts w:ascii="Palatino Linotype" w:hAnsi="Palatino Linotype"/>
          <w:sz w:val="22"/>
          <w:szCs w:val="22"/>
        </w:rPr>
        <w:t>na data em que ocorrer primeiro entre (1) o decurso de 3 (três) meses contados da data de término de cada exercício social ou (2) a data da efetiva divulgação, cópia das demonstrações financeiras consolidadas da Companhia auditadas por auditor independente registrado na CVM ("</w:t>
      </w:r>
      <w:r>
        <w:rPr>
          <w:rFonts w:ascii="Palatino Linotype" w:hAnsi="Palatino Linotype"/>
          <w:sz w:val="22"/>
          <w:szCs w:val="22"/>
          <w:u w:val="single"/>
        </w:rPr>
        <w:t>Auditor Independente</w:t>
      </w:r>
      <w:r>
        <w:rPr>
          <w:rFonts w:ascii="Palatino Linotype" w:hAnsi="Palatino Linotype"/>
          <w:sz w:val="22"/>
          <w:szCs w:val="22"/>
        </w:rPr>
        <w:t>"), relativas ao respectivo exercício social, preparadas de acordo com a Lei das Sociedades por Ações e com as regras emitidas pela CVM ("</w:t>
      </w:r>
      <w:r>
        <w:rPr>
          <w:rFonts w:ascii="Palatino Linotype" w:hAnsi="Palatino Linotype"/>
          <w:sz w:val="22"/>
          <w:szCs w:val="22"/>
          <w:u w:val="single"/>
        </w:rPr>
        <w:t>Demonstrações Financeiras Consolidadas Auditadas da Companhia</w:t>
      </w:r>
      <w:r>
        <w:rPr>
          <w:rFonts w:ascii="Palatino Linotype" w:hAnsi="Palatino Linotype"/>
          <w:sz w:val="22"/>
          <w:szCs w:val="22"/>
        </w:rPr>
        <w:t>");</w:t>
      </w:r>
      <w:bookmarkEnd w:id="102"/>
    </w:p>
    <w:p w:rsidR="00DE78B2" w:rsidRDefault="00791406">
      <w:pPr>
        <w:numPr>
          <w:ilvl w:val="3"/>
          <w:numId w:val="17"/>
        </w:numPr>
        <w:rPr>
          <w:rFonts w:ascii="Palatino Linotype" w:hAnsi="Palatino Linotype"/>
          <w:sz w:val="22"/>
          <w:szCs w:val="22"/>
        </w:rPr>
      </w:pPr>
      <w:bookmarkStart w:id="103" w:name="h.25b2l0r" w:colFirst="0" w:colLast="0"/>
      <w:bookmarkStart w:id="104" w:name="_Ref437376656"/>
      <w:bookmarkEnd w:id="103"/>
      <w:r>
        <w:rPr>
          <w:rFonts w:ascii="Palatino Linotype" w:hAnsi="Palatino Linotype"/>
          <w:sz w:val="22"/>
          <w:szCs w:val="22"/>
        </w:rPr>
        <w:lastRenderedPageBreak/>
        <w:t>na data em que ocorrer primeiro entre (1) o decurso de 45 (quarenta e cinco) dias contados da data de término de cada trimestre de seu exercício social (exceto pelo último trimestre de seu exercício social) e a data da efetiva divulgação, cópia das demonstrações financeiras consolidadas da Companhia com revisão limitada pelo Auditor Independente, relativas ao respectivo trimestre, preparadas de acordo com a Lei das Sociedades por Ações e com as regras emitidas pela CVM ("</w:t>
      </w:r>
      <w:r>
        <w:rPr>
          <w:rFonts w:ascii="Palatino Linotype" w:hAnsi="Palatino Linotype"/>
          <w:sz w:val="22"/>
          <w:szCs w:val="22"/>
          <w:u w:val="single"/>
        </w:rPr>
        <w:t>Demonstrações Financeiras Consolidadas Revisadas da Companhia</w:t>
      </w:r>
      <w:r>
        <w:rPr>
          <w:rFonts w:ascii="Palatino Linotype" w:hAnsi="Palatino Linotype"/>
          <w:sz w:val="22"/>
          <w:szCs w:val="22"/>
        </w:rPr>
        <w:t>", sendo as Demonstrações Financeiras Consolidadas Auditadas da Companhia e as Demonstrações Financeiras Consolidadas Revisadas da Companhia, quando referidas indistintamente, "</w:t>
      </w:r>
      <w:r>
        <w:rPr>
          <w:rFonts w:ascii="Palatino Linotype" w:hAnsi="Palatino Linotype"/>
          <w:sz w:val="22"/>
          <w:szCs w:val="22"/>
          <w:u w:val="single"/>
        </w:rPr>
        <w:t>Demonstrações Financeiras Consolidadas da Companhia</w:t>
      </w:r>
      <w:r>
        <w:rPr>
          <w:rFonts w:ascii="Palatino Linotype" w:hAnsi="Palatino Linotype"/>
          <w:sz w:val="22"/>
          <w:szCs w:val="22"/>
        </w:rPr>
        <w:t>"); e</w:t>
      </w:r>
      <w:bookmarkEnd w:id="104"/>
      <w:r>
        <w:rPr>
          <w:rFonts w:ascii="Palatino Linotype" w:hAnsi="Palatino Linotype"/>
          <w:sz w:val="22"/>
          <w:szCs w:val="22"/>
        </w:rPr>
        <w:t xml:space="preserve"> </w:t>
      </w:r>
    </w:p>
    <w:p w:rsidR="00DE78B2" w:rsidRDefault="00791406">
      <w:pPr>
        <w:numPr>
          <w:ilvl w:val="3"/>
          <w:numId w:val="17"/>
        </w:numPr>
        <w:rPr>
          <w:rFonts w:ascii="Palatino Linotype" w:hAnsi="Palatino Linotype"/>
          <w:sz w:val="22"/>
          <w:szCs w:val="22"/>
        </w:rPr>
      </w:pPr>
      <w:r>
        <w:rPr>
          <w:rFonts w:ascii="Palatino Linotype" w:hAnsi="Palatino Linotype"/>
          <w:sz w:val="22"/>
          <w:szCs w:val="22"/>
        </w:rPr>
        <w:t>nos mesmos prazos previstos para o envio dessas informações à CVM, cópia das informações periódicas e eventuais previstas na Instrução da CVM n.º 480, de 7 de dezembro de 2009, conforme alterada;</w:t>
      </w:r>
    </w:p>
    <w:p w:rsidR="00DE78B2" w:rsidRDefault="00791406">
      <w:pPr>
        <w:keepNext/>
        <w:numPr>
          <w:ilvl w:val="2"/>
          <w:numId w:val="17"/>
        </w:numPr>
        <w:rPr>
          <w:rFonts w:ascii="Palatino Linotype" w:hAnsi="Palatino Linotype"/>
          <w:sz w:val="22"/>
          <w:szCs w:val="22"/>
        </w:rPr>
      </w:pPr>
      <w:bookmarkStart w:id="105" w:name="h.kgcv8k" w:colFirst="0" w:colLast="0"/>
      <w:bookmarkStart w:id="106" w:name="_Ref437375438"/>
      <w:bookmarkEnd w:id="105"/>
      <w:r>
        <w:rPr>
          <w:rFonts w:ascii="Palatino Linotype" w:hAnsi="Palatino Linotype"/>
          <w:sz w:val="22"/>
          <w:szCs w:val="22"/>
        </w:rPr>
        <w:t>fornecer ao Agente Fiduciário:</w:t>
      </w:r>
      <w:bookmarkEnd w:id="106"/>
    </w:p>
    <w:p w:rsidR="00DE78B2" w:rsidRDefault="00791406">
      <w:pPr>
        <w:numPr>
          <w:ilvl w:val="3"/>
          <w:numId w:val="17"/>
        </w:numPr>
        <w:rPr>
          <w:rFonts w:ascii="Palatino Linotype" w:hAnsi="Palatino Linotype"/>
          <w:sz w:val="22"/>
          <w:szCs w:val="22"/>
        </w:rPr>
      </w:pPr>
      <w:bookmarkStart w:id="107" w:name="h.34g0dwd" w:colFirst="0" w:colLast="0"/>
      <w:bookmarkStart w:id="108" w:name="_Ref437375440"/>
      <w:bookmarkEnd w:id="107"/>
      <w:r>
        <w:rPr>
          <w:rFonts w:ascii="Palatino Linotype" w:hAnsi="Palatino Linotype"/>
          <w:sz w:val="22"/>
          <w:szCs w:val="22"/>
        </w:rPr>
        <w:t>no prazo de até 5 (cinco) Dias Úteis contados das datas a que se refere o inciso </w:t>
      </w:r>
      <w:r>
        <w:rPr>
          <w:rFonts w:ascii="Palatino Linotype" w:hAnsi="Palatino Linotype"/>
          <w:sz w:val="22"/>
          <w:szCs w:val="22"/>
        </w:rPr>
        <w:fldChar w:fldCharType="begin"/>
      </w:r>
      <w:r>
        <w:rPr>
          <w:rFonts w:ascii="Palatino Linotype" w:hAnsi="Palatino Linotype"/>
          <w:sz w:val="22"/>
          <w:szCs w:val="22"/>
        </w:rPr>
        <w:instrText xml:space="preserve"> REF _Ref437376652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I acima</w:t>
      </w:r>
      <w:r>
        <w:rPr>
          <w:rFonts w:ascii="Palatino Linotype" w:hAnsi="Palatino Linotype"/>
          <w:sz w:val="22"/>
          <w:szCs w:val="22"/>
        </w:rPr>
        <w:fldChar w:fldCharType="end"/>
      </w:r>
      <w:r>
        <w:rPr>
          <w:rFonts w:ascii="Palatino Linotype" w:hAnsi="Palatino Linotype"/>
          <w:sz w:val="22"/>
          <w:szCs w:val="22"/>
        </w:rPr>
        <w:t>, alíneas </w:t>
      </w:r>
      <w:r>
        <w:rPr>
          <w:rFonts w:ascii="Palatino Linotype" w:hAnsi="Palatino Linotype"/>
          <w:sz w:val="22"/>
          <w:szCs w:val="22"/>
        </w:rPr>
        <w:fldChar w:fldCharType="begin"/>
      </w:r>
      <w:r>
        <w:rPr>
          <w:rFonts w:ascii="Palatino Linotype" w:hAnsi="Palatino Linotype"/>
          <w:sz w:val="22"/>
          <w:szCs w:val="22"/>
        </w:rPr>
        <w:instrText xml:space="preserve"> REF _Ref437376655 \n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(a)</w:t>
      </w:r>
      <w:r>
        <w:rPr>
          <w:rFonts w:ascii="Palatino Linotype" w:hAnsi="Palatino Linotype"/>
          <w:sz w:val="22"/>
          <w:szCs w:val="22"/>
        </w:rPr>
        <w:fldChar w:fldCharType="end"/>
      </w:r>
      <w:r>
        <w:rPr>
          <w:rFonts w:ascii="Palatino Linotype" w:hAnsi="Palatino Linotype"/>
          <w:sz w:val="22"/>
          <w:szCs w:val="22"/>
        </w:rPr>
        <w:t xml:space="preserve"> e </w:t>
      </w:r>
      <w:r>
        <w:rPr>
          <w:rFonts w:ascii="Palatino Linotype" w:hAnsi="Palatino Linotype"/>
          <w:sz w:val="22"/>
          <w:szCs w:val="22"/>
        </w:rPr>
        <w:fldChar w:fldCharType="begin"/>
      </w:r>
      <w:r>
        <w:rPr>
          <w:rFonts w:ascii="Palatino Linotype" w:hAnsi="Palatino Linotype"/>
          <w:sz w:val="22"/>
          <w:szCs w:val="22"/>
        </w:rPr>
        <w:instrText xml:space="preserve"> REF _Ref437376656 \n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(b)</w:t>
      </w:r>
      <w:r>
        <w:rPr>
          <w:rFonts w:ascii="Palatino Linotype" w:hAnsi="Palatino Linotype"/>
          <w:sz w:val="22"/>
          <w:szCs w:val="22"/>
        </w:rPr>
        <w:fldChar w:fldCharType="end"/>
      </w:r>
      <w:r>
        <w:rPr>
          <w:rFonts w:ascii="Palatino Linotype" w:hAnsi="Palatino Linotype"/>
          <w:sz w:val="22"/>
          <w:szCs w:val="22"/>
        </w:rPr>
        <w:t>, as rubricas necessárias ao acompanhamento dos Índices Financeiros acompanhadas da demonstração do cálculo do Índice Financeiro pelo Auditor Independente;</w:t>
      </w:r>
      <w:bookmarkEnd w:id="108"/>
    </w:p>
    <w:p w:rsidR="00DE78B2" w:rsidRDefault="00791406">
      <w:pPr>
        <w:numPr>
          <w:ilvl w:val="3"/>
          <w:numId w:val="17"/>
        </w:numPr>
        <w:rPr>
          <w:rFonts w:ascii="Palatino Linotype" w:hAnsi="Palatino Linotype"/>
          <w:sz w:val="22"/>
          <w:szCs w:val="22"/>
        </w:rPr>
      </w:pPr>
      <w:r>
        <w:rPr>
          <w:rFonts w:ascii="Palatino Linotype" w:hAnsi="Palatino Linotype"/>
          <w:sz w:val="22"/>
          <w:szCs w:val="22"/>
        </w:rPr>
        <w:t xml:space="preserve">no prazo de até 5 (cinco) Dias Úteis contados das datas a que se refere o inciso I, alínea (a) acima, declaração firmada por representantes legais da Companhia, na forma de seu estatuto social, acerca da veracidade e ausência de vícios do Índice Financeiro, da veracidade, ausência de vícios e suficiência das informações apresentadas, da inexistência de qualquer inadimplemento, pela Companhia, de qualquer obrigação prevista nessa Escritura de Emissão e da inexistência de qualquer Evento de Inadimplemento, podendo o Agente Fiduciário solicitar à Companhia e/ou ao Auditor Independente todos os eventuais esclarecimentos adicionais que se façam necessários; </w:t>
      </w:r>
    </w:p>
    <w:p w:rsidR="00DE78B2" w:rsidRDefault="00791406">
      <w:pPr>
        <w:numPr>
          <w:ilvl w:val="3"/>
          <w:numId w:val="17"/>
        </w:numPr>
        <w:rPr>
          <w:rFonts w:ascii="Palatino Linotype" w:hAnsi="Palatino Linotype"/>
          <w:sz w:val="22"/>
          <w:szCs w:val="22"/>
        </w:rPr>
      </w:pPr>
      <w:r>
        <w:rPr>
          <w:rFonts w:ascii="Palatino Linotype" w:hAnsi="Palatino Linotype"/>
          <w:sz w:val="22"/>
          <w:szCs w:val="22"/>
        </w:rPr>
        <w:t>no prazo de até 3 (três) Dias Úteis contados da data em que forem realizados, avisos aos Debenturistas, desde que tais avisos não tenham sido disponibilizados publicamente;</w:t>
      </w:r>
    </w:p>
    <w:p w:rsidR="00DE78B2" w:rsidRDefault="00791406">
      <w:pPr>
        <w:numPr>
          <w:ilvl w:val="3"/>
          <w:numId w:val="17"/>
        </w:numPr>
        <w:rPr>
          <w:rFonts w:ascii="Palatino Linotype" w:hAnsi="Palatino Linotype"/>
          <w:sz w:val="22"/>
          <w:szCs w:val="22"/>
        </w:rPr>
      </w:pPr>
      <w:r>
        <w:rPr>
          <w:rFonts w:ascii="Palatino Linotype" w:hAnsi="Palatino Linotype"/>
          <w:sz w:val="22"/>
          <w:szCs w:val="22"/>
        </w:rPr>
        <w:t xml:space="preserve">no prazo de até 3 (três) Dias Úteis contados da data de ciência, informações a respeito da ocorrência de qualquer evento ou situação que implique em Evento de Inadimplemento, ou, no seu entendimento, possa causar um Efeito Adverso Relevante, incluindo, mas não se limitando a qualquer alteração nas condições financeiras, </w:t>
      </w:r>
      <w:r>
        <w:rPr>
          <w:rFonts w:ascii="Palatino Linotype" w:hAnsi="Palatino Linotype"/>
          <w:sz w:val="22"/>
          <w:szCs w:val="22"/>
        </w:rPr>
        <w:lastRenderedPageBreak/>
        <w:t xml:space="preserve">econômicas, comerciais, operacionais, regulatórias ou societárias ou nos negócios da Companhia e/ou de qualquer outra sociedade do Grupo Econômico, bem como quaisquer eventos ou situações, inclusive ações judiciais, procedimentos administrativos ou arbitrais, que: (1) possam afetar negativamente, impossibilitar ou dificultar o cumprimento, pela Companhia, de suas obrigações decorrentes dessa Escritura de Emissão e das Debêntures; ou (2) façam com que as Demonstrações Financeiras Consolidadas da Companhia não mais reflitam a real condição financeira da Companhia; </w:t>
      </w:r>
    </w:p>
    <w:p w:rsidR="00DE78B2" w:rsidRDefault="00791406">
      <w:pPr>
        <w:numPr>
          <w:ilvl w:val="3"/>
          <w:numId w:val="17"/>
        </w:numPr>
        <w:rPr>
          <w:rFonts w:ascii="Palatino Linotype" w:hAnsi="Palatino Linotype"/>
          <w:sz w:val="22"/>
          <w:szCs w:val="22"/>
        </w:rPr>
      </w:pPr>
      <w:r>
        <w:rPr>
          <w:rFonts w:ascii="Palatino Linotype" w:hAnsi="Palatino Linotype"/>
          <w:sz w:val="22"/>
          <w:szCs w:val="22"/>
        </w:rPr>
        <w:t>no prazo de até 3 (três) Dias Úteis contados da solicitação pelo Agente Fiduciário, os documentos e informações sobre quaisquer autuações pelos órgãos governamentais, de caráter fiscal, ambiental (e socioambiental), trabalhista relativa a saúde e segurança ocupacional, regulatório, de defesa da concorrência, entre outros, em relação à Companhia e/ou qualquer outra sociedade do Grupo Econômico, impondo sanções ou penalidades;</w:t>
      </w:r>
    </w:p>
    <w:p w:rsidR="00DE78B2" w:rsidRDefault="00791406">
      <w:pPr>
        <w:numPr>
          <w:ilvl w:val="3"/>
          <w:numId w:val="17"/>
        </w:numPr>
        <w:rPr>
          <w:rFonts w:ascii="Palatino Linotype" w:hAnsi="Palatino Linotype"/>
          <w:sz w:val="22"/>
          <w:szCs w:val="22"/>
        </w:rPr>
      </w:pPr>
      <w:r>
        <w:rPr>
          <w:rFonts w:ascii="Palatino Linotype" w:hAnsi="Palatino Linotype"/>
          <w:sz w:val="22"/>
          <w:szCs w:val="22"/>
        </w:rPr>
        <w:t>imediatamente, por escrito, detalhes de qualquer violação relativa às Leis Anticorrupção (conforme abaixo definidas) que eventualmente venha a ocorrer pela Emissora, por qualquer sociedade do Grupo Econômico e/ou por seus respectivos representantes;</w:t>
      </w:r>
    </w:p>
    <w:p w:rsidR="00DE78B2" w:rsidRDefault="00791406">
      <w:pPr>
        <w:numPr>
          <w:ilvl w:val="3"/>
          <w:numId w:val="17"/>
        </w:numPr>
        <w:rPr>
          <w:rFonts w:ascii="Palatino Linotype" w:hAnsi="Palatino Linotype"/>
          <w:sz w:val="22"/>
          <w:szCs w:val="22"/>
        </w:rPr>
      </w:pPr>
      <w:r>
        <w:rPr>
          <w:rFonts w:ascii="Palatino Linotype" w:hAnsi="Palatino Linotype"/>
          <w:sz w:val="22"/>
          <w:szCs w:val="22"/>
        </w:rPr>
        <w:t>no prazo de até 5 (cinco) Dias Úteis contados da data de recebimento da respectiva solicitação, informações e/ou documentos que venham razoavelmente ser solicitados pelo Agente Fiduciário;</w:t>
      </w:r>
    </w:p>
    <w:p w:rsidR="00DE78B2" w:rsidRDefault="00791406">
      <w:pPr>
        <w:numPr>
          <w:ilvl w:val="3"/>
          <w:numId w:val="17"/>
        </w:numPr>
        <w:rPr>
          <w:rFonts w:ascii="Palatino Linotype" w:hAnsi="Palatino Linotype"/>
          <w:sz w:val="22"/>
          <w:szCs w:val="22"/>
        </w:rPr>
      </w:pPr>
      <w:r>
        <w:rPr>
          <w:rFonts w:ascii="Palatino Linotype" w:hAnsi="Palatino Linotype"/>
          <w:sz w:val="22"/>
          <w:szCs w:val="22"/>
        </w:rPr>
        <w:t>no prazo de até 5 (cinco) Dias Úteis contados da data da respectiva inscrição na JUCESP, uma via original desta Escritura de Emissão e de seus aditamentos;</w:t>
      </w:r>
    </w:p>
    <w:p w:rsidR="00DE78B2" w:rsidRDefault="00791406">
      <w:pPr>
        <w:numPr>
          <w:ilvl w:val="3"/>
          <w:numId w:val="17"/>
        </w:numPr>
        <w:rPr>
          <w:rFonts w:ascii="Palatino Linotype" w:hAnsi="Palatino Linotype"/>
          <w:sz w:val="22"/>
          <w:szCs w:val="22"/>
        </w:rPr>
      </w:pPr>
      <w:bookmarkStart w:id="109" w:name="h.1jlao46" w:colFirst="0" w:colLast="0"/>
      <w:bookmarkEnd w:id="109"/>
      <w:r>
        <w:rPr>
          <w:rFonts w:ascii="Palatino Linotype" w:hAnsi="Palatino Linotype"/>
          <w:sz w:val="22"/>
          <w:szCs w:val="22"/>
        </w:rPr>
        <w:t xml:space="preserve">no prazo de até 5 (cinco) Dias Úteis contados da data de veiculação, cópia do relatório de reavaliação anual da agência classificadora de risco das Debêntures, contratada na forma do inciso </w:t>
      </w:r>
      <w:r>
        <w:rPr>
          <w:rFonts w:ascii="Palatino Linotype" w:hAnsi="Palatino Linotype"/>
          <w:sz w:val="22"/>
          <w:szCs w:val="22"/>
        </w:rPr>
        <w:fldChar w:fldCharType="begin"/>
      </w:r>
      <w:r>
        <w:rPr>
          <w:rFonts w:ascii="Palatino Linotype" w:hAnsi="Palatino Linotype"/>
          <w:sz w:val="22"/>
          <w:szCs w:val="22"/>
        </w:rPr>
        <w:instrText xml:space="preserve"> REF _Ref533028260 \r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XVI</w:t>
      </w:r>
      <w:r>
        <w:rPr>
          <w:rFonts w:ascii="Palatino Linotype" w:hAnsi="Palatino Linotype"/>
          <w:sz w:val="22"/>
          <w:szCs w:val="22"/>
        </w:rPr>
        <w:fldChar w:fldCharType="end"/>
      </w:r>
      <w:r>
        <w:rPr>
          <w:rFonts w:ascii="Palatino Linotype" w:hAnsi="Palatino Linotype"/>
          <w:sz w:val="22"/>
          <w:szCs w:val="22"/>
        </w:rPr>
        <w:t xml:space="preserve"> abaixo;</w:t>
      </w:r>
    </w:p>
    <w:p w:rsidR="00DE78B2" w:rsidRDefault="00791406">
      <w:pPr>
        <w:numPr>
          <w:ilvl w:val="3"/>
          <w:numId w:val="17"/>
        </w:numPr>
        <w:rPr>
          <w:rFonts w:ascii="Palatino Linotype" w:hAnsi="Palatino Linotype"/>
          <w:sz w:val="22"/>
          <w:szCs w:val="22"/>
        </w:rPr>
      </w:pPr>
      <w:r>
        <w:rPr>
          <w:rFonts w:ascii="Palatino Linotype" w:hAnsi="Palatino Linotype"/>
          <w:sz w:val="22"/>
          <w:szCs w:val="22"/>
        </w:rPr>
        <w:t xml:space="preserve">no prazo de até 10 (dez) Dias Úteis contados da data de utilização dos recursos obtidos com a Emissão, declaração firmada por representantes legais da Companhia acerca da utilização dos recursos líquidos obtidos com a Emissão nos termos da Cláusula </w:t>
      </w:r>
      <w:r>
        <w:rPr>
          <w:rFonts w:ascii="Palatino Linotype" w:hAnsi="Palatino Linotype"/>
          <w:sz w:val="22"/>
          <w:szCs w:val="22"/>
        </w:rPr>
        <w:fldChar w:fldCharType="begin"/>
      </w:r>
      <w:r>
        <w:rPr>
          <w:rFonts w:ascii="Palatino Linotype" w:hAnsi="Palatino Linotype"/>
          <w:sz w:val="22"/>
          <w:szCs w:val="22"/>
        </w:rPr>
        <w:instrText xml:space="preserve"> REF _Ref437375366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4 acima</w:t>
      </w:r>
      <w:r>
        <w:rPr>
          <w:rFonts w:ascii="Palatino Linotype" w:hAnsi="Palatino Linotype"/>
          <w:sz w:val="22"/>
          <w:szCs w:val="22"/>
        </w:rPr>
        <w:fldChar w:fldCharType="end"/>
      </w:r>
      <w:r>
        <w:rPr>
          <w:rFonts w:ascii="Palatino Linotype" w:hAnsi="Palatino Linotype"/>
          <w:sz w:val="22"/>
          <w:szCs w:val="22"/>
        </w:rPr>
        <w:t>;</w:t>
      </w:r>
    </w:p>
    <w:p w:rsidR="00DE78B2" w:rsidRDefault="00791406">
      <w:pPr>
        <w:numPr>
          <w:ilvl w:val="3"/>
          <w:numId w:val="17"/>
        </w:numPr>
        <w:rPr>
          <w:rFonts w:ascii="Palatino Linotype" w:hAnsi="Palatino Linotype"/>
          <w:sz w:val="22"/>
          <w:szCs w:val="22"/>
        </w:rPr>
      </w:pPr>
      <w:r>
        <w:rPr>
          <w:rFonts w:ascii="Palatino Linotype" w:hAnsi="Palatino Linotype"/>
          <w:sz w:val="22"/>
          <w:szCs w:val="22"/>
        </w:rPr>
        <w:t xml:space="preserve">em até 10 (dez) Dias Úteis contados do recebimento de solicitação ou no prazo que vier a ser determinado por autoridade governamental, se tal prazo for inferior, qualquer informação com relação às Debêntures que lhe venha a ser solicitada, de maneira razoável, por escrito, pelo Agente Fiduciário, a fim de que este possa cumprir as suas obrigações nos termos desta Escritura de Emissão e da Instrução </w:t>
      </w:r>
      <w:r>
        <w:rPr>
          <w:rFonts w:ascii="Palatino Linotype" w:hAnsi="Palatino Linotype"/>
          <w:sz w:val="22"/>
          <w:szCs w:val="22"/>
        </w:rPr>
        <w:lastRenderedPageBreak/>
        <w:t>da CVM n.º 583, de 20 de dezembro de 2016, conforme alterada ("</w:t>
      </w:r>
      <w:r>
        <w:rPr>
          <w:rFonts w:ascii="Palatino Linotype" w:hAnsi="Palatino Linotype"/>
          <w:sz w:val="22"/>
          <w:szCs w:val="22"/>
          <w:u w:val="single"/>
        </w:rPr>
        <w:t>Instrução CVM 583</w:t>
      </w:r>
      <w:r>
        <w:rPr>
          <w:rFonts w:ascii="Palatino Linotype" w:hAnsi="Palatino Linotype"/>
          <w:sz w:val="22"/>
          <w:szCs w:val="22"/>
        </w:rPr>
        <w:t>");</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manter atualizado seu registro de emissor de valores mobiliários da Companhia perante a CVM;</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submeter, na forma da lei, suas demonstrações financeiras a exame por empresa de auditoria independente registrada na CVM;</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proceder à adequada publicidade dos dados econômico-financeiros, nos termos exigidos pela Lei das Sociedades por Ações e pela regulamentação da CVM, promovendo a publicação de suas demonstrações financeiras, nos termos exigidos pela legislação em vigor;</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 xml:space="preserve">cumprir com todas as obrigações perante a CVM e a B3, incluindo o envio de documentos para prestação de informações que lhes forem solicitadas pelos referidos entes, na forma da lei; </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manter a contabilidade atualizada e efetuar os respectivos registros de acordo com os princípios contábeis, geralmente aceitos no Brasil, bem como não alterar a forma de contabilização atual, exceto por determinação legal ou normas da CVM;</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manter em adequado funcionamento órgão para atender, de forma eficiente, aos Debenturistas;</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manter, bem como fazer com que as Controladas Relevantes mantenham os seus ativos, bens e propriedades relevantes segurados por companhia de seguro de primeira linha, com cobertura dos valores e riscos adequados para a condução de seus negócios e para o valor de seus ativos de acordo com padrões de sociedades do mesmo setor;</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não divulgar ao público informações referentes à Companhia, à Emissão ou às Debêntures em desacordo com a regulamentação aplicável, incluindo, mas não se limitando, ao disposto no artigo 48 da Instrução CVM 400;</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cumprir, e fazer com que suas Controladas Relevantes cumpram, as leis, regulamentos, normas administrativas e determinações dos órgãos governamentais, autarquias ou instâncias judiciais aplicáveis ao exercício de suas atividades, exceto por aqueles questionados de boa-fé nas esferas administrativa e/ou judicial;</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destinar os recursos da Oferta nos termos da Cláusula 4 acima;</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manter, e fazer com que suas Controladas Relevantes mantenham, sempre válidas, eficazes, em perfeita ordem e em pleno vigor, todas as autorizações, concessões, subvenções, alvarás ou licenças (incluindo ambientais) necessárias para o regular exercício das atividades, negócios e operações da Companhia;</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lastRenderedPageBreak/>
        <w:t>manter sempre válidas, eficazes, em perfeita ordem e em pleno vigor todas as autorizações necessárias à celebração desta Escritura de Emissão e ao cumprimento de todas as obrigações aqui previstas;</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 xml:space="preserve">contratar e manter contratados, às suas expensas, os prestadores de serviços inerentes às obrigações previstas nesta Escritura de Emissão, incluindo o Agente Fiduciário, o Escriturador, o Banco Liquidante, o Auditor Independente, a(s) agência(s) de classificação de risco e o ambiente de negociação das Debêntures no mercado secundário (CETIP21); </w:t>
      </w:r>
    </w:p>
    <w:p w:rsidR="00DE78B2" w:rsidRDefault="00791406">
      <w:pPr>
        <w:numPr>
          <w:ilvl w:val="2"/>
          <w:numId w:val="17"/>
        </w:numPr>
        <w:rPr>
          <w:rFonts w:ascii="Palatino Linotype" w:hAnsi="Palatino Linotype"/>
          <w:sz w:val="22"/>
          <w:szCs w:val="22"/>
        </w:rPr>
      </w:pPr>
      <w:bookmarkStart w:id="110" w:name="_Ref533028260"/>
      <w:r>
        <w:rPr>
          <w:rFonts w:ascii="Palatino Linotype" w:hAnsi="Palatino Linotype"/>
          <w:sz w:val="22"/>
          <w:szCs w:val="22"/>
        </w:rPr>
        <w:t>contratar e manter contratada, às suas expensas, pelo menos uma agência de classificação de risco, a ser escolhida entre a Standard &amp; Poor's, a Fitch Ratings ou a Moody's, para realizar a classificação de risco (</w:t>
      </w:r>
      <w:r>
        <w:rPr>
          <w:rFonts w:ascii="Palatino Linotype" w:hAnsi="Palatino Linotype"/>
          <w:i/>
          <w:sz w:val="22"/>
          <w:szCs w:val="22"/>
        </w:rPr>
        <w:t>rating</w:t>
      </w:r>
      <w:r>
        <w:rPr>
          <w:rFonts w:ascii="Palatino Linotype" w:hAnsi="Palatino Linotype"/>
          <w:sz w:val="22"/>
          <w:szCs w:val="22"/>
        </w:rPr>
        <w:t>) das Debêntures, devendo, ainda, com relação a pelo menos uma agência de classificação de risco, (a) atualizar a classificação de risco (</w:t>
      </w:r>
      <w:r>
        <w:rPr>
          <w:rFonts w:ascii="Palatino Linotype" w:hAnsi="Palatino Linotype"/>
          <w:i/>
          <w:sz w:val="22"/>
          <w:szCs w:val="22"/>
        </w:rPr>
        <w:t>rating</w:t>
      </w:r>
      <w:r>
        <w:rPr>
          <w:rFonts w:ascii="Palatino Linotype" w:hAnsi="Palatino Linotype"/>
          <w:sz w:val="22"/>
          <w:szCs w:val="22"/>
        </w:rPr>
        <w:t>) das Debêntures, no mínimo, anualmente, contado da data do respectivo relatório, até a Data de Vencimento; (b) divulgar ou permitir que a agência de classificação de risco divulgue amplamente ao mercado os relatórios com as súmulas das classificações de risco; e (c) comunicar, na mesma data, ao Agente Fiduciário qualquer alteração e o início de qualquer processo de revisão da classificação de risco; observado que, caso a agência de classificação de risco contratada cesse suas atividades no Brasil, tenha seu registro ou reconhecimento, perante a CVM, para atuação como agência de classificação de risco, cancelado, ou, por qualquer motivo, esteja ou seja impedida de emitir a classificação de risco das Debêntures, a Companhia deverá (1) contratar outra agência de classificação de risco sem necessidade de aprovação dos Debenturistas, bastando notificar o Agente Fiduciário, desde que tal agência de classificação de risco seja a Standard &amp; Poor's, a Fitch Ratings ou a Moody's; ou (2) caso a agência de classificação de risco não esteja entre as indicadas no item (1) acima, no prazo de até 5 (cinco) Dias Úteis contados da data em que tomar conhecimento do evento, notificar o Agente Fiduciário e convocar assembleia geral de Debenturistas para que estes definam a agência de classificação de risco substituta;</w:t>
      </w:r>
      <w:bookmarkEnd w:id="110"/>
    </w:p>
    <w:p w:rsidR="00DE78B2" w:rsidRDefault="00791406">
      <w:pPr>
        <w:numPr>
          <w:ilvl w:val="2"/>
          <w:numId w:val="17"/>
        </w:numPr>
        <w:rPr>
          <w:rFonts w:ascii="Palatino Linotype" w:hAnsi="Palatino Linotype"/>
          <w:sz w:val="22"/>
          <w:szCs w:val="22"/>
        </w:rPr>
      </w:pPr>
      <w:r>
        <w:rPr>
          <w:rFonts w:ascii="Palatino Linotype" w:hAnsi="Palatino Linotype"/>
          <w:sz w:val="22"/>
          <w:szCs w:val="22"/>
        </w:rPr>
        <w:t>realizar o recolhimento de todos os tributos que incidam ou venham a incidir sobre as Debêntures que sejam de responsabilidade da Companhia;</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 xml:space="preserve">realizar (a) o pagamento da remuneração do Agente Fiduciário, nos termos da Cláusula </w:t>
      </w:r>
      <w:r>
        <w:rPr>
          <w:rFonts w:ascii="Palatino Linotype" w:hAnsi="Palatino Linotype"/>
          <w:sz w:val="22"/>
          <w:szCs w:val="22"/>
        </w:rPr>
        <w:fldChar w:fldCharType="begin"/>
      </w:r>
      <w:r>
        <w:rPr>
          <w:rFonts w:ascii="Palatino Linotype" w:hAnsi="Palatino Linotype"/>
          <w:sz w:val="22"/>
          <w:szCs w:val="22"/>
        </w:rPr>
        <w:instrText xml:space="preserve"> REF _Ref437375676 \r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8.4</w:t>
      </w:r>
      <w:r>
        <w:rPr>
          <w:rFonts w:ascii="Palatino Linotype" w:hAnsi="Palatino Linotype"/>
          <w:sz w:val="22"/>
          <w:szCs w:val="22"/>
        </w:rPr>
        <w:fldChar w:fldCharType="end"/>
      </w:r>
      <w:r>
        <w:rPr>
          <w:rFonts w:ascii="Palatino Linotype" w:hAnsi="Palatino Linotype"/>
          <w:sz w:val="22"/>
          <w:szCs w:val="22"/>
        </w:rPr>
        <w:t>, inciso I, “a” abaixo; e (b) desde que assim solicitado pelo Agente Fiduciário, o pagamento das despesas devidamente comprovadas incorridas pelo Agente Fiduciário, nos termos da Cláusula 8.4, inciso II abaixo;</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lastRenderedPageBreak/>
        <w:t>notificar, na mesma data, o Agente Fiduciário da convocação, pela Companhia, de qualquer assembleia geral de Debenturistas;</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 xml:space="preserve">convocar, no prazo de até 5 (cinco) Dias Úteis, assembleia geral de Debenturistas para deliberar sobre quaisquer das matérias que sejam do interesse dos Debenturistas, caso o Agente Fiduciário deva fazer, nos termos da lei e/ou desta Escritura de Emissão, mas não o faça no prazo aplicável; </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comparecer, por meio de seus representantes, às assembleias gerais de Debenturistas, sempre que solicitada;</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cumprir e fazer com que qualquer outra sociedade do Grupo Econômico cumpra (a) a legislação e regulamentação ambiental e trabalhista, especialmente relativa à saúde e segurança operacional, e a legislação e regulamentação referente a não utilização de mão de obra infantil e/ou em condições análogas a de escravo, nesse último caso, com a respectiva inclusão no Cadastro de Empregadores previsto na Portaria Interministerial nº 2, de 12 de maio de 2011, do Ministério do Trabalho e Emprego ("</w:t>
      </w:r>
      <w:r>
        <w:rPr>
          <w:rFonts w:ascii="Palatino Linotype" w:hAnsi="Palatino Linotype"/>
          <w:sz w:val="22"/>
          <w:szCs w:val="22"/>
          <w:u w:val="single"/>
        </w:rPr>
        <w:t>Legislação Socioambiental</w:t>
      </w:r>
      <w:r>
        <w:rPr>
          <w:rFonts w:ascii="Palatino Linotype" w:hAnsi="Palatino Linotype"/>
          <w:sz w:val="22"/>
          <w:szCs w:val="22"/>
        </w:rPr>
        <w:t xml:space="preserve">") e (b) a legislação e a regulamentação ambiental, exceto, para os itens (a) e (b), em relação àquelas matérias que estejam sendo discutidas judicial ou administrativamente pela Companhia e/ou por qualquer outra sociedade do Grupo Econômico, desde que tal discussão gere efeito suspensivo com relação à exigibilidade da aplicação de referida norma; </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 xml:space="preserve">observar, cumprir e/ou fazer cumprir, por si, e por suas coligadas e seus administradores, empregados, agentes, representantes, fornecedores, contratados agindo em seu nome e benefício,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mas não limitadas a, Lei do Mercado de Valores Mobiliários, Lei nº 9.613, de 3 de março de 1998, Lei nº 12.529, de 30 de novembro de 2011, Lei nº 12.846, de 1º de agosto de 2013 e Lei nº 13.303, de 30 de junho de 2016, conforme eventualmente alteradas de tempos em tempos, bem como, conforme aplicável, ao </w:t>
      </w:r>
      <w:r>
        <w:rPr>
          <w:rFonts w:ascii="Palatino Linotype" w:hAnsi="Palatino Linotype"/>
          <w:i/>
          <w:sz w:val="22"/>
          <w:szCs w:val="22"/>
        </w:rPr>
        <w:t>U.S. Foreign Corrupt Practices Act of 1977</w:t>
      </w:r>
      <w:r>
        <w:rPr>
          <w:rFonts w:ascii="Palatino Linotype" w:hAnsi="Palatino Linotype"/>
          <w:sz w:val="22"/>
          <w:szCs w:val="22"/>
        </w:rPr>
        <w:t xml:space="preserve"> e ao </w:t>
      </w:r>
      <w:r>
        <w:rPr>
          <w:rFonts w:ascii="Palatino Linotype" w:hAnsi="Palatino Linotype"/>
          <w:i/>
          <w:sz w:val="22"/>
          <w:szCs w:val="22"/>
        </w:rPr>
        <w:t xml:space="preserve">UK Bribery Act </w:t>
      </w:r>
      <w:r>
        <w:rPr>
          <w:rFonts w:ascii="Palatino Linotype" w:hAnsi="Palatino Linotype"/>
          <w:sz w:val="22"/>
          <w:szCs w:val="22"/>
        </w:rPr>
        <w:t>(em conjunto, as "</w:t>
      </w:r>
      <w:r>
        <w:rPr>
          <w:rFonts w:ascii="Palatino Linotype" w:hAnsi="Palatino Linotype"/>
          <w:sz w:val="22"/>
          <w:szCs w:val="22"/>
          <w:u w:val="single"/>
        </w:rPr>
        <w:t>Leis Anticorrupção</w:t>
      </w:r>
      <w:r>
        <w:rPr>
          <w:rFonts w:ascii="Palatino Linotype" w:hAnsi="Palatino Linotype"/>
          <w:sz w:val="22"/>
          <w:szCs w:val="22"/>
        </w:rPr>
        <w:t xml:space="preserve">"), devendo (a) adotar políticas e procedimentos internos que assegurem integral cumprimento das leis acima, nos termos do Decreto nº 8.420, de 18 de março de 2015; (b) dar conhecimento pleno de tais normas a todos os seus profissionais e/ou os demais prestadores de serviços, previamente ao início de sua atuação no âmbito da Oferta; (c) abster-se de praticar atos de corrupção e de agir de forma lesiva à administração pública, nacional ou estrangeira; </w:t>
      </w:r>
      <w:r>
        <w:rPr>
          <w:rFonts w:ascii="Palatino Linotype" w:hAnsi="Palatino Linotype"/>
          <w:sz w:val="22"/>
          <w:szCs w:val="22"/>
        </w:rPr>
        <w:lastRenderedPageBreak/>
        <w:t>(d) manter políticas e procedimentos elaborados para garantir a contínua conformidade com referidas normas e por meio do compromisso e da garantia ora assumidos; e (e) monitorar seus colaboradores, agentes e pessoas ou entidades que estejam agindo por sua conta para garantir a não violação das Leis Anticorrupção;</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 xml:space="preserve">não possuir condenação relevante, na esfera administrativa ou judicial, por violação a quaisquer dispositivos da Lei nº 8.666, de 21 de junho de 1993 e da Lei nº 8.987, de 13 de fevereiro de 1995, conforme eventualmente alteradas de tempos em tempos; e </w:t>
      </w:r>
    </w:p>
    <w:p w:rsidR="00DE78B2" w:rsidRDefault="00791406">
      <w:pPr>
        <w:numPr>
          <w:ilvl w:val="2"/>
          <w:numId w:val="17"/>
        </w:numPr>
        <w:rPr>
          <w:rFonts w:ascii="Palatino Linotype" w:hAnsi="Palatino Linotype"/>
          <w:sz w:val="22"/>
          <w:szCs w:val="22"/>
        </w:rPr>
      </w:pPr>
      <w:r>
        <w:rPr>
          <w:rFonts w:ascii="Palatino Linotype" w:hAnsi="Palatino Linotype"/>
          <w:sz w:val="22"/>
          <w:szCs w:val="22"/>
        </w:rPr>
        <w:t>não possuir processos administrativos ou judiciais instaurados relacionados a atos da Companhia e/ou de qualquer outra sociedade do Grupo Econômico, que sejam contrários às Leis Anticorrupção.</w:t>
      </w:r>
    </w:p>
    <w:p w:rsidR="00DE78B2" w:rsidRDefault="00DE78B2">
      <w:pPr>
        <w:rPr>
          <w:rFonts w:ascii="Palatino Linotype" w:hAnsi="Palatino Linotype"/>
          <w:sz w:val="22"/>
          <w:szCs w:val="22"/>
        </w:rPr>
      </w:pPr>
      <w:bookmarkStart w:id="111" w:name="h.43ky6rz" w:colFirst="0" w:colLast="0"/>
      <w:bookmarkStart w:id="112" w:name="h.2iq8gzs" w:colFirst="0" w:colLast="0"/>
      <w:bookmarkEnd w:id="111"/>
      <w:bookmarkEnd w:id="112"/>
    </w:p>
    <w:p w:rsidR="00DE78B2" w:rsidRDefault="00791406">
      <w:pPr>
        <w:keepNext/>
        <w:numPr>
          <w:ilvl w:val="0"/>
          <w:numId w:val="10"/>
        </w:numPr>
        <w:tabs>
          <w:tab w:val="clear" w:pos="709"/>
        </w:tabs>
        <w:rPr>
          <w:rFonts w:ascii="Palatino Linotype" w:hAnsi="Palatino Linotype"/>
          <w:smallCaps/>
          <w:sz w:val="22"/>
          <w:szCs w:val="22"/>
          <w:u w:val="single"/>
        </w:rPr>
      </w:pPr>
      <w:r>
        <w:rPr>
          <w:rFonts w:ascii="Palatino Linotype" w:hAnsi="Palatino Linotype"/>
          <w:smallCaps/>
          <w:sz w:val="22"/>
          <w:szCs w:val="22"/>
          <w:u w:val="single"/>
        </w:rPr>
        <w:t>Agente Fiduciário</w:t>
      </w:r>
    </w:p>
    <w:p w:rsidR="00DE78B2" w:rsidRDefault="00791406">
      <w:pPr>
        <w:numPr>
          <w:ilvl w:val="1"/>
          <w:numId w:val="10"/>
        </w:numPr>
        <w:tabs>
          <w:tab w:val="clear" w:pos="709"/>
        </w:tabs>
        <w:rPr>
          <w:rFonts w:ascii="Palatino Linotype" w:hAnsi="Palatino Linotype"/>
          <w:sz w:val="22"/>
          <w:szCs w:val="22"/>
        </w:rPr>
      </w:pPr>
      <w:r>
        <w:rPr>
          <w:rFonts w:ascii="Palatino Linotype" w:hAnsi="Palatino Linotype"/>
          <w:sz w:val="22"/>
          <w:szCs w:val="22"/>
        </w:rPr>
        <w:t>A Companhia nomeia e constitui agente fiduciário da Emissão o Agente Fiduciário, qualificado no preâmbulo desta Escritura de Emissão, que assina nessa qualidade e, neste ato, e na melhor forma de direito, aceita a nomeação para, nos termos da lei e desta Escritura de Emissão, representar a comunhão dos Debenturistas, declarando que:</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é instituição financeira devidamente organizada, constituída e existente sob a forma de sociedade por ações, de acordo com as leis brasileiras;</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o(s) representante(s) legal(is) do Agente Fiduciário que assina(m) esta Escritura de Emissão tem(têm), conforme o caso, poderes societários e/ou delegados para assumir, em nome do Agente Fiduciário, as obrigações aqui previstas e, sendo mandatário(s), tem(têm) os poderes legitimamente outorgados, estando o(s) respectivo(s) mandato(s) em pleno vigor;</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esta Escritura de Emissão e as obrigações aqui previstas constituem obrigações lícitas, válidas, vinculantes e eficazes do Agente Fiduciário, exequíveis de acordo com os seus termos e condições;</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a celebração, os termos e condições desta Escritura de Emissão e o cumprimento das obrigações aqui previstas (a) não infringem o estatuto social do Agente Fiduciário; (b) não infringem qualquer contrato ou instrumento do qual o Agente Fiduciário seja parte e/ou pelo qual </w:t>
      </w:r>
      <w:r>
        <w:rPr>
          <w:rFonts w:ascii="Palatino Linotype" w:hAnsi="Palatino Linotype"/>
          <w:sz w:val="22"/>
          <w:szCs w:val="22"/>
        </w:rPr>
        <w:lastRenderedPageBreak/>
        <w:t>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aceita a função para a qual foi nomeado, assumindo integralmente os deveres e atribuições previstos na legislação específica e nesta Escritura de Emissão;</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conhece e aceita integralmente esta Escritura de Emissão e todos os seus termos e condições;</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verificou a veracidade das informações contidas nesta Escritura de Emissão, com base nas informações prestadas pela Companhia, sendo certo que o Agente Fiduciário não conduziu qualquer procedimento de verificação independente ou adicional da veracidade das informações apresentadas;</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está ciente da regulamentação aplicável emanada do Banco Central do Brasil e da CVM;</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não tem, sob as penas de lei, qualquer impedimento legal, conforme o artigo 66, parágrafo 3º, da Lei das Sociedades por Ações, a Instrução CVM 583 e demais normas aplicáveis, para exercer a função que lhe é conferida;</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não se encontra em nenhuma das situações de conflito de interesse previstas no artigo 6º da Instrução CVM 583;</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não tem qualquer ligação com a Companhia que o impeça de exercer suas funções; e </w:t>
      </w:r>
    </w:p>
    <w:p w:rsidR="00DE78B2" w:rsidRDefault="00791406">
      <w:pPr>
        <w:numPr>
          <w:ilvl w:val="2"/>
          <w:numId w:val="10"/>
        </w:numPr>
        <w:rPr>
          <w:rFonts w:ascii="Palatino Linotype" w:hAnsi="Palatino Linotype"/>
          <w:sz w:val="22"/>
          <w:szCs w:val="22"/>
        </w:rPr>
      </w:pPr>
      <w:bookmarkStart w:id="113" w:name="_Ref379623683"/>
      <w:bookmarkStart w:id="114" w:name="_Ref465696249"/>
      <w:r>
        <w:rPr>
          <w:rFonts w:ascii="Palatino Linotype" w:hAnsi="Palatino Linotype"/>
          <w:sz w:val="22"/>
          <w:szCs w:val="22"/>
        </w:rPr>
        <w:t xml:space="preserve">na data de celebração desta Escritura de Emissão, conforme organograma encaminhado pela Companhia, o Agente Fiduciário identificou que não presta serviços de agente fiduciário em quaisquer outras emissões de valores mobiliários, públicas ou privadas, realizadas pela própria Companhia e/ou por sociedade coligada, Controlada ou integrante do mesmo Grupo Econômico da Emissora. </w:t>
      </w:r>
      <w:bookmarkEnd w:id="113"/>
      <w:bookmarkEnd w:id="114"/>
    </w:p>
    <w:p w:rsidR="00DE78B2" w:rsidRDefault="00791406">
      <w:pPr>
        <w:numPr>
          <w:ilvl w:val="1"/>
          <w:numId w:val="10"/>
        </w:numPr>
        <w:tabs>
          <w:tab w:val="clear" w:pos="709"/>
        </w:tabs>
        <w:rPr>
          <w:rFonts w:ascii="Palatino Linotype" w:hAnsi="Palatino Linotype"/>
          <w:sz w:val="22"/>
          <w:szCs w:val="22"/>
        </w:rPr>
      </w:pPr>
      <w:r>
        <w:rPr>
          <w:rFonts w:ascii="Palatino Linotype" w:hAnsi="Palatino Linotype"/>
          <w:sz w:val="22"/>
          <w:szCs w:val="22"/>
        </w:rPr>
        <w:t>O Agente Fiduciário exercerá suas funções a partir da data de celebração desta Escritura de Emissão ou de eventual aditamento relativo à sua substituição, devendo permanecer no exercício de suas funções até a integral quitação das obrigações da Companhia nos termos desta Escritura de Emissão, ou, ainda, até sua efetiva substituição.</w:t>
      </w:r>
    </w:p>
    <w:p w:rsidR="00DE78B2" w:rsidRDefault="00791406">
      <w:pPr>
        <w:numPr>
          <w:ilvl w:val="1"/>
          <w:numId w:val="10"/>
        </w:numPr>
        <w:tabs>
          <w:tab w:val="clear" w:pos="709"/>
        </w:tabs>
        <w:rPr>
          <w:rFonts w:ascii="Palatino Linotype" w:hAnsi="Palatino Linotype"/>
          <w:sz w:val="22"/>
          <w:szCs w:val="22"/>
        </w:rPr>
      </w:pPr>
      <w:r>
        <w:rPr>
          <w:rFonts w:ascii="Palatino Linotype" w:hAnsi="Palatino Linotype"/>
          <w:sz w:val="22"/>
          <w:szCs w:val="22"/>
        </w:rPr>
        <w:t>Em caso de ausência, impedimentos temporários, renúncia, intervenção, liquidação judicial ou extrajudicial, falência, ou qualquer outro caso de vacância do Agente Fiduciário, aplicam-se as seguintes regras:</w:t>
      </w:r>
    </w:p>
    <w:p w:rsidR="00DE78B2" w:rsidRDefault="00791406">
      <w:pPr>
        <w:numPr>
          <w:ilvl w:val="2"/>
          <w:numId w:val="19"/>
        </w:numPr>
        <w:rPr>
          <w:rFonts w:ascii="Palatino Linotype" w:hAnsi="Palatino Linotype"/>
          <w:sz w:val="22"/>
          <w:szCs w:val="22"/>
        </w:rPr>
      </w:pPr>
      <w:r>
        <w:rPr>
          <w:rFonts w:ascii="Palatino Linotype" w:hAnsi="Palatino Linotype"/>
          <w:sz w:val="22"/>
          <w:szCs w:val="22"/>
        </w:rPr>
        <w:lastRenderedPageBreak/>
        <w:t>os Debenturistas podem substituir o Agente Fiduciário e indicar seu substituto a qualquer tempo após o encerramento da Oferta, em assembleia geral de Debenturistas especialmente convocada para esse fim;</w:t>
      </w:r>
    </w:p>
    <w:p w:rsidR="00DE78B2" w:rsidRDefault="00791406">
      <w:pPr>
        <w:numPr>
          <w:ilvl w:val="2"/>
          <w:numId w:val="19"/>
        </w:numPr>
        <w:rPr>
          <w:rFonts w:ascii="Palatino Linotype" w:hAnsi="Palatino Linotype"/>
          <w:sz w:val="22"/>
          <w:szCs w:val="22"/>
        </w:rPr>
      </w:pPr>
      <w:r>
        <w:rPr>
          <w:rFonts w:ascii="Palatino Linotype" w:hAnsi="Palatino Linotype"/>
          <w:sz w:val="22"/>
          <w:szCs w:val="22"/>
        </w:rPr>
        <w:t>caso o Agente Fiduciário não possa continuar a exercer as suas funções por circunstâncias supervenientes a esta Escritura de Emissão, deverá comunicar imediatamente o fato à Companhia e aos Debenturistas, mediante convocação de assembleia geral de Debenturistas, solicitando sua substituição;</w:t>
      </w:r>
    </w:p>
    <w:p w:rsidR="00DE78B2" w:rsidRDefault="00791406">
      <w:pPr>
        <w:numPr>
          <w:ilvl w:val="2"/>
          <w:numId w:val="19"/>
        </w:numPr>
        <w:rPr>
          <w:rFonts w:ascii="Palatino Linotype" w:hAnsi="Palatino Linotype"/>
          <w:sz w:val="22"/>
          <w:szCs w:val="22"/>
        </w:rPr>
      </w:pPr>
      <w:r>
        <w:rPr>
          <w:rFonts w:ascii="Palatino Linotype" w:hAnsi="Palatino Linotype"/>
          <w:sz w:val="22"/>
          <w:szCs w:val="22"/>
        </w:rPr>
        <w:t>caso o Agente Fiduciário renuncie às suas funções, deverá permanecer no exercício de suas funções até que uma instituição substituta seja indicada pela Companhia e aprovada pela assembleia geral de Debenturistas, e assuma efetivamente as suas funções;</w:t>
      </w:r>
    </w:p>
    <w:p w:rsidR="00DE78B2" w:rsidRDefault="00791406">
      <w:pPr>
        <w:numPr>
          <w:ilvl w:val="2"/>
          <w:numId w:val="19"/>
        </w:numPr>
        <w:rPr>
          <w:rFonts w:ascii="Palatino Linotype" w:hAnsi="Palatino Linotype"/>
          <w:sz w:val="22"/>
          <w:szCs w:val="22"/>
        </w:rPr>
      </w:pPr>
      <w:bookmarkStart w:id="115" w:name="_Ref535534103"/>
      <w:r>
        <w:rPr>
          <w:rFonts w:ascii="Palatino Linotype" w:hAnsi="Palatino Linotype"/>
          <w:sz w:val="22"/>
          <w:szCs w:val="22"/>
        </w:rPr>
        <w:t>será realizada, no prazo máximo de 30 (trinta) dias contados da data do evento que a determinar, assembleia geral de Debenturistas, para a escolha do novo agente fiduciário, que deverá ser convocada pelo próprio Agente Fiduciário a ser substituído, podendo ser convocada por Debenturistas representando, no mínimo, 10% (dez por cento) das Debêntures em circulação; na hipótese da convocação não ocorrer no prazo de até 15 (quinze) dias antes do término do prazo aqui previsto, caberá à Companhia realizá-la; em casos excepcionais, a CVM pode proceder à convocação da assembleia geral de Debenturistas para a escolha do novo agente fiduciário ou nomear substituto provisório;</w:t>
      </w:r>
      <w:bookmarkEnd w:id="115"/>
    </w:p>
    <w:p w:rsidR="00DE78B2" w:rsidRDefault="00791406">
      <w:pPr>
        <w:numPr>
          <w:ilvl w:val="2"/>
          <w:numId w:val="19"/>
        </w:numPr>
        <w:rPr>
          <w:rFonts w:ascii="Palatino Linotype" w:hAnsi="Palatino Linotype"/>
          <w:sz w:val="22"/>
          <w:szCs w:val="22"/>
        </w:rPr>
      </w:pPr>
      <w:r>
        <w:rPr>
          <w:rFonts w:ascii="Palatino Linotype" w:hAnsi="Palatino Linotype"/>
          <w:sz w:val="22"/>
          <w:szCs w:val="22"/>
        </w:rPr>
        <w:t>a substituição do Agente Fiduciário deverá ser comunicada à CVM no prazo de até 7 (sete) Dias Úteis contados da data de inscrição do aditamento a esta Escritura de Emissão na JUCESP, juntamente com a declaração e as demais informações exigidas no artigo 5º, caput e parágrafo 1º, da Instrução CVM 583;</w:t>
      </w:r>
    </w:p>
    <w:p w:rsidR="00DE78B2" w:rsidRDefault="00791406">
      <w:pPr>
        <w:numPr>
          <w:ilvl w:val="2"/>
          <w:numId w:val="19"/>
        </w:numPr>
        <w:rPr>
          <w:rFonts w:ascii="Palatino Linotype" w:hAnsi="Palatino Linotype"/>
          <w:sz w:val="22"/>
          <w:szCs w:val="22"/>
        </w:rPr>
      </w:pPr>
      <w:r>
        <w:rPr>
          <w:rFonts w:ascii="Palatino Linotype" w:hAnsi="Palatino Linotype"/>
          <w:sz w:val="22"/>
          <w:szCs w:val="22"/>
        </w:rPr>
        <w:t>os pagamentos ao Agente Fiduciário substituído serão realizados observando-se a proporcionalidade ao período da efetiva prestação dos serviços;</w:t>
      </w:r>
    </w:p>
    <w:p w:rsidR="00DE78B2" w:rsidRDefault="00791406">
      <w:pPr>
        <w:numPr>
          <w:ilvl w:val="2"/>
          <w:numId w:val="19"/>
        </w:numPr>
        <w:rPr>
          <w:rFonts w:ascii="Palatino Linotype" w:hAnsi="Palatino Linotype"/>
          <w:sz w:val="22"/>
          <w:szCs w:val="22"/>
        </w:rPr>
      </w:pPr>
      <w:r>
        <w:rPr>
          <w:rFonts w:ascii="Palatino Linotype" w:hAnsi="Palatino Linotype"/>
          <w:sz w:val="22"/>
          <w:szCs w:val="22"/>
        </w:rPr>
        <w:t>o agente fiduciário substituto fará jus à mesma remuneração percebida pelo anterior, caso (a) a Companhia não tenha concordado com o novo valor da remuneração do agente fiduciário proposto pela assembleia geral de Debenturistas a que se refere o inciso </w:t>
      </w:r>
      <w:r>
        <w:rPr>
          <w:rFonts w:ascii="Palatino Linotype" w:hAnsi="Palatino Linotype"/>
          <w:sz w:val="22"/>
          <w:szCs w:val="22"/>
        </w:rPr>
        <w:fldChar w:fldCharType="begin"/>
      </w:r>
      <w:r>
        <w:rPr>
          <w:rFonts w:ascii="Palatino Linotype" w:hAnsi="Palatino Linotype"/>
          <w:sz w:val="22"/>
          <w:szCs w:val="22"/>
        </w:rPr>
        <w:instrText xml:space="preserve"> REF _Ref535534103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IV acima</w:t>
      </w:r>
      <w:r>
        <w:rPr>
          <w:rFonts w:ascii="Palatino Linotype" w:hAnsi="Palatino Linotype"/>
          <w:sz w:val="22"/>
          <w:szCs w:val="22"/>
        </w:rPr>
        <w:fldChar w:fldCharType="end"/>
      </w:r>
      <w:r>
        <w:rPr>
          <w:rFonts w:ascii="Palatino Linotype" w:hAnsi="Palatino Linotype"/>
          <w:sz w:val="22"/>
          <w:szCs w:val="22"/>
        </w:rPr>
        <w:t>; ou (b) a assembleia geral de Debenturistas a que se refere o inciso </w:t>
      </w:r>
      <w:r>
        <w:rPr>
          <w:rFonts w:ascii="Palatino Linotype" w:hAnsi="Palatino Linotype"/>
          <w:sz w:val="22"/>
          <w:szCs w:val="22"/>
        </w:rPr>
        <w:fldChar w:fldCharType="begin"/>
      </w:r>
      <w:r>
        <w:rPr>
          <w:rFonts w:ascii="Palatino Linotype" w:hAnsi="Palatino Linotype"/>
          <w:sz w:val="22"/>
          <w:szCs w:val="22"/>
        </w:rPr>
        <w:instrText xml:space="preserve"> REF _Ref535534103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IV acima</w:t>
      </w:r>
      <w:r>
        <w:rPr>
          <w:rFonts w:ascii="Palatino Linotype" w:hAnsi="Palatino Linotype"/>
          <w:sz w:val="22"/>
          <w:szCs w:val="22"/>
        </w:rPr>
        <w:fldChar w:fldCharType="end"/>
      </w:r>
      <w:r>
        <w:rPr>
          <w:rFonts w:ascii="Palatino Linotype" w:hAnsi="Palatino Linotype"/>
          <w:sz w:val="22"/>
          <w:szCs w:val="22"/>
        </w:rPr>
        <w:t xml:space="preserve"> não delibere sobre a matéria;</w:t>
      </w:r>
    </w:p>
    <w:p w:rsidR="00DE78B2" w:rsidRDefault="00791406">
      <w:pPr>
        <w:numPr>
          <w:ilvl w:val="2"/>
          <w:numId w:val="19"/>
        </w:numPr>
        <w:rPr>
          <w:rFonts w:ascii="Palatino Linotype" w:hAnsi="Palatino Linotype"/>
          <w:sz w:val="22"/>
          <w:szCs w:val="22"/>
        </w:rPr>
      </w:pPr>
      <w:r>
        <w:rPr>
          <w:rFonts w:ascii="Palatino Linotype" w:hAnsi="Palatino Linotype"/>
          <w:sz w:val="22"/>
          <w:szCs w:val="22"/>
        </w:rPr>
        <w:t>o agente fiduciário substituto deverá, imediatamente após sua nomeação, comunicá-la à Companhia e aos Debenturistas nos termos da Cláusula </w:t>
      </w:r>
      <w:r>
        <w:rPr>
          <w:rFonts w:ascii="Palatino Linotype" w:hAnsi="Palatino Linotype"/>
          <w:sz w:val="22"/>
          <w:szCs w:val="22"/>
        </w:rPr>
        <w:fldChar w:fldCharType="begin"/>
      </w:r>
      <w:r>
        <w:rPr>
          <w:rFonts w:ascii="Palatino Linotype" w:hAnsi="Palatino Linotype"/>
          <w:sz w:val="22"/>
          <w:szCs w:val="22"/>
        </w:rPr>
        <w:instrText xml:space="preserve"> REF _Ref533029668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6.25.7 acima</w:t>
      </w:r>
      <w:r>
        <w:rPr>
          <w:rFonts w:ascii="Palatino Linotype" w:hAnsi="Palatino Linotype"/>
          <w:sz w:val="22"/>
          <w:szCs w:val="22"/>
        </w:rPr>
        <w:fldChar w:fldCharType="end"/>
      </w:r>
      <w:r>
        <w:rPr>
          <w:rFonts w:ascii="Palatino Linotype" w:hAnsi="Palatino Linotype"/>
          <w:sz w:val="22"/>
          <w:szCs w:val="22"/>
        </w:rPr>
        <w:t xml:space="preserve"> e da Cláusula </w:t>
      </w:r>
      <w:r>
        <w:rPr>
          <w:rFonts w:ascii="Palatino Linotype" w:hAnsi="Palatino Linotype"/>
          <w:sz w:val="22"/>
          <w:szCs w:val="22"/>
        </w:rPr>
        <w:fldChar w:fldCharType="begin"/>
      </w:r>
      <w:r>
        <w:rPr>
          <w:rFonts w:ascii="Palatino Linotype" w:hAnsi="Palatino Linotype"/>
          <w:sz w:val="22"/>
          <w:szCs w:val="22"/>
        </w:rPr>
        <w:instrText xml:space="preserve"> REF _Ref533029685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12 abaixo</w:t>
      </w:r>
      <w:r>
        <w:rPr>
          <w:rFonts w:ascii="Palatino Linotype" w:hAnsi="Palatino Linotype"/>
          <w:sz w:val="22"/>
          <w:szCs w:val="22"/>
        </w:rPr>
        <w:fldChar w:fldCharType="end"/>
      </w:r>
      <w:r>
        <w:rPr>
          <w:rFonts w:ascii="Palatino Linotype" w:hAnsi="Palatino Linotype"/>
          <w:sz w:val="22"/>
          <w:szCs w:val="22"/>
        </w:rPr>
        <w:t>; e</w:t>
      </w:r>
    </w:p>
    <w:p w:rsidR="00DE78B2" w:rsidRDefault="00791406">
      <w:pPr>
        <w:numPr>
          <w:ilvl w:val="2"/>
          <w:numId w:val="19"/>
        </w:numPr>
        <w:rPr>
          <w:rFonts w:ascii="Palatino Linotype" w:hAnsi="Palatino Linotype"/>
          <w:sz w:val="22"/>
          <w:szCs w:val="22"/>
        </w:rPr>
      </w:pPr>
      <w:r>
        <w:rPr>
          <w:rFonts w:ascii="Palatino Linotype" w:hAnsi="Palatino Linotype"/>
          <w:sz w:val="22"/>
          <w:szCs w:val="22"/>
        </w:rPr>
        <w:lastRenderedPageBreak/>
        <w:t>aplicam-se às hipóteses de substituição do Agente Fiduciário as normas e preceitos emanados da CVM.</w:t>
      </w:r>
    </w:p>
    <w:p w:rsidR="00DE78B2" w:rsidRDefault="00791406">
      <w:pPr>
        <w:numPr>
          <w:ilvl w:val="1"/>
          <w:numId w:val="10"/>
        </w:numPr>
        <w:tabs>
          <w:tab w:val="clear" w:pos="709"/>
        </w:tabs>
        <w:rPr>
          <w:rFonts w:ascii="Palatino Linotype" w:hAnsi="Palatino Linotype"/>
          <w:sz w:val="22"/>
          <w:szCs w:val="22"/>
        </w:rPr>
      </w:pPr>
      <w:bookmarkStart w:id="116" w:name="h.3hv69ve" w:colFirst="0" w:colLast="0"/>
      <w:bookmarkStart w:id="117" w:name="h.1x0gk37" w:colFirst="0" w:colLast="0"/>
      <w:bookmarkStart w:id="118" w:name="_Ref437375676"/>
      <w:bookmarkEnd w:id="116"/>
      <w:bookmarkEnd w:id="117"/>
      <w:r>
        <w:rPr>
          <w:rFonts w:ascii="Palatino Linotype" w:hAnsi="Palatino Linotype"/>
          <w:sz w:val="22"/>
          <w:szCs w:val="22"/>
        </w:rPr>
        <w:t>Pelo desempenho dos deveres e atribuições que lhe competem, nos termos da lei e desta Escritura de Emissão, o Agente Fiduciário, ou a instituição que vier a substituí-lo nessa qualidade:</w:t>
      </w:r>
      <w:bookmarkEnd w:id="118"/>
      <w:r>
        <w:rPr>
          <w:rFonts w:ascii="Palatino Linotype" w:hAnsi="Palatino Linotype"/>
          <w:sz w:val="22"/>
          <w:szCs w:val="22"/>
        </w:rPr>
        <w:t xml:space="preserve"> </w:t>
      </w:r>
    </w:p>
    <w:p w:rsidR="00DE78B2" w:rsidRDefault="00791406">
      <w:pPr>
        <w:numPr>
          <w:ilvl w:val="2"/>
          <w:numId w:val="25"/>
        </w:numPr>
        <w:rPr>
          <w:rFonts w:ascii="Palatino Linotype" w:hAnsi="Palatino Linotype"/>
          <w:sz w:val="22"/>
          <w:szCs w:val="22"/>
        </w:rPr>
      </w:pPr>
      <w:bookmarkStart w:id="119" w:name="h.4h042r0" w:colFirst="0" w:colLast="0"/>
      <w:bookmarkStart w:id="120" w:name="_Ref437375679"/>
      <w:bookmarkEnd w:id="119"/>
      <w:r>
        <w:rPr>
          <w:rFonts w:ascii="Palatino Linotype" w:hAnsi="Palatino Linotype"/>
          <w:sz w:val="22"/>
          <w:szCs w:val="22"/>
        </w:rPr>
        <w:t>receberá uma remuneração:</w:t>
      </w:r>
      <w:bookmarkEnd w:id="120"/>
    </w:p>
    <w:p w:rsidR="00DE78B2" w:rsidRDefault="00791406">
      <w:pPr>
        <w:numPr>
          <w:ilvl w:val="3"/>
          <w:numId w:val="25"/>
        </w:numPr>
        <w:rPr>
          <w:rFonts w:ascii="Palatino Linotype" w:hAnsi="Palatino Linotype"/>
          <w:sz w:val="22"/>
          <w:szCs w:val="22"/>
        </w:rPr>
      </w:pPr>
      <w:bookmarkStart w:id="121" w:name="h.2w5ecyt" w:colFirst="0" w:colLast="0"/>
      <w:bookmarkStart w:id="122" w:name="_Ref437377033"/>
      <w:bookmarkEnd w:id="121"/>
      <w:r>
        <w:rPr>
          <w:rFonts w:ascii="Palatino Linotype" w:hAnsi="Palatino Linotype"/>
          <w:sz w:val="22"/>
          <w:szCs w:val="22"/>
        </w:rPr>
        <w:t>serão devidas parcelas anuais de R$20.000,00 (vinte mil reais), devida pela Companhia, sendo que o primeiro pagamento deverá ser realizado em até 5 (cinco) dias corridos da data de assinatura dos documentos da Emissão, e as demais parcelas serão devidas nas mesmas datas dos anos subsequentes. Tais pagamentos serão devidos até a liquidação integral das Debêntures, caso estas não sejam quitadas na data de seu vencimento;</w:t>
      </w:r>
      <w:bookmarkEnd w:id="122"/>
    </w:p>
    <w:p w:rsidR="00DE78B2" w:rsidRDefault="00791406">
      <w:pPr>
        <w:numPr>
          <w:ilvl w:val="3"/>
          <w:numId w:val="25"/>
        </w:numPr>
        <w:rPr>
          <w:rFonts w:ascii="Palatino Linotype" w:hAnsi="Palatino Linotype"/>
          <w:sz w:val="22"/>
          <w:szCs w:val="22"/>
        </w:rPr>
      </w:pPr>
      <w:r>
        <w:rPr>
          <w:rFonts w:ascii="Palatino Linotype" w:hAnsi="Palatino Linotype"/>
          <w:sz w:val="22"/>
          <w:szCs w:val="22"/>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R$500,00 (quinhentos reais) por hora-homem de trabalho dedicado a tais fatos bem como à (i) comentários aos documentos da Emissão durante a estruturação da mesma, caso a operação não venha a se efetivar; (ii) execução das garantia, conforme o caso;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(ii) prazos de pagamento e (iii) condições relacionadas ao vencimento antecipado. Os eventos relacionados a amortização das Debêntures não são considerados reestruturação das Debêntures;</w:t>
      </w:r>
    </w:p>
    <w:p w:rsidR="00DE78B2" w:rsidRDefault="00791406">
      <w:pPr>
        <w:numPr>
          <w:ilvl w:val="3"/>
          <w:numId w:val="25"/>
        </w:numPr>
        <w:rPr>
          <w:rFonts w:ascii="Palatino Linotype" w:hAnsi="Palatino Linotype"/>
          <w:sz w:val="22"/>
          <w:szCs w:val="22"/>
        </w:rPr>
      </w:pPr>
      <w:r>
        <w:rPr>
          <w:rFonts w:ascii="Palatino Linotype" w:hAnsi="Palatino Linotype"/>
          <w:sz w:val="22"/>
          <w:szCs w:val="22"/>
        </w:rPr>
        <w:t>no caso de celebração de aditamentos ao instrumento de emissão bem como nas horas externas ao escritório do Agente Fiduciário, serão cobradas, adicionalmente, o valor de R$ 500,00 (quinhentos reais) por hora-homem de trabalho dedicado a tais alterações/serviços;</w:t>
      </w:r>
    </w:p>
    <w:p w:rsidR="00DE78B2" w:rsidRDefault="00791406">
      <w:pPr>
        <w:numPr>
          <w:ilvl w:val="3"/>
          <w:numId w:val="25"/>
        </w:numPr>
        <w:rPr>
          <w:rFonts w:ascii="Palatino Linotype" w:hAnsi="Palatino Linotype"/>
          <w:sz w:val="22"/>
          <w:szCs w:val="22"/>
        </w:rPr>
      </w:pPr>
      <w:bookmarkStart w:id="123" w:name="h.1baon6m" w:colFirst="0" w:colLast="0"/>
      <w:bookmarkStart w:id="124" w:name="_Ref437377026"/>
      <w:bookmarkEnd w:id="123"/>
      <w:r>
        <w:rPr>
          <w:rFonts w:ascii="Palatino Linotype" w:hAnsi="Palatino Linotype"/>
          <w:sz w:val="22"/>
          <w:szCs w:val="22"/>
        </w:rPr>
        <w:t>os impostos incidentes sobre a remuneração serão acrescidos as parcelas mencionadas acima nas datas de pagamento. Além disso, todos os valores mencionados acima serão atualizados pelo IGP-M, sempre na menor periodicidade permitida em lei, a partir da data de assinatura do instrumento de emissão;</w:t>
      </w:r>
      <w:bookmarkEnd w:id="124"/>
    </w:p>
    <w:p w:rsidR="00DE78B2" w:rsidRDefault="00791406">
      <w:pPr>
        <w:numPr>
          <w:ilvl w:val="3"/>
          <w:numId w:val="25"/>
        </w:numPr>
        <w:rPr>
          <w:rFonts w:ascii="Palatino Linotype" w:hAnsi="Palatino Linotype"/>
          <w:sz w:val="22"/>
          <w:szCs w:val="22"/>
        </w:rPr>
      </w:pPr>
      <w:bookmarkStart w:id="125" w:name="h.3vac5uf" w:colFirst="0" w:colLast="0"/>
      <w:bookmarkStart w:id="126" w:name="_Ref437375936"/>
      <w:bookmarkEnd w:id="125"/>
      <w:r>
        <w:rPr>
          <w:rFonts w:ascii="Palatino Linotype" w:hAnsi="Palatino Linotype"/>
          <w:sz w:val="22"/>
          <w:szCs w:val="22"/>
        </w:rPr>
        <w:lastRenderedPageBreak/>
        <w:t>acrescida do Imposto Sobre Serviços de Qualquer Natureza – ISSQN, da Contribuição para o Programa de Integração Social – PIS, da Contribuição para o Financiamento da Seguridade Social – COFINS e de quaisquer outros tributos e despesas que venham a incidir sobre a remuneração devida ao Agente Fiduciário, nas alíquotas vigentes nas datas de cada pagamento, exceto pelo Imposto Sobre a Renda e Proventos de Qualquer Natureza – IR e da Contribuição Social Sobre o Lucro Líquido – CSLL;</w:t>
      </w:r>
      <w:bookmarkEnd w:id="126"/>
    </w:p>
    <w:p w:rsidR="00DE78B2" w:rsidRDefault="00791406">
      <w:pPr>
        <w:numPr>
          <w:ilvl w:val="3"/>
          <w:numId w:val="25"/>
        </w:numPr>
        <w:rPr>
          <w:rFonts w:ascii="Palatino Linotype" w:hAnsi="Palatino Linotype"/>
          <w:sz w:val="22"/>
          <w:szCs w:val="22"/>
        </w:rPr>
      </w:pPr>
      <w:r>
        <w:rPr>
          <w:rFonts w:ascii="Palatino Linotype" w:hAnsi="Palatino Linotype"/>
          <w:sz w:val="22"/>
          <w:szCs w:val="22"/>
        </w:rPr>
        <w:t xml:space="preserve">acrescida, em caso de mora em seu pagamento, independentemente de aviso, notificação ou interpelação judicial ou extrajudicial, sobre os valores em atraso, de (i) juros de mora de 1% (um por cento) ao mês, calculados </w:t>
      </w:r>
      <w:r>
        <w:rPr>
          <w:rFonts w:ascii="Palatino Linotype" w:hAnsi="Palatino Linotype"/>
          <w:i/>
          <w:sz w:val="22"/>
          <w:szCs w:val="22"/>
        </w:rPr>
        <w:t>pro rata temporis</w:t>
      </w:r>
      <w:r>
        <w:rPr>
          <w:rFonts w:ascii="Palatino Linotype" w:hAnsi="Palatino Linotype"/>
          <w:sz w:val="22"/>
          <w:szCs w:val="22"/>
        </w:rPr>
        <w:t xml:space="preserve"> desde a data de inadimplemento até a data do efetivo pagamento; (ii) multa moratória de 2% (dois por cento); e (iii) atualização monetária pelo IPCA, calculada </w:t>
      </w:r>
      <w:r>
        <w:rPr>
          <w:rFonts w:ascii="Palatino Linotype" w:hAnsi="Palatino Linotype"/>
          <w:i/>
          <w:sz w:val="22"/>
          <w:szCs w:val="22"/>
        </w:rPr>
        <w:t>pro rata temporis</w:t>
      </w:r>
      <w:r>
        <w:rPr>
          <w:rFonts w:ascii="Palatino Linotype" w:hAnsi="Palatino Linotype"/>
          <w:sz w:val="22"/>
          <w:szCs w:val="22"/>
        </w:rPr>
        <w:t xml:space="preserve"> desde a data de inadimplemento até a data do efetivo pagamento; e</w:t>
      </w:r>
    </w:p>
    <w:p w:rsidR="00DE78B2" w:rsidRDefault="00791406">
      <w:pPr>
        <w:numPr>
          <w:ilvl w:val="2"/>
          <w:numId w:val="25"/>
        </w:numPr>
        <w:rPr>
          <w:rFonts w:ascii="Palatino Linotype" w:hAnsi="Palatino Linotype"/>
          <w:sz w:val="22"/>
          <w:szCs w:val="22"/>
        </w:rPr>
      </w:pPr>
      <w:bookmarkStart w:id="127" w:name="h.2afmg28" w:colFirst="0" w:colLast="0"/>
      <w:bookmarkStart w:id="128" w:name="_Ref437375710"/>
      <w:bookmarkEnd w:id="127"/>
      <w:r>
        <w:rPr>
          <w:rFonts w:ascii="Palatino Linotype" w:hAnsi="Palatino Linotype"/>
          <w:sz w:val="22"/>
          <w:szCs w:val="22"/>
        </w:rPr>
        <w:t>a remuneração não inclui as despesas 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bookmarkEnd w:id="128"/>
    </w:p>
    <w:p w:rsidR="00DE78B2" w:rsidRDefault="00791406">
      <w:pPr>
        <w:numPr>
          <w:ilvl w:val="2"/>
          <w:numId w:val="25"/>
        </w:numPr>
        <w:rPr>
          <w:rFonts w:ascii="Palatino Linotype" w:hAnsi="Palatino Linotype"/>
          <w:sz w:val="22"/>
          <w:szCs w:val="22"/>
        </w:rPr>
      </w:pPr>
      <w:bookmarkStart w:id="129" w:name="h.pkwqa1" w:colFirst="0" w:colLast="0"/>
      <w:bookmarkStart w:id="130" w:name="_Ref437375944"/>
      <w:bookmarkEnd w:id="129"/>
      <w:r>
        <w:rPr>
          <w:rFonts w:ascii="Palatino Linotype" w:hAnsi="Palatino Linotype"/>
          <w:sz w:val="22"/>
          <w:szCs w:val="22"/>
        </w:rPr>
        <w:t xml:space="preserve">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 </w:t>
      </w:r>
      <w:bookmarkEnd w:id="130"/>
    </w:p>
    <w:p w:rsidR="00DE78B2" w:rsidRDefault="00791406">
      <w:pPr>
        <w:numPr>
          <w:ilvl w:val="2"/>
          <w:numId w:val="25"/>
        </w:numPr>
        <w:rPr>
          <w:rFonts w:ascii="Palatino Linotype" w:hAnsi="Palatino Linotype"/>
          <w:sz w:val="22"/>
          <w:szCs w:val="22"/>
        </w:rPr>
      </w:pPr>
      <w:r>
        <w:rPr>
          <w:rFonts w:ascii="Palatino Linotype" w:hAnsi="Palatino Linotype"/>
          <w:sz w:val="22"/>
          <w:szCs w:val="22"/>
        </w:rPr>
        <w:lastRenderedPageBreak/>
        <w:t>não haverá devolução de valores já recebidos pelo  Agente Fiduciário a título da prestação de serviços, exceto se o valor tiver sido pago incorretamente;</w:t>
      </w:r>
    </w:p>
    <w:p w:rsidR="00DE78B2" w:rsidRDefault="00791406">
      <w:pPr>
        <w:numPr>
          <w:ilvl w:val="2"/>
          <w:numId w:val="25"/>
        </w:numPr>
        <w:rPr>
          <w:rFonts w:ascii="Palatino Linotype" w:hAnsi="Palatino Linotype"/>
          <w:sz w:val="22"/>
          <w:szCs w:val="22"/>
        </w:rPr>
      </w:pPr>
      <w:r>
        <w:rPr>
          <w:rFonts w:ascii="Palatino Linotype" w:hAnsi="Palatino Linotype"/>
          <w:sz w:val="22"/>
          <w:szCs w:val="22"/>
        </w:rPr>
        <w:t>o crédito do Agente Fiduciário por despesas incorridas para proteger direitos e interesses ou realizar créditos dos Debenturistas que não tenha sido saldado na forma prevista no inciso </w:t>
      </w:r>
      <w:r>
        <w:rPr>
          <w:rFonts w:ascii="Palatino Linotype" w:hAnsi="Palatino Linotype"/>
          <w:sz w:val="22"/>
          <w:szCs w:val="22"/>
        </w:rPr>
        <w:fldChar w:fldCharType="begin"/>
      </w:r>
      <w:r>
        <w:rPr>
          <w:rFonts w:ascii="Palatino Linotype" w:hAnsi="Palatino Linotype"/>
          <w:sz w:val="22"/>
          <w:szCs w:val="22"/>
        </w:rPr>
        <w:instrText xml:space="preserve"> REF _Ref437375944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III acima</w:t>
      </w:r>
      <w:r>
        <w:rPr>
          <w:rFonts w:ascii="Palatino Linotype" w:hAnsi="Palatino Linotype"/>
          <w:sz w:val="22"/>
          <w:szCs w:val="22"/>
        </w:rPr>
        <w:fldChar w:fldCharType="end"/>
      </w:r>
      <w:r>
        <w:rPr>
          <w:rFonts w:ascii="Palatino Linotype" w:hAnsi="Palatino Linotype"/>
          <w:sz w:val="22"/>
          <w:szCs w:val="22"/>
        </w:rPr>
        <w:t xml:space="preserve"> será acrescido à dívida da Companhia, tendo preferência sobre estas na ordem de pagamento; e</w:t>
      </w:r>
    </w:p>
    <w:p w:rsidR="00DE78B2" w:rsidRDefault="00791406">
      <w:pPr>
        <w:numPr>
          <w:ilvl w:val="2"/>
          <w:numId w:val="25"/>
        </w:numPr>
        <w:rPr>
          <w:rFonts w:ascii="Palatino Linotype" w:hAnsi="Palatino Linotype"/>
          <w:sz w:val="22"/>
          <w:szCs w:val="22"/>
        </w:rPr>
      </w:pPr>
      <w:r>
        <w:rPr>
          <w:rFonts w:ascii="Palatino Linotype" w:hAnsi="Palatino Linotype"/>
          <w:sz w:val="22"/>
          <w:szCs w:val="22"/>
        </w:rPr>
        <w:t xml:space="preserve">eventuais obrigações adicionais atribuídas ao Agente Fiduciário, alterações nas características ordinárias da operação, ou ainda após a ciência do nome da Emissora facultarão ao Agente Fiduciário a revisão dos honorários ora propostos. </w:t>
      </w:r>
    </w:p>
    <w:p w:rsidR="00DE78B2" w:rsidRDefault="00791406">
      <w:pPr>
        <w:numPr>
          <w:ilvl w:val="1"/>
          <w:numId w:val="10"/>
        </w:numPr>
        <w:tabs>
          <w:tab w:val="clear" w:pos="709"/>
        </w:tabs>
        <w:rPr>
          <w:rFonts w:ascii="Palatino Linotype" w:hAnsi="Palatino Linotype"/>
          <w:sz w:val="22"/>
          <w:szCs w:val="22"/>
        </w:rPr>
      </w:pPr>
      <w:bookmarkStart w:id="131" w:name="h.39kk8xu" w:colFirst="0" w:colLast="0"/>
      <w:bookmarkStart w:id="132" w:name="_Ref437376229"/>
      <w:bookmarkEnd w:id="131"/>
      <w:r>
        <w:rPr>
          <w:rFonts w:ascii="Palatino Linotype" w:hAnsi="Palatino Linotype"/>
          <w:sz w:val="22"/>
          <w:szCs w:val="22"/>
        </w:rPr>
        <w:t>Além de outros previstos em lei, na regulamentação da CVM e nesta Escritura de Emissão, constituem deveres e atribuições do Agente Fiduciário:</w:t>
      </w:r>
      <w:bookmarkEnd w:id="132"/>
    </w:p>
    <w:p w:rsidR="00DE78B2" w:rsidRDefault="00791406">
      <w:pPr>
        <w:numPr>
          <w:ilvl w:val="2"/>
          <w:numId w:val="10"/>
        </w:numPr>
        <w:rPr>
          <w:rFonts w:ascii="Palatino Linotype" w:hAnsi="Palatino Linotype"/>
          <w:sz w:val="22"/>
          <w:szCs w:val="22"/>
        </w:rPr>
      </w:pPr>
      <w:r>
        <w:rPr>
          <w:rFonts w:ascii="Palatino Linotype" w:hAnsi="Palatino Linotype"/>
          <w:sz w:val="22"/>
          <w:szCs w:val="22"/>
        </w:rPr>
        <w:t>responsabilizar-se integralmente pelos serviços contratados, nos termos da legislação vigente;</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custear (a) todas as despesas decorrentes da execução dos seus serviços, incluindo todos os tributos, municipais, estaduais e federais, presentes ou futuros, devidos em decorrência da execução dos seus serviços, observado o disposto na Cláusula </w:t>
      </w:r>
      <w:r>
        <w:rPr>
          <w:rFonts w:ascii="Palatino Linotype" w:hAnsi="Palatino Linotype"/>
          <w:sz w:val="22"/>
          <w:szCs w:val="22"/>
        </w:rPr>
        <w:fldChar w:fldCharType="begin"/>
      </w:r>
      <w:r>
        <w:rPr>
          <w:rFonts w:ascii="Palatino Linotype" w:hAnsi="Palatino Linotype"/>
          <w:sz w:val="22"/>
          <w:szCs w:val="22"/>
        </w:rPr>
        <w:instrText xml:space="preserve"> REF _Ref437375676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8.4 acima</w:t>
      </w:r>
      <w:r>
        <w:rPr>
          <w:rFonts w:ascii="Palatino Linotype" w:hAnsi="Palatino Linotype"/>
          <w:sz w:val="22"/>
          <w:szCs w:val="22"/>
        </w:rPr>
        <w:fldChar w:fldCharType="end"/>
      </w:r>
      <w:r>
        <w:rPr>
          <w:rFonts w:ascii="Palatino Linotype" w:hAnsi="Palatino Linotype"/>
          <w:sz w:val="22"/>
          <w:szCs w:val="22"/>
        </w:rPr>
        <w:t>, inciso </w:t>
      </w:r>
      <w:r>
        <w:rPr>
          <w:rFonts w:ascii="Palatino Linotype" w:hAnsi="Palatino Linotype"/>
          <w:sz w:val="22"/>
          <w:szCs w:val="22"/>
        </w:rPr>
        <w:fldChar w:fldCharType="begin"/>
      </w:r>
      <w:r>
        <w:rPr>
          <w:rFonts w:ascii="Palatino Linotype" w:hAnsi="Palatino Linotype"/>
          <w:sz w:val="22"/>
          <w:szCs w:val="22"/>
        </w:rPr>
        <w:instrText xml:space="preserve"> REF _Ref437375679 \n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I</w:t>
      </w:r>
      <w:r>
        <w:rPr>
          <w:rFonts w:ascii="Palatino Linotype" w:hAnsi="Palatino Linotype"/>
          <w:sz w:val="22"/>
          <w:szCs w:val="22"/>
        </w:rPr>
        <w:fldChar w:fldCharType="end"/>
      </w:r>
      <w:r>
        <w:rPr>
          <w:rFonts w:ascii="Palatino Linotype" w:hAnsi="Palatino Linotype"/>
          <w:sz w:val="22"/>
          <w:szCs w:val="22"/>
        </w:rPr>
        <w:t>, alínea (c), e na Cláusula </w:t>
      </w:r>
      <w:r>
        <w:rPr>
          <w:rFonts w:ascii="Palatino Linotype" w:hAnsi="Palatino Linotype"/>
          <w:sz w:val="22"/>
          <w:szCs w:val="22"/>
        </w:rPr>
        <w:fldChar w:fldCharType="begin"/>
      </w:r>
      <w:r>
        <w:rPr>
          <w:rFonts w:ascii="Palatino Linotype" w:hAnsi="Palatino Linotype"/>
          <w:sz w:val="22"/>
          <w:szCs w:val="22"/>
        </w:rPr>
        <w:instrText xml:space="preserve"> REF _Ref437375676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8.4 acima</w:t>
      </w:r>
      <w:r>
        <w:rPr>
          <w:rFonts w:ascii="Palatino Linotype" w:hAnsi="Palatino Linotype"/>
          <w:sz w:val="22"/>
          <w:szCs w:val="22"/>
        </w:rPr>
        <w:fldChar w:fldCharType="end"/>
      </w:r>
      <w:r>
        <w:rPr>
          <w:rFonts w:ascii="Palatino Linotype" w:hAnsi="Palatino Linotype"/>
          <w:sz w:val="22"/>
          <w:szCs w:val="22"/>
        </w:rPr>
        <w:t>, incisos </w:t>
      </w:r>
      <w:r>
        <w:rPr>
          <w:rFonts w:ascii="Palatino Linotype" w:hAnsi="Palatino Linotype"/>
          <w:sz w:val="22"/>
          <w:szCs w:val="22"/>
        </w:rPr>
        <w:fldChar w:fldCharType="begin"/>
      </w:r>
      <w:r>
        <w:rPr>
          <w:rFonts w:ascii="Palatino Linotype" w:hAnsi="Palatino Linotype"/>
          <w:sz w:val="22"/>
          <w:szCs w:val="22"/>
        </w:rPr>
        <w:instrText xml:space="preserve"> REF _Ref437375710 \n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II</w:t>
      </w:r>
      <w:r>
        <w:rPr>
          <w:rFonts w:ascii="Palatino Linotype" w:hAnsi="Palatino Linotype"/>
          <w:sz w:val="22"/>
          <w:szCs w:val="22"/>
        </w:rPr>
        <w:fldChar w:fldCharType="end"/>
      </w:r>
      <w:r>
        <w:rPr>
          <w:rFonts w:ascii="Palatino Linotype" w:hAnsi="Palatino Linotype"/>
          <w:sz w:val="22"/>
          <w:szCs w:val="22"/>
        </w:rPr>
        <w:t xml:space="preserve"> e </w:t>
      </w:r>
      <w:r>
        <w:rPr>
          <w:rFonts w:ascii="Palatino Linotype" w:hAnsi="Palatino Linotype"/>
          <w:sz w:val="22"/>
          <w:szCs w:val="22"/>
        </w:rPr>
        <w:fldChar w:fldCharType="begin"/>
      </w:r>
      <w:r>
        <w:rPr>
          <w:rFonts w:ascii="Palatino Linotype" w:hAnsi="Palatino Linotype"/>
          <w:sz w:val="22"/>
          <w:szCs w:val="22"/>
        </w:rPr>
        <w:instrText xml:space="preserve"> REF _Ref437375944 \n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III</w:t>
      </w:r>
      <w:r>
        <w:rPr>
          <w:rFonts w:ascii="Palatino Linotype" w:hAnsi="Palatino Linotype"/>
          <w:sz w:val="22"/>
          <w:szCs w:val="22"/>
        </w:rPr>
        <w:fldChar w:fldCharType="end"/>
      </w:r>
      <w:r>
        <w:rPr>
          <w:rFonts w:ascii="Palatino Linotype" w:hAnsi="Palatino Linotype"/>
          <w:sz w:val="22"/>
          <w:szCs w:val="22"/>
        </w:rPr>
        <w:t>; e (b) todos os encargos cíveis, trabalhistas e/ou previdenciários;</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exercer suas atividades com boa-fé, transparência e lealdade para com os Debenturistas;</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proteger os direitos e interesses dos Debenturistas, empregando, no exercício da função, o cuidado e a diligência com que todo homem ativo e probo costuma empregar na administração de seus próprios bens;</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renunciar à função, na hipótese de superveniência de conflito de interesses ou de qualquer outra modalidade de inaptidão e realizar a imediata convocação da assembleia geral de Debenturistas para deliberar sobre sua substituição, nos termos da Cláusula 8.3, incisos V e VI acima, e da Instrução CVM 583;</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conservar em boa guarda toda a documentação relativa ao exercício de suas funções;</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verificar, no momento de aceitar a função, a veracidade das informações contidas nesta Escritura de Emissão, diligenciando no sentido de que sejam sanadas as omissões, falhas ou defeitos de que tenha conhecimento;</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diligenciar junto à Companhia para que esta Escritura de Emissão e seus aditamentos, sejam inscritos na JUCESP, adotando, no caso da omissão da Companhia, as medidas eventualmente previstas em lei;</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lastRenderedPageBreak/>
        <w:t>acompanhar a prestação das informações periódicas pela Companhia e alertar os Debenturistas, no relatório anual de que trata o inciso </w:t>
      </w:r>
      <w:r>
        <w:rPr>
          <w:rFonts w:ascii="Palatino Linotype" w:hAnsi="Palatino Linotype"/>
          <w:sz w:val="22"/>
          <w:szCs w:val="22"/>
        </w:rPr>
        <w:fldChar w:fldCharType="begin"/>
      </w:r>
      <w:r>
        <w:rPr>
          <w:rFonts w:ascii="Palatino Linotype" w:hAnsi="Palatino Linotype"/>
          <w:sz w:val="22"/>
          <w:szCs w:val="22"/>
        </w:rPr>
        <w:instrText xml:space="preserve"> REF _Ref480236077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XIX abaixo</w:t>
      </w:r>
      <w:r>
        <w:rPr>
          <w:rFonts w:ascii="Palatino Linotype" w:hAnsi="Palatino Linotype"/>
          <w:sz w:val="22"/>
          <w:szCs w:val="22"/>
        </w:rPr>
        <w:fldChar w:fldCharType="end"/>
      </w:r>
      <w:r>
        <w:rPr>
          <w:rFonts w:ascii="Palatino Linotype" w:hAnsi="Palatino Linotype"/>
          <w:sz w:val="22"/>
          <w:szCs w:val="22"/>
        </w:rPr>
        <w:t>, sobre inconsistências ou omissões de que tenha conhecimento;</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opinar sobre a suficiência das informações prestadas nas propostas de modificação das condições das Debêntures;</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solicitar, quando julgar necessário, para o fiel desempenho de suas funções, certidões atualizadas da Companhia dos distribuidores cíveis, das varas de Fazenda Pública, dos cartórios de protesto, das varas da Justiça do Trabalho e da Procuradoria da Fazenda Pública da localidade onde se situe a sede da Companhia;</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solicitar, quando considerar necessário, auditoria externa na Companhia;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convocar, quando necessário, assembleia geral de Debenturistas nos termos da Cláusula </w:t>
      </w:r>
      <w:r>
        <w:rPr>
          <w:rFonts w:ascii="Palatino Linotype" w:hAnsi="Palatino Linotype"/>
          <w:sz w:val="22"/>
          <w:szCs w:val="22"/>
        </w:rPr>
        <w:fldChar w:fldCharType="begin"/>
      </w:r>
      <w:r>
        <w:rPr>
          <w:rFonts w:ascii="Palatino Linotype" w:hAnsi="Palatino Linotype"/>
          <w:sz w:val="22"/>
          <w:szCs w:val="22"/>
        </w:rPr>
        <w:instrText xml:space="preserve"> REF _Ref187755774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9.3 abaixo</w:t>
      </w:r>
      <w:r>
        <w:rPr>
          <w:rFonts w:ascii="Palatino Linotype" w:hAnsi="Palatino Linotype"/>
          <w:sz w:val="22"/>
          <w:szCs w:val="22"/>
        </w:rPr>
        <w:fldChar w:fldCharType="end"/>
      </w:r>
      <w:r>
        <w:rPr>
          <w:rFonts w:ascii="Palatino Linotype" w:hAnsi="Palatino Linotype"/>
          <w:sz w:val="22"/>
          <w:szCs w:val="22"/>
        </w:rPr>
        <w:t>;</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comparecer às assembleias gerais de Debenturistas a fim de prestar as informações que lhe forem solicitadas;</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manter atualizada a relação dos Debenturistas e seus endereços, mediante, inclusive, gestões perante a Companhia, o Escriturador, o Banco Liquidante e a B3, sendo que, para fins de atendimento ao disposto neste inciso, a Companhia, e os Debenturistas, ao subscrever ou adquirir as Debêntures, expressamente autorizam, desde já, o Escriturador, o Banco Liquidante e a B3 a atenderem quaisquer solicitações realizadas pelo Agente Fiduciário, inclusive referente à divulgação, a qualquer momento, da posição de Debêntures, e seus respectivos Debenturistas;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coordenar o sorteio das Debêntures a serem resgatadas, nos casos previstos nesta Escritura de Emissão, se aplicável;</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fiscalizar o cumprimento das cláusulas constantes desta Escritura de Emissão, inclusive (a) daquelas impositivas de obrigações de fazer e de não fazer; (b) daquelas relativas à obrigação de manutenção da contratação de agência de classificação de risco para atualização do relatório de classificação de risco das Debêntures, nos termos da Cláusula </w:t>
      </w:r>
      <w:r>
        <w:rPr>
          <w:rFonts w:ascii="Palatino Linotype" w:hAnsi="Palatino Linotype"/>
          <w:sz w:val="22"/>
          <w:szCs w:val="22"/>
        </w:rPr>
        <w:fldChar w:fldCharType="begin"/>
      </w:r>
      <w:r>
        <w:rPr>
          <w:rFonts w:ascii="Palatino Linotype" w:hAnsi="Palatino Linotype"/>
          <w:sz w:val="22"/>
          <w:szCs w:val="22"/>
        </w:rPr>
        <w:instrText xml:space="preserve"> REF _Ref437375415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7.1 acima</w:t>
      </w:r>
      <w:r>
        <w:rPr>
          <w:rFonts w:ascii="Palatino Linotype" w:hAnsi="Palatino Linotype"/>
          <w:sz w:val="22"/>
          <w:szCs w:val="22"/>
        </w:rPr>
        <w:fldChar w:fldCharType="end"/>
      </w:r>
      <w:r>
        <w:rPr>
          <w:rFonts w:ascii="Palatino Linotype" w:hAnsi="Palatino Linotype"/>
          <w:sz w:val="22"/>
          <w:szCs w:val="22"/>
        </w:rPr>
        <w:t xml:space="preserve">, inciso XIX; e (c) daquela relativa à observância do Índice Financeiro;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comunicar aos Debenturistas qualquer inadimplemento, pela Companhia, de obrigações financeiras assumidas nesta Escritura de Emissão, incluindo obrigações relativas a cláusulas contratuais destinadas a proteger o interesse dos Debenturistas e que estabelecem condições que não devem ser descumpridas pela Companhia, indicando as consequências para os Debenturistas e as providências que pretende tomar a respeito do assunto, no prazo de até 7 (sete) Dias Úteis contados da data da ciência, pelo Agente Fiduciário, do inadimplemento; </w:t>
      </w:r>
    </w:p>
    <w:p w:rsidR="00DE78B2" w:rsidRDefault="00791406">
      <w:pPr>
        <w:numPr>
          <w:ilvl w:val="2"/>
          <w:numId w:val="10"/>
        </w:numPr>
        <w:rPr>
          <w:rFonts w:ascii="Palatino Linotype" w:hAnsi="Palatino Linotype"/>
          <w:sz w:val="22"/>
          <w:szCs w:val="22"/>
        </w:rPr>
      </w:pPr>
      <w:bookmarkStart w:id="133" w:name="_Ref480236077"/>
      <w:r>
        <w:rPr>
          <w:rFonts w:ascii="Palatino Linotype" w:hAnsi="Palatino Linotype"/>
          <w:sz w:val="22"/>
          <w:szCs w:val="22"/>
        </w:rPr>
        <w:lastRenderedPageBreak/>
        <w:t>no prazo de até 4 (quatro) meses contados do término do exercício social da Companhia, divulgar, em sua página na Internet, e enviar à Companhia para divulgação na forma prevista na regulamentação específica, relatório anual destinado aos Debenturistas, nos termos do artigo 68, parágrafo 1º, alínea (b), da Lei das Sociedades por Ações, descrevendo os fatos relevantes ocorridos durante o exercício relativos às Debêntures, conforme o conteúdo mínimo estabelecido no Anexo 15 à Instrução CVM 583;</w:t>
      </w:r>
      <w:bookmarkEnd w:id="133"/>
      <w:r>
        <w:rPr>
          <w:rFonts w:ascii="Palatino Linotype" w:hAnsi="Palatino Linotype"/>
          <w:sz w:val="22"/>
          <w:szCs w:val="22"/>
        </w:rPr>
        <w:t xml:space="preserve">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manter o relatório anual a que se refere o inciso </w:t>
      </w:r>
      <w:r>
        <w:rPr>
          <w:rFonts w:ascii="Palatino Linotype" w:hAnsi="Palatino Linotype"/>
          <w:sz w:val="22"/>
          <w:szCs w:val="22"/>
        </w:rPr>
        <w:fldChar w:fldCharType="begin"/>
      </w:r>
      <w:r>
        <w:rPr>
          <w:rFonts w:ascii="Palatino Linotype" w:hAnsi="Palatino Linotype"/>
          <w:sz w:val="22"/>
          <w:szCs w:val="22"/>
        </w:rPr>
        <w:instrText xml:space="preserve"> REF _Ref480236077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XIX acima</w:t>
      </w:r>
      <w:r>
        <w:rPr>
          <w:rFonts w:ascii="Palatino Linotype" w:hAnsi="Palatino Linotype"/>
          <w:sz w:val="22"/>
          <w:szCs w:val="22"/>
        </w:rPr>
        <w:fldChar w:fldCharType="end"/>
      </w:r>
      <w:r>
        <w:rPr>
          <w:rFonts w:ascii="Palatino Linotype" w:hAnsi="Palatino Linotype"/>
          <w:sz w:val="22"/>
          <w:szCs w:val="22"/>
        </w:rPr>
        <w:t xml:space="preserve"> disponível para consulta pública em sua página na Internet pelo prazo de 3 (três) anos;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manter disponível em sua página na Internet lista atualizada das emissões em que exerce a função de agente fiduciário, agente de notas ou agente de garantias;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divulgar em sua página na Internet as informações previstas no artigo 16 da Instrução CVM 583 e mantê-las disponíveis para consulta pública em sua página na Internet pelo prazo de 3 (três) anos; e </w:t>
      </w:r>
    </w:p>
    <w:p w:rsidR="00DE78B2" w:rsidRDefault="00791406">
      <w:pPr>
        <w:numPr>
          <w:ilvl w:val="2"/>
          <w:numId w:val="26"/>
        </w:numPr>
        <w:rPr>
          <w:rFonts w:ascii="Palatino Linotype" w:hAnsi="Palatino Linotype"/>
          <w:sz w:val="22"/>
          <w:szCs w:val="22"/>
        </w:rPr>
      </w:pPr>
      <w:r>
        <w:rPr>
          <w:rFonts w:ascii="Palatino Linotype" w:hAnsi="Palatino Linotype"/>
          <w:sz w:val="22"/>
          <w:szCs w:val="22"/>
        </w:rPr>
        <w:t>divulgar aos Debenturistas e demais participantes do mercado, em sua página na Internet e/ou em sua central de atendimento, em cada Dia Útil, o saldo devedor unitário das Debêntures, calculado pela Companhia e acompanhado pelo Agente Fiduciário.</w:t>
      </w:r>
    </w:p>
    <w:p w:rsidR="00DE78B2" w:rsidRDefault="00791406">
      <w:pPr>
        <w:numPr>
          <w:ilvl w:val="1"/>
          <w:numId w:val="10"/>
        </w:numPr>
        <w:rPr>
          <w:rFonts w:ascii="Palatino Linotype" w:hAnsi="Palatino Linotype"/>
          <w:sz w:val="22"/>
          <w:szCs w:val="22"/>
        </w:rPr>
      </w:pPr>
      <w:bookmarkStart w:id="134" w:name="h.1opuj5n" w:colFirst="0" w:colLast="0"/>
      <w:bookmarkStart w:id="135" w:name="h.48pi1tg" w:colFirst="0" w:colLast="0"/>
      <w:bookmarkStart w:id="136" w:name="h.2nusc19" w:colFirst="0" w:colLast="0"/>
      <w:bookmarkStart w:id="137" w:name="h.1302m92" w:colFirst="0" w:colLast="0"/>
      <w:bookmarkStart w:id="138" w:name="_Ref437375493"/>
      <w:bookmarkEnd w:id="134"/>
      <w:bookmarkEnd w:id="135"/>
      <w:bookmarkEnd w:id="136"/>
      <w:bookmarkEnd w:id="137"/>
      <w:r>
        <w:rPr>
          <w:rFonts w:ascii="Palatino Linotype" w:hAnsi="Palatino Linotype"/>
          <w:sz w:val="22"/>
          <w:szCs w:val="22"/>
        </w:rPr>
        <w:t>No caso de inadimplemento, pela Companhia, de qualquer de suas obrigações previstas nesta Escritura de Emissão, não sanado nos prazos previstos na Cláusula </w:t>
      </w:r>
      <w:r>
        <w:rPr>
          <w:rFonts w:ascii="Palatino Linotype" w:hAnsi="Palatino Linotype"/>
          <w:sz w:val="22"/>
          <w:szCs w:val="22"/>
        </w:rPr>
        <w:fldChar w:fldCharType="begin"/>
      </w:r>
      <w:r>
        <w:rPr>
          <w:rFonts w:ascii="Palatino Linotype" w:hAnsi="Palatino Linotype"/>
          <w:sz w:val="22"/>
          <w:szCs w:val="22"/>
        </w:rPr>
        <w:instrText xml:space="preserve"> REF _Ref437376097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6.25 acima</w:t>
      </w:r>
      <w:r>
        <w:rPr>
          <w:rFonts w:ascii="Palatino Linotype" w:hAnsi="Palatino Linotype"/>
          <w:sz w:val="22"/>
          <w:szCs w:val="22"/>
        </w:rPr>
        <w:fldChar w:fldCharType="end"/>
      </w:r>
      <w:r>
        <w:rPr>
          <w:rFonts w:ascii="Palatino Linotype" w:hAnsi="Palatino Linotype"/>
          <w:sz w:val="22"/>
          <w:szCs w:val="22"/>
        </w:rPr>
        <w:t xml:space="preserve"> (e </w:t>
      </w:r>
      <w:proofErr w:type="spellStart"/>
      <w:r>
        <w:rPr>
          <w:rFonts w:ascii="Palatino Linotype" w:hAnsi="Palatino Linotype"/>
          <w:sz w:val="22"/>
          <w:szCs w:val="22"/>
        </w:rPr>
        <w:t>subcláusulas</w:t>
      </w:r>
      <w:proofErr w:type="spellEnd"/>
      <w:r>
        <w:rPr>
          <w:rFonts w:ascii="Palatino Linotype" w:hAnsi="Palatino Linotype"/>
          <w:sz w:val="22"/>
          <w:szCs w:val="22"/>
        </w:rPr>
        <w:t>), conforme aplicáveis, , deverá o Agente Fiduciário usar de toda e qualquer medida prevista em lei ou nesta Escritura de Emissão para proteger direitos ou defender interesses dos Debenturistas, nos termos do artigo 68, parágrafo 3º, da Lei das Sociedades por Ações e do artigo 12 da Instrução CVM 583, incluindo:</w:t>
      </w:r>
      <w:bookmarkEnd w:id="138"/>
    </w:p>
    <w:p w:rsidR="00DE78B2" w:rsidRDefault="00791406">
      <w:pPr>
        <w:numPr>
          <w:ilvl w:val="2"/>
          <w:numId w:val="27"/>
        </w:numPr>
        <w:rPr>
          <w:rFonts w:ascii="Palatino Linotype" w:hAnsi="Palatino Linotype"/>
          <w:sz w:val="22"/>
          <w:szCs w:val="22"/>
        </w:rPr>
      </w:pPr>
      <w:bookmarkStart w:id="139" w:name="h.3mzq4wv" w:colFirst="0" w:colLast="0"/>
      <w:bookmarkStart w:id="140" w:name="_Ref437376130"/>
      <w:bookmarkEnd w:id="139"/>
      <w:r>
        <w:rPr>
          <w:rFonts w:ascii="Palatino Linotype" w:hAnsi="Palatino Linotype"/>
          <w:sz w:val="22"/>
          <w:szCs w:val="22"/>
        </w:rPr>
        <w:t>declarar, observadas as condições desta Escritura de Emissão, antecipadamente vencidas as obrigações decorrentes das Debêntures, e cobrar seu principal e acessórios;</w:t>
      </w:r>
    </w:p>
    <w:p w:rsidR="00DE78B2" w:rsidRDefault="00791406">
      <w:pPr>
        <w:numPr>
          <w:ilvl w:val="2"/>
          <w:numId w:val="27"/>
        </w:numPr>
        <w:rPr>
          <w:rFonts w:ascii="Palatino Linotype" w:hAnsi="Palatino Linotype"/>
          <w:sz w:val="22"/>
          <w:szCs w:val="22"/>
        </w:rPr>
      </w:pPr>
      <w:r>
        <w:rPr>
          <w:rFonts w:ascii="Palatino Linotype" w:hAnsi="Palatino Linotype"/>
          <w:sz w:val="22"/>
          <w:szCs w:val="22"/>
        </w:rPr>
        <w:t>requerer a falência da Companhia, se não existirem garantias reais;</w:t>
      </w:r>
    </w:p>
    <w:p w:rsidR="00DE78B2" w:rsidRDefault="00791406">
      <w:pPr>
        <w:numPr>
          <w:ilvl w:val="2"/>
          <w:numId w:val="27"/>
        </w:numPr>
        <w:rPr>
          <w:rFonts w:ascii="Palatino Linotype" w:hAnsi="Palatino Linotype"/>
          <w:sz w:val="22"/>
          <w:szCs w:val="22"/>
        </w:rPr>
      </w:pPr>
      <w:r>
        <w:rPr>
          <w:rFonts w:ascii="Palatino Linotype" w:hAnsi="Palatino Linotype"/>
          <w:sz w:val="22"/>
          <w:szCs w:val="22"/>
        </w:rPr>
        <w:t>tomar quaisquer outras providências necessárias para que os Debenturistas realizem seus créditos; e</w:t>
      </w:r>
    </w:p>
    <w:p w:rsidR="00DE78B2" w:rsidRDefault="00791406">
      <w:pPr>
        <w:numPr>
          <w:ilvl w:val="2"/>
          <w:numId w:val="27"/>
        </w:numPr>
        <w:rPr>
          <w:rFonts w:ascii="Palatino Linotype" w:hAnsi="Palatino Linotype"/>
          <w:sz w:val="22"/>
          <w:szCs w:val="22"/>
        </w:rPr>
      </w:pPr>
      <w:r>
        <w:rPr>
          <w:rFonts w:ascii="Palatino Linotype" w:hAnsi="Palatino Linotype"/>
          <w:sz w:val="22"/>
          <w:szCs w:val="22"/>
        </w:rPr>
        <w:t>representar os Debenturistas em processo de falência, recuperação judicial, recuperação extrajudicial ou, se aplicável, intervenção ou liquidação extrajudicial da Companhia.</w:t>
      </w:r>
    </w:p>
    <w:p w:rsidR="00DE78B2" w:rsidRDefault="00791406">
      <w:pPr>
        <w:numPr>
          <w:ilvl w:val="1"/>
          <w:numId w:val="10"/>
        </w:numPr>
        <w:tabs>
          <w:tab w:val="clear" w:pos="709"/>
        </w:tabs>
        <w:rPr>
          <w:rFonts w:ascii="Palatino Linotype" w:hAnsi="Palatino Linotype"/>
          <w:sz w:val="22"/>
          <w:szCs w:val="22"/>
        </w:rPr>
      </w:pPr>
      <w:bookmarkStart w:id="141" w:name="h.2250f4o" w:colFirst="0" w:colLast="0"/>
      <w:bookmarkStart w:id="142" w:name="h.haapch" w:colFirst="0" w:colLast="0"/>
      <w:bookmarkStart w:id="143" w:name="h.319y80a" w:colFirst="0" w:colLast="0"/>
      <w:bookmarkEnd w:id="140"/>
      <w:bookmarkEnd w:id="141"/>
      <w:bookmarkEnd w:id="142"/>
      <w:bookmarkEnd w:id="143"/>
      <w:r>
        <w:rPr>
          <w:rFonts w:ascii="Palatino Linotype" w:hAnsi="Palatino Linotype"/>
          <w:sz w:val="22"/>
          <w:szCs w:val="22"/>
        </w:rPr>
        <w:t>O Agente Fiduciário pode se balizar nas informações que lhe forem disponibilizadas pela Companhia para verificar o atendimento dos Índices Financeiros.</w:t>
      </w:r>
    </w:p>
    <w:p w:rsidR="00DE78B2" w:rsidRDefault="00791406">
      <w:pPr>
        <w:numPr>
          <w:ilvl w:val="1"/>
          <w:numId w:val="10"/>
        </w:numPr>
        <w:tabs>
          <w:tab w:val="clear" w:pos="709"/>
        </w:tabs>
        <w:rPr>
          <w:rFonts w:ascii="Palatino Linotype" w:hAnsi="Palatino Linotype"/>
          <w:sz w:val="22"/>
          <w:szCs w:val="22"/>
        </w:rPr>
      </w:pPr>
      <w:r>
        <w:rPr>
          <w:rFonts w:ascii="Palatino Linotype" w:hAnsi="Palatino Linotype"/>
          <w:sz w:val="22"/>
          <w:szCs w:val="22"/>
        </w:rPr>
        <w:t xml:space="preserve">O Agente Fiduciário não será obrigado a realizar qualquer verificação de veracidade nas deliberações societárias e em atos da administração da Companhia ou, ainda, em </w:t>
      </w:r>
      <w:r>
        <w:rPr>
          <w:rFonts w:ascii="Palatino Linotype" w:hAnsi="Palatino Linotype"/>
          <w:sz w:val="22"/>
          <w:szCs w:val="22"/>
        </w:rPr>
        <w:lastRenderedPageBreak/>
        <w:t>qualquer documento ou registro que considere autêntico e que lhe tenha sido encaminhado pela Companhia ou por terceiros a seu pedido, para se basear nas suas decisões, e não será responsável pela elaboração desses documentos, que permanecerão sob obrigação legal e regulamentar da Companhia elaborá-los, nos termos da legislação aplicável.</w:t>
      </w:r>
    </w:p>
    <w:p w:rsidR="00DE78B2" w:rsidRDefault="00791406">
      <w:pPr>
        <w:numPr>
          <w:ilvl w:val="1"/>
          <w:numId w:val="10"/>
        </w:numPr>
        <w:tabs>
          <w:tab w:val="clear" w:pos="709"/>
        </w:tabs>
        <w:rPr>
          <w:rFonts w:ascii="Palatino Linotype" w:hAnsi="Palatino Linotype"/>
          <w:sz w:val="22"/>
          <w:szCs w:val="22"/>
        </w:rPr>
      </w:pPr>
      <w:r>
        <w:rPr>
          <w:rFonts w:ascii="Palatino Linotype" w:hAnsi="Palatino Linotype"/>
          <w:sz w:val="22"/>
          <w:szCs w:val="22"/>
        </w:rPr>
        <w:t>O Agente Fiduciário não emitirá qualquer tipo de opinião ou fará qualquer juízo sobre orientação acerca de qualquer fato da Emissão que seja de competência de definição pelos Debenturistas, nos termos da Cláusula </w:t>
      </w:r>
      <w:r>
        <w:rPr>
          <w:rFonts w:ascii="Palatino Linotype" w:hAnsi="Palatino Linotype"/>
          <w:sz w:val="22"/>
          <w:szCs w:val="22"/>
        </w:rPr>
        <w:fldChar w:fldCharType="begin"/>
      </w:r>
      <w:r>
        <w:rPr>
          <w:rFonts w:ascii="Palatino Linotype" w:hAnsi="Palatino Linotype"/>
          <w:sz w:val="22"/>
          <w:szCs w:val="22"/>
        </w:rPr>
        <w:instrText xml:space="preserve"> REF _Ref437376200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9 abaixo</w:t>
      </w:r>
      <w:r>
        <w:rPr>
          <w:rFonts w:ascii="Palatino Linotype" w:hAnsi="Palatino Linotype"/>
          <w:sz w:val="22"/>
          <w:szCs w:val="22"/>
        </w:rPr>
        <w:fldChar w:fldCharType="end"/>
      </w:r>
      <w:r>
        <w:rPr>
          <w:rFonts w:ascii="Palatino Linotype" w:hAnsi="Palatino Linotype"/>
          <w:sz w:val="22"/>
          <w:szCs w:val="22"/>
        </w:rPr>
        <w:t>, obrigando-se, tão-somente, a agir em conformidade com as instruções que lhe foram transmitidas pelos Debenturistas, nos termos da Cláusula </w:t>
      </w:r>
      <w:r>
        <w:rPr>
          <w:rFonts w:ascii="Palatino Linotype" w:hAnsi="Palatino Linotype"/>
          <w:sz w:val="22"/>
          <w:szCs w:val="22"/>
        </w:rPr>
        <w:fldChar w:fldCharType="begin"/>
      </w:r>
      <w:r>
        <w:rPr>
          <w:rFonts w:ascii="Palatino Linotype" w:hAnsi="Palatino Linotype"/>
          <w:sz w:val="22"/>
          <w:szCs w:val="22"/>
        </w:rPr>
        <w:instrText xml:space="preserve"> REF _Ref437376200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9 abaixo</w:t>
      </w:r>
      <w:r>
        <w:rPr>
          <w:rFonts w:ascii="Palatino Linotype" w:hAnsi="Palatino Linotype"/>
          <w:sz w:val="22"/>
          <w:szCs w:val="22"/>
        </w:rPr>
        <w:fldChar w:fldCharType="end"/>
      </w:r>
      <w:r>
        <w:rPr>
          <w:rFonts w:ascii="Palatino Linotype" w:hAnsi="Palatino Linotype"/>
          <w:sz w:val="22"/>
          <w:szCs w:val="22"/>
        </w:rPr>
        <w:t>, e de acordo com as atribuições que lhe são conferidas por lei, pela Cláusula </w:t>
      </w:r>
      <w:r>
        <w:rPr>
          <w:rFonts w:ascii="Palatino Linotype" w:hAnsi="Palatino Linotype"/>
          <w:sz w:val="22"/>
          <w:szCs w:val="22"/>
        </w:rPr>
        <w:fldChar w:fldCharType="begin"/>
      </w:r>
      <w:r>
        <w:rPr>
          <w:rFonts w:ascii="Palatino Linotype" w:hAnsi="Palatino Linotype"/>
          <w:sz w:val="22"/>
          <w:szCs w:val="22"/>
        </w:rPr>
        <w:instrText xml:space="preserve"> REF _Ref437376229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8.5 acima</w:t>
      </w:r>
      <w:r>
        <w:rPr>
          <w:rFonts w:ascii="Palatino Linotype" w:hAnsi="Palatino Linotype"/>
          <w:sz w:val="22"/>
          <w:szCs w:val="22"/>
        </w:rPr>
        <w:fldChar w:fldCharType="end"/>
      </w:r>
      <w:r>
        <w:rPr>
          <w:rFonts w:ascii="Palatino Linotype" w:hAnsi="Palatino Linotype"/>
          <w:sz w:val="22"/>
          <w:szCs w:val="22"/>
        </w:rPr>
        <w:t xml:space="preserve"> e pelas demais disposições desta Escritura de Emissão. Nesse sentido, o Agente Fiduciário não possui qualquer responsabilidade sobre o resultado ou sobre os efeitos jurídicos decorrentes do estrito cumprimento das orientações dos Debenturistas que lhe forem transmitidas conforme definidas pelos Debenturistas, nos termos da Cláusula </w:t>
      </w:r>
      <w:r>
        <w:rPr>
          <w:rFonts w:ascii="Palatino Linotype" w:hAnsi="Palatino Linotype"/>
          <w:sz w:val="22"/>
          <w:szCs w:val="22"/>
        </w:rPr>
        <w:fldChar w:fldCharType="begin"/>
      </w:r>
      <w:r>
        <w:rPr>
          <w:rFonts w:ascii="Palatino Linotype" w:hAnsi="Palatino Linotype"/>
          <w:sz w:val="22"/>
          <w:szCs w:val="22"/>
        </w:rPr>
        <w:instrText xml:space="preserve"> REF _Ref437376200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9 abaixo</w:t>
      </w:r>
      <w:r>
        <w:rPr>
          <w:rFonts w:ascii="Palatino Linotype" w:hAnsi="Palatino Linotype"/>
          <w:sz w:val="22"/>
          <w:szCs w:val="22"/>
        </w:rPr>
        <w:fldChar w:fldCharType="end"/>
      </w:r>
      <w:r>
        <w:rPr>
          <w:rFonts w:ascii="Palatino Linotype" w:hAnsi="Palatino Linotype"/>
          <w:sz w:val="22"/>
          <w:szCs w:val="22"/>
        </w:rPr>
        <w:t>, e reproduzidas perante a Companhia.</w:t>
      </w:r>
    </w:p>
    <w:p w:rsidR="00DE78B2" w:rsidRDefault="00791406">
      <w:pPr>
        <w:numPr>
          <w:ilvl w:val="1"/>
          <w:numId w:val="10"/>
        </w:numPr>
        <w:rPr>
          <w:rFonts w:ascii="Palatino Linotype" w:hAnsi="Palatino Linotype"/>
          <w:sz w:val="22"/>
          <w:szCs w:val="22"/>
        </w:rPr>
      </w:pPr>
      <w:r>
        <w:rPr>
          <w:rFonts w:ascii="Palatino Linotype" w:hAnsi="Palatino Linotype"/>
          <w:sz w:val="22"/>
          <w:szCs w:val="22"/>
        </w:rPr>
        <w:t>A atuação do Agente Fiduciário limita-se ao escopo da Instrução CVM 583, dos artigos aplicáveis da Lei das Sociedades por Ações e desta Escritura de Emissão, estando o Agente Fiduciário isento, sob qualquer forma ou pretexto, de qualquer responsabilidade adicional que não tenha decorrido da legislação ou regulamentação aplicável e desta Escritura de Emissão.</w:t>
      </w:r>
    </w:p>
    <w:p w:rsidR="00DE78B2" w:rsidRDefault="00DE78B2">
      <w:pPr>
        <w:rPr>
          <w:rFonts w:ascii="Palatino Linotype" w:hAnsi="Palatino Linotype"/>
          <w:sz w:val="22"/>
          <w:szCs w:val="22"/>
        </w:rPr>
      </w:pPr>
    </w:p>
    <w:p w:rsidR="00DE78B2" w:rsidRDefault="00791406">
      <w:pPr>
        <w:keepNext/>
        <w:numPr>
          <w:ilvl w:val="0"/>
          <w:numId w:val="10"/>
        </w:numPr>
        <w:tabs>
          <w:tab w:val="clear" w:pos="709"/>
        </w:tabs>
        <w:rPr>
          <w:rFonts w:ascii="Palatino Linotype" w:hAnsi="Palatino Linotype"/>
          <w:smallCaps/>
          <w:sz w:val="22"/>
          <w:szCs w:val="22"/>
          <w:u w:val="single"/>
        </w:rPr>
      </w:pPr>
      <w:bookmarkStart w:id="144" w:name="h.1gf8i83" w:colFirst="0" w:colLast="0"/>
      <w:bookmarkStart w:id="145" w:name="_Ref437376200"/>
      <w:bookmarkEnd w:id="144"/>
      <w:r>
        <w:rPr>
          <w:rFonts w:ascii="Palatino Linotype" w:hAnsi="Palatino Linotype"/>
          <w:smallCaps/>
          <w:sz w:val="22"/>
          <w:szCs w:val="22"/>
          <w:u w:val="single"/>
        </w:rPr>
        <w:t>Assembleia Geral de Debenturistas</w:t>
      </w:r>
      <w:bookmarkEnd w:id="145"/>
    </w:p>
    <w:p w:rsidR="00DE78B2" w:rsidRDefault="00791406">
      <w:pPr>
        <w:numPr>
          <w:ilvl w:val="1"/>
          <w:numId w:val="10"/>
        </w:numPr>
        <w:tabs>
          <w:tab w:val="clear" w:pos="709"/>
        </w:tabs>
        <w:rPr>
          <w:rFonts w:ascii="Palatino Linotype" w:hAnsi="Palatino Linotype"/>
          <w:sz w:val="22"/>
          <w:szCs w:val="22"/>
        </w:rPr>
      </w:pPr>
      <w:bookmarkStart w:id="146" w:name="h.40ew0vw" w:colFirst="0" w:colLast="0"/>
      <w:bookmarkStart w:id="147" w:name="_Ref437376349"/>
      <w:bookmarkStart w:id="148" w:name="_Ref437385377"/>
      <w:bookmarkEnd w:id="146"/>
      <w:r>
        <w:rPr>
          <w:rFonts w:ascii="Palatino Linotype" w:hAnsi="Palatino Linotype"/>
          <w:sz w:val="22"/>
          <w:szCs w:val="22"/>
        </w:rPr>
        <w:t>Os Debenturistas poderão, a qualquer tempo, reunir-se em assembleia geral, de acordo com o disposto no artigo 71 da Lei das Sociedades por Ações, a fim de deliberarem sobre matéria de interesse da comunhão dos Debenturistas</w:t>
      </w:r>
      <w:bookmarkEnd w:id="147"/>
      <w:bookmarkEnd w:id="148"/>
      <w:r>
        <w:rPr>
          <w:rFonts w:ascii="Palatino Linotype" w:hAnsi="Palatino Linotype"/>
          <w:sz w:val="22"/>
          <w:szCs w:val="22"/>
        </w:rPr>
        <w:t>.</w:t>
      </w:r>
    </w:p>
    <w:p w:rsidR="00DE78B2" w:rsidRDefault="00791406">
      <w:pPr>
        <w:numPr>
          <w:ilvl w:val="1"/>
          <w:numId w:val="10"/>
        </w:numPr>
        <w:tabs>
          <w:tab w:val="clear" w:pos="709"/>
        </w:tabs>
        <w:rPr>
          <w:rFonts w:ascii="Palatino Linotype" w:hAnsi="Palatino Linotype"/>
          <w:sz w:val="22"/>
          <w:szCs w:val="22"/>
        </w:rPr>
      </w:pPr>
      <w:r>
        <w:rPr>
          <w:rFonts w:ascii="Palatino Linotype" w:hAnsi="Palatino Linotype"/>
          <w:sz w:val="22"/>
          <w:szCs w:val="22"/>
        </w:rPr>
        <w:t>As assembleias gerais de Debenturistas poderão ser convocadas pelo Agente Fiduciário, pela Companhia, por Debenturistas que representem, no mínimo, 10% (dez por cento) das Debêntures em circulação, ou pela CVM.</w:t>
      </w:r>
    </w:p>
    <w:p w:rsidR="00DE78B2" w:rsidRDefault="00791406">
      <w:pPr>
        <w:numPr>
          <w:ilvl w:val="1"/>
          <w:numId w:val="10"/>
        </w:numPr>
        <w:tabs>
          <w:tab w:val="clear" w:pos="709"/>
        </w:tabs>
        <w:rPr>
          <w:rFonts w:ascii="Palatino Linotype" w:hAnsi="Palatino Linotype"/>
          <w:sz w:val="22"/>
          <w:szCs w:val="22"/>
        </w:rPr>
      </w:pPr>
      <w:bookmarkStart w:id="149" w:name="_Ref187755774"/>
      <w:r>
        <w:rPr>
          <w:rFonts w:ascii="Palatino Linotype" w:hAnsi="Palatino Linotype"/>
          <w:sz w:val="22"/>
          <w:szCs w:val="22"/>
        </w:rPr>
        <w:t>A convocação das assembleias gerais de Debenturistas dar-se-á mediante anúncio publicado pelo menos 3 (três) vezes nos termos da Cláusula </w:t>
      </w:r>
      <w:r>
        <w:rPr>
          <w:rFonts w:ascii="Palatino Linotype" w:hAnsi="Palatino Linotype"/>
          <w:sz w:val="22"/>
          <w:szCs w:val="22"/>
        </w:rPr>
        <w:fldChar w:fldCharType="begin"/>
      </w:r>
      <w:r>
        <w:rPr>
          <w:rFonts w:ascii="Palatino Linotype" w:hAnsi="Palatino Linotype"/>
          <w:sz w:val="22"/>
          <w:szCs w:val="22"/>
        </w:rPr>
        <w:instrText xml:space="preserve"> REF _Ref533029668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6.25.7 acima</w:t>
      </w:r>
      <w:r>
        <w:rPr>
          <w:rFonts w:ascii="Palatino Linotype" w:hAnsi="Palatino Linotype"/>
          <w:sz w:val="22"/>
          <w:szCs w:val="22"/>
        </w:rPr>
        <w:fldChar w:fldCharType="end"/>
      </w:r>
      <w:r>
        <w:rPr>
          <w:rFonts w:ascii="Palatino Linotype" w:hAnsi="Palatino Linotype"/>
          <w:sz w:val="22"/>
          <w:szCs w:val="22"/>
        </w:rPr>
        <w:t>,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w:t>
      </w:r>
      <w:bookmarkEnd w:id="149"/>
    </w:p>
    <w:p w:rsidR="00DE78B2" w:rsidRDefault="00791406">
      <w:pPr>
        <w:numPr>
          <w:ilvl w:val="1"/>
          <w:numId w:val="10"/>
        </w:numPr>
        <w:tabs>
          <w:tab w:val="clear" w:pos="709"/>
        </w:tabs>
        <w:rPr>
          <w:rFonts w:ascii="Palatino Linotype" w:hAnsi="Palatino Linotype"/>
          <w:sz w:val="22"/>
          <w:szCs w:val="22"/>
        </w:rPr>
      </w:pPr>
      <w:r>
        <w:rPr>
          <w:rFonts w:ascii="Palatino Linotype" w:hAnsi="Palatino Linotype"/>
          <w:sz w:val="22"/>
          <w:szCs w:val="22"/>
        </w:rPr>
        <w:t>As assembleias gerais de Debenturistas instalar-se-ão, em primeira convocação, com a presença de titulares de, no mínimo, metade das Debêntures em circulação, e, em segunda convocação, com qualquer quórum.</w:t>
      </w:r>
    </w:p>
    <w:p w:rsidR="00DE78B2" w:rsidRDefault="00791406">
      <w:pPr>
        <w:numPr>
          <w:ilvl w:val="1"/>
          <w:numId w:val="10"/>
        </w:numPr>
        <w:tabs>
          <w:tab w:val="clear" w:pos="709"/>
        </w:tabs>
        <w:rPr>
          <w:rFonts w:ascii="Palatino Linotype" w:hAnsi="Palatino Linotype"/>
          <w:sz w:val="22"/>
          <w:szCs w:val="22"/>
        </w:rPr>
      </w:pPr>
      <w:r>
        <w:rPr>
          <w:rFonts w:ascii="Palatino Linotype" w:hAnsi="Palatino Linotype"/>
          <w:sz w:val="22"/>
          <w:szCs w:val="22"/>
        </w:rPr>
        <w:t>A presidência e a secretaria das assembleias gerais de Debenturistas caberão aos Debenturistas eleitos por estes próprios ou àqueles que forem designados pela CVM.</w:t>
      </w:r>
    </w:p>
    <w:p w:rsidR="00DE78B2" w:rsidRDefault="00791406">
      <w:pPr>
        <w:numPr>
          <w:ilvl w:val="1"/>
          <w:numId w:val="10"/>
        </w:numPr>
        <w:tabs>
          <w:tab w:val="clear" w:pos="709"/>
        </w:tabs>
        <w:rPr>
          <w:rFonts w:ascii="Palatino Linotype" w:hAnsi="Palatino Linotype"/>
          <w:sz w:val="22"/>
          <w:szCs w:val="22"/>
        </w:rPr>
      </w:pPr>
      <w:bookmarkStart w:id="150" w:name="_Ref130286717"/>
      <w:r>
        <w:rPr>
          <w:rFonts w:ascii="Palatino Linotype" w:hAnsi="Palatino Linotype"/>
          <w:sz w:val="22"/>
          <w:szCs w:val="22"/>
        </w:rPr>
        <w:lastRenderedPageBreak/>
        <w:t>Nas deliberações das assembleias gerais de Debenturistas, a cada uma das Debêntures em circulação caberá um voto, admitida a constituição de mandatário, Debenturista ou não. Exceto pelo disposto na Cláusula </w:t>
      </w:r>
      <w:r>
        <w:rPr>
          <w:rFonts w:ascii="Palatino Linotype" w:hAnsi="Palatino Linotype"/>
          <w:sz w:val="22"/>
          <w:szCs w:val="22"/>
        </w:rPr>
        <w:fldChar w:fldCharType="begin"/>
      </w:r>
      <w:r>
        <w:rPr>
          <w:rFonts w:ascii="Palatino Linotype" w:hAnsi="Palatino Linotype"/>
          <w:sz w:val="22"/>
          <w:szCs w:val="22"/>
        </w:rPr>
        <w:instrText xml:space="preserve"> REF _Ref533030617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9.6.1 abaixo</w:t>
      </w:r>
      <w:r>
        <w:rPr>
          <w:rFonts w:ascii="Palatino Linotype" w:hAnsi="Palatino Linotype"/>
          <w:sz w:val="22"/>
          <w:szCs w:val="22"/>
        </w:rPr>
        <w:fldChar w:fldCharType="end"/>
      </w:r>
      <w:r>
        <w:rPr>
          <w:rFonts w:ascii="Palatino Linotype" w:hAnsi="Palatino Linotype"/>
          <w:sz w:val="22"/>
          <w:szCs w:val="22"/>
        </w:rPr>
        <w:t>, todas as deliberações a serem tomadas em assembleia geral de Debenturistas dependerão de aprovação de Debenturistas representando, no mínimo, 2/3 (dois terços) das Debêntures em circulação.</w:t>
      </w:r>
      <w:bookmarkStart w:id="151" w:name="_Ref130286715"/>
      <w:bookmarkEnd w:id="150"/>
    </w:p>
    <w:p w:rsidR="00DE78B2" w:rsidRDefault="00791406">
      <w:pPr>
        <w:pStyle w:val="PargrafodaLista"/>
        <w:numPr>
          <w:ilvl w:val="2"/>
          <w:numId w:val="23"/>
        </w:numPr>
        <w:rPr>
          <w:rFonts w:ascii="Palatino Linotype" w:hAnsi="Palatino Linotype"/>
          <w:sz w:val="22"/>
          <w:szCs w:val="22"/>
        </w:rPr>
      </w:pPr>
      <w:bookmarkStart w:id="152" w:name="_Ref533030617"/>
      <w:r>
        <w:rPr>
          <w:rFonts w:ascii="Palatino Linotype" w:hAnsi="Palatino Linotype"/>
          <w:sz w:val="22"/>
          <w:szCs w:val="22"/>
        </w:rPr>
        <w:t>Não estão incluídos no quórum a que se refere a Cláusula </w:t>
      </w:r>
      <w:r>
        <w:rPr>
          <w:rFonts w:ascii="Palatino Linotype" w:hAnsi="Palatino Linotype"/>
          <w:sz w:val="22"/>
          <w:szCs w:val="22"/>
        </w:rPr>
        <w:fldChar w:fldCharType="begin"/>
      </w:r>
      <w:r>
        <w:rPr>
          <w:rFonts w:ascii="Palatino Linotype" w:hAnsi="Palatino Linotype"/>
          <w:sz w:val="22"/>
          <w:szCs w:val="22"/>
        </w:rPr>
        <w:instrText xml:space="preserve"> REF _Ref130286717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9.6 acima</w:t>
      </w:r>
      <w:r>
        <w:rPr>
          <w:rFonts w:ascii="Palatino Linotype" w:hAnsi="Palatino Linotype"/>
          <w:sz w:val="22"/>
          <w:szCs w:val="22"/>
        </w:rPr>
        <w:fldChar w:fldCharType="end"/>
      </w:r>
      <w:r>
        <w:rPr>
          <w:rFonts w:ascii="Palatino Linotype" w:hAnsi="Palatino Linotype"/>
          <w:sz w:val="22"/>
          <w:szCs w:val="22"/>
        </w:rPr>
        <w:t>:</w:t>
      </w:r>
      <w:bookmarkEnd w:id="151"/>
      <w:bookmarkEnd w:id="152"/>
    </w:p>
    <w:p w:rsidR="00DE78B2" w:rsidRDefault="00791406">
      <w:pPr>
        <w:numPr>
          <w:ilvl w:val="6"/>
          <w:numId w:val="21"/>
        </w:numPr>
        <w:rPr>
          <w:rFonts w:ascii="Palatino Linotype" w:hAnsi="Palatino Linotype"/>
          <w:sz w:val="22"/>
          <w:szCs w:val="22"/>
        </w:rPr>
      </w:pPr>
      <w:r>
        <w:rPr>
          <w:rFonts w:ascii="Palatino Linotype" w:hAnsi="Palatino Linotype"/>
          <w:sz w:val="22"/>
          <w:szCs w:val="22"/>
        </w:rPr>
        <w:t>os quóruns expressamente previstos em outras Cláusulas desta Escritura de Emissão; e</w:t>
      </w:r>
    </w:p>
    <w:p w:rsidR="00DE78B2" w:rsidRDefault="00791406">
      <w:pPr>
        <w:numPr>
          <w:ilvl w:val="6"/>
          <w:numId w:val="21"/>
        </w:numPr>
        <w:rPr>
          <w:rFonts w:ascii="Palatino Linotype" w:hAnsi="Palatino Linotype"/>
          <w:sz w:val="22"/>
          <w:szCs w:val="22"/>
        </w:rPr>
      </w:pPr>
      <w:r>
        <w:rPr>
          <w:rFonts w:ascii="Palatino Linotype" w:hAnsi="Palatino Linotype"/>
          <w:sz w:val="22"/>
          <w:szCs w:val="22"/>
        </w:rPr>
        <w:t>as alterações, que deverão ser aprovadas por Debenturistas representando, no mínimo, 90% (noventa por cento) das Debêntures em circulação, (a) das disposições desta Cláusula; (b) de qualquer dos quóruns previstos nesta Escritura de Emissão; (c) da Remuneração, exceto pelo disposto na Cláusula </w:t>
      </w:r>
      <w:r>
        <w:rPr>
          <w:rFonts w:ascii="Palatino Linotype" w:hAnsi="Palatino Linotype"/>
          <w:sz w:val="22"/>
          <w:szCs w:val="22"/>
        </w:rPr>
        <w:fldChar w:fldCharType="begin"/>
      </w:r>
      <w:r>
        <w:rPr>
          <w:rFonts w:ascii="Palatino Linotype" w:hAnsi="Palatino Linotype"/>
          <w:sz w:val="22"/>
          <w:szCs w:val="22"/>
        </w:rPr>
        <w:instrText xml:space="preserve"> REF _Ref535534404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6.14.4 acima</w:t>
      </w:r>
      <w:r>
        <w:rPr>
          <w:rFonts w:ascii="Palatino Linotype" w:hAnsi="Palatino Linotype"/>
          <w:sz w:val="22"/>
          <w:szCs w:val="22"/>
        </w:rPr>
        <w:fldChar w:fldCharType="end"/>
      </w:r>
      <w:r>
        <w:rPr>
          <w:rFonts w:ascii="Palatino Linotype" w:hAnsi="Palatino Linotype"/>
          <w:sz w:val="22"/>
          <w:szCs w:val="22"/>
        </w:rPr>
        <w:t>; (d) de quaisquer datas de pagamento de quaisquer valores previstos nesta Escritura de Emissão; (e) do prazo de vigência das Debêntures; (f) da espécie das Debêntures; (g) da criação de evento de repactuação; (h) das disposições relativas à Amortização Antecipada Facultativa e/ou Resgate Antecipado Facultativo; (i) das disposições relativas a amortizações antecipadas facultativas; ou (j) da redação de qualquer E</w:t>
      </w:r>
      <w:r>
        <w:rPr>
          <w:rFonts w:ascii="Palatino Linotype" w:eastAsia="Arial Unicode MS" w:hAnsi="Palatino Linotype"/>
          <w:sz w:val="22"/>
          <w:szCs w:val="22"/>
        </w:rPr>
        <w:t>vento de Inadimplemento.</w:t>
      </w:r>
    </w:p>
    <w:p w:rsidR="00DE78B2" w:rsidRDefault="00791406">
      <w:pPr>
        <w:pStyle w:val="PargrafodaLista"/>
        <w:numPr>
          <w:ilvl w:val="2"/>
          <w:numId w:val="23"/>
        </w:numPr>
        <w:rPr>
          <w:rFonts w:ascii="Palatino Linotype" w:hAnsi="Palatino Linotype"/>
          <w:sz w:val="22"/>
          <w:szCs w:val="22"/>
        </w:rPr>
      </w:pPr>
      <w:r>
        <w:rPr>
          <w:rFonts w:ascii="Palatino Linotype" w:hAnsi="Palatino Linotype"/>
          <w:sz w:val="22"/>
          <w:szCs w:val="22"/>
        </w:rPr>
        <w:t>A renúncia ou o perdão temporário a um Evento de Inadimplemento deverá ser aprovado de acordo com o disposto na Cláusula </w:t>
      </w:r>
      <w:r>
        <w:rPr>
          <w:rFonts w:ascii="Palatino Linotype" w:hAnsi="Palatino Linotype"/>
          <w:sz w:val="22"/>
          <w:szCs w:val="22"/>
        </w:rPr>
        <w:fldChar w:fldCharType="begin"/>
      </w:r>
      <w:r>
        <w:rPr>
          <w:rFonts w:ascii="Palatino Linotype" w:hAnsi="Palatino Linotype"/>
          <w:sz w:val="22"/>
          <w:szCs w:val="22"/>
        </w:rPr>
        <w:instrText xml:space="preserve"> REF _Ref130286717 \r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9.6 acima</w:t>
      </w:r>
      <w:r>
        <w:rPr>
          <w:rFonts w:ascii="Palatino Linotype" w:hAnsi="Palatino Linotype"/>
          <w:sz w:val="22"/>
          <w:szCs w:val="22"/>
        </w:rPr>
        <w:fldChar w:fldCharType="end"/>
      </w:r>
      <w:r>
        <w:rPr>
          <w:rFonts w:ascii="Palatino Linotype" w:hAnsi="Palatino Linotype"/>
          <w:sz w:val="22"/>
          <w:szCs w:val="22"/>
        </w:rPr>
        <w:t>.</w:t>
      </w:r>
    </w:p>
    <w:p w:rsidR="00DE78B2" w:rsidRDefault="00791406">
      <w:pPr>
        <w:numPr>
          <w:ilvl w:val="1"/>
          <w:numId w:val="10"/>
        </w:numPr>
        <w:tabs>
          <w:tab w:val="clear" w:pos="709"/>
        </w:tabs>
        <w:rPr>
          <w:rFonts w:ascii="Palatino Linotype" w:hAnsi="Palatino Linotype"/>
          <w:sz w:val="22"/>
          <w:szCs w:val="22"/>
        </w:rPr>
      </w:pPr>
      <w:r>
        <w:rPr>
          <w:rFonts w:ascii="Palatino Linotype" w:hAnsi="Palatino Linotype"/>
          <w:sz w:val="22"/>
          <w:szCs w:val="22"/>
        </w:rPr>
        <w:t>Para os fins de constituição de quórum, "</w:t>
      </w:r>
      <w:r>
        <w:rPr>
          <w:rFonts w:ascii="Palatino Linotype" w:hAnsi="Palatino Linotype"/>
          <w:sz w:val="22"/>
          <w:szCs w:val="22"/>
          <w:u w:val="single"/>
        </w:rPr>
        <w:t>Debêntures em circulação</w:t>
      </w:r>
      <w:r>
        <w:rPr>
          <w:rFonts w:ascii="Palatino Linotype" w:hAnsi="Palatino Linotype"/>
          <w:sz w:val="22"/>
          <w:szCs w:val="22"/>
        </w:rPr>
        <w:t>" significam todas as Debêntures subscritas e integralizadas e não resgatadas, excluídas as Debêntures mantidas em tesouraria e, ainda, adicionalmente, para fins de constituição de quórum, excluídas as Debêntures pertencentes, direta ou indiretamente, (i) à Companhia; (ii) a qualquer Controladora, a qualquer controlada e/ou a qualquer coligada de qualquer das pessoas indicadas no item anterior; ou (iii) a qualquer diretor, conselheiro, cônjuge, companheiro ou parente até o 3º (terceiro) grau de qualquer das pessoas referidas nos itens anteriores.</w:t>
      </w:r>
    </w:p>
    <w:p w:rsidR="00DE78B2" w:rsidRDefault="00791406">
      <w:pPr>
        <w:numPr>
          <w:ilvl w:val="1"/>
          <w:numId w:val="10"/>
        </w:numPr>
        <w:tabs>
          <w:tab w:val="clear" w:pos="709"/>
        </w:tabs>
        <w:rPr>
          <w:rFonts w:ascii="Palatino Linotype" w:hAnsi="Palatino Linotype"/>
          <w:sz w:val="22"/>
          <w:szCs w:val="22"/>
        </w:rPr>
      </w:pPr>
      <w:r>
        <w:rPr>
          <w:rFonts w:ascii="Palatino Linotype" w:hAnsi="Palatino Linotype"/>
          <w:sz w:val="22"/>
          <w:szCs w:val="22"/>
        </w:rPr>
        <w:t>As deliberações tomadas pelos Debenturistas, no âmbito de sua competência legal, observados os quóruns previstos nesta Escritura de Emissão, serão válidas e eficazes perante a Companhia e obrigarão todos os Debenturistas, independentemente de seu comparecimento ou voto na respectiva assembleia geral de Debenturistas.</w:t>
      </w:r>
    </w:p>
    <w:p w:rsidR="00DE78B2" w:rsidRDefault="00791406">
      <w:pPr>
        <w:numPr>
          <w:ilvl w:val="1"/>
          <w:numId w:val="10"/>
        </w:numPr>
        <w:tabs>
          <w:tab w:val="clear" w:pos="709"/>
        </w:tabs>
        <w:rPr>
          <w:rFonts w:ascii="Palatino Linotype" w:hAnsi="Palatino Linotype"/>
          <w:sz w:val="22"/>
          <w:szCs w:val="22"/>
        </w:rPr>
      </w:pPr>
      <w:r>
        <w:rPr>
          <w:rFonts w:ascii="Palatino Linotype" w:hAnsi="Palatino Linotype"/>
          <w:sz w:val="22"/>
          <w:szCs w:val="22"/>
        </w:rPr>
        <w:t xml:space="preserve">Fica desde já certo e ajustado que esta Escritura de Emissão poderá ser alterada, sem a necessidade de aprovação pelos Debenturistas, desde que não haja qualquer custo ou despesa adicional para os Debenturistas e somente quando tal alteração decorrer (i) da necessidade de atendimento a exigências de adequação a normas legais, regulamentares ou exigências da CVM, da ANBIMA, conforme aplicável, ou da B3; </w:t>
      </w:r>
      <w:r>
        <w:rPr>
          <w:rFonts w:ascii="Palatino Linotype" w:hAnsi="Palatino Linotype"/>
          <w:sz w:val="22"/>
          <w:szCs w:val="22"/>
        </w:rPr>
        <w:lastRenderedPageBreak/>
        <w:t>(ii) de correção de erro de digitação; ou (iii) da atualização dos dados cadastrais das partes, tais como alteração na denominação social, endereço e telefone, entre outros.</w:t>
      </w:r>
    </w:p>
    <w:p w:rsidR="00DE78B2" w:rsidRDefault="00791406">
      <w:pPr>
        <w:numPr>
          <w:ilvl w:val="1"/>
          <w:numId w:val="10"/>
        </w:numPr>
        <w:tabs>
          <w:tab w:val="clear" w:pos="709"/>
        </w:tabs>
        <w:rPr>
          <w:rFonts w:ascii="Palatino Linotype" w:hAnsi="Palatino Linotype"/>
          <w:sz w:val="22"/>
          <w:szCs w:val="22"/>
        </w:rPr>
      </w:pPr>
      <w:r>
        <w:rPr>
          <w:rFonts w:ascii="Palatino Linotype" w:hAnsi="Palatino Linotype"/>
          <w:sz w:val="22"/>
          <w:szCs w:val="22"/>
        </w:rPr>
        <w:t>O Agente Fiduciário deverá comparecer às assembleias gerais de Debenturistas e prestar aos Debenturistas as informações que lhe forem solicitadas.</w:t>
      </w:r>
    </w:p>
    <w:p w:rsidR="00DE78B2" w:rsidRDefault="00791406">
      <w:pPr>
        <w:numPr>
          <w:ilvl w:val="1"/>
          <w:numId w:val="10"/>
        </w:numPr>
        <w:tabs>
          <w:tab w:val="clear" w:pos="709"/>
        </w:tabs>
        <w:rPr>
          <w:rFonts w:ascii="Palatino Linotype" w:hAnsi="Palatino Linotype"/>
          <w:sz w:val="22"/>
          <w:szCs w:val="22"/>
        </w:rPr>
      </w:pPr>
      <w:r>
        <w:rPr>
          <w:rFonts w:ascii="Palatino Linotype" w:hAnsi="Palatino Linotype"/>
          <w:sz w:val="22"/>
          <w:szCs w:val="22"/>
        </w:rPr>
        <w:t>Aplica-se às assembleias gerais de Debenturistas, no que couber, o disposto na Lei das Sociedades por Ações, sobre a assembleia geral de acionistas.</w:t>
      </w:r>
    </w:p>
    <w:p w:rsidR="00DE78B2" w:rsidRDefault="00DE78B2">
      <w:pPr>
        <w:rPr>
          <w:rFonts w:ascii="Palatino Linotype" w:hAnsi="Palatino Linotype"/>
          <w:sz w:val="22"/>
          <w:szCs w:val="22"/>
        </w:rPr>
      </w:pPr>
    </w:p>
    <w:p w:rsidR="00DE78B2" w:rsidRDefault="00791406">
      <w:pPr>
        <w:pStyle w:val="PargrafodaLista"/>
        <w:keepNext/>
        <w:numPr>
          <w:ilvl w:val="0"/>
          <w:numId w:val="10"/>
        </w:numPr>
        <w:rPr>
          <w:rFonts w:ascii="Palatino Linotype" w:hAnsi="Palatino Linotype"/>
          <w:smallCaps/>
          <w:sz w:val="22"/>
          <w:szCs w:val="22"/>
          <w:u w:val="single"/>
        </w:rPr>
      </w:pPr>
      <w:bookmarkStart w:id="153" w:name="h.4du1wux" w:colFirst="0" w:colLast="0"/>
      <w:bookmarkEnd w:id="153"/>
      <w:r>
        <w:rPr>
          <w:rFonts w:ascii="Palatino Linotype" w:hAnsi="Palatino Linotype"/>
          <w:smallCaps/>
          <w:sz w:val="22"/>
          <w:szCs w:val="22"/>
          <w:u w:val="single"/>
        </w:rPr>
        <w:t>Declarações da Companhia</w:t>
      </w:r>
    </w:p>
    <w:p w:rsidR="00DE78B2" w:rsidRDefault="00791406">
      <w:pPr>
        <w:numPr>
          <w:ilvl w:val="1"/>
          <w:numId w:val="10"/>
        </w:numPr>
        <w:rPr>
          <w:rFonts w:ascii="Palatino Linotype" w:hAnsi="Palatino Linotype"/>
          <w:sz w:val="22"/>
          <w:szCs w:val="22"/>
        </w:rPr>
      </w:pPr>
      <w:bookmarkStart w:id="154" w:name="h.2szc72q" w:colFirst="0" w:colLast="0"/>
      <w:bookmarkStart w:id="155" w:name="_Ref437376522"/>
      <w:bookmarkEnd w:id="154"/>
      <w:r>
        <w:rPr>
          <w:rFonts w:ascii="Palatino Linotype" w:hAnsi="Palatino Linotype"/>
          <w:sz w:val="22"/>
          <w:szCs w:val="22"/>
        </w:rPr>
        <w:t>A Companhia, neste ato, declara que:</w:t>
      </w:r>
      <w:bookmarkEnd w:id="155"/>
      <w:r>
        <w:rPr>
          <w:rFonts w:ascii="Palatino Linotype" w:hAnsi="Palatino Linotype"/>
          <w:sz w:val="22"/>
          <w:szCs w:val="22"/>
        </w:rPr>
        <w:t xml:space="preserve">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é sociedade devidamente organizada, constituída e existente sob a forma de sociedade por ações, de acordo com as leis brasileiras, com registro de emissor de valores mobiliários perante a CVM, categoria “A”, bem como está devidamente autorizada a desempenhar as atividades descritas em seu objeto social;</w:t>
      </w:r>
    </w:p>
    <w:p w:rsidR="00DE78B2" w:rsidRDefault="00791406">
      <w:pPr>
        <w:numPr>
          <w:ilvl w:val="2"/>
          <w:numId w:val="10"/>
        </w:numPr>
        <w:rPr>
          <w:rFonts w:ascii="Palatino Linotype" w:hAnsi="Palatino Linotype"/>
          <w:sz w:val="22"/>
          <w:szCs w:val="22"/>
        </w:rPr>
      </w:pPr>
      <w:bookmarkStart w:id="156" w:name="h.184mhaj" w:colFirst="0" w:colLast="0"/>
      <w:bookmarkEnd w:id="156"/>
      <w:r>
        <w:rPr>
          <w:rFonts w:ascii="Palatino Linotype" w:hAnsi="Palatino Linotype"/>
          <w:sz w:val="22"/>
          <w:szCs w:val="22"/>
        </w:rPr>
        <w:t xml:space="preserve">está devidamente autorizada a celebrar esta Escritura de Emissão e os demais documentos da Oferta, e a cumprir todas as obrigações nela previstas, tendo sido satisfeitos todos os requisitos legais, contratuais e estatutários necessários para tanto;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cada uma de suas controladas foi devidamente constituída e é uma sociedade existente de acordo com as respectivas leis de suas respectivas jurisdições;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a celebração desta Escritura de Emissão e o cumprimento das obrigações aqui previstas não infringem nenhuma obrigação anteriormente assumida pela Emissora;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os representantes legais que assinam esta Escritura de Emissão e os demais documentos da Oferta, têm poderes estatutários e/ou delegados para assumir, em seu nome, as obrigações ora estabelecidas e, sendo mandatários, tiveram os poderes legitimamente outorgados, estando os respectivos mandatos em pleno vigor e efeito;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a celebração da Escritura de Emissão, a colocação das Debêntures e o cumprimento das obrigações previstas nesta Escritura de Emissão não infringem nenhuma disposição legal, disposições de seu estatuto social, contratos ou instrumentos dos quais a Emissora seja parte, nem irá resultar em: (a) vencimento antecipado de qualquer obrigação estabelecida em qualquer desses contratos ou instrumentos; (b) criação de quaisquer ônus sobre qualquer ativo ou bem da Emissora, exceto por aqueles já existentes nesta data; (c) rescisão de qualquer desses contratos ou instrumentos; ou (d) descumprimento de qualquer ordem, decisão ou sentença </w:t>
      </w:r>
      <w:r>
        <w:rPr>
          <w:rFonts w:ascii="Palatino Linotype" w:hAnsi="Palatino Linotype"/>
          <w:sz w:val="22"/>
          <w:szCs w:val="22"/>
        </w:rPr>
        <w:lastRenderedPageBreak/>
        <w:t xml:space="preserve">administrativa, judicial ou arbitral, que já tenha sido proferida em qualquer processo ou procedimento de que a Emissora seja parte;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as informações prestadas por ocasião da Oferta e constantes desta Escritura de Emissão são verdadeiras, consistentes, corretas e suficientes, permitindo aos investidores uma tomada de decisão fundamentada a respeito da Oferta;</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todo registro, consentimento, autorização, aprovação, licença, ordem de, ou qualificação perante qualquer órgão público ou regulatório, exigido para o cumprimento, pela Emissora, de suas obrigações nos termos desta Escritura de Emissão e das Debêntures, ou para a realização da Emissão, foi obtido ou encontra-se em processo de obtenção;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não tem nenhuma ligação com o Agente Fiduciário que o impeça de exercer, plenamente, suas funções em relação à Emissão;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não tem conhecimento de fato que impeça o Agente Fiduciário de exercer, plenamente, suas funções, nos termos da Lei das Sociedades por Ações e demais normas aplicáveis, inclusive regulamentares;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não omitiu nenhum fato relevante, de qualquer natureza, que seja de seu conhecimento e que possa resultar em alteração substancial adversa de suas situações econômico-financeira, jurídica ou de suas atividades em prejuízo dos Debenturistas, observado o disposto na Instrução CVM nº 358, de 3 de janeiro de 2002, conforme alterada;</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não existem quaisquer processos administrativos, arbitrais ou judiciais, inquéritos ou outro tipo de investigação governamental, que possam de qualquer modo afetar negativa e materialmente a capacidade financeira da Emissora de cumprir com suas obrigações decorrentes desta Escritura de Emissão e das Debêntures;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está cumprindo as leis, regulamentos, normas administrativas e determinações dos órgãos governamentais, autarquias ou tribunais, relevantes e aplicáveis à condução de seus negócios, inclusive com o disposto na legislação em vigor pertinente à Política Nacional do Meio Ambiente, às Resoluções do Conselho Nacional do Meio Ambiente – CONAMA e às demais legislações e regulamentações ambientais supletivas, adotando as medidas e ações preventivas ou reparatórias destinadas a evitar ou corrigir eventuais danos ambientais decorrentes do exercício das atividades descritas em seu objeto social;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tem, ou encontra-se em processo de obtenção e/ou renovação de todas as autorizações e licenças (inclusive ambientais) relevantes e aplicáveis exigidas pelas autoridades federais, estaduais e municipais para o exercício de suas atividades;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lastRenderedPageBreak/>
        <w:t>as demonstrações financeiras consolidadas da Emissora relativas ao exercício social encerrado em 31 de dezembro de 2017, 2016 e 2015 e as informações financeiras referente ao período de nove meses encerrado em 30 de setembro de 2018 representam corretamente a posição patrimonial e financeira da Emissora naquelas datas e foram devidamente elaboradas em conformidade com os princípios contábeis geralmente aceitos no Brasil e refletem corretamente os ativos, passivos e contingências da Emissora de forma consolidada, não tendo ocorrido qualquer alteração relevante nem aumento substancial do endividamento desde a data das demonstrações financeiras referentes ao período de nove meses encerrado em 30 de setembro de 2018;</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cumpre e faz com que quaisquer sociedades do seu Grupo Econômico, seus respectivos diretores, membros de conselho de administração, funcionários, fornecedores e contratados agindo em nome e benefício da Emissora e/ou de sociedades de seu Grupo Econômico, cumpram as normas aplicáveis que versam sobre atos de corrupção e atos lesivos contra a administração pública, incluindo, mas não se limitando, as normas estrangerias que sejam aplicáveis à Emissora, as Leis Anticorrupção, na medida em que (i) mantém políticas e procedimentos internos que asseguram integral cumprimento de tais normas; (ii) dá pleno conhecimento de tais normas e obriga seus contratados, que venham a se relacionar com a Emissora, previamente ao início de sua atuação no âmbito deste documento, ao cumprimento de tais normas; (iii) abstém-se de praticar atos de corrupção e de agir de forma lesiva à administração pública, nacional e estrangeira, no seu interesse ou para seu benefício, exclusivo ou não; e (iv) caso, após efetuar as devidas averiguações internas, tenha conhecimento de qualquer ato ou fato que viole aludidas normas, comunicará, em até 5 (cinco) Dias Úteis contados da ciência do fato, o Agente Fiduciário que poderá tomar todas as providências que entender necessárias;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nem a Emissora e nem quaisquer sociedades do seu Grupo Econômico, seus respectivos diretores e membros de conselho de administração não tem ciência de que os seus funcionários, fornecedores e contratados, agindo em nome e benefício da Companhia e/ou de qualquer sociedade do seu Grupo Econômico, incorreram nas seguintes hipóteses: (a) ter utilizado ou utilizar recursos da Emissora e/ou das sociedades do Grupo Econômico, conforme o caso, para o pagamento de contribuições, presentes ou atividades de entretenimento ilegais ou qualquer outra despesa ilegal relativa a atividade política; (b) fazer ou ter feito qualquer pagamento ilegal, direto ou indireto, a empregados ou funcionários públicos, partidos políticos, políticos ou candidatos políticos (incluindo seus familiares), nacionais ou estrangeiros; (c) ter realizado ou realiza ação destinada a facilitar uma oferta, pagamento ou promessa ilegal de </w:t>
      </w:r>
      <w:r>
        <w:rPr>
          <w:rFonts w:ascii="Palatino Linotype" w:hAnsi="Palatino Linotype"/>
          <w:sz w:val="22"/>
          <w:szCs w:val="22"/>
        </w:rPr>
        <w:lastRenderedPageBreak/>
        <w:t>pagamento,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 ou ter praticado quaisquer atos para obter ou manter qualquer negócio, transação ou vantagem comercial indevida; (e) ter realizado ou realiza qualquer pagamento ou tomar qualquer ação que viole qualquer das Leis Anticorrupção; (f) ter realizado ou realizar um ato de corrupção, pago propina ou qualquer outro valor ilegal, bem como influenciado o pagamento de qualquer valor indevido;</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tem plena ciência e concordam integralmente com a forma de divulgação e apuração da Taxa DI, divulgada pela B3, e que a forma de cálculo dos Juros Remuneratórios das Debêntures foi acordada por sua livre vontade, em observância ao princípio da boa-fé;</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mantém, bem como as suas Controladas Relevantes mantêm seus bens adequadamente segurados, conforme práticas correntes e de acordo com as políticas internas da Emissora;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esta Escritura de Emissão e as obrigações nela previstas constituem obrigações lícitas, válidas e vinculantes da Emissora, exequíveis de acordo com os seus termos e condições, com força de título executivo extrajudicial, nos termos do artigo 784 da Lei n.º 13.105, de 16 de março de 2015, conforme alterada ("</w:t>
      </w:r>
      <w:r>
        <w:rPr>
          <w:rFonts w:ascii="Palatino Linotype" w:hAnsi="Palatino Linotype"/>
          <w:sz w:val="22"/>
          <w:szCs w:val="22"/>
          <w:u w:val="single"/>
        </w:rPr>
        <w:t>Código de Processo Civil</w:t>
      </w:r>
      <w:r>
        <w:rPr>
          <w:rFonts w:ascii="Palatino Linotype" w:hAnsi="Palatino Linotype"/>
          <w:sz w:val="22"/>
          <w:szCs w:val="22"/>
        </w:rPr>
        <w:t>");</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cumpre de forma regular e integral todas as normas e leis trabalhistas e relativas a saúde e segurança do trabalho e não se utiliza de trabalho infantil ou análogo a escravo;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a Emissora observa a legislação em vigor, em especial a legislação trabalhista, previdenciária e ambiental, de forma que (i) não utiliza, direta ou indiretamente, trabalho em condições análogas às de escravo ou trabalho infantil; (ii) as contratações de seus trabalhadores são realizadas nos termos da legislação em vigor; (iii) cumpre as obrigações decorrentes dos respectivos contratos de trabalho e da legislação trabalhista e previdenciária em vigor; (iv) cumpre a legislação aplicável à proteção do meio ambiente, bem como à saúde e segurança do trabalho; (v) detém todas as permissões, licenças, autorizações e aprovações necessárias para o exercício de suas atividades, em conformidade com a legislação ambiental aplicável, exceto por aquelas que sejam, de boa-fé, discutidas judicial ou administrativamente pela Emissora e/ou estejam em processo </w:t>
      </w:r>
      <w:r>
        <w:rPr>
          <w:rFonts w:ascii="Palatino Linotype" w:hAnsi="Palatino Linotype"/>
          <w:sz w:val="22"/>
          <w:szCs w:val="22"/>
        </w:rPr>
        <w:lastRenderedPageBreak/>
        <w:t xml:space="preserve">de renovação e desde que a ausência não possa causar um Efeito Adverso Relevante; e (vi) possui todos os registros necessários, em conformidade com a legislação civil e ambiental aplicável;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a Emissora não tem conhecimento de qualquer ação judicial, procedimento administrativo ou arbitral, inquérito ou investigação pendente ou iminente, inclusive de natureza ambiental, envolvendo ou que possa afetar a Emissora perante qualquer tribunal, órgão governamental ou árbitro que causem ou possam causar um Efeito Adverso Relevante;</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o registro de companhia aberta da Emissora está atualizado perante a CVM, e a Emissora cumpre a regulamentação aplicável à companhia aberta, inclusive no que tange à Instrução CVM 358, sendo que as informações constantes do Formulário de Referência da Emissora, elaborado nos termos da Instrução CVM 480, são verdadeiras, consistentes, corretas e suficientes;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cumprirá com todas as obrigações assumidas nos termos desta Escritura de Emissão, incluindo, mas não se limitando, à obrigação de destinar os recursos obtidos com a Emissão aos fins previstos nesta Escritura de Emissão;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 xml:space="preserve">inexiste descumprimento de qualquer disposição contratual, legal ou de qualquer ordem judicial, administrativa ou arbitral, em qualquer dos casos, visando a anular, alterar, invalidar, questionar ou de qualquer forma afetar qualquer das obrigações decorrentes das Debêntures; </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até a presente data, a Emissora preparou e entregou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ou não possam causar um Efeito Adverso Relevante; e</w:t>
      </w:r>
    </w:p>
    <w:p w:rsidR="00DE78B2" w:rsidRDefault="00791406">
      <w:pPr>
        <w:numPr>
          <w:ilvl w:val="2"/>
          <w:numId w:val="10"/>
        </w:numPr>
        <w:rPr>
          <w:rFonts w:ascii="Palatino Linotype" w:hAnsi="Palatino Linotype"/>
          <w:sz w:val="22"/>
          <w:szCs w:val="22"/>
        </w:rPr>
      </w:pPr>
      <w:r>
        <w:rPr>
          <w:rFonts w:ascii="Palatino Linotype" w:hAnsi="Palatino Linotype"/>
          <w:sz w:val="22"/>
          <w:szCs w:val="22"/>
        </w:rPr>
        <w:t>tem plena ciência de que, nos termos do artigo 9º da Instrução CVM 476, a Emissora não poderá realizar outra oferta pública da mesma espécie de valores mobiliários dentro do prazo de 4 (quatro) meses contados da data da comunicação à CVM do encerramento ou do cancelamento da Oferta Restrita, a menos que a nova oferta seja submetida a registro na CVM.</w:t>
      </w:r>
    </w:p>
    <w:p w:rsidR="00DE78B2" w:rsidRDefault="00791406">
      <w:pPr>
        <w:numPr>
          <w:ilvl w:val="1"/>
          <w:numId w:val="10"/>
        </w:numPr>
        <w:rPr>
          <w:rFonts w:ascii="Palatino Linotype" w:hAnsi="Palatino Linotype"/>
          <w:sz w:val="22"/>
          <w:szCs w:val="22"/>
        </w:rPr>
      </w:pPr>
      <w:bookmarkStart w:id="157" w:name="h.3s49zyc" w:colFirst="0" w:colLast="0"/>
      <w:bookmarkStart w:id="158" w:name="_Ref437376526"/>
      <w:bookmarkEnd w:id="157"/>
      <w:r>
        <w:rPr>
          <w:rFonts w:ascii="Palatino Linotype" w:hAnsi="Palatino Linotype"/>
          <w:sz w:val="22"/>
          <w:szCs w:val="22"/>
        </w:rPr>
        <w:lastRenderedPageBreak/>
        <w:t>A Companhia obriga-se, de forma irrevogável e irretratável, a indenizar os Debenturistas e o Agente Fiduciário por todos e quaisquer prejuízos, danos, perdas, custos e/ou despesas (incluindo custas judiciais e honorários advocatícios) diretamente incorridos e comprovados pelos Debenturistas e/ou pelo Agente Fiduciário em razão da falsidade e/ou incorreção de qualquer das declarações prestadas nos termos da Cláusula </w:t>
      </w:r>
      <w:r>
        <w:rPr>
          <w:rFonts w:ascii="Palatino Linotype" w:hAnsi="Palatino Linotype"/>
          <w:sz w:val="22"/>
          <w:szCs w:val="22"/>
        </w:rPr>
        <w:fldChar w:fldCharType="begin"/>
      </w:r>
      <w:r>
        <w:rPr>
          <w:rFonts w:ascii="Palatino Linotype" w:hAnsi="Palatino Linotype"/>
          <w:sz w:val="22"/>
          <w:szCs w:val="22"/>
        </w:rPr>
        <w:instrText xml:space="preserve"> REF _Ref437376522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10.1 acima</w:t>
      </w:r>
      <w:r>
        <w:rPr>
          <w:rFonts w:ascii="Palatino Linotype" w:hAnsi="Palatino Linotype"/>
          <w:sz w:val="22"/>
          <w:szCs w:val="22"/>
        </w:rPr>
        <w:fldChar w:fldCharType="end"/>
      </w:r>
      <w:r>
        <w:rPr>
          <w:rFonts w:ascii="Palatino Linotype" w:hAnsi="Palatino Linotype"/>
          <w:sz w:val="22"/>
          <w:szCs w:val="22"/>
        </w:rPr>
        <w:t>.</w:t>
      </w:r>
      <w:bookmarkEnd w:id="158"/>
    </w:p>
    <w:p w:rsidR="00DE78B2" w:rsidRDefault="00791406">
      <w:pPr>
        <w:numPr>
          <w:ilvl w:val="1"/>
          <w:numId w:val="10"/>
        </w:numPr>
        <w:rPr>
          <w:rFonts w:ascii="Palatino Linotype" w:hAnsi="Palatino Linotype"/>
          <w:sz w:val="22"/>
          <w:szCs w:val="22"/>
        </w:rPr>
      </w:pPr>
      <w:r>
        <w:rPr>
          <w:rFonts w:ascii="Palatino Linotype" w:hAnsi="Palatino Linotype"/>
          <w:sz w:val="22"/>
          <w:szCs w:val="22"/>
        </w:rPr>
        <w:t>Sem prejuízo do disposto na Cláusula </w:t>
      </w:r>
      <w:r>
        <w:rPr>
          <w:rFonts w:ascii="Palatino Linotype" w:hAnsi="Palatino Linotype"/>
          <w:sz w:val="22"/>
          <w:szCs w:val="22"/>
        </w:rPr>
        <w:fldChar w:fldCharType="begin"/>
      </w:r>
      <w:r>
        <w:rPr>
          <w:rFonts w:ascii="Palatino Linotype" w:hAnsi="Palatino Linotype"/>
          <w:sz w:val="22"/>
          <w:szCs w:val="22"/>
        </w:rPr>
        <w:instrText xml:space="preserve"> REF _Ref437376526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10.2 acima</w:t>
      </w:r>
      <w:r>
        <w:rPr>
          <w:rFonts w:ascii="Palatino Linotype" w:hAnsi="Palatino Linotype"/>
          <w:sz w:val="22"/>
          <w:szCs w:val="22"/>
        </w:rPr>
        <w:fldChar w:fldCharType="end"/>
      </w:r>
      <w:r>
        <w:rPr>
          <w:rFonts w:ascii="Palatino Linotype" w:hAnsi="Palatino Linotype"/>
          <w:sz w:val="22"/>
          <w:szCs w:val="22"/>
        </w:rPr>
        <w:t>, a Companhia obriga-se a notificar o Agente Fiduciário, no prazo de 2 (dois) Dias Úteis contados da data em que tomar conhecimento, caso qualquer das declarações prestadas nos termos da Cláusula </w:t>
      </w:r>
      <w:r>
        <w:rPr>
          <w:rFonts w:ascii="Palatino Linotype" w:hAnsi="Palatino Linotype"/>
          <w:sz w:val="22"/>
          <w:szCs w:val="22"/>
        </w:rPr>
        <w:fldChar w:fldCharType="begin"/>
      </w:r>
      <w:r>
        <w:rPr>
          <w:rFonts w:ascii="Palatino Linotype" w:hAnsi="Palatino Linotype"/>
          <w:sz w:val="22"/>
          <w:szCs w:val="22"/>
        </w:rPr>
        <w:instrText xml:space="preserve"> REF _Ref437376522 \n \p \h  \* MERGEFORMAT </w:instrText>
      </w:r>
      <w:r>
        <w:rPr>
          <w:rFonts w:ascii="Palatino Linotype" w:hAnsi="Palatino Linotype"/>
          <w:sz w:val="22"/>
          <w:szCs w:val="22"/>
        </w:rPr>
      </w:r>
      <w:r>
        <w:rPr>
          <w:rFonts w:ascii="Palatino Linotype" w:hAnsi="Palatino Linotype"/>
          <w:sz w:val="22"/>
          <w:szCs w:val="22"/>
        </w:rPr>
        <w:fldChar w:fldCharType="separate"/>
      </w:r>
      <w:r w:rsidR="00FA442F">
        <w:rPr>
          <w:rFonts w:ascii="Palatino Linotype" w:hAnsi="Palatino Linotype"/>
          <w:sz w:val="22"/>
          <w:szCs w:val="22"/>
        </w:rPr>
        <w:t>10.1 acima</w:t>
      </w:r>
      <w:r>
        <w:rPr>
          <w:rFonts w:ascii="Palatino Linotype" w:hAnsi="Palatino Linotype"/>
          <w:sz w:val="22"/>
          <w:szCs w:val="22"/>
        </w:rPr>
        <w:fldChar w:fldCharType="end"/>
      </w:r>
      <w:r>
        <w:rPr>
          <w:rFonts w:ascii="Palatino Linotype" w:hAnsi="Palatino Linotype"/>
          <w:sz w:val="22"/>
          <w:szCs w:val="22"/>
        </w:rPr>
        <w:t xml:space="preserve"> seja falsa e/ou incorreta em qualquer das datas em que foi prestada.</w:t>
      </w:r>
    </w:p>
    <w:p w:rsidR="00DE78B2" w:rsidRDefault="00DE78B2">
      <w:pPr>
        <w:rPr>
          <w:rFonts w:ascii="Palatino Linotype" w:hAnsi="Palatino Linotype"/>
          <w:sz w:val="22"/>
          <w:szCs w:val="22"/>
        </w:rPr>
      </w:pPr>
    </w:p>
    <w:p w:rsidR="00DE78B2" w:rsidRDefault="00791406">
      <w:pPr>
        <w:keepNext/>
        <w:numPr>
          <w:ilvl w:val="0"/>
          <w:numId w:val="10"/>
        </w:numPr>
        <w:rPr>
          <w:rFonts w:ascii="Palatino Linotype" w:hAnsi="Palatino Linotype"/>
          <w:smallCaps/>
          <w:sz w:val="22"/>
          <w:szCs w:val="22"/>
          <w:u w:val="single"/>
        </w:rPr>
      </w:pPr>
      <w:r>
        <w:rPr>
          <w:rFonts w:ascii="Palatino Linotype" w:hAnsi="Palatino Linotype"/>
          <w:smallCaps/>
          <w:sz w:val="22"/>
          <w:szCs w:val="22"/>
          <w:u w:val="single"/>
        </w:rPr>
        <w:t>Despesas</w:t>
      </w:r>
    </w:p>
    <w:p w:rsidR="00DE78B2" w:rsidRDefault="00791406">
      <w:pPr>
        <w:numPr>
          <w:ilvl w:val="1"/>
          <w:numId w:val="10"/>
        </w:numPr>
        <w:rPr>
          <w:rFonts w:ascii="Palatino Linotype" w:hAnsi="Palatino Linotype"/>
          <w:sz w:val="22"/>
          <w:szCs w:val="22"/>
        </w:rPr>
      </w:pPr>
      <w:r>
        <w:rPr>
          <w:rFonts w:ascii="Palatino Linotype" w:hAnsi="Palatino Linotype"/>
          <w:sz w:val="22"/>
          <w:szCs w:val="22"/>
        </w:rPr>
        <w:t>Correrão por conta da Companhia todos os custos incorridos com a Oferta ou com a estruturação, emissão, registro e execução das Debêntures, incluindo publicações, inscrições, registros, contratação do Agente Fiduciário, do Escriturador, do Banco Liquidante, do Auditor Independente, da(s) agência(s) de classificação de risco e dos demais prestadores de serviços, e quaisquer outros custos relacionados às Debêntures.</w:t>
      </w:r>
    </w:p>
    <w:p w:rsidR="00DE78B2" w:rsidRDefault="00DE78B2">
      <w:pPr>
        <w:rPr>
          <w:rFonts w:ascii="Palatino Linotype" w:hAnsi="Palatino Linotype"/>
          <w:sz w:val="22"/>
          <w:szCs w:val="22"/>
        </w:rPr>
      </w:pPr>
    </w:p>
    <w:p w:rsidR="00DE78B2" w:rsidRDefault="00791406">
      <w:pPr>
        <w:keepNext/>
        <w:numPr>
          <w:ilvl w:val="0"/>
          <w:numId w:val="10"/>
        </w:numPr>
        <w:rPr>
          <w:rFonts w:ascii="Palatino Linotype" w:hAnsi="Palatino Linotype"/>
          <w:smallCaps/>
          <w:sz w:val="22"/>
          <w:szCs w:val="22"/>
          <w:u w:val="single"/>
        </w:rPr>
      </w:pPr>
      <w:bookmarkStart w:id="159" w:name="_Ref533029685"/>
      <w:bookmarkStart w:id="160" w:name="_Ref437375753"/>
      <w:r>
        <w:rPr>
          <w:rFonts w:ascii="Palatino Linotype" w:hAnsi="Palatino Linotype"/>
          <w:smallCaps/>
          <w:sz w:val="22"/>
          <w:szCs w:val="22"/>
          <w:u w:val="single"/>
        </w:rPr>
        <w:t>Comunicações</w:t>
      </w:r>
      <w:bookmarkEnd w:id="159"/>
    </w:p>
    <w:p w:rsidR="00DE78B2" w:rsidRDefault="00791406">
      <w:pPr>
        <w:numPr>
          <w:ilvl w:val="1"/>
          <w:numId w:val="10"/>
        </w:numPr>
        <w:rPr>
          <w:rFonts w:ascii="Palatino Linotype" w:hAnsi="Palatino Linotype"/>
          <w:sz w:val="22"/>
          <w:szCs w:val="22"/>
        </w:rPr>
      </w:pPr>
      <w:r>
        <w:rPr>
          <w:rFonts w:ascii="Palatino Linotype" w:hAnsi="Palatino Linotype"/>
          <w:sz w:val="22"/>
          <w:szCs w:val="22"/>
        </w:rPr>
        <w:t>Todas as comunicações realizadas nos termos desta Escritura de Emissão devem ser sempre realizadas por escrito, para os endereços abaixo, e serão consideradas recebidas quando entregues, sob protocolo ou mediante "aviso de recebimento" expedido pela Empresa Brasileira de Correios e Telégrafos. As comunicações realizadas por correio eletrônico serão consideradas recebidas na data de seu envio, desde que seu recebimento seja confirmado por meio de indicativo (recibo emitido pela máquina utilizada pelo remetente). A alteração de qualquer dos endereços abaixo deverá ser comunicada às demais partes pela parte que tiver seu endereço alterado.</w:t>
      </w:r>
      <w:bookmarkEnd w:id="160"/>
    </w:p>
    <w:p w:rsidR="00DE78B2" w:rsidRDefault="00791406">
      <w:pPr>
        <w:keepNext/>
        <w:numPr>
          <w:ilvl w:val="2"/>
          <w:numId w:val="10"/>
        </w:numPr>
        <w:rPr>
          <w:rFonts w:ascii="Palatino Linotype" w:hAnsi="Palatino Linotype"/>
          <w:sz w:val="22"/>
          <w:szCs w:val="22"/>
        </w:rPr>
      </w:pPr>
      <w:r>
        <w:rPr>
          <w:rFonts w:ascii="Palatino Linotype" w:hAnsi="Palatino Linotype"/>
          <w:sz w:val="22"/>
          <w:szCs w:val="22"/>
        </w:rPr>
        <w:t>para a Companhia:</w:t>
      </w:r>
    </w:p>
    <w:p w:rsidR="00DE78B2" w:rsidRDefault="00791406">
      <w:pPr>
        <w:keepLines/>
        <w:ind w:left="1701"/>
        <w:jc w:val="left"/>
        <w:rPr>
          <w:rFonts w:ascii="Palatino Linotype" w:hAnsi="Palatino Linotype"/>
          <w:sz w:val="22"/>
          <w:szCs w:val="22"/>
        </w:rPr>
      </w:pPr>
      <w:r>
        <w:rPr>
          <w:rFonts w:ascii="Palatino Linotype" w:hAnsi="Palatino Linotype"/>
          <w:sz w:val="22"/>
          <w:szCs w:val="22"/>
        </w:rPr>
        <w:t xml:space="preserve">Cosan S.A. </w:t>
      </w:r>
      <w:r>
        <w:rPr>
          <w:rFonts w:ascii="Palatino Linotype" w:hAnsi="Palatino Linotype"/>
          <w:sz w:val="22"/>
          <w:szCs w:val="22"/>
        </w:rPr>
        <w:br/>
        <w:t>Av. Brigadeiro Faria Lima, nº 4.100, 16º andar, sala 01</w:t>
      </w:r>
      <w:r>
        <w:rPr>
          <w:rFonts w:ascii="Palatino Linotype" w:hAnsi="Palatino Linotype"/>
          <w:sz w:val="22"/>
          <w:szCs w:val="22"/>
        </w:rPr>
        <w:br/>
        <w:t>04.538-132, São Paulo, SP</w:t>
      </w:r>
      <w:r>
        <w:rPr>
          <w:rFonts w:ascii="Palatino Linotype" w:hAnsi="Palatino Linotype"/>
          <w:sz w:val="22"/>
          <w:szCs w:val="22"/>
        </w:rPr>
        <w:br/>
        <w:t>At.:</w:t>
      </w:r>
      <w:r>
        <w:rPr>
          <w:rFonts w:ascii="Palatino Linotype" w:hAnsi="Palatino Linotype"/>
          <w:sz w:val="22"/>
          <w:szCs w:val="22"/>
        </w:rPr>
        <w:tab/>
      </w:r>
      <w:r>
        <w:rPr>
          <w:rFonts w:ascii="Palatino Linotype" w:hAnsi="Palatino Linotype"/>
          <w:sz w:val="22"/>
          <w:szCs w:val="22"/>
        </w:rPr>
        <w:tab/>
      </w:r>
      <w:r>
        <w:rPr>
          <w:rFonts w:ascii="Palatino Linotype" w:hAnsi="Palatino Linotype"/>
          <w:sz w:val="22"/>
          <w:szCs w:val="22"/>
        </w:rPr>
        <w:tab/>
      </w:r>
      <w:r>
        <w:rPr>
          <w:rFonts w:ascii="Palatino Linotype" w:hAnsi="Palatino Linotype"/>
          <w:sz w:val="22"/>
          <w:szCs w:val="22"/>
        </w:rPr>
        <w:tab/>
        <w:t>Sr. Adriano Ortega Carvalho</w:t>
      </w:r>
      <w:r>
        <w:rPr>
          <w:rFonts w:ascii="Palatino Linotype" w:hAnsi="Palatino Linotype"/>
          <w:sz w:val="22"/>
          <w:szCs w:val="22"/>
        </w:rPr>
        <w:br/>
        <w:t>Telefone:</w:t>
      </w:r>
      <w:r>
        <w:rPr>
          <w:rFonts w:ascii="Palatino Linotype" w:hAnsi="Palatino Linotype"/>
          <w:sz w:val="22"/>
          <w:szCs w:val="22"/>
        </w:rPr>
        <w:tab/>
      </w:r>
      <w:r>
        <w:rPr>
          <w:rFonts w:ascii="Palatino Linotype" w:hAnsi="Palatino Linotype"/>
          <w:sz w:val="22"/>
          <w:szCs w:val="22"/>
        </w:rPr>
        <w:tab/>
      </w:r>
      <w:r>
        <w:rPr>
          <w:rFonts w:ascii="Palatino Linotype" w:hAnsi="Palatino Linotype"/>
          <w:sz w:val="22"/>
          <w:szCs w:val="22"/>
        </w:rPr>
        <w:tab/>
        <w:t>(11) 3897-5975</w:t>
      </w:r>
      <w:r>
        <w:rPr>
          <w:rFonts w:ascii="Palatino Linotype" w:hAnsi="Palatino Linotype"/>
          <w:sz w:val="22"/>
          <w:szCs w:val="22"/>
        </w:rPr>
        <w:br/>
        <w:t>Correio Eletrônico:</w:t>
      </w:r>
      <w:r>
        <w:rPr>
          <w:rFonts w:ascii="Palatino Linotype" w:hAnsi="Palatino Linotype"/>
          <w:sz w:val="22"/>
          <w:szCs w:val="22"/>
        </w:rPr>
        <w:tab/>
        <w:t>adriano.Carvalho@cosan.com</w:t>
      </w:r>
    </w:p>
    <w:p w:rsidR="00DE78B2" w:rsidRDefault="00791406">
      <w:pPr>
        <w:keepNext/>
        <w:numPr>
          <w:ilvl w:val="2"/>
          <w:numId w:val="10"/>
        </w:numPr>
        <w:rPr>
          <w:rFonts w:ascii="Palatino Linotype" w:hAnsi="Palatino Linotype"/>
          <w:sz w:val="22"/>
          <w:szCs w:val="22"/>
        </w:rPr>
      </w:pPr>
      <w:r>
        <w:rPr>
          <w:rFonts w:ascii="Palatino Linotype" w:hAnsi="Palatino Linotype"/>
          <w:sz w:val="22"/>
          <w:szCs w:val="22"/>
        </w:rPr>
        <w:lastRenderedPageBreak/>
        <w:t xml:space="preserve">para o Agente Fiduciário: </w:t>
      </w:r>
    </w:p>
    <w:p w:rsidR="00DE78B2" w:rsidRDefault="00791406">
      <w:pPr>
        <w:keepLines/>
        <w:ind w:left="1701"/>
        <w:jc w:val="left"/>
        <w:rPr>
          <w:rFonts w:ascii="Palatino Linotype" w:hAnsi="Palatino Linotype"/>
          <w:sz w:val="22"/>
          <w:szCs w:val="22"/>
        </w:rPr>
      </w:pPr>
      <w:r>
        <w:rPr>
          <w:rFonts w:ascii="Palatino Linotype" w:hAnsi="Palatino Linotype"/>
          <w:sz w:val="22"/>
          <w:szCs w:val="22"/>
        </w:rPr>
        <w:t xml:space="preserve">Oliveira Trust Distribuidora de Títulos e Valores Mobiliários S.A. </w:t>
      </w:r>
      <w:r>
        <w:rPr>
          <w:rFonts w:ascii="Palatino Linotype" w:hAnsi="Palatino Linotype"/>
          <w:sz w:val="22"/>
          <w:szCs w:val="22"/>
        </w:rPr>
        <w:br/>
        <w:t xml:space="preserve">Avenida das Américas, nº 3.434, bloco 7, sala 201, Barra da Tijuca  </w:t>
      </w:r>
      <w:r>
        <w:rPr>
          <w:rFonts w:ascii="Palatino Linotype" w:hAnsi="Palatino Linotype"/>
          <w:sz w:val="22"/>
          <w:szCs w:val="22"/>
        </w:rPr>
        <w:br/>
        <w:t>CEP 22640-102 - Rio de Janeiro, RJ</w:t>
      </w:r>
      <w:r>
        <w:rPr>
          <w:rFonts w:ascii="Palatino Linotype" w:hAnsi="Palatino Linotype"/>
          <w:sz w:val="22"/>
          <w:szCs w:val="22"/>
        </w:rPr>
        <w:br/>
        <w:t>At.: Antonio Amaro/Maria Carolina Abrantes Lodi de Oliveira</w:t>
      </w:r>
      <w:r>
        <w:rPr>
          <w:rFonts w:ascii="Palatino Linotype" w:hAnsi="Palatino Linotype"/>
          <w:sz w:val="22"/>
          <w:szCs w:val="22"/>
        </w:rPr>
        <w:br/>
        <w:t>Telefone:</w:t>
      </w:r>
      <w:r>
        <w:rPr>
          <w:rFonts w:ascii="Palatino Linotype" w:hAnsi="Palatino Linotype"/>
          <w:sz w:val="22"/>
          <w:szCs w:val="22"/>
        </w:rPr>
        <w:tab/>
        <w:t>(21) 3514-0000</w:t>
      </w:r>
      <w:r>
        <w:rPr>
          <w:rFonts w:ascii="Palatino Linotype" w:hAnsi="Palatino Linotype"/>
          <w:sz w:val="22"/>
          <w:szCs w:val="22"/>
        </w:rPr>
        <w:br/>
        <w:t>Correio Eletrônico:</w:t>
      </w:r>
      <w:r>
        <w:rPr>
          <w:rFonts w:ascii="Palatino Linotype" w:hAnsi="Palatino Linotype"/>
          <w:sz w:val="22"/>
          <w:szCs w:val="22"/>
        </w:rPr>
        <w:tab/>
        <w:t xml:space="preserve">ger2.agente@oliveiratrust.com.br </w:t>
      </w:r>
    </w:p>
    <w:p w:rsidR="00DE78B2" w:rsidRDefault="00DE78B2">
      <w:pPr>
        <w:rPr>
          <w:rFonts w:ascii="Palatino Linotype" w:hAnsi="Palatino Linotype"/>
          <w:sz w:val="22"/>
          <w:szCs w:val="22"/>
        </w:rPr>
      </w:pPr>
    </w:p>
    <w:p w:rsidR="00DE78B2" w:rsidRDefault="00791406">
      <w:pPr>
        <w:keepNext/>
        <w:numPr>
          <w:ilvl w:val="0"/>
          <w:numId w:val="10"/>
        </w:numPr>
        <w:rPr>
          <w:rFonts w:ascii="Palatino Linotype" w:hAnsi="Palatino Linotype"/>
          <w:smallCaps/>
          <w:sz w:val="22"/>
          <w:szCs w:val="22"/>
          <w:u w:val="single"/>
        </w:rPr>
      </w:pPr>
      <w:r>
        <w:rPr>
          <w:rFonts w:ascii="Palatino Linotype" w:hAnsi="Palatino Linotype"/>
          <w:smallCaps/>
          <w:sz w:val="22"/>
          <w:szCs w:val="22"/>
          <w:u w:val="single"/>
        </w:rPr>
        <w:t>Disposições Gerais</w:t>
      </w:r>
    </w:p>
    <w:p w:rsidR="00DE78B2" w:rsidRDefault="00791406">
      <w:pPr>
        <w:numPr>
          <w:ilvl w:val="1"/>
          <w:numId w:val="10"/>
        </w:numPr>
        <w:rPr>
          <w:rFonts w:ascii="Palatino Linotype" w:hAnsi="Palatino Linotype"/>
          <w:sz w:val="22"/>
          <w:szCs w:val="22"/>
        </w:rPr>
      </w:pPr>
      <w:r>
        <w:rPr>
          <w:rFonts w:ascii="Palatino Linotype" w:hAnsi="Palatino Linotype"/>
          <w:sz w:val="22"/>
          <w:szCs w:val="22"/>
        </w:rPr>
        <w:t>As obrigações assumidas nesta Escritura de Emissão têm caráter irrevogável e irretratável, obrigando as partes e seus sucessores, a qualquer título, ao seu integral cumprimento.</w:t>
      </w:r>
    </w:p>
    <w:p w:rsidR="00DE78B2" w:rsidRDefault="00791406">
      <w:pPr>
        <w:numPr>
          <w:ilvl w:val="1"/>
          <w:numId w:val="10"/>
        </w:numPr>
        <w:rPr>
          <w:rFonts w:ascii="Palatino Linotype" w:hAnsi="Palatino Linotype"/>
          <w:sz w:val="22"/>
          <w:szCs w:val="22"/>
        </w:rPr>
      </w:pPr>
      <w:r>
        <w:rPr>
          <w:rFonts w:ascii="Palatino Linotype" w:hAnsi="Palatino Linotype"/>
          <w:sz w:val="22"/>
          <w:szCs w:val="22"/>
        </w:rPr>
        <w:t>Qualquer alteração a esta Escritura de Emissão somente será considerada eficaz e válida se formalizada por escrito, em instrumento próprio assinado por todas as partes.</w:t>
      </w:r>
    </w:p>
    <w:p w:rsidR="00DE78B2" w:rsidRDefault="00791406">
      <w:pPr>
        <w:numPr>
          <w:ilvl w:val="1"/>
          <w:numId w:val="10"/>
        </w:numPr>
        <w:rPr>
          <w:rFonts w:ascii="Palatino Linotype" w:hAnsi="Palatino Linotype"/>
          <w:sz w:val="22"/>
          <w:szCs w:val="22"/>
        </w:rPr>
      </w:pPr>
      <w:r>
        <w:rPr>
          <w:rFonts w:ascii="Palatino Linotype" w:hAnsi="Palatino Linotype"/>
          <w:sz w:val="22"/>
          <w:szCs w:val="22"/>
        </w:rPr>
        <w:t>A invalidade ou nulidade, no todo ou em parte, de quaisquer das cláusulas desta Escritura de Emissão não afetará as demais, que permanecerão válidas e eficazes até o cumprimento, pelas partes, de todas as suas obrigações aqui previstas. Ocorrendo a declaração de invalidade ou nulidade de qualquer cláusula desta Escritura de Emissão, as partes se obrigam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p>
    <w:p w:rsidR="00DE78B2" w:rsidRDefault="00791406">
      <w:pPr>
        <w:numPr>
          <w:ilvl w:val="1"/>
          <w:numId w:val="10"/>
        </w:numPr>
        <w:rPr>
          <w:rFonts w:ascii="Palatino Linotype" w:hAnsi="Palatino Linotype"/>
          <w:sz w:val="22"/>
          <w:szCs w:val="22"/>
        </w:rPr>
      </w:pPr>
      <w:r>
        <w:rPr>
          <w:rFonts w:ascii="Palatino Linotype" w:hAnsi="Palatino Linotype"/>
          <w:sz w:val="22"/>
          <w:szCs w:val="22"/>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DE78B2" w:rsidRDefault="00791406">
      <w:pPr>
        <w:numPr>
          <w:ilvl w:val="1"/>
          <w:numId w:val="10"/>
        </w:numPr>
        <w:rPr>
          <w:rFonts w:ascii="Palatino Linotype" w:hAnsi="Palatino Linotype"/>
          <w:sz w:val="22"/>
          <w:szCs w:val="22"/>
        </w:rPr>
      </w:pPr>
      <w:bookmarkStart w:id="161" w:name="h.279ka65" w:colFirst="0" w:colLast="0"/>
      <w:bookmarkEnd w:id="161"/>
      <w:r>
        <w:rPr>
          <w:rFonts w:ascii="Palatino Linotype" w:hAnsi="Palatino Linotype"/>
          <w:sz w:val="22"/>
          <w:szCs w:val="22"/>
        </w:rPr>
        <w:t>As partes reconhecem esta Escritura de Emissão e as Debêntures como títulos executivos extrajudiciais nos termos do artigo 784 do Código de Processo Civil.</w:t>
      </w:r>
    </w:p>
    <w:p w:rsidR="00DE78B2" w:rsidRDefault="00791406">
      <w:pPr>
        <w:numPr>
          <w:ilvl w:val="1"/>
          <w:numId w:val="10"/>
        </w:numPr>
        <w:rPr>
          <w:rFonts w:ascii="Palatino Linotype" w:hAnsi="Palatino Linotype"/>
          <w:sz w:val="22"/>
          <w:szCs w:val="22"/>
        </w:rPr>
      </w:pPr>
      <w:r>
        <w:rPr>
          <w:rFonts w:ascii="Palatino Linotype" w:hAnsi="Palatino Linotype"/>
          <w:sz w:val="22"/>
          <w:szCs w:val="22"/>
        </w:rPr>
        <w:t>Para os fins desta Escritura de Emissão, as partes poderão, a seu critério exclusivo, requerer a execução específica das obrigações aqui assumidas, nos termos dos artigos 497 e seguintes, 538, 806 e seguintes do Código de Processo Civil, sem prejuízo do direito de declarar o vencimento antecipado das obrigações decorrentes das Debêntures, nos termos previstos nesta Escritura de Emissão.</w:t>
      </w:r>
    </w:p>
    <w:p w:rsidR="00DE78B2" w:rsidRDefault="00DE78B2">
      <w:pPr>
        <w:rPr>
          <w:rFonts w:ascii="Palatino Linotype" w:hAnsi="Palatino Linotype"/>
          <w:sz w:val="22"/>
          <w:szCs w:val="22"/>
        </w:rPr>
      </w:pPr>
    </w:p>
    <w:p w:rsidR="00DE78B2" w:rsidRDefault="00791406">
      <w:pPr>
        <w:keepNext/>
        <w:numPr>
          <w:ilvl w:val="0"/>
          <w:numId w:val="10"/>
        </w:numPr>
        <w:rPr>
          <w:rFonts w:ascii="Palatino Linotype" w:hAnsi="Palatino Linotype"/>
          <w:smallCaps/>
          <w:sz w:val="22"/>
          <w:szCs w:val="22"/>
          <w:u w:val="single"/>
        </w:rPr>
      </w:pPr>
      <w:r>
        <w:rPr>
          <w:rFonts w:ascii="Palatino Linotype" w:hAnsi="Palatino Linotype"/>
          <w:smallCaps/>
          <w:sz w:val="22"/>
          <w:szCs w:val="22"/>
          <w:u w:val="single"/>
        </w:rPr>
        <w:lastRenderedPageBreak/>
        <w:t>Lei de Regência</w:t>
      </w:r>
    </w:p>
    <w:p w:rsidR="00DE78B2" w:rsidRDefault="00791406">
      <w:pPr>
        <w:numPr>
          <w:ilvl w:val="1"/>
          <w:numId w:val="10"/>
        </w:numPr>
        <w:rPr>
          <w:rFonts w:ascii="Palatino Linotype" w:hAnsi="Palatino Linotype"/>
          <w:sz w:val="22"/>
          <w:szCs w:val="22"/>
        </w:rPr>
      </w:pPr>
      <w:r>
        <w:rPr>
          <w:rFonts w:ascii="Palatino Linotype" w:hAnsi="Palatino Linotype"/>
          <w:sz w:val="22"/>
          <w:szCs w:val="22"/>
        </w:rPr>
        <w:t>Esta Escritura de Emissão é regida pelas leis da República Federativa do Brasil.</w:t>
      </w:r>
    </w:p>
    <w:p w:rsidR="00DE78B2" w:rsidRDefault="00DE78B2">
      <w:pPr>
        <w:rPr>
          <w:rFonts w:ascii="Palatino Linotype" w:hAnsi="Palatino Linotype"/>
          <w:sz w:val="22"/>
          <w:szCs w:val="22"/>
        </w:rPr>
      </w:pPr>
    </w:p>
    <w:p w:rsidR="00DE78B2" w:rsidRDefault="00791406">
      <w:pPr>
        <w:keepNext/>
        <w:numPr>
          <w:ilvl w:val="0"/>
          <w:numId w:val="10"/>
        </w:numPr>
        <w:rPr>
          <w:rFonts w:ascii="Palatino Linotype" w:hAnsi="Palatino Linotype"/>
          <w:smallCaps/>
          <w:sz w:val="22"/>
          <w:szCs w:val="22"/>
        </w:rPr>
      </w:pPr>
      <w:r>
        <w:rPr>
          <w:rFonts w:ascii="Palatino Linotype" w:hAnsi="Palatino Linotype"/>
          <w:smallCaps/>
          <w:sz w:val="22"/>
          <w:szCs w:val="22"/>
          <w:u w:val="single"/>
        </w:rPr>
        <w:t>Foro</w:t>
      </w:r>
    </w:p>
    <w:p w:rsidR="00DE78B2" w:rsidRDefault="00791406">
      <w:pPr>
        <w:keepNext/>
        <w:numPr>
          <w:ilvl w:val="1"/>
          <w:numId w:val="10"/>
        </w:numPr>
        <w:rPr>
          <w:rFonts w:ascii="Palatino Linotype" w:hAnsi="Palatino Linotype"/>
          <w:sz w:val="22"/>
          <w:szCs w:val="22"/>
        </w:rPr>
      </w:pPr>
      <w:r>
        <w:rPr>
          <w:rFonts w:ascii="Palatino Linotype" w:hAnsi="Palatino Linotype"/>
          <w:sz w:val="22"/>
          <w:szCs w:val="22"/>
        </w:rPr>
        <w:t>Fica eleito o foro da Comarca da Cidade de São Paulo, Estado de São Paulo, com exclusão de qualquer outro, por mais privilegiado que seja, para dirimir as questões porventura resultantes desta Escritura de Emissão.</w:t>
      </w:r>
    </w:p>
    <w:p w:rsidR="00DE78B2" w:rsidRDefault="00DE78B2">
      <w:pPr>
        <w:keepNext/>
        <w:rPr>
          <w:rFonts w:ascii="Palatino Linotype" w:hAnsi="Palatino Linotype"/>
          <w:sz w:val="22"/>
          <w:szCs w:val="22"/>
        </w:rPr>
      </w:pPr>
    </w:p>
    <w:p w:rsidR="00DE78B2" w:rsidRDefault="00791406">
      <w:pPr>
        <w:keepNext/>
        <w:rPr>
          <w:rFonts w:ascii="Palatino Linotype" w:hAnsi="Palatino Linotype"/>
          <w:sz w:val="22"/>
          <w:szCs w:val="22"/>
        </w:rPr>
      </w:pPr>
      <w:r>
        <w:rPr>
          <w:rFonts w:ascii="Palatino Linotype" w:hAnsi="Palatino Linotype"/>
          <w:sz w:val="22"/>
          <w:szCs w:val="22"/>
        </w:rPr>
        <w:t>Estando assim certas e ajustadas, as partes, obrigando-se por si e sucessores, firmam esta Escritura de Emissão em 5 (cinco) vias de igual teor e forma, juntamente com 2 (duas) testemunhas abaixo identificadas, que também a assinam.</w:t>
      </w:r>
    </w:p>
    <w:p w:rsidR="002C475F" w:rsidRDefault="002C475F">
      <w:pPr>
        <w:keepNext/>
        <w:jc w:val="center"/>
        <w:rPr>
          <w:rFonts w:ascii="Palatino Linotype" w:hAnsi="Palatino Linotype"/>
          <w:sz w:val="22"/>
          <w:szCs w:val="22"/>
        </w:rPr>
      </w:pPr>
    </w:p>
    <w:p w:rsidR="00DE78B2" w:rsidRDefault="00791406">
      <w:pPr>
        <w:keepNext/>
        <w:jc w:val="center"/>
        <w:rPr>
          <w:rFonts w:ascii="Palatino Linotype" w:hAnsi="Palatino Linotype"/>
          <w:sz w:val="22"/>
          <w:szCs w:val="22"/>
        </w:rPr>
      </w:pPr>
      <w:r>
        <w:rPr>
          <w:rFonts w:ascii="Palatino Linotype" w:hAnsi="Palatino Linotype"/>
          <w:sz w:val="22"/>
          <w:szCs w:val="22"/>
        </w:rPr>
        <w:t xml:space="preserve">São Paulo, </w:t>
      </w:r>
      <w:r w:rsidR="002C475F">
        <w:rPr>
          <w:rFonts w:ascii="Palatino Linotype" w:hAnsi="Palatino Linotype"/>
          <w:sz w:val="22"/>
          <w:szCs w:val="22"/>
        </w:rPr>
        <w:t>15 de fevereiro de 2019</w:t>
      </w:r>
      <w:r>
        <w:rPr>
          <w:rFonts w:ascii="Palatino Linotype" w:hAnsi="Palatino Linotype"/>
          <w:sz w:val="22"/>
          <w:szCs w:val="22"/>
        </w:rPr>
        <w:t>.</w:t>
      </w:r>
    </w:p>
    <w:p w:rsidR="002C475F" w:rsidRDefault="002C475F">
      <w:pPr>
        <w:keepNext/>
        <w:jc w:val="center"/>
        <w:rPr>
          <w:rFonts w:ascii="Palatino Linotype" w:hAnsi="Palatino Linotype"/>
          <w:sz w:val="22"/>
          <w:szCs w:val="22"/>
        </w:rPr>
      </w:pPr>
    </w:p>
    <w:p w:rsidR="00DE78B2" w:rsidRDefault="00791406">
      <w:pPr>
        <w:keepNext/>
        <w:jc w:val="center"/>
        <w:rPr>
          <w:rFonts w:ascii="Palatino Linotype" w:hAnsi="Palatino Linotype"/>
          <w:sz w:val="22"/>
          <w:szCs w:val="22"/>
        </w:rPr>
      </w:pPr>
      <w:r>
        <w:rPr>
          <w:rFonts w:ascii="Palatino Linotype" w:hAnsi="Palatino Linotype"/>
          <w:sz w:val="22"/>
          <w:szCs w:val="22"/>
        </w:rPr>
        <w:t>(</w:t>
      </w:r>
      <w:r>
        <w:rPr>
          <w:rFonts w:ascii="Palatino Linotype" w:hAnsi="Palatino Linotype"/>
          <w:i/>
          <w:sz w:val="22"/>
          <w:szCs w:val="22"/>
        </w:rPr>
        <w:t>As assinaturas seguem na página seguinte.</w:t>
      </w:r>
      <w:r>
        <w:rPr>
          <w:rFonts w:ascii="Palatino Linotype" w:hAnsi="Palatino Linotype"/>
          <w:sz w:val="22"/>
          <w:szCs w:val="22"/>
        </w:rPr>
        <w:t>)</w:t>
      </w:r>
    </w:p>
    <w:p w:rsidR="00DE78B2" w:rsidRDefault="00791406">
      <w:pPr>
        <w:jc w:val="center"/>
        <w:rPr>
          <w:rFonts w:ascii="Palatino Linotype" w:hAnsi="Palatino Linotype"/>
          <w:sz w:val="22"/>
          <w:szCs w:val="22"/>
        </w:rPr>
      </w:pPr>
      <w:r>
        <w:rPr>
          <w:rFonts w:ascii="Palatino Linotype" w:hAnsi="Palatino Linotype"/>
          <w:sz w:val="22"/>
          <w:szCs w:val="22"/>
        </w:rPr>
        <w:t>(</w:t>
      </w:r>
      <w:r>
        <w:rPr>
          <w:rFonts w:ascii="Palatino Linotype" w:hAnsi="Palatino Linotype"/>
          <w:i/>
          <w:sz w:val="22"/>
          <w:szCs w:val="22"/>
        </w:rPr>
        <w:t>Restante desta página intencionalmente deixado em branco.</w:t>
      </w:r>
      <w:r>
        <w:rPr>
          <w:rFonts w:ascii="Palatino Linotype" w:hAnsi="Palatino Linotype"/>
          <w:sz w:val="22"/>
          <w:szCs w:val="22"/>
        </w:rPr>
        <w:t>)</w:t>
      </w:r>
    </w:p>
    <w:p w:rsidR="00DE78B2" w:rsidRDefault="00791406">
      <w:pPr>
        <w:rPr>
          <w:rFonts w:ascii="Palatino Linotype" w:hAnsi="Palatino Linotype"/>
          <w:sz w:val="22"/>
          <w:szCs w:val="22"/>
        </w:rPr>
      </w:pPr>
      <w:r>
        <w:rPr>
          <w:rFonts w:ascii="Palatino Linotype" w:hAnsi="Palatino Linotype"/>
          <w:sz w:val="22"/>
          <w:szCs w:val="22"/>
        </w:rPr>
        <w:br w:type="page"/>
      </w:r>
    </w:p>
    <w:p w:rsidR="00DE78B2" w:rsidRDefault="00DE78B2">
      <w:pPr>
        <w:rPr>
          <w:rFonts w:ascii="Palatino Linotype" w:hAnsi="Palatino Linotype"/>
          <w:sz w:val="22"/>
          <w:szCs w:val="22"/>
        </w:rPr>
      </w:pPr>
    </w:p>
    <w:p w:rsidR="00DE78B2" w:rsidRDefault="00791406">
      <w:pPr>
        <w:rPr>
          <w:rFonts w:ascii="Palatino Linotype" w:hAnsi="Palatino Linotype"/>
          <w:sz w:val="22"/>
          <w:szCs w:val="22"/>
        </w:rPr>
      </w:pPr>
      <w:r>
        <w:rPr>
          <w:rFonts w:ascii="Palatino Linotype" w:hAnsi="Palatino Linotype"/>
          <w:sz w:val="22"/>
          <w:szCs w:val="22"/>
        </w:rPr>
        <w:t>Instrumento Particular de Escritura de Emissão Pública de Debêntures Simples, Não Conversíveis em Ações, da Espécie Quirografária, da Segunda Emissão da Cosan S.A., celebrado entre Cosan S.A. e Oliveira Trust Distribuidora de Títulos e Valores Mobiliários S.A. [Página de assinaturas 1/3]</w:t>
      </w:r>
    </w:p>
    <w:p w:rsidR="00DE78B2" w:rsidRDefault="00DE78B2">
      <w:pPr>
        <w:rPr>
          <w:rFonts w:ascii="Palatino Linotype" w:hAnsi="Palatino Linotype"/>
          <w:sz w:val="22"/>
          <w:szCs w:val="22"/>
        </w:rPr>
      </w:pPr>
    </w:p>
    <w:p w:rsidR="00DE78B2" w:rsidRDefault="00DE78B2">
      <w:pPr>
        <w:rPr>
          <w:rFonts w:ascii="Palatino Linotype" w:hAnsi="Palatino Linotype"/>
          <w:sz w:val="22"/>
          <w:szCs w:val="22"/>
        </w:rPr>
      </w:pPr>
    </w:p>
    <w:p w:rsidR="00DE78B2" w:rsidRDefault="00791406">
      <w:pPr>
        <w:jc w:val="center"/>
        <w:rPr>
          <w:rFonts w:ascii="Palatino Linotype" w:hAnsi="Palatino Linotype"/>
          <w:sz w:val="22"/>
          <w:szCs w:val="22"/>
        </w:rPr>
      </w:pPr>
      <w:r>
        <w:rPr>
          <w:rFonts w:ascii="Palatino Linotype" w:hAnsi="Palatino Linotype"/>
          <w:smallCaps/>
          <w:sz w:val="22"/>
          <w:szCs w:val="22"/>
        </w:rPr>
        <w:t>COSAN S.A.</w:t>
      </w:r>
    </w:p>
    <w:p w:rsidR="00DE78B2" w:rsidRDefault="00DE78B2">
      <w:pPr>
        <w:rPr>
          <w:rFonts w:ascii="Palatino Linotype" w:hAnsi="Palatino Linotype"/>
          <w:sz w:val="22"/>
          <w:szCs w:val="22"/>
        </w:rPr>
      </w:pPr>
    </w:p>
    <w:p w:rsidR="00DE78B2" w:rsidRDefault="00DE78B2">
      <w:pPr>
        <w:rPr>
          <w:rFonts w:ascii="Palatino Linotype" w:hAnsi="Palatino Linotype"/>
          <w:sz w:val="22"/>
          <w:szCs w:val="22"/>
        </w:rPr>
      </w:pPr>
    </w:p>
    <w:p w:rsidR="00DE78B2" w:rsidRDefault="00DE78B2">
      <w:pPr>
        <w:rPr>
          <w:rFonts w:ascii="Palatino Linotype" w:hAnsi="Palatino Linotype"/>
          <w:sz w:val="22"/>
          <w:szCs w:val="22"/>
        </w:rPr>
      </w:pPr>
    </w:p>
    <w:tbl>
      <w:tblPr>
        <w:tblStyle w:val="1"/>
        <w:tblW w:w="9073" w:type="dxa"/>
        <w:tblInd w:w="0" w:type="dxa"/>
        <w:tblLayout w:type="fixed"/>
        <w:tblLook w:val="0000" w:firstRow="0" w:lastRow="0" w:firstColumn="0" w:lastColumn="0" w:noHBand="0" w:noVBand="0"/>
      </w:tblPr>
      <w:tblGrid>
        <w:gridCol w:w="4253"/>
        <w:gridCol w:w="567"/>
        <w:gridCol w:w="4253"/>
      </w:tblGrid>
      <w:tr w:rsidR="00DE78B2">
        <w:tc>
          <w:tcPr>
            <w:tcW w:w="4253" w:type="dxa"/>
            <w:tcBorders>
              <w:top w:val="single" w:sz="6" w:space="0" w:color="000000"/>
            </w:tcBorders>
          </w:tcPr>
          <w:p w:rsidR="00DE78B2" w:rsidRDefault="00791406">
            <w:pPr>
              <w:rPr>
                <w:rFonts w:ascii="Palatino Linotype" w:hAnsi="Palatino Linotype"/>
                <w:sz w:val="22"/>
                <w:szCs w:val="22"/>
              </w:rPr>
            </w:pPr>
            <w:r>
              <w:rPr>
                <w:rFonts w:ascii="Palatino Linotype" w:hAnsi="Palatino Linotype"/>
                <w:sz w:val="22"/>
                <w:szCs w:val="22"/>
              </w:rPr>
              <w:t xml:space="preserve">Nome: </w:t>
            </w:r>
            <w:r>
              <w:rPr>
                <w:rFonts w:ascii="Palatino Linotype" w:hAnsi="Palatino Linotype"/>
                <w:sz w:val="22"/>
                <w:szCs w:val="22"/>
              </w:rPr>
              <w:br/>
              <w:t>Cargo:</w:t>
            </w:r>
          </w:p>
        </w:tc>
        <w:tc>
          <w:tcPr>
            <w:tcW w:w="567" w:type="dxa"/>
          </w:tcPr>
          <w:p w:rsidR="00DE78B2" w:rsidRDefault="00DE78B2">
            <w:pPr>
              <w:rPr>
                <w:rFonts w:ascii="Palatino Linotype" w:hAnsi="Palatino Linotype"/>
                <w:sz w:val="22"/>
                <w:szCs w:val="22"/>
              </w:rPr>
            </w:pPr>
          </w:p>
        </w:tc>
        <w:tc>
          <w:tcPr>
            <w:tcW w:w="4253" w:type="dxa"/>
            <w:tcBorders>
              <w:top w:val="single" w:sz="6" w:space="0" w:color="000000"/>
            </w:tcBorders>
          </w:tcPr>
          <w:p w:rsidR="00DE78B2" w:rsidRDefault="00791406">
            <w:pPr>
              <w:jc w:val="left"/>
              <w:rPr>
                <w:rFonts w:ascii="Palatino Linotype" w:hAnsi="Palatino Linotype"/>
                <w:sz w:val="22"/>
                <w:szCs w:val="22"/>
              </w:rPr>
            </w:pPr>
            <w:r>
              <w:rPr>
                <w:rFonts w:ascii="Palatino Linotype" w:hAnsi="Palatino Linotype"/>
                <w:sz w:val="22"/>
                <w:szCs w:val="22"/>
              </w:rPr>
              <w:t>Nome:</w:t>
            </w:r>
            <w:r>
              <w:rPr>
                <w:rFonts w:ascii="Palatino Linotype" w:hAnsi="Palatino Linotype"/>
                <w:sz w:val="22"/>
                <w:szCs w:val="22"/>
              </w:rPr>
              <w:br/>
              <w:t>Cargo:</w:t>
            </w:r>
          </w:p>
        </w:tc>
      </w:tr>
    </w:tbl>
    <w:p w:rsidR="00DE78B2" w:rsidRDefault="00DE78B2">
      <w:pPr>
        <w:rPr>
          <w:rFonts w:ascii="Palatino Linotype" w:hAnsi="Palatino Linotype"/>
          <w:sz w:val="22"/>
          <w:szCs w:val="22"/>
        </w:rPr>
      </w:pPr>
    </w:p>
    <w:p w:rsidR="00DE78B2" w:rsidRDefault="00791406">
      <w:pPr>
        <w:rPr>
          <w:rFonts w:ascii="Palatino Linotype" w:hAnsi="Palatino Linotype"/>
          <w:sz w:val="22"/>
          <w:szCs w:val="22"/>
        </w:rPr>
      </w:pPr>
      <w:r>
        <w:rPr>
          <w:rFonts w:ascii="Palatino Linotype" w:hAnsi="Palatino Linotype"/>
          <w:sz w:val="22"/>
          <w:szCs w:val="22"/>
        </w:rPr>
        <w:br w:type="page"/>
      </w:r>
    </w:p>
    <w:p w:rsidR="00DE78B2" w:rsidRDefault="00DE78B2">
      <w:pPr>
        <w:rPr>
          <w:rFonts w:ascii="Palatino Linotype" w:hAnsi="Palatino Linotype"/>
          <w:sz w:val="22"/>
          <w:szCs w:val="22"/>
        </w:rPr>
      </w:pPr>
    </w:p>
    <w:p w:rsidR="00DE78B2" w:rsidRDefault="00791406">
      <w:pPr>
        <w:rPr>
          <w:rFonts w:ascii="Palatino Linotype" w:hAnsi="Palatino Linotype"/>
          <w:sz w:val="22"/>
          <w:szCs w:val="22"/>
        </w:rPr>
      </w:pPr>
      <w:r>
        <w:rPr>
          <w:rFonts w:ascii="Palatino Linotype" w:hAnsi="Palatino Linotype"/>
          <w:sz w:val="22"/>
          <w:szCs w:val="22"/>
        </w:rPr>
        <w:t>Instrumento Particular de Escritura de Emissão Pública de Debêntures Simples, Não Conversíveis em Ações, da Espécie Quirografária, da Segunda Emissão da Cosan S.A., celebrado entre Cosan S.A. e Oliveira Trust Distribuidora de Títulos e Valores Mobiliários S.A. [Página de assinaturas 2/3]</w:t>
      </w:r>
    </w:p>
    <w:p w:rsidR="00DE78B2" w:rsidRDefault="00DE78B2">
      <w:pPr>
        <w:rPr>
          <w:rFonts w:ascii="Palatino Linotype" w:hAnsi="Palatino Linotype"/>
          <w:sz w:val="22"/>
          <w:szCs w:val="22"/>
        </w:rPr>
      </w:pPr>
    </w:p>
    <w:p w:rsidR="00DE78B2" w:rsidRDefault="00791406">
      <w:pPr>
        <w:jc w:val="center"/>
        <w:rPr>
          <w:rFonts w:ascii="Palatino Linotype" w:hAnsi="Palatino Linotype"/>
          <w:smallCaps/>
          <w:sz w:val="22"/>
          <w:szCs w:val="22"/>
        </w:rPr>
      </w:pPr>
      <w:r>
        <w:rPr>
          <w:rFonts w:ascii="Palatino Linotype" w:hAnsi="Palatino Linotype"/>
          <w:smallCaps/>
          <w:sz w:val="22"/>
          <w:szCs w:val="22"/>
        </w:rPr>
        <w:t xml:space="preserve">OLIVEIRA TRUST DISTRIBUIDORA DE TÍTULOS E VALORES MOBILIÁRIOS S.A. </w:t>
      </w:r>
    </w:p>
    <w:p w:rsidR="00DE78B2" w:rsidRDefault="00DE78B2">
      <w:pPr>
        <w:rPr>
          <w:rFonts w:ascii="Palatino Linotype" w:hAnsi="Palatino Linotype"/>
          <w:sz w:val="22"/>
          <w:szCs w:val="22"/>
        </w:rPr>
      </w:pPr>
    </w:p>
    <w:p w:rsidR="00DE78B2" w:rsidRDefault="00DE78B2">
      <w:pPr>
        <w:rPr>
          <w:rFonts w:ascii="Palatino Linotype" w:hAnsi="Palatino Linotype"/>
          <w:sz w:val="22"/>
          <w:szCs w:val="22"/>
        </w:rPr>
      </w:pPr>
    </w:p>
    <w:tbl>
      <w:tblPr>
        <w:tblStyle w:val="1"/>
        <w:tblW w:w="9073" w:type="dxa"/>
        <w:tblInd w:w="0" w:type="dxa"/>
        <w:tblLayout w:type="fixed"/>
        <w:tblLook w:val="0000" w:firstRow="0" w:lastRow="0" w:firstColumn="0" w:lastColumn="0" w:noHBand="0" w:noVBand="0"/>
      </w:tblPr>
      <w:tblGrid>
        <w:gridCol w:w="4253"/>
        <w:gridCol w:w="567"/>
        <w:gridCol w:w="4253"/>
      </w:tblGrid>
      <w:tr w:rsidR="00DE78B2">
        <w:tc>
          <w:tcPr>
            <w:tcW w:w="4253" w:type="dxa"/>
            <w:tcBorders>
              <w:top w:val="single" w:sz="6" w:space="0" w:color="000000"/>
            </w:tcBorders>
          </w:tcPr>
          <w:p w:rsidR="00DE78B2" w:rsidRDefault="00791406">
            <w:pPr>
              <w:rPr>
                <w:rFonts w:ascii="Palatino Linotype" w:hAnsi="Palatino Linotype"/>
                <w:sz w:val="22"/>
                <w:szCs w:val="22"/>
              </w:rPr>
            </w:pPr>
            <w:r>
              <w:rPr>
                <w:rFonts w:ascii="Palatino Linotype" w:hAnsi="Palatino Linotype"/>
                <w:sz w:val="22"/>
                <w:szCs w:val="22"/>
              </w:rPr>
              <w:t xml:space="preserve">Nome: </w:t>
            </w:r>
            <w:r>
              <w:rPr>
                <w:rFonts w:ascii="Palatino Linotype" w:hAnsi="Palatino Linotype"/>
                <w:sz w:val="22"/>
                <w:szCs w:val="22"/>
              </w:rPr>
              <w:br/>
              <w:t>Cargo:</w:t>
            </w:r>
          </w:p>
        </w:tc>
        <w:tc>
          <w:tcPr>
            <w:tcW w:w="567" w:type="dxa"/>
          </w:tcPr>
          <w:p w:rsidR="00DE78B2" w:rsidRDefault="00DE78B2">
            <w:pPr>
              <w:rPr>
                <w:rFonts w:ascii="Palatino Linotype" w:hAnsi="Palatino Linotype"/>
                <w:sz w:val="22"/>
                <w:szCs w:val="22"/>
              </w:rPr>
            </w:pPr>
          </w:p>
        </w:tc>
        <w:tc>
          <w:tcPr>
            <w:tcW w:w="4253" w:type="dxa"/>
            <w:tcBorders>
              <w:top w:val="single" w:sz="6" w:space="0" w:color="000000"/>
            </w:tcBorders>
          </w:tcPr>
          <w:p w:rsidR="00DE78B2" w:rsidRDefault="00791406">
            <w:pPr>
              <w:jc w:val="left"/>
              <w:rPr>
                <w:rFonts w:ascii="Palatino Linotype" w:hAnsi="Palatino Linotype"/>
                <w:sz w:val="22"/>
                <w:szCs w:val="22"/>
              </w:rPr>
            </w:pPr>
            <w:r>
              <w:rPr>
                <w:rFonts w:ascii="Palatino Linotype" w:hAnsi="Palatino Linotype"/>
                <w:sz w:val="22"/>
                <w:szCs w:val="22"/>
              </w:rPr>
              <w:t>Nome:</w:t>
            </w:r>
            <w:r>
              <w:rPr>
                <w:rFonts w:ascii="Palatino Linotype" w:hAnsi="Palatino Linotype"/>
                <w:sz w:val="22"/>
                <w:szCs w:val="22"/>
              </w:rPr>
              <w:br/>
              <w:t>Cargo:</w:t>
            </w:r>
          </w:p>
        </w:tc>
      </w:tr>
    </w:tbl>
    <w:p w:rsidR="00DE78B2" w:rsidRDefault="00DE78B2">
      <w:pPr>
        <w:rPr>
          <w:rFonts w:ascii="Palatino Linotype" w:hAnsi="Palatino Linotype"/>
          <w:sz w:val="22"/>
          <w:szCs w:val="22"/>
        </w:rPr>
      </w:pPr>
    </w:p>
    <w:p w:rsidR="00DE78B2" w:rsidRDefault="00DE78B2">
      <w:pPr>
        <w:rPr>
          <w:rFonts w:ascii="Palatino Linotype" w:hAnsi="Palatino Linotype"/>
          <w:sz w:val="22"/>
          <w:szCs w:val="22"/>
        </w:rPr>
      </w:pPr>
    </w:p>
    <w:p w:rsidR="00DE78B2" w:rsidRDefault="00791406">
      <w:pPr>
        <w:rPr>
          <w:rFonts w:ascii="Palatino Linotype" w:hAnsi="Palatino Linotype"/>
          <w:sz w:val="22"/>
          <w:szCs w:val="22"/>
        </w:rPr>
      </w:pPr>
      <w:r>
        <w:rPr>
          <w:rFonts w:ascii="Palatino Linotype" w:hAnsi="Palatino Linotype"/>
          <w:sz w:val="22"/>
          <w:szCs w:val="22"/>
        </w:rPr>
        <w:br w:type="page"/>
      </w:r>
    </w:p>
    <w:p w:rsidR="00DE78B2" w:rsidRDefault="00DE78B2">
      <w:pPr>
        <w:rPr>
          <w:rFonts w:ascii="Palatino Linotype" w:hAnsi="Palatino Linotype"/>
          <w:sz w:val="22"/>
          <w:szCs w:val="22"/>
        </w:rPr>
      </w:pPr>
    </w:p>
    <w:p w:rsidR="00DE78B2" w:rsidRDefault="00791406">
      <w:pPr>
        <w:rPr>
          <w:rFonts w:ascii="Palatino Linotype" w:hAnsi="Palatino Linotype"/>
          <w:sz w:val="22"/>
          <w:szCs w:val="22"/>
        </w:rPr>
      </w:pPr>
      <w:r>
        <w:rPr>
          <w:rFonts w:ascii="Palatino Linotype" w:hAnsi="Palatino Linotype"/>
          <w:sz w:val="22"/>
          <w:szCs w:val="22"/>
        </w:rPr>
        <w:t>Instrumento Particular de Escritura de Emissão Pública de Debêntures Simples, Não Conversíveis em Ações, da Espécie Quirografária, da Segunda Emissão da Cosan S.A., celebrado entre Cosan S.A. e Oliveira Trust Distribuidora de Títulos e Valores Mobiliários S.A. [Página de assinaturas 3/3]</w:t>
      </w:r>
    </w:p>
    <w:p w:rsidR="00DE78B2" w:rsidRDefault="00DE78B2">
      <w:pPr>
        <w:rPr>
          <w:rFonts w:ascii="Palatino Linotype" w:hAnsi="Palatino Linotype"/>
          <w:sz w:val="22"/>
          <w:szCs w:val="22"/>
        </w:rPr>
      </w:pPr>
    </w:p>
    <w:p w:rsidR="00DE78B2" w:rsidRDefault="00791406">
      <w:pPr>
        <w:rPr>
          <w:rFonts w:ascii="Palatino Linotype" w:hAnsi="Palatino Linotype"/>
          <w:sz w:val="22"/>
          <w:szCs w:val="22"/>
        </w:rPr>
      </w:pPr>
      <w:r>
        <w:rPr>
          <w:rFonts w:ascii="Palatino Linotype" w:hAnsi="Palatino Linotype"/>
          <w:sz w:val="22"/>
          <w:szCs w:val="22"/>
        </w:rPr>
        <w:t>Testemunhas:</w:t>
      </w:r>
    </w:p>
    <w:p w:rsidR="00DE78B2" w:rsidRDefault="00DE78B2">
      <w:pPr>
        <w:rPr>
          <w:rFonts w:ascii="Palatino Linotype" w:hAnsi="Palatino Linotype"/>
          <w:sz w:val="22"/>
          <w:szCs w:val="22"/>
        </w:rPr>
      </w:pPr>
    </w:p>
    <w:p w:rsidR="00DE78B2" w:rsidRDefault="00DE78B2">
      <w:pPr>
        <w:rPr>
          <w:rFonts w:ascii="Palatino Linotype" w:hAnsi="Palatino Linotype"/>
          <w:sz w:val="22"/>
          <w:szCs w:val="22"/>
        </w:rPr>
      </w:pPr>
    </w:p>
    <w:p w:rsidR="00DE78B2" w:rsidRDefault="00DE78B2">
      <w:pPr>
        <w:rPr>
          <w:rFonts w:ascii="Palatino Linotype" w:hAnsi="Palatino Linotype"/>
          <w:sz w:val="22"/>
          <w:szCs w:val="22"/>
        </w:rPr>
      </w:pPr>
    </w:p>
    <w:tbl>
      <w:tblPr>
        <w:tblW w:w="9073" w:type="dxa"/>
        <w:tblLayout w:type="fixed"/>
        <w:tblLook w:val="0000" w:firstRow="0" w:lastRow="0" w:firstColumn="0" w:lastColumn="0" w:noHBand="0" w:noVBand="0"/>
      </w:tblPr>
      <w:tblGrid>
        <w:gridCol w:w="4253"/>
        <w:gridCol w:w="567"/>
        <w:gridCol w:w="4253"/>
      </w:tblGrid>
      <w:tr w:rsidR="00DE78B2">
        <w:tc>
          <w:tcPr>
            <w:tcW w:w="4253" w:type="dxa"/>
            <w:tcBorders>
              <w:top w:val="single" w:sz="6" w:space="0" w:color="000000"/>
            </w:tcBorders>
          </w:tcPr>
          <w:p w:rsidR="00DE78B2" w:rsidRDefault="00791406">
            <w:pPr>
              <w:jc w:val="left"/>
              <w:rPr>
                <w:rFonts w:ascii="Palatino Linotype" w:hAnsi="Palatino Linotype"/>
                <w:sz w:val="22"/>
                <w:szCs w:val="22"/>
              </w:rPr>
            </w:pPr>
            <w:r>
              <w:rPr>
                <w:rFonts w:ascii="Palatino Linotype" w:hAnsi="Palatino Linotype"/>
                <w:sz w:val="22"/>
                <w:szCs w:val="22"/>
              </w:rPr>
              <w:t>Nome:</w:t>
            </w:r>
            <w:r>
              <w:rPr>
                <w:rFonts w:ascii="Palatino Linotype" w:hAnsi="Palatino Linotype"/>
                <w:sz w:val="22"/>
                <w:szCs w:val="22"/>
              </w:rPr>
              <w:br/>
              <w:t>Id.:</w:t>
            </w:r>
            <w:r>
              <w:rPr>
                <w:rFonts w:ascii="Palatino Linotype" w:hAnsi="Palatino Linotype"/>
                <w:sz w:val="22"/>
                <w:szCs w:val="22"/>
              </w:rPr>
              <w:br/>
              <w:t>CPF/MF:</w:t>
            </w:r>
          </w:p>
        </w:tc>
        <w:tc>
          <w:tcPr>
            <w:tcW w:w="567" w:type="dxa"/>
          </w:tcPr>
          <w:p w:rsidR="00DE78B2" w:rsidRDefault="00DE78B2">
            <w:pPr>
              <w:rPr>
                <w:rFonts w:ascii="Palatino Linotype" w:hAnsi="Palatino Linotype"/>
                <w:sz w:val="22"/>
                <w:szCs w:val="22"/>
              </w:rPr>
            </w:pPr>
          </w:p>
        </w:tc>
        <w:tc>
          <w:tcPr>
            <w:tcW w:w="4253" w:type="dxa"/>
            <w:tcBorders>
              <w:top w:val="single" w:sz="6" w:space="0" w:color="000000"/>
            </w:tcBorders>
          </w:tcPr>
          <w:p w:rsidR="00DE78B2" w:rsidRDefault="00791406">
            <w:pPr>
              <w:jc w:val="left"/>
              <w:rPr>
                <w:rFonts w:ascii="Palatino Linotype" w:hAnsi="Palatino Linotype"/>
                <w:sz w:val="22"/>
                <w:szCs w:val="22"/>
              </w:rPr>
            </w:pPr>
            <w:r>
              <w:rPr>
                <w:rFonts w:ascii="Palatino Linotype" w:hAnsi="Palatino Linotype"/>
                <w:sz w:val="22"/>
                <w:szCs w:val="22"/>
              </w:rPr>
              <w:t>Nome:</w:t>
            </w:r>
            <w:r>
              <w:rPr>
                <w:rFonts w:ascii="Palatino Linotype" w:hAnsi="Palatino Linotype"/>
                <w:sz w:val="22"/>
                <w:szCs w:val="22"/>
              </w:rPr>
              <w:br/>
              <w:t>Id.:</w:t>
            </w:r>
            <w:r>
              <w:rPr>
                <w:rFonts w:ascii="Palatino Linotype" w:hAnsi="Palatino Linotype"/>
                <w:sz w:val="22"/>
                <w:szCs w:val="22"/>
              </w:rPr>
              <w:br/>
              <w:t>CPF/MF:</w:t>
            </w:r>
          </w:p>
        </w:tc>
      </w:tr>
    </w:tbl>
    <w:p w:rsidR="00DE78B2" w:rsidRDefault="00DE78B2">
      <w:pPr>
        <w:rPr>
          <w:rFonts w:ascii="Palatino Linotype" w:hAnsi="Palatino Linotype"/>
          <w:sz w:val="22"/>
          <w:szCs w:val="22"/>
        </w:rPr>
      </w:pPr>
    </w:p>
    <w:sectPr w:rsidR="00DE78B2">
      <w:headerReference w:type="first" r:id="rId17"/>
      <w:pgSz w:w="12242" w:h="15842"/>
      <w:pgMar w:top="1418" w:right="1701" w:bottom="1418" w:left="1701"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75F8F" w16cid:durableId="2003F773"/>
  <w16cid:commentId w16cid:paraId="0BBE3A1A" w16cid:durableId="20053D8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7C2" w:rsidRDefault="000007C2">
      <w:pPr>
        <w:spacing w:after="0"/>
      </w:pPr>
      <w:r>
        <w:separator/>
      </w:r>
    </w:p>
  </w:endnote>
  <w:endnote w:type="continuationSeparator" w:id="0">
    <w:p w:rsidR="000007C2" w:rsidRDefault="00000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Optimum">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7C2" w:rsidRDefault="000007C2">
      <w:pPr>
        <w:spacing w:after="0"/>
      </w:pPr>
      <w:r>
        <w:separator/>
      </w:r>
    </w:p>
  </w:footnote>
  <w:footnote w:type="continuationSeparator" w:id="0">
    <w:p w:rsidR="000007C2" w:rsidRDefault="000007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406" w:rsidRDefault="00791406">
    <w:pPr>
      <w:pStyle w:val="Cabealho"/>
      <w:jc w:val="right"/>
      <w:rPr>
        <w:rFonts w:ascii="Palatino Linotype" w:hAnsi="Palatino Linotype"/>
        <w:b/>
        <w:sz w:val="18"/>
        <w:szCs w:val="1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76C7E44"/>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225376"/>
    <w:multiLevelType w:val="multilevel"/>
    <w:tmpl w:val="F7AC275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4"/>
        <w:szCs w:val="24"/>
      </w:rPr>
    </w:lvl>
    <w:lvl w:ilvl="3">
      <w:start w:val="1"/>
      <w:numFmt w:val="lowerLetter"/>
      <w:lvlText w:val="(%4)"/>
      <w:lvlJc w:val="left"/>
      <w:pPr>
        <w:tabs>
          <w:tab w:val="num" w:pos="2126"/>
        </w:tabs>
        <w:ind w:left="2126" w:hanging="425"/>
      </w:pPr>
      <w:rPr>
        <w:rFonts w:ascii="Palatino Linotype" w:hAnsi="Palatino Linotype"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 w15:restartNumberingAfterBreak="0">
    <w:nsid w:val="06116A8C"/>
    <w:multiLevelType w:val="multilevel"/>
    <w:tmpl w:val="839A10AA"/>
    <w:lvl w:ilvl="0">
      <w:start w:val="8"/>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843A09"/>
    <w:multiLevelType w:val="multilevel"/>
    <w:tmpl w:val="32C28A6E"/>
    <w:lvl w:ilvl="0">
      <w:start w:val="6"/>
      <w:numFmt w:val="decimal"/>
      <w:lvlText w:val="%1"/>
      <w:lvlJc w:val="left"/>
      <w:pPr>
        <w:ind w:left="600" w:hanging="600"/>
      </w:pPr>
      <w:rPr>
        <w:rFonts w:hint="default"/>
      </w:rPr>
    </w:lvl>
    <w:lvl w:ilvl="1">
      <w:start w:val="15"/>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FE194C"/>
    <w:multiLevelType w:val="multilevel"/>
    <w:tmpl w:val="2BD2855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Palatino Linotype" w:hAnsi="Palatino Linotype"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15:restartNumberingAfterBreak="0">
    <w:nsid w:val="0B740E92"/>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 w15:restartNumberingAfterBreak="0">
    <w:nsid w:val="0C357BEF"/>
    <w:multiLevelType w:val="multilevel"/>
    <w:tmpl w:val="BDC8452C"/>
    <w:lvl w:ilvl="0">
      <w:start w:val="1"/>
      <w:numFmt w:val="decimal"/>
      <w:lvlText w:val="%1."/>
      <w:lvlJc w:val="left"/>
      <w:pPr>
        <w:ind w:left="709" w:firstLine="0"/>
      </w:pPr>
      <w:rPr>
        <w:rFonts w:ascii="Times New Roman" w:eastAsia="Times New Roman" w:hAnsi="Times New Roman" w:cs="Times New Roman"/>
        <w:b w:val="0"/>
        <w:i w:val="0"/>
        <w:sz w:val="26"/>
        <w:szCs w:val="26"/>
      </w:rPr>
    </w:lvl>
    <w:lvl w:ilvl="1">
      <w:start w:val="1"/>
      <w:numFmt w:val="decimal"/>
      <w:lvlText w:val="%1.%2"/>
      <w:lvlJc w:val="left"/>
      <w:pPr>
        <w:ind w:left="709" w:firstLine="0"/>
      </w:pPr>
      <w:rPr>
        <w:rFonts w:ascii="Times New Roman" w:eastAsia="Times New Roman" w:hAnsi="Times New Roman" w:cs="Times New Roman"/>
        <w:b w:val="0"/>
        <w:i w:val="0"/>
        <w:sz w:val="26"/>
        <w:szCs w:val="26"/>
      </w:rPr>
    </w:lvl>
    <w:lvl w:ilvl="2">
      <w:start w:val="1"/>
      <w:numFmt w:val="upperRoman"/>
      <w:lvlText w:val="%3."/>
      <w:lvlJc w:val="left"/>
      <w:pPr>
        <w:ind w:left="1701" w:firstLine="708"/>
      </w:pPr>
      <w:rPr>
        <w:rFonts w:ascii="Times New Roman" w:eastAsia="Times New Roman" w:hAnsi="Times New Roman" w:cs="Times New Roman"/>
        <w:b w:val="0"/>
        <w:i w:val="0"/>
        <w:sz w:val="26"/>
        <w:szCs w:val="26"/>
      </w:rPr>
    </w:lvl>
    <w:lvl w:ilvl="3">
      <w:start w:val="1"/>
      <w:numFmt w:val="lowerLetter"/>
      <w:lvlText w:val="(%4)"/>
      <w:lvlJc w:val="left"/>
      <w:pPr>
        <w:ind w:left="2126" w:firstLine="1701"/>
      </w:pPr>
      <w:rPr>
        <w:rFonts w:ascii="Times New Roman" w:eastAsia="Times New Roman" w:hAnsi="Times New Roman" w:cs="Times New Roman"/>
        <w:b w:val="0"/>
        <w:i w:val="0"/>
        <w:sz w:val="26"/>
        <w:szCs w:val="26"/>
      </w:rPr>
    </w:lvl>
    <w:lvl w:ilvl="4">
      <w:start w:val="1"/>
      <w:numFmt w:val="lowerRoman"/>
      <w:lvlText w:val="(%5)"/>
      <w:lvlJc w:val="left"/>
      <w:pPr>
        <w:ind w:left="2835" w:firstLine="2126"/>
      </w:pPr>
      <w:rPr>
        <w:rFonts w:ascii="Times New Roman" w:eastAsia="Times New Roman" w:hAnsi="Times New Roman" w:cs="Times New Roman"/>
        <w:b w:val="0"/>
        <w:i w:val="0"/>
        <w:sz w:val="26"/>
        <w:szCs w:val="26"/>
      </w:rPr>
    </w:lvl>
    <w:lvl w:ilvl="5">
      <w:start w:val="1"/>
      <w:numFmt w:val="decimal"/>
      <w:lvlText w:val="%1.%2.%6"/>
      <w:lvlJc w:val="left"/>
      <w:pPr>
        <w:ind w:left="709" w:firstLine="0"/>
      </w:pPr>
      <w:rPr>
        <w:rFonts w:ascii="Times New Roman" w:eastAsia="Times New Roman" w:hAnsi="Times New Roman" w:cs="Times New Roman"/>
        <w:b w:val="0"/>
        <w:i w:val="0"/>
        <w:sz w:val="26"/>
        <w:szCs w:val="26"/>
      </w:rPr>
    </w:lvl>
    <w:lvl w:ilvl="6">
      <w:start w:val="1"/>
      <w:numFmt w:val="upperRoman"/>
      <w:lvlText w:val="%7."/>
      <w:lvlJc w:val="left"/>
      <w:pPr>
        <w:ind w:left="1701" w:firstLine="708"/>
      </w:pPr>
      <w:rPr>
        <w:rFonts w:ascii="Times New Roman" w:eastAsia="Times New Roman" w:hAnsi="Times New Roman" w:cs="Times New Roman"/>
        <w:b w:val="0"/>
        <w:i w:val="0"/>
        <w:sz w:val="26"/>
        <w:szCs w:val="26"/>
      </w:rPr>
    </w:lvl>
    <w:lvl w:ilvl="7">
      <w:start w:val="1"/>
      <w:numFmt w:val="lowerLetter"/>
      <w:lvlText w:val="(%8)"/>
      <w:lvlJc w:val="left"/>
      <w:pPr>
        <w:ind w:left="2126" w:firstLine="1701"/>
      </w:pPr>
      <w:rPr>
        <w:rFonts w:ascii="Times New Roman" w:eastAsia="Times New Roman" w:hAnsi="Times New Roman" w:cs="Times New Roman"/>
        <w:b w:val="0"/>
        <w:i w:val="0"/>
        <w:sz w:val="26"/>
        <w:szCs w:val="26"/>
      </w:rPr>
    </w:lvl>
    <w:lvl w:ilvl="8">
      <w:start w:val="1"/>
      <w:numFmt w:val="lowerRoman"/>
      <w:lvlText w:val="(%9)"/>
      <w:lvlJc w:val="left"/>
      <w:pPr>
        <w:ind w:left="2835" w:firstLine="2126"/>
      </w:pPr>
      <w:rPr>
        <w:rFonts w:ascii="Times New Roman" w:eastAsia="Times New Roman" w:hAnsi="Times New Roman" w:cs="Times New Roman"/>
        <w:b w:val="0"/>
        <w:i w:val="0"/>
        <w:sz w:val="26"/>
        <w:szCs w:val="26"/>
      </w:rPr>
    </w:lvl>
  </w:abstractNum>
  <w:abstractNum w:abstractNumId="7" w15:restartNumberingAfterBreak="0">
    <w:nsid w:val="0D355A73"/>
    <w:multiLevelType w:val="hybridMultilevel"/>
    <w:tmpl w:val="55AC2CBE"/>
    <w:lvl w:ilvl="0" w:tplc="B4EEA9B6">
      <w:start w:val="1"/>
      <w:numFmt w:val="lowerLetter"/>
      <w:lvlText w:val="%1)"/>
      <w:lvlJc w:val="left"/>
      <w:pPr>
        <w:ind w:left="1084" w:hanging="360"/>
      </w:pPr>
      <w:rPr>
        <w:rFonts w:hint="default"/>
      </w:rPr>
    </w:lvl>
    <w:lvl w:ilvl="1" w:tplc="04160019" w:tentative="1">
      <w:start w:val="1"/>
      <w:numFmt w:val="lowerLetter"/>
      <w:lvlText w:val="%2."/>
      <w:lvlJc w:val="left"/>
      <w:pPr>
        <w:ind w:left="1804" w:hanging="360"/>
      </w:pPr>
    </w:lvl>
    <w:lvl w:ilvl="2" w:tplc="0416001B" w:tentative="1">
      <w:start w:val="1"/>
      <w:numFmt w:val="lowerRoman"/>
      <w:lvlText w:val="%3."/>
      <w:lvlJc w:val="right"/>
      <w:pPr>
        <w:ind w:left="2524" w:hanging="180"/>
      </w:pPr>
    </w:lvl>
    <w:lvl w:ilvl="3" w:tplc="0416000F" w:tentative="1">
      <w:start w:val="1"/>
      <w:numFmt w:val="decimal"/>
      <w:lvlText w:val="%4."/>
      <w:lvlJc w:val="left"/>
      <w:pPr>
        <w:ind w:left="3244" w:hanging="360"/>
      </w:pPr>
    </w:lvl>
    <w:lvl w:ilvl="4" w:tplc="04160019" w:tentative="1">
      <w:start w:val="1"/>
      <w:numFmt w:val="lowerLetter"/>
      <w:lvlText w:val="%5."/>
      <w:lvlJc w:val="left"/>
      <w:pPr>
        <w:ind w:left="3964" w:hanging="360"/>
      </w:pPr>
    </w:lvl>
    <w:lvl w:ilvl="5" w:tplc="0416001B" w:tentative="1">
      <w:start w:val="1"/>
      <w:numFmt w:val="lowerRoman"/>
      <w:lvlText w:val="%6."/>
      <w:lvlJc w:val="right"/>
      <w:pPr>
        <w:ind w:left="4684" w:hanging="180"/>
      </w:pPr>
    </w:lvl>
    <w:lvl w:ilvl="6" w:tplc="0416000F" w:tentative="1">
      <w:start w:val="1"/>
      <w:numFmt w:val="decimal"/>
      <w:lvlText w:val="%7."/>
      <w:lvlJc w:val="left"/>
      <w:pPr>
        <w:ind w:left="5404" w:hanging="360"/>
      </w:pPr>
    </w:lvl>
    <w:lvl w:ilvl="7" w:tplc="04160019" w:tentative="1">
      <w:start w:val="1"/>
      <w:numFmt w:val="lowerLetter"/>
      <w:lvlText w:val="%8."/>
      <w:lvlJc w:val="left"/>
      <w:pPr>
        <w:ind w:left="6124" w:hanging="360"/>
      </w:pPr>
    </w:lvl>
    <w:lvl w:ilvl="8" w:tplc="0416001B" w:tentative="1">
      <w:start w:val="1"/>
      <w:numFmt w:val="lowerRoman"/>
      <w:lvlText w:val="%9."/>
      <w:lvlJc w:val="right"/>
      <w:pPr>
        <w:ind w:left="6844" w:hanging="180"/>
      </w:pPr>
    </w:lvl>
  </w:abstractNum>
  <w:abstractNum w:abstractNumId="8" w15:restartNumberingAfterBreak="0">
    <w:nsid w:val="0D467398"/>
    <w:multiLevelType w:val="multilevel"/>
    <w:tmpl w:val="DE90FE02"/>
    <w:lvl w:ilvl="0">
      <w:start w:val="9"/>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E021516"/>
    <w:multiLevelType w:val="multilevel"/>
    <w:tmpl w:val="86F268C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0" w15:restartNumberingAfterBreak="0">
    <w:nsid w:val="0FE32C8E"/>
    <w:multiLevelType w:val="multilevel"/>
    <w:tmpl w:val="F634BE3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1" w15:restartNumberingAfterBreak="0">
    <w:nsid w:val="197E30BD"/>
    <w:multiLevelType w:val="multilevel"/>
    <w:tmpl w:val="02B061E4"/>
    <w:lvl w:ilvl="0">
      <w:start w:val="6"/>
      <w:numFmt w:val="decimal"/>
      <w:lvlText w:val="%1."/>
      <w:lvlJc w:val="left"/>
      <w:pPr>
        <w:ind w:left="585" w:hanging="585"/>
      </w:pPr>
      <w:rPr>
        <w:rFonts w:hint="default"/>
      </w:rPr>
    </w:lvl>
    <w:lvl w:ilvl="1">
      <w:start w:val="5"/>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2" w15:restartNumberingAfterBreak="0">
    <w:nsid w:val="1F5A7C10"/>
    <w:multiLevelType w:val="multilevel"/>
    <w:tmpl w:val="121039D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Palatino Linotype" w:hAnsi="Palatino Linotype"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15:restartNumberingAfterBreak="0">
    <w:nsid w:val="233E4755"/>
    <w:multiLevelType w:val="multilevel"/>
    <w:tmpl w:val="B106A922"/>
    <w:lvl w:ilvl="0">
      <w:start w:val="5"/>
      <w:numFmt w:val="decimal"/>
      <w:lvlText w:val="%1."/>
      <w:lvlJc w:val="left"/>
      <w:pPr>
        <w:ind w:left="585" w:hanging="585"/>
      </w:pPr>
      <w:rPr>
        <w:rFonts w:hint="default"/>
      </w:rPr>
    </w:lvl>
    <w:lvl w:ilvl="1">
      <w:start w:val="1"/>
      <w:numFmt w:val="decimal"/>
      <w:lvlText w:val="%1.%2."/>
      <w:lvlJc w:val="left"/>
      <w:pPr>
        <w:ind w:left="1082" w:hanging="720"/>
      </w:pPr>
      <w:rPr>
        <w:rFonts w:hint="default"/>
      </w:rPr>
    </w:lvl>
    <w:lvl w:ilvl="2">
      <w:start w:val="1"/>
      <w:numFmt w:val="decimal"/>
      <w:lvlText w:val="%1.%2.%3."/>
      <w:lvlJc w:val="left"/>
      <w:pPr>
        <w:ind w:left="1444" w:hanging="720"/>
      </w:pPr>
      <w:rPr>
        <w:rFonts w:hint="default"/>
      </w:rPr>
    </w:lvl>
    <w:lvl w:ilvl="3">
      <w:start w:val="1"/>
      <w:numFmt w:val="decimal"/>
      <w:lvlText w:val="%1.%2.%3.%4."/>
      <w:lvlJc w:val="left"/>
      <w:pPr>
        <w:ind w:left="2166" w:hanging="1080"/>
      </w:pPr>
      <w:rPr>
        <w:rFonts w:hint="default"/>
      </w:rPr>
    </w:lvl>
    <w:lvl w:ilvl="4">
      <w:start w:val="1"/>
      <w:numFmt w:val="decimal"/>
      <w:lvlText w:val="%1.%2.%3.%4.%5."/>
      <w:lvlJc w:val="left"/>
      <w:pPr>
        <w:ind w:left="2528" w:hanging="1080"/>
      </w:pPr>
      <w:rPr>
        <w:rFonts w:hint="default"/>
      </w:rPr>
    </w:lvl>
    <w:lvl w:ilvl="5">
      <w:start w:val="1"/>
      <w:numFmt w:val="decimal"/>
      <w:lvlText w:val="%1.%2.%3.%4.%5.%6."/>
      <w:lvlJc w:val="left"/>
      <w:pPr>
        <w:ind w:left="3250" w:hanging="1440"/>
      </w:pPr>
      <w:rPr>
        <w:rFonts w:hint="default"/>
      </w:rPr>
    </w:lvl>
    <w:lvl w:ilvl="6">
      <w:start w:val="1"/>
      <w:numFmt w:val="decimal"/>
      <w:lvlText w:val="%1.%2.%3.%4.%5.%6.%7."/>
      <w:lvlJc w:val="left"/>
      <w:pPr>
        <w:ind w:left="3612" w:hanging="1440"/>
      </w:pPr>
      <w:rPr>
        <w:rFonts w:hint="default"/>
      </w:rPr>
    </w:lvl>
    <w:lvl w:ilvl="7">
      <w:start w:val="1"/>
      <w:numFmt w:val="decimal"/>
      <w:lvlText w:val="%1.%2.%3.%4.%5.%6.%7.%8."/>
      <w:lvlJc w:val="left"/>
      <w:pPr>
        <w:ind w:left="4334" w:hanging="1800"/>
      </w:pPr>
      <w:rPr>
        <w:rFonts w:hint="default"/>
      </w:rPr>
    </w:lvl>
    <w:lvl w:ilvl="8">
      <w:start w:val="1"/>
      <w:numFmt w:val="decimal"/>
      <w:lvlText w:val="%1.%2.%3.%4.%5.%6.%7.%8.%9."/>
      <w:lvlJc w:val="left"/>
      <w:pPr>
        <w:ind w:left="4696" w:hanging="1800"/>
      </w:pPr>
      <w:rPr>
        <w:rFonts w:hint="default"/>
      </w:rPr>
    </w:lvl>
  </w:abstractNum>
  <w:abstractNum w:abstractNumId="14" w15:restartNumberingAfterBreak="0">
    <w:nsid w:val="23AB0A83"/>
    <w:multiLevelType w:val="hybridMultilevel"/>
    <w:tmpl w:val="8C4A971C"/>
    <w:lvl w:ilvl="0" w:tplc="30FED176">
      <w:start w:val="1"/>
      <w:numFmt w:val="lowerRoman"/>
      <w:lvlText w:val="(%1)"/>
      <w:lvlJc w:val="left"/>
      <w:pPr>
        <w:ind w:left="1346" w:hanging="360"/>
      </w:pPr>
      <w:rPr>
        <w:rFonts w:ascii="Optimum" w:hAnsi="Optimum" w:cs="Times New Roman" w:hint="default"/>
        <w:b w:val="0"/>
        <w:sz w:val="22"/>
        <w:szCs w:val="22"/>
      </w:rPr>
    </w:lvl>
    <w:lvl w:ilvl="1" w:tplc="30FED176">
      <w:start w:val="1"/>
      <w:numFmt w:val="lowerRoman"/>
      <w:lvlText w:val="(%2)"/>
      <w:lvlJc w:val="left"/>
      <w:pPr>
        <w:ind w:left="2066" w:hanging="360"/>
      </w:pPr>
      <w:rPr>
        <w:rFonts w:ascii="Optimum" w:hAnsi="Optimum" w:cs="Times New Roman" w:hint="default"/>
        <w:b w:val="0"/>
        <w:sz w:val="22"/>
        <w:szCs w:val="22"/>
      </w:rPr>
    </w:lvl>
    <w:lvl w:ilvl="2" w:tplc="0416001B" w:tentative="1">
      <w:start w:val="1"/>
      <w:numFmt w:val="lowerRoman"/>
      <w:lvlText w:val="%3."/>
      <w:lvlJc w:val="right"/>
      <w:pPr>
        <w:ind w:left="2786" w:hanging="180"/>
      </w:pPr>
    </w:lvl>
    <w:lvl w:ilvl="3" w:tplc="0416000F" w:tentative="1">
      <w:start w:val="1"/>
      <w:numFmt w:val="decimal"/>
      <w:lvlText w:val="%4."/>
      <w:lvlJc w:val="left"/>
      <w:pPr>
        <w:ind w:left="3506" w:hanging="360"/>
      </w:pPr>
    </w:lvl>
    <w:lvl w:ilvl="4" w:tplc="04160019" w:tentative="1">
      <w:start w:val="1"/>
      <w:numFmt w:val="lowerLetter"/>
      <w:lvlText w:val="%5."/>
      <w:lvlJc w:val="left"/>
      <w:pPr>
        <w:ind w:left="4226" w:hanging="360"/>
      </w:pPr>
    </w:lvl>
    <w:lvl w:ilvl="5" w:tplc="0416001B" w:tentative="1">
      <w:start w:val="1"/>
      <w:numFmt w:val="lowerRoman"/>
      <w:lvlText w:val="%6."/>
      <w:lvlJc w:val="right"/>
      <w:pPr>
        <w:ind w:left="4946" w:hanging="180"/>
      </w:pPr>
    </w:lvl>
    <w:lvl w:ilvl="6" w:tplc="0416000F" w:tentative="1">
      <w:start w:val="1"/>
      <w:numFmt w:val="decimal"/>
      <w:lvlText w:val="%7."/>
      <w:lvlJc w:val="left"/>
      <w:pPr>
        <w:ind w:left="5666" w:hanging="360"/>
      </w:pPr>
    </w:lvl>
    <w:lvl w:ilvl="7" w:tplc="04160019" w:tentative="1">
      <w:start w:val="1"/>
      <w:numFmt w:val="lowerLetter"/>
      <w:lvlText w:val="%8."/>
      <w:lvlJc w:val="left"/>
      <w:pPr>
        <w:ind w:left="6386" w:hanging="360"/>
      </w:pPr>
    </w:lvl>
    <w:lvl w:ilvl="8" w:tplc="0416001B" w:tentative="1">
      <w:start w:val="1"/>
      <w:numFmt w:val="lowerRoman"/>
      <w:lvlText w:val="%9."/>
      <w:lvlJc w:val="right"/>
      <w:pPr>
        <w:ind w:left="7106" w:hanging="180"/>
      </w:pPr>
    </w:lvl>
  </w:abstractNum>
  <w:abstractNum w:abstractNumId="15" w15:restartNumberingAfterBreak="0">
    <w:nsid w:val="26AB302B"/>
    <w:multiLevelType w:val="hybridMultilevel"/>
    <w:tmpl w:val="EEDE828A"/>
    <w:lvl w:ilvl="0" w:tplc="9FF40374">
      <w:start w:val="1"/>
      <w:numFmt w:val="lowerLetter"/>
      <w:lvlText w:val="%1)"/>
      <w:lvlJc w:val="left"/>
      <w:pPr>
        <w:ind w:left="1084" w:hanging="360"/>
      </w:pPr>
      <w:rPr>
        <w:rFonts w:hint="default"/>
        <w:b w:val="0"/>
      </w:rPr>
    </w:lvl>
    <w:lvl w:ilvl="1" w:tplc="04160019" w:tentative="1">
      <w:start w:val="1"/>
      <w:numFmt w:val="lowerLetter"/>
      <w:lvlText w:val="%2."/>
      <w:lvlJc w:val="left"/>
      <w:pPr>
        <w:ind w:left="1804" w:hanging="360"/>
      </w:pPr>
    </w:lvl>
    <w:lvl w:ilvl="2" w:tplc="0416001B" w:tentative="1">
      <w:start w:val="1"/>
      <w:numFmt w:val="lowerRoman"/>
      <w:lvlText w:val="%3."/>
      <w:lvlJc w:val="right"/>
      <w:pPr>
        <w:ind w:left="2524" w:hanging="180"/>
      </w:pPr>
    </w:lvl>
    <w:lvl w:ilvl="3" w:tplc="0416000F" w:tentative="1">
      <w:start w:val="1"/>
      <w:numFmt w:val="decimal"/>
      <w:lvlText w:val="%4."/>
      <w:lvlJc w:val="left"/>
      <w:pPr>
        <w:ind w:left="3244" w:hanging="360"/>
      </w:pPr>
    </w:lvl>
    <w:lvl w:ilvl="4" w:tplc="04160019" w:tentative="1">
      <w:start w:val="1"/>
      <w:numFmt w:val="lowerLetter"/>
      <w:lvlText w:val="%5."/>
      <w:lvlJc w:val="left"/>
      <w:pPr>
        <w:ind w:left="3964" w:hanging="360"/>
      </w:pPr>
    </w:lvl>
    <w:lvl w:ilvl="5" w:tplc="0416001B" w:tentative="1">
      <w:start w:val="1"/>
      <w:numFmt w:val="lowerRoman"/>
      <w:lvlText w:val="%6."/>
      <w:lvlJc w:val="right"/>
      <w:pPr>
        <w:ind w:left="4684" w:hanging="180"/>
      </w:pPr>
    </w:lvl>
    <w:lvl w:ilvl="6" w:tplc="0416000F" w:tentative="1">
      <w:start w:val="1"/>
      <w:numFmt w:val="decimal"/>
      <w:lvlText w:val="%7."/>
      <w:lvlJc w:val="left"/>
      <w:pPr>
        <w:ind w:left="5404" w:hanging="360"/>
      </w:pPr>
    </w:lvl>
    <w:lvl w:ilvl="7" w:tplc="04160019" w:tentative="1">
      <w:start w:val="1"/>
      <w:numFmt w:val="lowerLetter"/>
      <w:lvlText w:val="%8."/>
      <w:lvlJc w:val="left"/>
      <w:pPr>
        <w:ind w:left="6124" w:hanging="360"/>
      </w:pPr>
    </w:lvl>
    <w:lvl w:ilvl="8" w:tplc="0416001B" w:tentative="1">
      <w:start w:val="1"/>
      <w:numFmt w:val="lowerRoman"/>
      <w:lvlText w:val="%9."/>
      <w:lvlJc w:val="right"/>
      <w:pPr>
        <w:ind w:left="6844" w:hanging="180"/>
      </w:pPr>
    </w:lvl>
  </w:abstractNum>
  <w:abstractNum w:abstractNumId="16" w15:restartNumberingAfterBreak="0">
    <w:nsid w:val="26F3719A"/>
    <w:multiLevelType w:val="multilevel"/>
    <w:tmpl w:val="121039D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Palatino Linotype" w:hAnsi="Palatino Linotype"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7" w15:restartNumberingAfterBreak="0">
    <w:nsid w:val="2E8B57ED"/>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8" w15:restartNumberingAfterBreak="0">
    <w:nsid w:val="327D19EC"/>
    <w:multiLevelType w:val="multilevel"/>
    <w:tmpl w:val="5BF0892E"/>
    <w:lvl w:ilvl="0">
      <w:start w:val="6"/>
      <w:numFmt w:val="decimal"/>
      <w:lvlText w:val="%1"/>
      <w:lvlJc w:val="left"/>
      <w:pPr>
        <w:ind w:left="660" w:hanging="660"/>
      </w:pPr>
      <w:rPr>
        <w:rFonts w:hint="default"/>
      </w:rPr>
    </w:lvl>
    <w:lvl w:ilvl="1">
      <w:start w:val="15"/>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4055C1C"/>
    <w:multiLevelType w:val="multilevel"/>
    <w:tmpl w:val="14A4305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Palatino Linotype" w:hAnsi="Palatino Linotype"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0" w15:restartNumberingAfterBreak="0">
    <w:nsid w:val="35E4392F"/>
    <w:multiLevelType w:val="hybridMultilevel"/>
    <w:tmpl w:val="7F8A69F2"/>
    <w:lvl w:ilvl="0" w:tplc="F8BA989A">
      <w:start w:val="1"/>
      <w:numFmt w:val="lowerRoman"/>
      <w:lvlText w:val="(%1)"/>
      <w:lvlJc w:val="left"/>
      <w:pPr>
        <w:ind w:left="2127" w:hanging="720"/>
      </w:pPr>
      <w:rPr>
        <w:rFonts w:ascii="Times New Roman" w:hAnsi="Times New Roman" w:cs="Times New Roman" w:hint="default"/>
        <w:b w:val="0"/>
        <w:sz w:val="26"/>
        <w:szCs w:val="26"/>
      </w:rPr>
    </w:lvl>
    <w:lvl w:ilvl="1" w:tplc="04160019" w:tentative="1">
      <w:start w:val="1"/>
      <w:numFmt w:val="lowerLetter"/>
      <w:lvlText w:val="%2."/>
      <w:lvlJc w:val="left"/>
      <w:pPr>
        <w:ind w:left="2487" w:hanging="360"/>
      </w:pPr>
    </w:lvl>
    <w:lvl w:ilvl="2" w:tplc="0416001B" w:tentative="1">
      <w:start w:val="1"/>
      <w:numFmt w:val="lowerRoman"/>
      <w:lvlText w:val="%3."/>
      <w:lvlJc w:val="right"/>
      <w:pPr>
        <w:ind w:left="3207" w:hanging="180"/>
      </w:pPr>
    </w:lvl>
    <w:lvl w:ilvl="3" w:tplc="0416000F" w:tentative="1">
      <w:start w:val="1"/>
      <w:numFmt w:val="decimal"/>
      <w:lvlText w:val="%4."/>
      <w:lvlJc w:val="left"/>
      <w:pPr>
        <w:ind w:left="3927" w:hanging="360"/>
      </w:pPr>
    </w:lvl>
    <w:lvl w:ilvl="4" w:tplc="04160019" w:tentative="1">
      <w:start w:val="1"/>
      <w:numFmt w:val="lowerLetter"/>
      <w:lvlText w:val="%5."/>
      <w:lvlJc w:val="left"/>
      <w:pPr>
        <w:ind w:left="4647" w:hanging="360"/>
      </w:pPr>
    </w:lvl>
    <w:lvl w:ilvl="5" w:tplc="0416001B" w:tentative="1">
      <w:start w:val="1"/>
      <w:numFmt w:val="lowerRoman"/>
      <w:lvlText w:val="%6."/>
      <w:lvlJc w:val="right"/>
      <w:pPr>
        <w:ind w:left="5367" w:hanging="180"/>
      </w:pPr>
    </w:lvl>
    <w:lvl w:ilvl="6" w:tplc="0416000F" w:tentative="1">
      <w:start w:val="1"/>
      <w:numFmt w:val="decimal"/>
      <w:lvlText w:val="%7."/>
      <w:lvlJc w:val="left"/>
      <w:pPr>
        <w:ind w:left="6087" w:hanging="360"/>
      </w:pPr>
    </w:lvl>
    <w:lvl w:ilvl="7" w:tplc="04160019" w:tentative="1">
      <w:start w:val="1"/>
      <w:numFmt w:val="lowerLetter"/>
      <w:lvlText w:val="%8."/>
      <w:lvlJc w:val="left"/>
      <w:pPr>
        <w:ind w:left="6807" w:hanging="360"/>
      </w:pPr>
    </w:lvl>
    <w:lvl w:ilvl="8" w:tplc="0416001B" w:tentative="1">
      <w:start w:val="1"/>
      <w:numFmt w:val="lowerRoman"/>
      <w:lvlText w:val="%9."/>
      <w:lvlJc w:val="right"/>
      <w:pPr>
        <w:ind w:left="7527" w:hanging="180"/>
      </w:pPr>
    </w:lvl>
  </w:abstractNum>
  <w:abstractNum w:abstractNumId="21" w15:restartNumberingAfterBreak="0">
    <w:nsid w:val="3D0A68F6"/>
    <w:multiLevelType w:val="multilevel"/>
    <w:tmpl w:val="35A8CA8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2" w15:restartNumberingAfterBreak="0">
    <w:nsid w:val="43D75DD7"/>
    <w:multiLevelType w:val="multilevel"/>
    <w:tmpl w:val="7FD6C53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Palatino Linotype" w:hAnsi="Palatino Linotype"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3" w15:restartNumberingAfterBreak="0">
    <w:nsid w:val="569F6075"/>
    <w:multiLevelType w:val="multilevel"/>
    <w:tmpl w:val="212ACBE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Palatino Linotype" w:hAnsi="Palatino Linotype" w:hint="default"/>
        <w:b w:val="0"/>
        <w:i w:val="0"/>
        <w:sz w:val="22"/>
        <w:szCs w:val="22"/>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4" w15:restartNumberingAfterBreak="0">
    <w:nsid w:val="5A2A3D38"/>
    <w:multiLevelType w:val="hybridMultilevel"/>
    <w:tmpl w:val="49EE8F5A"/>
    <w:lvl w:ilvl="0" w:tplc="8EAAAE90">
      <w:start w:val="1"/>
      <w:numFmt w:val="decimal"/>
      <w:lvlText w:val="3.6.%1."/>
      <w:lvlJc w:val="left"/>
      <w:pPr>
        <w:ind w:left="720" w:hanging="360"/>
      </w:pPr>
      <w:rPr>
        <w:rFonts w:hint="default"/>
      </w:rPr>
    </w:lvl>
    <w:lvl w:ilvl="1" w:tplc="78AA9910">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BEC3C43"/>
    <w:multiLevelType w:val="multilevel"/>
    <w:tmpl w:val="121039D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Palatino Linotype" w:hAnsi="Palatino Linotype"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6" w15:restartNumberingAfterBreak="0">
    <w:nsid w:val="5CEB6891"/>
    <w:multiLevelType w:val="multilevel"/>
    <w:tmpl w:val="5564695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b w:val="0"/>
        <w:i w:val="0"/>
        <w:sz w:val="26"/>
        <w:szCs w:val="20"/>
      </w:rPr>
    </w:lvl>
    <w:lvl w:ilvl="3">
      <w:start w:val="1"/>
      <w:numFmt w:val="lowerLetter"/>
      <w:lvlText w:val="(%4)"/>
      <w:lvlJc w:val="left"/>
      <w:pPr>
        <w:tabs>
          <w:tab w:val="num" w:pos="2126"/>
        </w:tabs>
        <w:ind w:left="2126" w:hanging="425"/>
      </w:pPr>
      <w:rPr>
        <w:rFonts w:ascii="Palatino Linotype" w:hAnsi="Palatino Linotype"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7" w15:restartNumberingAfterBreak="0">
    <w:nsid w:val="6249564C"/>
    <w:multiLevelType w:val="multilevel"/>
    <w:tmpl w:val="253CEE2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8" w15:restartNumberingAfterBreak="0">
    <w:nsid w:val="67D80EF8"/>
    <w:multiLevelType w:val="multilevel"/>
    <w:tmpl w:val="E13084F2"/>
    <w:lvl w:ilvl="0">
      <w:start w:val="6"/>
      <w:numFmt w:val="decimal"/>
      <w:lvlText w:val="%1."/>
      <w:lvlJc w:val="left"/>
      <w:pPr>
        <w:ind w:left="720" w:hanging="720"/>
      </w:pPr>
      <w:rPr>
        <w:rFonts w:hint="default"/>
      </w:rPr>
    </w:lvl>
    <w:lvl w:ilvl="1">
      <w:start w:val="25"/>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9" w15:restartNumberingAfterBreak="0">
    <w:nsid w:val="68CE738D"/>
    <w:multiLevelType w:val="multilevel"/>
    <w:tmpl w:val="121039D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Palatino Linotype" w:hAnsi="Palatino Linotype"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0" w15:restartNumberingAfterBreak="0">
    <w:nsid w:val="6BC666C1"/>
    <w:multiLevelType w:val="multilevel"/>
    <w:tmpl w:val="810AED70"/>
    <w:lvl w:ilvl="0">
      <w:start w:val="1"/>
      <w:numFmt w:val="decimal"/>
      <w:lvlText w:val="%1."/>
      <w:lvlJc w:val="left"/>
      <w:pPr>
        <w:tabs>
          <w:tab w:val="num" w:pos="709"/>
        </w:tabs>
        <w:ind w:left="709" w:hanging="709"/>
      </w:pPr>
      <w:rPr>
        <w:rFonts w:ascii="Palatino Linotype" w:hAnsi="Palatino Linotype" w:hint="default"/>
        <w:b w:val="0"/>
        <w:i w:val="0"/>
        <w:sz w:val="22"/>
        <w:szCs w:val="22"/>
      </w:rPr>
    </w:lvl>
    <w:lvl w:ilvl="1">
      <w:start w:val="1"/>
      <w:numFmt w:val="decimal"/>
      <w:lvlText w:val="%1.%2"/>
      <w:lvlJc w:val="left"/>
      <w:pPr>
        <w:tabs>
          <w:tab w:val="num" w:pos="709"/>
        </w:tabs>
        <w:ind w:left="709" w:hanging="709"/>
      </w:pPr>
      <w:rPr>
        <w:rFonts w:ascii="Palatino Linotype" w:hAnsi="Palatino Linotype" w:hint="default"/>
        <w:b w:val="0"/>
        <w:i w:val="0"/>
        <w:sz w:val="22"/>
        <w:szCs w:val="22"/>
      </w:rPr>
    </w:lvl>
    <w:lvl w:ilvl="2">
      <w:start w:val="1"/>
      <w:numFmt w:val="upperRoman"/>
      <w:lvlText w:val="%3."/>
      <w:lvlJc w:val="left"/>
      <w:pPr>
        <w:tabs>
          <w:tab w:val="num" w:pos="1701"/>
        </w:tabs>
        <w:ind w:left="1701" w:hanging="992"/>
      </w:pPr>
      <w:rPr>
        <w:rFonts w:ascii="Palatino Linotype" w:eastAsia="Times New Roman" w:hAnsi="Palatino Linotype" w:cs="Times New Roman"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2"/>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1" w15:restartNumberingAfterBreak="0">
    <w:nsid w:val="71116C3B"/>
    <w:multiLevelType w:val="multilevel"/>
    <w:tmpl w:val="91A4E6D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b w:val="0"/>
        <w:i w:val="0"/>
        <w:sz w:val="26"/>
        <w:szCs w:val="20"/>
      </w:rPr>
    </w:lvl>
    <w:lvl w:ilvl="3">
      <w:start w:val="1"/>
      <w:numFmt w:val="lowerLetter"/>
      <w:lvlText w:val="(%4)"/>
      <w:lvlJc w:val="left"/>
      <w:pPr>
        <w:tabs>
          <w:tab w:val="num" w:pos="2126"/>
        </w:tabs>
        <w:ind w:left="2126" w:hanging="425"/>
      </w:pPr>
      <w:rPr>
        <w:rFonts w:ascii="Palatino Linotype" w:hAnsi="Palatino Linotype"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2" w15:restartNumberingAfterBreak="0">
    <w:nsid w:val="7307241C"/>
    <w:multiLevelType w:val="multilevel"/>
    <w:tmpl w:val="E116AB82"/>
    <w:lvl w:ilvl="0">
      <w:start w:val="9"/>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7C2135B"/>
    <w:multiLevelType w:val="multilevel"/>
    <w:tmpl w:val="980EEAE0"/>
    <w:lvl w:ilvl="0">
      <w:start w:val="1"/>
      <w:numFmt w:val="upperRoman"/>
      <w:lvlText w:val="%1."/>
      <w:lvlJc w:val="left"/>
      <w:pPr>
        <w:ind w:left="1418" w:firstLine="709"/>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4" w15:restartNumberingAfterBreak="0">
    <w:nsid w:val="782C02A3"/>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5" w15:restartNumberingAfterBreak="0">
    <w:nsid w:val="7F6468D7"/>
    <w:multiLevelType w:val="multilevel"/>
    <w:tmpl w:val="F7AC275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4"/>
        <w:szCs w:val="24"/>
      </w:rPr>
    </w:lvl>
    <w:lvl w:ilvl="3">
      <w:start w:val="1"/>
      <w:numFmt w:val="lowerLetter"/>
      <w:lvlText w:val="(%4)"/>
      <w:lvlJc w:val="left"/>
      <w:pPr>
        <w:tabs>
          <w:tab w:val="num" w:pos="2126"/>
        </w:tabs>
        <w:ind w:left="2126" w:hanging="425"/>
      </w:pPr>
      <w:rPr>
        <w:rFonts w:ascii="Palatino Linotype" w:hAnsi="Palatino Linotype"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abstractNumId w:val="33"/>
  </w:num>
  <w:num w:numId="2">
    <w:abstractNumId w:val="6"/>
  </w:num>
  <w:num w:numId="3">
    <w:abstractNumId w:val="13"/>
  </w:num>
  <w:num w:numId="4">
    <w:abstractNumId w:val="20"/>
  </w:num>
  <w:num w:numId="5">
    <w:abstractNumId w:val="24"/>
  </w:num>
  <w:num w:numId="6">
    <w:abstractNumId w:val="14"/>
  </w:num>
  <w:num w:numId="7">
    <w:abstractNumId w:val="15"/>
  </w:num>
  <w:num w:numId="8">
    <w:abstractNumId w:val="7"/>
  </w:num>
  <w:num w:numId="9">
    <w:abstractNumId w:val="9"/>
  </w:num>
  <w:num w:numId="10">
    <w:abstractNumId w:val="30"/>
  </w:num>
  <w:num w:numId="11">
    <w:abstractNumId w:val="5"/>
  </w:num>
  <w:num w:numId="12">
    <w:abstractNumId w:val="21"/>
  </w:num>
  <w:num w:numId="13">
    <w:abstractNumId w:val="16"/>
  </w:num>
  <w:num w:numId="14">
    <w:abstractNumId w:val="26"/>
  </w:num>
  <w:num w:numId="15">
    <w:abstractNumId w:val="19"/>
  </w:num>
  <w:num w:numId="16">
    <w:abstractNumId w:val="31"/>
  </w:num>
  <w:num w:numId="17">
    <w:abstractNumId w:val="22"/>
  </w:num>
  <w:num w:numId="18">
    <w:abstractNumId w:val="34"/>
  </w:num>
  <w:num w:numId="19">
    <w:abstractNumId w:val="10"/>
  </w:num>
  <w:num w:numId="20">
    <w:abstractNumId w:val="2"/>
  </w:num>
  <w:num w:numId="21">
    <w:abstractNumId w:val="23"/>
  </w:num>
  <w:num w:numId="22">
    <w:abstractNumId w:val="32"/>
  </w:num>
  <w:num w:numId="23">
    <w:abstractNumId w:val="8"/>
  </w:num>
  <w:num w:numId="24">
    <w:abstractNumId w:val="28"/>
  </w:num>
  <w:num w:numId="25">
    <w:abstractNumId w:val="4"/>
  </w:num>
  <w:num w:numId="26">
    <w:abstractNumId w:val="17"/>
  </w:num>
  <w:num w:numId="27">
    <w:abstractNumId w:val="27"/>
  </w:num>
  <w:num w:numId="28">
    <w:abstractNumId w:val="11"/>
  </w:num>
  <w:num w:numId="29">
    <w:abstractNumId w:val="18"/>
  </w:num>
  <w:num w:numId="30">
    <w:abstractNumId w:val="3"/>
  </w:num>
  <w:num w:numId="31">
    <w:abstractNumId w:val="1"/>
  </w:num>
  <w:num w:numId="32">
    <w:abstractNumId w:val="35"/>
  </w:num>
  <w:num w:numId="33">
    <w:abstractNumId w:val="0"/>
  </w:num>
  <w:num w:numId="34">
    <w:abstractNumId w:val="12"/>
  </w:num>
  <w:num w:numId="35">
    <w:abstractNumId w:val="2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pt-BR" w:vendorID="64" w:dllVersion="6" w:nlCheck="1" w:checkStyle="0"/>
  <w:activeWritingStyle w:appName="MSWord" w:lang="pt-BR" w:vendorID="64" w:dllVersion="4096" w:nlCheck="1" w:checkStyle="0"/>
  <w:activeWritingStyle w:appName="MSWord" w:lang="pt-BR" w:vendorID="64" w:dllVersion="131078"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B2"/>
    <w:rsid w:val="000007C2"/>
    <w:rsid w:val="00041366"/>
    <w:rsid w:val="000E7E72"/>
    <w:rsid w:val="002C475F"/>
    <w:rsid w:val="00442246"/>
    <w:rsid w:val="004B3D8A"/>
    <w:rsid w:val="006E20AC"/>
    <w:rsid w:val="00791406"/>
    <w:rsid w:val="009F64C1"/>
    <w:rsid w:val="00BE6D2E"/>
    <w:rsid w:val="00C64B75"/>
    <w:rsid w:val="00CF6573"/>
    <w:rsid w:val="00DE78B2"/>
    <w:rsid w:val="00EB6DFE"/>
    <w:rsid w:val="00F42355"/>
    <w:rsid w:val="00FA44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2C8DA"/>
  <w15:docId w15:val="{17103A24-A4E7-4967-8A5E-DA5EBC3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6"/>
        <w:szCs w:val="26"/>
        <w:lang w:val="pt-BR" w:eastAsia="pt-BR"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outlineLvl w:val="0"/>
    </w:pPr>
    <w:rPr>
      <w:b/>
    </w:rPr>
  </w:style>
  <w:style w:type="paragraph" w:styleId="Ttulo2">
    <w:name w:val="heading 2"/>
    <w:basedOn w:val="Normal"/>
    <w:next w:val="Normal"/>
    <w:pPr>
      <w:keepNext/>
      <w:keepLines/>
      <w:outlineLvl w:val="1"/>
    </w:pPr>
  </w:style>
  <w:style w:type="paragraph" w:styleId="Ttulo3">
    <w:name w:val="heading 3"/>
    <w:basedOn w:val="Normal"/>
    <w:next w:val="Normal"/>
    <w:pPr>
      <w:keepNext/>
      <w:keepLines/>
      <w:jc w:val="center"/>
      <w:outlineLvl w:val="2"/>
    </w:pPr>
    <w:rPr>
      <w:b/>
    </w:rPr>
  </w:style>
  <w:style w:type="paragraph" w:styleId="Ttulo4">
    <w:name w:val="heading 4"/>
    <w:basedOn w:val="Normal"/>
    <w:next w:val="Normal"/>
    <w:pPr>
      <w:keepNext/>
      <w:keepLines/>
      <w:jc w:val="center"/>
      <w:outlineLvl w:val="3"/>
    </w:pPr>
    <w:rPr>
      <w:b/>
      <w:color w:val="0000FF"/>
    </w:rPr>
  </w:style>
  <w:style w:type="paragraph" w:styleId="Ttulo5">
    <w:name w:val="heading 5"/>
    <w:basedOn w:val="Normal"/>
    <w:next w:val="Normal"/>
    <w:pPr>
      <w:keepNext/>
      <w:keepLines/>
      <w:tabs>
        <w:tab w:val="left" w:pos="2268"/>
      </w:tabs>
      <w:ind w:left="709"/>
      <w:outlineLvl w:val="4"/>
    </w:pPr>
    <w:rPr>
      <w:sz w:val="24"/>
      <w:szCs w:val="24"/>
    </w:rPr>
  </w:style>
  <w:style w:type="paragraph" w:styleId="Ttulo6">
    <w:name w:val="heading 6"/>
    <w:basedOn w:val="Normal"/>
    <w:next w:val="Normal"/>
    <w:pPr>
      <w:keepNext/>
      <w:keepLines/>
      <w:tabs>
        <w:tab w:val="left" w:pos="2268"/>
      </w:tabs>
      <w:spacing w:after="240"/>
      <w:jc w:val="center"/>
      <w:outlineLvl w:val="5"/>
    </w:pPr>
    <w:rPr>
      <w:smallCaps/>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table" w:customStyle="1" w:styleId="3">
    <w:name w:val="3"/>
    <w:basedOn w:val="TableNormal1"/>
    <w:tblPr>
      <w:tblStyleRowBandSize w:val="1"/>
      <w:tblStyleColBandSize w:val="1"/>
      <w:tblCellMar>
        <w:left w:w="71" w:type="dxa"/>
        <w:right w:w="71" w:type="dxa"/>
      </w:tblCellMar>
    </w:tblPr>
  </w:style>
  <w:style w:type="table" w:customStyle="1" w:styleId="2">
    <w:name w:val="2"/>
    <w:basedOn w:val="TableNormal1"/>
    <w:tblPr>
      <w:tblStyleRowBandSize w:val="1"/>
      <w:tblStyleColBandSize w:val="1"/>
      <w:tblCellMar>
        <w:left w:w="71" w:type="dxa"/>
        <w:right w:w="71" w:type="dxa"/>
      </w:tblCellMar>
    </w:tblPr>
  </w:style>
  <w:style w:type="table" w:customStyle="1" w:styleId="1">
    <w:name w:val="1"/>
    <w:basedOn w:val="TableNormal1"/>
    <w:tblPr>
      <w:tblStyleRowBandSize w:val="1"/>
      <w:tblStyleColBandSize w:val="1"/>
      <w:tblCellMar>
        <w:left w:w="71" w:type="dxa"/>
        <w:right w:w="71"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extodenotaderodap">
    <w:name w:val="footnote text"/>
    <w:basedOn w:val="Normal"/>
    <w:link w:val="TextodenotaderodapChar"/>
    <w:uiPriority w:val="99"/>
    <w:semiHidden/>
    <w:unhideWhenUsed/>
    <w:pPr>
      <w:spacing w:after="0"/>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paragraph" w:styleId="Corpodetexto3">
    <w:name w:val="Body Text 3"/>
    <w:basedOn w:val="Normal"/>
    <w:link w:val="Corpodetexto3Char"/>
    <w:uiPriority w:val="99"/>
    <w:pPr>
      <w:autoSpaceDE w:val="0"/>
      <w:autoSpaceDN w:val="0"/>
      <w:adjustRightInd w:val="0"/>
      <w:spacing w:after="0"/>
    </w:pPr>
    <w:rPr>
      <w:color w:val="auto"/>
      <w:sz w:val="16"/>
      <w:szCs w:val="16"/>
    </w:rPr>
  </w:style>
  <w:style w:type="character" w:customStyle="1" w:styleId="Corpodetexto3Char">
    <w:name w:val="Corpo de texto 3 Char"/>
    <w:basedOn w:val="Fontepargpadro"/>
    <w:link w:val="Corpodetexto3"/>
    <w:uiPriority w:val="99"/>
    <w:rPr>
      <w:color w:val="auto"/>
      <w:sz w:val="16"/>
      <w:szCs w:val="16"/>
    </w:rPr>
  </w:style>
  <w:style w:type="character" w:customStyle="1" w:styleId="DeltaViewInsertion">
    <w:name w:val="DeltaView Insertion"/>
    <w:uiPriority w:val="99"/>
    <w:rPr>
      <w:color w:val="0000FF"/>
      <w:u w:val="double"/>
    </w:rPr>
  </w:style>
  <w:style w:type="paragraph" w:styleId="Reviso">
    <w:name w:val="Revision"/>
    <w:hidden/>
    <w:uiPriority w:val="99"/>
    <w:semiHidden/>
    <w:pPr>
      <w:spacing w:after="0"/>
      <w:jc w:val="left"/>
    </w:pPr>
  </w:style>
  <w:style w:type="character" w:styleId="Hyperlink">
    <w:name w:val="Hyperlink"/>
    <w:basedOn w:val="Fontepargpadro"/>
    <w:uiPriority w:val="99"/>
    <w:unhideWhenUsed/>
    <w:rPr>
      <w:color w:val="0000FF" w:themeColor="hyperlink"/>
      <w:u w:val="single"/>
    </w:rPr>
  </w:style>
  <w:style w:type="paragraph" w:styleId="Cabealho">
    <w:name w:val="header"/>
    <w:basedOn w:val="Normal"/>
    <w:link w:val="CabealhoChar"/>
    <w:uiPriority w:val="99"/>
    <w:unhideWhenUsed/>
    <w:pPr>
      <w:tabs>
        <w:tab w:val="center" w:pos="4252"/>
        <w:tab w:val="right" w:pos="8504"/>
      </w:tabs>
      <w:spacing w:after="0"/>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252"/>
        <w:tab w:val="right" w:pos="8504"/>
      </w:tabs>
      <w:spacing w:after="0"/>
    </w:pPr>
  </w:style>
  <w:style w:type="character" w:customStyle="1" w:styleId="RodapChar">
    <w:name w:val="Rodapé Char"/>
    <w:basedOn w:val="Fontepargpadro"/>
    <w:link w:val="Rodap"/>
    <w:uiPriority w:val="99"/>
  </w:style>
  <w:style w:type="paragraph" w:styleId="PargrafodaLista">
    <w:name w:val="List Paragraph"/>
    <w:basedOn w:val="Normal"/>
    <w:uiPriority w:val="34"/>
    <w:qFormat/>
    <w:pPr>
      <w:ind w:left="720"/>
      <w:contextualSpacing/>
    </w:pPr>
  </w:style>
  <w:style w:type="table" w:styleId="Tabelacomgrade">
    <w:name w:val="Table Grid"/>
    <w:basedOn w:val="Tabelanormal"/>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pPr>
      <w:spacing w:before="100" w:beforeAutospacing="1" w:after="100" w:afterAutospacing="1"/>
      <w:jc w:val="left"/>
    </w:pPr>
    <w:rPr>
      <w:rFonts w:ascii="Verdana" w:eastAsia="Arial Unicode MS" w:hAnsi="Verdana" w:cs="Verdana"/>
      <w:color w:val="auto"/>
      <w:sz w:val="24"/>
      <w:szCs w:val="24"/>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b/>
      <w:bCs/>
      <w:sz w:val="20"/>
      <w:szCs w:val="20"/>
    </w:rPr>
  </w:style>
  <w:style w:type="paragraph" w:customStyle="1" w:styleId="STDTextoDois-Quatro">
    <w:name w:val="STD Texto Dois-Quatro"/>
    <w:basedOn w:val="Normal"/>
    <w:link w:val="STDTextoDois-QuatroChar"/>
    <w:pPr>
      <w:spacing w:before="240" w:after="0" w:line="240" w:lineRule="exact"/>
      <w:ind w:left="471"/>
    </w:pPr>
    <w:rPr>
      <w:rFonts w:ascii="Arial" w:hAnsi="Arial"/>
      <w:color w:val="auto"/>
      <w:sz w:val="20"/>
      <w:szCs w:val="24"/>
      <w:lang w:val="x-none" w:eastAsia="x-none"/>
    </w:rPr>
  </w:style>
  <w:style w:type="character" w:customStyle="1" w:styleId="STDTextoDois-QuatroChar">
    <w:name w:val="STD Texto Dois-Quatro Char"/>
    <w:link w:val="STDTextoDois-Quatro"/>
    <w:rPr>
      <w:rFonts w:ascii="Arial" w:hAnsi="Arial"/>
      <w:color w:val="auto"/>
      <w:sz w:val="20"/>
      <w:szCs w:val="24"/>
      <w:lang w:val="x-none" w:eastAsia="x-none"/>
    </w:rPr>
  </w:style>
  <w:style w:type="paragraph" w:styleId="Commarcadores">
    <w:name w:val="List Bullet"/>
    <w:basedOn w:val="Normal"/>
    <w:uiPriority w:val="99"/>
    <w:unhideWhenUsed/>
    <w:pPr>
      <w:numPr>
        <w:numId w:val="3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236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b3.com.br" TargetMode="External"/><Relationship Id="rId18" Type="http://schemas.openxmlformats.org/officeDocument/2006/relationships/fontTable" Target="fontTable.xml"/><Relationship Id="rId26"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f1e7cf27c42c233a5803aaa50c4156a2">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1 6 " ? > < p r o p e r t i e s   x m l n s = " h t t p : / / w w w . i m a n a g e . c o m / w o r k / x m l s c h e m a " >  
     < d o c u m e n t i d > J U R _ S P ! 3 2 4 4 8 8 1 7 . 7 < / d o c u m e n t i d >  
     < s e n d e r i d > H S N < / s e n d e r i d >  
     < s e n d e r e m a i l > T A M B R O S A N O @ P N . C O M . B R < / s e n d e r e m a i l >  
     < l a s t m o d i f i e d > 2 0 1 9 - 0 2 - 1 1 T 1 9 : 4 5 : 0 0 . 0 0 0 0 0 0 0 - 0 2 : 0 0 < / l a s t m o d i f i e d >  
 < / 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57ZY53RMA37K-95-6531</_dlc_DocId>
    <_dlc_DocIdUrl xmlns="9bd4b9cc-8746-41d1-b5cc-e8920a0bba5d">
      <Url>http://intranet/restrictedarea/Legal/brasil/_layouts/15/DocIdRedir.aspx?ID=57ZY53RMA37K-95-6531</Url>
      <Description>57ZY53RMA37K-95-6531</Description>
    </_dlc_DocIdUrl>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B76A9-8985-424D-ABD2-D21A5A4E85D6}">
  <ds:schemaRefs>
    <ds:schemaRef ds:uri="http://schemas.microsoft.com/sharepoint/events"/>
  </ds:schemaRefs>
</ds:datastoreItem>
</file>

<file path=customXml/itemProps2.xml><?xml version="1.0" encoding="utf-8"?>
<ds:datastoreItem xmlns:ds="http://schemas.openxmlformats.org/officeDocument/2006/customXml" ds:itemID="{A588B4AF-A3D3-49C7-AED0-6E2520D68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69BCA3-6DCB-4D7D-B699-83EECA3852EC}">
  <ds:schemaRefs>
    <ds:schemaRef ds:uri="http://www.imanage.com/work/xmlschema"/>
  </ds:schemaRefs>
</ds:datastoreItem>
</file>

<file path=customXml/itemProps4.xml><?xml version="1.0" encoding="utf-8"?>
<ds:datastoreItem xmlns:ds="http://schemas.openxmlformats.org/officeDocument/2006/customXml" ds:itemID="{474ABACD-4452-46EC-A9A2-5FB7DAC3752D}">
  <ds:schemaRefs>
    <ds:schemaRef ds:uri="http://schemas.microsoft.com/sharepoint/v3/contenttype/forms"/>
  </ds:schemaRefs>
</ds:datastoreItem>
</file>

<file path=customXml/itemProps5.xml><?xml version="1.0" encoding="utf-8"?>
<ds:datastoreItem xmlns:ds="http://schemas.openxmlformats.org/officeDocument/2006/customXml" ds:itemID="{ABC4F8A7-BEB7-4140-8FAD-8217FACFFFAD}">
  <ds:schemaRefs>
    <ds:schemaRef ds:uri="http://schemas.microsoft.com/office/2006/metadata/properties"/>
    <ds:schemaRef ds:uri="http://schemas.microsoft.com/office/infopath/2007/PartnerControls"/>
    <ds:schemaRef ds:uri="9bd4b9cc-8746-41d1-b5cc-e8920a0bba5d"/>
  </ds:schemaRefs>
</ds:datastoreItem>
</file>

<file path=customXml/itemProps6.xml><?xml version="1.0" encoding="utf-8"?>
<ds:datastoreItem xmlns:ds="http://schemas.openxmlformats.org/officeDocument/2006/customXml" ds:itemID="{E5BA9FE2-BA32-4ED7-8655-9FED82627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46</Pages>
  <Words>17548</Words>
  <Characters>94765</Characters>
  <Application>Microsoft Office Word</Application>
  <DocSecurity>0</DocSecurity>
  <Lines>789</Lines>
  <Paragraphs>224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Rodolfo Constantino de Tella</dc:creator>
  <cp:lastModifiedBy>rct</cp:lastModifiedBy>
  <cp:revision>6</cp:revision>
  <cp:lastPrinted>2019-02-12T19:45:00Z</cp:lastPrinted>
  <dcterms:created xsi:type="dcterms:W3CDTF">2019-02-12T19:44:00Z</dcterms:created>
  <dcterms:modified xsi:type="dcterms:W3CDTF">2019-02-12T20:13:00Z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0x0101001C671C8D866A3B4A912314A221CCC7C5</vt:lpwstr>
  </property>
  <property fmtid="{D5CDD505-2E9C-101B-9397-08002B2CF9AE}" pid="3" name="_dlc_DocIdItemGuid">
    <vt:lpwstr>f1bffc35-c011-4245-90da-cba735c104f4</vt:lpwstr>
  </property>
  <property fmtid="{D5CDD505-2E9C-101B-9397-08002B2CF9AE}" pid="4" name="iManageFooter">
    <vt:lpwstr>JUR_SP - 32448817v7 - 599023.437671</vt:lpwstr>
  </property>
</Properties>
</file>