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312" w:lineRule="auto"/>
        <w:rPr>
          <w:rFonts w:ascii="Times New Roman" w:hAnsi="Times New Roman"/>
          <w:b/>
        </w:rPr>
      </w:pPr>
      <w:bookmarkStart w:id="0" w:name="_GoBack"/>
      <w:bookmarkEnd w:id="0"/>
      <w:r>
        <w:rPr>
          <w:rFonts w:ascii="Times New Roman" w:hAnsi="Times New Roman"/>
          <w:b/>
        </w:rPr>
        <w:t>INSTRUMENTO PARTICULAR DE ESCRITURA DA 20ª (VIGÉSIMA) EMISSÃO DE DEBÊNTURES SIMPLES, NÃO CONVERSÍVEIS EM AÇÕES, DA ESPÉCIE COM GARANTIA REAL, EM SÉRIE ÚNICA, DA ELETROPAULO METROPOLITANA ELETRICIDADE DE SÃO PAULO S.A.</w:t>
      </w:r>
    </w:p>
    <w:p>
      <w:pPr>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Pelo presente instrumento particular, de um lado,</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b/>
          <w:bCs/>
          <w:smallCaps/>
        </w:rPr>
        <w:t>ELETROPAULO METROPOLITANA ELETRICIDADE DE SÃO PAULO</w:t>
      </w:r>
      <w:r>
        <w:rPr>
          <w:rFonts w:ascii="Times New Roman" w:hAnsi="Times New Roman"/>
          <w:b/>
          <w:smallCaps/>
        </w:rPr>
        <w:t xml:space="preserve"> S.A.</w:t>
      </w:r>
      <w:r>
        <w:rPr>
          <w:rFonts w:ascii="Times New Roman" w:hAnsi="Times New Roman"/>
        </w:rPr>
        <w:t>, sociedade por ações com registro de companhia aberta perante a Comissão de Valores Mobiliários (“</w:t>
      </w:r>
      <w:r>
        <w:rPr>
          <w:rFonts w:ascii="Times New Roman" w:hAnsi="Times New Roman"/>
          <w:u w:val="single"/>
        </w:rPr>
        <w:t>CVM</w:t>
      </w:r>
      <w:r>
        <w:rPr>
          <w:rFonts w:ascii="Times New Roman" w:hAnsi="Times New Roman"/>
        </w:rPr>
        <w:t>”), com sede na Av. Dr. Marcos Penteado de Ulhôa Rodrigues, 939, lojas 1 e 2 (térreo) e 1º ao 7º andar, Bairro Sítio Tamboré, Torre II do Condomínio Castelo Branco Office Park – Cidade de Barueri, Estado de São Paulo, inscrita no Cadastro Nacional da Pessoa Jurídica do Ministério da Fazenda (“</w:t>
      </w:r>
      <w:r>
        <w:rPr>
          <w:rFonts w:ascii="Times New Roman" w:hAnsi="Times New Roman"/>
          <w:u w:val="single"/>
        </w:rPr>
        <w:t>CNPJ/MF</w:t>
      </w:r>
      <w:r>
        <w:rPr>
          <w:rFonts w:ascii="Times New Roman" w:hAnsi="Times New Roman"/>
        </w:rPr>
        <w:t>”) sob o nº 61.695.227/0001-93</w:t>
      </w:r>
      <w:r>
        <w:rPr>
          <w:rFonts w:ascii="Times New Roman" w:hAnsi="Times New Roman"/>
          <w:color w:val="000000"/>
        </w:rPr>
        <w:t xml:space="preserve"> e inscrita perante a Junta Comercial do Estado </w:t>
      </w:r>
      <w:r>
        <w:rPr>
          <w:rFonts w:ascii="Times New Roman" w:hAnsi="Times New Roman"/>
          <w:color w:val="000000"/>
          <w:lang w:val="pt-PT"/>
        </w:rPr>
        <w:t>de São Paulo</w:t>
      </w:r>
      <w:r>
        <w:rPr>
          <w:rFonts w:ascii="Times New Roman" w:hAnsi="Times New Roman"/>
          <w:color w:val="000000"/>
        </w:rPr>
        <w:t> (“</w:t>
      </w:r>
      <w:r>
        <w:rPr>
          <w:rFonts w:ascii="Times New Roman" w:hAnsi="Times New Roman"/>
          <w:color w:val="000000"/>
          <w:u w:val="single"/>
        </w:rPr>
        <w:t>JUCESP</w:t>
      </w:r>
      <w:r>
        <w:rPr>
          <w:rFonts w:ascii="Times New Roman" w:hAnsi="Times New Roman"/>
          <w:color w:val="000000"/>
        </w:rPr>
        <w:t xml:space="preserve">”) sob o NIRE </w:t>
      </w:r>
      <w:r>
        <w:rPr>
          <w:rFonts w:ascii="Times New Roman" w:hAnsi="Times New Roman"/>
          <w:bCs/>
          <w:color w:val="000000"/>
        </w:rPr>
        <w:t>nº</w:t>
      </w:r>
      <w:r>
        <w:rPr>
          <w:rFonts w:ascii="Times New Roman" w:hAnsi="Times New Roman"/>
          <w:color w:val="000000"/>
        </w:rPr>
        <w:t> 35.300.050.274</w:t>
      </w:r>
      <w:r>
        <w:rPr>
          <w:rFonts w:ascii="Times New Roman" w:hAnsi="Times New Roman"/>
        </w:rPr>
        <w:t>, neste ato representada por seu(s) representante(s) legal(is) devidamente autorizado(s) e identificado(s) nas páginas de assinaturas do presente instrumento (“</w:t>
      </w:r>
      <w:r>
        <w:rPr>
          <w:rFonts w:ascii="Times New Roman" w:hAnsi="Times New Roman"/>
          <w:u w:val="single"/>
        </w:rPr>
        <w:t>Emissora</w:t>
      </w:r>
      <w:r>
        <w:rPr>
          <w:rFonts w:ascii="Times New Roman" w:hAnsi="Times New Roman"/>
        </w:rPr>
        <w:t>” ou “</w:t>
      </w:r>
      <w:r>
        <w:rPr>
          <w:rFonts w:ascii="Times New Roman" w:hAnsi="Times New Roman"/>
          <w:u w:val="single"/>
        </w:rPr>
        <w:t>Companhia</w:t>
      </w:r>
      <w:r>
        <w:rPr>
          <w:rFonts w:ascii="Times New Roman" w:hAnsi="Times New Roman"/>
        </w:rPr>
        <w:t>”);</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e, de outro lado, como agente fiduciário, representando a comunhão dos titulares das debêntures objeto da presente emissão (“</w:t>
      </w:r>
      <w:r>
        <w:rPr>
          <w:rFonts w:ascii="Times New Roman" w:hAnsi="Times New Roman"/>
          <w:u w:val="single"/>
        </w:rPr>
        <w:t>Debenturistas</w:t>
      </w:r>
      <w:r>
        <w:rPr>
          <w:rFonts w:ascii="Times New Roman" w:hAnsi="Times New Roman"/>
        </w:rPr>
        <w:t>”),</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b/>
        </w:rPr>
        <w:t>OLIVEIRA TRUST DISTRIBUIDORA DE TÍTULOS E VALORES MOBILIÁRIOS S.A.</w:t>
      </w:r>
      <w:r>
        <w:rPr>
          <w:rFonts w:ascii="Times New Roman" w:hAnsi="Times New Roman"/>
        </w:rPr>
        <w:t xml:space="preserve">, </w:t>
      </w:r>
      <w:r>
        <w:rPr>
          <w:rFonts w:ascii="Times New Roman" w:hAnsi="Times New Roman"/>
          <w:color w:val="000000"/>
        </w:rPr>
        <w:t>instituição financeira autorizada a exercer as funções de agente fiduciário,</w:t>
      </w:r>
      <w:r>
        <w:rPr>
          <w:rFonts w:ascii="Times New Roman" w:hAnsi="Times New Roman"/>
        </w:rPr>
        <w:t xml:space="preserve"> com sede na cidade do Rio de Janeiro, Estado do Rio de Janeiro, na Avenida das Américas, nº 3.434, bloco 07, sala 201, inscrita no CNPJ/MF sob o nº 36.113.876/0001-91, neste ato representada por seu(s) representante(s) legal(is) devidamente autorizado(s) e identificado(s) nas páginas de assinaturas do presente instrumento (“</w:t>
      </w:r>
      <w:r>
        <w:rPr>
          <w:rFonts w:ascii="Times New Roman" w:hAnsi="Times New Roman"/>
          <w:u w:val="single"/>
        </w:rPr>
        <w:t>Agente Fiduciário</w:t>
      </w:r>
      <w:r>
        <w:rPr>
          <w:rFonts w:ascii="Times New Roman" w:hAnsi="Times New Roman"/>
        </w:rPr>
        <w:t>”);</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Sendo a Emissora e o Agente Fiduciário doravante denominados, em conjunto, como “</w:t>
      </w:r>
      <w:r>
        <w:rPr>
          <w:rFonts w:ascii="Times New Roman" w:hAnsi="Times New Roman"/>
          <w:u w:val="single"/>
        </w:rPr>
        <w:t>Partes</w:t>
      </w:r>
      <w:r>
        <w:rPr>
          <w:rFonts w:ascii="Times New Roman" w:hAnsi="Times New Roman"/>
        </w:rPr>
        <w:t>” e, individual e indistintamente, como “</w:t>
      </w:r>
      <w:r>
        <w:rPr>
          <w:rFonts w:ascii="Times New Roman" w:hAnsi="Times New Roman"/>
          <w:u w:val="single"/>
        </w:rPr>
        <w:t>Parte</w:t>
      </w:r>
      <w:r>
        <w:rPr>
          <w:rFonts w:ascii="Times New Roman" w:hAnsi="Times New Roman"/>
        </w:rPr>
        <w:t>”,</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Vêm, por meio desta e na melhor forma de direito, celebrar o presente “</w:t>
      </w:r>
      <w:r>
        <w:rPr>
          <w:rFonts w:ascii="Times New Roman" w:hAnsi="Times New Roman"/>
          <w:i/>
        </w:rPr>
        <w:t>Instrumento Particular de Escritura da 20ª (vigésima) Emissão de Debêntures Simples, Não Conversíveis em Ações, da Espécie com Garantia Real, em Série Única</w:t>
      </w:r>
      <w:r>
        <w:rPr>
          <w:rFonts w:ascii="Times New Roman" w:hAnsi="Times New Roman"/>
          <w:bCs/>
          <w:i/>
        </w:rPr>
        <w:t>,</w:t>
      </w:r>
      <w:r>
        <w:rPr>
          <w:rFonts w:ascii="Times New Roman" w:hAnsi="Times New Roman"/>
          <w:i/>
        </w:rPr>
        <w:t xml:space="preserve"> da Eletropaulo Metropolitana </w:t>
      </w:r>
      <w:r>
        <w:rPr>
          <w:rFonts w:ascii="Times New Roman" w:hAnsi="Times New Roman"/>
          <w:i/>
        </w:rPr>
        <w:lastRenderedPageBreak/>
        <w:t>Eletricidade de São Paulo S.A.</w:t>
      </w:r>
      <w:r>
        <w:rPr>
          <w:rFonts w:ascii="Times New Roman" w:hAnsi="Times New Roman"/>
        </w:rPr>
        <w:t>” (“</w:t>
      </w:r>
      <w:r>
        <w:rPr>
          <w:rFonts w:ascii="Times New Roman" w:hAnsi="Times New Roman"/>
          <w:u w:val="single"/>
        </w:rPr>
        <w:t>Escritura de Emissão</w:t>
      </w:r>
      <w:r>
        <w:rPr>
          <w:rFonts w:ascii="Times New Roman" w:hAnsi="Times New Roman"/>
        </w:rPr>
        <w:t>” ou “</w:t>
      </w:r>
      <w:r>
        <w:rPr>
          <w:rFonts w:ascii="Times New Roman" w:hAnsi="Times New Roman"/>
          <w:u w:val="single"/>
        </w:rPr>
        <w:t>Escritura</w:t>
      </w:r>
      <w:r>
        <w:rPr>
          <w:rFonts w:ascii="Times New Roman" w:hAnsi="Times New Roman"/>
        </w:rPr>
        <w:t>”), em observância às seguintes cláusulas e condições:</w:t>
      </w:r>
    </w:p>
    <w:p>
      <w:pPr>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kern w:val="20"/>
        </w:rPr>
        <w:t>CLÁUSULA I</w:t>
      </w:r>
      <w:r>
        <w:rPr>
          <w:rFonts w:ascii="Times New Roman" w:hAnsi="Times New Roman"/>
          <w:b/>
          <w:kern w:val="20"/>
        </w:rPr>
        <w:br/>
      </w:r>
      <w:r>
        <w:rPr>
          <w:rFonts w:ascii="Times New Roman" w:hAnsi="Times New Roman"/>
          <w:b/>
        </w:rPr>
        <w:t>AUTORIZAÇÃO</w:t>
      </w:r>
    </w:p>
    <w:p>
      <w:pPr>
        <w:keepNext/>
        <w:spacing w:line="312" w:lineRule="auto"/>
        <w:jc w:val="center"/>
        <w:rPr>
          <w:rFonts w:ascii="Times New Roman" w:hAnsi="Times New Roman"/>
          <w:b/>
        </w:rPr>
      </w:pPr>
    </w:p>
    <w:p>
      <w:pPr>
        <w:pStyle w:val="PargrafodaLista"/>
        <w:spacing w:line="312" w:lineRule="auto"/>
        <w:ind w:left="0"/>
        <w:contextualSpacing w:val="0"/>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A presente Escritura de Emissão é firmada com base na autorização da Reunião do Conselho de Administração da Emissora realizada em 24 de fevereiro de 2017, devidamente registrada na JUCESP sob o n.º 121.520/17-1 (“</w:t>
      </w:r>
      <w:r>
        <w:rPr>
          <w:rFonts w:ascii="Times New Roman" w:hAnsi="Times New Roman"/>
          <w:u w:val="single"/>
        </w:rPr>
        <w:t>RCA Emissora</w:t>
      </w:r>
      <w:r>
        <w:rPr>
          <w:rFonts w:ascii="Times New Roman" w:hAnsi="Times New Roman"/>
        </w:rPr>
        <w:t>”), na qual (i) foram aprovados os termos e condições da emissão das debêntures simples, não conversíveis em ações, da espécie com garantia real, em série única, da 20ª (vigésima) emissão da Emissora (“</w:t>
      </w:r>
      <w:r>
        <w:rPr>
          <w:rFonts w:ascii="Times New Roman" w:hAnsi="Times New Roman"/>
          <w:u w:val="single"/>
        </w:rPr>
        <w:t>Debêntures</w:t>
      </w:r>
      <w:r>
        <w:rPr>
          <w:rFonts w:ascii="Times New Roman" w:hAnsi="Times New Roman"/>
        </w:rPr>
        <w:t>” e “</w:t>
      </w:r>
      <w:r>
        <w:rPr>
          <w:rFonts w:ascii="Times New Roman" w:hAnsi="Times New Roman"/>
          <w:u w:val="single"/>
        </w:rPr>
        <w:t>Emissão</w:t>
      </w:r>
      <w:r>
        <w:rPr>
          <w:rFonts w:ascii="Times New Roman" w:hAnsi="Times New Roman"/>
        </w:rPr>
        <w:t>”, respectivamente) e da Oferta (conforme abaixo definido), nos termos do artigo 59 da Lei nº 6.404 de 15 de dezembro de 1976, conforme alterada (“</w:t>
      </w:r>
      <w:r>
        <w:rPr>
          <w:rFonts w:ascii="Times New Roman" w:hAnsi="Times New Roman"/>
          <w:u w:val="single"/>
        </w:rPr>
        <w:t>Lei das Sociedades por Ações</w:t>
      </w:r>
      <w:r>
        <w:rPr>
          <w:rFonts w:ascii="Times New Roman" w:hAnsi="Times New Roman"/>
        </w:rPr>
        <w:t>”); (ii) foi aprovada a outorga, pela Companhia, da cessão fiduciária de direitos creditórios e outras avenças descrita na Cláusula 3.5.1 abaixo; e (iii) a diretoria da Companhia foi autorizada a praticar todos os atos necessários à efetivação das deliberações ali consubstanciadas, incluindo a celebração de todos os documentos necessários à concretização da Emissão e da Oferta (conforme abaixo definido).</w:t>
      </w:r>
    </w:p>
    <w:p>
      <w:pPr>
        <w:pStyle w:val="PargrafodaLista"/>
        <w:spacing w:line="312" w:lineRule="auto"/>
        <w:ind w:left="0"/>
        <w:contextualSpacing w:val="0"/>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II</w:t>
      </w:r>
      <w:r>
        <w:rPr>
          <w:rFonts w:ascii="Times New Roman" w:hAnsi="Times New Roman"/>
          <w:b/>
        </w:rPr>
        <w:br/>
        <w:t>REQUISITOS</w:t>
      </w:r>
    </w:p>
    <w:p>
      <w:pPr>
        <w:keepNext/>
        <w:spacing w:line="312" w:lineRule="auto"/>
        <w:jc w:val="center"/>
        <w:rPr>
          <w:rFonts w:ascii="Times New Roman" w:hAnsi="Times New Roman"/>
          <w:b/>
        </w:rPr>
      </w:pPr>
    </w:p>
    <w:p>
      <w:pPr>
        <w:spacing w:line="312" w:lineRule="auto"/>
        <w:rPr>
          <w:rFonts w:ascii="Times New Roman" w:hAnsi="Times New Roman"/>
        </w:rPr>
      </w:pPr>
      <w:r>
        <w:rPr>
          <w:rFonts w:ascii="Times New Roman" w:hAnsi="Times New Roman"/>
        </w:rPr>
        <w:tab/>
      </w:r>
      <w:r>
        <w:rPr>
          <w:rFonts w:ascii="Times New Roman" w:hAnsi="Times New Roman"/>
        </w:rPr>
        <w:tab/>
        <w:t>A Emissão será realizada com observância aos requisitos abaixo.</w:t>
      </w:r>
    </w:p>
    <w:p>
      <w:pPr>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2.1.</w:t>
      </w:r>
      <w:r>
        <w:rPr>
          <w:rFonts w:ascii="Times New Roman" w:hAnsi="Times New Roman"/>
          <w:b/>
        </w:rPr>
        <w:tab/>
      </w:r>
      <w:r>
        <w:rPr>
          <w:rFonts w:ascii="Times New Roman" w:hAnsi="Times New Roman"/>
          <w:b/>
        </w:rPr>
        <w:tab/>
        <w:t>Dispensa de Registro na CVM</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2.1.1.</w:t>
      </w:r>
      <w:r>
        <w:rPr>
          <w:rFonts w:ascii="Times New Roman" w:hAnsi="Times New Roman"/>
        </w:rPr>
        <w:tab/>
      </w:r>
      <w:r>
        <w:rPr>
          <w:rFonts w:ascii="Times New Roman" w:hAnsi="Times New Roman"/>
        </w:rPr>
        <w:tab/>
        <w:t>Nos termos do artigo 6º da Instrução CVM nº 476, de 16 de janeiro de 2009, conforme alterada (“</w:t>
      </w:r>
      <w:r>
        <w:rPr>
          <w:rFonts w:ascii="Times New Roman" w:hAnsi="Times New Roman"/>
          <w:u w:val="single"/>
        </w:rPr>
        <w:t>Instrução CVM 476</w:t>
      </w:r>
      <w:r>
        <w:rPr>
          <w:rFonts w:ascii="Times New Roman" w:hAnsi="Times New Roman"/>
        </w:rPr>
        <w:t xml:space="preserve">”) e do artigo 19, §5º, I, da Lei nº 6.385, de 7 de dezembro de 1976, conforme alterada, a Oferta está automaticamente dispensada de registro perante a CVM, por se tratar de oferta pública de valores mobiliários com esforços restritos de distribuição, não sendo objeto de protocolo, registro e arquivamento perante a CVM, exceto pelo envio da comunicação sobre o início da Oferta e a comunicação de seu </w:t>
      </w:r>
      <w:r>
        <w:rPr>
          <w:rFonts w:ascii="Times New Roman" w:hAnsi="Times New Roman"/>
        </w:rPr>
        <w:lastRenderedPageBreak/>
        <w:t>encerramento à CVM, nos termos dos artigos 7º-A e 8º, respectivamente, da Instrução CVM 476 (“</w:t>
      </w:r>
      <w:r>
        <w:rPr>
          <w:rFonts w:ascii="Times New Roman" w:hAnsi="Times New Roman"/>
          <w:u w:val="single"/>
        </w:rPr>
        <w:t>Comunicação de Início</w:t>
      </w:r>
      <w:r>
        <w:rPr>
          <w:rFonts w:ascii="Times New Roman" w:hAnsi="Times New Roman"/>
        </w:rPr>
        <w:t>” e “</w:t>
      </w:r>
      <w:r>
        <w:rPr>
          <w:rFonts w:ascii="Times New Roman" w:hAnsi="Times New Roman"/>
          <w:u w:val="single"/>
        </w:rPr>
        <w:t>Comunicação de Encerramento</w:t>
      </w:r>
      <w:r>
        <w:rPr>
          <w:rFonts w:ascii="Times New Roman" w:hAnsi="Times New Roman"/>
        </w:rPr>
        <w:t>”, respectivamente).</w:t>
      </w:r>
    </w:p>
    <w:p>
      <w:pPr>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2.2.</w:t>
      </w:r>
      <w:r>
        <w:rPr>
          <w:rFonts w:ascii="Times New Roman" w:hAnsi="Times New Roman"/>
          <w:b/>
        </w:rPr>
        <w:tab/>
      </w:r>
      <w:r>
        <w:rPr>
          <w:rFonts w:ascii="Times New Roman" w:hAnsi="Times New Roman"/>
          <w:b/>
        </w:rPr>
        <w:tab/>
        <w:t>Registro na Associação Brasileira das Entidades dos Mercados Financeiro e de Capitais (“</w:t>
      </w:r>
      <w:r>
        <w:rPr>
          <w:rFonts w:ascii="Times New Roman" w:hAnsi="Times New Roman"/>
          <w:b/>
          <w:u w:val="single"/>
        </w:rPr>
        <w:t>ANBIMA</w:t>
      </w:r>
      <w:r>
        <w:rPr>
          <w:rFonts w:ascii="Times New Roman" w:hAnsi="Times New Roman"/>
          <w:b/>
        </w:rPr>
        <w:t>”)</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2.2.1.</w:t>
      </w:r>
      <w:r>
        <w:rPr>
          <w:rFonts w:ascii="Times New Roman" w:hAnsi="Times New Roman"/>
        </w:rPr>
        <w:tab/>
      </w:r>
      <w:r>
        <w:rPr>
          <w:rFonts w:ascii="Times New Roman" w:hAnsi="Times New Roman"/>
        </w:rPr>
        <w:tab/>
        <w:t>Por se tratar de oferta pública com esforços restritos de distribuição, a Oferta poderá vir a ser registrada na ANBIMA, nos termos do parágrafo 2º do artigo 1° do “Código ANBIMA de Regulação e Melhores Práticas para as Ofertas Públicas de Distribuição e Aquisição de Valores Mobiliários”, atualmente em vigor (“</w:t>
      </w:r>
      <w:r>
        <w:rPr>
          <w:rFonts w:ascii="Times New Roman" w:hAnsi="Times New Roman"/>
          <w:u w:val="single"/>
        </w:rPr>
        <w:t>Código ANBIMA</w:t>
      </w:r>
      <w:r>
        <w:rPr>
          <w:rFonts w:ascii="Times New Roman" w:hAnsi="Times New Roman"/>
        </w:rPr>
        <w:t>”), exclusivamente para fins de envio de informações para a base de dados da ANBIMA, nos termos do artigo 8º do Código ANBIMA, desde que sejam expedidas diretrizes específicas nesse sentido pelo Conselho de Regulação e Melhores Práticas da ANBIMA, até o momento do protocolo de Comunicação de Encerramento na CVM.</w:t>
      </w:r>
    </w:p>
    <w:p>
      <w:pPr>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2.3.</w:t>
      </w:r>
      <w:r>
        <w:rPr>
          <w:rFonts w:ascii="Times New Roman" w:hAnsi="Times New Roman"/>
          <w:b/>
        </w:rPr>
        <w:tab/>
      </w:r>
      <w:r>
        <w:rPr>
          <w:rFonts w:ascii="Times New Roman" w:hAnsi="Times New Roman"/>
          <w:b/>
        </w:rPr>
        <w:tab/>
        <w:t>Arquivamento na JUCESP e Publicação da Ata de RCA Emissora</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2.3.1.</w:t>
      </w:r>
      <w:r>
        <w:rPr>
          <w:rFonts w:ascii="Times New Roman" w:hAnsi="Times New Roman"/>
        </w:rPr>
        <w:tab/>
      </w:r>
      <w:r>
        <w:rPr>
          <w:rFonts w:ascii="Times New Roman" w:hAnsi="Times New Roman"/>
        </w:rPr>
        <w:tab/>
        <w:t>A ata da RCA Emissora será devidamente arquivada na JUCESP e publicada no Diário Oficial do Estado de São Paulo - DOESP (“</w:t>
      </w:r>
      <w:r>
        <w:rPr>
          <w:rFonts w:ascii="Times New Roman" w:hAnsi="Times New Roman"/>
          <w:u w:val="single"/>
        </w:rPr>
        <w:t>DOESP</w:t>
      </w:r>
      <w:r>
        <w:rPr>
          <w:rFonts w:ascii="Times New Roman" w:hAnsi="Times New Roman"/>
        </w:rPr>
        <w:t>”) e no jornal “Valor Econômico, nos termos do artigo 62, inciso I, e artigo 289 da Lei das Sociedades por Ações, sendo que estas mesmas medidas deverão ser tomadas nos eventuais atos societários da Emissora posteriores realizados em razão da Emissão.</w:t>
      </w:r>
    </w:p>
    <w:p>
      <w:pPr>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2.4.</w:t>
      </w:r>
      <w:r>
        <w:rPr>
          <w:rFonts w:ascii="Times New Roman" w:hAnsi="Times New Roman"/>
          <w:b/>
        </w:rPr>
        <w:tab/>
      </w:r>
      <w:r>
        <w:rPr>
          <w:rFonts w:ascii="Times New Roman" w:hAnsi="Times New Roman"/>
          <w:b/>
        </w:rPr>
        <w:tab/>
        <w:t>Arquivamento desta Escritura de Emissão</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2.4.1.</w:t>
      </w:r>
      <w:r>
        <w:rPr>
          <w:rFonts w:ascii="Times New Roman" w:hAnsi="Times New Roman"/>
        </w:rPr>
        <w:tab/>
      </w:r>
      <w:r>
        <w:rPr>
          <w:rFonts w:ascii="Times New Roman" w:hAnsi="Times New Roman"/>
        </w:rPr>
        <w:tab/>
        <w:t xml:space="preserve">Esta Escritura de Emissão e seus eventuais aditamentos serão arquivados na JUCESP, nos termos do artigo 62, inciso II e parágrafo 3º, da Lei das Sociedades por Ações.  A Emissora deverá enviar 1 (uma) via original da Escritura de Emissão devidamente registrada na JUCESP ao Agente Fiduciário em até 10 (dez) Dias Úteis contados da obtenção do respectivo registro. </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lastRenderedPageBreak/>
        <w:t>2.4.2.</w:t>
      </w:r>
      <w:r>
        <w:rPr>
          <w:rFonts w:ascii="Times New Roman" w:hAnsi="Times New Roman"/>
        </w:rPr>
        <w:tab/>
      </w:r>
      <w:r>
        <w:rPr>
          <w:rFonts w:ascii="Times New Roman" w:hAnsi="Times New Roman"/>
        </w:rPr>
        <w:tab/>
        <w:t>Qualquer aditamento à presente Escritura de Emissão deverá conter, em seu anexo, a versão consolidada dos termos e condições da Escritura, contemplando as alterações realizadas.</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2.4.3</w:t>
      </w:r>
      <w:r>
        <w:rPr>
          <w:rFonts w:ascii="Times New Roman" w:hAnsi="Times New Roman"/>
        </w:rPr>
        <w:tab/>
      </w:r>
      <w:r>
        <w:rPr>
          <w:rFonts w:ascii="Times New Roman" w:hAnsi="Times New Roman"/>
        </w:rPr>
        <w:tab/>
        <w:t xml:space="preserve">Esta Escritura será objeto de aditamento para refletir o resultado do Procedimento de </w:t>
      </w:r>
      <w:r>
        <w:rPr>
          <w:rFonts w:ascii="Times New Roman" w:hAnsi="Times New Roman"/>
          <w:i/>
        </w:rPr>
        <w:t>Bookbuilding</w:t>
      </w:r>
      <w:r>
        <w:rPr>
          <w:rFonts w:ascii="Times New Roman" w:hAnsi="Times New Roman"/>
        </w:rPr>
        <w:t xml:space="preserve"> (conforme definido abaixo).</w:t>
      </w:r>
    </w:p>
    <w:p>
      <w:pPr>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2.5.</w:t>
      </w:r>
      <w:r>
        <w:rPr>
          <w:rFonts w:ascii="Times New Roman" w:hAnsi="Times New Roman"/>
          <w:b/>
        </w:rPr>
        <w:tab/>
      </w:r>
      <w:r>
        <w:rPr>
          <w:rFonts w:ascii="Times New Roman" w:hAnsi="Times New Roman"/>
          <w:b/>
        </w:rPr>
        <w:tab/>
        <w:t>Registro da Garantia</w:t>
      </w:r>
    </w:p>
    <w:p>
      <w:pPr>
        <w:keepNext/>
        <w:spacing w:line="312" w:lineRule="auto"/>
        <w:rPr>
          <w:rFonts w:ascii="Times New Roman" w:hAnsi="Times New Roman"/>
        </w:rPr>
      </w:pPr>
    </w:p>
    <w:p>
      <w:pPr>
        <w:spacing w:line="312" w:lineRule="auto"/>
        <w:rPr>
          <w:rFonts w:ascii="Times New Roman" w:hAnsi="Times New Roman"/>
          <w:i/>
        </w:rPr>
      </w:pPr>
      <w:r>
        <w:rPr>
          <w:rFonts w:ascii="Times New Roman" w:hAnsi="Times New Roman"/>
        </w:rPr>
        <w:t>2.5.1.</w:t>
      </w:r>
      <w:r>
        <w:rPr>
          <w:rFonts w:ascii="Times New Roman" w:hAnsi="Times New Roman"/>
        </w:rPr>
        <w:tab/>
      </w:r>
      <w:r>
        <w:rPr>
          <w:rFonts w:ascii="Times New Roman" w:hAnsi="Times New Roman"/>
        </w:rPr>
        <w:tab/>
        <w:t xml:space="preserve">Nos termos do item 3.5 abaixo, a Garantia foi formalizada por meio do Contrato de Cessão Fiduciária (conforme definido abaixo) e será constituída mediante registro do Contrato de Cessão Fiduciária no Cartório de Registro de Títulos e Documentos da cidade de São Paulo, Estado de São Paulo, e da cidade do Rio de Janeiro, Estado do Rio de Janeiro, na forma e prazo previstos em tal instrumento. </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2.5.2.</w:t>
      </w:r>
      <w:r>
        <w:rPr>
          <w:rFonts w:ascii="Times New Roman" w:hAnsi="Times New Roman"/>
        </w:rPr>
        <w:tab/>
      </w:r>
      <w:r>
        <w:rPr>
          <w:rFonts w:ascii="Times New Roman" w:hAnsi="Times New Roman"/>
        </w:rPr>
        <w:tab/>
        <w:t>Uma via original do Contrato de Cessão Fiduciária e de seus eventuais aditamentos devidamente registrados deverão ser entregues pela Emissora ao Agente Fiduciário em até 5 (cinco) Dias Úteis contados a partir da efetivação do último registro nos Cartórios de Títulos e Documentos.</w:t>
      </w:r>
    </w:p>
    <w:p>
      <w:pPr>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2.6.</w:t>
      </w:r>
      <w:r>
        <w:rPr>
          <w:rFonts w:ascii="Times New Roman" w:hAnsi="Times New Roman"/>
          <w:b/>
        </w:rPr>
        <w:tab/>
      </w:r>
      <w:r>
        <w:rPr>
          <w:rFonts w:ascii="Times New Roman" w:hAnsi="Times New Roman"/>
          <w:b/>
        </w:rPr>
        <w:tab/>
        <w:t>Depósito para Distribuição, Negociação e Custódia Eletrônica</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2.6.1.</w:t>
      </w:r>
      <w:r>
        <w:rPr>
          <w:rFonts w:ascii="Times New Roman" w:hAnsi="Times New Roman"/>
        </w:rPr>
        <w:tab/>
      </w:r>
      <w:r>
        <w:rPr>
          <w:rFonts w:ascii="Times New Roman" w:hAnsi="Times New Roman"/>
        </w:rPr>
        <w:tab/>
        <w:t>As Debêntures serão depositadas para:</w:t>
      </w:r>
    </w:p>
    <w:p>
      <w:pPr>
        <w:spacing w:line="312" w:lineRule="auto"/>
        <w:rPr>
          <w:rFonts w:ascii="Times New Roman" w:hAnsi="Times New Roman"/>
        </w:rPr>
      </w:pPr>
    </w:p>
    <w:p>
      <w:pPr>
        <w:pStyle w:val="PargrafodaLista"/>
        <w:numPr>
          <w:ilvl w:val="0"/>
          <w:numId w:val="39"/>
        </w:numPr>
        <w:spacing w:line="312" w:lineRule="auto"/>
        <w:ind w:left="709" w:hanging="709"/>
        <w:contextualSpacing w:val="0"/>
        <w:rPr>
          <w:rFonts w:ascii="Times New Roman" w:hAnsi="Times New Roman"/>
        </w:rPr>
      </w:pPr>
      <w:r>
        <w:rPr>
          <w:rFonts w:ascii="Times New Roman" w:hAnsi="Times New Roman"/>
        </w:rPr>
        <w:t>distribuição no mercado primário, por meio do MDA – Módulo de Distribuição de Ativos (“</w:t>
      </w:r>
      <w:r>
        <w:rPr>
          <w:rFonts w:ascii="Times New Roman" w:hAnsi="Times New Roman"/>
          <w:u w:val="single"/>
        </w:rPr>
        <w:t>MDA</w:t>
      </w:r>
      <w:r>
        <w:rPr>
          <w:rFonts w:ascii="Times New Roman" w:hAnsi="Times New Roman"/>
        </w:rPr>
        <w:t>”), administrado e operacionalizado pela CETIP S.A. – Mercados Organizados (“</w:t>
      </w:r>
      <w:r>
        <w:rPr>
          <w:rFonts w:ascii="Times New Roman" w:hAnsi="Times New Roman"/>
          <w:u w:val="single"/>
        </w:rPr>
        <w:t>CETIP</w:t>
      </w:r>
      <w:r>
        <w:rPr>
          <w:rFonts w:ascii="Times New Roman" w:hAnsi="Times New Roman"/>
        </w:rPr>
        <w:t>”), sendo a distribuição liquidada financeiramente por meio da CETIP; e</w:t>
      </w:r>
    </w:p>
    <w:p>
      <w:pPr>
        <w:pStyle w:val="PargrafodaLista"/>
        <w:spacing w:line="312" w:lineRule="auto"/>
        <w:ind w:left="709" w:hanging="709"/>
        <w:contextualSpacing w:val="0"/>
        <w:rPr>
          <w:rFonts w:ascii="Times New Roman" w:hAnsi="Times New Roman"/>
        </w:rPr>
      </w:pPr>
    </w:p>
    <w:p>
      <w:pPr>
        <w:pStyle w:val="PargrafodaLista"/>
        <w:numPr>
          <w:ilvl w:val="0"/>
          <w:numId w:val="39"/>
        </w:numPr>
        <w:spacing w:line="312" w:lineRule="auto"/>
        <w:ind w:left="709" w:hanging="709"/>
        <w:contextualSpacing w:val="0"/>
        <w:rPr>
          <w:rFonts w:ascii="Times New Roman" w:hAnsi="Times New Roman"/>
        </w:rPr>
      </w:pPr>
      <w:r>
        <w:rPr>
          <w:rFonts w:ascii="Times New Roman" w:hAnsi="Times New Roman"/>
        </w:rPr>
        <w:t>negociação no mercado secundário, por meio do CETIP21 – Títulos e Valores Mobiliários (“</w:t>
      </w:r>
      <w:r>
        <w:rPr>
          <w:rFonts w:ascii="Times New Roman" w:hAnsi="Times New Roman"/>
          <w:u w:val="single"/>
        </w:rPr>
        <w:t>CETIP21</w:t>
      </w:r>
      <w:r>
        <w:rPr>
          <w:rFonts w:ascii="Times New Roman" w:hAnsi="Times New Roman"/>
        </w:rPr>
        <w:t>”), administrado e operacionalizado pela CETIP, sendo as negociações liquidadas financeiramente e as Debêntures custodiadas eletronicamente na CETIP.</w:t>
      </w:r>
    </w:p>
    <w:p>
      <w:pPr>
        <w:pStyle w:val="PargrafodaLista"/>
        <w:spacing w:line="312" w:lineRule="auto"/>
        <w:ind w:left="567"/>
        <w:contextualSpacing w:val="0"/>
        <w:rPr>
          <w:rFonts w:ascii="Times New Roman" w:hAnsi="Times New Roman"/>
        </w:rPr>
      </w:pPr>
    </w:p>
    <w:p>
      <w:pPr>
        <w:spacing w:line="312" w:lineRule="auto"/>
        <w:rPr>
          <w:rFonts w:ascii="Times New Roman" w:hAnsi="Times New Roman"/>
        </w:rPr>
      </w:pPr>
      <w:r>
        <w:rPr>
          <w:rFonts w:ascii="Times New Roman" w:hAnsi="Times New Roman"/>
        </w:rPr>
        <w:t>2.6.2.</w:t>
      </w:r>
      <w:r>
        <w:rPr>
          <w:rFonts w:ascii="Times New Roman" w:hAnsi="Times New Roman"/>
        </w:rPr>
        <w:tab/>
      </w:r>
      <w:r>
        <w:rPr>
          <w:rFonts w:ascii="Times New Roman" w:hAnsi="Times New Roman"/>
        </w:rPr>
        <w:tab/>
        <w:t>Não obstante o descrito na Cláusula 2.6.1 acima, as Debêntures somente poderão ser negociadas nos mercados regulamentados de valores mobiliários entre investidores qualificados, conforme definido no artigo 9º-B da Instrução da CVM n.º 539, de 13 de novembro de 2013, conforme alterada (“</w:t>
      </w:r>
      <w:r>
        <w:rPr>
          <w:rFonts w:ascii="Times New Roman" w:hAnsi="Times New Roman"/>
          <w:u w:val="single"/>
        </w:rPr>
        <w:t>Instrução CVM 539</w:t>
      </w:r>
      <w:r>
        <w:rPr>
          <w:rFonts w:ascii="Times New Roman" w:hAnsi="Times New Roman"/>
        </w:rPr>
        <w:t xml:space="preserve">”) e depois de decorridos 90 (noventa) dias contados da data de cada subscrição ou aquisição por Investidores Profissionais (conforme abaixo definido), conforme disposto nos artigos 13 e 15 da Instrução CVM 476, e uma vez verificado o cumprimento pela Companhia de suas obrigações previstas no artigo 17 da Instrução CVM 476, sendo que a negociação das Debêntures deverá sempre respeitar as disposições legais e regulamentares aplicáveis. </w:t>
      </w:r>
    </w:p>
    <w:p>
      <w:pPr>
        <w:keepNext/>
        <w:spacing w:line="312" w:lineRule="auto"/>
        <w:jc w:val="center"/>
        <w:rPr>
          <w:rFonts w:ascii="Times New Roman" w:hAnsi="Times New Roman"/>
          <w:b/>
        </w:rPr>
      </w:pPr>
    </w:p>
    <w:p>
      <w:pPr>
        <w:keepNext/>
        <w:spacing w:line="312" w:lineRule="auto"/>
        <w:jc w:val="center"/>
        <w:rPr>
          <w:rFonts w:ascii="Times New Roman" w:hAnsi="Times New Roman"/>
          <w:b/>
        </w:rPr>
      </w:pPr>
      <w:r>
        <w:rPr>
          <w:rFonts w:ascii="Times New Roman" w:hAnsi="Times New Roman"/>
          <w:b/>
        </w:rPr>
        <w:t>CLÁUSULA III</w:t>
      </w:r>
      <w:r>
        <w:rPr>
          <w:rFonts w:ascii="Times New Roman" w:hAnsi="Times New Roman"/>
          <w:b/>
        </w:rPr>
        <w:br/>
        <w:t>CARACTERÍSTICAS DA EMISSÃO</w:t>
      </w:r>
    </w:p>
    <w:p>
      <w:pPr>
        <w:keepNext/>
        <w:spacing w:line="312" w:lineRule="auto"/>
        <w:jc w:val="center"/>
        <w:rPr>
          <w:rFonts w:ascii="Times New Roman" w:hAnsi="Times New Roman"/>
          <w:b/>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Objeto Social da Emissora</w:t>
      </w:r>
    </w:p>
    <w:p>
      <w:pPr>
        <w:pStyle w:val="PargrafodaLista"/>
        <w:keepNext/>
        <w:spacing w:line="312" w:lineRule="auto"/>
        <w:ind w:left="851"/>
        <w:contextualSpacing w:val="0"/>
        <w:rPr>
          <w:rFonts w:ascii="Times New Roman" w:hAnsi="Times New Roman"/>
          <w:b/>
        </w:rPr>
      </w:pPr>
    </w:p>
    <w:p>
      <w:pPr>
        <w:pStyle w:val="PargrafodaLista"/>
        <w:numPr>
          <w:ilvl w:val="0"/>
          <w:numId w:val="9"/>
        </w:numPr>
        <w:spacing w:line="312" w:lineRule="auto"/>
        <w:ind w:left="0" w:firstLine="0"/>
        <w:contextualSpacing w:val="0"/>
        <w:rPr>
          <w:rFonts w:ascii="Times New Roman" w:hAnsi="Times New Roman"/>
        </w:rPr>
      </w:pPr>
      <w:r>
        <w:rPr>
          <w:rFonts w:ascii="Times New Roman" w:hAnsi="Times New Roman"/>
        </w:rPr>
        <w:tab/>
        <w:t xml:space="preserve">Nos termos do artigo 2º do Estatuto Social da Emissora atualmente em vigor, o objeto social da Emissora compreende (i) a exploração de serviços públicos de energia, principalmente a elétrica, nas áreas referidas no contrato de concessão de serviços públicos de energia elétrica e nas outras em que, de acordo com a legislação aplicável, for autorizada a atuar; (ii) estudar, elaborar, projetar, executar, explorar ou transferir planos e programas de pesquisa e desenvolvimento que visem qualquer tipo ou forma de energia, bem como de outras atividades correlatas à tecnologia disponível, quer diretamente, quer em colaboração com órgãos estaduais ou particulares; (iii) participar nos empreendimentos que tenham por finalidade a distribuição e comércio de energia, principalmente a elétrica, bem como a prestação de serviços que, direta ou indiretamente, se relacionem com esse objeto, tais como: uso múltiplo de postes, mediante cessão onerosa a outros usuários; transmissão de dados, através de suas instalações, observada a legislação pertinente; prestação de serviços técnicos de operação, manutenção e planejamento de instalações elétricas de terceiros; prestação de serviços de otimização de processos energéticos e instalações elétricas de consumidores; cessão onerosa de faixas de servidão de linhas e áreas de terra exploráveis de usinas e reservatórios; (iv) prestar outros serviços de natureza pública ou privada, inclusive serviços de informática mediante a exploração de sua infraestrutura, com o fim de produzir receitas </w:t>
      </w:r>
      <w:r>
        <w:rPr>
          <w:rFonts w:ascii="Times New Roman" w:hAnsi="Times New Roman"/>
        </w:rPr>
        <w:lastRenderedPageBreak/>
        <w:t>alternativas complementares ou acessórias; (v) contribuir para a preservação do meio ambiente, no âmbito de suas atividades, bem como participar em programas sociais de interesse comunitário; (vi) participar, em associação com terceiros, de empreendimentos que propiciem melhor aproveitamento de seu patrimônio imobiliário; e (vii) participação em outras sociedades como sócia, acionista ou quotista.</w:t>
      </w:r>
    </w:p>
    <w:p>
      <w:pPr>
        <w:pStyle w:val="PargrafodaLista"/>
        <w:spacing w:line="312" w:lineRule="auto"/>
        <w:ind w:left="0"/>
        <w:contextualSpacing w:val="0"/>
        <w:rPr>
          <w:rFonts w:ascii="Times New Roman" w:hAnsi="Times New Roman"/>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Número da Emissão</w:t>
      </w:r>
    </w:p>
    <w:p>
      <w:pPr>
        <w:pStyle w:val="PargrafodaLista"/>
        <w:keepNext/>
        <w:spacing w:line="312" w:lineRule="auto"/>
        <w:ind w:left="851"/>
        <w:contextualSpacing w:val="0"/>
        <w:rPr>
          <w:rFonts w:ascii="Times New Roman" w:hAnsi="Times New Roman"/>
          <w:b/>
        </w:rPr>
      </w:pPr>
    </w:p>
    <w:p>
      <w:pPr>
        <w:pStyle w:val="PargrafodaLista"/>
        <w:numPr>
          <w:ilvl w:val="0"/>
          <w:numId w:val="9"/>
        </w:numPr>
        <w:spacing w:line="312" w:lineRule="auto"/>
        <w:ind w:left="0" w:firstLine="0"/>
        <w:contextualSpacing w:val="0"/>
        <w:rPr>
          <w:rFonts w:ascii="Times New Roman" w:hAnsi="Times New Roman"/>
        </w:rPr>
      </w:pPr>
      <w:r>
        <w:rPr>
          <w:rFonts w:ascii="Times New Roman" w:hAnsi="Times New Roman"/>
        </w:rPr>
        <w:tab/>
        <w:t>A presente Emissão constitui a 20ª (vigésima) emissão de debêntures da Emissora.</w:t>
      </w:r>
    </w:p>
    <w:p>
      <w:pPr>
        <w:pStyle w:val="PargrafodaLista"/>
        <w:spacing w:line="312" w:lineRule="auto"/>
        <w:ind w:left="0"/>
        <w:contextualSpacing w:val="0"/>
        <w:rPr>
          <w:rFonts w:ascii="Times New Roman" w:hAnsi="Times New Roman"/>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Valor Total da Emissão</w:t>
      </w:r>
    </w:p>
    <w:p>
      <w:pPr>
        <w:pStyle w:val="PargrafodaLista"/>
        <w:keepNext/>
        <w:spacing w:line="312" w:lineRule="auto"/>
        <w:ind w:left="851"/>
        <w:contextualSpacing w:val="0"/>
        <w:rPr>
          <w:rFonts w:ascii="Times New Roman" w:hAnsi="Times New Roman"/>
          <w:b/>
        </w:rPr>
      </w:pPr>
    </w:p>
    <w:p>
      <w:pPr>
        <w:pStyle w:val="PargrafodaLista"/>
        <w:numPr>
          <w:ilvl w:val="0"/>
          <w:numId w:val="9"/>
        </w:numPr>
        <w:spacing w:line="312" w:lineRule="auto"/>
        <w:ind w:left="0" w:firstLine="0"/>
        <w:contextualSpacing w:val="0"/>
        <w:rPr>
          <w:rFonts w:ascii="Times New Roman" w:hAnsi="Times New Roman"/>
        </w:rPr>
      </w:pPr>
      <w:r>
        <w:rPr>
          <w:rFonts w:ascii="Times New Roman" w:hAnsi="Times New Roman"/>
        </w:rPr>
        <w:tab/>
        <w:t>O valor total da Emissão será de até R$700.000.000,00 (setecentos milhões de reais), na Data de Emissão (conforme abaixo definido) (“</w:t>
      </w:r>
      <w:r>
        <w:rPr>
          <w:rFonts w:ascii="Times New Roman" w:hAnsi="Times New Roman"/>
          <w:u w:val="single"/>
        </w:rPr>
        <w:t>Valor Total da Emissão</w:t>
      </w:r>
      <w:r>
        <w:rPr>
          <w:rFonts w:ascii="Times New Roman" w:hAnsi="Times New Roman"/>
        </w:rPr>
        <w:t>”), observada a possibilidade de distribuição parcial, nos termos da Cláusula 3.6.9 abaixo.</w:t>
      </w:r>
    </w:p>
    <w:p>
      <w:pPr>
        <w:pStyle w:val="PargrafodaLista"/>
        <w:spacing w:line="312" w:lineRule="auto"/>
        <w:ind w:left="0"/>
        <w:contextualSpacing w:val="0"/>
        <w:rPr>
          <w:rFonts w:ascii="Times New Roman" w:hAnsi="Times New Roman"/>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Número de Séries</w:t>
      </w:r>
    </w:p>
    <w:p>
      <w:pPr>
        <w:pStyle w:val="PargrafodaLista"/>
        <w:keepNext/>
        <w:spacing w:line="312" w:lineRule="auto"/>
        <w:ind w:left="851"/>
        <w:contextualSpacing w:val="0"/>
        <w:rPr>
          <w:rFonts w:ascii="Times New Roman" w:hAnsi="Times New Roman"/>
          <w:b/>
        </w:rPr>
      </w:pPr>
    </w:p>
    <w:p>
      <w:pPr>
        <w:pStyle w:val="PargrafodaLista"/>
        <w:numPr>
          <w:ilvl w:val="0"/>
          <w:numId w:val="9"/>
        </w:numPr>
        <w:spacing w:line="312" w:lineRule="auto"/>
        <w:ind w:left="0" w:firstLine="0"/>
        <w:contextualSpacing w:val="0"/>
        <w:rPr>
          <w:rFonts w:ascii="Times New Roman" w:hAnsi="Times New Roman"/>
        </w:rPr>
      </w:pPr>
      <w:r>
        <w:rPr>
          <w:rFonts w:ascii="Times New Roman" w:hAnsi="Times New Roman"/>
        </w:rPr>
        <w:tab/>
        <w:t>A Emissão será realizada em série única.</w:t>
      </w:r>
    </w:p>
    <w:p>
      <w:pPr>
        <w:pStyle w:val="PargrafodaLista"/>
        <w:spacing w:line="312" w:lineRule="auto"/>
        <w:ind w:left="0"/>
        <w:contextualSpacing w:val="0"/>
        <w:rPr>
          <w:rFonts w:ascii="Times New Roman" w:hAnsi="Times New Roman"/>
        </w:rPr>
      </w:pPr>
    </w:p>
    <w:p>
      <w:pPr>
        <w:pStyle w:val="PargrafodaLista"/>
        <w:keepNext/>
        <w:numPr>
          <w:ilvl w:val="0"/>
          <w:numId w:val="7"/>
        </w:numPr>
        <w:spacing w:line="312" w:lineRule="auto"/>
        <w:ind w:left="851" w:hanging="851"/>
        <w:contextualSpacing w:val="0"/>
        <w:rPr>
          <w:rFonts w:ascii="Times New Roman" w:hAnsi="Times New Roman"/>
        </w:rPr>
      </w:pPr>
      <w:r>
        <w:rPr>
          <w:rFonts w:ascii="Times New Roman" w:hAnsi="Times New Roman"/>
          <w:b/>
        </w:rPr>
        <w:tab/>
        <w:t>Garantia</w:t>
      </w:r>
    </w:p>
    <w:p>
      <w:pPr>
        <w:pStyle w:val="PargrafodaLista"/>
        <w:keepNext/>
        <w:spacing w:line="312" w:lineRule="auto"/>
        <w:ind w:left="851"/>
        <w:contextualSpacing w:val="0"/>
        <w:rPr>
          <w:rFonts w:ascii="Times New Roman" w:hAnsi="Times New Roman"/>
        </w:rPr>
      </w:pPr>
    </w:p>
    <w:p>
      <w:pPr>
        <w:spacing w:line="312" w:lineRule="auto"/>
        <w:rPr>
          <w:rFonts w:ascii="Times New Roman" w:hAnsi="Times New Roman"/>
        </w:rPr>
      </w:pPr>
      <w:r>
        <w:rPr>
          <w:rFonts w:ascii="Times New Roman" w:hAnsi="Times New Roman"/>
        </w:rPr>
        <w:t>3.5.1.</w:t>
      </w:r>
      <w:r>
        <w:rPr>
          <w:rFonts w:ascii="Times New Roman" w:hAnsi="Times New Roman"/>
        </w:rPr>
        <w:tab/>
      </w:r>
      <w:r>
        <w:rPr>
          <w:rFonts w:ascii="Times New Roman" w:hAnsi="Times New Roman"/>
        </w:rPr>
        <w:tab/>
        <w:t>Observada a Condição Suspensiva descrita na Cláusula 3.5.2 abaixo, a fim de garantir o integral, fiel e pontual pagamento e cumprimento de todas as obrigações, principais e acessórias, presentes ou futuras,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verbas indenizatórias decorrentes da Emissão, honorários arbitrados em juízo e demais encargos contratuais e legais previstos, bem como a remuneração do Agente Fiduciário, do Banco Liquidante e do Escriturador</w:t>
      </w:r>
      <w:r>
        <w:rPr>
          <w:rFonts w:ascii="Times New Roman" w:hAnsi="Times New Roman"/>
          <w:b/>
        </w:rPr>
        <w:t xml:space="preserve"> </w:t>
      </w:r>
      <w:r>
        <w:rPr>
          <w:rFonts w:ascii="Times New Roman" w:hAnsi="Times New Roman"/>
        </w:rPr>
        <w:t xml:space="preserve">e todo e qualquer custo ou despesa </w:t>
      </w:r>
      <w:r>
        <w:rPr>
          <w:rFonts w:ascii="Times New Roman" w:hAnsi="Times New Roman"/>
        </w:rPr>
        <w:lastRenderedPageBreak/>
        <w:t>comprovadamente incorrido pelo Agente Fiduciário e/ou pelos Debenturistas em decorrência de processos, procedimentos e/ou outras medidas judiciais ou extrajudiciais necessários à salvaguarda dos direitos e prerrogativas dos Debenturistas decorrentes das Debêntures e desta Escritura de Emissão, as Debêntures contarão com, nos termos do artigo 66-B, §3º, da Lei nº 4.728, de 14 de julho de 1965, conforme alterada, artigos 1.361 e seguintes do Código Civil e artigos 18 a 20 da Lei nº 9.514 de 20 de novembro de 1997, conforme alterada, cessão fiduciária (“</w:t>
      </w:r>
      <w:r>
        <w:rPr>
          <w:rFonts w:ascii="Times New Roman" w:hAnsi="Times New Roman"/>
          <w:u w:val="single"/>
        </w:rPr>
        <w:t>Cessão Fiduciária</w:t>
      </w:r>
      <w:r>
        <w:rPr>
          <w:rFonts w:ascii="Times New Roman" w:hAnsi="Times New Roman"/>
        </w:rPr>
        <w:t>”), nos termos do “</w:t>
      </w:r>
      <w:r>
        <w:rPr>
          <w:rFonts w:ascii="Times New Roman" w:hAnsi="Times New Roman"/>
          <w:i/>
        </w:rPr>
        <w:t>Instrumento Particular de Administração de Contas e Cessão Fiduciária de Direitos Creditórios e Outras Avenças Sob Condição Suspensiva</w:t>
      </w:r>
      <w:r>
        <w:rPr>
          <w:rFonts w:ascii="Times New Roman" w:hAnsi="Times New Roman"/>
        </w:rPr>
        <w:t>”, celebrado entre a Emissora e o Agente Fiduciário e o Itaú Unibanco S.A., na qualidade de banco arrecadador (“</w:t>
      </w:r>
      <w:r>
        <w:rPr>
          <w:rFonts w:ascii="Times New Roman" w:hAnsi="Times New Roman"/>
          <w:u w:val="single"/>
        </w:rPr>
        <w:t>Contrato de Cessão Fiduciária</w:t>
      </w:r>
      <w:r>
        <w:rPr>
          <w:rFonts w:ascii="Times New Roman" w:hAnsi="Times New Roman"/>
        </w:rPr>
        <w:t>” ou “</w:t>
      </w:r>
      <w:r>
        <w:rPr>
          <w:rFonts w:ascii="Times New Roman" w:hAnsi="Times New Roman"/>
          <w:u w:val="single"/>
        </w:rPr>
        <w:t>Contrato de Garantia</w:t>
      </w:r>
      <w:r>
        <w:rPr>
          <w:rFonts w:ascii="Times New Roman" w:hAnsi="Times New Roman"/>
        </w:rPr>
        <w:t>”, “</w:t>
      </w:r>
      <w:r>
        <w:rPr>
          <w:rFonts w:ascii="Times New Roman" w:hAnsi="Times New Roman"/>
          <w:u w:val="single"/>
        </w:rPr>
        <w:t>Garantia</w:t>
      </w:r>
      <w:r>
        <w:rPr>
          <w:rFonts w:ascii="Times New Roman" w:hAnsi="Times New Roman"/>
        </w:rPr>
        <w:t>” e “</w:t>
      </w:r>
      <w:r>
        <w:rPr>
          <w:rFonts w:ascii="Times New Roman" w:hAnsi="Times New Roman"/>
          <w:u w:val="single"/>
        </w:rPr>
        <w:t>Banco Arrecadador</w:t>
      </w:r>
      <w:r>
        <w:rPr>
          <w:rFonts w:ascii="Times New Roman" w:hAnsi="Times New Roman"/>
        </w:rPr>
        <w:t>”, respectivamente):</w:t>
      </w:r>
    </w:p>
    <w:p>
      <w:pPr>
        <w:spacing w:line="312" w:lineRule="auto"/>
        <w:rPr>
          <w:rFonts w:ascii="Times New Roman" w:hAnsi="Times New Roman"/>
        </w:rPr>
      </w:pPr>
    </w:p>
    <w:p>
      <w:pPr>
        <w:pStyle w:val="Celso1"/>
        <w:widowControl/>
        <w:numPr>
          <w:ilvl w:val="0"/>
          <w:numId w:val="51"/>
        </w:numPr>
        <w:spacing w:line="312" w:lineRule="auto"/>
        <w:ind w:left="709" w:hanging="709"/>
        <w:rPr>
          <w:rFonts w:ascii="Times New Roman" w:hAnsi="Times New Roman"/>
          <w:color w:val="000000" w:themeColor="text1"/>
        </w:rPr>
      </w:pPr>
      <w:r>
        <w:rPr>
          <w:rFonts w:ascii="Times New Roman" w:hAnsi="Times New Roman"/>
          <w:color w:val="000000" w:themeColor="text1"/>
        </w:rPr>
        <w:t xml:space="preserve">da totalidade dos recebíveis </w:t>
      </w:r>
      <w:r>
        <w:rPr>
          <w:rFonts w:ascii="Times New Roman" w:hAnsi="Times New Roman"/>
          <w:color w:val="000000" w:themeColor="text1"/>
          <w:lang w:val="pt-PT"/>
        </w:rPr>
        <w:t>decorrentes da prestação do serviço de fornecimento de energia elétrica, pela Emissora,</w:t>
      </w:r>
      <w:r>
        <w:rPr>
          <w:rFonts w:ascii="Times New Roman" w:hAnsi="Times New Roman"/>
          <w:b/>
          <w:color w:val="000000" w:themeColor="text1"/>
          <w:lang w:val="pt-PT"/>
        </w:rPr>
        <w:t xml:space="preserve"> </w:t>
      </w:r>
      <w:r>
        <w:rPr>
          <w:rFonts w:ascii="Times New Roman" w:hAnsi="Times New Roman"/>
          <w:color w:val="000000" w:themeColor="text1"/>
          <w:lang w:val="pt-PT"/>
        </w:rPr>
        <w:t>a consumidores finais, nos termos do “Contrato de Concessão nº 162/98 Para Distribuição de Energia Elétrica, que celebram a União e a Eletropaulo Metropolitana Eletricidade de São Paulo S.A.”, celebrado em 15 de junho de 1998, conforme aditado de tempos em tempos (“</w:t>
      </w:r>
      <w:r>
        <w:rPr>
          <w:rFonts w:ascii="Times New Roman" w:hAnsi="Times New Roman"/>
          <w:color w:val="000000" w:themeColor="text1"/>
          <w:u w:val="single"/>
          <w:lang w:val="pt-PT"/>
        </w:rPr>
        <w:t>Recebíveis da Concessão</w:t>
      </w:r>
      <w:r>
        <w:rPr>
          <w:rFonts w:ascii="Times New Roman" w:hAnsi="Times New Roman"/>
          <w:color w:val="000000" w:themeColor="text1"/>
          <w:lang w:val="pt-PT"/>
        </w:rPr>
        <w:t>”), que venham a ser pagos pelos consumidores finais por meio de (i.a) débito automático cadastrado junto ao Banco Arrecadador; (i.b) internet banking e bankfone cadastrado junto ao Banco Arrecadador; e (i.c) terminais de autoatendimento junto ao Banco Arrecadador (CEI), e que sejam recebidos pelo Banco Arrecadador por meio de seus canais de arrecadação</w:t>
      </w:r>
      <w:r>
        <w:rPr>
          <w:rFonts w:ascii="Times New Roman" w:hAnsi="Times New Roman"/>
          <w:color w:val="000000" w:themeColor="text1"/>
        </w:rPr>
        <w:t>, em montante equivalente, durante todo o prazo das Debêntures, ao saldo das Debêntures (“</w:t>
      </w:r>
      <w:r>
        <w:rPr>
          <w:rFonts w:ascii="Times New Roman" w:hAnsi="Times New Roman"/>
          <w:color w:val="000000" w:themeColor="text1"/>
          <w:u w:val="single"/>
        </w:rPr>
        <w:t>Recebíveis da Arrecadação</w:t>
      </w:r>
      <w:r>
        <w:rPr>
          <w:rFonts w:ascii="Times New Roman" w:hAnsi="Times New Roman"/>
          <w:color w:val="000000" w:themeColor="text1"/>
        </w:rPr>
        <w:t>”);</w:t>
      </w:r>
    </w:p>
    <w:p>
      <w:pPr>
        <w:pStyle w:val="Celso1"/>
        <w:widowControl/>
        <w:spacing w:line="312" w:lineRule="auto"/>
        <w:ind w:left="709" w:hanging="709"/>
        <w:rPr>
          <w:rFonts w:ascii="Times New Roman" w:hAnsi="Times New Roman"/>
          <w:color w:val="000000" w:themeColor="text1"/>
        </w:rPr>
      </w:pPr>
    </w:p>
    <w:p>
      <w:pPr>
        <w:pStyle w:val="Celso1"/>
        <w:numPr>
          <w:ilvl w:val="0"/>
          <w:numId w:val="51"/>
        </w:numPr>
        <w:spacing w:line="312" w:lineRule="auto"/>
        <w:ind w:hanging="709"/>
        <w:rPr>
          <w:rFonts w:ascii="Times New Roman" w:hAnsi="Times New Roman"/>
          <w:color w:val="000000" w:themeColor="text1"/>
        </w:rPr>
      </w:pPr>
      <w:r>
        <w:rPr>
          <w:rFonts w:ascii="Times New Roman" w:hAnsi="Times New Roman"/>
          <w:color w:val="000000" w:themeColor="text1"/>
        </w:rPr>
        <w:t>de todos e quaisquer direitos, atuais e/ou futuros, detidos e a serem detidos pela Emissora contra o Banco Bradesco S.A., instituição financeira com sede no núcleo “Cidade de Deus”, s/nº, situado na Vila Yara, na Cidade de Osasco, no Estado de São Paulo, inscrito no CNPJ/MF sob nº 60.746.948/0001-12 (“</w:t>
      </w:r>
      <w:r>
        <w:rPr>
          <w:rFonts w:ascii="Times New Roman" w:hAnsi="Times New Roman"/>
          <w:color w:val="000000" w:themeColor="text1"/>
          <w:u w:val="single"/>
        </w:rPr>
        <w:t>Banco Depositário</w:t>
      </w:r>
      <w:r>
        <w:rPr>
          <w:rFonts w:ascii="Times New Roman" w:hAnsi="Times New Roman"/>
          <w:color w:val="000000" w:themeColor="text1"/>
        </w:rPr>
        <w:t>”) com relação a: (a)</w:t>
      </w:r>
      <w:r>
        <w:rPr>
          <w:rFonts w:ascii="Times New Roman" w:hAnsi="Times New Roman"/>
          <w:b/>
          <w:color w:val="000000" w:themeColor="text1"/>
        </w:rPr>
        <w:t xml:space="preserve"> </w:t>
      </w:r>
      <w:r>
        <w:rPr>
          <w:rFonts w:ascii="Times New Roman" w:hAnsi="Times New Roman"/>
          <w:color w:val="000000" w:themeColor="text1"/>
        </w:rPr>
        <w:t>conta vinculada de titularidade da Emissora n.º 33594-0, mantida na agência 2372 do Banco Depositário (“</w:t>
      </w:r>
      <w:r>
        <w:rPr>
          <w:rFonts w:ascii="Times New Roman" w:hAnsi="Times New Roman"/>
          <w:color w:val="000000" w:themeColor="text1"/>
          <w:u w:val="single"/>
        </w:rPr>
        <w:t>Conta Vinculada</w:t>
      </w:r>
      <w:r>
        <w:rPr>
          <w:rFonts w:ascii="Times New Roman" w:hAnsi="Times New Roman"/>
          <w:color w:val="000000" w:themeColor="text1"/>
        </w:rPr>
        <w:t>”), para a qual deverão ser transferidos os Recebíveis de Arrecadação nas hipóteses previstas no Contrato de Cessão Fiduciária; e (b) quaisquer valores ou recursos creditados e/ou que venham a ser creditados, a qualquer tempo, na Conta Vinculada; e</w:t>
      </w:r>
    </w:p>
    <w:p>
      <w:pPr>
        <w:pStyle w:val="Celso1"/>
        <w:spacing w:line="312" w:lineRule="auto"/>
        <w:ind w:left="709" w:hanging="709"/>
        <w:rPr>
          <w:rFonts w:ascii="Times New Roman" w:hAnsi="Times New Roman"/>
          <w:color w:val="000000" w:themeColor="text1"/>
        </w:rPr>
      </w:pPr>
    </w:p>
    <w:p>
      <w:pPr>
        <w:pStyle w:val="Celso1"/>
        <w:numPr>
          <w:ilvl w:val="0"/>
          <w:numId w:val="51"/>
        </w:numPr>
        <w:spacing w:line="312" w:lineRule="auto"/>
        <w:ind w:left="709" w:hanging="709"/>
        <w:rPr>
          <w:rFonts w:ascii="Times New Roman" w:hAnsi="Times New Roman"/>
          <w:color w:val="000000" w:themeColor="text1"/>
        </w:rPr>
      </w:pPr>
      <w:r>
        <w:rPr>
          <w:rFonts w:ascii="Times New Roman" w:hAnsi="Times New Roman"/>
          <w:color w:val="000000" w:themeColor="text1"/>
        </w:rPr>
        <w:t xml:space="preserve">de eventuais aplicações e investimentos realizados com os recebíveis depositados ou de outra forma recepcionados na Conta Vinculada, incluindo todos os juros, atualização monetária, demais produtos, frutos e rendimentos, bem como recursos resultantes das amortizações e resgates dos investimentos permitidos, conforme definidos no Contrato de Cessão Fiduciária. </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3.5.2</w:t>
      </w:r>
      <w:r>
        <w:rPr>
          <w:rFonts w:ascii="Times New Roman" w:hAnsi="Times New Roman"/>
        </w:rPr>
        <w:tab/>
      </w:r>
      <w:r>
        <w:rPr>
          <w:rFonts w:ascii="Times New Roman" w:hAnsi="Times New Roman"/>
        </w:rPr>
        <w:tab/>
      </w:r>
      <w:r>
        <w:rPr>
          <w:rFonts w:ascii="Times New Roman" w:hAnsi="Times New Roman"/>
          <w:bCs/>
        </w:rPr>
        <w:t>Os negócios jurídicos previstos no Contrato de Cessão Fiduciária têm sua eficácia condicionada à verificação cumulativa de ambas as condições suspensivas, na forma dos artigos 121, 125 e 126 da Lei nº 10.406, de 10 de janeiro de 2002, conforme alterada (em conjunto, “</w:t>
      </w:r>
      <w:r>
        <w:rPr>
          <w:rFonts w:ascii="Times New Roman" w:hAnsi="Times New Roman"/>
          <w:bCs/>
          <w:u w:val="single"/>
        </w:rPr>
        <w:t>Condição Suspensiva</w:t>
      </w:r>
      <w:r>
        <w:rPr>
          <w:rFonts w:ascii="Times New Roman" w:hAnsi="Times New Roman"/>
          <w:bCs/>
        </w:rPr>
        <w:t>” e “</w:t>
      </w:r>
      <w:r>
        <w:rPr>
          <w:rFonts w:ascii="Times New Roman" w:hAnsi="Times New Roman"/>
          <w:bCs/>
          <w:u w:val="single"/>
        </w:rPr>
        <w:t>Código Civil</w:t>
      </w:r>
      <w:r>
        <w:rPr>
          <w:rFonts w:ascii="Times New Roman" w:hAnsi="Times New Roman"/>
          <w:bCs/>
        </w:rPr>
        <w:t>”, respectivamente):</w:t>
      </w:r>
    </w:p>
    <w:p>
      <w:pPr>
        <w:spacing w:line="312" w:lineRule="auto"/>
        <w:rPr>
          <w:rFonts w:ascii="Times New Roman" w:hAnsi="Times New Roman"/>
        </w:rPr>
      </w:pPr>
    </w:p>
    <w:p>
      <w:pPr>
        <w:numPr>
          <w:ilvl w:val="0"/>
          <w:numId w:val="52"/>
        </w:numPr>
        <w:spacing w:line="312" w:lineRule="auto"/>
        <w:ind w:hanging="720"/>
        <w:rPr>
          <w:rFonts w:ascii="Times New Roman" w:hAnsi="Times New Roman"/>
          <w:bCs/>
        </w:rPr>
      </w:pPr>
      <w:r>
        <w:rPr>
          <w:rFonts w:ascii="Times New Roman" w:hAnsi="Times New Roman"/>
          <w:bCs/>
        </w:rPr>
        <w:t>aprovação da Cessão Fiduciária pela Agência Nacional de Energia Elétrica (“</w:t>
      </w:r>
      <w:r>
        <w:rPr>
          <w:rFonts w:ascii="Times New Roman" w:hAnsi="Times New Roman"/>
          <w:bCs/>
          <w:u w:val="single"/>
        </w:rPr>
        <w:t>ANEEL</w:t>
      </w:r>
      <w:r>
        <w:rPr>
          <w:rFonts w:ascii="Times New Roman" w:hAnsi="Times New Roman"/>
          <w:bCs/>
        </w:rPr>
        <w:t>”), na forma da Resolução Normativa nº 532, de 14 de janeiro de 2013, da ANEEL, conforme alterada; e</w:t>
      </w:r>
    </w:p>
    <w:p>
      <w:pPr>
        <w:spacing w:line="312" w:lineRule="auto"/>
        <w:ind w:left="720"/>
        <w:rPr>
          <w:rFonts w:ascii="Times New Roman" w:hAnsi="Times New Roman"/>
          <w:bCs/>
        </w:rPr>
      </w:pPr>
    </w:p>
    <w:p>
      <w:pPr>
        <w:numPr>
          <w:ilvl w:val="0"/>
          <w:numId w:val="52"/>
        </w:numPr>
        <w:spacing w:line="312" w:lineRule="auto"/>
        <w:ind w:hanging="720"/>
        <w:rPr>
          <w:rFonts w:ascii="Times New Roman" w:hAnsi="Times New Roman"/>
          <w:bCs/>
        </w:rPr>
      </w:pPr>
      <w:r>
        <w:rPr>
          <w:rFonts w:ascii="Times New Roman" w:hAnsi="Times New Roman"/>
          <w:bCs/>
        </w:rPr>
        <w:t xml:space="preserve">liberação dos Recebíveis da Concessão </w:t>
      </w:r>
      <w:r>
        <w:rPr>
          <w:rFonts w:ascii="Times New Roman" w:hAnsi="Times New Roman"/>
          <w:lang w:val="pt-PT"/>
        </w:rPr>
        <w:t>que venham a ser pagos pelos consumidores finais por meio de débito automático cadastrado junto ao Banco Arrecadador do ônus atualmente existente sobre eles, decorrente (a) do Instrumento Particular de Cessão Fiduciária Títulos e Direitos Creditórios nº 000050004111200 celebrado entre a Emissora, como cedente fiduciária e devedora, e o Banco Arrecadador, como credor fiduciário, em 25 de março de 2015, conforme alterado; e (b) do Instrumento Particular de Cessão Fiduciária Títulos e Direitos Creditórios nº 000050004265100 celebrado entre a Emissora, como cedente fiduciária e devedora, e o Banco Arrecadador, como credor fiduciário, em 29 de dezembro de 2015, conforme alterado.</w:t>
      </w:r>
    </w:p>
    <w:p>
      <w:pPr>
        <w:spacing w:line="312" w:lineRule="auto"/>
        <w:rPr>
          <w:rFonts w:ascii="Times New Roman" w:hAnsi="Times New Roman"/>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Procedimento de Distribuição</w:t>
      </w:r>
    </w:p>
    <w:p>
      <w:pPr>
        <w:pStyle w:val="PargrafodaLista"/>
        <w:keepNext/>
        <w:spacing w:line="312" w:lineRule="auto"/>
        <w:ind w:left="851"/>
        <w:contextualSpacing w:val="0"/>
        <w:rPr>
          <w:rFonts w:ascii="Times New Roman" w:hAnsi="Times New Roman"/>
          <w:b/>
        </w:rPr>
      </w:pPr>
    </w:p>
    <w:p>
      <w:pPr>
        <w:tabs>
          <w:tab w:val="left" w:pos="993"/>
        </w:tabs>
        <w:spacing w:line="312" w:lineRule="auto"/>
        <w:rPr>
          <w:rFonts w:ascii="Times New Roman" w:hAnsi="Times New Roman"/>
          <w:i/>
        </w:rPr>
      </w:pPr>
      <w:r>
        <w:rPr>
          <w:rFonts w:ascii="Times New Roman" w:hAnsi="Times New Roman"/>
        </w:rPr>
        <w:t>3.6.1</w:t>
      </w:r>
      <w:r>
        <w:rPr>
          <w:rFonts w:ascii="Times New Roman" w:hAnsi="Times New Roman"/>
        </w:rPr>
        <w:tab/>
      </w:r>
      <w:r>
        <w:rPr>
          <w:rFonts w:ascii="Times New Roman" w:hAnsi="Times New Roman"/>
        </w:rPr>
        <w:tab/>
        <w:t xml:space="preserve">As Debêntures serão objeto de distribuição pública, com esforços restritos de distribuição, nos termos da Instrução CVM 476, sob o regime de garantia firme de colocação para 300.000.000 (trezentas milhões) Debêntures, no montante total de R$300.000.000,00 (trezentos milhões de reais), e sob o regime de melhores esforços de colocação para </w:t>
      </w:r>
      <w:r>
        <w:rPr>
          <w:rFonts w:ascii="Times New Roman" w:hAnsi="Times New Roman"/>
        </w:rPr>
        <w:lastRenderedPageBreak/>
        <w:t>400.000.000 (quatrocentas milhões) Debêntures, no montante total de R$400.000.000,00 (quatrocentos milhões de reais), totalizando a colocação de 700.000.000 (setecentas milhões) Debêntures, no montante total de R$700.000.000,00 (setecentos milhões de reais), com a intermediação de instituição financeira integrante do sistema de distribuição de valores mobiliários responsável pela distribuição das Debêntures (“</w:t>
      </w:r>
      <w:r>
        <w:rPr>
          <w:rFonts w:ascii="Times New Roman" w:hAnsi="Times New Roman"/>
          <w:u w:val="single"/>
        </w:rPr>
        <w:t>Coordenador</w:t>
      </w:r>
      <w:r>
        <w:rPr>
          <w:rFonts w:ascii="Times New Roman" w:hAnsi="Times New Roman"/>
        </w:rPr>
        <w:t>”), nos termos do “</w:t>
      </w:r>
      <w:r>
        <w:rPr>
          <w:rFonts w:ascii="Times New Roman" w:hAnsi="Times New Roman"/>
          <w:i/>
        </w:rPr>
        <w:t>Contrato de Coordenação e Distribuição Pública de Debêntures Simples, Não Conversíveis em Ações, da Espécie com Garantia Real, em Série Única, da 20ª (vigésima) Emissão da Eletropaulo Metropolitana Eletricidade de São Paulo S.A.</w:t>
      </w:r>
      <w:r>
        <w:rPr>
          <w:rFonts w:ascii="Times New Roman" w:hAnsi="Times New Roman"/>
        </w:rPr>
        <w:t>”, celebrado entre a Emissora e o Coordenador (“</w:t>
      </w:r>
      <w:r>
        <w:rPr>
          <w:rFonts w:ascii="Times New Roman" w:hAnsi="Times New Roman"/>
          <w:u w:val="single"/>
        </w:rPr>
        <w:t>Contrato de Distribuição</w:t>
      </w:r>
      <w:r>
        <w:rPr>
          <w:rFonts w:ascii="Times New Roman" w:hAnsi="Times New Roman"/>
        </w:rPr>
        <w:t>” e “</w:t>
      </w:r>
      <w:r>
        <w:rPr>
          <w:rFonts w:ascii="Times New Roman" w:hAnsi="Times New Roman"/>
          <w:u w:val="single"/>
        </w:rPr>
        <w:t>Oferta</w:t>
      </w:r>
      <w:r>
        <w:rPr>
          <w:rFonts w:ascii="Times New Roman" w:hAnsi="Times New Roman"/>
        </w:rPr>
        <w:t xml:space="preserve">”, respectivamente). </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3.6.2.</w:t>
      </w:r>
      <w:r>
        <w:rPr>
          <w:rFonts w:ascii="Times New Roman" w:hAnsi="Times New Roman"/>
        </w:rPr>
        <w:tab/>
      </w:r>
      <w:r>
        <w:rPr>
          <w:rFonts w:ascii="Times New Roman" w:hAnsi="Times New Roman"/>
        </w:rPr>
        <w:tab/>
        <w:t>O plano de distribuição seguirá o procedimento descrito na Instrução CVM 476, conforme previsto no Contrato de Distribuição. Para tanto, o Coordenador poderá acessar, no máximo, 75 (setenta e cinco) Investidores Profissionais (conforme definido abaixo), sendo possível a subscrição ou aquisição por, no máximo, 50 (cinquenta) Investidores Profissionais (conforme definido abaixo).</w:t>
      </w:r>
    </w:p>
    <w:p>
      <w:pPr>
        <w:tabs>
          <w:tab w:val="left" w:pos="993"/>
        </w:tabs>
        <w:spacing w:line="312" w:lineRule="auto"/>
        <w:rPr>
          <w:rFonts w:ascii="Times New Roman" w:hAnsi="Times New Roman"/>
        </w:rPr>
      </w:pPr>
    </w:p>
    <w:p>
      <w:pPr>
        <w:tabs>
          <w:tab w:val="left" w:pos="993"/>
          <w:tab w:val="left" w:pos="1701"/>
        </w:tabs>
        <w:spacing w:line="312" w:lineRule="auto"/>
        <w:rPr>
          <w:rFonts w:ascii="Times New Roman" w:hAnsi="Times New Roman"/>
        </w:rPr>
      </w:pPr>
      <w:r>
        <w:rPr>
          <w:rFonts w:ascii="Times New Roman" w:hAnsi="Times New Roman"/>
        </w:rPr>
        <w:t>3.6.2.1.</w:t>
      </w:r>
      <w:r>
        <w:rPr>
          <w:rFonts w:ascii="Times New Roman" w:hAnsi="Times New Roman"/>
        </w:rPr>
        <w:tab/>
      </w:r>
      <w:r>
        <w:rPr>
          <w:rFonts w:ascii="Times New Roman" w:hAnsi="Times New Roman"/>
        </w:rPr>
        <w:tab/>
        <w:t>Nos termos da Instrução CVM 476, são considerados “</w:t>
      </w:r>
      <w:r>
        <w:rPr>
          <w:rFonts w:ascii="Times New Roman" w:hAnsi="Times New Roman"/>
          <w:u w:val="single"/>
        </w:rPr>
        <w:t>Investidores Profissionais</w:t>
      </w:r>
      <w:r>
        <w:rPr>
          <w:rFonts w:ascii="Times New Roman" w:hAnsi="Times New Roman"/>
        </w:rPr>
        <w:t>” aqueles investidores referidos no artigo 9º-A da Instrução da CVM nº 539, observado que os fundos de investimento e carteiras administradas de valores mobiliários cujas decisões de investimento sejam tomadas pelo mesmo gestor serão considerados como um único investidor, para os fins dos limites previstos no item 3.6.2 acima.</w:t>
      </w:r>
    </w:p>
    <w:p>
      <w:pPr>
        <w:tabs>
          <w:tab w:val="left" w:pos="993"/>
          <w:tab w:val="left" w:pos="1701"/>
        </w:tabs>
        <w:spacing w:line="312" w:lineRule="auto"/>
        <w:rPr>
          <w:rFonts w:ascii="Times New Roman" w:hAnsi="Times New Roman"/>
        </w:rPr>
      </w:pPr>
    </w:p>
    <w:p>
      <w:pPr>
        <w:tabs>
          <w:tab w:val="left" w:pos="993"/>
          <w:tab w:val="left" w:pos="1701"/>
        </w:tabs>
        <w:spacing w:line="312" w:lineRule="auto"/>
        <w:rPr>
          <w:rFonts w:ascii="Times New Roman" w:hAnsi="Times New Roman"/>
        </w:rPr>
      </w:pPr>
      <w:r>
        <w:rPr>
          <w:rFonts w:ascii="Times New Roman" w:hAnsi="Times New Roman"/>
        </w:rPr>
        <w:t>3.6.2.2.</w:t>
      </w:r>
      <w:r>
        <w:rPr>
          <w:rFonts w:ascii="Times New Roman" w:hAnsi="Times New Roman"/>
        </w:rPr>
        <w:tab/>
      </w:r>
      <w:r>
        <w:rPr>
          <w:rFonts w:ascii="Times New Roman" w:hAnsi="Times New Roman"/>
        </w:rPr>
        <w:tab/>
        <w:t>No ato de subscrição das Debêntures, os Investidores Profissionais assinarão declaração atestando que efetuaram sua própria análise com relação à capacidade de pagamento da Emissora e atestando sua condição de Investidor Profissional, bem como de que estão cientes, entre outras coisas: (a) de que a Oferta não foi registrada perante a CVM, e que poderá vir a ser registrada na ANBIMA apenas para fins de informação de base de dados, nos termos do item 2.2 acima, desde que expedidas diretrizes específicas pela ANBIMA até a data da Comunicação de Encerramento; (b) de que as Debêntures estão sujeitas a restrições de negociação previstas na regulamentação aplicável e nesta Escritura; (c) de todos os termos e condições desta Escritura, com os quais estão plenamente de acordo.</w:t>
      </w:r>
    </w:p>
    <w:p>
      <w:pPr>
        <w:tabs>
          <w:tab w:val="left" w:pos="993"/>
          <w:tab w:val="left" w:pos="1701"/>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lastRenderedPageBreak/>
        <w:t>3.6.3.</w:t>
      </w:r>
      <w:r>
        <w:rPr>
          <w:rFonts w:ascii="Times New Roman" w:hAnsi="Times New Roman"/>
        </w:rPr>
        <w:tab/>
      </w:r>
      <w:r>
        <w:rPr>
          <w:rFonts w:ascii="Times New Roman" w:hAnsi="Times New Roman"/>
        </w:rPr>
        <w:tab/>
        <w:t>A Emissora obriga-se a: (i) não contatar ou fornecer informações acerca da Oferta a qualquer Investidor Profissional, exceto se previamente acordado com o Coordenador; e (ii) informar ao Coordenador, até o Dia Útil imediatamente subsequente, a ocorrência de contato que receba de potenciais Investidores Profissionais que venham a manifestar seu interesse na Oferta, comprometendo-se desde já a não tomar qualquer providência em relação aos referidos potenciais Investidores Profissionais nesse período.</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3.6.4.</w:t>
      </w:r>
      <w:r>
        <w:rPr>
          <w:rFonts w:ascii="Times New Roman" w:hAnsi="Times New Roman"/>
        </w:rPr>
        <w:tab/>
      </w:r>
      <w:r>
        <w:rPr>
          <w:rFonts w:ascii="Times New Roman" w:hAnsi="Times New Roman"/>
        </w:rPr>
        <w:tab/>
        <w:t>Não será concedido qualquer tipo de desconto pelo Coordenador aos Investidores Profissionais interessados em adquirir Debêntures no âmbito da Oferta, bem como não existirão reservas antecipadas, nem fixação de lotes mínimos ou máximos para a Oferta, independentemente da ordem cronológica.</w:t>
      </w:r>
    </w:p>
    <w:p>
      <w:pPr>
        <w:tabs>
          <w:tab w:val="left" w:pos="5284"/>
        </w:tabs>
        <w:spacing w:line="312" w:lineRule="auto"/>
        <w:rPr>
          <w:rFonts w:ascii="Times New Roman" w:hAnsi="Times New Roman"/>
        </w:rPr>
      </w:pPr>
      <w:r>
        <w:rPr>
          <w:rFonts w:ascii="Times New Roman" w:hAnsi="Times New Roman"/>
        </w:rPr>
        <w:tab/>
      </w:r>
    </w:p>
    <w:p>
      <w:pPr>
        <w:tabs>
          <w:tab w:val="left" w:pos="993"/>
        </w:tabs>
        <w:spacing w:line="312" w:lineRule="auto"/>
        <w:rPr>
          <w:rFonts w:ascii="Times New Roman" w:hAnsi="Times New Roman"/>
        </w:rPr>
      </w:pPr>
      <w:r>
        <w:rPr>
          <w:rFonts w:ascii="Times New Roman" w:hAnsi="Times New Roman"/>
        </w:rPr>
        <w:t>3.6.5.</w:t>
      </w:r>
      <w:r>
        <w:rPr>
          <w:rFonts w:ascii="Times New Roman" w:hAnsi="Times New Roman"/>
        </w:rPr>
        <w:tab/>
      </w:r>
      <w:r>
        <w:rPr>
          <w:rFonts w:ascii="Times New Roman" w:hAnsi="Times New Roman"/>
        </w:rPr>
        <w:tab/>
        <w:t>Não haverá preferência para subscrição das Debêntures pelos atuais acionistas ou controladores diretos ou indiretos da Emissora.</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3.6.6.</w:t>
      </w:r>
      <w:r>
        <w:rPr>
          <w:rFonts w:ascii="Times New Roman" w:hAnsi="Times New Roman"/>
        </w:rPr>
        <w:tab/>
      </w:r>
      <w:r>
        <w:rPr>
          <w:rFonts w:ascii="Times New Roman" w:hAnsi="Times New Roman"/>
        </w:rPr>
        <w:tab/>
        <w:t>Não será constituído fundo de sustentação de liquidez ou firmado contrato de garantia de liquidez para as Debêntures. Não será firmado contrato de estabilização de preço das Debêntures no mercado secundário.</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3.6.7.</w:t>
      </w:r>
      <w:r>
        <w:rPr>
          <w:rFonts w:ascii="Times New Roman" w:hAnsi="Times New Roman"/>
        </w:rPr>
        <w:tab/>
      </w:r>
      <w:r>
        <w:rPr>
          <w:rFonts w:ascii="Times New Roman" w:hAnsi="Times New Roman"/>
        </w:rPr>
        <w:tab/>
        <w:t>A Emissão e a Oferta não poderão ser aumentadas em nenhuma hipótese.</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3.6.8.</w:t>
      </w:r>
      <w:r>
        <w:rPr>
          <w:rFonts w:ascii="Times New Roman" w:hAnsi="Times New Roman"/>
        </w:rPr>
        <w:tab/>
      </w:r>
      <w:r>
        <w:rPr>
          <w:rFonts w:ascii="Times New Roman" w:hAnsi="Times New Roman"/>
        </w:rPr>
        <w:tab/>
        <w:t>A colocação das Debêntures será realizada de acordo com os procedimentos da CETIP</w:t>
      </w:r>
      <w:r>
        <w:rPr>
          <w:rFonts w:ascii="Times New Roman" w:hAnsi="Times New Roman"/>
          <w:b/>
        </w:rPr>
        <w:t xml:space="preserve"> </w:t>
      </w:r>
      <w:r>
        <w:rPr>
          <w:rFonts w:ascii="Times New Roman" w:hAnsi="Times New Roman"/>
        </w:rPr>
        <w:t>e com o plano de distribuição descrito nesta cláusula.</w:t>
      </w:r>
    </w:p>
    <w:p>
      <w:pPr>
        <w:tabs>
          <w:tab w:val="left" w:pos="993"/>
        </w:tabs>
        <w:spacing w:line="312" w:lineRule="auto"/>
        <w:rPr>
          <w:rFonts w:ascii="Times New Roman" w:hAnsi="Times New Roman"/>
        </w:rPr>
      </w:pPr>
    </w:p>
    <w:p>
      <w:pPr>
        <w:tabs>
          <w:tab w:val="left" w:pos="993"/>
        </w:tabs>
        <w:spacing w:line="312" w:lineRule="auto"/>
        <w:rPr>
          <w:rFonts w:ascii="Tahoma" w:hAnsi="Tahoma" w:cs="Tahoma"/>
          <w:sz w:val="22"/>
          <w:szCs w:val="22"/>
        </w:rPr>
      </w:pPr>
      <w:r>
        <w:rPr>
          <w:rFonts w:ascii="Times New Roman" w:hAnsi="Times New Roman"/>
        </w:rPr>
        <w:t>3.6.9.</w:t>
      </w:r>
      <w:r>
        <w:rPr>
          <w:rFonts w:ascii="Times New Roman" w:hAnsi="Times New Roman"/>
        </w:rPr>
        <w:tab/>
      </w:r>
      <w:r>
        <w:rPr>
          <w:rFonts w:ascii="Times New Roman" w:hAnsi="Times New Roman"/>
        </w:rPr>
        <w:tab/>
        <w:t>Será adotado o procedimento de coleta de intenções de investimento dos potenciais investidores nas Debêntures, organizado pelo Coordenador, sem recebimento de reservas, sem lotes mínimos ou máximos, observado o disposto no artigo 3º da Instrução CVM 476, para definição da Remuneração, observado o limite previstos no item 4.10.1, do fator de conversão das Debêntures e do Valor Total da Emissão (“</w:t>
      </w:r>
      <w:r>
        <w:rPr>
          <w:rFonts w:ascii="Times New Roman" w:hAnsi="Times New Roman"/>
          <w:u w:val="single"/>
        </w:rPr>
        <w:t xml:space="preserve">Procedimento de </w:t>
      </w:r>
      <w:r>
        <w:rPr>
          <w:rFonts w:ascii="Times New Roman" w:hAnsi="Times New Roman"/>
          <w:i/>
          <w:u w:val="single"/>
        </w:rPr>
        <w:t>Bookbuilding</w:t>
      </w:r>
      <w:r>
        <w:rPr>
          <w:rFonts w:ascii="Times New Roman" w:hAnsi="Times New Roman"/>
        </w:rPr>
        <w:t xml:space="preserve">”). O resultado do Procedimento de </w:t>
      </w:r>
      <w:r>
        <w:rPr>
          <w:rFonts w:ascii="Times New Roman" w:hAnsi="Times New Roman"/>
          <w:i/>
        </w:rPr>
        <w:t>Bookbuilding</w:t>
      </w:r>
      <w:r>
        <w:rPr>
          <w:rFonts w:ascii="Times New Roman" w:hAnsi="Times New Roman"/>
        </w:rPr>
        <w:t xml:space="preserve"> será ratificado por meio de aditamento a esta Escritura, que deverá ser levado a registro perante a JUCESP, sem necessidade de nova aprovação societária pela Emissora ou de realização de Assembleia Geral de Debenturistas</w:t>
      </w:r>
      <w:r>
        <w:rPr>
          <w:rFonts w:ascii="Tahoma" w:hAnsi="Tahoma" w:cs="Tahoma"/>
          <w:sz w:val="22"/>
          <w:szCs w:val="22"/>
        </w:rPr>
        <w:t xml:space="preserve">. </w:t>
      </w:r>
    </w:p>
    <w:p>
      <w:pPr>
        <w:tabs>
          <w:tab w:val="left" w:pos="993"/>
        </w:tabs>
        <w:spacing w:line="312" w:lineRule="auto"/>
        <w:rPr>
          <w:rFonts w:ascii="Tahoma" w:hAnsi="Tahoma" w:cs="Tahoma"/>
          <w:sz w:val="22"/>
          <w:szCs w:val="22"/>
        </w:rPr>
      </w:pPr>
    </w:p>
    <w:p>
      <w:pPr>
        <w:tabs>
          <w:tab w:val="left" w:pos="993"/>
        </w:tabs>
        <w:spacing w:line="312" w:lineRule="auto"/>
        <w:rPr>
          <w:rFonts w:ascii="Tahoma" w:hAnsi="Tahoma"/>
          <w:sz w:val="22"/>
        </w:rPr>
      </w:pPr>
      <w:r>
        <w:rPr>
          <w:rFonts w:ascii="Times New Roman" w:hAnsi="Times New Roman"/>
        </w:rPr>
        <w:t>3.6.9.1.</w:t>
      </w:r>
      <w:r>
        <w:rPr>
          <w:rFonts w:ascii="Times New Roman" w:hAnsi="Times New Roman"/>
        </w:rPr>
        <w:tab/>
      </w:r>
      <w:r>
        <w:rPr>
          <w:rFonts w:ascii="Times New Roman" w:hAnsi="Times New Roman"/>
        </w:rPr>
        <w:tab/>
        <w:t>A Oferta poderá ser concluída mesmo em caso de distribuição parcial das Debêntures, nos termos do artigo 30, parágrafo 2º, da Instrução CVM nº 400, de 29 de dezembro de 2003, conforme alterada (“</w:t>
      </w:r>
      <w:r>
        <w:rPr>
          <w:rFonts w:ascii="Times New Roman" w:hAnsi="Times New Roman"/>
          <w:u w:val="single"/>
        </w:rPr>
        <w:t>Instrução CVM 400</w:t>
      </w:r>
      <w:r>
        <w:rPr>
          <w:rFonts w:ascii="Times New Roman" w:hAnsi="Times New Roman"/>
        </w:rPr>
        <w:t>”) e do artigo 5-A da Instrução CVM 476, desde que haja colocação de uma quantidade mínima de 300.000.000 (trezentas milhões) de Debêntures, sendo que as Debêntures que não forem colocadas no âmbito da Oferta serão canceladas pela Emissora (“</w:t>
      </w:r>
      <w:r>
        <w:rPr>
          <w:rFonts w:ascii="Times New Roman" w:hAnsi="Times New Roman"/>
          <w:u w:val="single"/>
        </w:rPr>
        <w:t>Montante Mínimo</w:t>
      </w:r>
      <w:r>
        <w:rPr>
          <w:rFonts w:ascii="Times New Roman" w:hAnsi="Times New Roman"/>
        </w:rPr>
        <w:t xml:space="preserve">”). Uma vez atingido o Montante Mínimo, a Emissora, de comum acordo com o Coordenador, poderá encerrar a Oferta, de forma a definir como Valor Total da Emissão o Montante Mínimo. Eventual saldo de Debêntures não colocado no âmbito da Oferta será cancelado pela Emissora por meio de aditamento a esta Escritura, sem necessidade de nova aprovação societária pela Emissora ou de realização de Assembleia Geral de Debenturistas. </w:t>
      </w:r>
    </w:p>
    <w:p>
      <w:pPr>
        <w:tabs>
          <w:tab w:val="left" w:pos="993"/>
        </w:tabs>
        <w:spacing w:line="312" w:lineRule="auto"/>
        <w:rPr>
          <w:rFonts w:ascii="Times New Roman" w:hAnsi="Times New Roman"/>
          <w:i/>
        </w:rPr>
      </w:pPr>
    </w:p>
    <w:p>
      <w:pPr>
        <w:tabs>
          <w:tab w:val="left" w:pos="993"/>
        </w:tabs>
        <w:spacing w:line="312" w:lineRule="auto"/>
        <w:rPr>
          <w:rFonts w:ascii="Times New Roman" w:hAnsi="Times New Roman"/>
        </w:rPr>
      </w:pPr>
      <w:r>
        <w:rPr>
          <w:rFonts w:ascii="Times New Roman" w:hAnsi="Times New Roman"/>
        </w:rPr>
        <w:t>3.6.9.2.</w:t>
      </w:r>
      <w:r>
        <w:rPr>
          <w:rFonts w:ascii="Times New Roman" w:hAnsi="Times New Roman"/>
        </w:rPr>
        <w:tab/>
      </w:r>
      <w:r>
        <w:rPr>
          <w:rFonts w:ascii="Times New Roman" w:hAnsi="Times New Roman"/>
        </w:rPr>
        <w:tab/>
        <w:t>Caso não haja colocação do Montante Mínimo, a Oferta será cancelada e os investidores que já tiverem subscrito e integralizado Debêntures receberão os montantes utilizados na referida integralização sem juros ou correção monetária, sem reembolso e com dedução dos valores relativos aos tributos incidentes, se existentes, e aos encargos incidentes, se existentes, no prazo de 3 (três) Dias Úteis contados da data em que tenha sido verificado que o Montante Mínimo não foi atingido, observado que, com relação às Debêntures custodiadas na CETIP, o resgate será realizado de acordo com os procedimentos da CETIP. Caso haja colocação igual ou superior ao Montante Mínimo, eventual saldo de Debêntures não colocado no âmbito da Oferta será cancelado pela Emissora por meio de aditamento a esta Escritura, sem a necessidade de realização de deliberação societária da Emissora ou de realização de assembleia geral de Debenturistas.</w:t>
      </w:r>
    </w:p>
    <w:p>
      <w:pPr>
        <w:tabs>
          <w:tab w:val="left" w:pos="993"/>
        </w:tabs>
        <w:spacing w:line="312" w:lineRule="auto"/>
        <w:rPr>
          <w:rFonts w:ascii="Times New Roman" w:hAnsi="Times New Roman"/>
        </w:rPr>
      </w:pPr>
    </w:p>
    <w:p>
      <w:pPr>
        <w:pStyle w:val="Level3"/>
        <w:tabs>
          <w:tab w:val="clear" w:pos="1874"/>
          <w:tab w:val="left" w:pos="0"/>
          <w:tab w:val="left" w:pos="993"/>
        </w:tabs>
        <w:spacing w:after="0" w:line="312" w:lineRule="auto"/>
        <w:ind w:left="0" w:firstLine="0"/>
        <w:outlineLvl w:val="2"/>
        <w:rPr>
          <w:rFonts w:ascii="Times New Roman" w:hAnsi="Times New Roman"/>
          <w:sz w:val="24"/>
          <w:szCs w:val="24"/>
        </w:rPr>
      </w:pPr>
      <w:r>
        <w:rPr>
          <w:rFonts w:ascii="Times New Roman" w:hAnsi="Times New Roman"/>
          <w:sz w:val="24"/>
          <w:szCs w:val="24"/>
        </w:rPr>
        <w:t>3.6.10.</w:t>
      </w:r>
      <w:r>
        <w:rPr>
          <w:rFonts w:ascii="Times New Roman" w:hAnsi="Times New Roman"/>
          <w:sz w:val="24"/>
          <w:szCs w:val="24"/>
        </w:rPr>
        <w:tab/>
      </w:r>
      <w:r>
        <w:rPr>
          <w:rFonts w:ascii="Times New Roman" w:hAnsi="Times New Roman"/>
          <w:sz w:val="24"/>
          <w:szCs w:val="24"/>
        </w:rPr>
        <w:tab/>
        <w:t>Tendo em vista que a distribuição poderá ser parcial, nos termos do artigo 31 da Instrução CVM 400, o Investidor Profissional poderá, no ato da aceitação à Oferta, condicionar sua adesão a que haja distribuição:</w:t>
      </w:r>
    </w:p>
    <w:p>
      <w:pPr>
        <w:pStyle w:val="Level3"/>
        <w:tabs>
          <w:tab w:val="clear" w:pos="1874"/>
          <w:tab w:val="left" w:pos="0"/>
          <w:tab w:val="left" w:pos="993"/>
        </w:tabs>
        <w:spacing w:after="0" w:line="312" w:lineRule="auto"/>
        <w:ind w:left="0" w:firstLine="0"/>
        <w:outlineLvl w:val="2"/>
        <w:rPr>
          <w:rFonts w:ascii="Times New Roman" w:hAnsi="Times New Roman"/>
          <w:sz w:val="24"/>
          <w:szCs w:val="24"/>
        </w:rPr>
      </w:pPr>
    </w:p>
    <w:p>
      <w:pPr>
        <w:pStyle w:val="Level4"/>
        <w:numPr>
          <w:ilvl w:val="3"/>
          <w:numId w:val="29"/>
        </w:numPr>
        <w:tabs>
          <w:tab w:val="clear" w:pos="2041"/>
        </w:tabs>
        <w:spacing w:after="0" w:line="312" w:lineRule="auto"/>
        <w:ind w:left="709"/>
        <w:outlineLvl w:val="3"/>
        <w:rPr>
          <w:rFonts w:ascii="Times New Roman" w:hAnsi="Times New Roman"/>
          <w:sz w:val="24"/>
        </w:rPr>
      </w:pPr>
      <w:r>
        <w:rPr>
          <w:rFonts w:ascii="Times New Roman" w:hAnsi="Times New Roman"/>
          <w:sz w:val="24"/>
        </w:rPr>
        <w:t xml:space="preserve">da totalidade das Debêntures objeto da Oferta, sendo que, se tal condição não se implementar e se o investidor já tiver efetuado o pagamento do preço de subscrição, as Debêntures deverão ser resgatadas pela Emissora, sem reembolso e com dedução dos valores relativos aos tributos incidentes, se existentes, e aos encargos incidentes, </w:t>
      </w:r>
      <w:r>
        <w:rPr>
          <w:rFonts w:ascii="Times New Roman" w:hAnsi="Times New Roman"/>
          <w:sz w:val="24"/>
        </w:rPr>
        <w:lastRenderedPageBreak/>
        <w:t>se existentes, no prazo de 3 (três) Dias Úteis contados da data em que tenha sido verificado o não implemento da condição, observado que, com relação às Debêntures custodiadas eletronicamente na CETIP, tal procedimento será realizado de acordo com os procedimentos da CETIP; ou</w:t>
      </w:r>
    </w:p>
    <w:p>
      <w:pPr>
        <w:pStyle w:val="Level4"/>
        <w:tabs>
          <w:tab w:val="clear" w:pos="2722"/>
        </w:tabs>
        <w:spacing w:after="0" w:line="312" w:lineRule="auto"/>
        <w:ind w:left="709" w:firstLine="0"/>
        <w:outlineLvl w:val="3"/>
        <w:rPr>
          <w:rFonts w:ascii="Times New Roman" w:hAnsi="Times New Roman"/>
          <w:sz w:val="24"/>
        </w:rPr>
      </w:pPr>
    </w:p>
    <w:p>
      <w:pPr>
        <w:pStyle w:val="Level4"/>
        <w:numPr>
          <w:ilvl w:val="3"/>
          <w:numId w:val="29"/>
        </w:numPr>
        <w:tabs>
          <w:tab w:val="clear" w:pos="2041"/>
        </w:tabs>
        <w:spacing w:after="0" w:line="312" w:lineRule="auto"/>
        <w:ind w:left="709"/>
        <w:outlineLvl w:val="3"/>
        <w:rPr>
          <w:rFonts w:ascii="Times New Roman" w:hAnsi="Times New Roman"/>
          <w:sz w:val="24"/>
        </w:rPr>
      </w:pPr>
      <w:r>
        <w:rPr>
          <w:rFonts w:ascii="Times New Roman" w:hAnsi="Times New Roman"/>
          <w:sz w:val="24"/>
        </w:rPr>
        <w:t>de uma proporção ou quantidade mínima de Debêntures originalmente objeto da Oferta, definida conforme critério do próprio investidor, mas que não poderá ser inferior ao Montante Mínimo, podendo o Investidor Profissional, no momento da aceitação, indicar se, implementando-se a condição prevista, pretende permanecer com a totalidade das Debêntures subscritas e integralizadas por tal Investidor Profissional ou quantidade equivalente à proporção entre a quantidade de Debêntures efetivamente distribuída e a quantidade de Debêntures originalmente objeto da Oferta, presumindo-se, na falta da manifestação, o interesse do Investidor Profissional em permanecer com a totalidade das Debêntures subscritas e integralizadas por tal Investidor Profissional. Se o Investidor Profissional tiver indicado proporção ou quantidade mínima e tal condição não se implementar, as Debêntures deverão ser resgatadas pela Emissora, sem reembolso e com dedução dos valores relativos aos tributos incidentes, se existentes, e aos encargos incidentes, se existentes, no prazo de 3 (três) Dias Úteis contados da data em que tenha sido verificado o não implemento da condição, observado que, com relação às Debêntures custodiadas eletronicamente na CETIP, tal procedimento será realizado de acordo com os procedimentos da CETIP.</w:t>
      </w:r>
    </w:p>
    <w:p>
      <w:pPr>
        <w:pStyle w:val="Level4"/>
        <w:tabs>
          <w:tab w:val="clear" w:pos="2722"/>
        </w:tabs>
        <w:spacing w:after="0" w:line="312" w:lineRule="auto"/>
        <w:ind w:left="709" w:firstLine="0"/>
        <w:outlineLvl w:val="3"/>
        <w:rPr>
          <w:rFonts w:ascii="Times New Roman" w:hAnsi="Times New Roman"/>
          <w:sz w:val="24"/>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Banco Liquidante e Escriturador</w:t>
      </w:r>
    </w:p>
    <w:p>
      <w:pPr>
        <w:pStyle w:val="PargrafodaLista"/>
        <w:keepNext/>
        <w:spacing w:line="312" w:lineRule="auto"/>
        <w:ind w:left="851"/>
        <w:contextualSpacing w:val="0"/>
        <w:rPr>
          <w:rFonts w:ascii="Times New Roman" w:hAnsi="Times New Roman"/>
          <w:b/>
        </w:rPr>
      </w:pPr>
    </w:p>
    <w:p>
      <w:pPr>
        <w:tabs>
          <w:tab w:val="left" w:pos="993"/>
        </w:tabs>
        <w:spacing w:line="312" w:lineRule="auto"/>
        <w:rPr>
          <w:rFonts w:ascii="Times New Roman" w:hAnsi="Times New Roman"/>
        </w:rPr>
      </w:pPr>
      <w:r>
        <w:rPr>
          <w:rFonts w:ascii="Times New Roman" w:hAnsi="Times New Roman"/>
        </w:rPr>
        <w:t>3.7.1.</w:t>
      </w:r>
      <w:r>
        <w:rPr>
          <w:rFonts w:ascii="Times New Roman" w:hAnsi="Times New Roman"/>
        </w:rPr>
        <w:tab/>
      </w:r>
      <w:r>
        <w:rPr>
          <w:rFonts w:ascii="Times New Roman" w:hAnsi="Times New Roman"/>
        </w:rPr>
        <w:tab/>
      </w:r>
      <w:bookmarkStart w:id="1" w:name="_DV_C13"/>
      <w:r>
        <w:rPr>
          <w:rFonts w:ascii="Times New Roman" w:hAnsi="Times New Roman"/>
        </w:rPr>
        <w:t>O banco liquidante e instituição prestadora de serviços de escrituração das Debêntures será o Banco Bradesco S.A., instituição financeira com sede na Cidade de Osasco, Estado de São Paulo, no Núcleo Cidade de Deus s/n°., Vila Yara, inscrita no CNPJ/MF sob o nº 60.746.948/0001-12 (“</w:t>
      </w:r>
      <w:r>
        <w:rPr>
          <w:rFonts w:ascii="Times New Roman" w:hAnsi="Times New Roman"/>
          <w:u w:val="single"/>
        </w:rPr>
        <w:t>Banco Liquidante</w:t>
      </w:r>
      <w:r>
        <w:rPr>
          <w:rFonts w:ascii="Times New Roman" w:hAnsi="Times New Roman"/>
        </w:rPr>
        <w:t>” ou “</w:t>
      </w:r>
      <w:r>
        <w:rPr>
          <w:rFonts w:ascii="Times New Roman" w:hAnsi="Times New Roman"/>
          <w:u w:val="single"/>
        </w:rPr>
        <w:t>Escriturador</w:t>
      </w:r>
      <w:r>
        <w:rPr>
          <w:rFonts w:ascii="Times New Roman" w:hAnsi="Times New Roman"/>
        </w:rPr>
        <w:t>”, conforme o caso).</w:t>
      </w:r>
      <w:bookmarkEnd w:id="1"/>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3.7.2</w:t>
      </w:r>
      <w:r>
        <w:rPr>
          <w:rFonts w:ascii="Times New Roman" w:hAnsi="Times New Roman"/>
        </w:rPr>
        <w:tab/>
      </w:r>
      <w:r>
        <w:rPr>
          <w:rFonts w:ascii="Times New Roman" w:hAnsi="Times New Roman"/>
        </w:rPr>
        <w:tab/>
        <w:t>O Escriturador será responsável por efetuar a escrituração das Debêntures, entre outras atribuições descritas no Manual de Normas da CETIP.</w:t>
      </w:r>
    </w:p>
    <w:p>
      <w:pPr>
        <w:tabs>
          <w:tab w:val="left" w:pos="993"/>
        </w:tabs>
        <w:spacing w:line="312" w:lineRule="auto"/>
        <w:rPr>
          <w:rFonts w:ascii="Times New Roman" w:hAnsi="Times New Roman"/>
        </w:rPr>
      </w:pPr>
    </w:p>
    <w:p>
      <w:pPr>
        <w:pStyle w:val="PargrafodaLista"/>
        <w:keepNext/>
        <w:numPr>
          <w:ilvl w:val="0"/>
          <w:numId w:val="7"/>
        </w:numPr>
        <w:spacing w:line="312" w:lineRule="auto"/>
        <w:ind w:left="851" w:hanging="851"/>
        <w:contextualSpacing w:val="0"/>
        <w:rPr>
          <w:rFonts w:ascii="Times New Roman" w:hAnsi="Times New Roman"/>
          <w:b/>
        </w:rPr>
      </w:pPr>
      <w:r>
        <w:rPr>
          <w:rFonts w:ascii="Times New Roman" w:hAnsi="Times New Roman"/>
          <w:b/>
        </w:rPr>
        <w:tab/>
        <w:t>Destinação dos Recursos</w:t>
      </w:r>
    </w:p>
    <w:p>
      <w:pPr>
        <w:pStyle w:val="PargrafodaLista"/>
        <w:keepNext/>
        <w:spacing w:line="312" w:lineRule="auto"/>
        <w:ind w:left="851"/>
        <w:contextualSpacing w:val="0"/>
        <w:rPr>
          <w:rFonts w:ascii="Times New Roman" w:hAnsi="Times New Roman"/>
          <w:b/>
        </w:rPr>
      </w:pPr>
    </w:p>
    <w:p>
      <w:pPr>
        <w:spacing w:line="312" w:lineRule="auto"/>
        <w:rPr>
          <w:rFonts w:ascii="Times New Roman" w:hAnsi="Times New Roman"/>
        </w:rPr>
      </w:pPr>
      <w:r>
        <w:rPr>
          <w:rFonts w:ascii="Times New Roman" w:hAnsi="Times New Roman"/>
        </w:rPr>
        <w:t>3.8.1.</w:t>
      </w:r>
      <w:r>
        <w:rPr>
          <w:rFonts w:ascii="Times New Roman" w:hAnsi="Times New Roman"/>
        </w:rPr>
        <w:tab/>
      </w:r>
      <w:r>
        <w:rPr>
          <w:rFonts w:ascii="Times New Roman" w:hAnsi="Times New Roman"/>
        </w:rPr>
        <w:tab/>
        <w:t>Os recursos líquidos obtidos pela Emissora por meio da Emissão serão utilizados para (i) o reperfilamento do passivo da Companhia e (ii) o reforço de capital de giro da Emissora, caso haja saldo remanescente.</w:t>
      </w:r>
    </w:p>
    <w:p>
      <w:pPr>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IV</w:t>
      </w:r>
      <w:r>
        <w:rPr>
          <w:rFonts w:ascii="Times New Roman" w:hAnsi="Times New Roman"/>
          <w:b/>
        </w:rPr>
        <w:br/>
        <w:t>CARACTERÍSTICAS GERAIS DAS DEBÊNTURES</w:t>
      </w:r>
    </w:p>
    <w:p>
      <w:pPr>
        <w:keepNext/>
        <w:spacing w:line="312" w:lineRule="auto"/>
        <w:jc w:val="center"/>
        <w:rPr>
          <w:rFonts w:ascii="Times New Roman" w:hAnsi="Times New Roman"/>
          <w:b/>
        </w:rPr>
      </w:pPr>
    </w:p>
    <w:p>
      <w:pPr>
        <w:tabs>
          <w:tab w:val="left" w:pos="709"/>
        </w:tabs>
        <w:spacing w:line="312" w:lineRule="auto"/>
        <w:rPr>
          <w:rFonts w:ascii="Times New Roman" w:hAnsi="Times New Roman"/>
        </w:rPr>
      </w:pPr>
      <w:r>
        <w:rPr>
          <w:rFonts w:ascii="Times New Roman" w:hAnsi="Times New Roman"/>
          <w:b/>
        </w:rPr>
        <w:t>4.1.</w:t>
      </w:r>
      <w:r>
        <w:rPr>
          <w:rFonts w:ascii="Times New Roman" w:hAnsi="Times New Roman"/>
          <w:b/>
        </w:rPr>
        <w:tab/>
      </w:r>
      <w:r>
        <w:rPr>
          <w:rFonts w:ascii="Times New Roman" w:hAnsi="Times New Roman"/>
          <w:b/>
        </w:rPr>
        <w:tab/>
        <w:t>Data de Emissão:</w:t>
      </w:r>
      <w:r>
        <w:rPr>
          <w:rFonts w:ascii="Times New Roman" w:hAnsi="Times New Roman"/>
        </w:rPr>
        <w:t xml:space="preserve"> Para todos os fins e efeitos legais, a data de emissão das Debêntures será o dia 12 de abril de 2017 (“</w:t>
      </w:r>
      <w:r>
        <w:rPr>
          <w:rFonts w:ascii="Times New Roman" w:hAnsi="Times New Roman"/>
          <w:u w:val="single"/>
        </w:rPr>
        <w:t>Data de Emissão</w:t>
      </w:r>
      <w:r>
        <w:rPr>
          <w:rFonts w:ascii="Times New Roman" w:hAnsi="Times New Roman"/>
        </w:rPr>
        <w:t>”).</w:t>
      </w:r>
    </w:p>
    <w:p>
      <w:pPr>
        <w:tabs>
          <w:tab w:val="left" w:pos="709"/>
        </w:tabs>
        <w:spacing w:line="312" w:lineRule="auto"/>
        <w:rPr>
          <w:rFonts w:ascii="Times New Roman" w:hAnsi="Times New Roman"/>
        </w:rPr>
      </w:pPr>
    </w:p>
    <w:p>
      <w:pPr>
        <w:tabs>
          <w:tab w:val="left" w:pos="709"/>
        </w:tabs>
        <w:spacing w:line="312" w:lineRule="auto"/>
        <w:rPr>
          <w:rFonts w:ascii="Times New Roman" w:hAnsi="Times New Roman"/>
        </w:rPr>
      </w:pPr>
      <w:r>
        <w:rPr>
          <w:rFonts w:ascii="Times New Roman" w:hAnsi="Times New Roman"/>
          <w:b/>
        </w:rPr>
        <w:t>4.2.</w:t>
      </w:r>
      <w:r>
        <w:rPr>
          <w:rFonts w:ascii="Times New Roman" w:hAnsi="Times New Roman"/>
          <w:b/>
        </w:rPr>
        <w:tab/>
      </w:r>
      <w:r>
        <w:rPr>
          <w:rFonts w:ascii="Times New Roman" w:hAnsi="Times New Roman"/>
          <w:b/>
        </w:rPr>
        <w:tab/>
        <w:t>Forma, Tipo e Comprovação de Titularidade</w:t>
      </w:r>
      <w:r>
        <w:rPr>
          <w:rFonts w:ascii="Times New Roman" w:hAnsi="Times New Roman"/>
        </w:rPr>
        <w:t>: As Debêntures serão emitidas sob a forma nominativa e escritural, sem emissão de cautelas ou certificados, sendo que, para todos os fins de direito, a titularidade das Debêntures será comprovada pelo extrato das Debêntures emitido pelo Escriturador e, adicionalmente, com relação às Debêntures que estiverem custodiadas eletronicamente na CETIP, conforme o caso, será expedido por esta extrato em nome do Debenturista, que servirá como comprovante de titularidade de tais Debêntures.</w:t>
      </w:r>
    </w:p>
    <w:p>
      <w:pPr>
        <w:tabs>
          <w:tab w:val="left" w:pos="709"/>
        </w:tabs>
        <w:spacing w:line="312" w:lineRule="auto"/>
        <w:rPr>
          <w:rFonts w:ascii="Times New Roman" w:hAnsi="Times New Roman"/>
        </w:rPr>
      </w:pPr>
    </w:p>
    <w:p>
      <w:pPr>
        <w:tabs>
          <w:tab w:val="left" w:pos="709"/>
        </w:tabs>
        <w:spacing w:line="312" w:lineRule="auto"/>
        <w:rPr>
          <w:rFonts w:ascii="Times New Roman" w:hAnsi="Times New Roman"/>
        </w:rPr>
      </w:pPr>
      <w:r>
        <w:rPr>
          <w:rFonts w:ascii="Times New Roman" w:hAnsi="Times New Roman"/>
          <w:b/>
        </w:rPr>
        <w:t>4.3.</w:t>
      </w:r>
      <w:r>
        <w:rPr>
          <w:rFonts w:ascii="Times New Roman" w:hAnsi="Times New Roman"/>
          <w:b/>
        </w:rPr>
        <w:tab/>
      </w:r>
      <w:r>
        <w:rPr>
          <w:rFonts w:ascii="Times New Roman" w:hAnsi="Times New Roman"/>
          <w:b/>
        </w:rPr>
        <w:tab/>
        <w:t>Conversibilidade</w:t>
      </w:r>
      <w:r>
        <w:rPr>
          <w:rFonts w:ascii="Times New Roman" w:hAnsi="Times New Roman"/>
        </w:rPr>
        <w:t>: As Debêntures serão simples, ou seja, não conversíveis em ações de emissão da Emissora.</w:t>
      </w:r>
    </w:p>
    <w:p>
      <w:pPr>
        <w:tabs>
          <w:tab w:val="left" w:pos="709"/>
        </w:tabs>
        <w:spacing w:line="312" w:lineRule="auto"/>
        <w:rPr>
          <w:rFonts w:ascii="Times New Roman" w:hAnsi="Times New Roman"/>
        </w:rPr>
      </w:pPr>
    </w:p>
    <w:p>
      <w:pPr>
        <w:tabs>
          <w:tab w:val="left" w:pos="709"/>
        </w:tabs>
        <w:spacing w:line="312" w:lineRule="auto"/>
        <w:rPr>
          <w:rFonts w:ascii="Times New Roman" w:hAnsi="Times New Roman"/>
        </w:rPr>
      </w:pPr>
      <w:r>
        <w:rPr>
          <w:rFonts w:ascii="Times New Roman" w:hAnsi="Times New Roman"/>
          <w:b/>
        </w:rPr>
        <w:t>4.4.</w:t>
      </w:r>
      <w:r>
        <w:rPr>
          <w:rFonts w:ascii="Times New Roman" w:hAnsi="Times New Roman"/>
          <w:b/>
        </w:rPr>
        <w:tab/>
      </w:r>
      <w:r>
        <w:rPr>
          <w:rFonts w:ascii="Times New Roman" w:hAnsi="Times New Roman"/>
          <w:b/>
        </w:rPr>
        <w:tab/>
        <w:t>Espécie:</w:t>
      </w:r>
      <w:r>
        <w:rPr>
          <w:rFonts w:ascii="Times New Roman" w:hAnsi="Times New Roman"/>
        </w:rPr>
        <w:t xml:space="preserve"> As Debêntures serão da espécie com garantia real.</w:t>
      </w:r>
    </w:p>
    <w:p>
      <w:pPr>
        <w:tabs>
          <w:tab w:val="left" w:pos="709"/>
        </w:tabs>
        <w:spacing w:line="312" w:lineRule="auto"/>
        <w:rPr>
          <w:rFonts w:ascii="Times New Roman" w:hAnsi="Times New Roman"/>
        </w:rPr>
      </w:pPr>
    </w:p>
    <w:p>
      <w:pPr>
        <w:tabs>
          <w:tab w:val="left" w:pos="709"/>
        </w:tabs>
        <w:spacing w:line="312" w:lineRule="auto"/>
        <w:rPr>
          <w:rFonts w:ascii="Times New Roman" w:hAnsi="Times New Roman"/>
        </w:rPr>
      </w:pPr>
      <w:r>
        <w:rPr>
          <w:rFonts w:ascii="Times New Roman" w:hAnsi="Times New Roman"/>
          <w:b/>
        </w:rPr>
        <w:t>4.5.</w:t>
      </w:r>
      <w:r>
        <w:rPr>
          <w:rFonts w:ascii="Times New Roman" w:hAnsi="Times New Roman"/>
          <w:b/>
        </w:rPr>
        <w:tab/>
      </w:r>
      <w:r>
        <w:rPr>
          <w:rFonts w:ascii="Times New Roman" w:hAnsi="Times New Roman"/>
          <w:b/>
        </w:rPr>
        <w:tab/>
        <w:t>Prazo e Data de Vencimento:</w:t>
      </w:r>
      <w:r>
        <w:rPr>
          <w:rFonts w:ascii="Times New Roman" w:hAnsi="Times New Roman"/>
        </w:rPr>
        <w:t xml:space="preserve"> Observado o disposto nesta Escritura, as Debêntures terão prazo de vencimento de 4 (quatro) anos contados da Data de Emissão, vencendo-se, portanto, em 12 de abril de 2021 (“</w:t>
      </w:r>
      <w:r>
        <w:rPr>
          <w:rFonts w:ascii="Times New Roman" w:hAnsi="Times New Roman"/>
          <w:u w:val="single"/>
        </w:rPr>
        <w:t>Data de Vencimento</w:t>
      </w:r>
      <w:r>
        <w:rPr>
          <w:rFonts w:ascii="Times New Roman" w:hAnsi="Times New Roman"/>
        </w:rPr>
        <w:t>”).</w:t>
      </w:r>
    </w:p>
    <w:p>
      <w:pPr>
        <w:tabs>
          <w:tab w:val="left" w:pos="709"/>
        </w:tabs>
        <w:spacing w:line="312" w:lineRule="auto"/>
        <w:rPr>
          <w:rFonts w:ascii="Times New Roman" w:hAnsi="Times New Roman"/>
        </w:rPr>
      </w:pPr>
    </w:p>
    <w:p>
      <w:pPr>
        <w:tabs>
          <w:tab w:val="left" w:pos="709"/>
        </w:tabs>
        <w:spacing w:line="312" w:lineRule="auto"/>
        <w:rPr>
          <w:rFonts w:ascii="Times New Roman" w:hAnsi="Times New Roman"/>
        </w:rPr>
      </w:pPr>
      <w:r>
        <w:rPr>
          <w:rFonts w:ascii="Times New Roman" w:hAnsi="Times New Roman"/>
          <w:b/>
        </w:rPr>
        <w:t>4.6.</w:t>
      </w:r>
      <w:r>
        <w:rPr>
          <w:rFonts w:ascii="Times New Roman" w:hAnsi="Times New Roman"/>
          <w:b/>
        </w:rPr>
        <w:tab/>
      </w:r>
      <w:r>
        <w:rPr>
          <w:rFonts w:ascii="Times New Roman" w:hAnsi="Times New Roman"/>
          <w:b/>
        </w:rPr>
        <w:tab/>
        <w:t>Valor Nominal Unitário</w:t>
      </w:r>
      <w:r>
        <w:rPr>
          <w:rFonts w:ascii="Times New Roman" w:hAnsi="Times New Roman"/>
        </w:rPr>
        <w:t>: O valor nominal unitário das Debêntures será de R$1,00 (um real), na Data de Emissão (“</w:t>
      </w:r>
      <w:r>
        <w:rPr>
          <w:rFonts w:ascii="Times New Roman" w:hAnsi="Times New Roman"/>
          <w:u w:val="single"/>
        </w:rPr>
        <w:t>Valor Nominal Unitário</w:t>
      </w:r>
      <w:r>
        <w:rPr>
          <w:rFonts w:ascii="Times New Roman" w:hAnsi="Times New Roman"/>
        </w:rPr>
        <w:t>”).</w:t>
      </w:r>
    </w:p>
    <w:p>
      <w:pPr>
        <w:tabs>
          <w:tab w:val="left" w:pos="709"/>
        </w:tabs>
        <w:spacing w:line="312" w:lineRule="auto"/>
        <w:rPr>
          <w:rFonts w:ascii="Times New Roman" w:hAnsi="Times New Roman"/>
        </w:rPr>
      </w:pPr>
    </w:p>
    <w:p>
      <w:pPr>
        <w:tabs>
          <w:tab w:val="left" w:pos="709"/>
        </w:tabs>
        <w:spacing w:line="312" w:lineRule="auto"/>
        <w:rPr>
          <w:rFonts w:ascii="Times New Roman" w:hAnsi="Times New Roman"/>
        </w:rPr>
      </w:pPr>
      <w:r>
        <w:rPr>
          <w:rFonts w:ascii="Times New Roman" w:hAnsi="Times New Roman"/>
          <w:b/>
        </w:rPr>
        <w:lastRenderedPageBreak/>
        <w:t>4.7.</w:t>
      </w:r>
      <w:r>
        <w:rPr>
          <w:rFonts w:ascii="Times New Roman" w:hAnsi="Times New Roman"/>
          <w:b/>
        </w:rPr>
        <w:tab/>
      </w:r>
      <w:r>
        <w:rPr>
          <w:rFonts w:ascii="Times New Roman" w:hAnsi="Times New Roman"/>
          <w:b/>
        </w:rPr>
        <w:tab/>
        <w:t>Quantidade de Debêntures Emitidas:</w:t>
      </w:r>
      <w:r>
        <w:rPr>
          <w:rFonts w:ascii="Times New Roman" w:hAnsi="Times New Roman"/>
        </w:rPr>
        <w:t xml:space="preserve"> Serão emitidas até 700.000.000 (setecentas milhões) de Debêntures, observada a possibilidade de distribuição parcial, nos termos da Cláusula 3.6.9 acima.</w:t>
      </w:r>
    </w:p>
    <w:p>
      <w:pPr>
        <w:tabs>
          <w:tab w:val="left" w:pos="709"/>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b/>
        </w:rPr>
        <w:t>4.8.</w:t>
      </w:r>
      <w:r>
        <w:rPr>
          <w:rFonts w:ascii="Times New Roman" w:hAnsi="Times New Roman"/>
          <w:b/>
        </w:rPr>
        <w:tab/>
      </w:r>
      <w:r>
        <w:rPr>
          <w:rFonts w:ascii="Times New Roman" w:hAnsi="Times New Roman"/>
          <w:b/>
        </w:rPr>
        <w:tab/>
        <w:t>Preço de Subscrição e Forma de Integralização</w:t>
      </w:r>
      <w:r>
        <w:rPr>
          <w:rFonts w:ascii="Times New Roman" w:hAnsi="Times New Roman"/>
        </w:rPr>
        <w:t>: Desde que observada a Condição de Integralização estabelecida no item 4.8.1. abaixo, na data da primeira subscrição e integralização, as Debêntures serão subscritas e integralizadas à vista, pelo seu Valor Nominal Unitário, de acordo com as normas de liquidação aplicáveis à CETIP (“</w:t>
      </w:r>
      <w:r>
        <w:rPr>
          <w:rFonts w:ascii="Times New Roman" w:hAnsi="Times New Roman"/>
          <w:u w:val="single"/>
        </w:rPr>
        <w:t>Data de Integralização</w:t>
      </w:r>
      <w:r>
        <w:rPr>
          <w:rFonts w:ascii="Times New Roman" w:hAnsi="Times New Roman"/>
        </w:rPr>
        <w:t xml:space="preserve">”), (i) em moeda corrente nacional ou (ii) mediante a dação em pagamento de debêntures integrantes da 9ª (nona) e/ou da 15ª (décima quinta) emissão de debêntures da Emissora, mediante utilização do seguinte fator de conversão: cada debênture integrante da 9ª (nona) ou da 15ª (décima quinta) emissão de debêntures da Companhia, equivalerá a até 10.000 (dez mil) Debêntures, sendo certo que a quantidade final será definida no âmbito do Procedimento de </w:t>
      </w:r>
      <w:r>
        <w:rPr>
          <w:rFonts w:ascii="Times New Roman" w:hAnsi="Times New Roman"/>
          <w:i/>
        </w:rPr>
        <w:t>Bookbuilding</w:t>
      </w:r>
      <w:r>
        <w:rPr>
          <w:rFonts w:ascii="Times New Roman" w:hAnsi="Times New Roman"/>
        </w:rPr>
        <w:t xml:space="preserve"> e ratificada por meio de aditamento a esta Escritura. Caso qualquer Debênture venha a ser integralizada em data diversa e posterior à Data de Integralização, a integralização deverá considerar o seu Valor Nominal Unitário acrescido da Remuneração, calculados </w:t>
      </w:r>
      <w:r>
        <w:rPr>
          <w:rFonts w:ascii="Times New Roman" w:hAnsi="Times New Roman"/>
          <w:i/>
        </w:rPr>
        <w:t>pro rata temporis</w:t>
      </w:r>
      <w:r>
        <w:rPr>
          <w:rFonts w:ascii="Times New Roman" w:hAnsi="Times New Roman"/>
        </w:rPr>
        <w:t xml:space="preserve"> desde a Data de Integralização até a data de sua efetiva integralização.</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4.8.1</w:t>
      </w:r>
      <w:r>
        <w:rPr>
          <w:rFonts w:ascii="Times New Roman" w:hAnsi="Times New Roman"/>
        </w:rPr>
        <w:tab/>
      </w:r>
      <w:r>
        <w:rPr>
          <w:rFonts w:ascii="Times New Roman" w:hAnsi="Times New Roman"/>
        </w:rPr>
        <w:tab/>
        <w:t>As Debêntures serão subscritas e integralizadas em cada Data de Integralização, nos termos do item 4.8 acima, desde que a Emissora comprove, até a primeira Data de Integralização, o cumprimento da Condição Suspensiva (“</w:t>
      </w:r>
      <w:r>
        <w:rPr>
          <w:rFonts w:ascii="Times New Roman" w:hAnsi="Times New Roman"/>
          <w:u w:val="single"/>
        </w:rPr>
        <w:t>Condição de Integralização</w:t>
      </w:r>
      <w:r>
        <w:rPr>
          <w:rFonts w:ascii="Times New Roman" w:hAnsi="Times New Roman"/>
        </w:rPr>
        <w:t>”).</w:t>
      </w:r>
    </w:p>
    <w:p>
      <w:pPr>
        <w:tabs>
          <w:tab w:val="left" w:pos="993"/>
        </w:tabs>
        <w:spacing w:line="312" w:lineRule="auto"/>
        <w:rPr>
          <w:rFonts w:ascii="Times New Roman" w:hAnsi="Times New Roman"/>
        </w:rPr>
      </w:pPr>
    </w:p>
    <w:p>
      <w:pPr>
        <w:tabs>
          <w:tab w:val="left" w:pos="993"/>
        </w:tabs>
        <w:spacing w:line="312" w:lineRule="auto"/>
        <w:rPr>
          <w:rFonts w:ascii="Times New Roman" w:hAnsi="Times New Roman"/>
        </w:rPr>
      </w:pPr>
      <w:r>
        <w:rPr>
          <w:rFonts w:ascii="Times New Roman" w:hAnsi="Times New Roman"/>
        </w:rPr>
        <w:t>4.8.2</w:t>
      </w:r>
      <w:r>
        <w:rPr>
          <w:rFonts w:ascii="Times New Roman" w:hAnsi="Times New Roman"/>
        </w:rPr>
        <w:tab/>
      </w:r>
      <w:r>
        <w:rPr>
          <w:rFonts w:ascii="Times New Roman" w:hAnsi="Times New Roman"/>
        </w:rPr>
        <w:tab/>
        <w:t xml:space="preserve">Na hipótese de a Emissora não comprovar o atendimento à Condição de Integralização até o final do prazo de encerramento da Oferta, as Debêntures serão canceladas pela Emissora. </w:t>
      </w:r>
    </w:p>
    <w:p>
      <w:pPr>
        <w:tabs>
          <w:tab w:val="left" w:pos="993"/>
        </w:tabs>
        <w:spacing w:line="312" w:lineRule="auto"/>
        <w:rPr>
          <w:rFonts w:ascii="Times New Roman" w:hAnsi="Times New Roman"/>
        </w:rPr>
      </w:pPr>
    </w:p>
    <w:p>
      <w:pPr>
        <w:keepNext/>
        <w:tabs>
          <w:tab w:val="left" w:pos="709"/>
        </w:tabs>
        <w:spacing w:line="312" w:lineRule="auto"/>
        <w:rPr>
          <w:rFonts w:ascii="Times New Roman" w:hAnsi="Times New Roman"/>
        </w:rPr>
      </w:pPr>
      <w:r>
        <w:rPr>
          <w:rFonts w:ascii="Times New Roman" w:hAnsi="Times New Roman"/>
          <w:b/>
        </w:rPr>
        <w:t>4.9.</w:t>
      </w:r>
      <w:r>
        <w:rPr>
          <w:rFonts w:ascii="Times New Roman" w:hAnsi="Times New Roman"/>
          <w:b/>
        </w:rPr>
        <w:tab/>
      </w:r>
      <w:r>
        <w:rPr>
          <w:rFonts w:ascii="Times New Roman" w:hAnsi="Times New Roman"/>
          <w:b/>
        </w:rPr>
        <w:tab/>
        <w:t>Atualização Monetária das Debêntures</w:t>
      </w:r>
      <w:r>
        <w:rPr>
          <w:rFonts w:ascii="Times New Roman" w:hAnsi="Times New Roman"/>
        </w:rPr>
        <w:t>: O Valor Nominal Unitário não será atualizado monetariamente.</w:t>
      </w:r>
    </w:p>
    <w:p>
      <w:pPr>
        <w:tabs>
          <w:tab w:val="left" w:pos="993"/>
        </w:tabs>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lastRenderedPageBreak/>
        <w:t>4.10.</w:t>
      </w:r>
      <w:r>
        <w:rPr>
          <w:rFonts w:ascii="Times New Roman" w:hAnsi="Times New Roman"/>
          <w:b/>
        </w:rPr>
        <w:tab/>
      </w:r>
      <w:r>
        <w:rPr>
          <w:rFonts w:ascii="Times New Roman" w:hAnsi="Times New Roman"/>
          <w:b/>
        </w:rPr>
        <w:tab/>
        <w:t>Remuneração</w:t>
      </w:r>
    </w:p>
    <w:p>
      <w:pPr>
        <w:keepNext/>
        <w:spacing w:line="312" w:lineRule="auto"/>
        <w:rPr>
          <w:rFonts w:ascii="Times New Roman" w:hAnsi="Times New Roman"/>
          <w:b/>
          <w:highlight w:val="cyan"/>
        </w:rPr>
      </w:pPr>
    </w:p>
    <w:p>
      <w:pPr>
        <w:tabs>
          <w:tab w:val="left" w:pos="1134"/>
        </w:tabs>
        <w:spacing w:line="312" w:lineRule="auto"/>
        <w:rPr>
          <w:rFonts w:ascii="Times New Roman" w:hAnsi="Times New Roman"/>
        </w:rPr>
      </w:pPr>
      <w:r>
        <w:rPr>
          <w:rFonts w:ascii="Times New Roman" w:hAnsi="Times New Roman"/>
        </w:rPr>
        <w:t>4.10.1.</w:t>
      </w:r>
      <w:r>
        <w:rPr>
          <w:rFonts w:ascii="Times New Roman" w:hAnsi="Times New Roman"/>
        </w:rPr>
        <w:tab/>
      </w:r>
      <w:r>
        <w:rPr>
          <w:rFonts w:ascii="Times New Roman" w:hAnsi="Times New Roman"/>
        </w:rPr>
        <w:tab/>
        <w:t xml:space="preserve">Sobre o Valor Nominal Unitário incidirão juros remuneratórios correspondentes à variação acumulada de um determinado percentual ao ano, base 252 (duzentos e cinquenta e dois) Dias Úteis, a ser definido de acordo com o Procedimento de </w:t>
      </w:r>
      <w:r>
        <w:rPr>
          <w:rFonts w:ascii="Times New Roman" w:hAnsi="Times New Roman"/>
          <w:i/>
        </w:rPr>
        <w:t>Bookbuilding</w:t>
      </w:r>
      <w:r>
        <w:rPr>
          <w:rFonts w:ascii="Times New Roman" w:hAnsi="Times New Roman"/>
        </w:rPr>
        <w:t xml:space="preserve">, e, em qualquer caso, limitado a 125% (cento e vinte e cinco por cento) das taxas médias diárias do DI – Depósito Interfinanceiro de um dia, “over extra-grupo”, expressas na forma percentual ao ano, base 252 (duzentos e cinquenta e dois) Dias Úteis, calculadas e divulgadas diariamente pela CETIP, no informativo diário disponível em sua página na </w:t>
      </w:r>
      <w:r>
        <w:rPr>
          <w:rFonts w:ascii="Times New Roman" w:hAnsi="Times New Roman"/>
          <w:color w:val="000000" w:themeColor="text1"/>
        </w:rPr>
        <w:t>Internet (</w:t>
      </w:r>
      <w:hyperlink r:id="rId9" w:history="1">
        <w:r>
          <w:rPr>
            <w:rStyle w:val="Hyperlink"/>
            <w:rFonts w:ascii="Times New Roman" w:hAnsi="Times New Roman"/>
            <w:color w:val="000000" w:themeColor="text1"/>
          </w:rPr>
          <w:t>http://www.cetip.com.br</w:t>
        </w:r>
      </w:hyperlink>
      <w:r>
        <w:rPr>
          <w:rFonts w:ascii="Times New Roman" w:hAnsi="Times New Roman"/>
          <w:color w:val="000000" w:themeColor="text1"/>
        </w:rPr>
        <w:t>) (“</w:t>
      </w:r>
      <w:r>
        <w:rPr>
          <w:rFonts w:ascii="Times New Roman" w:hAnsi="Times New Roman"/>
          <w:color w:val="000000" w:themeColor="text1"/>
          <w:u w:val="single"/>
        </w:rPr>
        <w:t xml:space="preserve">Taxa </w:t>
      </w:r>
      <w:r>
        <w:rPr>
          <w:rFonts w:ascii="Times New Roman" w:hAnsi="Times New Roman"/>
          <w:u w:val="single"/>
        </w:rPr>
        <w:t>DI</w:t>
      </w:r>
      <w:r>
        <w:rPr>
          <w:rFonts w:ascii="Times New Roman" w:hAnsi="Times New Roman"/>
        </w:rPr>
        <w:t>”) (“</w:t>
      </w:r>
      <w:r>
        <w:rPr>
          <w:rFonts w:ascii="Times New Roman" w:hAnsi="Times New Roman"/>
          <w:u w:val="single"/>
        </w:rPr>
        <w:t>Remuneração</w:t>
      </w:r>
      <w:r>
        <w:rPr>
          <w:rFonts w:ascii="Times New Roman" w:hAnsi="Times New Roman"/>
        </w:rPr>
        <w:t>”). A taxa percentual que remunerará as Debêntures, definida nos termos acima descritos, será ratificada por meio de aditamento a esta Escritura, ficando desde já a Emissora e o Agente Fiduciário autorizados e obrigados a celebrar tal aditamento sem a necessidade de convocação de assembleia.</w:t>
      </w:r>
    </w:p>
    <w:p>
      <w:pPr>
        <w:tabs>
          <w:tab w:val="left" w:pos="1134"/>
        </w:tabs>
        <w:spacing w:line="312" w:lineRule="auto"/>
        <w:rPr>
          <w:rFonts w:ascii="Times New Roman" w:hAnsi="Times New Roman"/>
          <w:highlight w:val="cyan"/>
        </w:rPr>
      </w:pPr>
    </w:p>
    <w:p>
      <w:pPr>
        <w:tabs>
          <w:tab w:val="left" w:pos="1134"/>
        </w:tabs>
        <w:spacing w:line="312" w:lineRule="auto"/>
        <w:rPr>
          <w:rFonts w:ascii="Times New Roman" w:hAnsi="Times New Roman"/>
        </w:rPr>
      </w:pPr>
      <w:r>
        <w:rPr>
          <w:rFonts w:ascii="Times New Roman" w:hAnsi="Times New Roman"/>
        </w:rPr>
        <w:t>4.10.2.</w:t>
      </w:r>
      <w:r>
        <w:rPr>
          <w:rFonts w:ascii="Times New Roman" w:hAnsi="Times New Roman"/>
        </w:rPr>
        <w:tab/>
      </w:r>
      <w:r>
        <w:rPr>
          <w:rFonts w:ascii="Times New Roman" w:hAnsi="Times New Roman"/>
        </w:rPr>
        <w:tab/>
        <w:t xml:space="preserve">A Remuneração será calculada de forma exponencial e cumulativa </w:t>
      </w:r>
      <w:r>
        <w:rPr>
          <w:rFonts w:ascii="Times New Roman" w:hAnsi="Times New Roman"/>
          <w:i/>
        </w:rPr>
        <w:t>pro rata temporis</w:t>
      </w:r>
      <w:r>
        <w:rPr>
          <w:rFonts w:ascii="Times New Roman" w:hAnsi="Times New Roman"/>
        </w:rPr>
        <w:t xml:space="preserve"> por Dias Úteis decorridos, incidentes sobre o Valor Nominal Unitário, desde a Data de Integralização ou da Data de Pagamento da Remuneração (conforme abaixo definido) imediatamente anterior, conforme o caso, até a respectiva data de pagamento. A Remuneração será calculada de acordo com a seguinte fórmula:</w:t>
      </w:r>
    </w:p>
    <w:p>
      <w:pPr>
        <w:tabs>
          <w:tab w:val="left" w:pos="1134"/>
        </w:tabs>
        <w:spacing w:line="312" w:lineRule="auto"/>
        <w:rPr>
          <w:rFonts w:ascii="Times New Roman" w:hAnsi="Times New Roman"/>
          <w:highlight w:val="cyan"/>
        </w:rPr>
      </w:pPr>
    </w:p>
    <w:p>
      <w:pPr>
        <w:spacing w:line="312" w:lineRule="auto"/>
        <w:jc w:val="center"/>
        <w:rPr>
          <w:rFonts w:ascii="Times New Roman" w:hAnsi="Times New Roman"/>
          <w:b/>
        </w:rPr>
      </w:pPr>
      <w:r>
        <w:rPr>
          <w:rFonts w:ascii="Times New Roman" w:hAnsi="Times New Roman"/>
          <w:b/>
        </w:rPr>
        <w:t>J = VNe x (Fator DI – 1)</w:t>
      </w:r>
    </w:p>
    <w:p>
      <w:pPr>
        <w:spacing w:line="312" w:lineRule="auto"/>
        <w:rPr>
          <w:rFonts w:ascii="Times New Roman" w:hAnsi="Times New Roman"/>
        </w:rPr>
      </w:pPr>
      <w:r>
        <w:rPr>
          <w:rFonts w:ascii="Times New Roman" w:hAnsi="Times New Roman"/>
        </w:rPr>
        <w:t>Onde:</w:t>
      </w:r>
    </w:p>
    <w:p>
      <w:pPr>
        <w:spacing w:line="312" w:lineRule="auto"/>
        <w:rPr>
          <w:rFonts w:ascii="Times New Roman" w:hAnsi="Times New Roman"/>
        </w:rPr>
      </w:pPr>
    </w:p>
    <w:p>
      <w:pPr>
        <w:spacing w:line="312" w:lineRule="auto"/>
        <w:ind w:left="1701" w:hanging="1701"/>
        <w:rPr>
          <w:rFonts w:ascii="Times New Roman" w:hAnsi="Times New Roman"/>
        </w:rPr>
      </w:pPr>
      <w:r>
        <w:rPr>
          <w:rFonts w:ascii="Times New Roman" w:hAnsi="Times New Roman"/>
          <w:b/>
        </w:rPr>
        <w:t>J </w:t>
      </w:r>
      <w:r>
        <w:rPr>
          <w:rFonts w:ascii="Times New Roman" w:hAnsi="Times New Roman"/>
        </w:rPr>
        <w:t>=</w:t>
      </w:r>
      <w:r>
        <w:rPr>
          <w:rFonts w:ascii="Times New Roman" w:hAnsi="Times New Roman"/>
        </w:rPr>
        <w:tab/>
        <w:t>valor da Remuneração devida ao final do Período de Capitalização (conforme abaixo definido), calculado com 8 (oito) casas decimais, sem arredondamento;</w:t>
      </w:r>
    </w:p>
    <w:p>
      <w:pPr>
        <w:spacing w:line="312" w:lineRule="auto"/>
        <w:ind w:left="1701" w:hanging="1701"/>
        <w:rPr>
          <w:rFonts w:ascii="Times New Roman" w:hAnsi="Times New Roman"/>
        </w:rPr>
      </w:pPr>
    </w:p>
    <w:p>
      <w:pPr>
        <w:spacing w:line="312" w:lineRule="auto"/>
        <w:ind w:left="1701" w:hanging="1701"/>
        <w:rPr>
          <w:rFonts w:ascii="Times New Roman" w:hAnsi="Times New Roman"/>
        </w:rPr>
      </w:pPr>
      <w:r>
        <w:rPr>
          <w:rFonts w:ascii="Times New Roman" w:hAnsi="Times New Roman"/>
          <w:b/>
        </w:rPr>
        <w:t>VNe</w:t>
      </w:r>
      <w:r>
        <w:rPr>
          <w:rFonts w:ascii="Times New Roman" w:hAnsi="Times New Roman"/>
        </w:rPr>
        <w:t> =</w:t>
      </w:r>
      <w:r>
        <w:rPr>
          <w:rFonts w:ascii="Times New Roman" w:hAnsi="Times New Roman"/>
        </w:rPr>
        <w:tab/>
        <w:t>Valor Nominal Unitário ou saldo do Valor Nominal Unitário, conforme o caso, informado/calculado com 8 (oito) casas decimais, sem arredondamento; e</w:t>
      </w:r>
    </w:p>
    <w:p>
      <w:pPr>
        <w:spacing w:line="312" w:lineRule="auto"/>
        <w:ind w:left="1701" w:hanging="1701"/>
        <w:rPr>
          <w:rFonts w:ascii="Times New Roman" w:hAnsi="Times New Roman"/>
        </w:rPr>
      </w:pPr>
    </w:p>
    <w:p>
      <w:pPr>
        <w:spacing w:line="312" w:lineRule="auto"/>
        <w:ind w:left="1701" w:hanging="1701"/>
        <w:rPr>
          <w:rFonts w:ascii="Times New Roman" w:hAnsi="Times New Roman"/>
        </w:rPr>
      </w:pPr>
      <w:r>
        <w:rPr>
          <w:rFonts w:ascii="Times New Roman" w:hAnsi="Times New Roman"/>
          <w:b/>
        </w:rPr>
        <w:lastRenderedPageBreak/>
        <w:t>Fator DI </w:t>
      </w:r>
      <w:r>
        <w:rPr>
          <w:rFonts w:ascii="Times New Roman" w:hAnsi="Times New Roman"/>
        </w:rPr>
        <w:t>=</w:t>
      </w:r>
      <w:r>
        <w:rPr>
          <w:rFonts w:ascii="Times New Roman" w:hAnsi="Times New Roman"/>
        </w:rPr>
        <w:tab/>
        <w:t>produtório das Taxas DI-Over, com uso de percentual aplicado, da data de início do Período de Capitalização, inclusive, até a data de cálculo, exclusive, calculado com 8 (oito) casas decimais, com arredondamento, apurado da seguinte forma:</w:t>
      </w:r>
    </w:p>
    <w:p>
      <w:pPr>
        <w:spacing w:line="312" w:lineRule="auto"/>
        <w:jc w:val="center"/>
        <w:rPr>
          <w:rFonts w:ascii="Times New Roman" w:hAnsi="Times New Roman"/>
          <w:highlight w:val="cyan"/>
        </w:rPr>
      </w:pPr>
      <w:r>
        <w:rPr>
          <w:noProof/>
          <w:sz w:val="26"/>
          <w:szCs w:val="26"/>
        </w:rPr>
        <w:drawing>
          <wp:inline distT="0" distB="0" distL="0" distR="0">
            <wp:extent cx="2321560" cy="66802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1560" cy="668020"/>
                    </a:xfrm>
                    <a:prstGeom prst="rect">
                      <a:avLst/>
                    </a:prstGeom>
                    <a:noFill/>
                    <a:ln>
                      <a:noFill/>
                    </a:ln>
                  </pic:spPr>
                </pic:pic>
              </a:graphicData>
            </a:graphic>
          </wp:inline>
        </w:drawing>
      </w:r>
    </w:p>
    <w:p>
      <w:pPr>
        <w:spacing w:line="312" w:lineRule="auto"/>
        <w:rPr>
          <w:rFonts w:ascii="Times New Roman" w:hAnsi="Times New Roman"/>
        </w:rPr>
      </w:pPr>
      <w:r>
        <w:rPr>
          <w:rFonts w:ascii="Times New Roman" w:hAnsi="Times New Roman"/>
        </w:rPr>
        <w:t>onde:</w:t>
      </w:r>
    </w:p>
    <w:p>
      <w:pPr>
        <w:spacing w:line="312" w:lineRule="auto"/>
        <w:rPr>
          <w:rFonts w:ascii="Times New Roman" w:hAnsi="Times New Roman"/>
        </w:rPr>
      </w:pPr>
    </w:p>
    <w:p>
      <w:pPr>
        <w:spacing w:line="312" w:lineRule="auto"/>
        <w:ind w:left="1701" w:hanging="1701"/>
        <w:rPr>
          <w:rFonts w:ascii="Times New Roman" w:hAnsi="Times New Roman"/>
        </w:rPr>
      </w:pPr>
      <w:r>
        <w:rPr>
          <w:rFonts w:ascii="Times New Roman" w:hAnsi="Times New Roman"/>
          <w:b/>
        </w:rPr>
        <w:t>n</w:t>
      </w:r>
      <w:r>
        <w:rPr>
          <w:rFonts w:ascii="Times New Roman" w:hAnsi="Times New Roman"/>
        </w:rPr>
        <w:t> =</w:t>
      </w:r>
      <w:r>
        <w:rPr>
          <w:rFonts w:ascii="Times New Roman" w:hAnsi="Times New Roman"/>
        </w:rPr>
        <w:tab/>
        <w:t>número total de Taxas DI-Over, consideradas na atualização do ativo, sendo “n” um número inteiro;</w:t>
      </w:r>
    </w:p>
    <w:p>
      <w:pPr>
        <w:spacing w:line="312" w:lineRule="auto"/>
        <w:ind w:left="1701" w:hanging="1701"/>
        <w:rPr>
          <w:rFonts w:ascii="Times New Roman" w:hAnsi="Times New Roman"/>
        </w:rPr>
      </w:pPr>
    </w:p>
    <w:p>
      <w:pPr>
        <w:spacing w:line="312" w:lineRule="auto"/>
        <w:ind w:left="1701" w:hanging="1701"/>
        <w:rPr>
          <w:rFonts w:ascii="Times New Roman" w:hAnsi="Times New Roman"/>
        </w:rPr>
      </w:pPr>
      <w:r>
        <w:rPr>
          <w:rFonts w:ascii="Times New Roman" w:hAnsi="Times New Roman"/>
          <w:b/>
        </w:rPr>
        <w:t>p</w:t>
      </w:r>
      <w:r>
        <w:rPr>
          <w:rFonts w:ascii="Times New Roman" w:hAnsi="Times New Roman"/>
        </w:rPr>
        <w:t> =</w:t>
      </w:r>
      <w:r>
        <w:rPr>
          <w:rFonts w:ascii="Times New Roman" w:hAnsi="Times New Roman"/>
        </w:rPr>
        <w:tab/>
        <w:t xml:space="preserve">corresponde ao percentual aplicado sobre a Taxa DI, informado com 2 (duas) casas decimais, a ser definido no Procedimento de </w:t>
      </w:r>
      <w:r>
        <w:rPr>
          <w:rFonts w:ascii="Times New Roman" w:hAnsi="Times New Roman"/>
          <w:i/>
        </w:rPr>
        <w:t>Bookbuilding</w:t>
      </w:r>
      <w:r>
        <w:rPr>
          <w:rFonts w:ascii="Times New Roman" w:hAnsi="Times New Roman"/>
        </w:rPr>
        <w:t>;</w:t>
      </w:r>
    </w:p>
    <w:p>
      <w:pPr>
        <w:spacing w:line="312" w:lineRule="auto"/>
        <w:ind w:left="1701" w:hanging="1701"/>
        <w:rPr>
          <w:rFonts w:ascii="Times New Roman" w:hAnsi="Times New Roman"/>
        </w:rPr>
      </w:pPr>
    </w:p>
    <w:p>
      <w:pPr>
        <w:spacing w:line="312" w:lineRule="auto"/>
        <w:ind w:left="1701" w:hanging="1701"/>
        <w:rPr>
          <w:rFonts w:ascii="Times New Roman" w:hAnsi="Times New Roman"/>
        </w:rPr>
      </w:pPr>
      <w:r>
        <w:rPr>
          <w:rFonts w:ascii="Times New Roman" w:hAnsi="Times New Roman"/>
          <w:b/>
        </w:rPr>
        <w:t>TDIk</w:t>
      </w:r>
      <w:r>
        <w:rPr>
          <w:rFonts w:ascii="Times New Roman" w:hAnsi="Times New Roman"/>
        </w:rPr>
        <w:t> =</w:t>
      </w:r>
      <w:r>
        <w:rPr>
          <w:rFonts w:ascii="Times New Roman" w:hAnsi="Times New Roman"/>
        </w:rPr>
        <w:tab/>
        <w:t>Taxa DI-Over, expressa ao dia, calculada com 8 (oito) casas decimais com arredondamento, apurada da seguinte forma:</w:t>
      </w:r>
    </w:p>
    <w:p>
      <w:pPr>
        <w:spacing w:line="312" w:lineRule="auto"/>
        <w:rPr>
          <w:rFonts w:ascii="Times New Roman" w:hAnsi="Times New Roman"/>
          <w:highlight w:val="cyan"/>
        </w:rPr>
      </w:pPr>
      <w:r>
        <w:rPr>
          <w:rFonts w:ascii="Times New Roman" w:hAnsi="Times New Roman"/>
          <w:noProof/>
          <w:highlight w:val="cyan"/>
        </w:rPr>
        <mc:AlternateContent>
          <mc:Choice Requires="wps">
            <w:drawing>
              <wp:anchor distT="0" distB="0" distL="114300" distR="114300" simplePos="0" relativeHeight="251673600" behindDoc="0" locked="0" layoutInCell="1" allowOverlap="1">
                <wp:simplePos x="0" y="0"/>
                <wp:positionH relativeFrom="column">
                  <wp:posOffset>1987550</wp:posOffset>
                </wp:positionH>
                <wp:positionV relativeFrom="paragraph">
                  <wp:posOffset>186690</wp:posOffset>
                </wp:positionV>
                <wp:extent cx="2159000" cy="596265"/>
                <wp:effectExtent l="0" t="0" r="0" b="0"/>
                <wp:wrapNone/>
                <wp:docPr id="4" name="CaixaDe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596265"/>
                        </a:xfrm>
                        <a:prstGeom prst="rect">
                          <a:avLst/>
                        </a:prstGeom>
                        <a:noFill/>
                      </wps:spPr>
                      <wps:style>
                        <a:lnRef idx="0">
                          <a:scrgbClr r="0" g="0" b="0"/>
                        </a:lnRef>
                        <a:fillRef idx="0">
                          <a:scrgbClr r="0" g="0" b="0"/>
                        </a:fillRef>
                        <a:effectRef idx="0">
                          <a:scrgbClr r="0" g="0" b="0"/>
                        </a:effectRef>
                        <a:fontRef idx="minor">
                          <a:schemeClr val="tx1"/>
                        </a:fontRef>
                      </wps:style>
                      <wps:txbx>
                        <w:txbxContent>
                          <w:p>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hAnsi="Cambria Math" w:cstheme="minorBidi"/>
                                    <w:color w:val="000000" w:themeColor="text1"/>
                                    <w:sz w:val="22"/>
                                    <w:szCs w:val="22"/>
                                  </w:rPr>
                                  <m:t>=</m:t>
                                </m:r>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DI</m:t>
                                                </m:r>
                                              </m:e>
                                              <m:sub>
                                                <m:r>
                                                  <w:rPr>
                                                    <w:rFonts w:ascii="Cambria Math" w:hAnsi="Cambria Math" w:cstheme="minorBidi"/>
                                                    <w:color w:val="000000" w:themeColor="text1"/>
                                                    <w:sz w:val="22"/>
                                                    <w:szCs w:val="22"/>
                                                  </w:rPr>
                                                  <m:t>k</m:t>
                                                </m:r>
                                              </m:sub>
                                            </m:sSub>
                                          </m:num>
                                          <m:den>
                                            <m:r>
                                              <w:rPr>
                                                <w:rFonts w:ascii="Cambria Math" w:hAnsi="Cambria Math" w:cstheme="minorBidi"/>
                                                <w:color w:val="000000" w:themeColor="text1"/>
                                                <w:sz w:val="22"/>
                                                <w:szCs w:val="22"/>
                                              </w:rPr>
                                              <m:t>100</m:t>
                                            </m:r>
                                          </m:den>
                                        </m:f>
                                        <m:r>
                                          <w:rPr>
                                            <w:rFonts w:ascii="Cambria Math" w:hAnsi="Cambria Math" w:cstheme="minorBidi"/>
                                            <w:color w:val="000000" w:themeColor="text1"/>
                                            <w:sz w:val="22"/>
                                            <w:szCs w:val="22"/>
                                          </w:rPr>
                                          <m:t>+1</m:t>
                                        </m:r>
                                      </m:e>
                                    </m:d>
                                  </m:e>
                                  <m:sup>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1</m:t>
                                        </m:r>
                                      </m:num>
                                      <m:den>
                                        <m:r>
                                          <w:rPr>
                                            <w:rFonts w:ascii="Cambria Math" w:hAnsi="Cambria Math" w:cstheme="minorBidi"/>
                                            <w:color w:val="000000" w:themeColor="text1"/>
                                            <w:sz w:val="22"/>
                                            <w:szCs w:val="22"/>
                                          </w:rPr>
                                          <m:t>252</m:t>
                                        </m:r>
                                      </m:den>
                                    </m:f>
                                  </m:sup>
                                </m:sSup>
                                <m:r>
                                  <w:rPr>
                                    <w:rFonts w:ascii="Cambria Math" w:hAnsi="Cambria Math" w:cstheme="minorBidi"/>
                                    <w:color w:val="000000" w:themeColor="text1"/>
                                    <w:sz w:val="22"/>
                                    <w:szCs w:val="22"/>
                                  </w:rPr>
                                  <m:t>-1</m:t>
                                </m:r>
                              </m:oMath>
                            </m:oMathPara>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type w14:anchorId="4098CC47" id="_x0000_t202" coordsize="21600,21600" o:spt="202" path="m,l,21600r21600,l21600,xe">
                <v:stroke joinstyle="miter"/>
                <v:path gradientshapeok="t" o:connecttype="rect"/>
              </v:shapetype>
              <v:shape id="CaixaDeTexto 1" o:spid="_x0000_s1026" type="#_x0000_t202" style="position:absolute;left:0;text-align:left;margin-left:156.5pt;margin-top:14.7pt;width:170pt;height:4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" filled="f" stroked="f">
                <v:path arrowok="t"/>
                <v:textbox>
                  <w:txbxContent>
                    <w:p w:rsidR="00036F13" w:rsidRDefault="003776E7" w:rsidP="006F6F1D">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hAnsi="Cambria Math" w:cstheme="minorBidi"/>
                              <w:color w:val="000000" w:themeColor="text1"/>
                              <w:sz w:val="22"/>
                              <w:szCs w:val="22"/>
                            </w:rPr>
                            <m:t>=</m:t>
                          </m:r>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DI</m:t>
                                          </m:r>
                                        </m:e>
                                        <m:sub>
                                          <m:r>
                                            <w:rPr>
                                              <w:rFonts w:ascii="Cambria Math" w:hAnsi="Cambria Math" w:cstheme="minorBidi"/>
                                              <w:color w:val="000000" w:themeColor="text1"/>
                                              <w:sz w:val="22"/>
                                              <w:szCs w:val="22"/>
                                            </w:rPr>
                                            <m:t>k</m:t>
                                          </m:r>
                                        </m:sub>
                                      </m:sSub>
                                    </m:num>
                                    <m:den>
                                      <m:r>
                                        <w:rPr>
                                          <w:rFonts w:ascii="Cambria Math" w:hAnsi="Cambria Math" w:cstheme="minorBidi"/>
                                          <w:color w:val="000000" w:themeColor="text1"/>
                                          <w:sz w:val="22"/>
                                          <w:szCs w:val="22"/>
                                        </w:rPr>
                                        <m:t>100</m:t>
                                      </m:r>
                                    </m:den>
                                  </m:f>
                                  <m:r>
                                    <w:rPr>
                                      <w:rFonts w:ascii="Cambria Math" w:hAnsi="Cambria Math" w:cstheme="minorBidi"/>
                                      <w:color w:val="000000" w:themeColor="text1"/>
                                      <w:sz w:val="22"/>
                                      <w:szCs w:val="22"/>
                                    </w:rPr>
                                    <m:t>+1</m:t>
                                  </m:r>
                                </m:e>
                              </m:d>
                            </m:e>
                            <m:sup>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1</m:t>
                                  </m:r>
                                </m:num>
                                <m:den>
                                  <m:r>
                                    <w:rPr>
                                      <w:rFonts w:ascii="Cambria Math" w:hAnsi="Cambria Math" w:cstheme="minorBidi"/>
                                      <w:color w:val="000000" w:themeColor="text1"/>
                                      <w:sz w:val="22"/>
                                      <w:szCs w:val="22"/>
                                    </w:rPr>
                                    <m:t>252</m:t>
                                  </m:r>
                                </m:den>
                              </m:f>
                            </m:sup>
                          </m:sSup>
                          <m:r>
                            <w:rPr>
                              <w:rFonts w:ascii="Cambria Math" w:hAnsi="Cambria Math" w:cstheme="minorBidi"/>
                              <w:color w:val="000000" w:themeColor="text1"/>
                              <w:sz w:val="22"/>
                              <w:szCs w:val="22"/>
                            </w:rPr>
                            <m:t>-1</m:t>
                          </m:r>
                        </m:oMath>
                      </m:oMathPara>
                    </w:p>
                  </w:txbxContent>
                </v:textbox>
              </v:shape>
            </w:pict>
          </mc:Fallback>
        </mc:AlternateContent>
      </w:r>
    </w:p>
    <w:p>
      <w:pPr>
        <w:spacing w:line="312" w:lineRule="auto"/>
        <w:rPr>
          <w:rFonts w:ascii="Times New Roman" w:hAnsi="Times New Roman"/>
          <w:highlight w:val="cyan"/>
        </w:rPr>
      </w:pPr>
    </w:p>
    <w:p>
      <w:pPr>
        <w:spacing w:line="312" w:lineRule="auto"/>
        <w:rPr>
          <w:rFonts w:ascii="Times New Roman" w:hAnsi="Times New Roman"/>
          <w:highlight w:val="cyan"/>
        </w:rPr>
      </w:pPr>
    </w:p>
    <w:p>
      <w:pPr>
        <w:spacing w:line="312" w:lineRule="auto"/>
        <w:rPr>
          <w:rFonts w:ascii="Times New Roman" w:hAnsi="Times New Roman"/>
          <w:highlight w:val="cyan"/>
        </w:rPr>
      </w:pPr>
    </w:p>
    <w:p>
      <w:pPr>
        <w:spacing w:line="312" w:lineRule="auto"/>
        <w:rPr>
          <w:rFonts w:ascii="Times New Roman" w:hAnsi="Times New Roman"/>
        </w:rPr>
      </w:pPr>
      <w:r>
        <w:rPr>
          <w:rFonts w:ascii="Times New Roman" w:hAnsi="Times New Roman"/>
        </w:rPr>
        <w:t xml:space="preserve">onde: </w:t>
      </w:r>
    </w:p>
    <w:p>
      <w:pPr>
        <w:spacing w:line="312" w:lineRule="auto"/>
        <w:rPr>
          <w:rFonts w:ascii="Times New Roman" w:hAnsi="Times New Roman"/>
        </w:rPr>
      </w:pPr>
    </w:p>
    <w:p>
      <w:pPr>
        <w:spacing w:line="312" w:lineRule="auto"/>
        <w:ind w:left="1701" w:hanging="1701"/>
        <w:rPr>
          <w:rFonts w:ascii="Times New Roman" w:hAnsi="Times New Roman"/>
        </w:rPr>
      </w:pPr>
      <w:r>
        <w:rPr>
          <w:rFonts w:ascii="Times New Roman" w:hAnsi="Times New Roman"/>
          <w:b/>
        </w:rPr>
        <w:t>DIk</w:t>
      </w:r>
      <w:r>
        <w:rPr>
          <w:rFonts w:ascii="Times New Roman" w:hAnsi="Times New Roman"/>
        </w:rPr>
        <w:t> =</w:t>
      </w:r>
      <w:r>
        <w:rPr>
          <w:rFonts w:ascii="Times New Roman" w:hAnsi="Times New Roman"/>
        </w:rPr>
        <w:tab/>
        <w:t>Taxa DI-Over, divulgada pela CETIP, utilizada com 2 (duas) casas decimais.</w:t>
      </w:r>
    </w:p>
    <w:p>
      <w:pPr>
        <w:tabs>
          <w:tab w:val="left" w:pos="1134"/>
          <w:tab w:val="left" w:pos="6804"/>
        </w:tabs>
        <w:spacing w:line="312" w:lineRule="auto"/>
        <w:rPr>
          <w:rFonts w:ascii="Times New Roman" w:hAnsi="Times New Roman"/>
        </w:rPr>
      </w:pPr>
      <w:r>
        <w:rPr>
          <w:rFonts w:ascii="Times New Roman" w:hAnsi="Times New Roman"/>
          <w:b/>
          <w:noProof/>
        </w:rPr>
        <mc:AlternateContent>
          <mc:Choice Requires="wps">
            <w:drawing>
              <wp:anchor distT="0" distB="0" distL="114300" distR="114300" simplePos="0" relativeHeight="251675648" behindDoc="0" locked="0" layoutInCell="1" allowOverlap="1">
                <wp:simplePos x="0" y="0"/>
                <wp:positionH relativeFrom="column">
                  <wp:posOffset>2658110</wp:posOffset>
                </wp:positionH>
                <wp:positionV relativeFrom="paragraph">
                  <wp:posOffset>111760</wp:posOffset>
                </wp:positionV>
                <wp:extent cx="1666875" cy="378460"/>
                <wp:effectExtent l="0" t="0" r="0" b="0"/>
                <wp:wrapNone/>
                <wp:docPr id="2" name="CaixaDe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6875" cy="378460"/>
                        </a:xfrm>
                        <a:prstGeom prst="rect">
                          <a:avLst/>
                        </a:prstGeom>
                        <a:noFill/>
                      </wps:spPr>
                      <wps:style>
                        <a:lnRef idx="0">
                          <a:scrgbClr r="0" g="0" b="0"/>
                        </a:lnRef>
                        <a:fillRef idx="0">
                          <a:scrgbClr r="0" g="0" b="0"/>
                        </a:fillRef>
                        <a:effectRef idx="0">
                          <a:scrgbClr r="0" g="0" b="0"/>
                        </a:effectRef>
                        <a:fontRef idx="minor">
                          <a:schemeClr val="tx1"/>
                        </a:fontRef>
                      </wps:style>
                      <wps:txbx>
                        <w:txbxContent>
                          <w:p>
                            <w:pPr>
                              <w:pStyle w:val="NormalWeb"/>
                              <w:spacing w:before="0" w:beforeAutospacing="0" w:after="0" w:afterAutospacing="0"/>
                            </w:pPr>
                            <m:oMathPara>
                              <m:oMathParaPr>
                                <m:jc m:val="centerGroup"/>
                              </m:oMathParaPr>
                              <m:oMath>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eastAsia="Cambria Math" w:hAnsi="Cambria Math" w:cstheme="minorBidi"/>
                                        <w:color w:val="000000" w:themeColor="text1"/>
                                        <w:sz w:val="22"/>
                                        <w:szCs w:val="22"/>
                                      </w:rPr>
                                      <m:t>×</m:t>
                                    </m:r>
                                    <m:f>
                                      <m:fPr>
                                        <m:ctrlPr>
                                          <w:rPr>
                                            <w:rFonts w:ascii="Cambria Math" w:eastAsia="Cambria Math" w:hAnsi="Cambria Math" w:cstheme="minorBidi"/>
                                            <w:i/>
                                            <w:iCs/>
                                            <w:color w:val="000000" w:themeColor="text1"/>
                                            <w:sz w:val="22"/>
                                            <w:szCs w:val="22"/>
                                          </w:rPr>
                                        </m:ctrlPr>
                                      </m:fPr>
                                      <m:num>
                                        <m:r>
                                          <w:rPr>
                                            <w:rFonts w:ascii="Cambria Math" w:eastAsia="Cambria Math" w:hAnsi="Cambria Math" w:cstheme="minorBidi"/>
                                            <w:color w:val="000000" w:themeColor="text1"/>
                                            <w:sz w:val="22"/>
                                            <w:szCs w:val="22"/>
                                          </w:rPr>
                                          <m:t>p</m:t>
                                        </m:r>
                                      </m:num>
                                      <m:den>
                                        <m:r>
                                          <w:rPr>
                                            <w:rFonts w:ascii="Cambria Math" w:eastAsia="Cambria Math" w:hAnsi="Cambria Math" w:cstheme="minorBidi"/>
                                            <w:color w:val="000000" w:themeColor="text1"/>
                                            <w:sz w:val="22"/>
                                            <w:szCs w:val="22"/>
                                          </w:rPr>
                                          <m:t>100</m:t>
                                        </m:r>
                                      </m:den>
                                    </m:f>
                                  </m:e>
                                </m:d>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2AFAA013" id="CaixaDeTexto 2" o:spid="_x0000_s1027" type="#_x0000_t202" style="position:absolute;left:0;text-align:left;margin-left:209.3pt;margin-top:8.8pt;width:131.25pt;height:2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" filled="f" stroked="f">
                <v:path arrowok="t"/>
                <v:textbox style="mso-fit-shape-to-text:t">
                  <w:txbxContent>
                    <w:p w:rsidR="00036F13" w:rsidRDefault="003776E7" w:rsidP="006F6F1D">
                      <w:pPr>
                        <w:pStyle w:val="NormalWeb"/>
                        <w:spacing w:before="0" w:beforeAutospacing="0" w:after="0" w:afterAutospacing="0"/>
                      </w:pPr>
                      <m:oMathPara>
                        <m:oMathParaPr>
                          <m:jc m:val="centerGroup"/>
                        </m:oMathParaPr>
                        <m:oMath>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eastAsia="Cambria Math" w:hAnsi="Cambria Math" w:cstheme="minorBidi"/>
                                  <w:color w:val="000000" w:themeColor="text1"/>
                                  <w:sz w:val="22"/>
                                  <w:szCs w:val="22"/>
                                </w:rPr>
                                <m:t>×</m:t>
                              </m:r>
                              <m:f>
                                <m:fPr>
                                  <m:ctrlPr>
                                    <w:rPr>
                                      <w:rFonts w:ascii="Cambria Math" w:eastAsia="Cambria Math" w:hAnsi="Cambria Math" w:cstheme="minorBidi"/>
                                      <w:i/>
                                      <w:iCs/>
                                      <w:color w:val="000000" w:themeColor="text1"/>
                                      <w:sz w:val="22"/>
                                      <w:szCs w:val="22"/>
                                    </w:rPr>
                                  </m:ctrlPr>
                                </m:fPr>
                                <m:num>
                                  <m:r>
                                    <w:rPr>
                                      <w:rFonts w:ascii="Cambria Math" w:eastAsia="Cambria Math" w:hAnsi="Cambria Math" w:cstheme="minorBidi"/>
                                      <w:color w:val="000000" w:themeColor="text1"/>
                                      <w:sz w:val="22"/>
                                      <w:szCs w:val="22"/>
                                    </w:rPr>
                                    <m:t>p</m:t>
                                  </m:r>
                                </m:num>
                                <m:den>
                                  <m:r>
                                    <w:rPr>
                                      <w:rFonts w:ascii="Cambria Math" w:eastAsia="Cambria Math" w:hAnsi="Cambria Math" w:cstheme="minorBidi"/>
                                      <w:color w:val="000000" w:themeColor="text1"/>
                                      <w:sz w:val="22"/>
                                      <w:szCs w:val="22"/>
                                    </w:rPr>
                                    <m:t>100</m:t>
                                  </m:r>
                                </m:den>
                              </m:f>
                            </m:e>
                          </m:d>
                        </m:oMath>
                      </m:oMathPara>
                    </w:p>
                  </w:txbxContent>
                </v:textbox>
              </v:shape>
            </w:pict>
          </mc:Fallback>
        </mc:AlternateContent>
      </w:r>
    </w:p>
    <w:p>
      <w:pPr>
        <w:tabs>
          <w:tab w:val="left" w:pos="1418"/>
          <w:tab w:val="left" w:pos="6804"/>
        </w:tabs>
        <w:spacing w:line="312" w:lineRule="auto"/>
        <w:rPr>
          <w:rFonts w:ascii="Times New Roman" w:hAnsi="Times New Roman"/>
        </w:rPr>
      </w:pPr>
      <w:r>
        <w:rPr>
          <w:rFonts w:ascii="Times New Roman" w:hAnsi="Times New Roman"/>
        </w:rPr>
        <w:t>4.10.2.1</w:t>
      </w:r>
      <w:r>
        <w:rPr>
          <w:rFonts w:ascii="Times New Roman" w:hAnsi="Times New Roman"/>
        </w:rPr>
        <w:tab/>
        <w:t xml:space="preserve">O fator resultante da expressão </w:t>
      </w:r>
      <w:r>
        <w:rPr>
          <w:rFonts w:ascii="Times New Roman" w:hAnsi="Times New Roman"/>
        </w:rPr>
        <w:tab/>
        <w:t xml:space="preserve"> será considerado com 16 (dezesseis) casas decimais, sem arredondamento, assim como seu produtório.</w:t>
      </w:r>
    </w:p>
    <w:p>
      <w:pPr>
        <w:tabs>
          <w:tab w:val="left" w:pos="1134"/>
          <w:tab w:val="left" w:pos="6804"/>
        </w:tabs>
        <w:spacing w:line="312" w:lineRule="auto"/>
        <w:rPr>
          <w:rFonts w:ascii="Times New Roman" w:hAnsi="Times New Roman"/>
        </w:rPr>
      </w:pPr>
    </w:p>
    <w:p>
      <w:pPr>
        <w:tabs>
          <w:tab w:val="left" w:pos="1418"/>
          <w:tab w:val="left" w:pos="7655"/>
        </w:tabs>
        <w:spacing w:line="312"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77696" behindDoc="0" locked="0" layoutInCell="1" allowOverlap="1">
                <wp:simplePos x="0" y="0"/>
                <wp:positionH relativeFrom="column">
                  <wp:posOffset>3364230</wp:posOffset>
                </wp:positionH>
                <wp:positionV relativeFrom="paragraph">
                  <wp:posOffset>-161290</wp:posOffset>
                </wp:positionV>
                <wp:extent cx="1666875" cy="378460"/>
                <wp:effectExtent l="0" t="0" r="0" b="0"/>
                <wp:wrapNone/>
                <wp:docPr id="1" name="CaixaDe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6875" cy="378460"/>
                        </a:xfrm>
                        <a:prstGeom prst="rect">
                          <a:avLst/>
                        </a:prstGeom>
                        <a:noFill/>
                      </wps:spPr>
                      <wps:style>
                        <a:lnRef idx="0">
                          <a:scrgbClr r="0" g="0" b="0"/>
                        </a:lnRef>
                        <a:fillRef idx="0">
                          <a:scrgbClr r="0" g="0" b="0"/>
                        </a:fillRef>
                        <a:effectRef idx="0">
                          <a:scrgbClr r="0" g="0" b="0"/>
                        </a:effectRef>
                        <a:fontRef idx="minor">
                          <a:schemeClr val="tx1"/>
                        </a:fontRef>
                      </wps:style>
                      <wps:txbx>
                        <w:txbxContent>
                          <w:p>
                            <w:pPr>
                              <w:pStyle w:val="NormalWeb"/>
                              <w:spacing w:before="0" w:beforeAutospacing="0" w:after="0" w:afterAutospacing="0"/>
                            </w:pPr>
                            <m:oMathPara>
                              <m:oMathParaPr>
                                <m:jc m:val="centerGroup"/>
                              </m:oMathParaPr>
                              <m:oMath>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eastAsia="Cambria Math" w:hAnsi="Cambria Math" w:cstheme="minorBidi"/>
                                        <w:color w:val="000000" w:themeColor="text1"/>
                                        <w:sz w:val="22"/>
                                        <w:szCs w:val="22"/>
                                      </w:rPr>
                                      <m:t>×</m:t>
                                    </m:r>
                                    <m:f>
                                      <m:fPr>
                                        <m:ctrlPr>
                                          <w:rPr>
                                            <w:rFonts w:ascii="Cambria Math" w:eastAsia="Cambria Math" w:hAnsi="Cambria Math" w:cstheme="minorBidi"/>
                                            <w:i/>
                                            <w:iCs/>
                                            <w:color w:val="000000" w:themeColor="text1"/>
                                            <w:sz w:val="22"/>
                                            <w:szCs w:val="22"/>
                                          </w:rPr>
                                        </m:ctrlPr>
                                      </m:fPr>
                                      <m:num>
                                        <m:r>
                                          <w:rPr>
                                            <w:rFonts w:ascii="Cambria Math" w:eastAsia="Cambria Math" w:hAnsi="Cambria Math" w:cstheme="minorBidi"/>
                                            <w:color w:val="000000" w:themeColor="text1"/>
                                            <w:sz w:val="22"/>
                                            <w:szCs w:val="22"/>
                                          </w:rPr>
                                          <m:t>p</m:t>
                                        </m:r>
                                      </m:num>
                                      <m:den>
                                        <m:r>
                                          <w:rPr>
                                            <w:rFonts w:ascii="Cambria Math" w:eastAsia="Cambria Math" w:hAnsi="Cambria Math" w:cstheme="minorBidi"/>
                                            <w:color w:val="000000" w:themeColor="text1"/>
                                            <w:sz w:val="22"/>
                                            <w:szCs w:val="22"/>
                                          </w:rPr>
                                          <m:t>100</m:t>
                                        </m:r>
                                      </m:den>
                                    </m:f>
                                  </m:e>
                                </m:d>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6A2260DA" id="_x0000_s1028" type="#_x0000_t202" style="position:absolute;left:0;text-align:left;margin-left:264.9pt;margin-top:-12.7pt;width:131.25pt;height:2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" filled="f" stroked="f">
                <v:path arrowok="t"/>
                <v:textbox style="mso-fit-shape-to-text:t">
                  <w:txbxContent>
                    <w:p w:rsidR="00036F13" w:rsidRDefault="003776E7" w:rsidP="006F6F1D">
                      <w:pPr>
                        <w:pStyle w:val="NormalWeb"/>
                        <w:spacing w:before="0" w:beforeAutospacing="0" w:after="0" w:afterAutospacing="0"/>
                      </w:pPr>
                      <m:oMathPara>
                        <m:oMathParaPr>
                          <m:jc m:val="centerGroup"/>
                        </m:oMathParaPr>
                        <m:oMath>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eastAsia="Cambria Math" w:hAnsi="Cambria Math" w:cstheme="minorBidi"/>
                                  <w:color w:val="000000" w:themeColor="text1"/>
                                  <w:sz w:val="22"/>
                                  <w:szCs w:val="22"/>
                                </w:rPr>
                                <m:t>×</m:t>
                              </m:r>
                              <m:f>
                                <m:fPr>
                                  <m:ctrlPr>
                                    <w:rPr>
                                      <w:rFonts w:ascii="Cambria Math" w:eastAsia="Cambria Math" w:hAnsi="Cambria Math" w:cstheme="minorBidi"/>
                                      <w:i/>
                                      <w:iCs/>
                                      <w:color w:val="000000" w:themeColor="text1"/>
                                      <w:sz w:val="22"/>
                                      <w:szCs w:val="22"/>
                                    </w:rPr>
                                  </m:ctrlPr>
                                </m:fPr>
                                <m:num>
                                  <m:r>
                                    <w:rPr>
                                      <w:rFonts w:ascii="Cambria Math" w:eastAsia="Cambria Math" w:hAnsi="Cambria Math" w:cstheme="minorBidi"/>
                                      <w:color w:val="000000" w:themeColor="text1"/>
                                      <w:sz w:val="22"/>
                                      <w:szCs w:val="22"/>
                                    </w:rPr>
                                    <m:t>p</m:t>
                                  </m:r>
                                </m:num>
                                <m:den>
                                  <m:r>
                                    <w:rPr>
                                      <w:rFonts w:ascii="Cambria Math" w:eastAsia="Cambria Math" w:hAnsi="Cambria Math" w:cstheme="minorBidi"/>
                                      <w:color w:val="000000" w:themeColor="text1"/>
                                      <w:sz w:val="22"/>
                                      <w:szCs w:val="22"/>
                                    </w:rPr>
                                    <m:t>100</m:t>
                                  </m:r>
                                </m:den>
                              </m:f>
                            </m:e>
                          </m:d>
                        </m:oMath>
                      </m:oMathPara>
                    </w:p>
                  </w:txbxContent>
                </v:textbox>
              </v:shape>
            </w:pict>
          </mc:Fallback>
        </mc:AlternateContent>
      </w:r>
      <w:r>
        <w:rPr>
          <w:rFonts w:ascii="Times New Roman" w:hAnsi="Times New Roman"/>
        </w:rPr>
        <w:t>4.10.2.2</w:t>
      </w:r>
      <w:r>
        <w:rPr>
          <w:rFonts w:ascii="Times New Roman" w:hAnsi="Times New Roman"/>
        </w:rPr>
        <w:tab/>
        <w:t>Efetua-se o produtório dos fatores diários</w:t>
      </w:r>
      <w:r>
        <w:rPr>
          <w:rFonts w:ascii="Times New Roman" w:hAnsi="Times New Roman"/>
        </w:rPr>
        <w:tab/>
        <w:t>, sendo que a cada fator diário acumulado, trunca-se o resultado com 16 (dezesseis) casas decimais, aplicando-se o próximo fator diário, e assim por diante até o último considerado.</w:t>
      </w:r>
    </w:p>
    <w:p>
      <w:pPr>
        <w:tabs>
          <w:tab w:val="left" w:pos="1134"/>
          <w:tab w:val="left" w:pos="7655"/>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lastRenderedPageBreak/>
        <w:t>4.10.2.3</w:t>
      </w:r>
      <w:r>
        <w:rPr>
          <w:rFonts w:ascii="Times New Roman" w:hAnsi="Times New Roman"/>
        </w:rPr>
        <w:tab/>
      </w:r>
      <w:r>
        <w:rPr>
          <w:rFonts w:ascii="Times New Roman" w:hAnsi="Times New Roman"/>
        </w:rPr>
        <w:tab/>
        <w:t>Se os fatores diários estiverem acumulados, considerar-se-á o fator resultante “Fator DI” com 8 (oito) casas decimais, com arredondamento.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4.10.2.4</w:t>
      </w:r>
      <w:r>
        <w:rPr>
          <w:rFonts w:ascii="Times New Roman" w:hAnsi="Times New Roman"/>
        </w:rPr>
        <w:tab/>
      </w:r>
      <w:r>
        <w:rPr>
          <w:rFonts w:ascii="Times New Roman" w:hAnsi="Times New Roman"/>
        </w:rPr>
        <w:tab/>
        <w:t>A Taxa DI deverá ser utilizada considerando idêntico número de casas decimais divulgado pelo órgão responsável pelo seu cálculo.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4.10.2.5</w:t>
      </w:r>
      <w:r>
        <w:rPr>
          <w:rFonts w:ascii="Times New Roman" w:hAnsi="Times New Roman"/>
        </w:rPr>
        <w:tab/>
      </w:r>
      <w:r>
        <w:rPr>
          <w:rFonts w:ascii="Times New Roman" w:hAnsi="Times New Roman"/>
        </w:rPr>
        <w:tab/>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os titulares das Debêntures quando da divulgação posterior da Taxa DI que seria aplicável.</w:t>
      </w:r>
    </w:p>
    <w:p>
      <w:pPr>
        <w:tabs>
          <w:tab w:val="left" w:pos="1134"/>
        </w:tabs>
        <w:spacing w:line="312" w:lineRule="auto"/>
        <w:rPr>
          <w:rFonts w:ascii="Times New Roman" w:hAnsi="Times New Roman"/>
        </w:rPr>
      </w:pPr>
    </w:p>
    <w:p>
      <w:pPr>
        <w:spacing w:line="312" w:lineRule="auto"/>
        <w:rPr>
          <w:rFonts w:ascii="Times New Roman" w:hAnsi="Times New Roman"/>
        </w:rPr>
      </w:pPr>
      <w:r>
        <w:rPr>
          <w:rFonts w:ascii="Times New Roman" w:hAnsi="Times New Roman"/>
        </w:rPr>
        <w:t>4.10.2.6</w:t>
      </w:r>
      <w:r>
        <w:rPr>
          <w:rFonts w:ascii="Times New Roman" w:hAnsi="Times New Roman"/>
        </w:rPr>
        <w:tab/>
        <w:t>Caso a Taxa DI deixe de ser divulgada por prazo superior a 10 (dez) dias, ou caso seja extinta, ou haja a impossibilidade legal de aplicação da Taxa DI para cálculo da Remuneração, será convocada, pelo Agente Fiduciário</w:t>
      </w:r>
      <w:r>
        <w:rPr>
          <w:rFonts w:ascii="Times New Roman" w:eastAsia="Arial Unicode MS" w:hAnsi="Times New Roman"/>
        </w:rPr>
        <w:t xml:space="preserve"> em até 2 (dois) Dias Úteis subsequentes ao prazo de 10 (dez) dias acima</w:t>
      </w:r>
      <w:r>
        <w:rPr>
          <w:rFonts w:ascii="Times New Roman" w:hAnsi="Times New Roman"/>
        </w:rPr>
        <w:t xml:space="preserve">, Assembleia Geral de Debenturistas, nos termos desta Escritura de Emissão, a qual terá como objeto a deliberação pelos Debenturistas, de comum acordo com a Emissora, do novo parâmetro de Remuneração, parâmetro este que deverá preservar o valor real e os mesmos níveis de Remuneração. </w:t>
      </w:r>
    </w:p>
    <w:p>
      <w:pPr>
        <w:spacing w:line="312" w:lineRule="auto"/>
        <w:rPr>
          <w:rFonts w:ascii="Times New Roman" w:hAnsi="Times New Roman"/>
        </w:rPr>
      </w:pPr>
    </w:p>
    <w:p>
      <w:pPr>
        <w:spacing w:line="312" w:lineRule="auto"/>
        <w:rPr>
          <w:rFonts w:ascii="Times New Roman" w:eastAsia="Arial Unicode MS" w:hAnsi="Times New Roman"/>
        </w:rPr>
      </w:pPr>
      <w:r>
        <w:rPr>
          <w:rFonts w:ascii="Times New Roman" w:eastAsia="Arial Unicode MS" w:hAnsi="Times New Roman"/>
        </w:rPr>
        <w:t>4.10.2.6.1.</w:t>
      </w:r>
      <w:r>
        <w:rPr>
          <w:rFonts w:ascii="Times New Roman" w:eastAsia="Arial Unicode MS" w:hAnsi="Times New Roman"/>
        </w:rPr>
        <w:tab/>
        <w:t>Caso a Taxa DI venha a ser divulgada antes da realização da Assembleia Geral de Debenturistas, a referida assembleia não será mais realizada, e a Taxa DI, a partir da data de sua validade, passará a ser utilizada para o cálculo da Remuneração, permanecendo a última Taxa DI conhecida anteriormente a ser utilizada até data da divulgação da referida Taxa DI.</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4.10.2.6.2.</w:t>
      </w:r>
      <w:r>
        <w:rPr>
          <w:rFonts w:ascii="Times New Roman" w:hAnsi="Times New Roman"/>
        </w:rPr>
        <w:tab/>
        <w:t xml:space="preserve">Caso não haja acordo sobre o novo parâmetro de Remuneração entre a Emissora e os Debenturistas representando, no mínimo, 2/3 (dois terços) das Debêntures em Circulação (conforme abaixo definido), a Emissora deverá resgatar a totalidade das Debêntures, no prazo máximo de 30 (trinta) dias corridos contados da data de encerramento da respectiva Assembleia Geral de Debenturistas ou em outro prazo que venha a ser definido em comum acordo em referida assembleia, pelo seu Valor Nominal Unitário, conforme o caso, acrescido da Remuneração devida até a data do resgate, calculada </w:t>
      </w:r>
      <w:r>
        <w:rPr>
          <w:rFonts w:ascii="Times New Roman" w:hAnsi="Times New Roman"/>
          <w:i/>
        </w:rPr>
        <w:t>pro rata temporis</w:t>
      </w:r>
      <w:r>
        <w:rPr>
          <w:rFonts w:ascii="Times New Roman" w:hAnsi="Times New Roman"/>
        </w:rPr>
        <w:t xml:space="preserve">, a </w:t>
      </w:r>
      <w:r>
        <w:rPr>
          <w:rFonts w:ascii="Times New Roman" w:hAnsi="Times New Roman"/>
        </w:rPr>
        <w:lastRenderedPageBreak/>
        <w:t>partir da Data de Integralização. Nesta alternativa, para cálculo da Remuneração das Debêntures a serem adquiridas, para cada dia do período em que a ausência de taxas, será utilizada a última Taxa DI divulgada oficialmente.</w:t>
      </w:r>
    </w:p>
    <w:p>
      <w:pPr>
        <w:tabs>
          <w:tab w:val="left" w:pos="1134"/>
        </w:tabs>
        <w:spacing w:line="312" w:lineRule="auto"/>
        <w:ind w:left="1080"/>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4.10.2.7</w:t>
      </w:r>
      <w:r>
        <w:rPr>
          <w:rFonts w:ascii="Times New Roman" w:hAnsi="Times New Roman"/>
        </w:rPr>
        <w:tab/>
      </w:r>
      <w:r>
        <w:rPr>
          <w:rFonts w:ascii="Times New Roman" w:hAnsi="Times New Roman"/>
        </w:rPr>
        <w:tab/>
        <w:t>O período de capitalização da Remuneração (“</w:t>
      </w:r>
      <w:r>
        <w:rPr>
          <w:rFonts w:ascii="Times New Roman" w:hAnsi="Times New Roman"/>
          <w:u w:val="single"/>
        </w:rPr>
        <w:t>Período de Capitalização</w:t>
      </w:r>
      <w:r>
        <w:rPr>
          <w:rFonts w:ascii="Times New Roman" w:hAnsi="Times New Roman"/>
        </w:rPr>
        <w:t>”) é, para o primeiro Período de Capitalização, o intervalo de tempo que se inicia na Data de Integralização, e termina na primeira Data de Pagamento da Remuneração e, para os demais Períodos de Capitalização, o intervalo de tempo que se inicia na Data de Pagamento da Remuneração imediatamente anterior e termina na Data de Pagamento da Remuneração subsequente. Cada Período de Capitalização sucede o anterior sem solução de continuidade, até a Data de Vencimento.</w:t>
      </w:r>
    </w:p>
    <w:p>
      <w:pPr>
        <w:tabs>
          <w:tab w:val="left" w:pos="1134"/>
        </w:tabs>
        <w:spacing w:line="312" w:lineRule="auto"/>
        <w:rPr>
          <w:rFonts w:ascii="Times New Roman" w:hAnsi="Times New Roman"/>
        </w:rPr>
      </w:pPr>
    </w:p>
    <w:p>
      <w:pPr>
        <w:spacing w:line="312" w:lineRule="auto"/>
        <w:rPr>
          <w:rFonts w:ascii="Times New Roman" w:hAnsi="Times New Roman"/>
          <w:b/>
        </w:rPr>
      </w:pPr>
      <w:r>
        <w:rPr>
          <w:rFonts w:ascii="Times New Roman" w:hAnsi="Times New Roman"/>
          <w:b/>
        </w:rPr>
        <w:t xml:space="preserve">4.11. </w:t>
      </w:r>
      <w:r>
        <w:rPr>
          <w:rFonts w:ascii="Times New Roman" w:hAnsi="Times New Roman"/>
          <w:b/>
        </w:rPr>
        <w:tab/>
      </w:r>
      <w:r>
        <w:rPr>
          <w:rFonts w:ascii="Times New Roman" w:hAnsi="Times New Roman"/>
          <w:b/>
        </w:rPr>
        <w:tab/>
        <w:t>Pagamento da Remuneração</w:t>
      </w:r>
    </w:p>
    <w:p>
      <w:pPr>
        <w:tabs>
          <w:tab w:val="left" w:pos="1134"/>
        </w:tabs>
        <w:spacing w:line="312" w:lineRule="auto"/>
        <w:rPr>
          <w:rFonts w:ascii="Times New Roman" w:hAnsi="Times New Roman"/>
          <w:b/>
        </w:rPr>
      </w:pPr>
    </w:p>
    <w:p>
      <w:pPr>
        <w:tabs>
          <w:tab w:val="left" w:pos="1418"/>
        </w:tabs>
        <w:spacing w:line="312" w:lineRule="auto"/>
        <w:rPr>
          <w:rFonts w:ascii="Times New Roman" w:hAnsi="Times New Roman"/>
          <w:i/>
          <w:smallCaps/>
        </w:rPr>
      </w:pPr>
      <w:r>
        <w:rPr>
          <w:rFonts w:ascii="Times New Roman" w:hAnsi="Times New Roman"/>
        </w:rPr>
        <w:t>4.11.1.</w:t>
      </w:r>
      <w:r>
        <w:rPr>
          <w:rFonts w:ascii="Times New Roman" w:hAnsi="Times New Roman"/>
        </w:rPr>
        <w:tab/>
        <w:t>Sem prejuízo dos pagamentos em decorrência de eventual vencimento antecipado das obrigações decorrentes das Debêntures ou resgate antecipado, nos termos previstos nesta Escritura de Emissão, a Remuneração será paga semestralmente, a partir da Data de Emissão, sendo o primeiro pagamento devido em 12 de outubro de 2017, e os demais pagamentos devidos sempre no dia 12 dos meses de abril e outubro de cada ano, até a Data de Vencimento (cada uma dessas datas, uma “</w:t>
      </w:r>
      <w:r>
        <w:rPr>
          <w:rFonts w:ascii="Times New Roman" w:hAnsi="Times New Roman"/>
          <w:u w:val="single"/>
        </w:rPr>
        <w:t>Data de Pagamento da Remuneração</w:t>
      </w:r>
      <w:r>
        <w:rPr>
          <w:rFonts w:ascii="Times New Roman" w:hAnsi="Times New Roman"/>
        </w:rPr>
        <w:t>”)</w:t>
      </w:r>
      <w:r>
        <w:rPr>
          <w:rFonts w:ascii="Times New Roman" w:hAnsi="Times New Roman"/>
          <w:b/>
        </w:rPr>
        <w:t xml:space="preserve">. </w:t>
      </w:r>
    </w:p>
    <w:p>
      <w:pPr>
        <w:tabs>
          <w:tab w:val="left" w:pos="1134"/>
        </w:tabs>
        <w:spacing w:line="312" w:lineRule="auto"/>
        <w:rPr>
          <w:rFonts w:ascii="Times New Roman" w:hAnsi="Times New Roman"/>
        </w:rPr>
      </w:pPr>
    </w:p>
    <w:p>
      <w:pPr>
        <w:tabs>
          <w:tab w:val="left" w:pos="1418"/>
        </w:tabs>
        <w:spacing w:line="312" w:lineRule="auto"/>
        <w:rPr>
          <w:rFonts w:ascii="Times New Roman" w:hAnsi="Times New Roman"/>
        </w:rPr>
      </w:pPr>
      <w:r>
        <w:rPr>
          <w:rFonts w:ascii="Times New Roman" w:hAnsi="Times New Roman"/>
        </w:rPr>
        <w:t>4.11.2.</w:t>
      </w:r>
      <w:r>
        <w:rPr>
          <w:rFonts w:ascii="Times New Roman" w:hAnsi="Times New Roman"/>
        </w:rPr>
        <w:tab/>
        <w:t>Farão jus aos pagamentos das Debêntures aqueles que sejam Debenturistas ao final do Dia Útil anterior a cada Data de Pagamento da Remuneração prevista nesta Escritura.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b/>
        </w:rPr>
      </w:pPr>
      <w:r>
        <w:rPr>
          <w:rFonts w:ascii="Times New Roman" w:hAnsi="Times New Roman"/>
          <w:b/>
        </w:rPr>
        <w:t>4.12.</w:t>
      </w:r>
      <w:r>
        <w:rPr>
          <w:rFonts w:ascii="Times New Roman" w:hAnsi="Times New Roman"/>
          <w:b/>
        </w:rPr>
        <w:tab/>
      </w:r>
      <w:r>
        <w:rPr>
          <w:rFonts w:ascii="Times New Roman" w:hAnsi="Times New Roman"/>
          <w:b/>
        </w:rPr>
        <w:tab/>
        <w:t xml:space="preserve">Amortização do Valor Nominal Unitário </w:t>
      </w:r>
    </w:p>
    <w:p>
      <w:pPr>
        <w:tabs>
          <w:tab w:val="left" w:pos="1134"/>
        </w:tabs>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4.12.1.</w:t>
      </w:r>
      <w:r>
        <w:rPr>
          <w:rFonts w:ascii="Times New Roman" w:hAnsi="Times New Roman"/>
        </w:rPr>
        <w:tab/>
      </w:r>
      <w:r>
        <w:rPr>
          <w:rFonts w:ascii="Times New Roman" w:hAnsi="Times New Roman"/>
        </w:rPr>
        <w:tab/>
        <w:t>O Valor Nominal Unitário será amortizado em 4 (quatro) parcelas anuais consecutivas, ressalvadas as hipóteses de vencimento antecipado das Debêntures, Resgate Antecipado Facultativo Total, Amortização Extraordinária Facultativa, devidas sempre nos dias 12 do mês de abril de cada ano, sendo que a primeira parcela será devida em 12 de abril de 2018, e as demais parcelas serão devidas em cada uma das respetivas datas de amortização das Debêntures, de acordo com a tabela abaixo (cada uma, uma “</w:t>
      </w:r>
      <w:r>
        <w:rPr>
          <w:rFonts w:ascii="Times New Roman" w:hAnsi="Times New Roman"/>
          <w:u w:val="single"/>
        </w:rPr>
        <w:t>Data de Amortização</w:t>
      </w:r>
      <w:r>
        <w:rPr>
          <w:rFonts w:ascii="Times New Roman" w:hAnsi="Times New Roman"/>
        </w:rPr>
        <w:t>”).</w:t>
      </w:r>
    </w:p>
    <w:p>
      <w:pPr>
        <w:tabs>
          <w:tab w:val="left" w:pos="1134"/>
        </w:tabs>
        <w:spacing w:line="312" w:lineRule="auto"/>
        <w:rPr>
          <w:rFonts w:ascii="Times New Roman" w:hAnsi="Times New Roman"/>
        </w:rPr>
      </w:pPr>
    </w:p>
    <w:tbl>
      <w:tblPr>
        <w:tblW w:w="92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0"/>
        <w:gridCol w:w="2620"/>
        <w:gridCol w:w="4360"/>
      </w:tblGrid>
      <w:tr>
        <w:trPr>
          <w:trHeight w:val="600"/>
        </w:trPr>
        <w:tc>
          <w:tcPr>
            <w:tcW w:w="2280" w:type="dxa"/>
            <w:shd w:val="clear" w:color="000000" w:fill="BFBFBF"/>
            <w:vAlign w:val="center"/>
            <w:hideMark/>
          </w:tcPr>
          <w:p>
            <w:pPr>
              <w:spacing w:line="312" w:lineRule="auto"/>
              <w:jc w:val="center"/>
              <w:rPr>
                <w:rFonts w:ascii="Times New Roman" w:hAnsi="Times New Roman"/>
                <w:b/>
                <w:color w:val="000000"/>
              </w:rPr>
            </w:pPr>
            <w:r>
              <w:rPr>
                <w:rFonts w:ascii="Times New Roman" w:hAnsi="Times New Roman"/>
                <w:b/>
                <w:color w:val="000000"/>
              </w:rPr>
              <w:lastRenderedPageBreak/>
              <w:t>Parcela</w:t>
            </w:r>
          </w:p>
        </w:tc>
        <w:tc>
          <w:tcPr>
            <w:tcW w:w="2620" w:type="dxa"/>
            <w:shd w:val="clear" w:color="000000" w:fill="BFBFBF"/>
            <w:vAlign w:val="center"/>
            <w:hideMark/>
          </w:tcPr>
          <w:p>
            <w:pPr>
              <w:spacing w:line="312" w:lineRule="auto"/>
              <w:jc w:val="center"/>
              <w:rPr>
                <w:rFonts w:ascii="Times New Roman" w:hAnsi="Times New Roman"/>
                <w:b/>
                <w:color w:val="000000"/>
              </w:rPr>
            </w:pPr>
            <w:r>
              <w:rPr>
                <w:rFonts w:ascii="Times New Roman" w:hAnsi="Times New Roman"/>
                <w:b/>
                <w:color w:val="000000"/>
              </w:rPr>
              <w:t xml:space="preserve">Data de Amortização </w:t>
            </w:r>
          </w:p>
        </w:tc>
        <w:tc>
          <w:tcPr>
            <w:tcW w:w="4360" w:type="dxa"/>
            <w:shd w:val="clear" w:color="000000" w:fill="BFBFBF"/>
            <w:vAlign w:val="center"/>
            <w:hideMark/>
          </w:tcPr>
          <w:p>
            <w:pPr>
              <w:spacing w:line="312" w:lineRule="auto"/>
              <w:jc w:val="center"/>
              <w:rPr>
                <w:rFonts w:ascii="Times New Roman" w:hAnsi="Times New Roman"/>
                <w:b/>
                <w:color w:val="000000"/>
              </w:rPr>
            </w:pPr>
            <w:r>
              <w:rPr>
                <w:rFonts w:ascii="Times New Roman" w:hAnsi="Times New Roman"/>
                <w:b/>
                <w:color w:val="000000"/>
              </w:rPr>
              <w:t>Percentual Amortizado do Valor Nominal Unitário na Data de Emissão</w:t>
            </w:r>
          </w:p>
        </w:tc>
      </w:tr>
      <w:tr>
        <w:trPr>
          <w:trHeight w:val="300"/>
        </w:trPr>
        <w:tc>
          <w:tcPr>
            <w:tcW w:w="228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color w:val="000000"/>
              </w:rPr>
              <w:t>1ª</w:t>
            </w:r>
          </w:p>
        </w:tc>
        <w:tc>
          <w:tcPr>
            <w:tcW w:w="262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rPr>
              <w:t>12</w:t>
            </w:r>
            <w:r>
              <w:rPr>
                <w:rFonts w:ascii="Times New Roman" w:hAnsi="Times New Roman"/>
                <w:color w:val="000000"/>
              </w:rPr>
              <w:t>/</w:t>
            </w:r>
            <w:r>
              <w:rPr>
                <w:rFonts w:ascii="Times New Roman" w:hAnsi="Times New Roman"/>
              </w:rPr>
              <w:t>04</w:t>
            </w:r>
            <w:r>
              <w:rPr>
                <w:rFonts w:ascii="Times New Roman" w:hAnsi="Times New Roman"/>
                <w:color w:val="000000"/>
              </w:rPr>
              <w:t>/2018</w:t>
            </w:r>
          </w:p>
        </w:tc>
        <w:tc>
          <w:tcPr>
            <w:tcW w:w="436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color w:val="000000"/>
              </w:rPr>
              <w:t>10,0000%</w:t>
            </w:r>
          </w:p>
        </w:tc>
      </w:tr>
      <w:tr>
        <w:trPr>
          <w:trHeight w:val="300"/>
        </w:trPr>
        <w:tc>
          <w:tcPr>
            <w:tcW w:w="228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color w:val="000000"/>
              </w:rPr>
              <w:t>2ª</w:t>
            </w:r>
          </w:p>
        </w:tc>
        <w:tc>
          <w:tcPr>
            <w:tcW w:w="262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rPr>
              <w:t>12</w:t>
            </w:r>
            <w:r>
              <w:rPr>
                <w:rFonts w:ascii="Times New Roman" w:hAnsi="Times New Roman"/>
                <w:color w:val="000000"/>
              </w:rPr>
              <w:t>/</w:t>
            </w:r>
            <w:r>
              <w:rPr>
                <w:rFonts w:ascii="Times New Roman" w:hAnsi="Times New Roman"/>
              </w:rPr>
              <w:t>04</w:t>
            </w:r>
            <w:r>
              <w:rPr>
                <w:rFonts w:ascii="Times New Roman" w:hAnsi="Times New Roman"/>
                <w:color w:val="000000"/>
              </w:rPr>
              <w:t>/2019</w:t>
            </w:r>
          </w:p>
        </w:tc>
        <w:tc>
          <w:tcPr>
            <w:tcW w:w="436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color w:val="000000"/>
              </w:rPr>
              <w:t>10,0000%</w:t>
            </w:r>
          </w:p>
        </w:tc>
      </w:tr>
      <w:tr>
        <w:trPr>
          <w:trHeight w:val="300"/>
        </w:trPr>
        <w:tc>
          <w:tcPr>
            <w:tcW w:w="2280" w:type="dxa"/>
            <w:shd w:val="clear" w:color="auto" w:fill="auto"/>
            <w:noWrap/>
            <w:vAlign w:val="center"/>
          </w:tcPr>
          <w:p>
            <w:pPr>
              <w:spacing w:line="312" w:lineRule="auto"/>
              <w:jc w:val="center"/>
              <w:rPr>
                <w:rFonts w:ascii="Times New Roman" w:hAnsi="Times New Roman"/>
                <w:color w:val="000000"/>
              </w:rPr>
            </w:pPr>
            <w:r>
              <w:rPr>
                <w:rFonts w:ascii="Times New Roman" w:hAnsi="Times New Roman"/>
                <w:color w:val="000000"/>
              </w:rPr>
              <w:t>3ª</w:t>
            </w:r>
          </w:p>
        </w:tc>
        <w:tc>
          <w:tcPr>
            <w:tcW w:w="2620" w:type="dxa"/>
            <w:shd w:val="clear" w:color="auto" w:fill="auto"/>
            <w:noWrap/>
            <w:vAlign w:val="center"/>
          </w:tcPr>
          <w:p>
            <w:pPr>
              <w:spacing w:line="312" w:lineRule="auto"/>
              <w:jc w:val="center"/>
              <w:rPr>
                <w:rFonts w:ascii="Times New Roman" w:hAnsi="Times New Roman"/>
                <w:color w:val="000000"/>
              </w:rPr>
            </w:pPr>
            <w:r>
              <w:rPr>
                <w:rFonts w:ascii="Times New Roman" w:hAnsi="Times New Roman"/>
              </w:rPr>
              <w:t>12</w:t>
            </w:r>
            <w:r>
              <w:rPr>
                <w:rFonts w:ascii="Times New Roman" w:hAnsi="Times New Roman"/>
                <w:color w:val="000000"/>
              </w:rPr>
              <w:t>/</w:t>
            </w:r>
            <w:r>
              <w:rPr>
                <w:rFonts w:ascii="Times New Roman" w:hAnsi="Times New Roman"/>
              </w:rPr>
              <w:t>04</w:t>
            </w:r>
            <w:r>
              <w:rPr>
                <w:rFonts w:ascii="Times New Roman" w:hAnsi="Times New Roman"/>
                <w:color w:val="000000"/>
              </w:rPr>
              <w:t>/2020</w:t>
            </w:r>
          </w:p>
        </w:tc>
        <w:tc>
          <w:tcPr>
            <w:tcW w:w="4360" w:type="dxa"/>
            <w:shd w:val="clear" w:color="auto" w:fill="auto"/>
            <w:noWrap/>
            <w:vAlign w:val="center"/>
          </w:tcPr>
          <w:p>
            <w:pPr>
              <w:spacing w:line="312" w:lineRule="auto"/>
              <w:jc w:val="center"/>
              <w:rPr>
                <w:rFonts w:ascii="Times New Roman" w:hAnsi="Times New Roman"/>
                <w:color w:val="000000"/>
              </w:rPr>
            </w:pPr>
            <w:r>
              <w:rPr>
                <w:rFonts w:ascii="Times New Roman" w:hAnsi="Times New Roman"/>
                <w:color w:val="000000"/>
              </w:rPr>
              <w:t>40,0000%</w:t>
            </w:r>
          </w:p>
        </w:tc>
      </w:tr>
      <w:tr>
        <w:trPr>
          <w:trHeight w:val="300"/>
        </w:trPr>
        <w:tc>
          <w:tcPr>
            <w:tcW w:w="2280" w:type="dxa"/>
            <w:shd w:val="clear" w:color="auto" w:fill="auto"/>
            <w:noWrap/>
            <w:vAlign w:val="center"/>
            <w:hideMark/>
          </w:tcPr>
          <w:p>
            <w:pPr>
              <w:spacing w:line="312" w:lineRule="auto"/>
              <w:jc w:val="center"/>
              <w:rPr>
                <w:rFonts w:ascii="Times New Roman" w:hAnsi="Times New Roman"/>
                <w:color w:val="000000"/>
              </w:rPr>
            </w:pPr>
            <w:r>
              <w:rPr>
                <w:rFonts w:ascii="Times New Roman" w:hAnsi="Times New Roman"/>
                <w:color w:val="000000"/>
              </w:rPr>
              <w:t>4ª</w:t>
            </w:r>
          </w:p>
        </w:tc>
        <w:tc>
          <w:tcPr>
            <w:tcW w:w="2620" w:type="dxa"/>
            <w:shd w:val="clear" w:color="auto" w:fill="auto"/>
            <w:noWrap/>
            <w:vAlign w:val="bottom"/>
            <w:hideMark/>
          </w:tcPr>
          <w:p>
            <w:pPr>
              <w:spacing w:line="312" w:lineRule="auto"/>
              <w:jc w:val="center"/>
              <w:rPr>
                <w:rFonts w:ascii="Times New Roman" w:hAnsi="Times New Roman"/>
                <w:color w:val="000000"/>
              </w:rPr>
            </w:pPr>
            <w:r>
              <w:rPr>
                <w:rFonts w:ascii="Times New Roman" w:hAnsi="Times New Roman"/>
              </w:rPr>
              <w:t>12</w:t>
            </w:r>
            <w:r>
              <w:rPr>
                <w:rFonts w:ascii="Times New Roman" w:hAnsi="Times New Roman"/>
                <w:color w:val="000000"/>
              </w:rPr>
              <w:t>/</w:t>
            </w:r>
            <w:r>
              <w:rPr>
                <w:rFonts w:ascii="Times New Roman" w:hAnsi="Times New Roman"/>
              </w:rPr>
              <w:t>04</w:t>
            </w:r>
            <w:r>
              <w:rPr>
                <w:rFonts w:ascii="Times New Roman" w:hAnsi="Times New Roman"/>
                <w:color w:val="000000"/>
              </w:rPr>
              <w:t>/2021</w:t>
            </w:r>
          </w:p>
        </w:tc>
        <w:tc>
          <w:tcPr>
            <w:tcW w:w="4360" w:type="dxa"/>
            <w:shd w:val="clear" w:color="auto" w:fill="auto"/>
            <w:noWrap/>
            <w:vAlign w:val="bottom"/>
            <w:hideMark/>
          </w:tcPr>
          <w:p>
            <w:pPr>
              <w:spacing w:line="312" w:lineRule="auto"/>
              <w:jc w:val="center"/>
              <w:rPr>
                <w:rFonts w:ascii="Times New Roman" w:hAnsi="Times New Roman"/>
                <w:color w:val="000000"/>
              </w:rPr>
            </w:pPr>
            <w:r>
              <w:rPr>
                <w:rFonts w:ascii="Times New Roman" w:hAnsi="Times New Roman"/>
                <w:color w:val="000000"/>
              </w:rPr>
              <w:t>40,0000%</w:t>
            </w:r>
          </w:p>
        </w:tc>
      </w:tr>
    </w:tbl>
    <w:p>
      <w:pPr>
        <w:tabs>
          <w:tab w:val="left" w:pos="1134"/>
        </w:tabs>
        <w:spacing w:line="312" w:lineRule="auto"/>
        <w:rPr>
          <w:rFonts w:ascii="Times New Roman" w:hAnsi="Times New Roman"/>
        </w:rPr>
      </w:pPr>
    </w:p>
    <w:p>
      <w:pPr>
        <w:tabs>
          <w:tab w:val="left" w:pos="1134"/>
        </w:tabs>
        <w:spacing w:line="312" w:lineRule="auto"/>
        <w:rPr>
          <w:rFonts w:ascii="Times New Roman" w:hAnsi="Times New Roman"/>
          <w:b/>
        </w:rPr>
      </w:pPr>
      <w:r>
        <w:rPr>
          <w:rFonts w:ascii="Times New Roman" w:hAnsi="Times New Roman"/>
          <w:b/>
        </w:rPr>
        <w:t>4.13.</w:t>
      </w:r>
      <w:r>
        <w:rPr>
          <w:rFonts w:ascii="Times New Roman" w:hAnsi="Times New Roman"/>
        </w:rPr>
        <w:tab/>
      </w:r>
      <w:r>
        <w:rPr>
          <w:rFonts w:ascii="Times New Roman" w:hAnsi="Times New Roman"/>
        </w:rPr>
        <w:tab/>
      </w:r>
      <w:r>
        <w:rPr>
          <w:rFonts w:ascii="Times New Roman" w:hAnsi="Times New Roman"/>
          <w:b/>
        </w:rPr>
        <w:t>Local de Pagamento:</w:t>
      </w:r>
      <w:r>
        <w:rPr>
          <w:rFonts w:ascii="Times New Roman" w:hAnsi="Times New Roman"/>
        </w:rPr>
        <w:t xml:space="preserve"> Os pagamentos a que fizerem jus as Debêntures serão efetuados pela Emissora no respectivo vencimento utilizando-se, conforme o caso: (i) os procedimentos adotados pela CETIP, para as Debêntures custodiadas eletronicamente na CETIP; e/ou (ii) os procedimentos adotados pelo Banco Liquidante para as Debêntures que não estejam custodiadas eletronicamente na CETIP.</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b/>
        </w:rPr>
        <w:t>4.14.</w:t>
      </w:r>
      <w:r>
        <w:rPr>
          <w:rFonts w:ascii="Times New Roman" w:hAnsi="Times New Roman"/>
        </w:rPr>
        <w:tab/>
      </w:r>
      <w:r>
        <w:rPr>
          <w:rFonts w:ascii="Times New Roman" w:hAnsi="Times New Roman"/>
        </w:rPr>
        <w:tab/>
      </w:r>
      <w:r>
        <w:rPr>
          <w:rFonts w:ascii="Times New Roman" w:hAnsi="Times New Roman"/>
          <w:b/>
        </w:rPr>
        <w:t xml:space="preserve">Prorrogação dos Prazos: </w:t>
      </w:r>
      <w:r>
        <w:rPr>
          <w:rFonts w:ascii="Times New Roman" w:hAnsi="Times New Roman"/>
        </w:rPr>
        <w:t>Considerar-se-ão prorrogados os prazos referentes ao pagamento de qualquer obrigação prevista nesta Escritura de Emissão até o 1º (primeiro) Dia Útil subsequente, se a data do vencimento coincidir com dia em que não houver expediente bancário na Cidade de São Paulo, Estado de São Paulo, ressalvados os casos cujos pagamentos devam ser realizados por meio da CETIP, hipótese em que somente haverá prorrogação quando a data de pagamento coincidir com feriado declarado nacional, sábado ou domingo.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b/>
        </w:rPr>
        <w:t xml:space="preserve">4.15. </w:t>
      </w:r>
      <w:r>
        <w:rPr>
          <w:rFonts w:ascii="Times New Roman" w:hAnsi="Times New Roman"/>
          <w:b/>
        </w:rPr>
        <w:tab/>
      </w:r>
      <w:r>
        <w:rPr>
          <w:rFonts w:ascii="Times New Roman" w:hAnsi="Times New Roman"/>
          <w:b/>
        </w:rPr>
        <w:tab/>
        <w:t>Encargos Moratórios:</w:t>
      </w:r>
      <w:r>
        <w:rPr>
          <w:rFonts w:ascii="Times New Roman" w:hAnsi="Times New Roman"/>
        </w:rPr>
        <w:t xml:space="preserve"> Sem prejuízo da Remuneração,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ano, desde a data da inadimplência até a data do efetivo pagamento; ambos calculados sobre o montante devido e não pago (“</w:t>
      </w:r>
      <w:r>
        <w:rPr>
          <w:rFonts w:ascii="Times New Roman" w:hAnsi="Times New Roman"/>
          <w:u w:val="single"/>
        </w:rPr>
        <w:t>Encargos Moratórios</w:t>
      </w:r>
      <w:r>
        <w:rPr>
          <w:rFonts w:ascii="Times New Roman" w:hAnsi="Times New Roman"/>
        </w:rPr>
        <w:t>”).</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b/>
        </w:rPr>
        <w:t xml:space="preserve">4.16. </w:t>
      </w:r>
      <w:r>
        <w:rPr>
          <w:rFonts w:ascii="Times New Roman" w:hAnsi="Times New Roman"/>
          <w:b/>
        </w:rPr>
        <w:tab/>
      </w:r>
      <w:r>
        <w:rPr>
          <w:rFonts w:ascii="Times New Roman" w:hAnsi="Times New Roman"/>
          <w:b/>
        </w:rPr>
        <w:tab/>
        <w:t xml:space="preserve">Decadência dos Direitos aos Acréscimos: </w:t>
      </w:r>
      <w:r>
        <w:rPr>
          <w:rFonts w:ascii="Times New Roman" w:hAnsi="Times New Roman"/>
        </w:rPr>
        <w:t xml:space="preserve">Sem prejuízo do disposto na Cláusula 4.15 acima, o não comparecimento do Debenturista para receber o valor correspondente a quaisquer das obrigações pecuniárias da Emissora, nas datas previstas nesta </w:t>
      </w:r>
      <w:r>
        <w:rPr>
          <w:rFonts w:ascii="Times New Roman" w:hAnsi="Times New Roman"/>
        </w:rPr>
        <w:lastRenderedPageBreak/>
        <w:t>Escritura, ou em comunicado publicado pela Emissora no jornal indicado na Cláusula 4.18 abaixo, não lhe dará direito ao recebimento da Remuneração e/ou Encargos Moratórios no período relativo ao atraso no recebimento, sendo-lhe, todavia, assegurados os direitos adquiridos até a data do respectivo vencimento ou pagamento.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b/>
        </w:rPr>
        <w:t xml:space="preserve">4.17. Repactuação Programada: </w:t>
      </w:r>
      <w:r>
        <w:rPr>
          <w:rFonts w:ascii="Times New Roman" w:hAnsi="Times New Roman"/>
        </w:rPr>
        <w:t>As Debêntures não serão objeto de repactuação programada.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b/>
        </w:rPr>
        <w:t>4.18.</w:t>
      </w:r>
      <w:r>
        <w:rPr>
          <w:rFonts w:ascii="Times New Roman" w:hAnsi="Times New Roman"/>
        </w:rPr>
        <w:t xml:space="preserve"> </w:t>
      </w:r>
      <w:r>
        <w:rPr>
          <w:rFonts w:ascii="Times New Roman" w:hAnsi="Times New Roman"/>
          <w:b/>
        </w:rPr>
        <w:t>Publicidade</w:t>
      </w:r>
      <w:r>
        <w:rPr>
          <w:rFonts w:ascii="Times New Roman" w:hAnsi="Times New Roman"/>
        </w:rPr>
        <w:t>: Todos os atos e decisões a serem tomados em decorrência desta Emissão que, de qualquer forma, vierem a envolver interesses dos Debenturistas, deverão ser obrigatoriamente comunicados na forma de avisos no DOESP e no jornal “Valor Econômico” (“</w:t>
      </w:r>
      <w:r>
        <w:rPr>
          <w:rFonts w:ascii="Times New Roman" w:hAnsi="Times New Roman"/>
          <w:u w:val="single"/>
        </w:rPr>
        <w:t>Aviso aos Debenturistas</w:t>
      </w:r>
      <w:r>
        <w:rPr>
          <w:rFonts w:ascii="Times New Roman" w:hAnsi="Times New Roman"/>
        </w:rPr>
        <w:t>”), bem como na página da Emissora na rede mundial de computadores (http://www.aeseletropaulo.com.br), observado o estabelecido no artigo 289 da Lei das Sociedades por Ações e as limitações impostas pela Instrução CVM 476 em relação à publicidade da Oferta e os prazos legais, devendo a Emissora comunicar o Agente Fiduciário e a CETIP</w:t>
      </w:r>
      <w:r>
        <w:rPr>
          <w:rFonts w:ascii="Times New Roman" w:hAnsi="Times New Roman"/>
          <w:b/>
        </w:rPr>
        <w:t xml:space="preserve"> </w:t>
      </w:r>
      <w:r>
        <w:rPr>
          <w:rFonts w:ascii="Times New Roman" w:hAnsi="Times New Roman"/>
        </w:rPr>
        <w:t>a respeito de qualquer publicação na data da sua realização, sendo certo que, caso a Emissora altere seu jornal de publicação após a Data de Emissão, deverá enviar notificação ao Agente Fiduciário informando o novo veículo para divulgação de suas informações.</w:t>
      </w:r>
    </w:p>
    <w:p>
      <w:pPr>
        <w:tabs>
          <w:tab w:val="left" w:pos="1134"/>
        </w:tabs>
        <w:spacing w:line="312" w:lineRule="auto"/>
        <w:rPr>
          <w:rFonts w:ascii="Times New Roman" w:hAnsi="Times New Roman"/>
        </w:rPr>
      </w:pPr>
    </w:p>
    <w:p>
      <w:pPr>
        <w:keepNext/>
        <w:spacing w:line="312" w:lineRule="auto"/>
        <w:rPr>
          <w:rFonts w:ascii="Times New Roman" w:hAnsi="Times New Roman"/>
        </w:rPr>
      </w:pPr>
      <w:r>
        <w:rPr>
          <w:rFonts w:ascii="Times New Roman" w:hAnsi="Times New Roman"/>
          <w:b/>
        </w:rPr>
        <w:t>4.19.</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b/>
        </w:rPr>
        <w:t>Imunidade ou Isenção de Debenturistas:</w:t>
      </w:r>
      <w:r>
        <w:rPr>
          <w:rFonts w:ascii="Times New Roman" w:hAnsi="Times New Roman"/>
        </w:rPr>
        <w:t xml:space="preserve"> </w:t>
      </w:r>
    </w:p>
    <w:p>
      <w:pPr>
        <w:keepNext/>
        <w:spacing w:line="312" w:lineRule="auto"/>
        <w:rPr>
          <w:rFonts w:ascii="Times New Roman" w:hAnsi="Times New Roman"/>
        </w:rPr>
      </w:pPr>
    </w:p>
    <w:p>
      <w:pPr>
        <w:spacing w:line="312" w:lineRule="auto"/>
        <w:rPr>
          <w:rFonts w:ascii="Times New Roman" w:hAnsi="Times New Roman"/>
        </w:rPr>
      </w:pPr>
      <w:r>
        <w:rPr>
          <w:rFonts w:ascii="Times New Roman" w:hAnsi="Times New Roman"/>
        </w:rPr>
        <w:t>4.19.1</w:t>
      </w:r>
      <w:r>
        <w:rPr>
          <w:rFonts w:ascii="Times New Roman" w:hAnsi="Times New Roman"/>
        </w:rPr>
        <w:tab/>
      </w:r>
      <w:r>
        <w:rPr>
          <w:rFonts w:ascii="Times New Roman" w:hAnsi="Times New Roman"/>
        </w:rPr>
        <w:tab/>
        <w:t>Caso qualquer Debenturista goze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4.19.2</w:t>
      </w:r>
      <w:r>
        <w:rPr>
          <w:rFonts w:ascii="Times New Roman" w:hAnsi="Times New Roman"/>
        </w:rPr>
        <w:tab/>
      </w:r>
      <w:r>
        <w:rPr>
          <w:rFonts w:ascii="Times New Roman" w:hAnsi="Times New Roman"/>
        </w:rPr>
        <w:tab/>
        <w:t xml:space="preserve">O Debenturista que tenha apresentado documentação comprobatória de sua condição de imunidade ou isenção tributária, nos termos do item 4.19.1 acima e que tiver essa condição alterada e/ou revogada por disposição normativa, ou por deixar de atender as </w:t>
      </w:r>
      <w:r>
        <w:rPr>
          <w:rFonts w:ascii="Times New Roman" w:hAnsi="Times New Roman"/>
        </w:rPr>
        <w:lastRenderedPageBreak/>
        <w:t>condições e requisitos porventura prescritos no dispositivo legal aplicável, ou, ainda, tiver essa condição questionada por autoridade competente, ou, ainda, que tenha esta condição alterada e/ou revogada por qualquer outra razão que não as mencionadas neste item, deverá comunicar esse fato, de forma detalhada e por escrito, com ao menos 5 (cinco) Dias Úteis de antecedência de qualquer pagamento, ao Banco Liquidante, com cópia para a Emissora, bem como prestar qualquer informação adicional em relação ao tema que lhe seja solicitada pelo Banco Liquidante ou pela Emissora.</w:t>
      </w:r>
    </w:p>
    <w:p>
      <w:pPr>
        <w:spacing w:line="312" w:lineRule="auto"/>
        <w:rPr>
          <w:rFonts w:ascii="Times New Roman" w:hAnsi="Times New Roman"/>
        </w:rPr>
      </w:pPr>
    </w:p>
    <w:p>
      <w:pPr>
        <w:spacing w:line="312" w:lineRule="auto"/>
        <w:rPr>
          <w:rFonts w:ascii="Times New Roman" w:hAnsi="Times New Roman"/>
        </w:rPr>
      </w:pPr>
      <w:r>
        <w:rPr>
          <w:rFonts w:ascii="Times New Roman" w:hAnsi="Times New Roman"/>
        </w:rPr>
        <w:t>4.19.3 Mesmo que tenha recebido a documentação referida na Cláusula 4.19.1 acima, e desde que tenha fundamento legal para tanto, fica facultado à Emissora depositar em juízo ou descontar de quaisquer valores relacionados às Debêntures a tributação que entender devida.</w:t>
      </w:r>
    </w:p>
    <w:p>
      <w:pPr>
        <w:spacing w:line="312" w:lineRule="auto"/>
        <w:rPr>
          <w:rFonts w:ascii="Times New Roman" w:hAnsi="Times New Roman"/>
        </w:rPr>
      </w:pPr>
    </w:p>
    <w:p>
      <w:pPr>
        <w:spacing w:line="312" w:lineRule="auto"/>
        <w:rPr>
          <w:rFonts w:ascii="Times New Roman" w:hAnsi="Times New Roman"/>
          <w:b/>
          <w:smallCaps/>
        </w:rPr>
      </w:pPr>
      <w:r>
        <w:rPr>
          <w:rFonts w:ascii="Times New Roman" w:hAnsi="Times New Roman"/>
          <w:b/>
        </w:rPr>
        <w:t>4.20.</w:t>
      </w:r>
      <w:r>
        <w:rPr>
          <w:rFonts w:ascii="Times New Roman" w:hAnsi="Times New Roman"/>
          <w:b/>
        </w:rPr>
        <w:tab/>
      </w:r>
      <w:r>
        <w:rPr>
          <w:rFonts w:ascii="Times New Roman" w:hAnsi="Times New Roman"/>
          <w:b/>
        </w:rPr>
        <w:tab/>
        <w:t>Classificação de Risco</w:t>
      </w:r>
      <w:r>
        <w:rPr>
          <w:rFonts w:ascii="Times New Roman" w:hAnsi="Times New Roman"/>
        </w:rPr>
        <w:t>: Será contratada a agência de classificação de risco Fitch Ratings Brasil Ltda., a qual atribuirá nota de classificação de risco (</w:t>
      </w:r>
      <w:r>
        <w:rPr>
          <w:rFonts w:ascii="Times New Roman" w:hAnsi="Times New Roman"/>
          <w:i/>
        </w:rPr>
        <w:t>rating</w:t>
      </w:r>
      <w:r>
        <w:rPr>
          <w:rFonts w:ascii="Times New Roman" w:hAnsi="Times New Roman"/>
        </w:rPr>
        <w:t xml:space="preserve">) às Debêntures. </w:t>
      </w:r>
    </w:p>
    <w:p>
      <w:pPr>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V</w:t>
      </w:r>
      <w:r>
        <w:rPr>
          <w:rFonts w:ascii="Times New Roman" w:hAnsi="Times New Roman"/>
          <w:b/>
        </w:rPr>
        <w:br/>
        <w:t>RESGATE ANTECIPADO FACULTATIVO TOTAL, AMORTIZAÇÃO EXTRAORDINÁRIA FACULTATIVA E AQUISIÇÃO FACULTATIVA</w:t>
      </w:r>
    </w:p>
    <w:p>
      <w:pPr>
        <w:keepNext/>
        <w:spacing w:line="312" w:lineRule="auto"/>
        <w:jc w:val="center"/>
        <w:rPr>
          <w:rFonts w:ascii="Times New Roman" w:hAnsi="Times New Roman"/>
          <w:b/>
        </w:rPr>
      </w:pPr>
    </w:p>
    <w:p>
      <w:pPr>
        <w:keepNext/>
        <w:spacing w:line="312" w:lineRule="auto"/>
        <w:rPr>
          <w:rFonts w:ascii="Times New Roman" w:hAnsi="Times New Roman"/>
          <w:b/>
        </w:rPr>
      </w:pPr>
      <w:r>
        <w:rPr>
          <w:rFonts w:ascii="Times New Roman" w:hAnsi="Times New Roman"/>
          <w:b/>
        </w:rPr>
        <w:t>5.1.</w:t>
      </w:r>
      <w:r>
        <w:rPr>
          <w:rFonts w:ascii="Times New Roman" w:hAnsi="Times New Roman"/>
          <w:b/>
        </w:rPr>
        <w:tab/>
      </w:r>
      <w:r>
        <w:rPr>
          <w:rFonts w:ascii="Times New Roman" w:hAnsi="Times New Roman"/>
          <w:b/>
        </w:rPr>
        <w:tab/>
        <w:t xml:space="preserve">Resgate Antecipado Facultativo Total </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5.1.1.</w:t>
      </w:r>
      <w:r>
        <w:rPr>
          <w:rFonts w:ascii="Times New Roman" w:hAnsi="Times New Roman"/>
        </w:rPr>
        <w:tab/>
      </w:r>
      <w:r>
        <w:rPr>
          <w:rFonts w:ascii="Times New Roman" w:hAnsi="Times New Roman"/>
        </w:rPr>
        <w:tab/>
        <w:t>A Emissora poderá realizar, a seu exclusivo critério, após 12 (doze) meses contados da Data de Emissão, ou seja, a partir de 12 de abril de 2018, o resgate antecipado facultativo total das Debêntures (“</w:t>
      </w:r>
      <w:r>
        <w:rPr>
          <w:rFonts w:ascii="Times New Roman" w:hAnsi="Times New Roman"/>
          <w:u w:val="single"/>
        </w:rPr>
        <w:t>Resgate Antecipado Facultativo Total</w:t>
      </w:r>
      <w:r>
        <w:rPr>
          <w:rFonts w:ascii="Times New Roman" w:hAnsi="Times New Roman"/>
        </w:rPr>
        <w:t>”). Por ocasião do</w:t>
      </w:r>
      <w:r>
        <w:rPr>
          <w:rFonts w:ascii="Times New Roman" w:hAnsi="Times New Roman"/>
          <w:b/>
        </w:rPr>
        <w:t xml:space="preserve"> </w:t>
      </w:r>
      <w:r>
        <w:rPr>
          <w:rFonts w:ascii="Times New Roman" w:hAnsi="Times New Roman"/>
        </w:rPr>
        <w:t xml:space="preserve">Resgate Antecipado Facultativo Total, o valor devido pela Emissora será equivalente ao saldo do Valor Nominal Unitário das Debêntures a serem resgatadas, acrescido (i) da Remuneração e demais encargos devidos e não pagos até a data do Resgate Antecipado Facultativo Total, calculado </w:t>
      </w:r>
      <w:r>
        <w:rPr>
          <w:rFonts w:ascii="Times New Roman" w:hAnsi="Times New Roman"/>
          <w:i/>
        </w:rPr>
        <w:t>pro rata temporis</w:t>
      </w:r>
      <w:r>
        <w:rPr>
          <w:rFonts w:ascii="Times New Roman" w:hAnsi="Times New Roman"/>
        </w:rPr>
        <w:t xml:space="preserve"> desde a Data de Integralização, ou a data do pagamento da Remuneração anterior, conforme o caso, até a data do efetivo Resgate Antecipado Facultativo Total (“</w:t>
      </w:r>
      <w:r>
        <w:rPr>
          <w:rFonts w:ascii="Times New Roman" w:hAnsi="Times New Roman"/>
          <w:u w:val="single"/>
        </w:rPr>
        <w:t>Valor Resgatado</w:t>
      </w:r>
      <w:r>
        <w:rPr>
          <w:rFonts w:ascii="Times New Roman" w:hAnsi="Times New Roman"/>
        </w:rPr>
        <w:t>”), e (ii) de prêmio incidente sobre o Valor Resgatado, multiplicado pelo prazo remanescente das Debêntures (“</w:t>
      </w:r>
      <w:r>
        <w:rPr>
          <w:rFonts w:ascii="Times New Roman" w:hAnsi="Times New Roman"/>
          <w:u w:val="single"/>
        </w:rPr>
        <w:t>Valor de Resgate Antecipado Facultativo</w:t>
      </w:r>
      <w:r>
        <w:rPr>
          <w:rFonts w:ascii="Times New Roman" w:hAnsi="Times New Roman"/>
        </w:rPr>
        <w:t xml:space="preserve">”), calculado de acordo com a seguinte fórmula: </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Prêmio = p * dup/dut * Valor Resgatado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onde:</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p: 0,15% (quinze centésimos por cento);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dup: Número de Dias Úteis contados da data do Resgate Antecipado Facultativo Total até a Data de Vencimento; e</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dut: Número de Dias Úteis contados a partir de 12 de abril de 2018 até a Data de Vencimento.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5.1.1.1</w:t>
      </w:r>
      <w:r>
        <w:rPr>
          <w:rFonts w:ascii="Times New Roman" w:hAnsi="Times New Roman"/>
        </w:rPr>
        <w:tab/>
      </w:r>
      <w:r>
        <w:rPr>
          <w:rFonts w:ascii="Times New Roman" w:hAnsi="Times New Roman"/>
        </w:rPr>
        <w:tab/>
        <w:t>Caso a data de realização do</w:t>
      </w:r>
      <w:r>
        <w:rPr>
          <w:rFonts w:ascii="Times New Roman" w:hAnsi="Times New Roman"/>
          <w:b/>
        </w:rPr>
        <w:t xml:space="preserve"> </w:t>
      </w:r>
      <w:r>
        <w:rPr>
          <w:rFonts w:ascii="Times New Roman" w:hAnsi="Times New Roman"/>
        </w:rPr>
        <w:t>Resgate Antecipado Facultativo Total coincida com uma Data de Amortização e/ou uma Data de Pagamento da Remuneração, o prêmio previsto no item (ii) da Cláusula 5.1.1 acima deverá ser calculado sobre o saldo do Valor Nominal Unitário e Remuneração, após a referida amortização e/ou pagamento de Remuneração, conforme o caso.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5.1.2.</w:t>
      </w:r>
      <w:r>
        <w:rPr>
          <w:rFonts w:ascii="Times New Roman" w:hAnsi="Times New Roman"/>
        </w:rPr>
        <w:tab/>
      </w:r>
      <w:r>
        <w:rPr>
          <w:rFonts w:ascii="Times New Roman" w:hAnsi="Times New Roman"/>
        </w:rPr>
        <w:tab/>
        <w:t>O Resgate Antecipado Facultativo Total somente será realizado (a) mediante envio de comunicação individual aos Debenturistas, ou publicação de anúncio, nos termos da Cláusula 4.18 acima, em ambos os casos com cópia para o Agente Fiduciário e à CETIP, com 5 (cinco) Dias Úteis de antecedência da data em que se pretende realizar o efetivo Resgate Antecipado Facultativo Total (“</w:t>
      </w:r>
      <w:r>
        <w:rPr>
          <w:rFonts w:ascii="Times New Roman" w:hAnsi="Times New Roman"/>
          <w:u w:val="single"/>
        </w:rPr>
        <w:t>Comunicação de Resgate</w:t>
      </w:r>
      <w:r>
        <w:rPr>
          <w:rFonts w:ascii="Times New Roman" w:hAnsi="Times New Roman"/>
        </w:rPr>
        <w:t xml:space="preserve">”), sendo que na referida comunicação deverá constar: (i) a data de realização do Resgate Antecipado Facultativo Total; (ii) a menção de que o valor correspondente ao pagamento será o Valor Nominal Unitário ou saldo do Valor Nominal Unitário, conforme o caso, acrescido (a) de Remuneração e demais encargos devidos e não pagos até a data do Resgate Antecipado Facultativo Total, calculados </w:t>
      </w:r>
      <w:r>
        <w:rPr>
          <w:rFonts w:ascii="Times New Roman" w:hAnsi="Times New Roman"/>
          <w:i/>
        </w:rPr>
        <w:t>pro rata temporis</w:t>
      </w:r>
      <w:r>
        <w:rPr>
          <w:rFonts w:ascii="Times New Roman" w:hAnsi="Times New Roman"/>
        </w:rPr>
        <w:t xml:space="preserve"> desde a Data de Integralização ou desde a Data de Pagamento da Remuneração imediatamente anterior, conforme o caso, até data de realização do Resgate Antecipado Facultativo Total, (b) de prêmio de resgate antecipado, calculado nos termos do item “ii” da Cláusula 5.1.1. acima; e (iii) outras informações necessárias à operacionalização do Resgate Antecipado Facultativo Total.</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lastRenderedPageBreak/>
        <w:t>5.1.3.</w:t>
      </w:r>
      <w:r>
        <w:rPr>
          <w:rFonts w:ascii="Times New Roman" w:hAnsi="Times New Roman"/>
        </w:rPr>
        <w:tab/>
      </w:r>
      <w:r>
        <w:rPr>
          <w:rFonts w:ascii="Times New Roman" w:hAnsi="Times New Roman"/>
        </w:rPr>
        <w:tab/>
        <w:t>O Resgate Antecipado Facultativo Total para as Debêntures custodiadas eletronicamente na CETIP</w:t>
      </w:r>
      <w:r>
        <w:rPr>
          <w:rFonts w:ascii="Times New Roman" w:hAnsi="Times New Roman"/>
          <w:b/>
        </w:rPr>
        <w:t xml:space="preserve"> </w:t>
      </w:r>
      <w:r>
        <w:rPr>
          <w:rFonts w:ascii="Times New Roman" w:hAnsi="Times New Roman"/>
        </w:rPr>
        <w:t>seguirão os procedimentos de liquidação de eventos adotados pela CETIP. Caso as Debêntures não estejam custodiadas eletronicamente na CETIP, o Resgate Antecipado Facultativo Total será realizado por meio do Banco Liquidante.</w:t>
      </w:r>
    </w:p>
    <w:p>
      <w:pPr>
        <w:tabs>
          <w:tab w:val="left" w:pos="1134"/>
        </w:tabs>
        <w:spacing w:line="312" w:lineRule="auto"/>
        <w:rPr>
          <w:rFonts w:ascii="Times New Roman" w:hAnsi="Times New Roman"/>
        </w:rPr>
      </w:pPr>
    </w:p>
    <w:p>
      <w:pPr>
        <w:tabs>
          <w:tab w:val="left" w:pos="1134"/>
          <w:tab w:val="left" w:pos="1418"/>
        </w:tabs>
        <w:spacing w:line="312" w:lineRule="auto"/>
        <w:rPr>
          <w:rFonts w:ascii="Times New Roman" w:hAnsi="Times New Roman"/>
        </w:rPr>
      </w:pPr>
      <w:r>
        <w:rPr>
          <w:rFonts w:ascii="Times New Roman" w:hAnsi="Times New Roman"/>
        </w:rPr>
        <w:t>5.1.4.</w:t>
      </w:r>
      <w:r>
        <w:rPr>
          <w:rFonts w:ascii="Times New Roman" w:hAnsi="Times New Roman"/>
        </w:rPr>
        <w:tab/>
      </w:r>
      <w:r>
        <w:rPr>
          <w:rFonts w:ascii="Times New Roman" w:hAnsi="Times New Roman"/>
        </w:rPr>
        <w:tab/>
        <w:t>As Debêntures resgatadas pela Emissora, conforme previsto nesta Cláusula, serão obrigatoriamente canceladas.</w:t>
      </w:r>
    </w:p>
    <w:p>
      <w:pPr>
        <w:tabs>
          <w:tab w:val="left" w:pos="1134"/>
          <w:tab w:val="left" w:pos="1418"/>
        </w:tabs>
        <w:spacing w:line="312" w:lineRule="auto"/>
        <w:rPr>
          <w:rFonts w:ascii="Times New Roman" w:hAnsi="Times New Roman"/>
        </w:rPr>
      </w:pPr>
    </w:p>
    <w:p>
      <w:pPr>
        <w:tabs>
          <w:tab w:val="left" w:pos="1134"/>
          <w:tab w:val="left" w:pos="1418"/>
        </w:tabs>
        <w:spacing w:line="312" w:lineRule="auto"/>
        <w:rPr>
          <w:rFonts w:ascii="Times New Roman" w:hAnsi="Times New Roman"/>
          <w:b/>
        </w:rPr>
      </w:pPr>
      <w:r>
        <w:rPr>
          <w:rFonts w:ascii="Times New Roman" w:hAnsi="Times New Roman"/>
        </w:rPr>
        <w:t>5.1.5.</w:t>
      </w:r>
      <w:r>
        <w:rPr>
          <w:rFonts w:ascii="Times New Roman" w:hAnsi="Times New Roman"/>
        </w:rPr>
        <w:tab/>
      </w:r>
      <w:r>
        <w:rPr>
          <w:rFonts w:ascii="Times New Roman" w:hAnsi="Times New Roman"/>
        </w:rPr>
        <w:tab/>
        <w:t>Não será admitido o resgate antecipado facultativo parcial das Debêntures.</w:t>
      </w:r>
    </w:p>
    <w:p>
      <w:pPr>
        <w:tabs>
          <w:tab w:val="left" w:pos="1134"/>
        </w:tabs>
        <w:spacing w:line="312" w:lineRule="auto"/>
        <w:rPr>
          <w:rFonts w:ascii="Times New Roman" w:hAnsi="Times New Roman"/>
        </w:rPr>
      </w:pPr>
    </w:p>
    <w:p>
      <w:pPr>
        <w:keepNext/>
        <w:tabs>
          <w:tab w:val="left" w:pos="1134"/>
          <w:tab w:val="left" w:pos="1418"/>
        </w:tabs>
        <w:spacing w:line="312" w:lineRule="auto"/>
        <w:rPr>
          <w:rFonts w:ascii="Times New Roman" w:hAnsi="Times New Roman"/>
        </w:rPr>
      </w:pPr>
      <w:r>
        <w:rPr>
          <w:rFonts w:ascii="Times New Roman" w:hAnsi="Times New Roman"/>
          <w:b/>
        </w:rPr>
        <w:t>5.2.</w:t>
      </w:r>
      <w:r>
        <w:rPr>
          <w:rFonts w:ascii="Times New Roman" w:hAnsi="Times New Roman"/>
          <w:b/>
        </w:rPr>
        <w:tab/>
      </w:r>
      <w:r>
        <w:rPr>
          <w:rFonts w:ascii="Times New Roman" w:hAnsi="Times New Roman"/>
          <w:b/>
        </w:rPr>
        <w:tab/>
        <w:t xml:space="preserve">Amortização Antecipada Facultativa </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5.2.1.</w:t>
      </w:r>
      <w:r>
        <w:rPr>
          <w:rFonts w:ascii="Times New Roman" w:hAnsi="Times New Roman"/>
        </w:rPr>
        <w:tab/>
      </w:r>
      <w:r>
        <w:rPr>
          <w:rFonts w:ascii="Times New Roman" w:hAnsi="Times New Roman"/>
        </w:rPr>
        <w:tab/>
        <w:t>A Emissora poderá realizar, a seu exclusivo critério, após 12 (doze) meses contados da Data de Emissão, ou seja, a partir de 12 de abril de 2018, amortização extraordinária facultativa de parcela do saldo devedor do Valor Nominal Unitário das Debêntures (“</w:t>
      </w:r>
      <w:r>
        <w:rPr>
          <w:rFonts w:ascii="Times New Roman" w:hAnsi="Times New Roman"/>
          <w:u w:val="single"/>
        </w:rPr>
        <w:t>Amortização Antecipada Facultativa</w:t>
      </w:r>
      <w:r>
        <w:rPr>
          <w:rFonts w:ascii="Times New Roman" w:hAnsi="Times New Roman"/>
        </w:rPr>
        <w:t xml:space="preserve">”), limitada ao máximo de 98% (noventa e oito por cento) do saldo devedor do Valor Nominal Unitário. Por ocasião da Amortização Antecipada Facultativa, o valor devido pela Emissora será equivalente a um percentual fixado pela Emissora do saldo devedor do Valor Nominal Unitário de todas as Debêntures, acrescido (i) da Remuneração e demais encargos devidos e não pagos até a data da Amortização Antecipada Facultativa, calculado </w:t>
      </w:r>
      <w:r>
        <w:rPr>
          <w:rFonts w:ascii="Times New Roman" w:hAnsi="Times New Roman"/>
          <w:i/>
        </w:rPr>
        <w:t>pro rata temporis</w:t>
      </w:r>
      <w:r>
        <w:rPr>
          <w:rFonts w:ascii="Times New Roman" w:hAnsi="Times New Roman"/>
        </w:rPr>
        <w:t xml:space="preserve"> desde a Data de Integralização, ou a data do pagamento da Remuneração anterior, conforme o caso, até a data da efetiva Amortização Antecipada Facultativa (“</w:t>
      </w:r>
      <w:r>
        <w:rPr>
          <w:rFonts w:ascii="Times New Roman" w:hAnsi="Times New Roman"/>
          <w:u w:val="single"/>
        </w:rPr>
        <w:t>Valor Amortizado</w:t>
      </w:r>
      <w:r>
        <w:rPr>
          <w:rFonts w:ascii="Times New Roman" w:hAnsi="Times New Roman"/>
        </w:rPr>
        <w:t>”), e (ii) de prêmio incidente sobre o Valor Amortizado, multiplicado pelo prazo remanescente das Debêntures (“</w:t>
      </w:r>
      <w:r>
        <w:rPr>
          <w:rFonts w:ascii="Times New Roman" w:hAnsi="Times New Roman"/>
          <w:u w:val="single"/>
        </w:rPr>
        <w:t>Valor de Amortização Antecipada Facultativa</w:t>
      </w:r>
      <w:r>
        <w:rPr>
          <w:rFonts w:ascii="Times New Roman" w:hAnsi="Times New Roman"/>
        </w:rPr>
        <w:t xml:space="preserve">”), calculado de acordo com a seguinte fórmula: </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Prêmio = p * dup/dut * Valor Amortizado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onde:</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p: 0,15% (quinze centésimos por cento);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lastRenderedPageBreak/>
        <w:t>dup: Número de Dias Úteis contados da data da Amortização Antecipada Facultativa até a Data de Vencimento; e</w:t>
      </w:r>
    </w:p>
    <w:p>
      <w:pPr>
        <w:tabs>
          <w:tab w:val="left" w:pos="1134"/>
        </w:tabs>
        <w:spacing w:line="312" w:lineRule="auto"/>
        <w:rPr>
          <w:rFonts w:ascii="Times New Roman" w:hAnsi="Times New Roman"/>
        </w:rPr>
      </w:pPr>
      <w:r>
        <w:rPr>
          <w:rFonts w:ascii="Times New Roman" w:hAnsi="Times New Roman"/>
        </w:rPr>
        <w:t xml:space="preserve"> </w:t>
      </w:r>
    </w:p>
    <w:p>
      <w:pPr>
        <w:tabs>
          <w:tab w:val="left" w:pos="1134"/>
        </w:tabs>
        <w:spacing w:line="312" w:lineRule="auto"/>
        <w:rPr>
          <w:rFonts w:ascii="Times New Roman" w:hAnsi="Times New Roman"/>
        </w:rPr>
      </w:pPr>
      <w:r>
        <w:rPr>
          <w:rFonts w:ascii="Times New Roman" w:hAnsi="Times New Roman"/>
        </w:rPr>
        <w:t>dut: Número de Dias Úteis contados a partir de 12 de abril de 2018 até a Data de Vencimento.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5.2.1.1</w:t>
      </w:r>
      <w:r>
        <w:rPr>
          <w:rFonts w:ascii="Times New Roman" w:hAnsi="Times New Roman"/>
        </w:rPr>
        <w:tab/>
        <w:t>Caso a data de realização da Amortização Antecipada Facultativa coincida com uma Data de Amortização e/ou uma Data de Pagamento da Remuneração, o prêmio previsto no item (ii) da Cláusula 5.2.1 acima deverá ser calculado sobre o saldo do Valor Nominal Unitário e Remuneração, após a referida amortização e/ou pagamento de Remuneração, conforme o caso.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5.2.2.</w:t>
      </w:r>
      <w:r>
        <w:rPr>
          <w:rFonts w:ascii="Times New Roman" w:hAnsi="Times New Roman"/>
        </w:rPr>
        <w:tab/>
      </w:r>
      <w:r>
        <w:rPr>
          <w:rFonts w:ascii="Times New Roman" w:hAnsi="Times New Roman"/>
        </w:rPr>
        <w:tab/>
        <w:t>A Amortização Antecipada Facultativa somente será realizada (a) mediante envio de comunicação individual aos Debenturistas, ou publicação de anúncio, nos termos da Cláusula 4.18 acima, em ambos os casos com cópia para o Agente Fiduciário e à CETIP, com 5 (cinco) Dias Úteis de antecedência da data em que se pretende realizar a efetiva Amortização Antecipada Facultativa (“</w:t>
      </w:r>
      <w:r>
        <w:rPr>
          <w:rFonts w:ascii="Times New Roman" w:hAnsi="Times New Roman"/>
          <w:u w:val="single"/>
        </w:rPr>
        <w:t>Comunicação de Amortização Antecipada</w:t>
      </w:r>
      <w:r>
        <w:rPr>
          <w:rFonts w:ascii="Times New Roman" w:hAnsi="Times New Roman"/>
        </w:rPr>
        <w:t xml:space="preserve">”), sendo que na referida comunicação deverá constar: (i) a data de realização da Amortização Antecipada Facultativa; (ii) a menção de que o valor correspondente ao pagamento será um percentual do saldo devedor do Valor Nominal Unitário fixado pela Emissora, observado o disposto no item 5.2.1 acima, acrescido (a) de Remuneração e demais encargos devidos e não pagos até a data da Amortização Antecipada Facultativa, calculados </w:t>
      </w:r>
      <w:r>
        <w:rPr>
          <w:rFonts w:ascii="Times New Roman" w:hAnsi="Times New Roman"/>
          <w:i/>
        </w:rPr>
        <w:t>pro rata temporis</w:t>
      </w:r>
      <w:r>
        <w:rPr>
          <w:rFonts w:ascii="Times New Roman" w:hAnsi="Times New Roman"/>
        </w:rPr>
        <w:t xml:space="preserve"> desde a Data de Integralização ou desde a Data de Pagamento da Remuneração imediatamente anterior, conforme o caso, até data de realização da Amortização Antecipada Facultativa, (b) de prêmio de resgate antecipado, calculado nos termos do item “ii” da Cláusula 5.2.1. acima; e (iii) outras informações necessárias à operacionalização da Amortização Antecipada Facultativa.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5.2.3.</w:t>
      </w:r>
      <w:r>
        <w:rPr>
          <w:rFonts w:ascii="Times New Roman" w:hAnsi="Times New Roman"/>
        </w:rPr>
        <w:tab/>
      </w:r>
      <w:r>
        <w:rPr>
          <w:rFonts w:ascii="Times New Roman" w:hAnsi="Times New Roman"/>
        </w:rPr>
        <w:tab/>
        <w:t>A Amortização Antecipada Facultativa para as Debêntures custodiadas eletronicamente na CETIP</w:t>
      </w:r>
      <w:r>
        <w:rPr>
          <w:rFonts w:ascii="Times New Roman" w:hAnsi="Times New Roman"/>
          <w:b/>
        </w:rPr>
        <w:t xml:space="preserve"> </w:t>
      </w:r>
      <w:r>
        <w:rPr>
          <w:rFonts w:ascii="Times New Roman" w:hAnsi="Times New Roman"/>
        </w:rPr>
        <w:t>seguirão os procedimentos de liquidação de eventos adotados pela CETIP. Caso as Debêntures não estejam custodiadas eletronicamente na CETIP, a Amortização Antecipada Facultativa será realizada por meio do Banco Liquidante.</w:t>
      </w:r>
    </w:p>
    <w:p>
      <w:pPr>
        <w:tabs>
          <w:tab w:val="left" w:pos="1134"/>
        </w:tabs>
        <w:spacing w:line="312" w:lineRule="auto"/>
        <w:rPr>
          <w:rFonts w:ascii="Times New Roman" w:hAnsi="Times New Roman"/>
        </w:rPr>
      </w:pPr>
    </w:p>
    <w:p>
      <w:pPr>
        <w:tabs>
          <w:tab w:val="left" w:pos="851"/>
        </w:tabs>
        <w:spacing w:line="312" w:lineRule="auto"/>
        <w:rPr>
          <w:rFonts w:ascii="Times New Roman" w:hAnsi="Times New Roman"/>
        </w:rPr>
      </w:pPr>
      <w:r>
        <w:rPr>
          <w:rFonts w:ascii="Times New Roman" w:hAnsi="Times New Roman"/>
          <w:b/>
        </w:rPr>
        <w:lastRenderedPageBreak/>
        <w:t>5.3.</w:t>
      </w:r>
      <w:r>
        <w:rPr>
          <w:rFonts w:ascii="Times New Roman" w:hAnsi="Times New Roman"/>
          <w:b/>
        </w:rPr>
        <w:tab/>
      </w:r>
      <w:r>
        <w:rPr>
          <w:rFonts w:ascii="Times New Roman" w:hAnsi="Times New Roman"/>
          <w:b/>
        </w:rPr>
        <w:tab/>
        <w:t>Aquisição Facultativa:</w:t>
      </w:r>
      <w:r>
        <w:rPr>
          <w:rFonts w:ascii="Times New Roman" w:hAnsi="Times New Roman"/>
        </w:rPr>
        <w:t xml:space="preserve"> A Emissora poderá, a qualquer tempo, adquirir Debêntures, observado o disposto no artigo 55, parágrafo 3º, da Lei das Sociedades por Ações, desde que observe as eventuais regras expedidas pela CVM,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Remuneração aplicável às demais Debêntures.</w:t>
      </w:r>
    </w:p>
    <w:p>
      <w:pPr>
        <w:keepNext/>
        <w:spacing w:line="312" w:lineRule="auto"/>
        <w:jc w:val="center"/>
        <w:rPr>
          <w:rFonts w:ascii="Times New Roman" w:hAnsi="Times New Roman"/>
          <w:b/>
        </w:rPr>
      </w:pPr>
    </w:p>
    <w:p>
      <w:pPr>
        <w:keepNext/>
        <w:spacing w:line="312" w:lineRule="auto"/>
        <w:jc w:val="center"/>
        <w:rPr>
          <w:rFonts w:ascii="Times New Roman" w:hAnsi="Times New Roman"/>
          <w:b/>
        </w:rPr>
      </w:pPr>
      <w:r>
        <w:rPr>
          <w:rFonts w:ascii="Times New Roman" w:hAnsi="Times New Roman"/>
          <w:b/>
        </w:rPr>
        <w:t>CLÁUSULA VI</w:t>
      </w:r>
      <w:r>
        <w:rPr>
          <w:rFonts w:ascii="Times New Roman" w:hAnsi="Times New Roman"/>
          <w:b/>
        </w:rPr>
        <w:br/>
        <w:t>VENCIMENTO ANTECIPADO</w:t>
      </w:r>
    </w:p>
    <w:p>
      <w:pPr>
        <w:keepNext/>
        <w:spacing w:line="312" w:lineRule="auto"/>
        <w:jc w:val="center"/>
        <w:rPr>
          <w:rFonts w:ascii="Times New Roman" w:hAnsi="Times New Roman"/>
          <w:b/>
        </w:rPr>
      </w:pPr>
    </w:p>
    <w:p>
      <w:pPr>
        <w:keepNext/>
        <w:spacing w:line="312" w:lineRule="auto"/>
        <w:rPr>
          <w:rFonts w:ascii="Times New Roman" w:hAnsi="Times New Roman"/>
          <w:b/>
        </w:rPr>
      </w:pPr>
      <w:r>
        <w:rPr>
          <w:rFonts w:ascii="Times New Roman" w:hAnsi="Times New Roman"/>
          <w:b/>
        </w:rPr>
        <w:t>6.1.</w:t>
      </w:r>
      <w:r>
        <w:rPr>
          <w:rFonts w:ascii="Times New Roman" w:hAnsi="Times New Roman"/>
          <w:b/>
        </w:rPr>
        <w:tab/>
      </w:r>
      <w:r>
        <w:rPr>
          <w:rFonts w:ascii="Times New Roman" w:hAnsi="Times New Roman"/>
          <w:b/>
        </w:rPr>
        <w:tab/>
        <w:t>Vencimento Antecipado</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6.1.1.</w:t>
      </w:r>
      <w:r>
        <w:rPr>
          <w:rFonts w:ascii="Times New Roman" w:hAnsi="Times New Roman"/>
        </w:rPr>
        <w:tab/>
      </w:r>
      <w:r>
        <w:rPr>
          <w:rFonts w:ascii="Times New Roman" w:hAnsi="Times New Roman"/>
        </w:rPr>
        <w:tab/>
        <w:t>Observado o disposto nos itens 6.1.</w:t>
      </w:r>
      <w:r>
        <w:rPr>
          <w:rFonts w:ascii="Times New Roman" w:hAnsi="Times New Roman"/>
          <w:noProof/>
        </w:rPr>
        <w:t>2</w:t>
      </w:r>
      <w:r>
        <w:rPr>
          <w:rFonts w:ascii="Times New Roman" w:hAnsi="Times New Roman"/>
        </w:rPr>
        <w:t xml:space="preserve"> e 6.1.</w:t>
      </w:r>
      <w:r>
        <w:rPr>
          <w:rFonts w:ascii="Times New Roman" w:hAnsi="Times New Roman"/>
          <w:noProof/>
        </w:rPr>
        <w:t>3</w:t>
      </w:r>
      <w:r>
        <w:rPr>
          <w:rFonts w:ascii="Times New Roman" w:hAnsi="Times New Roman"/>
        </w:rPr>
        <w:t xml:space="preserve"> abaixo, o Agente Fiduciário deverá declarar antecipadamente vencidas todas as obrigações constantes desta Escritura de Emissão e exigir o imediato pagamento, pela Emissora, do Valor Nominal Unitário ou do saldo do Valor Nominal Unitário, conforme o caso, acrescido da Remuneração, calculada </w:t>
      </w:r>
      <w:r>
        <w:rPr>
          <w:rFonts w:ascii="Times New Roman" w:hAnsi="Times New Roman"/>
          <w:i/>
        </w:rPr>
        <w:t>pro rata temporis</w:t>
      </w:r>
      <w:r>
        <w:rPr>
          <w:rFonts w:ascii="Times New Roman" w:hAnsi="Times New Roman"/>
        </w:rPr>
        <w:t>, no Período de Capitalização em questão até a data do efetivo pagamento, sem prejuízo do pagamento dos Encargos Moratórios, quando for o caso e de quaisquer outros valores eventualmente devidos pela Emissora nos termos desta Escritura de Emissão, independentemente de aviso, interpelação ou notificação, judicial ou extrajudicial, na ciência da ocorrência das seguintes hipóteses (cada uma, um “</w:t>
      </w:r>
      <w:r>
        <w:rPr>
          <w:rFonts w:ascii="Times New Roman" w:hAnsi="Times New Roman"/>
          <w:u w:val="single"/>
        </w:rPr>
        <w:t>Evento de Inadimplemento</w:t>
      </w:r>
      <w:r>
        <w:rPr>
          <w:rFonts w:ascii="Times New Roman" w:hAnsi="Times New Roman"/>
        </w:rPr>
        <w:t>”):</w:t>
      </w:r>
    </w:p>
    <w:p>
      <w:pPr>
        <w:tabs>
          <w:tab w:val="left" w:pos="1134"/>
        </w:tabs>
        <w:spacing w:line="312" w:lineRule="auto"/>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 xml:space="preserve">pedido de recuperação judicial ou submissão aos credores de pedido de negociação de plano de recuperação extrajudicial, formulado pela Emissora;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 xml:space="preserve">extinção, liquidação, dissolução, insolvência, pedido de auto-falência, pedido de falência não elidido no prazo legal ou decretação de falência da Emissora; </w:t>
      </w:r>
      <w:r>
        <w:rPr>
          <w:rFonts w:ascii="Times New Roman" w:hAnsi="Times New Roman"/>
          <w:i/>
          <w:noProof/>
        </w:rPr>
        <w:t xml:space="preserve">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noProof/>
        </w:rPr>
      </w:pPr>
      <w:r>
        <w:rPr>
          <w:rFonts w:ascii="Times New Roman" w:hAnsi="Times New Roman"/>
        </w:rPr>
        <w:t xml:space="preserve">falta de pagamento, pela Emissora, do Valor Nominal Unitário e/ou da </w:t>
      </w:r>
      <w:r>
        <w:rPr>
          <w:rFonts w:ascii="Times New Roman" w:hAnsi="Times New Roman"/>
        </w:rPr>
        <w:lastRenderedPageBreak/>
        <w:t xml:space="preserve">Remuneração, nas respectivas datas de vencimento previstas nesta Escritura de Emissão, não sanadas no prazo de </w:t>
      </w:r>
      <w:r>
        <w:rPr>
          <w:rFonts w:ascii="Times New Roman" w:hAnsi="Times New Roman"/>
          <w:noProof/>
        </w:rPr>
        <w:t>1 (um) Dia Útil</w:t>
      </w:r>
      <w:r>
        <w:rPr>
          <w:rFonts w:ascii="Times New Roman" w:hAnsi="Times New Roman"/>
        </w:rPr>
        <w:t xml:space="preserve"> contados das respectivas datas de vencimento; </w:t>
      </w:r>
      <w:r>
        <w:rPr>
          <w:rFonts w:ascii="Times New Roman" w:hAnsi="Times New Roman"/>
          <w:noProof/>
        </w:rPr>
        <w:t xml:space="preserve"> </w:t>
      </w:r>
    </w:p>
    <w:p>
      <w:pPr>
        <w:pStyle w:val="p0"/>
        <w:widowControl w:val="0"/>
        <w:tabs>
          <w:tab w:val="clear" w:pos="720"/>
          <w:tab w:val="num" w:pos="840"/>
        </w:tabs>
        <w:spacing w:line="312" w:lineRule="auto"/>
        <w:ind w:left="426" w:hanging="840"/>
        <w:rPr>
          <w:rFonts w:ascii="Times New Roman" w:hAnsi="Times New Roman"/>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término, extinção ou transferência da concessão da Emissora para a exploração de serviços de distribuição de energia ou ato de qualquer autoridade governamental com o objetivo de sequestrar, expropriar, nacionalizar, desapropriar ou de qualquer modo adquirir, compulsoriamente, a totalidade ou parte substancial dos ativos da Emissora;</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transformação do tipo societário da Emissora</w:t>
      </w:r>
      <w:r>
        <w:rPr>
          <w:rFonts w:ascii="Times New Roman" w:hAnsi="Times New Roman"/>
          <w:color w:val="000000"/>
          <w:w w:val="0"/>
        </w:rPr>
        <w:t>, nos termos dos artigos 220 a 222 da Lei das Sociedades por Ações</w:t>
      </w:r>
      <w:r>
        <w:rPr>
          <w:rFonts w:ascii="Times New Roman" w:hAnsi="Times New Roman"/>
        </w:rPr>
        <w:t>;</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 w:val="num" w:pos="1134"/>
        </w:tabs>
        <w:spacing w:line="312" w:lineRule="auto"/>
        <w:ind w:hanging="840"/>
        <w:rPr>
          <w:rFonts w:ascii="Times New Roman" w:hAnsi="Times New Roman"/>
          <w:noProof/>
        </w:rPr>
      </w:pPr>
      <w:r>
        <w:rPr>
          <w:rFonts w:ascii="Times New Roman" w:hAnsi="Times New Roman"/>
        </w:rPr>
        <w:t xml:space="preserve">declaração de vencimento antecipado de qualquer dívida e/ou obrigações financeiras da Emissora no mercado local ou internacional em valor individual ou global superior ao equivalente em reais a US$25.000.000,00 (vinte e cinco milhões de dólares norte-americanos); </w:t>
      </w:r>
    </w:p>
    <w:p>
      <w:pPr>
        <w:pStyle w:val="PargrafodaLista"/>
        <w:rPr>
          <w:rFonts w:ascii="Times New Roman" w:hAnsi="Times New Roman"/>
          <w:noProof/>
        </w:rPr>
      </w:pPr>
    </w:p>
    <w:p>
      <w:pPr>
        <w:pStyle w:val="p0"/>
        <w:widowControl w:val="0"/>
        <w:numPr>
          <w:ilvl w:val="0"/>
          <w:numId w:val="41"/>
        </w:numPr>
        <w:tabs>
          <w:tab w:val="clear" w:pos="720"/>
          <w:tab w:val="num" w:pos="1134"/>
        </w:tabs>
        <w:spacing w:line="312" w:lineRule="auto"/>
        <w:ind w:hanging="840"/>
        <w:rPr>
          <w:rFonts w:ascii="Times New Roman" w:hAnsi="Times New Roman"/>
          <w:noProof/>
        </w:rPr>
      </w:pPr>
      <w:r>
        <w:rPr>
          <w:rFonts w:ascii="Times New Roman" w:hAnsi="Times New Roman"/>
          <w:noProof/>
        </w:rPr>
        <w:t xml:space="preserve">questionamento judicial, por qualquer pessoa que não a Emissora e/ou qualquer de suas coligadas, controladas ou controladoras, da validade ou exequibilidade das Debêntures e/ou da Garantia, não contestado tempestivamente pela Emissora com vistas à elisao de tal questionamento, após validamente citada ou intimada; </w:t>
      </w:r>
    </w:p>
    <w:p>
      <w:pPr>
        <w:pStyle w:val="p0"/>
        <w:widowControl w:val="0"/>
        <w:tabs>
          <w:tab w:val="clear" w:pos="720"/>
          <w:tab w:val="num" w:pos="840"/>
          <w:tab w:val="num" w:pos="1134"/>
        </w:tabs>
        <w:spacing w:line="312" w:lineRule="auto"/>
        <w:ind w:left="480" w:hanging="840"/>
        <w:rPr>
          <w:rFonts w:ascii="Times New Roman" w:hAnsi="Times New Roman"/>
        </w:rPr>
      </w:pPr>
    </w:p>
    <w:p>
      <w:pPr>
        <w:pStyle w:val="p0"/>
        <w:widowControl w:val="0"/>
        <w:numPr>
          <w:ilvl w:val="0"/>
          <w:numId w:val="41"/>
        </w:numPr>
        <w:tabs>
          <w:tab w:val="clear" w:pos="720"/>
          <w:tab w:val="num" w:pos="1134"/>
        </w:tabs>
        <w:spacing w:line="312" w:lineRule="auto"/>
        <w:ind w:hanging="840"/>
        <w:rPr>
          <w:rFonts w:ascii="Times New Roman" w:hAnsi="Times New Roman"/>
        </w:rPr>
      </w:pPr>
      <w:r>
        <w:rPr>
          <w:rFonts w:ascii="Times New Roman" w:hAnsi="Times New Roman"/>
        </w:rPr>
        <w:t>se, sem o expresso consentimento dos Debenturistas, na forma prevista nesta Escritura, a Emissora tiver alteração no seu controle acionário, direta ou indireta, exceto (a) as operações societárias envolvendo a Emissora que resultem na preservação da AES Corporation como acionista controlador (direto ou indireto) da Emissora, podendo inclusive o BNDES Participações S.A. – BNDESPAR aumentar, diminuir e/ou se desfazer da sua participação acionária na Emissora, desde que a AES Corporation seja preservada como acionista controlador (direto ou indireto) da Emissora; ou (b)</w:t>
      </w:r>
      <w:r>
        <w:rPr>
          <w:rFonts w:ascii="Times New Roman" w:hAnsi="Times New Roman"/>
          <w:b/>
        </w:rPr>
        <w:t xml:space="preserve"> </w:t>
      </w:r>
      <w:r>
        <w:rPr>
          <w:rFonts w:ascii="Times New Roman" w:hAnsi="Times New Roman"/>
        </w:rPr>
        <w:t>se decorrente de operações visando a migração da Emissora para níveis de governança corporativa superiores ao nível da Emissora na presente data (“</w:t>
      </w:r>
      <w:r>
        <w:rPr>
          <w:rFonts w:ascii="Times New Roman" w:hAnsi="Times New Roman"/>
          <w:u w:val="single"/>
        </w:rPr>
        <w:t>Migração</w:t>
      </w:r>
      <w:r>
        <w:rPr>
          <w:rFonts w:ascii="Times New Roman" w:hAnsi="Times New Roman"/>
        </w:rPr>
        <w:t xml:space="preserve">”), sendo certo que, após ocorrência da Migração, este Evento de </w:t>
      </w:r>
      <w:r>
        <w:rPr>
          <w:rFonts w:ascii="Times New Roman" w:hAnsi="Times New Roman"/>
        </w:rPr>
        <w:lastRenderedPageBreak/>
        <w:t>Inadimplemento não será mais válido e eficaz perante a Emissora;</w:t>
      </w:r>
    </w:p>
    <w:p>
      <w:pPr>
        <w:pStyle w:val="PargrafodaLista"/>
        <w:rPr>
          <w:rFonts w:ascii="Times New Roman" w:hAnsi="Times New Roman"/>
        </w:rPr>
      </w:pPr>
    </w:p>
    <w:p>
      <w:pPr>
        <w:pStyle w:val="p0"/>
        <w:widowControl w:val="0"/>
        <w:numPr>
          <w:ilvl w:val="0"/>
          <w:numId w:val="41"/>
        </w:numPr>
        <w:tabs>
          <w:tab w:val="clear" w:pos="720"/>
          <w:tab w:val="num" w:pos="1134"/>
        </w:tabs>
        <w:spacing w:line="312" w:lineRule="auto"/>
        <w:ind w:hanging="840"/>
        <w:rPr>
          <w:rFonts w:ascii="Times New Roman" w:hAnsi="Times New Roman"/>
        </w:rPr>
      </w:pPr>
      <w:r>
        <w:rPr>
          <w:rFonts w:ascii="Times New Roman" w:hAnsi="Times New Roman"/>
        </w:rPr>
        <w:t>caso, após a Emissora concluir uma Migração, a administração da Emissora aprove nova proposta visando a migração da Emissora para um ou mais níveis de governança inferior ao nível da Emissora após a conclusão da Migração;</w:t>
      </w:r>
    </w:p>
    <w:p>
      <w:pPr>
        <w:pStyle w:val="p0"/>
        <w:widowControl w:val="0"/>
        <w:tabs>
          <w:tab w:val="clear" w:pos="720"/>
          <w:tab w:val="num" w:pos="840"/>
          <w:tab w:val="num" w:pos="1134"/>
        </w:tabs>
        <w:spacing w:line="312" w:lineRule="auto"/>
        <w:ind w:left="480"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color w:val="000000"/>
        </w:rPr>
      </w:pPr>
      <w:r>
        <w:rPr>
          <w:rFonts w:ascii="Times New Roman" w:hAnsi="Times New Roman"/>
          <w:color w:val="000000"/>
        </w:rPr>
        <w:t xml:space="preserve">se, sem o expresso consentimento dos Debenturistas, nos termos desta Escritura, a Emissora sofrer qualquer operação de incorporação, cisão ou fusão, exceto (a) nos casos em que realizadas entre sociedades integrantes do seu grupo econômico; (b) mediante anuência prévia dos Debenturistas representando, no mínimo, 2/3 (dois terços) das Debêntures em Circulação; ou (c) se assegurado o resgate das Debêntures para Debenturistas dissidentes, nos termos do §1° do artigo 231 da Lei das Sociedades por Ações;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 xml:space="preserve">decisão judicial transitada em julgado ou arbitral definitiva, de natureza condenatória, contra a Emissora, cujo valor total ultrapasse o equivalente em reais a US$ 25.000.000,00 (vinte e cinco milhões de dólares norte-americanos), desde que a Emissora não comprove o pagamento ao Agente Fiduciário do referido valor total no prazo de </w:t>
      </w:r>
      <w:r>
        <w:rPr>
          <w:rFonts w:ascii="Times New Roman" w:hAnsi="Times New Roman"/>
          <w:noProof/>
        </w:rPr>
        <w:t xml:space="preserve">30 (trinta) Dias Úteis </w:t>
      </w:r>
      <w:r>
        <w:rPr>
          <w:rFonts w:ascii="Times New Roman" w:hAnsi="Times New Roman"/>
        </w:rPr>
        <w:t xml:space="preserve">a partir do pagamento, nos prazos e termos estabelecidos em referida decisão judicial transitada em julgado ou decisão arbitral definitiva;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 xml:space="preserve">falta de cumprimento pela Emissora de qualquer obrigação pecuniária (que não aquelas descritas </w:t>
      </w:r>
      <w:r>
        <w:rPr>
          <w:rFonts w:ascii="Times New Roman" w:hAnsi="Times New Roman"/>
          <w:noProof/>
        </w:rPr>
        <w:t>no subitem (iii</w:t>
      </w:r>
      <w:r>
        <w:rPr>
          <w:rFonts w:ascii="Times New Roman" w:hAnsi="Times New Roman"/>
        </w:rPr>
        <w:t xml:space="preserve">) acima) e/ou não pecuniária previstas nesta Escritura de Emissão dentro de um prazo de 30 (trinta) dias de comunicação do referido descumprimento: (i) pela Emissora ao Agente Fiduciário; ou (ii) pelo Agente Fiduciário à Emissora, dos dois o que ocorrer primeiro, sendo que esse prazo não se aplica às obrigações para as quais tenha sido estipulado prazo específico;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bookmarkStart w:id="2" w:name="_DV_M228"/>
      <w:bookmarkEnd w:id="2"/>
      <w:r>
        <w:rPr>
          <w:rFonts w:ascii="Times New Roman" w:hAnsi="Times New Roman"/>
          <w:noProof/>
        </w:rPr>
        <w:t>distribuição</w:t>
      </w:r>
      <w:r>
        <w:rPr>
          <w:rFonts w:ascii="Times New Roman" w:hAnsi="Times New Roman"/>
        </w:rPr>
        <w:t xml:space="preserve"> de dividendos acima do mínimo obrigatório sempre que a Emissora estiver em descumprimento com qualquer obrigação pecuniária prevista nesta Escritura de Emissão e/ou no Contrato de Cessão Fiduciária, conforme previsto no artigo 202 da Lei das Sociedades por Ações;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noProof/>
        </w:rPr>
      </w:pPr>
      <w:r>
        <w:rPr>
          <w:rFonts w:ascii="Times New Roman" w:hAnsi="Times New Roman"/>
        </w:rPr>
        <w:t>protesto legítimo de títulos contra a Emissora, cujo valor individual ou global ultrapasse o equivalente em reais a US$ 25.000.000,00 (vinte e cinco milhões de dólares norte-americanos), salvo se (i) no prazo de 15 (quinze) Dias Úteis a Emissora tiver comprovado que o protesto foi efetuado por erro ou má-fé de terceiro, (ii) for cancelado, ou ainda (iii) tiver a sua exigibilidade suspensa por sentença judicial;</w:t>
      </w:r>
      <w:r>
        <w:rPr>
          <w:rFonts w:ascii="Times New Roman" w:hAnsi="Times New Roman"/>
          <w:noProof/>
        </w:rPr>
        <w:t xml:space="preserve"> </w:t>
      </w:r>
    </w:p>
    <w:p>
      <w:pPr>
        <w:pStyle w:val="p0"/>
        <w:widowControl w:val="0"/>
        <w:tabs>
          <w:tab w:val="clear" w:pos="720"/>
          <w:tab w:val="num" w:pos="840"/>
        </w:tabs>
        <w:spacing w:line="312" w:lineRule="auto"/>
        <w:ind w:left="426" w:hanging="840"/>
        <w:rPr>
          <w:rFonts w:ascii="Times New Roman" w:hAnsi="Times New Roman"/>
        </w:rPr>
      </w:pPr>
    </w:p>
    <w:p>
      <w:pPr>
        <w:pStyle w:val="p0"/>
        <w:widowControl w:val="0"/>
        <w:numPr>
          <w:ilvl w:val="0"/>
          <w:numId w:val="41"/>
        </w:numPr>
        <w:tabs>
          <w:tab w:val="clear" w:pos="720"/>
        </w:tabs>
        <w:spacing w:line="312" w:lineRule="auto"/>
        <w:ind w:left="851" w:hanging="851"/>
        <w:rPr>
          <w:rFonts w:ascii="Times New Roman" w:hAnsi="Times New Roman"/>
          <w:noProof/>
        </w:rPr>
      </w:pPr>
      <w:r>
        <w:rPr>
          <w:rFonts w:ascii="Times New Roman" w:hAnsi="Times New Roman"/>
        </w:rPr>
        <w:t xml:space="preserve">comprovação da inveracidade de qualquer declaração feita pela Emissora nesta Escritura de Emissão, bem como provarem-se ou revelarem-se incorretas, enganosas, inconsistentes ou imprecisas, qualquer das declarações ou garantias prestadas pela Emissora nesta Escritura, em qualquer caso, que afete de forma adversa e relevante as Debêntures; </w:t>
      </w:r>
    </w:p>
    <w:p>
      <w:pPr>
        <w:pStyle w:val="p0"/>
        <w:widowControl w:val="0"/>
        <w:tabs>
          <w:tab w:val="clear" w:pos="720"/>
        </w:tabs>
        <w:spacing w:line="312" w:lineRule="auto"/>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redução do capital social da Emissora sem observâ</w:t>
      </w:r>
      <w:r>
        <w:rPr>
          <w:rFonts w:ascii="Times New Roman" w:hAnsi="Times New Roman"/>
          <w:sz w:val="20"/>
        </w:rPr>
        <w:t>n</w:t>
      </w:r>
      <w:r>
        <w:rPr>
          <w:rFonts w:ascii="Times New Roman" w:hAnsi="Times New Roman"/>
        </w:rPr>
        <w:t xml:space="preserve">cia do disposto no parágrafo 3° do artigo 174 da Lei das Sociedades por Ações, exceto para absorção de prejuízos acumulados; </w:t>
      </w:r>
    </w:p>
    <w:p>
      <w:pPr>
        <w:pStyle w:val="p0"/>
        <w:widowControl w:val="0"/>
        <w:tabs>
          <w:tab w:val="clear" w:pos="720"/>
        </w:tabs>
        <w:spacing w:line="312" w:lineRule="auto"/>
        <w:rPr>
          <w:rFonts w:ascii="Times New Roman" w:hAnsi="Times New Roman"/>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 xml:space="preserve">rebaixamento da classificação de </w:t>
      </w:r>
      <w:r>
        <w:rPr>
          <w:rFonts w:ascii="Times New Roman" w:hAnsi="Times New Roman"/>
          <w:noProof/>
        </w:rPr>
        <w:t>r</w:t>
      </w:r>
      <w:r>
        <w:rPr>
          <w:rFonts w:ascii="Times New Roman" w:hAnsi="Times New Roman"/>
        </w:rPr>
        <w:t>isco (</w:t>
      </w:r>
      <w:r>
        <w:rPr>
          <w:rFonts w:ascii="Times New Roman" w:hAnsi="Times New Roman"/>
          <w:i/>
        </w:rPr>
        <w:t>rating</w:t>
      </w:r>
      <w:r>
        <w:rPr>
          <w:rFonts w:ascii="Times New Roman" w:hAnsi="Times New Roman"/>
        </w:rPr>
        <w:t xml:space="preserve">) da Emissora ou da Emissão para um </w:t>
      </w:r>
      <w:r>
        <w:rPr>
          <w:rFonts w:ascii="Times New Roman" w:hAnsi="Times New Roman"/>
          <w:i/>
        </w:rPr>
        <w:t>rating</w:t>
      </w:r>
      <w:r>
        <w:rPr>
          <w:rFonts w:ascii="Times New Roman" w:hAnsi="Times New Roman"/>
        </w:rPr>
        <w:t xml:space="preserve"> abaixo de CCC pela Fitch Ratings Brasil Ltda., ou CCC+ pela Standard&amp;Poor’s ou  Caa1 pela Moody’s, exceto se, no período de 3 (três) meses, a classificação de risco da Emissora ou da Emissão, conforme o caso, volte a ter, pelo menos, o conceito CCC pela Fitch Ratings Brasil Ltda.,ou CCC+ pela Standard&amp;Poor’s ou Caa1 pela Moody’s; </w:t>
      </w:r>
    </w:p>
    <w:p>
      <w:pPr>
        <w:pStyle w:val="PargrafodaLista"/>
        <w:rPr>
          <w:rFonts w:ascii="Times New Roman" w:hAnsi="Times New Roman"/>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 xml:space="preserve">não realização do Reforço de Garantia (conforme definido no Contrato de Garantia), respeitados os prazos de cura estabelecidos no Contrato de Garantia; e </w:t>
      </w:r>
    </w:p>
    <w:p>
      <w:pPr>
        <w:pStyle w:val="p0"/>
        <w:widowControl w:val="0"/>
        <w:tabs>
          <w:tab w:val="clear" w:pos="720"/>
          <w:tab w:val="num" w:pos="840"/>
        </w:tabs>
        <w:spacing w:line="312" w:lineRule="auto"/>
        <w:ind w:left="426" w:hanging="840"/>
        <w:rPr>
          <w:rFonts w:ascii="Times New Roman" w:hAnsi="Times New Roman"/>
          <w:noProof/>
        </w:rPr>
      </w:pPr>
    </w:p>
    <w:p>
      <w:pPr>
        <w:pStyle w:val="p0"/>
        <w:widowControl w:val="0"/>
        <w:numPr>
          <w:ilvl w:val="0"/>
          <w:numId w:val="41"/>
        </w:numPr>
        <w:tabs>
          <w:tab w:val="clear" w:pos="720"/>
        </w:tabs>
        <w:spacing w:line="312" w:lineRule="auto"/>
        <w:ind w:hanging="840"/>
        <w:rPr>
          <w:rFonts w:ascii="Times New Roman" w:hAnsi="Times New Roman"/>
        </w:rPr>
      </w:pPr>
      <w:r>
        <w:rPr>
          <w:rFonts w:ascii="Times New Roman" w:hAnsi="Times New Roman"/>
        </w:rPr>
        <w:t>não observância, pela Emissora, por 2 (dois) trimestres consecutivos dos seguintes índices e limites financeiros (“</w:t>
      </w:r>
      <w:r>
        <w:rPr>
          <w:rFonts w:ascii="Times New Roman" w:hAnsi="Times New Roman"/>
          <w:u w:val="single"/>
        </w:rPr>
        <w:t>Índices Financeiros</w:t>
      </w:r>
      <w:r>
        <w:rPr>
          <w:rFonts w:ascii="Times New Roman" w:hAnsi="Times New Roman"/>
        </w:rPr>
        <w:t xml:space="preserve">”), verificados trimestralmente pelo Agente Fiduciário, a serem calculados pela Emissora, e apurados e revisados trimestralmente pelos auditores contratados pela Emissora, com base nas informações financeiras consolidadas da Emissora, ao final de cada trimestre, a partir de 30 de junho de 2017, em até 15 (quinze) dias corridos após a divulgação à CVM das respectivas demonstrações financeiras, até o pagamento integral dos valores devidos em virtude das Debêntures: </w:t>
      </w:r>
    </w:p>
    <w:p>
      <w:pPr>
        <w:pStyle w:val="p0"/>
        <w:widowControl w:val="0"/>
        <w:tabs>
          <w:tab w:val="clear" w:pos="720"/>
        </w:tabs>
        <w:spacing w:line="312" w:lineRule="auto"/>
        <w:ind w:left="426"/>
        <w:rPr>
          <w:rFonts w:ascii="Times New Roman" w:hAnsi="Times New Roman"/>
          <w:noProof/>
        </w:rPr>
      </w:pPr>
    </w:p>
    <w:p>
      <w:pPr>
        <w:pStyle w:val="PargrafodaLista"/>
        <w:numPr>
          <w:ilvl w:val="0"/>
          <w:numId w:val="42"/>
        </w:numPr>
        <w:spacing w:line="312" w:lineRule="auto"/>
        <w:ind w:left="1418" w:hanging="567"/>
        <w:contextualSpacing w:val="0"/>
        <w:rPr>
          <w:rFonts w:ascii="Times New Roman" w:hAnsi="Times New Roman"/>
        </w:rPr>
      </w:pPr>
      <w:r>
        <w:rPr>
          <w:rFonts w:ascii="Times New Roman" w:hAnsi="Times New Roman"/>
        </w:rPr>
        <w:t xml:space="preserve">O índice obtido da divisão da Dívida Líquida Financeira pelo EBITDA (conforme definidos abaixo) </w:t>
      </w:r>
      <w:r>
        <w:rPr>
          <w:rFonts w:ascii="Times New Roman" w:hAnsi="Times New Roman"/>
          <w:u w:val="single"/>
        </w:rPr>
        <w:t>não poderá ser superior a 3,5 (três inteiros e cinco décimos) vezes</w:t>
      </w:r>
      <w:r>
        <w:rPr>
          <w:rFonts w:ascii="Times New Roman" w:hAnsi="Times New Roman"/>
        </w:rPr>
        <w:t>; e</w:t>
      </w:r>
    </w:p>
    <w:p>
      <w:pPr>
        <w:pStyle w:val="PargrafodaLista"/>
        <w:spacing w:line="312" w:lineRule="auto"/>
        <w:ind w:left="1418" w:hanging="567"/>
        <w:contextualSpacing w:val="0"/>
        <w:rPr>
          <w:rFonts w:ascii="Times New Roman" w:hAnsi="Times New Roman"/>
        </w:rPr>
      </w:pPr>
    </w:p>
    <w:p>
      <w:pPr>
        <w:pStyle w:val="PargrafodaLista"/>
        <w:numPr>
          <w:ilvl w:val="0"/>
          <w:numId w:val="42"/>
        </w:numPr>
        <w:spacing w:line="312" w:lineRule="auto"/>
        <w:ind w:left="1418" w:hanging="567"/>
        <w:contextualSpacing w:val="0"/>
        <w:rPr>
          <w:rFonts w:ascii="Times New Roman" w:hAnsi="Times New Roman"/>
        </w:rPr>
      </w:pPr>
      <w:r>
        <w:rPr>
          <w:rFonts w:ascii="Times New Roman" w:hAnsi="Times New Roman"/>
        </w:rPr>
        <w:t xml:space="preserve">O índice obtido da divisão entre EBITDA pelas Despesas Financeiras (conforme definido abaixo) </w:t>
      </w:r>
      <w:r>
        <w:rPr>
          <w:rFonts w:ascii="Times New Roman" w:hAnsi="Times New Roman"/>
          <w:u w:val="single"/>
        </w:rPr>
        <w:t>não poderá ser inferior a 1,75 (um inteiro e setenta e cinco décimos)  vezes.</w:t>
      </w:r>
      <w:r>
        <w:rPr>
          <w:rFonts w:ascii="Times New Roman" w:hAnsi="Times New Roman"/>
        </w:rPr>
        <w:t xml:space="preserve"> </w:t>
      </w:r>
    </w:p>
    <w:p>
      <w:pPr>
        <w:pStyle w:val="PargrafodaLista"/>
        <w:spacing w:line="312" w:lineRule="auto"/>
        <w:ind w:left="1134"/>
        <w:contextualSpacing w:val="0"/>
        <w:rPr>
          <w:rFonts w:ascii="Times New Roman" w:hAnsi="Times New Roman"/>
        </w:rPr>
      </w:pPr>
    </w:p>
    <w:p>
      <w:pPr>
        <w:pStyle w:val="p0"/>
        <w:tabs>
          <w:tab w:val="clear" w:pos="720"/>
        </w:tabs>
        <w:spacing w:line="312" w:lineRule="auto"/>
        <w:ind w:left="426"/>
        <w:rPr>
          <w:rFonts w:ascii="Times New Roman" w:hAnsi="Times New Roman"/>
          <w:noProof/>
        </w:rPr>
      </w:pPr>
      <w:r>
        <w:rPr>
          <w:rFonts w:ascii="Times New Roman" w:hAnsi="Times New Roman"/>
        </w:rPr>
        <w:t>Onde:</w:t>
      </w:r>
    </w:p>
    <w:p>
      <w:pPr>
        <w:pStyle w:val="p0"/>
        <w:tabs>
          <w:tab w:val="clear" w:pos="720"/>
        </w:tabs>
        <w:spacing w:line="312" w:lineRule="auto"/>
        <w:ind w:left="426"/>
        <w:rPr>
          <w:rFonts w:ascii="Times New Roman" w:hAnsi="Times New Roman"/>
        </w:rPr>
      </w:pPr>
    </w:p>
    <w:p>
      <w:pPr>
        <w:pStyle w:val="p0"/>
        <w:spacing w:line="312" w:lineRule="auto"/>
        <w:ind w:left="426"/>
        <w:rPr>
          <w:rFonts w:ascii="Times New Roman" w:hAnsi="Times New Roman"/>
        </w:rPr>
      </w:pPr>
      <w:r>
        <w:rPr>
          <w:rFonts w:ascii="Times New Roman" w:hAnsi="Times New Roman"/>
        </w:rPr>
        <w:t>“</w:t>
      </w:r>
      <w:r>
        <w:rPr>
          <w:rFonts w:ascii="Times New Roman" w:hAnsi="Times New Roman"/>
          <w:u w:val="single"/>
        </w:rPr>
        <w:t>Dívida Líquida Financeira</w:t>
      </w:r>
      <w:r>
        <w:rPr>
          <w:rFonts w:ascii="Times New Roman" w:hAnsi="Times New Roman"/>
        </w:rPr>
        <w:t xml:space="preserve">” significa a Dívida da Emissora e das suas subsidiárias em base consolidada de acordo com o resultado trimestral contábil mais recente menos o caixa e aplicações financeiras. </w:t>
      </w:r>
    </w:p>
    <w:p>
      <w:pPr>
        <w:pStyle w:val="p0"/>
        <w:spacing w:line="312" w:lineRule="auto"/>
        <w:ind w:left="426"/>
        <w:rPr>
          <w:rFonts w:ascii="Times New Roman" w:hAnsi="Times New Roman"/>
          <w:noProof/>
        </w:rPr>
      </w:pPr>
    </w:p>
    <w:p>
      <w:pPr>
        <w:pStyle w:val="BodyText21"/>
        <w:spacing w:line="312" w:lineRule="auto"/>
        <w:ind w:left="426"/>
        <w:rPr>
          <w:rFonts w:ascii="Times New Roman" w:hAnsi="Times New Roman"/>
          <w:sz w:val="20"/>
        </w:rPr>
      </w:pPr>
      <w:r>
        <w:rPr>
          <w:rFonts w:ascii="Times New Roman" w:hAnsi="Times New Roman" w:cs="Times New Roman"/>
        </w:rPr>
        <w:t>“</w:t>
      </w:r>
      <w:r>
        <w:rPr>
          <w:rFonts w:ascii="Times New Roman" w:hAnsi="Times New Roman" w:cs="Times New Roman"/>
          <w:u w:val="single"/>
        </w:rPr>
        <w:t>Dívida</w:t>
      </w:r>
      <w:r>
        <w:rPr>
          <w:rFonts w:ascii="Times New Roman" w:hAnsi="Times New Roman" w:cs="Times New Roman"/>
        </w:rPr>
        <w:t xml:space="preserve">” significa o somatório de (a) todas as obrigações da Emissora por fundos tomados em empréstimo ou em relação a depósitos ou adiantamento de qualquer tipo, </w:t>
      </w:r>
      <w:r>
        <w:rPr>
          <w:rFonts w:ascii="Times New Roman" w:hAnsi="Times New Roman"/>
        </w:rPr>
        <w:t>(b) todas as obrigações da Emissora evidenciadas por títulos, debêntures, notas ou instrumentos similares; (c) saldo líquido das operações da Emissora evidenciados por contratos de derivativos, (d) todas as dívidas de terceiros garantidas por (ou em relação a qual o titular da dívida tenha um direito, seja condicional ou não, de ser garantido) qualquer ônus sobre bens detidos ou adquiridos pela Emissora, tenha ou não a dívida garantida sido assumida; (e) todas as obrigações relativas a arrendamentos mercantis da Emissora; (f) todas as obrigações, condicionais ou não, da Emissora na qualidade de parte de cartas de crédito, cartas de garantia e/ou avais; e (g) todas as obrigações, condicionais ou não, da Emissora em relação a aceites bancários; excluindo-se (i) os empréstimos setoriais compulsórios (“Empréstimos Compulsórios”), (ii) empréstimos concedidos pelas Centrais Elétricas Brasileiras S.A. – Eletrobrás (“Empréstimos Eletrobrás”), (iii) os empréstimos concedidos por entidades governamentais com o exclusivo objetivo de recompor o caixa das distribuidoras já afetado pelas variações nos ativos e passivos regulatórios não reconhecidos na tarifa</w:t>
      </w:r>
      <w:r>
        <w:rPr>
          <w:rFonts w:ascii="Times New Roman" w:hAnsi="Times New Roman" w:cs="Times New Roman"/>
        </w:rPr>
        <w:t xml:space="preserve"> e (iv) o valor da dívida equivalente aos ganhos e perdas atuariais reconhecidos contra o Patrimônio Líquido. As exclusões mencionadas nos itens “i” e “ii” acima somente serão aplicadas se a Emissora estiver atuando como agente repassador dos Empréstimos Compulsórios e dos Empréstimos Eletrobrás para outras entidades</w:t>
      </w:r>
      <w:r>
        <w:rPr>
          <w:rFonts w:ascii="Times New Roman" w:hAnsi="Times New Roman"/>
          <w:sz w:val="20"/>
        </w:rPr>
        <w:t xml:space="preserve">. </w:t>
      </w:r>
    </w:p>
    <w:p>
      <w:pPr>
        <w:pStyle w:val="p0"/>
        <w:spacing w:line="312" w:lineRule="auto"/>
        <w:ind w:left="426"/>
        <w:rPr>
          <w:rFonts w:ascii="Times New Roman" w:hAnsi="Times New Roman"/>
          <w:noProof/>
        </w:rPr>
      </w:pPr>
      <w:r>
        <w:rPr>
          <w:rFonts w:ascii="Times New Roman" w:hAnsi="Times New Roman"/>
        </w:rPr>
        <w:t xml:space="preserve"> </w:t>
      </w:r>
    </w:p>
    <w:p>
      <w:pPr>
        <w:pStyle w:val="p0"/>
        <w:spacing w:line="312" w:lineRule="auto"/>
        <w:ind w:left="426"/>
        <w:rPr>
          <w:rFonts w:ascii="Times New Roman" w:hAnsi="Times New Roman"/>
        </w:rPr>
      </w:pPr>
      <w:r>
        <w:rPr>
          <w:rFonts w:ascii="Times New Roman" w:hAnsi="Times New Roman"/>
        </w:rPr>
        <w:t>“</w:t>
      </w:r>
      <w:r>
        <w:rPr>
          <w:rFonts w:ascii="Times New Roman" w:hAnsi="Times New Roman"/>
          <w:u w:val="single"/>
        </w:rPr>
        <w:t>EBITDA</w:t>
      </w:r>
      <w:r>
        <w:rPr>
          <w:rFonts w:ascii="Times New Roman" w:hAnsi="Times New Roman"/>
        </w:rPr>
        <w:t>” significa o somatório dos últimos doze meses (i) do resultado operacional conforme apresentado no demonstrativo contábil consolidado da Emissora na linha “Resultado Operacional” (excluindo as receitas e despesas financeiras), (ii) todos os montantes de depreciação e amortização, (iii) todos os montantes relativos a despesas com entidade de previdência privada classificado na conta de “custo de operação” e (iv) os ajustes dos ativos e passivos regulatórios (positivos e negativos no resultado) conforme as regras regulatórias determinadas pela ANEEL (Agência Nacional de Energia Elétrica), desde que não incluídos no resultado operacional acima.</w:t>
      </w:r>
    </w:p>
    <w:p>
      <w:pPr>
        <w:pStyle w:val="p0"/>
        <w:spacing w:line="312" w:lineRule="auto"/>
        <w:ind w:left="426"/>
        <w:rPr>
          <w:rFonts w:ascii="Times New Roman" w:hAnsi="Times New Roman"/>
          <w:noProof/>
        </w:rPr>
      </w:pPr>
    </w:p>
    <w:p>
      <w:pPr>
        <w:pStyle w:val="p0"/>
        <w:spacing w:line="312" w:lineRule="auto"/>
        <w:ind w:left="426"/>
        <w:rPr>
          <w:rFonts w:ascii="Times New Roman" w:hAnsi="Times New Roman"/>
        </w:rPr>
      </w:pPr>
      <w:r>
        <w:rPr>
          <w:rFonts w:ascii="Times New Roman" w:hAnsi="Times New Roman"/>
        </w:rPr>
        <w:t>“</w:t>
      </w:r>
      <w:r>
        <w:rPr>
          <w:rFonts w:ascii="Times New Roman" w:hAnsi="Times New Roman"/>
          <w:u w:val="single"/>
        </w:rPr>
        <w:t>Despesas Financeiras</w:t>
      </w:r>
      <w:r>
        <w:rPr>
          <w:rFonts w:ascii="Times New Roman" w:hAnsi="Times New Roman"/>
        </w:rPr>
        <w:t>” significam as despesas da Emissora e das suas subsidiárias em qualquer período dos últimos 12 (doze) meses, relacionadas ao total de juros incidentes no montante da dívida a pagar em tal período, incluindo comissões, descontos, honorários e despesas derivadas de letras de crédito e de aceite de financiamentos a medida que tais financiamentos constituam Dívida. As despesas financeiras excluem aquelas relacionadas a (i) Empréstimos Compulsórios, (ii) Empréstimos Eletrobrás; e (iii) empréstimos concedidos por entidades governamentais com o exclusivo objetivo de recompor o caixa das distribuidoras já afetado pelas variações nos ativos e passivos regulatórios não reconhecidos na tarifa. As exclusões mencionadas nos itens “i” e “ii” acima somente serão aplicadas se a Emissora estiver atuando como agente repassador dos Empréstimos Compulsórios e dos Empréstimos Eletrobrás para outras entidades</w:t>
      </w:r>
      <w:r>
        <w:rPr>
          <w:sz w:val="20"/>
        </w:rPr>
        <w:t>.</w:t>
      </w:r>
      <w:r>
        <w:rPr>
          <w:sz w:val="20"/>
          <w:szCs w:val="20"/>
        </w:rPr>
        <w:t xml:space="preserve"> </w:t>
      </w:r>
    </w:p>
    <w:p>
      <w:pPr>
        <w:pStyle w:val="p0"/>
        <w:spacing w:line="312" w:lineRule="auto"/>
        <w:ind w:left="426"/>
        <w:rPr>
          <w:rFonts w:ascii="Times New Roman" w:hAnsi="Times New Roman"/>
          <w:noProof/>
        </w:rPr>
      </w:pPr>
    </w:p>
    <w:p>
      <w:pPr>
        <w:tabs>
          <w:tab w:val="left" w:pos="1134"/>
        </w:tabs>
        <w:spacing w:line="312" w:lineRule="auto"/>
        <w:rPr>
          <w:rFonts w:ascii="Times New Roman" w:hAnsi="Times New Roman"/>
        </w:rPr>
      </w:pPr>
      <w:r>
        <w:rPr>
          <w:rFonts w:ascii="Times New Roman" w:hAnsi="Times New Roman"/>
        </w:rPr>
        <w:t>6.1.1.</w:t>
      </w:r>
      <w:r>
        <w:rPr>
          <w:rFonts w:ascii="Times New Roman" w:hAnsi="Times New Roman"/>
        </w:rPr>
        <w:tab/>
      </w:r>
      <w:r>
        <w:rPr>
          <w:rFonts w:ascii="Times New Roman" w:hAnsi="Times New Roman"/>
          <w:noProof/>
        </w:rPr>
        <w:tab/>
      </w:r>
      <w:r>
        <w:rPr>
          <w:rFonts w:ascii="Times New Roman" w:hAnsi="Times New Roman"/>
        </w:rPr>
        <w:t xml:space="preserve">A ocorrência de quaisquer dos Eventos de Inadimplemento indicados </w:t>
      </w:r>
      <w:r>
        <w:rPr>
          <w:rFonts w:ascii="Times New Roman" w:hAnsi="Times New Roman"/>
          <w:noProof/>
        </w:rPr>
        <w:t xml:space="preserve">nos subitens “i”, “ii”, “iii”, “iv”, “v”, “vi” e “x” </w:t>
      </w:r>
      <w:r>
        <w:rPr>
          <w:rFonts w:ascii="Times New Roman" w:hAnsi="Times New Roman"/>
        </w:rPr>
        <w:t xml:space="preserve">do item 6.1. acima, não sanados nos respectivos prazos de cura, se </w:t>
      </w:r>
      <w:r>
        <w:rPr>
          <w:rFonts w:ascii="Times New Roman" w:hAnsi="Times New Roman"/>
          <w:noProof/>
        </w:rPr>
        <w:t>houver</w:t>
      </w:r>
      <w:r>
        <w:rPr>
          <w:rFonts w:ascii="Times New Roman" w:hAnsi="Times New Roman"/>
        </w:rPr>
        <w:t xml:space="preserve">, acarretará o vencimento antecipado automático das Debêntures, independentemente de qualquer aviso ou notificação, judicial ou extrajudicial. </w:t>
      </w:r>
    </w:p>
    <w:p>
      <w:pPr>
        <w:tabs>
          <w:tab w:val="left" w:pos="1134"/>
        </w:tabs>
        <w:spacing w:line="312" w:lineRule="auto"/>
        <w:rPr>
          <w:rFonts w:ascii="Times New Roman" w:hAnsi="Times New Roman"/>
          <w:noProof/>
        </w:rPr>
      </w:pPr>
    </w:p>
    <w:p>
      <w:pPr>
        <w:tabs>
          <w:tab w:val="left" w:pos="1134"/>
        </w:tabs>
        <w:spacing w:line="312" w:lineRule="auto"/>
        <w:rPr>
          <w:rFonts w:ascii="Times New Roman" w:hAnsi="Times New Roman"/>
        </w:rPr>
      </w:pPr>
      <w:r>
        <w:rPr>
          <w:rFonts w:ascii="Times New Roman" w:hAnsi="Times New Roman"/>
        </w:rPr>
        <w:t>6.1.2.</w:t>
      </w:r>
      <w:r>
        <w:rPr>
          <w:rFonts w:ascii="Times New Roman" w:hAnsi="Times New Roman"/>
          <w:noProof/>
        </w:rPr>
        <w:tab/>
      </w:r>
      <w:r>
        <w:rPr>
          <w:rFonts w:ascii="Times New Roman" w:hAnsi="Times New Roman"/>
        </w:rPr>
        <w:tab/>
        <w:t>Na ocorrência dos Eventos de Inadimplemento previstos nas demais alíneas do item 6.1. acima (que não aquelas descritas no item 6.1.1. acima), o Agente Fiduciário deverá convocar, no prazo máximo de 2 (dois) Dias Úteis a contar do momento em que tomar ciência do evento, Assembleia Geral de Debenturistas, a se realizar nos prazos e demais condições descritas na Cláusula IX abaixo, para deliberar sobre a eventual não decretação de vencimento antecipado das obrigações decorrentes das Debêntures.</w:t>
      </w:r>
    </w:p>
    <w:p>
      <w:pPr>
        <w:tabs>
          <w:tab w:val="left" w:pos="1134"/>
        </w:tabs>
        <w:spacing w:line="312" w:lineRule="auto"/>
        <w:rPr>
          <w:rFonts w:ascii="Times New Roman" w:hAnsi="Times New Roman"/>
          <w:noProof/>
        </w:rPr>
      </w:pPr>
    </w:p>
    <w:p>
      <w:pPr>
        <w:tabs>
          <w:tab w:val="left" w:pos="1134"/>
        </w:tabs>
        <w:spacing w:line="312" w:lineRule="auto"/>
        <w:rPr>
          <w:rFonts w:ascii="Times New Roman" w:hAnsi="Times New Roman"/>
        </w:rPr>
      </w:pPr>
      <w:r>
        <w:rPr>
          <w:rFonts w:ascii="Times New Roman" w:hAnsi="Times New Roman"/>
        </w:rPr>
        <w:t>6.1.3.</w:t>
      </w:r>
      <w:r>
        <w:rPr>
          <w:rFonts w:ascii="Times New Roman" w:hAnsi="Times New Roman"/>
        </w:rPr>
        <w:tab/>
        <w:t>Na Assembleia Geral de Debenturistas de que trata o item 6.1.2. acima, Debenturistas representando, no mínimo, (i) 2/3 (dois terços) do total das Debêntures em Circulação em primeira convocação ou (ii) 2/3 (dois terços) dos Debenturistas presentes na respectiva Assembleia Geral de Debenturistas, em segunda convocação, desde que representem, no mínimo, 30% (trinta por cento) mais uma das Debêntures em Circulação, poderão decidir por não declarar o vencimento antecipado das obrigações decorrentes das Debêntures, sendo certo que tal decisão terá caráter irrevogável e irretratável.</w:t>
      </w:r>
    </w:p>
    <w:p>
      <w:pPr>
        <w:tabs>
          <w:tab w:val="left" w:pos="1134"/>
        </w:tabs>
        <w:spacing w:line="312" w:lineRule="auto"/>
        <w:rPr>
          <w:rFonts w:ascii="Times New Roman" w:hAnsi="Times New Roman"/>
          <w:noProof/>
        </w:rPr>
      </w:pPr>
    </w:p>
    <w:p>
      <w:pPr>
        <w:tabs>
          <w:tab w:val="left" w:pos="1134"/>
        </w:tabs>
        <w:spacing w:line="312" w:lineRule="auto"/>
        <w:rPr>
          <w:rFonts w:ascii="Times New Roman" w:hAnsi="Times New Roman"/>
        </w:rPr>
      </w:pPr>
      <w:r>
        <w:rPr>
          <w:rFonts w:ascii="Times New Roman" w:hAnsi="Times New Roman"/>
        </w:rPr>
        <w:t>6.1.4.</w:t>
      </w:r>
      <w:r>
        <w:rPr>
          <w:rFonts w:ascii="Times New Roman" w:hAnsi="Times New Roman"/>
        </w:rPr>
        <w:tab/>
      </w:r>
      <w:r>
        <w:rPr>
          <w:rFonts w:ascii="Times New Roman" w:hAnsi="Times New Roman"/>
        </w:rPr>
        <w:tab/>
        <w:t xml:space="preserve">Em caso do vencimento antecipado, declarado pelo Agente Fiduciário, das obrigações decorrentes das Debêntures, a Emissora, obriga-se a resgatar a totalidade das Debêntures, com o seu consequente cancelamento, pelo Valor Nominal Unitário (ou saldo do Valor Nominal Unitário, conforme o caso), acrescido da Remuneração, calculada </w:t>
      </w:r>
      <w:r>
        <w:rPr>
          <w:rFonts w:ascii="Times New Roman" w:hAnsi="Times New Roman"/>
          <w:i/>
        </w:rPr>
        <w:t>pro rata temporis</w:t>
      </w:r>
      <w:r>
        <w:rPr>
          <w:rFonts w:ascii="Times New Roman" w:hAnsi="Times New Roman"/>
        </w:rPr>
        <w:t>, desde a Data de Integralização ou última Data de Pagamento da Remuneração, o que ocorrer por último, até a data do efetivo resgate, sem prejuízo do pagamento dos Encargos Moratórios, quando for o caso, e de quaisquer outros valores eventualmente devidos pela Emissora nos termos desta Escritura de Emissão, fora do âmbito da CETIP, em até 2 (dois) Dias Úteis contados da data em que for declarado o vencimento antecipado das obrigações decorrentes das Debêntures, mediante comunicação por escrito a ser enviada pelo Agente Fiduciário à Emissora, sob pena de, em não o fazendo, ficar obrigada, ainda, ao pagamento dos Encargos Moratórios.</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6.1.5.</w:t>
      </w:r>
      <w:r>
        <w:rPr>
          <w:rFonts w:ascii="Times New Roman" w:hAnsi="Times New Roman"/>
        </w:rPr>
        <w:tab/>
        <w:t>Uma vez declaradas vencidas antecipadamente as Debêntures, o Agente Fiduciário deverá enviar notificação em até 1 (um) Dia Útil à Emissora, com cópia para CETIP.</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6.1.6.</w:t>
      </w:r>
      <w:r>
        <w:rPr>
          <w:rFonts w:ascii="Times New Roman" w:hAnsi="Times New Roman"/>
        </w:rPr>
        <w:tab/>
      </w:r>
      <w:r>
        <w:rPr>
          <w:rFonts w:ascii="Times New Roman" w:hAnsi="Times New Roman"/>
        </w:rPr>
        <w:tab/>
        <w:t>Para fins dos subitens “i” e “ii” do item 6.1.1 acima, será considerado como decretação de falência, recuperação judicial ou submissão aos credores de pedido de negociação de plano de recuperação extrajudicial qualquer procedimento extrajudicial ou judicial análogo previsto na legislação que venha a substituir ou complementar a atual legislação aplicável a falências, recuperação judicial e extrajudicial.</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6.1.7.</w:t>
      </w:r>
      <w:r>
        <w:rPr>
          <w:rFonts w:ascii="Times New Roman" w:hAnsi="Times New Roman"/>
        </w:rPr>
        <w:tab/>
      </w:r>
      <w:r>
        <w:rPr>
          <w:rFonts w:ascii="Times New Roman" w:hAnsi="Times New Roman"/>
        </w:rPr>
        <w:tab/>
        <w:t>A conversão dos valores mencionados em moeda estrangeira nesta Escritura será realizada conforme a taxa de câmbio de reais por dólar cotação de fechamento, apurada no mesmo dia da ocorrência do evento e divulgada pelo Banco Central do Brasil, por meio do seu sitio na rede mundial de computadores (www.bcb.gov.br; ver “Cotações e boletins”), como cotação “Fechamento PTAX”.</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6.1.8.</w:t>
      </w:r>
      <w:r>
        <w:rPr>
          <w:rFonts w:ascii="Times New Roman" w:hAnsi="Times New Roman"/>
        </w:rPr>
        <w:tab/>
        <w:t>Caso o pagamento dos valores devidos pela Emissora em decorrência da declaração do vencimento antecipado, automático ou não automático, ocorra em data diversa da data da efetiva declaração do vencimento antecipado, o referido pagamento deverá ocorrer fora do ambiente CETIP.</w:t>
      </w:r>
    </w:p>
    <w:p>
      <w:pPr>
        <w:tabs>
          <w:tab w:val="left" w:pos="1134"/>
        </w:tabs>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VII</w:t>
      </w:r>
      <w:r>
        <w:rPr>
          <w:rFonts w:ascii="Times New Roman" w:hAnsi="Times New Roman"/>
          <w:b/>
        </w:rPr>
        <w:br/>
        <w:t>OBRIGAÇÕES ADICIONAIS DA EMISSORA</w:t>
      </w:r>
    </w:p>
    <w:p>
      <w:pPr>
        <w:keepNext/>
        <w:spacing w:line="312" w:lineRule="auto"/>
        <w:jc w:val="center"/>
        <w:rPr>
          <w:rFonts w:ascii="Times New Roman" w:hAnsi="Times New Roman"/>
          <w:b/>
        </w:rPr>
      </w:pPr>
    </w:p>
    <w:p>
      <w:pPr>
        <w:tabs>
          <w:tab w:val="left" w:pos="709"/>
        </w:tabs>
        <w:spacing w:line="312" w:lineRule="auto"/>
        <w:rPr>
          <w:rFonts w:ascii="Times New Roman" w:hAnsi="Times New Roman"/>
        </w:rPr>
      </w:pPr>
      <w:r>
        <w:rPr>
          <w:rFonts w:ascii="Times New Roman" w:hAnsi="Times New Roman"/>
        </w:rPr>
        <w:t>7.1.</w:t>
      </w:r>
      <w:r>
        <w:rPr>
          <w:rFonts w:ascii="Times New Roman" w:hAnsi="Times New Roman"/>
        </w:rPr>
        <w:tab/>
      </w:r>
      <w:r>
        <w:rPr>
          <w:rFonts w:ascii="Times New Roman" w:hAnsi="Times New Roman"/>
        </w:rPr>
        <w:tab/>
        <w:t xml:space="preserve">Sem prejuízo das demais obrigações previstas nesta Escritura e na legislação e regulamentação aplicáveis, enquanto o saldo devedor das Debêntures não for integralmente pago, a Emissora obriga-se, ainda, a: </w:t>
      </w:r>
    </w:p>
    <w:p>
      <w:pPr>
        <w:tabs>
          <w:tab w:val="left" w:pos="709"/>
        </w:tabs>
        <w:spacing w:line="312" w:lineRule="auto"/>
        <w:rPr>
          <w:rFonts w:ascii="Times New Roman" w:hAnsi="Times New Roman"/>
        </w:rPr>
      </w:pPr>
    </w:p>
    <w:p>
      <w:pPr>
        <w:pStyle w:val="PargrafodaLista"/>
        <w:numPr>
          <w:ilvl w:val="0"/>
          <w:numId w:val="33"/>
        </w:numPr>
        <w:tabs>
          <w:tab w:val="left" w:pos="567"/>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fornecer ao Agente Fiduciário:</w:t>
      </w:r>
    </w:p>
    <w:p>
      <w:pPr>
        <w:tabs>
          <w:tab w:val="left" w:pos="1440"/>
        </w:tabs>
        <w:spacing w:line="312" w:lineRule="auto"/>
        <w:rPr>
          <w:rFonts w:ascii="Times New Roman" w:eastAsia="Arial Unicode MS" w:hAnsi="Times New Roman"/>
          <w:color w:val="000000"/>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b/>
          <w:bCs/>
          <w:w w:val="0"/>
        </w:rPr>
      </w:pPr>
      <w:r>
        <w:rPr>
          <w:rFonts w:ascii="Times New Roman" w:eastAsia="Arial Unicode MS" w:hAnsi="Times New Roman"/>
          <w:w w:val="0"/>
        </w:rPr>
        <w:t xml:space="preserve">dentro de, no máximo, 45 (quarenta e cinco) dias após o término dos 3 (três) primeiros trimestres de cada exercício social, ou em até 5 (cinco) Dias Úteis após a data de sua divulgação, o que ocorrer por último, (1) observado o disposto no alínea (iii) abaixo, cópia de suas informações trimestrais (ITR) completas relativas ao respectivo trimestre; (2) declaração dos representantes legais da Emissora de que não ocorreu nenhuma das hipóteses de Evento de Inadimplemento previstas no item 6.1. acima; e (3) demonstrativo de apuração dos índices financeiros previstos no inciso (xvii) do item 6.1.1 acima, com sua respectiva memória de cálculo; </w:t>
      </w:r>
    </w:p>
    <w:p>
      <w:pPr>
        <w:tabs>
          <w:tab w:val="left" w:pos="1276"/>
        </w:tabs>
        <w:spacing w:line="312" w:lineRule="auto"/>
        <w:ind w:left="1276" w:hanging="567"/>
        <w:rPr>
          <w:rFonts w:ascii="Times New Roman" w:eastAsia="Arial Unicode MS" w:hAnsi="Times New Roman"/>
          <w:b/>
          <w:bCs/>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 xml:space="preserve">dentro de, no máximo, 90 (noventa) dias após o término de cada exercício social, ou em até 5 (cinco) Dias Úteis após a sua divulgação, o que ocorrer por último, (1) cópia de suas demonstrações financeiras completas relativas ao respectivo exercício social encerrado; (2) declaração dos representantes legais da Emissora de que não ocorreu nenhuma das hipóteses de Evento de Inadimplemento previstas no item 6.1. acima; (3) cópia de qualquer comunicação feita pelos auditores independentes à Emissora, ou à sua administração e respectivas respostas, com referência ao sistema de contabilidade, gestão ou contas da Emissora, sendo que esta obrigação não será aplicável a comunicações (a) que não tenham implicação direta relevante sobre as Debêntures; ou (b) nas quais haja dever de sigilo por parte da Emissora; e (4) demonstrativo de apuração dos índices financeiros previstos no inciso (xvii) do item 6.1.1 acima, com sua respectiva memória de cálculo; </w:t>
      </w:r>
    </w:p>
    <w:p>
      <w:pPr>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cópia das informações pertinentes à Instrução CVM nº 480, de 7 de dezembro de 2009, conforme alterada (“</w:t>
      </w:r>
      <w:r>
        <w:rPr>
          <w:rFonts w:ascii="Times New Roman" w:eastAsia="Arial Unicode MS" w:hAnsi="Times New Roman"/>
          <w:w w:val="0"/>
          <w:u w:val="single"/>
        </w:rPr>
        <w:t>Instrução CVM 480</w:t>
      </w:r>
      <w:r>
        <w:rPr>
          <w:rFonts w:ascii="Times New Roman" w:eastAsia="Arial Unicode MS" w:hAnsi="Times New Roman"/>
          <w:w w:val="0"/>
        </w:rPr>
        <w:t xml:space="preserve">”), nos prazos ali previstos ou, se não houver, prazo determinado neste normativo, em até 5 (cinco) Dias Úteis da data em que forem realizados, sendo que a Emissora ficará dispensada de entregar as cópias das respectivas informações ao Agente Fiduciário quando as disponibilizar à CVM; </w:t>
      </w:r>
    </w:p>
    <w:p>
      <w:pPr>
        <w:tabs>
          <w:tab w:val="left" w:pos="1276"/>
        </w:tabs>
        <w:spacing w:line="312" w:lineRule="auto"/>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cópia dos Avisos aos Debenturistas, fatos relevantes, assim como atas de assembleias gerais e reuniões do Conselho de Administração da Emissora que, de alguma forma, envolvam interesse dos Debenturistas, nos mesmos prazos previstos na Instrução CVM 480 ou normativo que venha a substituí-la, ou, se ali não previstos, até 3 (três) Dias Úteis após sua publicação ou, se não forem publicados, da data em que forem realizados;</w:t>
      </w:r>
    </w:p>
    <w:p>
      <w:pPr>
        <w:pStyle w:val="PargrafodaLista"/>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em até 02 (dois) Dias Úteis da data de solicitação, qualquer informação relevante para a presente Emissão que lhe venha a ser razoavelmente solicitada, por escrito, pelo Agente Fiduciário;</w:t>
      </w:r>
    </w:p>
    <w:p>
      <w:pPr>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 xml:space="preserve">caso solicitados, os comprovantes de cumprimento de suas obrigações pecuniárias previstas nesta Escritura de Emissão, no prazo de até 5 (cinco) Dias Úteis contados da respectiva data de solicitação do Agente Fiduciário neste sentido; </w:t>
      </w:r>
    </w:p>
    <w:p>
      <w:pPr>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informações a respeito da ocorrência de qualquer dos Eventos de Inadimplemento em até 1 (um) Dia Útil contado da sua ocorrência. Essas informações deverão vir acompanhadas de um relatório da Emissora contendo a descrição da ocorrência e das medidas que a Emissora pretende tomar com relação a tal ocorrência. Caso essas informações decorram de evento, ato ou fato que enseje a publicação de fato relevante pela Emissora, nos termos da Instrução da CVM n.º 358, de 03 de janeiro de 2002, conforme alterada (“</w:t>
      </w:r>
      <w:r>
        <w:rPr>
          <w:rFonts w:ascii="Times New Roman" w:eastAsia="Arial Unicode MS" w:hAnsi="Times New Roman"/>
          <w:w w:val="0"/>
          <w:u w:val="single"/>
        </w:rPr>
        <w:t>Instrução CVM 358</w:t>
      </w:r>
      <w:r>
        <w:rPr>
          <w:rFonts w:ascii="Times New Roman" w:eastAsia="Arial Unicode MS" w:hAnsi="Times New Roman"/>
          <w:w w:val="0"/>
        </w:rPr>
        <w:t xml:space="preserve">”), a divulgação de tal evento, ato ou fato ao Agente Fiduciário deverá ocorrer concomitantemente à sua divulgação ao mercado, nos termos da Instrução CVM 358, observado o prazo máximo aqui previsto; </w:t>
      </w:r>
    </w:p>
    <w:p>
      <w:pPr>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 xml:space="preserve">em até 10 (dez) Dias Úteis após seu recebimento, cópia de qualquer correspondência ou notificação judicial recebida pela Emissora que possa resultar em </w:t>
      </w:r>
      <w:r>
        <w:rPr>
          <w:rFonts w:ascii="Times New Roman" w:hAnsi="Times New Roman"/>
        </w:rPr>
        <w:t xml:space="preserve">qualquer </w:t>
      </w:r>
      <w:r>
        <w:rPr>
          <w:rFonts w:ascii="Times New Roman" w:eastAsia="Arial Unicode MS" w:hAnsi="Times New Roman"/>
          <w:w w:val="0"/>
        </w:rPr>
        <w:t xml:space="preserve">efeito adverso relevante (a) na situação (financeira ou de outra natureza) da Emissora, nos seus negócios, bens, resultados operacionais e/ou perspectivas; e/ou (b) nos seus poderes ou capacidade jurídica e/ou econômico-financeira de cumprir qualquer de suas obrigações nos termos desta Escritura de Emissão e/ou dos demais documentos que instruem a Emissão e a Oferta, conforme aplicável; </w:t>
      </w:r>
    </w:p>
    <w:p>
      <w:pPr>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 xml:space="preserve">em até 5 (cinco) Dias Úteis após seu recebimento, cópia de qualquer comunicação enviada pela Agência Nacional de Energia Elétrica - ANEEL à Emissora relativa a uma possível causa de término ou resolução de sua concessão; </w:t>
      </w:r>
    </w:p>
    <w:p>
      <w:pPr>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 xml:space="preserve"> todos os demais documentos e informações que a Emissora, nos termos e condições previstos nesta Escritura de Emissão, se comprometeu a enviar ao Agente Fiduciário; e</w:t>
      </w:r>
    </w:p>
    <w:p>
      <w:pPr>
        <w:pStyle w:val="PargrafodaLista"/>
        <w:tabs>
          <w:tab w:val="left" w:pos="1276"/>
        </w:tabs>
        <w:spacing w:line="312" w:lineRule="auto"/>
        <w:ind w:left="1276" w:hanging="567"/>
        <w:rPr>
          <w:rFonts w:ascii="Times New Roman" w:eastAsia="Arial Unicode MS" w:hAnsi="Times New Roman"/>
          <w:w w:val="0"/>
        </w:rPr>
      </w:pPr>
    </w:p>
    <w:p>
      <w:pPr>
        <w:pStyle w:val="PargrafodaLista"/>
        <w:numPr>
          <w:ilvl w:val="0"/>
          <w:numId w:val="32"/>
        </w:numPr>
        <w:tabs>
          <w:tab w:val="left" w:pos="1276"/>
        </w:tabs>
        <w:spacing w:line="312" w:lineRule="auto"/>
        <w:ind w:left="1276" w:hanging="567"/>
        <w:contextualSpacing w:val="0"/>
        <w:rPr>
          <w:rFonts w:ascii="Times New Roman" w:eastAsia="Arial Unicode MS" w:hAnsi="Times New Roman"/>
          <w:w w:val="0"/>
        </w:rPr>
      </w:pPr>
      <w:r>
        <w:rPr>
          <w:rFonts w:ascii="Times New Roman" w:eastAsia="Arial Unicode MS" w:hAnsi="Times New Roman"/>
          <w:w w:val="0"/>
        </w:rPr>
        <w:t xml:space="preserve">observado o disposto no item 8.4., inciso (xiii) abaixo, </w:t>
      </w:r>
      <w:r>
        <w:rPr>
          <w:rFonts w:ascii="Times New Roman" w:hAnsi="Times New Roman"/>
        </w:rPr>
        <w:t xml:space="preserve">a Emissora obriga-se desde já a enviar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alínea (xiv) do item 8.4. abaixo. </w:t>
      </w:r>
    </w:p>
    <w:p>
      <w:pPr>
        <w:tabs>
          <w:tab w:val="left" w:pos="1440"/>
        </w:tabs>
        <w:spacing w:line="312" w:lineRule="auto"/>
        <w:ind w:left="1134" w:hanging="567"/>
        <w:rPr>
          <w:rFonts w:ascii="Times New Roman" w:eastAsia="Arial Unicode MS" w:hAnsi="Times New Roman"/>
          <w:w w:val="0"/>
        </w:rPr>
      </w:pPr>
    </w:p>
    <w:p>
      <w:pPr>
        <w:pStyle w:val="PargrafodaLista"/>
        <w:numPr>
          <w:ilvl w:val="0"/>
          <w:numId w:val="33"/>
        </w:numPr>
        <w:tabs>
          <w:tab w:val="left" w:pos="1276"/>
        </w:tabs>
        <w:spacing w:line="312" w:lineRule="auto"/>
        <w:ind w:hanging="720"/>
        <w:contextualSpacing w:val="0"/>
        <w:rPr>
          <w:rFonts w:ascii="Times New Roman" w:eastAsia="Arial Unicode MS" w:hAnsi="Times New Roman"/>
          <w:w w:val="0"/>
        </w:rPr>
      </w:pPr>
      <w:r>
        <w:rPr>
          <w:rFonts w:ascii="Times New Roman" w:eastAsia="Arial Unicode MS" w:hAnsi="Times New Roman"/>
          <w:w w:val="0"/>
        </w:rPr>
        <w:t>informar ao Agente Fiduciário, até o Dia Útil imediatamente subsequente à data que tiver conhecimento, sobre qualquer descumprimento não sanado, de natureza pecuniária ou não, de quaisquer cláusulas, termos ou condições desta Escritura de Emissão;</w:t>
      </w:r>
    </w:p>
    <w:p>
      <w:pPr>
        <w:pStyle w:val="PargrafodaLista"/>
        <w:tabs>
          <w:tab w:val="left" w:pos="851"/>
        </w:tabs>
        <w:spacing w:line="312" w:lineRule="auto"/>
        <w:ind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proceder à adequada publicidade dos dados econômico-financeiros, nos termos exigidos pela Lei das Sociedades por Ações, promovendo a publicação das suas demonstrações financeiras, nos termos exigidos pela legislação em vigor;</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convocar Assembleia Geral de Debenturistas para deliberar sobre qualquer das matérias que direta ou indiretamente se relacione com a presente Emissão, nos termos da Cláusula 10 desta Escritura de Emissão, caso o Agente Fiduciário não o faça;</w:t>
      </w:r>
    </w:p>
    <w:p>
      <w:pPr>
        <w:pStyle w:val="PargrafodaLista"/>
        <w:tabs>
          <w:tab w:val="left" w:pos="851"/>
        </w:tabs>
        <w:spacing w:line="312" w:lineRule="auto"/>
        <w:ind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notificar, n</w:t>
      </w:r>
      <w:r>
        <w:rPr>
          <w:rFonts w:ascii="Times New Roman" w:eastAsia="Arial Unicode MS" w:hAnsi="Times New Roman"/>
          <w:w w:val="0"/>
        </w:rPr>
        <w:t xml:space="preserve">o Dia Útil </w:t>
      </w:r>
      <w:r>
        <w:rPr>
          <w:rFonts w:ascii="Times New Roman" w:eastAsia="Arial Unicode MS" w:hAnsi="Times New Roman"/>
          <w:color w:val="000000"/>
          <w:w w:val="0"/>
        </w:rPr>
        <w:t xml:space="preserve">imediatamente </w:t>
      </w:r>
      <w:r>
        <w:rPr>
          <w:rFonts w:ascii="Times New Roman" w:eastAsia="Arial Unicode MS" w:hAnsi="Times New Roman"/>
          <w:w w:val="0"/>
        </w:rPr>
        <w:t>subsequente</w:t>
      </w:r>
      <w:r>
        <w:rPr>
          <w:rFonts w:ascii="Times New Roman" w:eastAsia="Arial Unicode MS" w:hAnsi="Times New Roman"/>
          <w:color w:val="000000"/>
          <w:w w:val="0"/>
        </w:rPr>
        <w:t>, o Agente Fiduciário da convocação, pela Emissora, de qualquer Assembleia Geral de Debenturistas;</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cumprir todas as determinações da CVM, com o envio de documentos e prestando, ainda, as informações que lhe forem solicitadas pela CVM;</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submeter, na forma da lei, suas contas e balanços a exame por empresa de auditoria independente registrada na CVM;</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 xml:space="preserve">manter seu registro de companhia aberta perante a CVM durante a vigência das Debêntures, mantendo-o atualizado de acordo com nos termos da Instrução CVM 480; </w:t>
      </w:r>
    </w:p>
    <w:p>
      <w:pPr>
        <w:pStyle w:val="PargrafodaLista"/>
        <w:tabs>
          <w:tab w:val="left" w:pos="851"/>
        </w:tabs>
        <w:spacing w:line="312" w:lineRule="auto"/>
        <w:ind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quando solicitado, fornecer aos seus acionistas, Debenturistas e ao Agente Fiduciário as demonstrações financeiras elaboradas e aprovadas, previstas no artigo 176 da Lei das Sociedades por Ações;</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notificar, n</w:t>
      </w:r>
      <w:r>
        <w:rPr>
          <w:rFonts w:ascii="Times New Roman" w:eastAsia="Arial Unicode MS" w:hAnsi="Times New Roman"/>
          <w:w w:val="0"/>
        </w:rPr>
        <w:t xml:space="preserve">o Dia Útil </w:t>
      </w:r>
      <w:r>
        <w:rPr>
          <w:rFonts w:ascii="Times New Roman" w:eastAsia="Arial Unicode MS" w:hAnsi="Times New Roman"/>
          <w:color w:val="000000"/>
          <w:w w:val="0"/>
        </w:rPr>
        <w:t xml:space="preserve">imediatamente </w:t>
      </w:r>
      <w:r>
        <w:rPr>
          <w:rFonts w:ascii="Times New Roman" w:eastAsia="Arial Unicode MS" w:hAnsi="Times New Roman"/>
          <w:w w:val="0"/>
        </w:rPr>
        <w:t>subsequente à data que tiver conhecimento,</w:t>
      </w:r>
      <w:r>
        <w:rPr>
          <w:rFonts w:ascii="Times New Roman" w:eastAsia="Arial Unicode MS" w:hAnsi="Times New Roman"/>
          <w:color w:val="000000"/>
          <w:w w:val="0"/>
        </w:rPr>
        <w:t xml:space="preserve"> o Agente Fiduciário e a entidade administradora de mercado organizado em que forem negociadas as Debêntures sobre qualquer ato ou fato que possa causar interrupção ou suspensão das atividades da Emissora;</w:t>
      </w:r>
    </w:p>
    <w:p>
      <w:pPr>
        <w:pStyle w:val="PargrafodaLista"/>
        <w:tabs>
          <w:tab w:val="left" w:pos="851"/>
        </w:tabs>
        <w:spacing w:line="312" w:lineRule="auto"/>
        <w:ind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comparecer as Assembleias Gerais de Debenturistas sempre que solicitado e convocado nos prazos previstos nesta Escritura de Emissão;</w:t>
      </w:r>
    </w:p>
    <w:p>
      <w:pPr>
        <w:pStyle w:val="PargrafodaLista"/>
        <w:tabs>
          <w:tab w:val="left" w:pos="851"/>
        </w:tabs>
        <w:spacing w:line="312" w:lineRule="auto"/>
        <w:ind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 xml:space="preserve">não praticar qualquer ato em desacordo com o estatuto social, o que inclui, mas não se limita a realizar operações fora de seu objeto social, conforme descrito na Cláusula Terceira acima, e com esta Escritura de Emissão, em especial os que possam, direta ou indiretamente, comprometer o pontual e integral cumprimento das obrigações assumidas perante os Debenturistas, nos termos desta Escritura de Emissão; </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cumprir, em todos os aspectos relevantes, todas as leis, regras e regulamentos aplicáveis em qualquer jurisdição na qual realize negócios ou possua ativos, salvo (i) nos casos em que, de boa-fé, a Emissora esteja discutindo a aplicabilidade da lei, regra ou regulamento nas esferas administrativa ou judicial; e (ii) por descumprimentos que não venham a afetar adversamente sua condição econômica e financeira, seus resultados operacionais, suas atividades, sua capacidade em honrar tempestivamente as obrigações pecuniárias ou não relativas às Debêntures, decorrentes desta Escritura de Emissão;</w:t>
      </w:r>
    </w:p>
    <w:p>
      <w:pPr>
        <w:tabs>
          <w:tab w:val="left" w:pos="851"/>
        </w:tabs>
        <w:spacing w:line="312" w:lineRule="auto"/>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manter válidas e regulares as licenças, concessões ou aprovações necessárias, inclusive ambientais, ao seu regular funcionamento, exceto nos casos em que, de boa-fé, a Emissora esteja discutindo sua perda, revogação ou cancelamento nas esferas administrativa ou judicial e desde que a eventual perda, revogação ou cancelamento das licenças, concessões ou aprovações não resultem em qualquer efeito adverso relevante (a) na situação (financeira) da Emissora, nos seus negócios, bens, resultados operacionais; e/ou (b) nos seus poderes ou capacidade jurídica e/ou econômico-financeira de cumprir qualquer de suas obrigações nos termos desta Escritura de Emissão e/ou dos demais documentos que instruem a Emissão e a Oferta, conforme aplicável;</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spacing w:line="312" w:lineRule="auto"/>
        <w:ind w:hanging="720"/>
        <w:contextualSpacing w:val="0"/>
        <w:rPr>
          <w:rFonts w:ascii="Times New Roman" w:hAnsi="Times New Roman"/>
        </w:rPr>
      </w:pPr>
      <w:r>
        <w:rPr>
          <w:rFonts w:ascii="Times New Roman" w:hAnsi="Times New Roman"/>
        </w:rPr>
        <w:t xml:space="preserve">contratar e manter contratados, às suas expensas, durante </w:t>
      </w:r>
      <w:r>
        <w:rPr>
          <w:rFonts w:ascii="Times New Roman" w:eastAsia="Arial Unicode MS" w:hAnsi="Times New Roman"/>
          <w:color w:val="000000"/>
          <w:w w:val="0"/>
        </w:rPr>
        <w:t>t</w:t>
      </w:r>
      <w:r>
        <w:rPr>
          <w:rFonts w:ascii="Times New Roman" w:hAnsi="Times New Roman"/>
        </w:rPr>
        <w:t>odo o prazo de vigência das Debêntures, os prestadores de serviços inerentes às obrigações previstas nesta Escritura de Emissão, incluindo, mas sem limitação, agência classificadora de risco, o Banco Liquidante, o Escriturador; o Agente Fiduciário; e os sistemas de negociação das Debêntures no mercado secundário, por meio do SND, conforme o caso, bem como todas e quaisquer outras providências necessárias para a manutenção das Debêntures;</w:t>
      </w:r>
    </w:p>
    <w:p>
      <w:pPr>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eastAsia="Arial Unicode MS" w:hAnsi="Times New Roman"/>
          <w:color w:val="000000"/>
          <w:w w:val="0"/>
        </w:rPr>
      </w:pPr>
      <w:r>
        <w:rPr>
          <w:rFonts w:ascii="Times New Roman" w:eastAsia="Arial Unicode MS" w:hAnsi="Times New Roman"/>
          <w:color w:val="000000"/>
          <w:w w:val="0"/>
        </w:rPr>
        <w:t>contratar e manter contratada a agência de classificação de risco para realizar a classificação de risco (rating) das Debêntures da presente Emissão, devendo, ainda, (a) atualizar a classificação de risco (</w:t>
      </w:r>
      <w:r>
        <w:rPr>
          <w:rFonts w:ascii="Times New Roman" w:eastAsia="Arial Unicode MS" w:hAnsi="Times New Roman"/>
          <w:i/>
          <w:iCs/>
          <w:color w:val="000000"/>
          <w:w w:val="0"/>
        </w:rPr>
        <w:t>rating</w:t>
      </w:r>
      <w:r>
        <w:rPr>
          <w:rFonts w:ascii="Times New Roman" w:eastAsia="Arial Unicode MS" w:hAnsi="Times New Roman"/>
          <w:color w:val="000000"/>
          <w:w w:val="0"/>
        </w:rPr>
        <w:t>) das Debêntures anualmente, até a Data de Vencimento ou o resgate antecipado da totalidade das Debêntures, nos termos desta Escritura de Emissão, o que ocorrer primeiro;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Úteis contados da data de seu recebimento pela Emissora; e (d) comunicar n</w:t>
      </w:r>
      <w:r>
        <w:rPr>
          <w:rFonts w:ascii="Times New Roman" w:eastAsia="Arial Unicode MS" w:hAnsi="Times New Roman"/>
          <w:w w:val="0"/>
        </w:rPr>
        <w:t xml:space="preserve">o Dia Útil </w:t>
      </w:r>
      <w:r>
        <w:rPr>
          <w:rFonts w:ascii="Times New Roman" w:eastAsia="Arial Unicode MS" w:hAnsi="Times New Roman"/>
          <w:color w:val="000000"/>
          <w:w w:val="0"/>
        </w:rPr>
        <w:t xml:space="preserve">imediatamente </w:t>
      </w:r>
      <w:r>
        <w:rPr>
          <w:rFonts w:ascii="Times New Roman" w:eastAsia="Arial Unicode MS" w:hAnsi="Times New Roman"/>
          <w:w w:val="0"/>
        </w:rPr>
        <w:t>subsequente</w:t>
      </w:r>
      <w:r>
        <w:rPr>
          <w:rFonts w:ascii="Times New Roman" w:eastAsia="Arial Unicode MS" w:hAnsi="Times New Roman"/>
          <w:color w:val="000000"/>
          <w:w w:val="0"/>
        </w:rPr>
        <w:t xml:space="preserve">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(i) contratar outra agência de classificação de risco sem necessidade de aprovação dos Debenturistas, bastando notificar o Agente Fiduciário, desde que tal agência de classificação de risco seja a Standard &amp; Poor's ou a Fitch Ratings ou a Moody's América Latina Ltda.; ou (ii) notificar o Agente Fiduciário e convocar Assembleia Geral de Debenturistas para que estes definam a agência de classificação de risco substituta; </w:t>
      </w:r>
    </w:p>
    <w:p>
      <w:pPr>
        <w:tabs>
          <w:tab w:val="left" w:pos="851"/>
        </w:tabs>
        <w:spacing w:line="312" w:lineRule="auto"/>
        <w:ind w:left="720" w:hanging="720"/>
        <w:rPr>
          <w:rFonts w:ascii="Times New Roman" w:eastAsia="Arial Unicode MS" w:hAnsi="Times New Roman"/>
          <w:color w:val="000000"/>
          <w:w w:val="0"/>
        </w:rPr>
      </w:pPr>
    </w:p>
    <w:p>
      <w:pPr>
        <w:pStyle w:val="PargrafodaLista"/>
        <w:numPr>
          <w:ilvl w:val="0"/>
          <w:numId w:val="33"/>
        </w:numPr>
        <w:tabs>
          <w:tab w:val="left" w:pos="851"/>
        </w:tabs>
        <w:spacing w:line="312" w:lineRule="auto"/>
        <w:ind w:hanging="720"/>
        <w:contextualSpacing w:val="0"/>
        <w:rPr>
          <w:rFonts w:ascii="Times New Roman" w:hAnsi="Times New Roman"/>
        </w:rPr>
      </w:pPr>
      <w:r>
        <w:rPr>
          <w:rFonts w:ascii="Times New Roman" w:eastAsia="Arial Unicode MS" w:hAnsi="Times New Roman"/>
          <w:color w:val="000000"/>
          <w:w w:val="0"/>
        </w:rPr>
        <w:t>a</w:t>
      </w:r>
      <w:r>
        <w:rPr>
          <w:rFonts w:ascii="Times New Roman" w:hAnsi="Times New Roman"/>
        </w:rPr>
        <w:t>plicar os recursos obtidos por meio da presente Emissão estritamente conforme descrito na Cláusula Quarta desta Escritura de Emissão;</w:t>
      </w:r>
    </w:p>
    <w:p>
      <w:pPr>
        <w:tabs>
          <w:tab w:val="left" w:pos="851"/>
        </w:tabs>
        <w:spacing w:line="312" w:lineRule="auto"/>
        <w:ind w:left="720" w:hanging="720"/>
        <w:rPr>
          <w:rFonts w:ascii="Times New Roman" w:hAnsi="Times New Roman"/>
          <w:color w:val="000000"/>
        </w:rPr>
      </w:pPr>
    </w:p>
    <w:p>
      <w:pPr>
        <w:pStyle w:val="PargrafodaLista"/>
        <w:numPr>
          <w:ilvl w:val="0"/>
          <w:numId w:val="33"/>
        </w:numPr>
        <w:tabs>
          <w:tab w:val="left" w:pos="851"/>
        </w:tabs>
        <w:spacing w:line="312" w:lineRule="auto"/>
        <w:ind w:hanging="720"/>
        <w:contextualSpacing w:val="0"/>
        <w:rPr>
          <w:rFonts w:ascii="Times New Roman" w:hAnsi="Times New Roman"/>
        </w:rPr>
      </w:pPr>
      <w:r>
        <w:rPr>
          <w:rFonts w:ascii="Times New Roman" w:hAnsi="Times New Roman"/>
        </w:rPr>
        <w:t xml:space="preserve">fornecer ao Agente Fiduciário vias originais desta Escritura de Emissão e de eventuais aditamentos, devidamente inscritos na JUCESP, em até 10 (dez) Dias Úteis do seu registro; </w:t>
      </w:r>
    </w:p>
    <w:p>
      <w:pPr>
        <w:pStyle w:val="PargrafodaLista"/>
        <w:tabs>
          <w:tab w:val="left" w:pos="851"/>
        </w:tabs>
        <w:spacing w:line="312" w:lineRule="auto"/>
        <w:ind w:hanging="720"/>
        <w:rPr>
          <w:rFonts w:ascii="Times New Roman" w:hAnsi="Times New Roman"/>
        </w:rPr>
      </w:pPr>
    </w:p>
    <w:p>
      <w:pPr>
        <w:pStyle w:val="PargrafodaLista"/>
        <w:numPr>
          <w:ilvl w:val="0"/>
          <w:numId w:val="33"/>
        </w:numPr>
        <w:tabs>
          <w:tab w:val="left" w:pos="851"/>
        </w:tabs>
        <w:spacing w:line="312" w:lineRule="auto"/>
        <w:ind w:hanging="720"/>
        <w:contextualSpacing w:val="0"/>
        <w:rPr>
          <w:rFonts w:ascii="Times New Roman" w:hAnsi="Times New Roman"/>
        </w:rPr>
      </w:pPr>
      <w:r>
        <w:rPr>
          <w:rFonts w:ascii="Times New Roman" w:hAnsi="Times New Roman"/>
        </w:rPr>
        <w:t xml:space="preserve">efetuar recolhimento de quaisquer tributos ou contribuições que incidam ou venham a incidir sobre a Emissão e que sejam de responsabilidade da Emissora; </w:t>
      </w:r>
    </w:p>
    <w:p>
      <w:pPr>
        <w:pStyle w:val="PargrafodaLista"/>
        <w:tabs>
          <w:tab w:val="left" w:pos="851"/>
        </w:tabs>
        <w:spacing w:line="312" w:lineRule="auto"/>
        <w:ind w:hanging="720"/>
        <w:rPr>
          <w:rFonts w:ascii="Times New Roman" w:hAnsi="Times New Roman"/>
        </w:rPr>
      </w:pPr>
    </w:p>
    <w:p>
      <w:pPr>
        <w:pStyle w:val="PargrafodaLista"/>
        <w:numPr>
          <w:ilvl w:val="0"/>
          <w:numId w:val="33"/>
        </w:numPr>
        <w:tabs>
          <w:tab w:val="left" w:pos="851"/>
        </w:tabs>
        <w:spacing w:line="312" w:lineRule="auto"/>
        <w:ind w:hanging="720"/>
        <w:contextualSpacing w:val="0"/>
        <w:rPr>
          <w:rFonts w:ascii="Times New Roman" w:hAnsi="Times New Roman"/>
        </w:rPr>
      </w:pPr>
      <w:r>
        <w:rPr>
          <w:rFonts w:ascii="Times New Roman" w:hAnsi="Times New Roman"/>
        </w:rPr>
        <w:t>efetuar o pagamento de todas as despesas razoáveis comprovadas pelo Agente Fiduciário previamente aprovadas pela Emissora, sempre que possível,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pPr>
        <w:pStyle w:val="PargrafodaLista"/>
        <w:tabs>
          <w:tab w:val="left" w:pos="851"/>
        </w:tabs>
        <w:spacing w:line="312" w:lineRule="auto"/>
        <w:ind w:hanging="720"/>
        <w:rPr>
          <w:rFonts w:ascii="Times New Roman" w:hAnsi="Times New Roman"/>
        </w:rPr>
      </w:pPr>
    </w:p>
    <w:p>
      <w:pPr>
        <w:pStyle w:val="PargrafodaLista"/>
        <w:numPr>
          <w:ilvl w:val="0"/>
          <w:numId w:val="33"/>
        </w:numPr>
        <w:tabs>
          <w:tab w:val="left" w:pos="851"/>
        </w:tabs>
        <w:spacing w:line="312" w:lineRule="auto"/>
        <w:ind w:hanging="720"/>
        <w:contextualSpacing w:val="0"/>
        <w:rPr>
          <w:rFonts w:ascii="Times New Roman" w:hAnsi="Times New Roman"/>
        </w:rPr>
      </w:pPr>
      <w:r>
        <w:rPr>
          <w:rFonts w:ascii="Times New Roman" w:hAnsi="Times New Roman"/>
        </w:rPr>
        <w:t xml:space="preserve">manter a sua contabilidade atualizada e efetuar os respectivos registros de acordo com os princípios contábeis geralmente aceitos no Brasil, </w:t>
      </w:r>
      <w:r>
        <w:rPr>
          <w:rFonts w:ascii="Times New Roman" w:eastAsia="Arial Unicode MS" w:hAnsi="Times New Roman"/>
          <w:w w:val="0"/>
        </w:rPr>
        <w:t>com a Lei das Sociedades por Ações e com as regras da CVM,</w:t>
      </w:r>
      <w:r>
        <w:rPr>
          <w:rFonts w:ascii="Times New Roman" w:hAnsi="Times New Roman"/>
        </w:rPr>
        <w:t xml:space="preserve"> e permitir que representantes do Agente Fiduciário (ou de auditor independente por este contratado, a expensas da Emissora) tenha acesso irrestrito (i) a todo e qualquer relatório do auditor independente entregue à Emissora referente às suas demonstrações financeiras; e (ii) aos livros e aos demais registros contábeis da Emissora, quando deliberado pela Assembleia Geral de Debenturistas, desde que estes tenham se tornado públicos;</w:t>
      </w:r>
    </w:p>
    <w:p>
      <w:pPr>
        <w:pStyle w:val="PargrafodaLista"/>
        <w:tabs>
          <w:tab w:val="left" w:pos="851"/>
        </w:tabs>
        <w:spacing w:line="312" w:lineRule="auto"/>
        <w:ind w:hanging="720"/>
        <w:rPr>
          <w:rFonts w:ascii="Times New Roman" w:hAnsi="Times New Roman"/>
        </w:rPr>
      </w:pPr>
    </w:p>
    <w:p>
      <w:pPr>
        <w:pStyle w:val="PargrafodaLista"/>
        <w:numPr>
          <w:ilvl w:val="0"/>
          <w:numId w:val="33"/>
        </w:numPr>
        <w:tabs>
          <w:tab w:val="left" w:pos="851"/>
        </w:tabs>
        <w:spacing w:line="312" w:lineRule="auto"/>
        <w:ind w:hanging="720"/>
        <w:contextualSpacing w:val="0"/>
        <w:rPr>
          <w:rFonts w:ascii="Times New Roman" w:hAnsi="Times New Roman"/>
        </w:rPr>
      </w:pPr>
      <w:r>
        <w:rPr>
          <w:rFonts w:ascii="Times New Roman" w:hAnsi="Times New Roman"/>
        </w:rPr>
        <w:t xml:space="preserve">manter os bens e ativos necessários para condução de sua atividade principal adequadamente segurados por seguradoras de primeira linha, conforme práticas correntes da indústria de energia elétrica; </w:t>
      </w:r>
    </w:p>
    <w:p>
      <w:pPr>
        <w:pStyle w:val="PargrafodaLista"/>
        <w:rPr>
          <w:rFonts w:ascii="Times New Roman" w:hAnsi="Times New Roman"/>
        </w:rPr>
      </w:pPr>
    </w:p>
    <w:p>
      <w:pPr>
        <w:pStyle w:val="PargrafodaLista"/>
        <w:numPr>
          <w:ilvl w:val="0"/>
          <w:numId w:val="33"/>
        </w:numPr>
        <w:tabs>
          <w:tab w:val="left" w:pos="993"/>
        </w:tabs>
        <w:spacing w:line="312" w:lineRule="auto"/>
        <w:ind w:left="709" w:hanging="709"/>
        <w:contextualSpacing w:val="0"/>
        <w:rPr>
          <w:rFonts w:ascii="Times New Roman" w:hAnsi="Times New Roman"/>
          <w:w w:val="0"/>
        </w:rPr>
      </w:pPr>
      <w:r>
        <w:rPr>
          <w:rFonts w:ascii="Times New Roman" w:hAnsi="Times New Roman"/>
          <w:w w:val="0"/>
        </w:rPr>
        <w:t>cumprir as obrigações estabelecidas no artigo 17 da Instrução CVM 476, quais sejam:</w:t>
      </w:r>
    </w:p>
    <w:p>
      <w:pPr>
        <w:pStyle w:val="PargrafodaLista"/>
        <w:tabs>
          <w:tab w:val="left" w:pos="993"/>
        </w:tabs>
        <w:spacing w:line="312" w:lineRule="auto"/>
        <w:ind w:left="426"/>
        <w:contextualSpacing w:val="0"/>
        <w:rPr>
          <w:rFonts w:ascii="Times New Roman" w:hAnsi="Times New Roman"/>
          <w:w w:val="0"/>
        </w:rPr>
      </w:pPr>
    </w:p>
    <w:p>
      <w:pPr>
        <w:pStyle w:val="PargrafodaLista"/>
        <w:numPr>
          <w:ilvl w:val="0"/>
          <w:numId w:val="36"/>
        </w:numPr>
        <w:tabs>
          <w:tab w:val="left" w:pos="851"/>
        </w:tabs>
        <w:spacing w:line="312" w:lineRule="auto"/>
        <w:ind w:left="1418" w:hanging="709"/>
        <w:contextualSpacing w:val="0"/>
        <w:rPr>
          <w:rFonts w:ascii="Times New Roman" w:hAnsi="Times New Roman"/>
          <w:w w:val="0"/>
        </w:rPr>
      </w:pPr>
      <w:r>
        <w:rPr>
          <w:rFonts w:ascii="Times New Roman" w:hAnsi="Times New Roman"/>
          <w:w w:val="0"/>
        </w:rPr>
        <w:t xml:space="preserve">preparar demonstrações financeiras consolidadas de encerramento de exercício social, em conformidade com a Lei das Sociedades por Ações, e com as regras emitidas pela CVM; </w:t>
      </w:r>
    </w:p>
    <w:p>
      <w:pPr>
        <w:pStyle w:val="PargrafodaLista"/>
        <w:tabs>
          <w:tab w:val="left" w:pos="851"/>
        </w:tabs>
        <w:spacing w:line="312" w:lineRule="auto"/>
        <w:ind w:left="1418"/>
        <w:contextualSpacing w:val="0"/>
        <w:rPr>
          <w:rFonts w:ascii="Times New Roman" w:hAnsi="Times New Roman"/>
          <w:w w:val="0"/>
        </w:rPr>
      </w:pPr>
    </w:p>
    <w:p>
      <w:pPr>
        <w:pStyle w:val="PargrafodaLista"/>
        <w:numPr>
          <w:ilvl w:val="0"/>
          <w:numId w:val="36"/>
        </w:numPr>
        <w:tabs>
          <w:tab w:val="left" w:pos="851"/>
        </w:tabs>
        <w:spacing w:line="312" w:lineRule="auto"/>
        <w:ind w:left="1418" w:hanging="709"/>
        <w:contextualSpacing w:val="0"/>
        <w:rPr>
          <w:rFonts w:ascii="Times New Roman" w:hAnsi="Times New Roman"/>
          <w:w w:val="0"/>
        </w:rPr>
      </w:pPr>
      <w:r>
        <w:rPr>
          <w:rFonts w:ascii="Times New Roman" w:hAnsi="Times New Roman"/>
          <w:w w:val="0"/>
        </w:rPr>
        <w:t>submeter suas demonstrações financeiras consolidadas de encerramento de exercício social à auditoria, por auditor independente registrado na CVM;</w:t>
      </w:r>
    </w:p>
    <w:p>
      <w:pPr>
        <w:pStyle w:val="PargrafodaLista"/>
        <w:tabs>
          <w:tab w:val="left" w:pos="851"/>
        </w:tabs>
        <w:spacing w:line="312" w:lineRule="auto"/>
        <w:ind w:left="1418"/>
        <w:contextualSpacing w:val="0"/>
        <w:rPr>
          <w:rFonts w:ascii="Times New Roman" w:hAnsi="Times New Roman"/>
          <w:w w:val="0"/>
        </w:rPr>
      </w:pPr>
    </w:p>
    <w:p>
      <w:pPr>
        <w:pStyle w:val="PargrafodaLista"/>
        <w:numPr>
          <w:ilvl w:val="0"/>
          <w:numId w:val="36"/>
        </w:numPr>
        <w:tabs>
          <w:tab w:val="left" w:pos="851"/>
        </w:tabs>
        <w:spacing w:line="312" w:lineRule="auto"/>
        <w:ind w:left="1418" w:hanging="709"/>
        <w:contextualSpacing w:val="0"/>
        <w:rPr>
          <w:rFonts w:ascii="Times New Roman" w:hAnsi="Times New Roman"/>
          <w:w w:val="0"/>
        </w:rPr>
      </w:pPr>
      <w:r>
        <w:rPr>
          <w:rFonts w:ascii="Times New Roman" w:hAnsi="Times New Roman"/>
          <w:w w:val="0"/>
        </w:rPr>
        <w:t>divulgar suas demonstrações financeiras consolidadas relativas a cada exercício social, acompanhadas de notas explicativas e parecer dos auditores independentes, em sua página na rede mundial de computadores, dentro de 3 (três) meses contados do encerramento do exercício social;</w:t>
      </w:r>
    </w:p>
    <w:p>
      <w:pPr>
        <w:pStyle w:val="PargrafodaLista"/>
        <w:tabs>
          <w:tab w:val="left" w:pos="851"/>
        </w:tabs>
        <w:spacing w:line="312" w:lineRule="auto"/>
        <w:ind w:left="1418"/>
        <w:contextualSpacing w:val="0"/>
        <w:rPr>
          <w:rFonts w:ascii="Times New Roman" w:hAnsi="Times New Roman"/>
          <w:w w:val="0"/>
        </w:rPr>
      </w:pPr>
    </w:p>
    <w:p>
      <w:pPr>
        <w:pStyle w:val="PargrafodaLista"/>
        <w:numPr>
          <w:ilvl w:val="0"/>
          <w:numId w:val="36"/>
        </w:numPr>
        <w:tabs>
          <w:tab w:val="left" w:pos="851"/>
        </w:tabs>
        <w:spacing w:line="312" w:lineRule="auto"/>
        <w:ind w:left="1418" w:hanging="709"/>
        <w:contextualSpacing w:val="0"/>
        <w:rPr>
          <w:rFonts w:ascii="Times New Roman" w:hAnsi="Times New Roman"/>
          <w:w w:val="0"/>
        </w:rPr>
      </w:pPr>
      <w:r>
        <w:rPr>
          <w:rFonts w:ascii="Times New Roman" w:hAnsi="Times New Roman"/>
          <w:w w:val="0"/>
        </w:rPr>
        <w:t>manter os documentos mencionados no subitem “iii”, acima, em sua página na rede mundial de computadores, por um prazo de 3 (três) anos;</w:t>
      </w:r>
    </w:p>
    <w:p>
      <w:pPr>
        <w:pStyle w:val="PargrafodaLista"/>
        <w:tabs>
          <w:tab w:val="left" w:pos="851"/>
        </w:tabs>
        <w:spacing w:line="312" w:lineRule="auto"/>
        <w:ind w:left="1418"/>
        <w:contextualSpacing w:val="0"/>
        <w:rPr>
          <w:rFonts w:ascii="Times New Roman" w:hAnsi="Times New Roman"/>
          <w:w w:val="0"/>
        </w:rPr>
      </w:pPr>
    </w:p>
    <w:p>
      <w:pPr>
        <w:pStyle w:val="PargrafodaLista"/>
        <w:numPr>
          <w:ilvl w:val="0"/>
          <w:numId w:val="36"/>
        </w:numPr>
        <w:tabs>
          <w:tab w:val="left" w:pos="851"/>
        </w:tabs>
        <w:spacing w:line="312" w:lineRule="auto"/>
        <w:ind w:left="1418" w:hanging="709"/>
        <w:contextualSpacing w:val="0"/>
        <w:rPr>
          <w:rFonts w:ascii="Times New Roman" w:hAnsi="Times New Roman"/>
          <w:w w:val="0"/>
        </w:rPr>
      </w:pPr>
      <w:r>
        <w:rPr>
          <w:rFonts w:ascii="Times New Roman" w:hAnsi="Times New Roman"/>
          <w:w w:val="0"/>
        </w:rPr>
        <w:t xml:space="preserve">observar as disposições da Instrução CVM 400 e da </w:t>
      </w:r>
      <w:r>
        <w:rPr>
          <w:rFonts w:ascii="Times New Roman" w:hAnsi="Times New Roman"/>
        </w:rPr>
        <w:t xml:space="preserve">Instrução CVM 358 </w:t>
      </w:r>
      <w:r>
        <w:rPr>
          <w:rFonts w:ascii="Times New Roman" w:hAnsi="Times New Roman"/>
          <w:w w:val="0"/>
        </w:rPr>
        <w:t>no tocante a dever de sigilo, normas de conduta e vedações à negociação;</w:t>
      </w:r>
    </w:p>
    <w:p>
      <w:pPr>
        <w:pStyle w:val="PargrafodaLista"/>
        <w:tabs>
          <w:tab w:val="left" w:pos="851"/>
        </w:tabs>
        <w:spacing w:line="312" w:lineRule="auto"/>
        <w:ind w:left="1418"/>
        <w:contextualSpacing w:val="0"/>
        <w:rPr>
          <w:rFonts w:ascii="Times New Roman" w:hAnsi="Times New Roman"/>
          <w:w w:val="0"/>
        </w:rPr>
      </w:pPr>
    </w:p>
    <w:p>
      <w:pPr>
        <w:pStyle w:val="PargrafodaLista"/>
        <w:numPr>
          <w:ilvl w:val="0"/>
          <w:numId w:val="36"/>
        </w:numPr>
        <w:tabs>
          <w:tab w:val="num" w:pos="0"/>
          <w:tab w:val="left" w:pos="851"/>
        </w:tabs>
        <w:spacing w:line="312" w:lineRule="auto"/>
        <w:ind w:left="1418" w:hanging="709"/>
        <w:contextualSpacing w:val="0"/>
        <w:rPr>
          <w:rFonts w:ascii="Times New Roman" w:hAnsi="Times New Roman"/>
          <w:w w:val="0"/>
        </w:rPr>
      </w:pPr>
      <w:r>
        <w:rPr>
          <w:rFonts w:ascii="Times New Roman" w:hAnsi="Times New Roman"/>
          <w:w w:val="0"/>
        </w:rPr>
        <w:t xml:space="preserve">divulgar em sua página na rede mundial de computadores a ocorrência de fato relevante, conforme definido pelo artigo 2º da Instrução CVM 358, comunicando em até 1 (um) Dia Útil ao Agente Fiduciário e ao Coordenador; e </w:t>
      </w:r>
    </w:p>
    <w:p>
      <w:pPr>
        <w:pStyle w:val="PargrafodaLista"/>
        <w:tabs>
          <w:tab w:val="left" w:pos="851"/>
        </w:tabs>
        <w:spacing w:line="312" w:lineRule="auto"/>
        <w:ind w:left="1418"/>
        <w:contextualSpacing w:val="0"/>
        <w:rPr>
          <w:rFonts w:ascii="Times New Roman" w:hAnsi="Times New Roman"/>
          <w:w w:val="0"/>
        </w:rPr>
      </w:pPr>
    </w:p>
    <w:p>
      <w:pPr>
        <w:pStyle w:val="PargrafodaLista"/>
        <w:numPr>
          <w:ilvl w:val="0"/>
          <w:numId w:val="36"/>
        </w:numPr>
        <w:tabs>
          <w:tab w:val="num" w:pos="0"/>
          <w:tab w:val="left" w:pos="851"/>
        </w:tabs>
        <w:spacing w:line="312" w:lineRule="auto"/>
        <w:ind w:left="1418" w:hanging="709"/>
        <w:contextualSpacing w:val="0"/>
        <w:rPr>
          <w:rFonts w:ascii="Times New Roman" w:hAnsi="Times New Roman"/>
          <w:w w:val="0"/>
        </w:rPr>
      </w:pPr>
      <w:r>
        <w:rPr>
          <w:rFonts w:ascii="Times New Roman" w:hAnsi="Times New Roman"/>
          <w:w w:val="0"/>
        </w:rPr>
        <w:t>fornecer as informações solicitadas pela CVM e pela CETIP;</w:t>
      </w:r>
    </w:p>
    <w:p>
      <w:pPr>
        <w:tabs>
          <w:tab w:val="left" w:pos="851"/>
        </w:tabs>
        <w:spacing w:line="312" w:lineRule="auto"/>
        <w:rPr>
          <w:rFonts w:ascii="Times New Roman" w:hAnsi="Times New Roman"/>
        </w:rPr>
      </w:pPr>
    </w:p>
    <w:p>
      <w:pPr>
        <w:tabs>
          <w:tab w:val="left" w:pos="851"/>
        </w:tabs>
        <w:spacing w:line="312" w:lineRule="auto"/>
        <w:rPr>
          <w:rFonts w:ascii="Times New Roman" w:hAnsi="Times New Roman"/>
        </w:rPr>
      </w:pPr>
      <w:r>
        <w:rPr>
          <w:rFonts w:ascii="Times New Roman" w:hAnsi="Times New Roman"/>
        </w:rPr>
        <w:t>7.2</w:t>
      </w:r>
      <w:r>
        <w:rPr>
          <w:rFonts w:ascii="Times New Roman" w:hAnsi="Times New Roman"/>
        </w:rPr>
        <w:tab/>
      </w:r>
      <w:r>
        <w:rPr>
          <w:rFonts w:ascii="Times New Roman" w:hAnsi="Times New Roman"/>
        </w:rPr>
        <w:tab/>
        <w:t xml:space="preserve">As despesas a que se refere o item 7.1., alínea (x) acima, compreenderão, entre outras, as seguintes: </w:t>
      </w:r>
    </w:p>
    <w:p>
      <w:pPr>
        <w:tabs>
          <w:tab w:val="left" w:pos="851"/>
        </w:tabs>
        <w:spacing w:line="312" w:lineRule="auto"/>
        <w:ind w:left="709" w:hanging="709"/>
        <w:rPr>
          <w:rFonts w:ascii="Times New Roman" w:hAnsi="Times New Roman"/>
        </w:rPr>
      </w:pPr>
      <w:r>
        <w:rPr>
          <w:rFonts w:ascii="Times New Roman" w:hAnsi="Times New Roman"/>
        </w:rPr>
        <w:t>(i)</w:t>
      </w:r>
      <w:r>
        <w:rPr>
          <w:rFonts w:ascii="Times New Roman" w:hAnsi="Times New Roman"/>
        </w:rPr>
        <w:tab/>
        <w:t>publicação de relatórios, editais, avisos e notificações, conforme previsto nesta Escritura de Emissão, e outras que vierem a ser exigidas pela regulamentação aplicável;</w:t>
      </w:r>
    </w:p>
    <w:p>
      <w:pPr>
        <w:tabs>
          <w:tab w:val="left" w:pos="851"/>
        </w:tabs>
        <w:spacing w:line="312" w:lineRule="auto"/>
        <w:ind w:left="709" w:hanging="709"/>
        <w:rPr>
          <w:rFonts w:ascii="Times New Roman" w:hAnsi="Times New Roman"/>
        </w:rPr>
      </w:pPr>
    </w:p>
    <w:p>
      <w:pPr>
        <w:tabs>
          <w:tab w:val="left" w:pos="851"/>
        </w:tabs>
        <w:spacing w:line="312" w:lineRule="auto"/>
        <w:ind w:left="709" w:hanging="709"/>
        <w:rPr>
          <w:rFonts w:ascii="Times New Roman" w:hAnsi="Times New Roman"/>
        </w:rPr>
      </w:pPr>
      <w:r>
        <w:rPr>
          <w:rFonts w:ascii="Times New Roman" w:hAnsi="Times New Roman"/>
        </w:rPr>
        <w:t>(ii)</w:t>
      </w:r>
      <w:r>
        <w:rPr>
          <w:rFonts w:ascii="Times New Roman" w:hAnsi="Times New Roman"/>
        </w:rPr>
        <w:tab/>
        <w:t>extração de certidões atualizadas dos distribuidores cíveis, das Varas da Fazenda Pública, Cartórios de Protesto, Varas do Trabalho, Varas da Justiça Federal e da Procuradoria da Fazenda Pública do foro da sede da Emissora, caso tenham sido previamente solicitadas pelo Agente Fiduciário à Emissora e não entregues dentro de 20 (vinte) Dias Úteis contados da data de solicitação, devendo tal prazo ser prorrogado por sucessivos prazos de igual período desde que a Emissora demonstre ter solicitado aos cartórios competentes a extração de referidas certidões;</w:t>
      </w:r>
    </w:p>
    <w:p>
      <w:pPr>
        <w:tabs>
          <w:tab w:val="left" w:pos="851"/>
        </w:tabs>
        <w:spacing w:line="312" w:lineRule="auto"/>
        <w:ind w:left="709" w:hanging="709"/>
        <w:rPr>
          <w:rFonts w:ascii="Times New Roman" w:hAnsi="Times New Roman"/>
        </w:rPr>
      </w:pPr>
    </w:p>
    <w:p>
      <w:pPr>
        <w:tabs>
          <w:tab w:val="left" w:pos="851"/>
        </w:tabs>
        <w:spacing w:line="312" w:lineRule="auto"/>
        <w:ind w:left="709" w:hanging="709"/>
        <w:rPr>
          <w:rFonts w:ascii="Times New Roman" w:hAnsi="Times New Roman"/>
        </w:rPr>
      </w:pPr>
      <w:r>
        <w:rPr>
          <w:rFonts w:ascii="Times New Roman" w:hAnsi="Times New Roman"/>
        </w:rPr>
        <w:t>(iii)</w:t>
      </w:r>
      <w:r>
        <w:rPr>
          <w:rFonts w:ascii="Times New Roman" w:hAnsi="Times New Roman"/>
        </w:rPr>
        <w:tab/>
        <w:t>despesas de viagem, transporte, estadia e alimentação, quando estas sejam necessárias ao desempenho das funções do Agente Fiduciário, desde que sejam devidamente comprovadas; e</w:t>
      </w:r>
    </w:p>
    <w:p>
      <w:pPr>
        <w:tabs>
          <w:tab w:val="left" w:pos="851"/>
        </w:tabs>
        <w:spacing w:line="312" w:lineRule="auto"/>
        <w:ind w:left="709" w:hanging="709"/>
        <w:rPr>
          <w:rFonts w:ascii="Times New Roman" w:hAnsi="Times New Roman"/>
        </w:rPr>
      </w:pPr>
    </w:p>
    <w:p>
      <w:pPr>
        <w:tabs>
          <w:tab w:val="left" w:pos="851"/>
        </w:tabs>
        <w:spacing w:line="312" w:lineRule="auto"/>
        <w:ind w:left="709" w:hanging="709"/>
        <w:rPr>
          <w:rFonts w:ascii="Times New Roman" w:hAnsi="Times New Roman"/>
        </w:rPr>
      </w:pPr>
      <w:r>
        <w:rPr>
          <w:rFonts w:ascii="Times New Roman" w:hAnsi="Times New Roman"/>
        </w:rPr>
        <w:t>(iv)</w:t>
      </w:r>
      <w:r>
        <w:rPr>
          <w:rFonts w:ascii="Times New Roman" w:hAnsi="Times New Roman"/>
        </w:rPr>
        <w:tab/>
        <w:t>eventuais levantamentos adicionais e especiais ou periciais que vierem a ser justificadamente necessários, se ocorrerem omissões e/ou obscuridades nas informações pertinentes aos estritos interesses dos Debenturistas.</w:t>
      </w:r>
    </w:p>
    <w:p>
      <w:pPr>
        <w:tabs>
          <w:tab w:val="left" w:pos="851"/>
        </w:tabs>
        <w:spacing w:line="312" w:lineRule="auto"/>
        <w:rPr>
          <w:rFonts w:ascii="Times New Roman" w:hAnsi="Times New Roman"/>
        </w:rPr>
      </w:pPr>
    </w:p>
    <w:p>
      <w:pPr>
        <w:tabs>
          <w:tab w:val="left" w:pos="709"/>
        </w:tabs>
        <w:spacing w:line="312" w:lineRule="auto"/>
        <w:rPr>
          <w:rFonts w:ascii="Times New Roman" w:hAnsi="Times New Roman"/>
        </w:rPr>
      </w:pPr>
    </w:p>
    <w:p>
      <w:pPr>
        <w:keepNext/>
        <w:spacing w:line="312" w:lineRule="auto"/>
        <w:jc w:val="center"/>
        <w:rPr>
          <w:rFonts w:ascii="Times New Roman" w:hAnsi="Times New Roman"/>
          <w:b/>
        </w:rPr>
      </w:pPr>
      <w:bookmarkStart w:id="3" w:name="_DV_M190"/>
      <w:bookmarkStart w:id="4" w:name="_DV_M191"/>
      <w:bookmarkStart w:id="5" w:name="_DV_M213"/>
      <w:bookmarkStart w:id="6" w:name="_DV_M214"/>
      <w:bookmarkStart w:id="7" w:name="_DV_M215"/>
      <w:bookmarkStart w:id="8" w:name="_DV_M216"/>
      <w:bookmarkStart w:id="9" w:name="_DV_M217"/>
      <w:bookmarkStart w:id="10" w:name="_DV_M218"/>
      <w:bookmarkStart w:id="11" w:name="_DV_M219"/>
      <w:bookmarkEnd w:id="3"/>
      <w:bookmarkEnd w:id="4"/>
      <w:bookmarkEnd w:id="5"/>
      <w:bookmarkEnd w:id="6"/>
      <w:bookmarkEnd w:id="7"/>
      <w:bookmarkEnd w:id="8"/>
      <w:bookmarkEnd w:id="9"/>
      <w:bookmarkEnd w:id="10"/>
      <w:bookmarkEnd w:id="11"/>
      <w:r>
        <w:rPr>
          <w:rFonts w:ascii="Times New Roman" w:hAnsi="Times New Roman"/>
          <w:b/>
        </w:rPr>
        <w:t>CLÁUSULA VIII</w:t>
      </w:r>
      <w:r>
        <w:rPr>
          <w:rFonts w:ascii="Times New Roman" w:hAnsi="Times New Roman"/>
          <w:b/>
        </w:rPr>
        <w:br/>
        <w:t>AGENTE FIDUCIÁRIO</w:t>
      </w:r>
    </w:p>
    <w:p>
      <w:pPr>
        <w:keepNext/>
        <w:spacing w:line="312" w:lineRule="auto"/>
        <w:rPr>
          <w:rFonts w:ascii="Times New Roman" w:hAnsi="Times New Roman"/>
          <w:b/>
        </w:rPr>
      </w:pPr>
    </w:p>
    <w:p>
      <w:pPr>
        <w:keepNext/>
        <w:spacing w:line="312" w:lineRule="auto"/>
        <w:rPr>
          <w:rFonts w:ascii="Times New Roman" w:hAnsi="Times New Roman"/>
          <w:b/>
        </w:rPr>
      </w:pPr>
      <w:r>
        <w:rPr>
          <w:rFonts w:ascii="Times New Roman" w:hAnsi="Times New Roman"/>
          <w:b/>
        </w:rPr>
        <w:t xml:space="preserve">8.1. </w:t>
      </w:r>
      <w:r>
        <w:rPr>
          <w:rFonts w:ascii="Times New Roman" w:hAnsi="Times New Roman"/>
          <w:b/>
        </w:rPr>
        <w:tab/>
      </w:r>
      <w:r>
        <w:rPr>
          <w:rFonts w:ascii="Times New Roman" w:hAnsi="Times New Roman"/>
          <w:b/>
        </w:rPr>
        <w:tab/>
        <w:t>Nomeação</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8.1.1.</w:t>
      </w:r>
      <w:r>
        <w:rPr>
          <w:rFonts w:ascii="Times New Roman" w:hAnsi="Times New Roman"/>
        </w:rPr>
        <w:tab/>
      </w:r>
      <w:r>
        <w:rPr>
          <w:rFonts w:ascii="Times New Roman" w:hAnsi="Times New Roman"/>
        </w:rPr>
        <w:tab/>
        <w:t>A Emissora constitui e nomeia a Oliveira Trust Distribuidora de Títulos e Valores Mobiliários S.A., qualificada no preâmbulo desta Escritura, como Agente Fiduciário, representando os Debenturistas, a qual, neste ato e pela melhor forma de direito, aceita a nomeação para, nos termos da lei e da presente Escritura, representar perante a Emissora a comunhão dos Debenturistas.</w:t>
      </w:r>
    </w:p>
    <w:p>
      <w:pPr>
        <w:tabs>
          <w:tab w:val="left" w:pos="1134"/>
        </w:tabs>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 xml:space="preserve">8.2. </w:t>
      </w:r>
      <w:r>
        <w:rPr>
          <w:rFonts w:ascii="Times New Roman" w:hAnsi="Times New Roman"/>
          <w:b/>
        </w:rPr>
        <w:tab/>
      </w:r>
      <w:r>
        <w:rPr>
          <w:rFonts w:ascii="Times New Roman" w:hAnsi="Times New Roman"/>
          <w:b/>
        </w:rPr>
        <w:tab/>
        <w:t>Declaração</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 xml:space="preserve">8.2.1. </w:t>
      </w:r>
      <w:r>
        <w:rPr>
          <w:rFonts w:ascii="Times New Roman" w:hAnsi="Times New Roman"/>
        </w:rPr>
        <w:tab/>
      </w:r>
      <w:r>
        <w:rPr>
          <w:rFonts w:ascii="Times New Roman" w:hAnsi="Times New Roman"/>
        </w:rPr>
        <w:tab/>
        <w:t>O Agente Fiduciário declara, neste ato, sob as penas da lei:</w:t>
      </w:r>
    </w:p>
    <w:p>
      <w:pPr>
        <w:spacing w:line="312" w:lineRule="auto"/>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não ter qualquer impedimento legal, conforme artigo 66, parágrafo 3º da Lei das Sociedades por Ações, e o artigo 6 da Instrução CVM nº 583, de 20 de dezembro de 2016 (“</w:t>
      </w:r>
      <w:r>
        <w:rPr>
          <w:rFonts w:ascii="Times New Roman" w:hAnsi="Times New Roman"/>
          <w:u w:val="single"/>
        </w:rPr>
        <w:t>Instrução CVM 583</w:t>
      </w:r>
      <w:r>
        <w:rPr>
          <w:rFonts w:ascii="Times New Roman" w:hAnsi="Times New Roman"/>
        </w:rPr>
        <w:t>”), para exercer a função que lhe é conferida;</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aceitar a função que lhe é conferida, assumindo integralmente os deveres e atribuições previstos na legislação específica e nesta Escritura;</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conhecer e aceitar integralmente a presente Escritura, todas as suas cláusulas e condições;</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não ter qualquer ligação com a Emissora que o impeça de exercer suas funções;</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estar ciente da regulamentação aplicável emanada do Banco Central do Brasil e da CVM, incluindo a Circular do Banco Central do Brasil nº 1.832, de 31 de outubro de 1990;</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estar devidamente autorizado a celebrar esta Escritura e a cumprir com suas obrigações aqui previstas, tendo sido satisfeitos todos os requisitos legais e societários necessários para tanto;</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não se encontrar em nenhuma das situações de conflito de interesse previstas no artigo 6º da Instrução CVM 583;</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estar devidamente qualificado a exercer as atividades de agente fiduciário, nos termos da regulamentação aplicável vigente;</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ser instituição financeira, estando devidamente organizado, constituído e existente de acordo com as leis brasileiras;</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que esta Escritura constitui uma obrigação legal, válida, vinculativa e eficaz do Agente Fiduciário, exequível de acordo com os seus termos e condições;</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que a celebração desta Escritura e o cumprimento de suas obrigações aqui previstas não infringem qualquer obrigação anteriormente assumida pelo Agente Fiduciário;</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i/>
        </w:rPr>
      </w:pPr>
      <w:r>
        <w:rPr>
          <w:rFonts w:ascii="Times New Roman" w:hAnsi="Times New Roman"/>
        </w:rPr>
        <w:t>que também atua, nesta data, como agente fiduciário nas seguintes emissões:</w:t>
      </w:r>
    </w:p>
    <w:p>
      <w:pPr>
        <w:pStyle w:val="PargrafodaLista"/>
        <w:rPr>
          <w:rFonts w:ascii="Times New Roman" w:hAnsi="Times New Roman"/>
        </w:rPr>
      </w:pPr>
    </w:p>
    <w:p>
      <w:pPr>
        <w:pStyle w:val="PargrafodaLista"/>
        <w:numPr>
          <w:ilvl w:val="4"/>
          <w:numId w:val="29"/>
        </w:numPr>
        <w:ind w:left="1418" w:hanging="709"/>
        <w:rPr>
          <w:rFonts w:ascii="Times New Roman" w:hAnsi="Times New Roman"/>
          <w:i/>
        </w:rPr>
      </w:pPr>
      <w:r>
        <w:rPr>
          <w:rFonts w:ascii="Times New Roman" w:hAnsi="Times New Roman"/>
        </w:rPr>
        <w:t>4ª emissão pública de debêntures simples, da espécie quirografária da AES TIETÊ ENERGIA S.A. com vencimento em 15 de dezembro de 2020 no volume total de R$ 594.000.000,00 (quinhentos e noventa e quatro milhões de reais), na data de emissão. Foram emitidas 594.000 (quinhentos e noventa e quatro mil) debêntures. Até a presente data, não ocorreram eventos de resgate, repactuação e inadimplemento das debêntures. Em 15 de dezembro de 2016 ocorreu amortização integral de R$ 143.500.000,00 (cento e quarenta e três milhões e quinhentos mil reais) referente a 1ª serie;</w:t>
      </w:r>
    </w:p>
    <w:p>
      <w:pPr>
        <w:pStyle w:val="PargrafodaLista"/>
        <w:ind w:left="709"/>
        <w:rPr>
          <w:rFonts w:ascii="Times New Roman" w:hAnsi="Times New Roman"/>
          <w:i/>
        </w:rPr>
      </w:pPr>
    </w:p>
    <w:p>
      <w:pPr>
        <w:pStyle w:val="PargrafodaLista"/>
        <w:numPr>
          <w:ilvl w:val="4"/>
          <w:numId w:val="29"/>
        </w:numPr>
        <w:rPr>
          <w:rFonts w:ascii="Times New Roman" w:hAnsi="Times New Roman"/>
          <w:i/>
        </w:rPr>
      </w:pPr>
      <w:r>
        <w:rPr>
          <w:rFonts w:ascii="Times New Roman" w:hAnsi="Times New Roman"/>
        </w:rPr>
        <w:t>5ª emissão pública de debêntures simples, da espécie quirografária da AES TIETÊ ENERGIA S.A.com vencimento em 15 de dezembro de 2023 no volume total de R$ 180.000.000,00 (cento e oitenta milhões de reais), na data de emissão. Foram emitidas 180.000 (cento e oitenta mil) debêntures. Até a presente data, não ocorreram eventos de resgate, repactuação e inadimplemento das debêntures; e</w:t>
      </w:r>
    </w:p>
    <w:p>
      <w:pPr>
        <w:pStyle w:val="PargrafodaLista"/>
        <w:rPr>
          <w:rFonts w:ascii="Times New Roman" w:hAnsi="Times New Roman"/>
        </w:rPr>
      </w:pPr>
    </w:p>
    <w:p>
      <w:pPr>
        <w:pStyle w:val="PargrafodaLista"/>
        <w:numPr>
          <w:ilvl w:val="4"/>
          <w:numId w:val="29"/>
        </w:numPr>
        <w:rPr>
          <w:rFonts w:ascii="Times New Roman" w:hAnsi="Times New Roman"/>
          <w:i/>
        </w:rPr>
      </w:pPr>
      <w:r>
        <w:rPr>
          <w:rFonts w:ascii="Times New Roman" w:hAnsi="Times New Roman"/>
        </w:rPr>
        <w:t xml:space="preserve">11ª emissão pública de debêntures simples, da espécie quirografária da Eletropaulo Metropolitana Eletricidade de São Paulo S.A. com vencimento em 1º de novembro de 2018 no volume total de R$200.000.000,00 (duzentos milhões de reais), na data de emissão. Foram emitidas 20.000 (vinte mil) debêntures. Até a presente data, não ocorreram eventos de resgate, repactuação e inadimplemento das debêntures da Eletropaulo. Em 01 de novembro de 2016 ocorreu amortização de R$ 100.000.000,00 (cem milhões de reais); </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assegura e assegurará, nos termos do parágrafo 1° do artigo 6º da Instrução CVM 583, tratamento equitativo a todos os Debenturistas, respeitadas as garantias, as obrigações e os direitos específicos atribuídos aos respectivos Debenturistas de cada emissão ou série;</w:t>
      </w:r>
    </w:p>
    <w:p>
      <w:pPr>
        <w:spacing w:line="312" w:lineRule="auto"/>
        <w:ind w:left="709" w:hanging="709"/>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que verificou a veracidade das informações contidas nesta Escritura de Emissão, por meio das informações e documentos fornecidos pela Emissora, sendo certo que o Agente Fiduciário não efetuou qualquer tipo de verificação independente ou adicional da veracidade das declarações da Emissora ora prestadas; e</w:t>
      </w:r>
    </w:p>
    <w:p>
      <w:pPr>
        <w:pStyle w:val="PargrafodaLista"/>
        <w:rPr>
          <w:rFonts w:ascii="Times New Roman" w:hAnsi="Times New Roman"/>
        </w:rPr>
      </w:pPr>
    </w:p>
    <w:p>
      <w:pPr>
        <w:pStyle w:val="PargrafodaLista"/>
        <w:numPr>
          <w:ilvl w:val="0"/>
          <w:numId w:val="43"/>
        </w:numPr>
        <w:spacing w:line="312" w:lineRule="auto"/>
        <w:ind w:left="709" w:hanging="709"/>
        <w:rPr>
          <w:rFonts w:ascii="Times New Roman" w:hAnsi="Times New Roman"/>
        </w:rPr>
      </w:pPr>
      <w:r>
        <w:rPr>
          <w:rFonts w:ascii="Times New Roman" w:hAnsi="Times New Roman"/>
        </w:rPr>
        <w:t>que a constituição e exequibilidade da garantia real consubstanciada pela Cessão Fiduciária depende do cumprimento da Condição Suspensiva, conforme estabelecido nesta Escritura, bem como do registro do Contrato de Garantia nos competentes cartórios de registro. Considerando as informações apresentadas pela Emissora na data de assinatura da presente Escritura, o saldo dos Recebíveis da Arrecadação nos meses de dezembro de 2016, janeiro e fevereiro de 2017 são suficientes para atendimento do Valor Mínimo, conforme definido no Contrato de Garantia.</w:t>
      </w:r>
    </w:p>
    <w:p>
      <w:pPr>
        <w:tabs>
          <w:tab w:val="left" w:pos="993"/>
        </w:tabs>
        <w:spacing w:line="312" w:lineRule="auto"/>
        <w:ind w:left="426"/>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8.2.2.</w:t>
      </w:r>
      <w:r>
        <w:rPr>
          <w:rFonts w:ascii="Times New Roman" w:hAnsi="Times New Roman"/>
        </w:rPr>
        <w:tab/>
        <w:t>O Agente Fiduciário exercerá suas funções a partir da data de assinatura desta Escritura ou de eventual aditamento relativo à sua substituição, devendo permanecer no exercício de suas funções até a Data de Vencimento ou, caso ainda restem obrigações da Emissora nos termos desta Escritura inadimplidas após a Data de Vencimento, até que todas as obrigações da Emissora nos termos desta Escritura sejam integralmente cumpridas, ou, ainda, até sua efetiva substituição, conforme Cláusula 8.3 abaixo.</w:t>
      </w:r>
    </w:p>
    <w:p>
      <w:pPr>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8.2.3.</w:t>
      </w:r>
      <w:r>
        <w:rPr>
          <w:rFonts w:ascii="Times New Roman" w:hAnsi="Times New Roman"/>
        </w:rPr>
        <w:tab/>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8.2.4.</w:t>
      </w:r>
      <w:r>
        <w:rPr>
          <w:rFonts w:ascii="Times New Roman" w:hAnsi="Times New Roman"/>
        </w:rPr>
        <w:tab/>
        <w:t>Sem prejuízo do dever de diligência do Agente Fiduciário, o mesmo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8.2.5.</w:t>
      </w:r>
      <w:r>
        <w:rPr>
          <w:rFonts w:ascii="Times New Roman" w:hAnsi="Times New Roman"/>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em Assembleia Geral de Debenturistas.</w:t>
      </w:r>
    </w:p>
    <w:p>
      <w:pPr>
        <w:tabs>
          <w:tab w:val="left" w:pos="1134"/>
        </w:tabs>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 xml:space="preserve">8.3. </w:t>
      </w:r>
      <w:r>
        <w:rPr>
          <w:rFonts w:ascii="Times New Roman" w:hAnsi="Times New Roman"/>
          <w:b/>
        </w:rPr>
        <w:tab/>
      </w:r>
      <w:r>
        <w:rPr>
          <w:rFonts w:ascii="Times New Roman" w:hAnsi="Times New Roman"/>
          <w:b/>
        </w:rPr>
        <w:tab/>
        <w:t>Substituição</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8.3.1.</w:t>
      </w:r>
      <w:r>
        <w:rPr>
          <w:rFonts w:ascii="Times New Roman" w:hAnsi="Times New Roman"/>
        </w:rPr>
        <w:tab/>
      </w:r>
      <w:r>
        <w:rPr>
          <w:rFonts w:ascii="Times New Roman" w:hAnsi="Times New Roman"/>
        </w:rPr>
        <w:tab/>
        <w:t>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ou por Debenturistas que representem 10% (dez por cento), no mínimo, das Debêntures em Circulação. Em casos excepcionais, a CVM pode proceder à convocação da assembleia para a escolha de novo agente fiduciário ou nomear substituto provisório. Na hipótese da convocação não ocorrer em até 15 (quinze) dias antes do término do prazo acima citado, caberá à Emissora efetuá-la, observado o prazo de 15 (quinze) dias para a primeira convocação e 8 (oito) dias para a segunda convocação, sendo certo que a CVM poderá nomear substituto provisório enquanto não se consumar o processo de escolha do novo agente fiduciário.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8.3.2.</w:t>
      </w:r>
      <w:r>
        <w:rPr>
          <w:rFonts w:ascii="Times New Roman" w:hAnsi="Times New Roman"/>
        </w:rPr>
        <w:tab/>
      </w:r>
      <w:r>
        <w:rPr>
          <w:rFonts w:ascii="Times New Roman" w:hAnsi="Times New Roman"/>
        </w:rPr>
        <w:tab/>
        <w:t>Na hipótese de não poder o Agente Fiduciário continuar a exercer as suas funções por circunstâncias supervenientes a esta Escritura, deverá comunicar imediatamente o fato aos Debenturistas e à Emissora, pedindo sua substituição.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8.3.3.</w:t>
      </w:r>
      <w:r>
        <w:rPr>
          <w:rFonts w:ascii="Times New Roman" w:hAnsi="Times New Roman"/>
        </w:rPr>
        <w:tab/>
      </w:r>
      <w:r>
        <w:rPr>
          <w:rFonts w:ascii="Times New Roman" w:hAnsi="Times New Roman"/>
        </w:rPr>
        <w:tab/>
        <w:t>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e à sua manifestação acerca do atendimento aos requisitos previstos no artigo 7º da Instrução CVM 583; e (b) a eventuais normas posteriores.</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8.3.4</w:t>
      </w:r>
      <w:r>
        <w:rPr>
          <w:rFonts w:ascii="Times New Roman" w:hAnsi="Times New Roman"/>
        </w:rPr>
        <w:tab/>
      </w:r>
      <w:r>
        <w:rPr>
          <w:rFonts w:ascii="Times New Roman" w:hAnsi="Times New Roman"/>
        </w:rPr>
        <w:tab/>
        <w:t xml:space="preserve">A substituição do Agente Fiduciário deve ser comunicada à CVM, no prazo de até 7 (sete) dias úteis, contatos do registro do aditamento da escritura de emissão, o qual deve ocorrer através de arquivamento na JUCESP em até 20 (vinte) Dias Úteis. </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8.3.5.</w:t>
      </w:r>
      <w:r>
        <w:rPr>
          <w:rFonts w:ascii="Times New Roman" w:hAnsi="Times New Roman"/>
        </w:rPr>
        <w:tab/>
      </w:r>
      <w:r>
        <w:rPr>
          <w:rFonts w:ascii="Times New Roman" w:hAnsi="Times New Roman"/>
        </w:rPr>
        <w:tab/>
        <w:t>Caso ocorra a efetiva substituição do Agente Fiduciário, esse substituto receberá a mesma remuneração recebida pelo Agente Fiduciário em todos os seus termos e condições, sendo que a primeira parcela anual devida ao substituto será calculada pro rata temporis, a partir da data de início do exercício de sua função como agente fiduciário. Esta remuneração poderá ser alterada de comum acordo entre a Emissora e o agente fiduciário substituto, desde que previamente aprovada pela Assembleia Geral de Debenturistas.</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8.3.6.</w:t>
      </w:r>
      <w:r>
        <w:rPr>
          <w:rFonts w:ascii="Times New Roman" w:hAnsi="Times New Roman"/>
        </w:rPr>
        <w:tab/>
        <w:t>Aplicam-se às hipóteses de substituição do Agente Fiduciário as normas e preceitos a respeito emanados da CVM.</w:t>
      </w:r>
    </w:p>
    <w:p>
      <w:pPr>
        <w:tabs>
          <w:tab w:val="left" w:pos="1134"/>
        </w:tabs>
        <w:spacing w:line="312" w:lineRule="auto"/>
        <w:rPr>
          <w:rFonts w:ascii="Times New Roman" w:hAnsi="Times New Roman"/>
        </w:rPr>
      </w:pPr>
    </w:p>
    <w:p>
      <w:pPr>
        <w:keepNext/>
        <w:tabs>
          <w:tab w:val="left" w:pos="1134"/>
          <w:tab w:val="left" w:pos="1418"/>
        </w:tabs>
        <w:spacing w:line="312" w:lineRule="auto"/>
        <w:rPr>
          <w:rFonts w:ascii="Times New Roman" w:hAnsi="Times New Roman"/>
          <w:b/>
        </w:rPr>
      </w:pPr>
      <w:r>
        <w:rPr>
          <w:rFonts w:ascii="Times New Roman" w:hAnsi="Times New Roman"/>
          <w:b/>
        </w:rPr>
        <w:t>8.4.</w:t>
      </w:r>
      <w:r>
        <w:rPr>
          <w:rFonts w:ascii="Times New Roman" w:hAnsi="Times New Roman"/>
          <w:b/>
        </w:rPr>
        <w:tab/>
      </w:r>
      <w:r>
        <w:rPr>
          <w:rFonts w:ascii="Times New Roman" w:hAnsi="Times New Roman"/>
          <w:b/>
        </w:rPr>
        <w:tab/>
        <w:t>Obrigações</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8.4.1.</w:t>
      </w:r>
      <w:r>
        <w:rPr>
          <w:rFonts w:ascii="Times New Roman" w:hAnsi="Times New Roman"/>
        </w:rPr>
        <w:tab/>
      </w:r>
      <w:r>
        <w:rPr>
          <w:rFonts w:ascii="Times New Roman" w:hAnsi="Times New Roman"/>
        </w:rPr>
        <w:tab/>
        <w:t>Além de outros previstos em lei, em ato normativo da CVM e nesta Escritura, constituem obrigações do Agente Fiduciário:</w:t>
      </w:r>
    </w:p>
    <w:p>
      <w:pPr>
        <w:tabs>
          <w:tab w:val="left" w:pos="1134"/>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responsabilizar-se integralmente pelos serviços contratados, nos termos da legislação vigente;</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proteger os direitos e interesses dos Debenturistas, empregando no exercício da função o cuidado e a diligência com que todo homem ativo e probo emprega na administração de seus próprios bens;</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renunciar à função, na hipótese de superveniência de conflitos de interesses ou de qualquer outra modalidade de inaptidão e realizar a imediata convocação da assembleia prevista na Cláusula IX abaixo para deliberar sobre sua substituição;</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conservar em boa guarda toda a documentação relativa ao exercício de suas funções;</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verificar a veracidade das informações relativas às garantias e a consistência das demais informações contidas nesta Escritura, diligenciando para que sejam sanadas as omissões, falhas ou defeitos de que tenha conhecimento;</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diligenciar junto à Emissora para que a Escritura e seus aditamentos sejam registrados nos órgãos competentes, adotando, no caso da omissão da Emissora, as medidas eventualmente previstas em lei;</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acompanhar a prestação das informações periódicas pela Emissora e alertar aos Debenturistas, no relatório anual de que trata o art. 15 da Instrução CVM 583, sobre inconsistências ou omissões de que tenha conhecimento;</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opinar sobre a suficiência das informações prestadas nas propostas de modificação das condições das Debêntures;</w:t>
      </w:r>
    </w:p>
    <w:p>
      <w:pPr>
        <w:pStyle w:val="PargrafodaLista"/>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verificar a regularidade da constituição da Garantia, bem como o valor dos bens dados em garantia, observando a manutenção de sua suficiência e exequibilidade nos termos das disposições estabelecidas na Escritura;</w:t>
      </w:r>
    </w:p>
    <w:p>
      <w:pPr>
        <w:pStyle w:val="PargrafodaLista"/>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examinar a proposta de substituição de bens dados em garantia, manifestando sua opinião a respeito do assunto de forma justificada;</w:t>
      </w:r>
    </w:p>
    <w:p>
      <w:pPr>
        <w:pStyle w:val="PargrafodaLista"/>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intimar a Emissora a reforçar a garantia dada, na hipótese de sua deterioração ou depreciação, ou ainda, nos casos previstos no Contrato de Cessão Fiduciária;</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solicitar, quando julgar necessário para o fiel cumprimento de suas funções, certidões atualizadas dos distribuidores cíveis, das Varas de Fazenda Pública, cartórios de protesto, das Varas do Trabalho, Procuradoria da Fazenda Pública, da localidade onde se situe o bem dado em garantia ou o domicílio ou sede da Emissora;</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solicitar, quando considerar necessário, auditoria externa da Emissora;</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convocar, quando necessário, a Assembleia Geral de Debenturistas, nos termos da Cláusula 9.1.2 abaixo;</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comparecer à Assembleia Geral de Debenturistas a fim de prestar as informações que lhe forem solicitadas;</w:t>
      </w:r>
    </w:p>
    <w:p>
      <w:pPr>
        <w:tabs>
          <w:tab w:val="left" w:pos="993"/>
        </w:tabs>
        <w:spacing w:line="312" w:lineRule="auto"/>
        <w:ind w:left="709" w:hanging="709"/>
        <w:rPr>
          <w:rFonts w:ascii="Times New Roman" w:hAnsi="Times New Roman"/>
        </w:rPr>
      </w:pPr>
    </w:p>
    <w:p>
      <w:pPr>
        <w:pStyle w:val="PargrafodaLista"/>
        <w:numPr>
          <w:ilvl w:val="4"/>
          <w:numId w:val="46"/>
        </w:numPr>
        <w:tabs>
          <w:tab w:val="left" w:pos="993"/>
        </w:tabs>
        <w:spacing w:line="312" w:lineRule="auto"/>
        <w:ind w:left="709" w:hanging="709"/>
        <w:rPr>
          <w:rFonts w:ascii="Times New Roman" w:hAnsi="Times New Roman"/>
        </w:rPr>
      </w:pPr>
      <w:r>
        <w:rPr>
          <w:rFonts w:ascii="Times New Roman" w:hAnsi="Times New Roman"/>
        </w:rPr>
        <w:t>elaborar relatório anual destinado aos Debenturistas, nos termos do artigo 68, parágrafo 1º, alínea (b), da Lei das Sociedades por Ações, o qual deverá conter, ao menos, as seguintes informações:</w:t>
      </w:r>
    </w:p>
    <w:p>
      <w:pPr>
        <w:tabs>
          <w:tab w:val="left" w:pos="993"/>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eventual omissão, incorreção ou inverdade de que tenha conhecimento, nas informações divulgadas pela Emissora ou, ainda, o inadimplemento ou atraso na obrigatória prestação de informações pela Emissora;</w:t>
      </w:r>
    </w:p>
    <w:p>
      <w:pPr>
        <w:tabs>
          <w:tab w:val="left" w:pos="1276"/>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alterações estatutárias da Emissora ocorridas no período;</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comentários sobre as demonstrações financeiras da Emissora, enfocando os indicadores econômicos, financeiros e de estrutura de capital da Emissora;</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posição da distribuição ou colocação das Debêntures no mercado;</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resgate, amortização, conversão, repactuação e pagamentos realizados no período, bem como aquisições e vendas de Debêntures efetuadas pela Emissora;</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acompanhamento da destinação dos recursos captados por meio das Debêntures, de acordo com os dados obtidos junto aos administradores da Emissora;</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cumprimento de outras obrigações assumidas pela Emissora nesta Escritura;</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declaração sobre sua aptidão para continuar exercendo a função de Agente Fiduciário;</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pagamentos de Remuneração realizados no período, bem como aquisições e vendas de Debêntures efetuadas pela Emissora;</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relação dos bens e valores eventualmente entregues à sua administração; e</w:t>
      </w:r>
    </w:p>
    <w:p>
      <w:pPr>
        <w:tabs>
          <w:tab w:val="left" w:pos="1418"/>
        </w:tabs>
        <w:spacing w:line="312" w:lineRule="auto"/>
        <w:ind w:left="1418" w:hanging="709"/>
        <w:rPr>
          <w:rFonts w:ascii="Times New Roman" w:hAnsi="Times New Roman"/>
        </w:rPr>
      </w:pPr>
    </w:p>
    <w:p>
      <w:pPr>
        <w:pStyle w:val="PargrafodaLista"/>
        <w:numPr>
          <w:ilvl w:val="0"/>
          <w:numId w:val="47"/>
        </w:numPr>
        <w:tabs>
          <w:tab w:val="left" w:pos="1418"/>
        </w:tabs>
        <w:spacing w:line="312" w:lineRule="auto"/>
        <w:ind w:left="1418" w:hanging="709"/>
        <w:rPr>
          <w:rFonts w:ascii="Times New Roman" w:hAnsi="Times New Roman"/>
        </w:rPr>
      </w:pPr>
      <w:r>
        <w:rPr>
          <w:rFonts w:ascii="Times New Roman" w:hAnsi="Times New Roman"/>
        </w:rPr>
        <w:t>existência de outras emissões de debêntures, públicas ou privadas, feitas por sociedade coligada, controlada, controladora ou integrante do mesmo grupo da Emissora em que tenha atuado como agente fiduciário no período, bem como os seguintes dados sobre tais emissões: (i) denominação da companhia ofertante; (ii) valor da emissão; (iii) quantidade de debêntures emitidas; (iv) espécie; (v) prazo de vencimento das debêntures; (vi) tipo e valor dos bens dados em garantia e denominação dos garantidores; (vii) eventos de resgate, amortização, conversão, repactuação e inadimplemento no período.</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 xml:space="preserve">disponibilizar o relatório de que trata a alínea (m) acima aos Debenturistas no prazo máximo de 4 (quatro) meses a contar do encerramento do exercício social da Emissora, ao menos nos seguintes locais: na sede da Emissora; na sede do Agente Fiduciário; na CVM; na CETIP; e no endereço da instituição financeira que atuar como Coordenador na colocação das Debêntures; </w:t>
      </w:r>
    </w:p>
    <w:p>
      <w:pPr>
        <w:pStyle w:val="PargrafodaLista"/>
        <w:tabs>
          <w:tab w:val="left" w:pos="993"/>
          <w:tab w:val="left" w:pos="1276"/>
        </w:tabs>
        <w:spacing w:line="312" w:lineRule="auto"/>
        <w:ind w:left="426"/>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comunicar aos Debenturistas, nos termos do da Cláusula 4.18 acima, que o relatório mencionado na alínea (xiii) se encontra à disposição nos locais indicados na alínea (xiv);</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manter atualizada a relação dos Debenturistas e seus endereços, sendo que a Emissora e os Debenturistas (estes a partir da respectiva data de subscrição, integralização ou aquisição das Debêntures) autorizam, desde já, o Banco Liquidante, o Escriturador e a CETIP a atenderem às solicitações do Agente Fiduciário que sejam necessárias ao cumprimento desta alínea;</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 xml:space="preserve">conforme necessário, orientar a Emissora no resgate das Debêntures, por conta do vencimento antecipado das obrigações decorrentes das Debêntures, nos termos da Escritura; </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fiscalizar o cumprimento do previsto nesta Escritura, inclusive das obrigações de fazer e não fazer, através de documentos e informações fornecidas pela Emissora, informando prontamente aos Debenturistas as eventuais inadimplências verificadas;</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acompanhar a ocorrência dos Eventos de Inadimplemento e agir conforme estabelecido nesta Escritura;</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acompanhar o resgate das Debêntures nos casos previstos nesta Escritura;</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 xml:space="preserve">comunicar aos Debenturistas qualquer inadimplemento, pela Emissora, de obrigações financeiras assumidas na Escritura, incluindo as obrigações relativas à Garantia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previsto no art. 16, II, da Instrução CVM 583; e </w:t>
      </w:r>
    </w:p>
    <w:p>
      <w:pPr>
        <w:pStyle w:val="PargrafodaLista"/>
        <w:rPr>
          <w:rFonts w:ascii="Times New Roman" w:hAnsi="Times New Roman"/>
        </w:rPr>
      </w:pPr>
    </w:p>
    <w:p>
      <w:pPr>
        <w:pStyle w:val="PargrafodaLista"/>
        <w:numPr>
          <w:ilvl w:val="4"/>
          <w:numId w:val="46"/>
        </w:numPr>
        <w:tabs>
          <w:tab w:val="left" w:pos="993"/>
          <w:tab w:val="left" w:pos="1276"/>
        </w:tabs>
        <w:spacing w:line="312" w:lineRule="auto"/>
        <w:ind w:left="426" w:hanging="709"/>
        <w:rPr>
          <w:rFonts w:ascii="Times New Roman" w:hAnsi="Times New Roman"/>
        </w:rPr>
      </w:pPr>
      <w:r>
        <w:rPr>
          <w:rFonts w:ascii="Times New Roman" w:hAnsi="Times New Roman"/>
        </w:rPr>
        <w:t>acompanhar as obrigações da Emissora no Contrato de Cessão Fiduciária, bem como cumprir com as obrigações estabelecidas pelo Agente Fiduciário no Contrato de Cessão Fiduciária.</w:t>
      </w:r>
    </w:p>
    <w:p>
      <w:pPr>
        <w:tabs>
          <w:tab w:val="left" w:pos="993"/>
        </w:tabs>
        <w:spacing w:line="312" w:lineRule="auto"/>
        <w:ind w:left="426"/>
        <w:rPr>
          <w:rFonts w:ascii="Times New Roman" w:hAnsi="Times New Roman"/>
        </w:rPr>
      </w:pPr>
    </w:p>
    <w:p>
      <w:pPr>
        <w:tabs>
          <w:tab w:val="left" w:pos="1134"/>
          <w:tab w:val="left" w:pos="1418"/>
        </w:tabs>
        <w:spacing w:line="312" w:lineRule="auto"/>
        <w:rPr>
          <w:rFonts w:ascii="Times New Roman" w:hAnsi="Times New Roman"/>
        </w:rPr>
      </w:pPr>
      <w:r>
        <w:rPr>
          <w:rFonts w:ascii="Times New Roman" w:hAnsi="Times New Roman"/>
        </w:rPr>
        <w:t>8.5.1</w:t>
      </w:r>
      <w:r>
        <w:rPr>
          <w:rFonts w:ascii="Times New Roman" w:hAnsi="Times New Roman"/>
        </w:rPr>
        <w:tab/>
      </w:r>
      <w:r>
        <w:rPr>
          <w:rFonts w:ascii="Times New Roman" w:hAnsi="Times New Roman"/>
        </w:rPr>
        <w:tab/>
        <w:t xml:space="preserve">No caso de inadimplemento de quaisquer condições da Emissão, o Agente Fiduciário deve usar de toda e qualquer medida prevista em lei ou na Escritura de Emissão para proteger direitos ou defender os interesses dos Debenturistas. </w:t>
      </w:r>
    </w:p>
    <w:p>
      <w:pPr>
        <w:tabs>
          <w:tab w:val="left" w:pos="993"/>
        </w:tabs>
        <w:spacing w:line="312" w:lineRule="auto"/>
        <w:ind w:left="426"/>
        <w:rPr>
          <w:rFonts w:ascii="Times New Roman" w:hAnsi="Times New Roman"/>
        </w:rPr>
      </w:pPr>
    </w:p>
    <w:p>
      <w:pPr>
        <w:keepNext/>
        <w:spacing w:line="312" w:lineRule="auto"/>
        <w:rPr>
          <w:rFonts w:ascii="Times New Roman" w:hAnsi="Times New Roman"/>
          <w:b/>
        </w:rPr>
      </w:pPr>
      <w:r>
        <w:rPr>
          <w:rFonts w:ascii="Times New Roman" w:hAnsi="Times New Roman"/>
          <w:b/>
        </w:rPr>
        <w:t>8.6</w:t>
      </w:r>
      <w:r>
        <w:rPr>
          <w:rFonts w:ascii="Times New Roman" w:hAnsi="Times New Roman"/>
          <w:b/>
        </w:rPr>
        <w:tab/>
      </w:r>
      <w:r>
        <w:rPr>
          <w:rFonts w:ascii="Times New Roman" w:hAnsi="Times New Roman"/>
          <w:b/>
        </w:rPr>
        <w:tab/>
        <w:t>Remuneração do Agente Fiduciário</w:t>
      </w:r>
    </w:p>
    <w:p>
      <w:pPr>
        <w:keepNext/>
        <w:spacing w:line="312" w:lineRule="auto"/>
        <w:rPr>
          <w:rFonts w:ascii="Times New Roman" w:hAnsi="Times New Roman"/>
          <w:b/>
        </w:rPr>
      </w:pPr>
    </w:p>
    <w:p>
      <w:pPr>
        <w:spacing w:line="312" w:lineRule="auto"/>
        <w:rPr>
          <w:rFonts w:ascii="Times New Roman" w:hAnsi="Times New Roman"/>
        </w:rPr>
      </w:pPr>
      <w:r>
        <w:rPr>
          <w:rFonts w:ascii="Times New Roman" w:hAnsi="Times New Roman"/>
        </w:rPr>
        <w:t>8.6.1.</w:t>
      </w:r>
      <w:r>
        <w:rPr>
          <w:rFonts w:ascii="Times New Roman" w:hAnsi="Times New Roman"/>
        </w:rPr>
        <w:tab/>
      </w:r>
      <w:r>
        <w:rPr>
          <w:rFonts w:ascii="Times New Roman" w:hAnsi="Times New Roman"/>
        </w:rPr>
        <w:tab/>
        <w:t>Serão devidos, pela Emissora ao Agente Fiduciário ou à instituição que vier a substituí-lo, nos termos da Cláusula 8.5. acima, honorários pelo desempenho dos deveres e atribuições que lhe competem, nos termos da legislação em vigor e desta Escritura, correspondentes a:</w:t>
      </w:r>
    </w:p>
    <w:p>
      <w:pPr>
        <w:spacing w:line="312" w:lineRule="auto"/>
        <w:rPr>
          <w:rFonts w:ascii="Times New Roman" w:hAnsi="Times New Roman"/>
        </w:rPr>
      </w:pPr>
    </w:p>
    <w:p>
      <w:pPr>
        <w:widowControl w:val="0"/>
        <w:numPr>
          <w:ilvl w:val="0"/>
          <w:numId w:val="37"/>
        </w:numPr>
        <w:autoSpaceDE w:val="0"/>
        <w:autoSpaceDN w:val="0"/>
        <w:adjustRightInd w:val="0"/>
        <w:spacing w:line="312" w:lineRule="auto"/>
        <w:ind w:hanging="720"/>
        <w:rPr>
          <w:rFonts w:ascii="Times New Roman" w:hAnsi="Times New Roman"/>
          <w:color w:val="000000"/>
        </w:rPr>
      </w:pPr>
      <w:r>
        <w:rPr>
          <w:rFonts w:ascii="Times New Roman" w:hAnsi="Times New Roman"/>
          <w:color w:val="000000"/>
        </w:rPr>
        <w:t xml:space="preserve">remuneração anual de R$ 18.000,00 (dezoito mil reais), sendo a primeira parcela devida 05 (cinco) dias após a assinatura desta Escritura e as demais parcelas no mesmo dia dos anos subsequentes até o vencimento da Emissão. A primeira parcela será devida ainda que a Emissão não seja integralizada, a título de estruturação e implantação. A remuneração será devida mesmo após o vencimento final das Debêntures, caso o Agente Fiduciário ainda esteja exercendo atividades inerentes a sua função em relação à emissão, remuneração essa que será calculada </w:t>
      </w:r>
      <w:r>
        <w:rPr>
          <w:rFonts w:ascii="Times New Roman" w:hAnsi="Times New Roman"/>
          <w:i/>
          <w:color w:val="000000"/>
        </w:rPr>
        <w:t>pro rata die</w:t>
      </w:r>
      <w:r>
        <w:rPr>
          <w:rFonts w:ascii="Times New Roman" w:hAnsi="Times New Roman"/>
          <w:color w:val="000000"/>
        </w:rPr>
        <w:t xml:space="preserve">; </w:t>
      </w:r>
    </w:p>
    <w:p>
      <w:pPr>
        <w:widowControl w:val="0"/>
        <w:autoSpaceDE w:val="0"/>
        <w:autoSpaceDN w:val="0"/>
        <w:adjustRightInd w:val="0"/>
        <w:spacing w:line="312" w:lineRule="auto"/>
        <w:ind w:left="720"/>
        <w:rPr>
          <w:rFonts w:ascii="Times New Roman" w:hAnsi="Times New Roman"/>
          <w:color w:val="000000"/>
        </w:rPr>
      </w:pPr>
    </w:p>
    <w:p>
      <w:pPr>
        <w:widowControl w:val="0"/>
        <w:numPr>
          <w:ilvl w:val="0"/>
          <w:numId w:val="37"/>
        </w:numPr>
        <w:autoSpaceDE w:val="0"/>
        <w:autoSpaceDN w:val="0"/>
        <w:adjustRightInd w:val="0"/>
        <w:spacing w:line="312" w:lineRule="auto"/>
        <w:ind w:hanging="720"/>
        <w:rPr>
          <w:rFonts w:ascii="Times New Roman" w:hAnsi="Times New Roman"/>
          <w:color w:val="000000"/>
        </w:rPr>
      </w:pPr>
      <w:r>
        <w:rPr>
          <w:rFonts w:ascii="Times New Roman" w:hAnsi="Times New Roman"/>
          <w:color w:val="00000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 (ii) execução das garantias;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 </w:t>
      </w:r>
    </w:p>
    <w:p>
      <w:pPr>
        <w:widowControl w:val="0"/>
        <w:autoSpaceDE w:val="0"/>
        <w:autoSpaceDN w:val="0"/>
        <w:adjustRightInd w:val="0"/>
        <w:spacing w:line="312" w:lineRule="auto"/>
        <w:ind w:left="720"/>
        <w:rPr>
          <w:rFonts w:ascii="Times New Roman" w:hAnsi="Times New Roman"/>
          <w:color w:val="000000"/>
        </w:rPr>
      </w:pPr>
    </w:p>
    <w:p>
      <w:pPr>
        <w:widowControl w:val="0"/>
        <w:numPr>
          <w:ilvl w:val="0"/>
          <w:numId w:val="37"/>
        </w:numPr>
        <w:autoSpaceDE w:val="0"/>
        <w:autoSpaceDN w:val="0"/>
        <w:adjustRightInd w:val="0"/>
        <w:spacing w:line="312" w:lineRule="auto"/>
        <w:ind w:hanging="720"/>
        <w:rPr>
          <w:rFonts w:ascii="Times New Roman" w:hAnsi="Times New Roman"/>
          <w:color w:val="000000"/>
        </w:rPr>
      </w:pPr>
      <w:r>
        <w:rPr>
          <w:rFonts w:ascii="Times New Roman" w:hAnsi="Times New Roman"/>
          <w:color w:val="000000"/>
        </w:rPr>
        <w:t xml:space="preserve">No caso de celebração de aditamentos a escritura de emissão bem como nas horas externas ao escritório do Agente Fiduciário, serão cobradas, adicionalmente, o valor de R$ 500,00 (quinhentos reais) por hora-homem de trabalho dedicado a tais alterações/serviços; </w:t>
      </w:r>
    </w:p>
    <w:p>
      <w:pPr>
        <w:widowControl w:val="0"/>
        <w:spacing w:line="312" w:lineRule="auto"/>
        <w:ind w:left="720" w:hanging="720"/>
        <w:rPr>
          <w:rFonts w:ascii="Times New Roman" w:hAnsi="Times New Roman"/>
          <w:color w:val="000000"/>
        </w:rPr>
      </w:pPr>
    </w:p>
    <w:p>
      <w:pPr>
        <w:widowControl w:val="0"/>
        <w:numPr>
          <w:ilvl w:val="0"/>
          <w:numId w:val="37"/>
        </w:numPr>
        <w:autoSpaceDE w:val="0"/>
        <w:autoSpaceDN w:val="0"/>
        <w:adjustRightInd w:val="0"/>
        <w:spacing w:line="312" w:lineRule="auto"/>
        <w:ind w:hanging="720"/>
        <w:rPr>
          <w:rFonts w:ascii="Times New Roman" w:hAnsi="Times New Roman"/>
        </w:rPr>
      </w:pPr>
      <w:r>
        <w:rPr>
          <w:rFonts w:ascii="Times New Roman" w:hAnsi="Times New Roman"/>
          <w:color w:val="000000"/>
        </w:rPr>
        <w:t xml:space="preserve">o pagamento das parcelas descritas acima deverão ser feitos ao Agente Fiduciário acrescidos dos valores relativos aos impostos e contribuições incidentes sobre o faturamento: (a) ISS (Impostos sobre Serviços de Qualquer Natureza); (b) PIS (Contribuição ao Programa de Integração Social); (c) COFINS (Contribuição para o Financiamento da Seguridade Social); (d) CSLL (Contribuição Social Sobre o Lucro Líquido); e (e) IRRF (Imposto de Renda Retido na Fonte); e (f) quaisquer outros impostos que venham a incidir sobre a remuneração do Agente Fiduciário, nas alíquotas vigentes nas datas de cada pagamento; </w:t>
      </w:r>
    </w:p>
    <w:p>
      <w:pPr>
        <w:widowControl w:val="0"/>
        <w:spacing w:line="312" w:lineRule="auto"/>
        <w:ind w:left="720" w:hanging="720"/>
        <w:rPr>
          <w:rFonts w:ascii="Times New Roman" w:hAnsi="Times New Roman"/>
          <w:color w:val="000000"/>
        </w:rPr>
      </w:pPr>
    </w:p>
    <w:p>
      <w:pPr>
        <w:widowControl w:val="0"/>
        <w:numPr>
          <w:ilvl w:val="0"/>
          <w:numId w:val="37"/>
        </w:numPr>
        <w:autoSpaceDE w:val="0"/>
        <w:autoSpaceDN w:val="0"/>
        <w:adjustRightInd w:val="0"/>
        <w:spacing w:line="312" w:lineRule="auto"/>
        <w:ind w:hanging="720"/>
        <w:rPr>
          <w:rFonts w:ascii="Times New Roman" w:hAnsi="Times New Roman"/>
          <w:color w:val="000000"/>
        </w:rPr>
      </w:pPr>
      <w:r>
        <w:rPr>
          <w:rFonts w:ascii="Times New Roman" w:hAnsi="Times New Roman"/>
          <w:color w:val="000000"/>
        </w:rPr>
        <w:t xml:space="preserve">as parcelas referidas acima serão atualizadas, anualmente, de acordo com a variação acumulada do IGP-M, ou na sua falta ou impossibilidade de aplicação, pelo índice oficial que vier a substitui-lo, a partir da data de assinatura do presente instrumento, até as datas de pagamento de cada parcela subsequente, calculada </w:t>
      </w:r>
      <w:r>
        <w:rPr>
          <w:rFonts w:ascii="Times New Roman" w:hAnsi="Times New Roman"/>
          <w:i/>
          <w:color w:val="000000"/>
        </w:rPr>
        <w:t>pro rata die</w:t>
      </w:r>
      <w:r>
        <w:rPr>
          <w:rFonts w:ascii="Times New Roman" w:hAnsi="Times New Roman"/>
          <w:color w:val="000000"/>
        </w:rPr>
        <w:t xml:space="preserve">; </w:t>
      </w:r>
    </w:p>
    <w:p>
      <w:pPr>
        <w:widowControl w:val="0"/>
        <w:spacing w:line="312" w:lineRule="auto"/>
        <w:ind w:left="720"/>
        <w:rPr>
          <w:rFonts w:ascii="Times New Roman" w:hAnsi="Times New Roman"/>
          <w:color w:val="000000"/>
        </w:rPr>
      </w:pPr>
    </w:p>
    <w:p>
      <w:pPr>
        <w:widowControl w:val="0"/>
        <w:numPr>
          <w:ilvl w:val="0"/>
          <w:numId w:val="37"/>
        </w:numPr>
        <w:autoSpaceDE w:val="0"/>
        <w:autoSpaceDN w:val="0"/>
        <w:adjustRightInd w:val="0"/>
        <w:spacing w:line="312" w:lineRule="auto"/>
        <w:ind w:hanging="720"/>
        <w:rPr>
          <w:rFonts w:ascii="Times New Roman" w:hAnsi="Times New Roman"/>
          <w:color w:val="000000"/>
        </w:rPr>
      </w:pPr>
      <w:r>
        <w:rPr>
          <w:rFonts w:ascii="Times New Roman" w:hAnsi="Times New Roman"/>
          <w:color w:val="000000"/>
        </w:rPr>
        <w:t xml:space="preserve">em caso de mora no pagamento de qualquer quantia devida em decorrência da remuneração ora proposta, os débitos em atraso ficarão sujeitos a juros de mora de 1% (um por cento) ao mês e multa não compensatória de 2% (dois por cento) sobre o valor devido, sendo o valor em atraso sujeito a atualização monetária pelo IGPM, incidente desde a data da inadimplência até a data do efetivo pagamento, calculado </w:t>
      </w:r>
      <w:r>
        <w:rPr>
          <w:rFonts w:ascii="Times New Roman" w:hAnsi="Times New Roman"/>
          <w:i/>
          <w:color w:val="000000"/>
        </w:rPr>
        <w:t>pro rata die</w:t>
      </w:r>
      <w:r>
        <w:rPr>
          <w:rFonts w:ascii="Times New Roman" w:hAnsi="Times New Roman"/>
          <w:color w:val="000000"/>
        </w:rPr>
        <w:t>; e</w:t>
      </w:r>
    </w:p>
    <w:p>
      <w:pPr>
        <w:pStyle w:val="PargrafodaLista"/>
        <w:rPr>
          <w:rFonts w:ascii="Times New Roman" w:hAnsi="Times New Roman"/>
          <w:color w:val="000000"/>
        </w:rPr>
      </w:pPr>
    </w:p>
    <w:p>
      <w:pPr>
        <w:widowControl w:val="0"/>
        <w:numPr>
          <w:ilvl w:val="0"/>
          <w:numId w:val="37"/>
        </w:numPr>
        <w:autoSpaceDE w:val="0"/>
        <w:autoSpaceDN w:val="0"/>
        <w:adjustRightInd w:val="0"/>
        <w:spacing w:line="312" w:lineRule="auto"/>
        <w:ind w:hanging="720"/>
        <w:rPr>
          <w:rFonts w:ascii="Times New Roman" w:hAnsi="Times New Roman"/>
          <w:color w:val="000000"/>
        </w:rPr>
      </w:pPr>
      <w:r>
        <w:rPr>
          <w:rFonts w:ascii="Times New Roman" w:hAnsi="Times New Roman"/>
          <w:color w:val="000000"/>
        </w:rPr>
        <w:t>eventuais obrigações adicionais atribuídas ao Agente Fiduciário ou alteração nas características ordinárias da operação facultarão ao Agente Fiduciário a revisão dos honorários ora propostos.</w:t>
      </w:r>
    </w:p>
    <w:p>
      <w:pPr>
        <w:widowControl w:val="0"/>
        <w:autoSpaceDE w:val="0"/>
        <w:autoSpaceDN w:val="0"/>
        <w:adjustRightInd w:val="0"/>
        <w:spacing w:line="312" w:lineRule="auto"/>
        <w:rPr>
          <w:rFonts w:ascii="Times New Roman" w:hAnsi="Times New Roman"/>
          <w:b/>
        </w:rPr>
      </w:pPr>
    </w:p>
    <w:p>
      <w:pPr>
        <w:keepNext/>
        <w:spacing w:line="312" w:lineRule="auto"/>
        <w:rPr>
          <w:rFonts w:ascii="Times New Roman" w:hAnsi="Times New Roman"/>
          <w:b/>
        </w:rPr>
      </w:pPr>
      <w:r>
        <w:rPr>
          <w:rFonts w:ascii="Times New Roman" w:hAnsi="Times New Roman"/>
          <w:b/>
        </w:rPr>
        <w:t>8.7</w:t>
      </w:r>
      <w:r>
        <w:rPr>
          <w:rFonts w:ascii="Times New Roman" w:hAnsi="Times New Roman"/>
          <w:b/>
        </w:rPr>
        <w:tab/>
      </w:r>
      <w:r>
        <w:rPr>
          <w:rFonts w:ascii="Times New Roman" w:hAnsi="Times New Roman"/>
          <w:b/>
        </w:rPr>
        <w:tab/>
        <w:t>Despesas</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8.7.1</w:t>
      </w:r>
      <w:r>
        <w:rPr>
          <w:rFonts w:ascii="Times New Roman" w:hAnsi="Times New Roman"/>
        </w:rPr>
        <w:tab/>
      </w:r>
      <w:r>
        <w:rPr>
          <w:rFonts w:ascii="Times New Roman" w:hAnsi="Times New Roman"/>
        </w:rPr>
        <w:tab/>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 </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8.7.2</w:t>
      </w:r>
      <w:r>
        <w:rPr>
          <w:rFonts w:ascii="Times New Roman" w:hAnsi="Times New Roman"/>
        </w:rPr>
        <w:tab/>
      </w:r>
      <w:r>
        <w:rPr>
          <w:rFonts w:ascii="Times New Roman" w:hAnsi="Times New Roman"/>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8.7.3</w:t>
      </w:r>
      <w:r>
        <w:rPr>
          <w:rFonts w:ascii="Times New Roman" w:hAnsi="Times New Roman"/>
        </w:rPr>
        <w:tab/>
      </w:r>
      <w:r>
        <w:rPr>
          <w:rFonts w:ascii="Times New Roman" w:hAnsi="Times New Roman"/>
        </w:rPr>
        <w:tab/>
        <w:t xml:space="preserve">A Emissora ressarcirá o Agente Fiduciário de todas as despesas razoáveis e usuais que tenha comprovadamente incorrido para proteger os direitos e interesses dos Debenturistas ou para realizar seus créditos, no prazo de até 30 (trinta) dias contados da entrega de cópia dos documentos comprobatórios neste sentido, desde que as despesas, sempre que possível, tenham sido previamente aprovadas pela Emissora, as quais serão consideradas aprovadas caso a Emissora não se manifeste no prazo de 10 (dez) Dias Úteis contados da data de recebimento da respectiva solicitação pelo Agente Fiduciário.  </w:t>
      </w:r>
    </w:p>
    <w:p>
      <w:pPr>
        <w:tabs>
          <w:tab w:val="left" w:pos="1134"/>
        </w:tabs>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IX</w:t>
      </w:r>
      <w:r>
        <w:rPr>
          <w:rFonts w:ascii="Times New Roman" w:hAnsi="Times New Roman"/>
          <w:b/>
        </w:rPr>
        <w:br/>
        <w:t>ASSEMBLEIA GERAL DE DEBENTURISTAS</w:t>
      </w:r>
    </w:p>
    <w:p>
      <w:pPr>
        <w:keepNext/>
        <w:spacing w:line="312" w:lineRule="auto"/>
        <w:jc w:val="center"/>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9.1.</w:t>
      </w:r>
      <w:r>
        <w:rPr>
          <w:rFonts w:ascii="Times New Roman" w:hAnsi="Times New Roman"/>
        </w:rPr>
        <w:tab/>
        <w:t>Os Debenturistas poderão, a qualquer tempo, reunir-se em assembleia geral, de acordo com o disposto no artigo 71 da Lei das Sociedades por Ações, a fim de deliberar sobre matéria de interesse da comunhão dos Debenturistas (“</w:t>
      </w:r>
      <w:r>
        <w:rPr>
          <w:rFonts w:ascii="Times New Roman" w:hAnsi="Times New Roman"/>
          <w:u w:val="single"/>
        </w:rPr>
        <w:t>Assembleia Geral de Debenturistas</w:t>
      </w:r>
      <w:r>
        <w:rPr>
          <w:rFonts w:ascii="Times New Roman" w:hAnsi="Times New Roman"/>
        </w:rPr>
        <w:t xml:space="preserve">”). </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9.1.1.</w:t>
      </w:r>
      <w:r>
        <w:rPr>
          <w:rFonts w:ascii="Times New Roman" w:hAnsi="Times New Roman"/>
        </w:rPr>
        <w:tab/>
        <w:t>Aplica-se à Assembleia Geral de Debenturistas, no que couber, o disposto na Lei das Sociedades por Ações sobre assembleia geral de acionistas.</w:t>
      </w:r>
    </w:p>
    <w:p>
      <w:pPr>
        <w:tabs>
          <w:tab w:val="left" w:pos="1134"/>
        </w:tabs>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9.2</w:t>
      </w:r>
      <w:r>
        <w:rPr>
          <w:rFonts w:ascii="Times New Roman" w:hAnsi="Times New Roman"/>
          <w:b/>
        </w:rPr>
        <w:tab/>
      </w:r>
      <w:r>
        <w:rPr>
          <w:rFonts w:ascii="Times New Roman" w:hAnsi="Times New Roman"/>
          <w:b/>
        </w:rPr>
        <w:tab/>
        <w:t>Convocação e Instalação</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9.2.1.</w:t>
      </w:r>
      <w:r>
        <w:rPr>
          <w:rFonts w:ascii="Times New Roman" w:hAnsi="Times New Roman"/>
        </w:rPr>
        <w:tab/>
        <w:t>A Assembleia Geral de Debenturistas pode ser convocada pelo Agente Fiduciário, pela Emissora, por Debenturistas que representem 10% (dez por cento), no mínimo, das Debêntures em Circulação ou pela CVM.</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9.2.2.</w:t>
      </w:r>
      <w:r>
        <w:rPr>
          <w:rFonts w:ascii="Times New Roman" w:hAnsi="Times New Roman"/>
        </w:rPr>
        <w:tab/>
        <w:t>A convocação das Assembleias Gerais de Debenturistas se dará mediante anúncio publicado pelo menos 3 (três) vezes nos jornais indicados nesta Escritura de Emissão, respeitadas outras regras relacionadas à publicação de anúncio de convocação de assembleias gerais constantes da Lei das Sociedades por Ações, da regulamentação aplicável e desta Escritura.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9.2.3.</w:t>
      </w:r>
      <w:r>
        <w:rPr>
          <w:rFonts w:ascii="Times New Roman" w:hAnsi="Times New Roman"/>
        </w:rPr>
        <w:tab/>
        <w:t>As Assembleias Gerais de Debenturistas deverão ser realizadas em prazo mínimo de 15 (quinze) dias contados da data da primeira publicação da convocação. Qualquer Assembleia Geral de Debenturistas em segunda convocação somente poderá ser realizada em, no mínimo, 8 (oito) dias após a data da publicação do novo edital de convocação.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9.2.4.</w:t>
      </w:r>
      <w:r>
        <w:rPr>
          <w:rFonts w:ascii="Times New Roman" w:hAnsi="Times New Roman"/>
        </w:rPr>
        <w:tab/>
        <w:t>Independentemente das formalidades previstas na legislação aplicável e nesta Escritura, será considerada regular a Assembleia Geral de Debenturistas a que comparecerem os titulares de todas as Debêntures em Circulação.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9.2.5.</w:t>
      </w:r>
      <w:r>
        <w:rPr>
          <w:rFonts w:ascii="Times New Roman" w:hAnsi="Times New Roman"/>
        </w:rPr>
        <w:tab/>
        <w:t>As Assembleias Gerais de Debenturistas serão instaladas, em primeira convocação, com a presença de Debenturistas que representem metade, no mínimo, das Debêntures em Circulação e, em segunda convocação, com qualquer quórum.</w:t>
      </w:r>
    </w:p>
    <w:p>
      <w:pPr>
        <w:tabs>
          <w:tab w:val="left" w:pos="1134"/>
        </w:tabs>
        <w:spacing w:line="312" w:lineRule="auto"/>
        <w:rPr>
          <w:rFonts w:ascii="Times New Roman" w:hAnsi="Times New Roman"/>
        </w:rPr>
      </w:pPr>
    </w:p>
    <w:p>
      <w:pPr>
        <w:keepNext/>
        <w:spacing w:line="312" w:lineRule="auto"/>
        <w:rPr>
          <w:rFonts w:ascii="Times New Roman" w:hAnsi="Times New Roman"/>
          <w:b/>
        </w:rPr>
      </w:pPr>
      <w:r>
        <w:rPr>
          <w:rFonts w:ascii="Times New Roman" w:hAnsi="Times New Roman"/>
          <w:b/>
        </w:rPr>
        <w:t>9.3.</w:t>
      </w:r>
      <w:r>
        <w:rPr>
          <w:rFonts w:ascii="Times New Roman" w:hAnsi="Times New Roman"/>
          <w:b/>
        </w:rPr>
        <w:tab/>
      </w:r>
      <w:r>
        <w:rPr>
          <w:rFonts w:ascii="Times New Roman" w:hAnsi="Times New Roman"/>
          <w:b/>
        </w:rPr>
        <w:tab/>
        <w:t>Mesa Diretora</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9.3.1.</w:t>
      </w:r>
      <w:r>
        <w:rPr>
          <w:rFonts w:ascii="Times New Roman" w:hAnsi="Times New Roman"/>
        </w:rPr>
        <w:tab/>
        <w:t>A presidência e a secretaria das Assembleias Gerais de Debenturistas caberão aos representantes eleitos pelos Debenturistas ou àqueles que forem designados pela CVM.</w:t>
      </w:r>
    </w:p>
    <w:p>
      <w:pPr>
        <w:tabs>
          <w:tab w:val="left" w:pos="1134"/>
        </w:tabs>
        <w:spacing w:line="312" w:lineRule="auto"/>
        <w:rPr>
          <w:rFonts w:ascii="Times New Roman" w:hAnsi="Times New Roman"/>
        </w:rPr>
      </w:pPr>
    </w:p>
    <w:p>
      <w:pPr>
        <w:keepNext/>
        <w:tabs>
          <w:tab w:val="left" w:pos="1134"/>
        </w:tabs>
        <w:spacing w:line="312" w:lineRule="auto"/>
        <w:rPr>
          <w:rFonts w:ascii="Times New Roman" w:hAnsi="Times New Roman"/>
          <w:b/>
        </w:rPr>
      </w:pPr>
      <w:r>
        <w:rPr>
          <w:rFonts w:ascii="Times New Roman" w:hAnsi="Times New Roman"/>
          <w:b/>
        </w:rPr>
        <w:t>9.4.</w:t>
      </w:r>
      <w:r>
        <w:rPr>
          <w:rFonts w:ascii="Times New Roman" w:hAnsi="Times New Roman"/>
          <w:b/>
        </w:rPr>
        <w:tab/>
      </w:r>
      <w:r>
        <w:rPr>
          <w:rFonts w:ascii="Times New Roman" w:hAnsi="Times New Roman"/>
          <w:b/>
        </w:rPr>
        <w:tab/>
        <w:t>Quórum de Deliberação</w:t>
      </w:r>
    </w:p>
    <w:p>
      <w:pPr>
        <w:keepNext/>
        <w:tabs>
          <w:tab w:val="left" w:pos="1134"/>
        </w:tabs>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9.4.1.</w:t>
      </w:r>
      <w:r>
        <w:rPr>
          <w:rFonts w:ascii="Times New Roman" w:hAnsi="Times New Roman"/>
        </w:rPr>
        <w:tab/>
        <w:t>Nas deliberações das Assembleias Gerais de Debenturistas, a cada Debênture em Circulação caberá um voto, admitida a constituição de mandatário, titulares de Debêntures ou não.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9.4.1.1</w:t>
      </w:r>
      <w:r>
        <w:rPr>
          <w:rFonts w:ascii="Times New Roman" w:hAnsi="Times New Roman"/>
        </w:rPr>
        <w:tab/>
        <w:t>Para efeito da constituição de todos os quóruns de instalação e/ou deliberação de qualquer Assembleia Geral de Debenturistas previstos nesta Escritura, consideram-se, “</w:t>
      </w:r>
      <w:r>
        <w:rPr>
          <w:rFonts w:ascii="Times New Roman" w:hAnsi="Times New Roman"/>
          <w:u w:val="single"/>
        </w:rPr>
        <w:t>Debêntures em Circulação</w:t>
      </w:r>
      <w:r>
        <w:rPr>
          <w:rFonts w:ascii="Times New Roman" w:hAnsi="Times New Roman"/>
        </w:rPr>
        <w:t>” todas as Debêntures subscritas, integralizadas e não resgatadas, excluídas aquelas Debêntures: (i) mantidas em tesouraria pela Emissora; ou (ii) de titularidade de: (a) empresas controladas pela Emissora (diretas ou indiretas), (b) controladoras (ou grupo de controle) da Emissora; (c) sociedades sobre controle comum; e (d) administradores da Emissora, incluindo, mas não se limitando a, pessoas direta ou indiretamente relacionadas a qualquer das pessoas anteriormente mencionadas, incluindo seus cônjuges, companheiros ou parentes até o 2º (segundo) grau.</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9.4.2.</w:t>
      </w:r>
      <w:r>
        <w:rPr>
          <w:rFonts w:ascii="Times New Roman" w:hAnsi="Times New Roman"/>
        </w:rPr>
        <w:tab/>
      </w:r>
      <w:r>
        <w:rPr>
          <w:rFonts w:ascii="Times New Roman" w:hAnsi="Times New Roman"/>
        </w:rPr>
        <w:tab/>
        <w:t>Sem prejuízo dos quóruns específicos estabelecidos nesta Escritura de Emissão e na legislação aplicável, as deliberações das Assembleias Gerais de Debenturistas dependerão da aprovação de Debenturistas titulares de, no mínimo, 2/3 (dois terços) das Debêntures em Circulação.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9.4.3.</w:t>
      </w:r>
      <w:r>
        <w:rPr>
          <w:rFonts w:ascii="Times New Roman" w:hAnsi="Times New Roman"/>
        </w:rPr>
        <w:tab/>
      </w:r>
      <w:r>
        <w:rPr>
          <w:rFonts w:ascii="Times New Roman" w:hAnsi="Times New Roman"/>
        </w:rPr>
        <w:tab/>
        <w:t xml:space="preserve">As hipóteses de alteração (i) da Remuneração, (ii) das Datas de Pagamento da Remuneração, (iii) da Data de Vencimento, (iv) dos valores, montantes e datas de amortização do principal das Debêntures; (v) de cláusulas relacionadas ao Resgate Antecipado Facultativo Total; (vi) dos quóruns previstos nesta Escritura de Emissão; e/ou (vii) dos Eventos de Inadimplemento; dependerão da aprovação de Debenturistas que representem, no mínimo, 75% (setenta e cinco por cento) das Debêntures em Circulação. </w:t>
      </w:r>
    </w:p>
    <w:p>
      <w:pPr>
        <w:tabs>
          <w:tab w:val="left" w:pos="1134"/>
        </w:tabs>
        <w:spacing w:line="312" w:lineRule="auto"/>
        <w:rPr>
          <w:rFonts w:ascii="Times New Roman" w:hAnsi="Times New Roman"/>
          <w:i/>
        </w:rPr>
      </w:pPr>
    </w:p>
    <w:p>
      <w:pPr>
        <w:tabs>
          <w:tab w:val="left" w:pos="1134"/>
        </w:tabs>
        <w:spacing w:line="312" w:lineRule="auto"/>
        <w:rPr>
          <w:rFonts w:ascii="Times New Roman" w:hAnsi="Times New Roman"/>
        </w:rPr>
      </w:pPr>
      <w:r>
        <w:rPr>
          <w:rFonts w:ascii="Times New Roman" w:hAnsi="Times New Roman"/>
        </w:rPr>
        <w:t>9.4.4.</w:t>
      </w:r>
      <w:r>
        <w:rPr>
          <w:rFonts w:ascii="Times New Roman" w:hAnsi="Times New Roman"/>
        </w:rPr>
        <w:tab/>
      </w:r>
      <w:r>
        <w:rPr>
          <w:rFonts w:ascii="Times New Roman" w:hAnsi="Times New Roman"/>
        </w:rPr>
        <w:tab/>
        <w:t>Será facultada a presença dos representantes legais da Emissora nas Assembleias Gerais de Debenturistas, sendo certo que os Debenturistas poderão discutir e deliberar sem a presença destes, caso desejarem.</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9.4.5.</w:t>
      </w:r>
      <w:r>
        <w:rPr>
          <w:rFonts w:ascii="Times New Roman" w:hAnsi="Times New Roman"/>
        </w:rPr>
        <w:tab/>
      </w:r>
      <w:r>
        <w:rPr>
          <w:rFonts w:ascii="Times New Roman" w:hAnsi="Times New Roman"/>
        </w:rPr>
        <w:tab/>
        <w:t>O Agente Fiduciário deverá comparecer às Assembleias Gerais de Debenturistas e prestar aos Debenturistas as informações que lhe forem solicitadas.</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9.4.6.</w:t>
      </w:r>
      <w:r>
        <w:rPr>
          <w:rFonts w:ascii="Times New Roman" w:hAnsi="Times New Roman"/>
        </w:rPr>
        <w:tab/>
      </w:r>
      <w:r>
        <w:rPr>
          <w:rFonts w:ascii="Times New Roman" w:hAnsi="Times New Roman"/>
        </w:rPr>
        <w:tab/>
        <w:t>As deliberações tomadas pelos Debenturistas, em Assembleias Gerais de Debenturistas, no âmbito de sua competência legal, observados os quóruns desta Escritura de Emissão, vincularão a Emissora e obrigarão todos os titulares de Debêntures em Circulação, independentemente de terem comparecido à Assembleia Geral de Debenturistas ou do voto proferido nas respectivas Assembleias Gerais de Debenturistas.</w:t>
      </w:r>
    </w:p>
    <w:p>
      <w:pPr>
        <w:tabs>
          <w:tab w:val="left" w:pos="1134"/>
        </w:tabs>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X</w:t>
      </w:r>
      <w:r>
        <w:rPr>
          <w:rFonts w:ascii="Times New Roman" w:hAnsi="Times New Roman"/>
          <w:b/>
        </w:rPr>
        <w:tab/>
      </w:r>
      <w:r>
        <w:rPr>
          <w:rFonts w:ascii="Times New Roman" w:hAnsi="Times New Roman"/>
          <w:b/>
        </w:rPr>
        <w:br/>
        <w:t xml:space="preserve">DECLARAÇÕES E GARANTIAS DA EMISSORA </w:t>
      </w:r>
    </w:p>
    <w:p>
      <w:pPr>
        <w:keepNext/>
        <w:spacing w:line="312" w:lineRule="auto"/>
        <w:jc w:val="center"/>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10.1.</w:t>
      </w:r>
      <w:r>
        <w:rPr>
          <w:rFonts w:ascii="Times New Roman" w:hAnsi="Times New Roman"/>
        </w:rPr>
        <w:tab/>
      </w:r>
      <w:r>
        <w:rPr>
          <w:rFonts w:ascii="Times New Roman" w:hAnsi="Times New Roman"/>
        </w:rPr>
        <w:tab/>
        <w:t>A Emissora declara e garante, na data da assinatura desta Escritura, que:</w:t>
      </w:r>
    </w:p>
    <w:p>
      <w:pPr>
        <w:tabs>
          <w:tab w:val="left" w:pos="1134"/>
        </w:tabs>
        <w:spacing w:line="312" w:lineRule="auto"/>
        <w:rPr>
          <w:rFonts w:ascii="Times New Roman" w:hAnsi="Times New Roman"/>
        </w:rPr>
      </w:pPr>
    </w:p>
    <w:p>
      <w:pPr>
        <w:pStyle w:val="p0"/>
        <w:widowControl w:val="0"/>
        <w:numPr>
          <w:ilvl w:val="0"/>
          <w:numId w:val="49"/>
        </w:numPr>
        <w:tabs>
          <w:tab w:val="clear" w:pos="720"/>
          <w:tab w:val="left" w:pos="993"/>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está devidamente autorizada e obteve todas as licenças e autorizações necessárias, inclusive as societárias, à celebração desta Escritura de Emissão e seus eventuais aditamentos, à realização da Emissão e ao cumprimento de suas obrigações aqui previstas, tendo sido satisfeitos todos os requisitos legais e estatutários necessários para tanto;</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284"/>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ab/>
        <w:t>não tem conhecimento de fato que impeça o Agente Fiduciário de exercer, plenamente, suas funções, nos termos da Lei das Sociedades por Ações, e demais normas aplicáveis, inclusive regulamentares</w:t>
      </w:r>
    </w:p>
    <w:p>
      <w:pPr>
        <w:pStyle w:val="p0"/>
        <w:widowControl w:val="0"/>
        <w:tabs>
          <w:tab w:val="clear" w:pos="720"/>
          <w:tab w:val="left" w:pos="284"/>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284"/>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ab/>
        <w:t xml:space="preserve">a celebração, os termos e condições desta Escritura de Emissão e o cumprimento das obrigações aqui previstas e a realização da Emissão e da Oferta (i) não infringem o estatuto social da Emissora; (ii) não infringem qualquer contrato ou instrumento do qual a Emissora seja parte e/ou pelo qual qualquer de seus ativos esteja sujeito, conforme aplicável; (iii) não resultarão em (1) vencimento antecipado de qualquer obrigação estabelecida em qualquer contrato ou instrumento do qual a Emissora seja parte e/ou pelo qual qualquer de seus ativos esteja sujeito; ou (2) rescisão de qualquer desses contratos ou instrumentos; (iv) não resultarão na criação de qualquer ônus sobre qualquer ativo da Emissora, exceto pela Cessão Fiduciária; (v) não infringem qualquer disposição legal ou regulamentar a que a Emissora e/ou qualquer de seus ativos esteja sujeito, conforme aplicável; e (vi) não infringem qualquer ordem, decisão ou sentença administrativa, judicial ou arbitral que afete a Emissora, suas controladas ou coligadas, diretas ou indiretas, ou quaisquer de seus bens e propriedade; </w:t>
      </w:r>
    </w:p>
    <w:p>
      <w:pPr>
        <w:pStyle w:val="p0"/>
        <w:widowControl w:val="0"/>
        <w:tabs>
          <w:tab w:val="clear" w:pos="720"/>
          <w:tab w:val="left" w:pos="284"/>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284"/>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ab/>
        <w:t>é uma sociedade devidamente organizada, constituída e existente sob a forma de sociedade por ações, com registro de companhia aberta na CVM, de acordo com as leis brasileiras;</w:t>
      </w:r>
    </w:p>
    <w:p>
      <w:pPr>
        <w:pStyle w:val="p0"/>
        <w:widowControl w:val="0"/>
        <w:tabs>
          <w:tab w:val="clear" w:pos="720"/>
          <w:tab w:val="left" w:pos="284"/>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hAnsi="Times New Roman"/>
          <w:w w:val="0"/>
        </w:rPr>
        <w:t>nenhum registro, consentimento, autorização, aprovação, licença, ordem de, ou qualificação perante qualquer autoridade governamental ou órgão regulatório, adicional aos já concedidos é exigido para o cumprimento, pela Emissora, de suas obrigações nos termos desta Escritura e das Debêntures, ou para a realização da Emissão, exceto a inscrição da RCA da Emissora e da Escritura na JUCESP e o depósito das Debêntures na CETIP</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rPr>
        <w:t xml:space="preserve">está adimplente com o cumprimento das obrigações constantes desta Escritura de Emissão, e não ocorreu e, na presente data, não há qualquer Evento de Inadimplemento; </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 xml:space="preserve">os representantes legais da Emissora que assinam esta Escritura de Emissão têm poderes estatutários e/ou delegados para assumir, em seu nome, as obrigações ora estabelecidas e, sendo mandatários, tiveram os poderes legitimamente outorgados, estando os respectivos mandatos em pleno vigor; </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esta Escritura de Emissão constitui uma obrigação legal, válida e vinculante da Emissora, exequível de acordo com os seus termos e condições;</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hAnsi="Times New Roman"/>
        </w:rPr>
        <w:t xml:space="preserve">o </w:t>
      </w:r>
      <w:r>
        <w:rPr>
          <w:rFonts w:ascii="Times New Roman" w:eastAsia="Arial Unicode MS" w:hAnsi="Times New Roman"/>
          <w:color w:val="000000"/>
          <w:w w:val="0"/>
        </w:rPr>
        <w:t>Formulário de Referência da Emissora (i) contém, no mínimo, e sem prejuízo das disposições legais e regulamentares exigidas, todas as informações relevantes necessárias ao conhecimento, pelos Debenturistas, da Emissora e suas atividades e situação econômico-financeira, dos riscos inerentes às atividades da Emissora e quaisquer outras informações relevantes; (ii) contém todas as ações judiciais, administrativas e arbitrais relevantes da Emissora; e (iii) foi elaborado de acordo com as normas pertinentes, incluindo a Instrução CVM 480;</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não há outros fatos relevantes em relação à Emissora ou às Debêntures não divulgados no Formulário de Referência da Emissora cuja omissão faça com que qualquer declaração do Formulário de Referência da Emissora seja falsa, incompleta, incorreta ou insuficiente;</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hAnsi="Times New Roman"/>
          <w:w w:val="0"/>
        </w:rPr>
        <w:t>não omitiu nem omitirá nenhum fato, de qualquer natureza, que seja de seu conhecimento e que possa resultar em alteração substancial adversa das situações econômico-financeiras ou jurídicas sua em prejuízo dos Debenturistas;</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as demonstrações</w:t>
      </w:r>
      <w:bookmarkStart w:id="12" w:name="_DV_M407"/>
      <w:bookmarkEnd w:id="12"/>
      <w:r>
        <w:rPr>
          <w:rFonts w:ascii="Times New Roman" w:eastAsia="Arial Unicode MS" w:hAnsi="Times New Roman"/>
          <w:color w:val="000000"/>
          <w:w w:val="0"/>
        </w:rPr>
        <w:t xml:space="preserve"> financeiras da Emissora de 31 de dezembro de 2014, 2015 e 2016, em conjunto com as respectivas notas explicativas, pareceres e/ou relatórios do auditor independente, e informações trimestrais da Emissora disponíveis, representam corretamente a posição financeira da Emissora, suas controladas e/ou coligadas em tais datas, e foram devidamente elaboradas em conformidade com os princípios contábeis geralmente aceitos no Brasil e refletem corretamente os ativos, passivos e contingências da Emissora de forma consolidada; </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a Emissora</w:t>
      </w:r>
      <w:bookmarkStart w:id="13" w:name="_DV_M408"/>
      <w:bookmarkEnd w:id="13"/>
      <w:r>
        <w:rPr>
          <w:rFonts w:ascii="Times New Roman" w:eastAsia="Arial Unicode MS" w:hAnsi="Times New Roman"/>
          <w:color w:val="000000"/>
          <w:w w:val="0"/>
        </w:rPr>
        <w:t xml:space="preserve"> está, no seu melhor conhecimento, cumprindo as leis, regulamentos, normas administrativas e determinações dos órgãos governamentais, autarquias ou tribunais, aplicáveis à condução de seus negócios, exceto por eventuais descumprimentos mencionados no Formulário de Referência; </w:t>
      </w:r>
    </w:p>
    <w:p>
      <w:pPr>
        <w:pStyle w:val="p0"/>
        <w:widowControl w:val="0"/>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exceto pelas contingências informadas no Formulário de Referência, nas suas respectivas datas, não há qualquer ação judicial, procedimento administrativo ou arbitral, inquérito ou outro tipo de investigação governamental que possa vir a causar um</w:t>
      </w:r>
      <w:r>
        <w:rPr>
          <w:rFonts w:ascii="Times New Roman" w:eastAsia="Arial Unicode MS" w:hAnsi="Times New Roman"/>
          <w:w w:val="0"/>
        </w:rPr>
        <w:t xml:space="preserve"> </w:t>
      </w:r>
      <w:r>
        <w:rPr>
          <w:rFonts w:ascii="Times New Roman" w:hAnsi="Times New Roman"/>
        </w:rPr>
        <w:t xml:space="preserve">qualquer </w:t>
      </w:r>
      <w:r>
        <w:rPr>
          <w:rFonts w:ascii="Times New Roman" w:eastAsia="Arial Unicode MS" w:hAnsi="Times New Roman"/>
          <w:w w:val="0"/>
        </w:rPr>
        <w:t>efeito adverso relevante (i) na situação (financeira ou de outra natureza) da Emissora, nos seus negócios, bens, resultados operacionais e/ou perspectivas; e/ou (ii) nos seus poderes ou capacidade jurídica e/ou econômico-financeira de cumprir qualquer de suas obrigações nos termos desta Escritura de Emissão e/ou do Contrato de Cessão Fiduciária, conforme aplicável</w:t>
      </w:r>
      <w:r>
        <w:rPr>
          <w:rFonts w:ascii="Times New Roman" w:eastAsia="Arial Unicode MS" w:hAnsi="Times New Roman"/>
          <w:color w:val="000000"/>
          <w:w w:val="0"/>
        </w:rPr>
        <w:t>, controladas ou coligadas, em suas condições financeiras ou em suas atividades, que possam afetar a capacidade da Emissora de cumprir com suas obrigações pecuniárias previstas nesta Escritura de Emissão;</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cumprirá todas as obrigações principais e acessórias assumidas nos termos desta Escritura de Emissão, incluindo, mas não se limitando à obrigação de destinar os recursos obtidos com a Emissão aos fins previstos na Cláusula 3.8 desta Escritura de Emissão;</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os documentos e informações fornecidos ao Agente Fiduciário e/ou aos Debenturistas são verdadeiros, consistentes, corretos e suficientes, estão atualizados até a data em que foram fornecidos e incluem os documentos e informações relevantes para a tomada de decisão de investimento sobre as Debêntures, tendo sido disponibilizadas informações sobre as operações relevantes da Emissora, bem como sobre os direitos e obrigações relevantes delas decorrentes;</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está, no seu melhor conhecimento, em dia com o pagamento de todas as obrigações de natureza tributária (municipal, estadual e federal), trabalhista, previdenciária, e de quaisquer outras obrigações impostas por lei, exceto por aquelas questionadas de boa-fé nas esferas administrativa e/ou judicial;</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tem plena ciência e concorda integralmente com a forma de divulgação e apuração da Taxa DI</w:t>
      </w:r>
      <w:r>
        <w:rPr>
          <w:rFonts w:ascii="Times New Roman" w:hAnsi="Times New Roman"/>
          <w:b/>
        </w:rPr>
        <w:t>-</w:t>
      </w:r>
      <w:r>
        <w:rPr>
          <w:rFonts w:ascii="Times New Roman" w:hAnsi="Times New Roman"/>
          <w:i/>
        </w:rPr>
        <w:t>Over</w:t>
      </w:r>
      <w:r>
        <w:rPr>
          <w:rFonts w:ascii="Times New Roman" w:eastAsia="Arial Unicode MS" w:hAnsi="Times New Roman"/>
          <w:color w:val="000000"/>
          <w:w w:val="0"/>
        </w:rPr>
        <w:t xml:space="preserve">, divulgada pela CETIP, e que a forma de cálculo da Remuneração foi acordada por livre vontade entre a Emissora e o Coordenador, em observância ao princípio da boa-fé; </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o seu registro de companhia aberta está atualizado perante a CVM;</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argrafodaLista"/>
        <w:numPr>
          <w:ilvl w:val="0"/>
          <w:numId w:val="49"/>
        </w:numPr>
        <w:tabs>
          <w:tab w:val="left" w:pos="851"/>
        </w:tabs>
        <w:ind w:left="851" w:hanging="851"/>
        <w:rPr>
          <w:rFonts w:ascii="Times New Roman" w:eastAsia="Arial Unicode MS" w:hAnsi="Times New Roman"/>
          <w:color w:val="000000"/>
          <w:w w:val="0"/>
        </w:rPr>
      </w:pPr>
      <w:r>
        <w:rPr>
          <w:rFonts w:ascii="Times New Roman" w:eastAsia="Arial Unicode MS" w:hAnsi="Times New Roman"/>
          <w:color w:val="000000"/>
          <w:w w:val="0"/>
        </w:rPr>
        <w:t>tem todas as autorizações e licenças relevantes (inclusive ambientais, societárias e regulatórias) exigidas pelas autoridades federais, estaduais e municipais para o exercício de suas atividades, estando todas elas válidas;</w:t>
      </w:r>
    </w:p>
    <w:p>
      <w:pPr>
        <w:pStyle w:val="PargrafodaLista"/>
        <w:tabs>
          <w:tab w:val="left" w:pos="567"/>
        </w:tabs>
        <w:ind w:left="851" w:hanging="851"/>
        <w:rPr>
          <w:rFonts w:ascii="Times New Roman" w:eastAsia="Arial Unicode MS" w:hAnsi="Times New Roman"/>
          <w:color w:val="000000"/>
          <w:w w:val="0"/>
        </w:rPr>
      </w:pPr>
    </w:p>
    <w:p>
      <w:pPr>
        <w:pStyle w:val="PargrafodaLista"/>
        <w:numPr>
          <w:ilvl w:val="0"/>
          <w:numId w:val="49"/>
        </w:numPr>
        <w:tabs>
          <w:tab w:val="left" w:pos="851"/>
        </w:tabs>
        <w:ind w:left="851" w:hanging="851"/>
        <w:rPr>
          <w:rFonts w:ascii="Times New Roman" w:eastAsia="Arial Unicode MS" w:hAnsi="Times New Roman"/>
          <w:color w:val="000000"/>
          <w:w w:val="0"/>
        </w:rPr>
      </w:pPr>
      <w:r>
        <w:rPr>
          <w:rFonts w:ascii="Times New Roman" w:eastAsia="Arial Unicode MS" w:hAnsi="Times New Roman"/>
          <w:color w:val="000000"/>
          <w:w w:val="0"/>
        </w:rPr>
        <w:t>cumpre a legislação em vigor, em especial a legislação trabalhista e previdenciária, zelando sempre para que (a) a Emissora não utilize, direta ou indiretamente, trabalho em condições análogas às de escravo ou trabalho infantil, salvo na condição de aprendiz; (b) os trabalhadores da Emissora estejam devidamente registrados nos termos da legislação em vigor; (c) a Emissora cumpra as obrigações decorrentes dos respectivos contratos de trabalho e da legislação trabalhista e previdenciária em vigor; e (d) a Emissora cumpra a legislação aplicável à saúde e segurança públicas; e</w:t>
      </w:r>
    </w:p>
    <w:p>
      <w:pPr>
        <w:pStyle w:val="p0"/>
        <w:widowControl w:val="0"/>
        <w:tabs>
          <w:tab w:val="clear" w:pos="720"/>
          <w:tab w:val="left" w:pos="567"/>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p>
    <w:p>
      <w:pPr>
        <w:pStyle w:val="p0"/>
        <w:widowControl w:val="0"/>
        <w:numPr>
          <w:ilvl w:val="0"/>
          <w:numId w:val="49"/>
        </w:numPr>
        <w:tabs>
          <w:tab w:val="clear" w:pos="720"/>
          <w:tab w:val="left" w:pos="851"/>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851" w:hanging="851"/>
        <w:rPr>
          <w:rFonts w:ascii="Times New Roman" w:eastAsia="Arial Unicode MS" w:hAnsi="Times New Roman"/>
          <w:color w:val="000000"/>
          <w:w w:val="0"/>
        </w:rPr>
      </w:pPr>
      <w:r>
        <w:rPr>
          <w:rFonts w:ascii="Times New Roman" w:eastAsia="Arial Unicode MS" w:hAnsi="Times New Roman"/>
          <w:color w:val="000000"/>
          <w:w w:val="0"/>
        </w:rPr>
        <w:t>inexiste, de sua parte, violação ou indício de violação a qualquer dispositivo legal ou regulatório, relativo à prática de corrupção ou de atos lesivos à administração pública, incluindo, sem limitação, a Lei nº 12.846/13 e a U.S. Foreign Corrupt Practices Act of 1977, conforme aplicável, pela Emissora.</w:t>
      </w:r>
    </w:p>
    <w:p>
      <w:pPr>
        <w:pStyle w:val="p0"/>
        <w:widowControl w:val="0"/>
        <w:tabs>
          <w:tab w:val="clear" w:pos="720"/>
          <w:tab w:val="left" w:pos="284"/>
          <w:tab w:val="left" w:pos="993"/>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ind w:left="426"/>
        <w:rPr>
          <w:rFonts w:ascii="Times New Roman" w:eastAsia="Arial Unicode MS" w:hAnsi="Times New Roman"/>
          <w:color w:val="000000"/>
          <w:w w:val="0"/>
        </w:rPr>
      </w:pPr>
    </w:p>
    <w:p>
      <w:pPr>
        <w:tabs>
          <w:tab w:val="left" w:pos="1134"/>
        </w:tabs>
        <w:spacing w:line="312" w:lineRule="auto"/>
        <w:rPr>
          <w:rFonts w:ascii="Times New Roman" w:hAnsi="Times New Roman"/>
        </w:rPr>
      </w:pPr>
      <w:r>
        <w:rPr>
          <w:rFonts w:ascii="Times New Roman" w:hAnsi="Times New Roman"/>
        </w:rPr>
        <w:t>10.2.</w:t>
      </w:r>
      <w:r>
        <w:rPr>
          <w:rFonts w:ascii="Times New Roman" w:hAnsi="Times New Roman"/>
        </w:rPr>
        <w:tab/>
        <w:t>A Emissora declara, ainda, (i) não ter qualquer ligação com o Agente Fiduciário que o impeça de exercer plenamente suas funções conforme descritas nesta Escritura e na Instrução CVM 583; (ii) ter ciência de todas as disposições da Instrução CVM 583 a serem cumpridas pelo Agente Fiduciário; (iii) que cumprirá todas as determinações do Agente Fiduciário vinculadas ao cumprimento das disposições previstas naquela Instrução; e (iv) não existir nenhum impedimento legal contratual ou acordo de acionistas que impeça a presente Emissão.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10.3.</w:t>
      </w:r>
      <w:r>
        <w:rPr>
          <w:rFonts w:ascii="Times New Roman" w:hAnsi="Times New Roman"/>
        </w:rPr>
        <w:tab/>
        <w:t>A Emissora obriga-se, de forma irrevogável e irretratável, a indenizar os Debenturistas e o Agente Fiduciário por todos e quaisquer prejuízos, danos, perdas, custos e/ou despesas (incluindo custas judiciais e honorários advocatícios) diretamente incorridos e comprovados, por decisão definitiva transitada em julgado pelos Debenturistas e pelo Agente Fiduciário em razão da inveracidade ou incorreção de quaisquer das declarações prestadas por ela, nos termos da Cláusula 10.1 acima.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10.4.</w:t>
      </w:r>
      <w:r>
        <w:rPr>
          <w:rFonts w:ascii="Times New Roman" w:hAnsi="Times New Roman"/>
        </w:rPr>
        <w:tab/>
        <w:t>Sem prejuízo do disposto na Cláusula 10.3 acima, a Emissora obriga-se a notificar o Agente Fiduciário e aos Debenturistas no Dia Útil subsequente, caso quaisquer das declarações aqui prestadas mostrem-se inverídicas ou incorretas na data em que foram prestadas.</w:t>
      </w:r>
    </w:p>
    <w:p>
      <w:pPr>
        <w:tabs>
          <w:tab w:val="left" w:pos="1134"/>
        </w:tabs>
        <w:spacing w:line="312" w:lineRule="auto"/>
        <w:rPr>
          <w:rFonts w:ascii="Times New Roman" w:hAnsi="Times New Roman"/>
        </w:rPr>
      </w:pPr>
    </w:p>
    <w:p>
      <w:pPr>
        <w:keepNext/>
        <w:spacing w:line="312" w:lineRule="auto"/>
        <w:jc w:val="center"/>
        <w:rPr>
          <w:rFonts w:ascii="Times New Roman" w:hAnsi="Times New Roman"/>
          <w:b/>
        </w:rPr>
      </w:pPr>
      <w:r>
        <w:rPr>
          <w:rFonts w:ascii="Times New Roman" w:hAnsi="Times New Roman"/>
          <w:b/>
        </w:rPr>
        <w:t>CLÁUSULA XI</w:t>
      </w:r>
      <w:r>
        <w:rPr>
          <w:rFonts w:ascii="Times New Roman" w:hAnsi="Times New Roman"/>
          <w:b/>
        </w:rPr>
        <w:br/>
        <w:t>DISPOSIÇÕES GERAIS</w:t>
      </w:r>
    </w:p>
    <w:p>
      <w:pPr>
        <w:keepNext/>
        <w:spacing w:line="312" w:lineRule="auto"/>
        <w:jc w:val="center"/>
        <w:rPr>
          <w:rFonts w:ascii="Times New Roman" w:hAnsi="Times New Roman"/>
          <w:b/>
        </w:rPr>
      </w:pPr>
    </w:p>
    <w:p>
      <w:pPr>
        <w:keepNext/>
        <w:spacing w:line="312" w:lineRule="auto"/>
        <w:rPr>
          <w:rFonts w:ascii="Times New Roman" w:hAnsi="Times New Roman"/>
          <w:b/>
        </w:rPr>
      </w:pPr>
      <w:r>
        <w:rPr>
          <w:rFonts w:ascii="Times New Roman" w:hAnsi="Times New Roman"/>
          <w:b/>
        </w:rPr>
        <w:t>11.1</w:t>
      </w:r>
      <w:r>
        <w:rPr>
          <w:rFonts w:ascii="Times New Roman" w:hAnsi="Times New Roman"/>
          <w:b/>
        </w:rPr>
        <w:tab/>
      </w:r>
      <w:r>
        <w:rPr>
          <w:rFonts w:ascii="Times New Roman" w:hAnsi="Times New Roman"/>
          <w:b/>
        </w:rPr>
        <w:tab/>
        <w:t>Comunicações</w:t>
      </w:r>
    </w:p>
    <w:p>
      <w:pPr>
        <w:keepNext/>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11.1.1</w:t>
      </w:r>
      <w:r>
        <w:rPr>
          <w:rFonts w:ascii="Times New Roman" w:hAnsi="Times New Roman"/>
        </w:rPr>
        <w:tab/>
      </w:r>
      <w:r>
        <w:rPr>
          <w:rFonts w:ascii="Times New Roman" w:hAnsi="Times New Roman"/>
        </w:rPr>
        <w:tab/>
        <w:t>As comunicações a serem enviadas por qualquer das Partes nos termos desta Escritura deverão ser encaminhadas para os seguintes endereços:</w:t>
      </w:r>
    </w:p>
    <w:p>
      <w:pPr>
        <w:tabs>
          <w:tab w:val="left" w:pos="1134"/>
        </w:tabs>
        <w:spacing w:line="312" w:lineRule="auto"/>
        <w:rPr>
          <w:rFonts w:ascii="Times New Roman" w:hAnsi="Times New Roman"/>
        </w:rPr>
      </w:pPr>
    </w:p>
    <w:p>
      <w:pPr>
        <w:spacing w:line="312" w:lineRule="auto"/>
        <w:jc w:val="left"/>
        <w:rPr>
          <w:rFonts w:ascii="Times New Roman" w:hAnsi="Times New Roman"/>
          <w:b/>
        </w:rPr>
      </w:pPr>
      <w:r>
        <w:rPr>
          <w:rFonts w:ascii="Times New Roman" w:hAnsi="Times New Roman"/>
          <w:b/>
        </w:rPr>
        <w:t>Para a Emissora:</w:t>
      </w:r>
    </w:p>
    <w:p>
      <w:pPr>
        <w:keepNext/>
        <w:keepLines/>
        <w:tabs>
          <w:tab w:val="left" w:pos="1418"/>
          <w:tab w:val="left" w:pos="2366"/>
        </w:tabs>
        <w:spacing w:line="312" w:lineRule="auto"/>
        <w:rPr>
          <w:rFonts w:ascii="Times New Roman" w:hAnsi="Times New Roman"/>
          <w:b/>
          <w:smallCaps/>
          <w:color w:val="000000"/>
        </w:rPr>
      </w:pPr>
      <w:r>
        <w:rPr>
          <w:rFonts w:ascii="Times New Roman" w:hAnsi="Times New Roman"/>
          <w:b/>
          <w:smallCaps/>
          <w:color w:val="000000"/>
        </w:rPr>
        <w:t>ELETROPAULO METROPOLITANA ELETRICIDADE DE SÃO PAULO S.A.</w:t>
      </w:r>
    </w:p>
    <w:p>
      <w:pPr>
        <w:keepNext/>
        <w:keepLines/>
        <w:tabs>
          <w:tab w:val="left" w:pos="1418"/>
          <w:tab w:val="left" w:pos="2366"/>
        </w:tabs>
        <w:spacing w:line="312" w:lineRule="auto"/>
        <w:rPr>
          <w:rFonts w:ascii="Times New Roman" w:hAnsi="Times New Roman"/>
          <w:color w:val="000000"/>
        </w:rPr>
      </w:pPr>
      <w:r>
        <w:rPr>
          <w:rFonts w:ascii="Times New Roman" w:hAnsi="Times New Roman"/>
          <w:color w:val="000000"/>
        </w:rPr>
        <w:t>Avenida Doutor Marcos Penteado de Ulhoa Rodrigues, 939, 6º andar, Torre II</w:t>
      </w:r>
    </w:p>
    <w:p>
      <w:pPr>
        <w:keepNext/>
        <w:keepLines/>
        <w:tabs>
          <w:tab w:val="left" w:pos="1418"/>
          <w:tab w:val="left" w:pos="2366"/>
        </w:tabs>
        <w:spacing w:line="312" w:lineRule="auto"/>
        <w:rPr>
          <w:rFonts w:ascii="Times New Roman" w:hAnsi="Times New Roman"/>
          <w:color w:val="000000"/>
        </w:rPr>
      </w:pPr>
      <w:r>
        <w:rPr>
          <w:rFonts w:ascii="Times New Roman" w:hAnsi="Times New Roman"/>
          <w:color w:val="000000"/>
        </w:rPr>
        <w:t>06460-040 – Barueri, SP</w:t>
      </w:r>
    </w:p>
    <w:p>
      <w:pPr>
        <w:keepNext/>
        <w:keepLines/>
        <w:tabs>
          <w:tab w:val="left" w:pos="1418"/>
          <w:tab w:val="left" w:pos="2366"/>
        </w:tabs>
        <w:spacing w:line="312" w:lineRule="auto"/>
        <w:rPr>
          <w:rFonts w:ascii="Times New Roman" w:hAnsi="Times New Roman"/>
          <w:color w:val="000000"/>
        </w:rPr>
      </w:pPr>
      <w:r>
        <w:rPr>
          <w:rFonts w:ascii="Times New Roman" w:hAnsi="Times New Roman"/>
          <w:color w:val="000000"/>
        </w:rPr>
        <w:t xml:space="preserve">At.: </w:t>
      </w:r>
      <w:r>
        <w:rPr>
          <w:rFonts w:ascii="Times New Roman" w:hAnsi="Times New Roman"/>
          <w:w w:val="0"/>
        </w:rPr>
        <w:t xml:space="preserve">Ana Carolina Negrão, com cópia para Lucy Ikeda (Estruturação Financeira) </w:t>
      </w:r>
    </w:p>
    <w:p>
      <w:pPr>
        <w:keepNext/>
        <w:keepLines/>
        <w:tabs>
          <w:tab w:val="left" w:pos="1418"/>
          <w:tab w:val="left" w:pos="2366"/>
        </w:tabs>
        <w:spacing w:line="312" w:lineRule="auto"/>
        <w:rPr>
          <w:rFonts w:ascii="Times New Roman" w:hAnsi="Times New Roman"/>
          <w:color w:val="000000"/>
        </w:rPr>
      </w:pPr>
      <w:r>
        <w:rPr>
          <w:rFonts w:ascii="Times New Roman" w:hAnsi="Times New Roman"/>
          <w:color w:val="000000"/>
        </w:rPr>
        <w:t xml:space="preserve">Tel.: (11) </w:t>
      </w:r>
      <w:r>
        <w:rPr>
          <w:rFonts w:ascii="Times New Roman" w:hAnsi="Times New Roman"/>
        </w:rPr>
        <w:t>2195-7022/</w:t>
      </w:r>
      <w:r>
        <w:rPr>
          <w:rFonts w:ascii="Times New Roman" w:hAnsi="Times New Roman"/>
          <w:color w:val="000000"/>
        </w:rPr>
        <w:t xml:space="preserve">(11) </w:t>
      </w:r>
      <w:r>
        <w:rPr>
          <w:rFonts w:ascii="Times New Roman" w:hAnsi="Times New Roman"/>
        </w:rPr>
        <w:t>2195-4032</w:t>
      </w:r>
    </w:p>
    <w:p>
      <w:pPr>
        <w:keepNext/>
        <w:keepLines/>
        <w:tabs>
          <w:tab w:val="left" w:pos="1418"/>
          <w:tab w:val="left" w:pos="2366"/>
        </w:tabs>
        <w:spacing w:line="312" w:lineRule="auto"/>
        <w:rPr>
          <w:rFonts w:ascii="Times New Roman" w:hAnsi="Times New Roman"/>
          <w:color w:val="000000"/>
        </w:rPr>
      </w:pPr>
      <w:r>
        <w:rPr>
          <w:rFonts w:ascii="Times New Roman" w:hAnsi="Times New Roman"/>
          <w:color w:val="000000"/>
        </w:rPr>
        <w:t xml:space="preserve">Fax: </w:t>
      </w:r>
      <w:r>
        <w:rPr>
          <w:rFonts w:ascii="Times New Roman" w:hAnsi="Times New Roman"/>
        </w:rPr>
        <w:t>(11) 2195-2503</w:t>
      </w:r>
    </w:p>
    <w:p>
      <w:pPr>
        <w:tabs>
          <w:tab w:val="left" w:pos="1418"/>
          <w:tab w:val="left" w:pos="2366"/>
        </w:tabs>
        <w:spacing w:line="312" w:lineRule="auto"/>
        <w:rPr>
          <w:rFonts w:ascii="Times New Roman" w:hAnsi="Times New Roman"/>
          <w:color w:val="000000"/>
        </w:rPr>
      </w:pPr>
      <w:r>
        <w:rPr>
          <w:rFonts w:ascii="Times New Roman" w:hAnsi="Times New Roman"/>
          <w:color w:val="000000"/>
        </w:rPr>
        <w:t xml:space="preserve">E-mail: </w:t>
      </w:r>
      <w:hyperlink r:id="rId11" w:history="1">
        <w:r>
          <w:rPr>
            <w:rStyle w:val="Hyperlink"/>
            <w:rFonts w:ascii="Times New Roman" w:hAnsi="Times New Roman"/>
          </w:rPr>
          <w:t>anac.negrao@aes.com</w:t>
        </w:r>
      </w:hyperlink>
      <w:r>
        <w:rPr>
          <w:rFonts w:ascii="Times New Roman" w:hAnsi="Times New Roman"/>
          <w:color w:val="000000"/>
        </w:rPr>
        <w:t xml:space="preserve"> </w:t>
      </w:r>
      <w:r>
        <w:rPr>
          <w:rFonts w:ascii="Times New Roman" w:hAnsi="Times New Roman"/>
        </w:rPr>
        <w:t xml:space="preserve">/ </w:t>
      </w:r>
      <w:hyperlink r:id="rId12" w:history="1">
        <w:r>
          <w:rPr>
            <w:rStyle w:val="Hyperlink"/>
            <w:rFonts w:ascii="Times New Roman" w:hAnsi="Times New Roman"/>
          </w:rPr>
          <w:t>estruturacaofinanceira@aes.com</w:t>
        </w:r>
      </w:hyperlink>
      <w:r>
        <w:rPr>
          <w:rFonts w:ascii="Times New Roman" w:hAnsi="Times New Roman"/>
        </w:rPr>
        <w:t xml:space="preserve"> </w:t>
      </w:r>
    </w:p>
    <w:p>
      <w:pPr>
        <w:spacing w:line="312" w:lineRule="auto"/>
        <w:jc w:val="left"/>
        <w:rPr>
          <w:rFonts w:ascii="Times New Roman" w:hAnsi="Times New Roman"/>
          <w:b/>
        </w:rPr>
      </w:pPr>
    </w:p>
    <w:p>
      <w:pPr>
        <w:spacing w:line="312" w:lineRule="auto"/>
        <w:jc w:val="left"/>
        <w:rPr>
          <w:rFonts w:ascii="Times New Roman" w:hAnsi="Times New Roman"/>
          <w:b/>
        </w:rPr>
      </w:pPr>
      <w:r>
        <w:rPr>
          <w:rFonts w:ascii="Times New Roman" w:hAnsi="Times New Roman"/>
          <w:b/>
        </w:rPr>
        <w:t>Para o Agente Fiduciário:</w:t>
      </w:r>
    </w:p>
    <w:p>
      <w:pPr>
        <w:spacing w:line="312" w:lineRule="auto"/>
        <w:jc w:val="left"/>
        <w:rPr>
          <w:rFonts w:ascii="Times New Roman" w:hAnsi="Times New Roman"/>
          <w:b/>
        </w:rPr>
      </w:pPr>
      <w:r>
        <w:rPr>
          <w:rFonts w:ascii="Times New Roman" w:hAnsi="Times New Roman"/>
          <w:b/>
        </w:rPr>
        <w:t>OLIVEIRA TRUST DISTRIBUIDORA DE TÍTULOS E VALORES MOBILIÁRIOS S.A.</w:t>
      </w:r>
    </w:p>
    <w:p>
      <w:pPr>
        <w:spacing w:line="312" w:lineRule="auto"/>
        <w:jc w:val="left"/>
        <w:rPr>
          <w:rFonts w:ascii="Times New Roman" w:hAnsi="Times New Roman"/>
        </w:rPr>
      </w:pPr>
      <w:r>
        <w:rPr>
          <w:rFonts w:ascii="Times New Roman" w:hAnsi="Times New Roman"/>
        </w:rPr>
        <w:t>Avenida das Américas, nº 3.434, bloco 07, sala 201, Barra da Tijuca</w:t>
      </w:r>
    </w:p>
    <w:p>
      <w:pPr>
        <w:spacing w:line="312" w:lineRule="auto"/>
        <w:jc w:val="left"/>
        <w:rPr>
          <w:rFonts w:ascii="Times New Roman" w:hAnsi="Times New Roman"/>
        </w:rPr>
      </w:pPr>
      <w:r>
        <w:rPr>
          <w:rFonts w:ascii="Times New Roman" w:hAnsi="Times New Roman"/>
        </w:rPr>
        <w:t>22.640-102 – Rio de Janeiro - RJ</w:t>
      </w:r>
      <w:r>
        <w:rPr>
          <w:rFonts w:ascii="Times New Roman" w:hAnsi="Times New Roman"/>
        </w:rPr>
        <w:br/>
        <w:t>At.: Sr Antonio Amaro / Maria Carolina Abrantes Lodi de Oliveira</w:t>
      </w:r>
      <w:r>
        <w:rPr>
          <w:rFonts w:ascii="Times New Roman" w:hAnsi="Times New Roman"/>
        </w:rPr>
        <w:br/>
        <w:t>Tel: (21) 3514-0000</w:t>
      </w:r>
      <w:r>
        <w:rPr>
          <w:rFonts w:ascii="Times New Roman" w:hAnsi="Times New Roman"/>
        </w:rPr>
        <w:br/>
        <w:t>Fax: (21) 3514-0099</w:t>
      </w:r>
      <w:r>
        <w:rPr>
          <w:rFonts w:ascii="Times New Roman" w:hAnsi="Times New Roman"/>
        </w:rPr>
        <w:br/>
        <w:t xml:space="preserve">E-mail: </w:t>
      </w:r>
      <w:hyperlink r:id="rId13" w:history="1">
        <w:r>
          <w:rPr>
            <w:rStyle w:val="Hyperlink"/>
            <w:rFonts w:ascii="Times New Roman" w:hAnsi="Times New Roman"/>
          </w:rPr>
          <w:t>antonio.amaro@oliveiratrust.com.br</w:t>
        </w:r>
      </w:hyperlink>
      <w:r>
        <w:rPr>
          <w:rFonts w:ascii="Times New Roman" w:hAnsi="Times New Roman"/>
        </w:rPr>
        <w:t xml:space="preserve"> / ger2.agente@oliveiratrust.com.br</w:t>
      </w:r>
    </w:p>
    <w:p>
      <w:pPr>
        <w:spacing w:line="312" w:lineRule="auto"/>
        <w:jc w:val="left"/>
        <w:rPr>
          <w:rFonts w:ascii="Times New Roman" w:hAnsi="Times New Roman"/>
          <w:b/>
        </w:rPr>
      </w:pPr>
    </w:p>
    <w:p>
      <w:pPr>
        <w:keepNext/>
        <w:tabs>
          <w:tab w:val="left" w:pos="1418"/>
          <w:tab w:val="left" w:pos="2366"/>
        </w:tabs>
        <w:spacing w:line="320" w:lineRule="exact"/>
        <w:rPr>
          <w:rFonts w:ascii="Times New Roman" w:hAnsi="Times New Roman"/>
          <w:b/>
          <w:color w:val="000000"/>
        </w:rPr>
      </w:pPr>
      <w:r>
        <w:rPr>
          <w:rFonts w:ascii="Times New Roman" w:hAnsi="Times New Roman"/>
          <w:b/>
          <w:color w:val="000000"/>
        </w:rPr>
        <w:t xml:space="preserve">Para o </w:t>
      </w:r>
      <w:r>
        <w:rPr>
          <w:rFonts w:ascii="Times New Roman" w:hAnsi="Times New Roman"/>
          <w:b/>
        </w:rPr>
        <w:t>Banco Liquidante e Escriturador</w:t>
      </w:r>
      <w:r>
        <w:rPr>
          <w:rFonts w:ascii="Times New Roman" w:hAnsi="Times New Roman"/>
          <w:b/>
          <w:color w:val="000000"/>
        </w:rPr>
        <w:t xml:space="preserve">: </w:t>
      </w:r>
    </w:p>
    <w:p>
      <w:pPr>
        <w:shd w:val="clear" w:color="auto" w:fill="FFFFFF"/>
        <w:suppressAutoHyphens/>
        <w:spacing w:line="320" w:lineRule="exact"/>
        <w:rPr>
          <w:rFonts w:ascii="Times New Roman" w:hAnsi="Times New Roman"/>
          <w:b/>
          <w:smallCaps/>
        </w:rPr>
      </w:pPr>
      <w:r>
        <w:rPr>
          <w:rFonts w:ascii="Times New Roman" w:hAnsi="Times New Roman"/>
          <w:b/>
          <w:smallCaps/>
        </w:rPr>
        <w:t>Banco Bradesco S.A.</w:t>
      </w:r>
    </w:p>
    <w:p>
      <w:pPr>
        <w:shd w:val="clear" w:color="auto" w:fill="FFFFFF"/>
        <w:suppressAutoHyphens/>
        <w:spacing w:line="320" w:lineRule="exact"/>
        <w:rPr>
          <w:rFonts w:ascii="Times New Roman" w:hAnsi="Times New Roman"/>
        </w:rPr>
      </w:pPr>
      <w:r>
        <w:rPr>
          <w:rFonts w:ascii="Times New Roman" w:hAnsi="Times New Roman"/>
        </w:rPr>
        <w:t>Núcleo Cidade de Deus, s/n.º, Vila Yara</w:t>
      </w:r>
    </w:p>
    <w:p>
      <w:pPr>
        <w:shd w:val="clear" w:color="auto" w:fill="FFFFFF"/>
        <w:suppressAutoHyphens/>
        <w:spacing w:line="320" w:lineRule="exact"/>
        <w:rPr>
          <w:rFonts w:ascii="Times New Roman" w:hAnsi="Times New Roman"/>
          <w:bCs/>
        </w:rPr>
      </w:pPr>
      <w:r>
        <w:rPr>
          <w:rFonts w:ascii="Times New Roman" w:hAnsi="Times New Roman"/>
          <w:bCs/>
        </w:rPr>
        <w:t>06029-900 – Osasco, SP</w:t>
      </w:r>
    </w:p>
    <w:p>
      <w:pPr>
        <w:shd w:val="clear" w:color="auto" w:fill="FFFFFF"/>
        <w:suppressAutoHyphens/>
        <w:spacing w:line="320" w:lineRule="exact"/>
        <w:rPr>
          <w:rFonts w:ascii="Times New Roman" w:hAnsi="Times New Roman"/>
        </w:rPr>
      </w:pPr>
      <w:r>
        <w:rPr>
          <w:rFonts w:ascii="Times New Roman" w:hAnsi="Times New Roman"/>
        </w:rPr>
        <w:t xml:space="preserve">At.: Marcelo Ronaldo Poli / Rosinaldo Batista Gomes  / Fábio da Cruz Tomo </w:t>
      </w:r>
    </w:p>
    <w:p>
      <w:pPr>
        <w:shd w:val="clear" w:color="auto" w:fill="FFFFFF"/>
        <w:suppressAutoHyphens/>
        <w:spacing w:line="320" w:lineRule="exact"/>
        <w:rPr>
          <w:rFonts w:ascii="Times New Roman" w:hAnsi="Times New Roman"/>
        </w:rPr>
      </w:pPr>
      <w:r>
        <w:rPr>
          <w:rFonts w:ascii="Times New Roman" w:hAnsi="Times New Roman"/>
        </w:rPr>
        <w:t>Telefone: (11) 3684-7654 / (11) 3684-9444 / (11) 3684-2852</w:t>
      </w:r>
    </w:p>
    <w:p>
      <w:pPr>
        <w:suppressAutoHyphens/>
        <w:spacing w:line="320" w:lineRule="exact"/>
        <w:rPr>
          <w:rFonts w:ascii="Times New Roman" w:hAnsi="Times New Roman"/>
        </w:rPr>
      </w:pPr>
      <w:r>
        <w:rPr>
          <w:rFonts w:ascii="Times New Roman" w:hAnsi="Times New Roman"/>
        </w:rPr>
        <w:t xml:space="preserve">Fac-símile: (11) 3684-5645 </w:t>
      </w:r>
    </w:p>
    <w:p>
      <w:pPr>
        <w:spacing w:line="312" w:lineRule="auto"/>
        <w:jc w:val="left"/>
        <w:rPr>
          <w:rFonts w:ascii="Times New Roman" w:hAnsi="Times New Roman"/>
        </w:rPr>
      </w:pPr>
    </w:p>
    <w:p>
      <w:pPr>
        <w:spacing w:line="312" w:lineRule="auto"/>
        <w:jc w:val="left"/>
        <w:rPr>
          <w:rFonts w:ascii="Times New Roman" w:hAnsi="Times New Roman"/>
          <w:b/>
        </w:rPr>
      </w:pPr>
      <w:r>
        <w:rPr>
          <w:rFonts w:ascii="Times New Roman" w:hAnsi="Times New Roman"/>
          <w:b/>
        </w:rPr>
        <w:t>Para a CETIP:</w:t>
      </w:r>
    </w:p>
    <w:p>
      <w:pPr>
        <w:spacing w:line="312" w:lineRule="auto"/>
        <w:rPr>
          <w:rFonts w:ascii="Times New Roman" w:hAnsi="Times New Roman"/>
          <w:b/>
          <w:color w:val="000000"/>
        </w:rPr>
      </w:pPr>
      <w:r>
        <w:rPr>
          <w:rFonts w:ascii="Times New Roman" w:hAnsi="Times New Roman"/>
          <w:b/>
          <w:color w:val="000000"/>
        </w:rPr>
        <w:t>CETIP S.A. – Mercados Organizados</w:t>
      </w:r>
    </w:p>
    <w:p>
      <w:pPr>
        <w:spacing w:line="312" w:lineRule="auto"/>
        <w:rPr>
          <w:rFonts w:ascii="Times New Roman" w:hAnsi="Times New Roman"/>
          <w:color w:val="000000"/>
        </w:rPr>
      </w:pPr>
      <w:r>
        <w:rPr>
          <w:rFonts w:ascii="Times New Roman" w:hAnsi="Times New Roman"/>
          <w:color w:val="000000"/>
        </w:rPr>
        <w:t xml:space="preserve">Al. Xingú, 350, 1º andar - Alphaville </w:t>
      </w:r>
    </w:p>
    <w:p>
      <w:pPr>
        <w:spacing w:line="312" w:lineRule="auto"/>
        <w:rPr>
          <w:rFonts w:ascii="Times New Roman" w:hAnsi="Times New Roman"/>
          <w:color w:val="000000"/>
        </w:rPr>
      </w:pPr>
      <w:r>
        <w:rPr>
          <w:rFonts w:ascii="Times New Roman" w:hAnsi="Times New Roman"/>
          <w:color w:val="000000"/>
        </w:rPr>
        <w:t>06455-030- Barueri - SP</w:t>
      </w:r>
    </w:p>
    <w:p>
      <w:pPr>
        <w:spacing w:line="312" w:lineRule="auto"/>
        <w:rPr>
          <w:rFonts w:ascii="Times New Roman" w:hAnsi="Times New Roman"/>
          <w:color w:val="000000"/>
        </w:rPr>
      </w:pPr>
      <w:r>
        <w:rPr>
          <w:rFonts w:ascii="Times New Roman" w:hAnsi="Times New Roman"/>
          <w:color w:val="000000"/>
        </w:rPr>
        <w:t>Telefone: (11) 3111-1596</w:t>
      </w:r>
    </w:p>
    <w:p>
      <w:pPr>
        <w:spacing w:line="312" w:lineRule="auto"/>
        <w:rPr>
          <w:rFonts w:ascii="Times New Roman" w:hAnsi="Times New Roman"/>
          <w:color w:val="000000"/>
        </w:rPr>
      </w:pPr>
      <w:r>
        <w:rPr>
          <w:rFonts w:ascii="Times New Roman" w:hAnsi="Times New Roman"/>
          <w:color w:val="000000"/>
        </w:rPr>
        <w:t>Fax: (11) 3111-1564</w:t>
      </w:r>
    </w:p>
    <w:p>
      <w:pPr>
        <w:spacing w:line="312" w:lineRule="auto"/>
        <w:rPr>
          <w:rFonts w:ascii="Times New Roman" w:hAnsi="Times New Roman"/>
          <w:color w:val="000000"/>
        </w:rPr>
      </w:pPr>
      <w:r>
        <w:rPr>
          <w:rFonts w:ascii="Times New Roman" w:hAnsi="Times New Roman"/>
          <w:color w:val="000000"/>
        </w:rPr>
        <w:t>E-mail: valores.mobiliarios@cetip.com.br</w:t>
      </w:r>
    </w:p>
    <w:p>
      <w:pPr>
        <w:spacing w:line="312" w:lineRule="auto"/>
        <w:jc w:val="left"/>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11.1.2.</w:t>
      </w:r>
      <w:r>
        <w:rPr>
          <w:rFonts w:ascii="Times New Roman" w:hAnsi="Times New Roman"/>
        </w:rPr>
        <w:tab/>
      </w:r>
      <w:r>
        <w:rPr>
          <w:rFonts w:ascii="Times New Roman" w:hAnsi="Times New Roman"/>
        </w:rPr>
        <w:tab/>
        <w:t>As comunicações serão consideradas entregues quando recebidas sob protocolo ou com “aviso de recebimento” expedido pela Empresa Brasileira de Correios, por fax ou por telegrama nos endereços acima. As comunicações feitas por fac-símile ou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11.2.</w:t>
      </w:r>
      <w:r>
        <w:rPr>
          <w:rFonts w:ascii="Times New Roman" w:hAnsi="Times New Roman"/>
        </w:rPr>
        <w:tab/>
      </w:r>
      <w:r>
        <w:rPr>
          <w:rFonts w:ascii="Times New Roman" w:hAnsi="Times New Roman"/>
        </w:rPr>
        <w:tab/>
      </w:r>
      <w:r>
        <w:rPr>
          <w:rFonts w:ascii="Times New Roman" w:hAnsi="Times New Roman"/>
          <w:b/>
        </w:rPr>
        <w:t>Renúncia:</w:t>
      </w:r>
      <w:r>
        <w:rPr>
          <w:rFonts w:ascii="Times New Roman" w:hAnsi="Times New Roman"/>
        </w:rPr>
        <w:t xml:space="preserve"> Não se presume a renúncia a qualquer dos direitos decorrentes da presente Escritura, desta forma, nenhum atraso, omissão ou liberalidade no exercício de qualquer direito, faculdade ou remédio que caiba à Emissora, 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11.3.</w:t>
      </w:r>
      <w:r>
        <w:rPr>
          <w:rFonts w:ascii="Times New Roman" w:hAnsi="Times New Roman"/>
        </w:rPr>
        <w:tab/>
      </w:r>
      <w:r>
        <w:rPr>
          <w:rFonts w:ascii="Times New Roman" w:hAnsi="Times New Roman"/>
        </w:rPr>
        <w:tab/>
      </w:r>
      <w:r>
        <w:rPr>
          <w:rFonts w:ascii="Times New Roman" w:hAnsi="Times New Roman"/>
          <w:b/>
        </w:rPr>
        <w:t>Despesas:</w:t>
      </w:r>
      <w:r>
        <w:rPr>
          <w:rFonts w:ascii="Times New Roman" w:hAnsi="Times New Roman"/>
        </w:rPr>
        <w:t xml:space="preserve"> Todas e quaisquer despesas incorridas com a Emissão e a Oferta ou com a execução de valores devidos nos termos desta Escritura incluindo publicações, inscrições, registros, averbações, contratação do Agente Fiduciário e dos prestadores de serviços e quaisquer outros custos relacionados às Debêntures serão de responsabilidade exclusiva da Emissora, nos termos desta Escritura.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11.4.</w:t>
      </w:r>
      <w:r>
        <w:rPr>
          <w:rFonts w:ascii="Times New Roman" w:hAnsi="Times New Roman"/>
        </w:rPr>
        <w:tab/>
      </w:r>
      <w:r>
        <w:rPr>
          <w:rFonts w:ascii="Times New Roman" w:hAnsi="Times New Roman"/>
        </w:rPr>
        <w:tab/>
      </w:r>
      <w:r>
        <w:rPr>
          <w:rFonts w:ascii="Times New Roman" w:hAnsi="Times New Roman"/>
          <w:b/>
        </w:rPr>
        <w:t>Título Executivo Judicial e Execução Específica:</w:t>
      </w:r>
      <w:r>
        <w:rPr>
          <w:rFonts w:ascii="Times New Roman" w:hAnsi="Times New Roman"/>
        </w:rPr>
        <w:t xml:space="preserve"> Esta Escritura e as Debêntures constituem títulos executivos extrajudiciais nos termos do artigo 784, I e III, do Código de Processo Civil, reconhecendo as Partes desde já que, independentemente de quaisquer outras medidas cabíveis, as obrigações assumidas nos termos desta Escritura comportam execução específica, submetendo-se às disposições dos artigos 814 e seguintes do Código de Processo Civil, sem prejuízo do direito de declarar o vencimento antecipado das Debêntures nos termos desta Escritura.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11.5.</w:t>
      </w:r>
      <w:r>
        <w:rPr>
          <w:rFonts w:ascii="Times New Roman" w:hAnsi="Times New Roman"/>
        </w:rPr>
        <w:tab/>
      </w:r>
      <w:r>
        <w:rPr>
          <w:rFonts w:ascii="Times New Roman" w:hAnsi="Times New Roman"/>
        </w:rPr>
        <w:tab/>
      </w:r>
      <w:r>
        <w:rPr>
          <w:rFonts w:ascii="Times New Roman" w:hAnsi="Times New Roman"/>
          <w:b/>
        </w:rPr>
        <w:t>Aditamentos:</w:t>
      </w:r>
      <w:r>
        <w:rPr>
          <w:rFonts w:ascii="Times New Roman" w:hAnsi="Times New Roman"/>
        </w:rPr>
        <w:t xml:space="preserve"> Quaisquer aditamentos a esta Escritura deverão ser formalizados por escrito, com assinatura da Emissora e do Agente Fiduciário, inscritos na JUCESP, nos termos das Cláusulas 2.4.1 acima. As Partes concordam que a presente Escritura, assim como os demais documentos da Emissão, poderão ser alterados, sem a necessidade de qualquer aprovação dos Debenturistas, sempre e somente (i) quando tal alteração decorrer exclusivamente da necessidade de atendimento a exigências de adequação a normas legais, regulamentares ou exigências da CVM, ANBIMA, BM&amp;FBovespa ou demais reguladores; (ii) quando verificado erro material, seja ele um erro grosseiro, de digitação ou aritmético; ou ainda (iii) em virtude da atualização dos dados cadastrais das Partes, tais como alteração na razão social, endereço e telefone, entre outros, desde que não haja qualquer custo ou despesa adicional para os Debenturistas.</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b/>
        </w:rPr>
      </w:pPr>
      <w:r>
        <w:rPr>
          <w:rFonts w:ascii="Times New Roman" w:hAnsi="Times New Roman"/>
        </w:rPr>
        <w:t>11.6.</w:t>
      </w:r>
      <w:r>
        <w:rPr>
          <w:rFonts w:ascii="Times New Roman" w:hAnsi="Times New Roman"/>
          <w:b/>
        </w:rPr>
        <w:tab/>
      </w:r>
      <w:r>
        <w:rPr>
          <w:rFonts w:ascii="Times New Roman" w:hAnsi="Times New Roman"/>
          <w:b/>
        </w:rPr>
        <w:tab/>
        <w:t>Outras Disposições</w:t>
      </w:r>
    </w:p>
    <w:p>
      <w:pPr>
        <w:tabs>
          <w:tab w:val="left" w:pos="1134"/>
        </w:tabs>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11.6.1.</w:t>
      </w:r>
      <w:r>
        <w:rPr>
          <w:rFonts w:ascii="Times New Roman" w:hAnsi="Times New Roman"/>
        </w:rPr>
        <w:tab/>
      </w:r>
      <w:r>
        <w:rPr>
          <w:rFonts w:ascii="Times New Roman" w:hAnsi="Times New Roman"/>
        </w:rPr>
        <w:tab/>
        <w:t>Esta Escritura é celebrada em caráter irrevogável e irretratável, obrigando as Partes e seus sucessores, a qualquer título.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11.6.2.</w:t>
      </w:r>
      <w:r>
        <w:rPr>
          <w:rFonts w:ascii="Times New Roman" w:hAnsi="Times New Roman"/>
        </w:rPr>
        <w:tab/>
      </w:r>
      <w:r>
        <w:rPr>
          <w:rFonts w:ascii="Times New Roman" w:hAnsi="Times New Roman"/>
        </w:rPr>
        <w:tab/>
        <w:t>Os termos aqui iniciados em letra maiúscula, estejam no singular ou no plural, terão o significado a eles atribuído nesta Escritura, ainda que posteriormente ao seu uso.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11.6.3.</w:t>
      </w:r>
      <w:r>
        <w:rPr>
          <w:rFonts w:ascii="Times New Roman" w:hAnsi="Times New Roman"/>
        </w:rPr>
        <w:tab/>
      </w:r>
      <w:r>
        <w:rPr>
          <w:rFonts w:ascii="Times New Roman" w:hAnsi="Times New Roman"/>
        </w:rPr>
        <w:tab/>
        <w:t>A invalidação ou nulidade, no todo ou em parte, de quaisquer das cláusulas desta Escritura 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11.6.4.</w:t>
      </w:r>
      <w:r>
        <w:rPr>
          <w:rFonts w:ascii="Times New Roman" w:hAnsi="Times New Roman"/>
        </w:rPr>
        <w:tab/>
      </w:r>
      <w:r>
        <w:rPr>
          <w:rFonts w:ascii="Times New Roman" w:hAnsi="Times New Roman"/>
        </w:rPr>
        <w:tab/>
        <w:t>As Partes declaram, mútua e expressamente, que esta Escritura foi celebrada respeitando-se os princípios de probidade e de boa-fé, por livre, consciente e firme manifestação de vontade das Partes e em perfeita relação de equidade.</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11.6.5.</w:t>
      </w:r>
      <w:r>
        <w:rPr>
          <w:rFonts w:ascii="Times New Roman" w:hAnsi="Times New Roman"/>
        </w:rPr>
        <w:tab/>
      </w:r>
      <w:r>
        <w:rPr>
          <w:rFonts w:ascii="Times New Roman" w:hAnsi="Times New Roman"/>
        </w:rPr>
        <w:tab/>
        <w:t>Os prazos estabelecidos nesta Escritura serão computados de acordo com o disposto no artigo 132 do Código Civil, sendo excluído o dia de início e incluído o do vencimento.</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b/>
        </w:rPr>
      </w:pPr>
      <w:r>
        <w:rPr>
          <w:rFonts w:ascii="Times New Roman" w:hAnsi="Times New Roman"/>
        </w:rPr>
        <w:t>11.7.</w:t>
      </w:r>
      <w:r>
        <w:rPr>
          <w:rFonts w:ascii="Times New Roman" w:hAnsi="Times New Roman"/>
          <w:b/>
        </w:rPr>
        <w:t xml:space="preserve"> </w:t>
      </w:r>
      <w:r>
        <w:rPr>
          <w:rFonts w:ascii="Times New Roman" w:hAnsi="Times New Roman"/>
          <w:b/>
        </w:rPr>
        <w:tab/>
      </w:r>
      <w:r>
        <w:rPr>
          <w:rFonts w:ascii="Times New Roman" w:hAnsi="Times New Roman"/>
          <w:b/>
        </w:rPr>
        <w:tab/>
        <w:t>Lei Aplicável</w:t>
      </w:r>
    </w:p>
    <w:p>
      <w:pPr>
        <w:tabs>
          <w:tab w:val="left" w:pos="1134"/>
          <w:tab w:val="left" w:pos="1418"/>
        </w:tabs>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11.7.1.</w:t>
      </w:r>
      <w:r>
        <w:rPr>
          <w:rFonts w:ascii="Times New Roman" w:hAnsi="Times New Roman"/>
        </w:rPr>
        <w:tab/>
      </w:r>
      <w:r>
        <w:rPr>
          <w:rFonts w:ascii="Times New Roman" w:hAnsi="Times New Roman"/>
        </w:rPr>
        <w:tab/>
        <w:t>Esta Escritura é regida pelas Leis da República Federativa do Brasil.</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b/>
        </w:rPr>
      </w:pPr>
      <w:r>
        <w:rPr>
          <w:rFonts w:ascii="Times New Roman" w:hAnsi="Times New Roman"/>
        </w:rPr>
        <w:t>11.8.</w:t>
      </w:r>
      <w:r>
        <w:rPr>
          <w:rFonts w:ascii="Times New Roman" w:hAnsi="Times New Roman"/>
          <w:b/>
        </w:rPr>
        <w:t xml:space="preserve"> </w:t>
      </w:r>
      <w:r>
        <w:rPr>
          <w:rFonts w:ascii="Times New Roman" w:hAnsi="Times New Roman"/>
          <w:b/>
        </w:rPr>
        <w:tab/>
      </w:r>
      <w:r>
        <w:rPr>
          <w:rFonts w:ascii="Times New Roman" w:hAnsi="Times New Roman"/>
          <w:b/>
        </w:rPr>
        <w:tab/>
        <w:t>Foro</w:t>
      </w:r>
    </w:p>
    <w:p>
      <w:pPr>
        <w:tabs>
          <w:tab w:val="left" w:pos="1134"/>
        </w:tabs>
        <w:spacing w:line="312" w:lineRule="auto"/>
        <w:rPr>
          <w:rFonts w:ascii="Times New Roman" w:hAnsi="Times New Roman"/>
          <w:b/>
        </w:rPr>
      </w:pPr>
    </w:p>
    <w:p>
      <w:pPr>
        <w:tabs>
          <w:tab w:val="left" w:pos="1134"/>
        </w:tabs>
        <w:spacing w:line="312" w:lineRule="auto"/>
        <w:rPr>
          <w:rFonts w:ascii="Times New Roman" w:hAnsi="Times New Roman"/>
        </w:rPr>
      </w:pPr>
      <w:r>
        <w:rPr>
          <w:rFonts w:ascii="Times New Roman" w:hAnsi="Times New Roman"/>
        </w:rPr>
        <w:t>11.8.1.</w:t>
      </w:r>
      <w:r>
        <w:rPr>
          <w:rFonts w:ascii="Times New Roman" w:hAnsi="Times New Roman"/>
        </w:rPr>
        <w:tab/>
      </w:r>
      <w:r>
        <w:rPr>
          <w:rFonts w:ascii="Times New Roman" w:hAnsi="Times New Roman"/>
        </w:rPr>
        <w:tab/>
        <w:t>As Partes elegem o foro da Comarca da capital do Estado de São Paulo, com renúncia expressa de qualquer outro, por mais privilegiado, como competente para dirimir quaisquer controvérsias decorrentes desta Escritura.</w:t>
      </w:r>
    </w:p>
    <w:p>
      <w:pPr>
        <w:tabs>
          <w:tab w:val="left" w:pos="1134"/>
        </w:tabs>
        <w:spacing w:line="312" w:lineRule="auto"/>
        <w:rPr>
          <w:rFonts w:ascii="Times New Roman" w:hAnsi="Times New Roman"/>
        </w:rPr>
      </w:pPr>
    </w:p>
    <w:p>
      <w:pPr>
        <w:tabs>
          <w:tab w:val="left" w:pos="1134"/>
        </w:tabs>
        <w:spacing w:line="312" w:lineRule="auto"/>
        <w:rPr>
          <w:rFonts w:ascii="Times New Roman" w:hAnsi="Times New Roman"/>
        </w:rPr>
      </w:pPr>
      <w:r>
        <w:rPr>
          <w:rFonts w:ascii="Times New Roman" w:hAnsi="Times New Roman"/>
        </w:rPr>
        <w:t>Estando assim, as Partes, certas e ajustadas, firmam esta Escritura em 3 (três) vias de igual teor e forma, juntamente com 2 (duas) testemunhas, que também a assinam.</w:t>
      </w:r>
    </w:p>
    <w:p>
      <w:pPr>
        <w:tabs>
          <w:tab w:val="left" w:pos="1134"/>
        </w:tabs>
        <w:spacing w:line="312" w:lineRule="auto"/>
        <w:rPr>
          <w:rFonts w:ascii="Times New Roman" w:hAnsi="Times New Roman"/>
        </w:rPr>
      </w:pPr>
    </w:p>
    <w:p>
      <w:pPr>
        <w:tabs>
          <w:tab w:val="left" w:pos="1134"/>
          <w:tab w:val="left" w:pos="3705"/>
        </w:tabs>
        <w:spacing w:line="312" w:lineRule="auto"/>
        <w:jc w:val="center"/>
        <w:rPr>
          <w:rFonts w:ascii="Times New Roman" w:hAnsi="Times New Roman"/>
        </w:rPr>
      </w:pPr>
      <w:r>
        <w:rPr>
          <w:rFonts w:ascii="Times New Roman" w:hAnsi="Times New Roman"/>
        </w:rPr>
        <w:t>São Paulo, 4 de abril de 2017</w:t>
      </w:r>
    </w:p>
    <w:p>
      <w:pPr>
        <w:tabs>
          <w:tab w:val="left" w:pos="1134"/>
        </w:tabs>
        <w:spacing w:line="312" w:lineRule="auto"/>
        <w:jc w:val="center"/>
        <w:rPr>
          <w:rFonts w:ascii="Times New Roman" w:hAnsi="Times New Roman"/>
        </w:rPr>
      </w:pPr>
      <w:r>
        <w:rPr>
          <w:rFonts w:ascii="Times New Roman" w:hAnsi="Times New Roman"/>
          <w:i/>
        </w:rPr>
        <w:t>(O restante da página foi intencionalmente deixado em branco)</w:t>
      </w:r>
      <w:r>
        <w:rPr>
          <w:rFonts w:ascii="Times New Roman" w:hAnsi="Times New Roman"/>
        </w:rPr>
        <w:br w:type="page"/>
      </w:r>
    </w:p>
    <w:p>
      <w:pPr>
        <w:tabs>
          <w:tab w:val="left" w:pos="1134"/>
        </w:tabs>
        <w:spacing w:line="312" w:lineRule="auto"/>
        <w:rPr>
          <w:rFonts w:ascii="Times New Roman" w:hAnsi="Times New Roman"/>
        </w:rPr>
      </w:pPr>
      <w:r>
        <w:rPr>
          <w:rFonts w:ascii="Times New Roman" w:hAnsi="Times New Roman"/>
        </w:rPr>
        <w:t>(Página de assinaturas do Instrumento Particular de Escritura da 20ª (vigésima) Emissão de Debêntures Simples, Não Conversíveis em Ações, da Espécie Com Garantia Real, em Série Única, da Eletropaulo Metropolitana Eletricidade de São Paulo S.A. – Página 1/3)</w:t>
      </w:r>
    </w:p>
    <w:p>
      <w:pPr>
        <w:tabs>
          <w:tab w:val="left" w:pos="1134"/>
        </w:tabs>
        <w:spacing w:line="312" w:lineRule="auto"/>
        <w:rPr>
          <w:rFonts w:ascii="Times New Roman" w:hAnsi="Times New Roman"/>
        </w:rPr>
      </w:pPr>
    </w:p>
    <w:tbl>
      <w:tblPr>
        <w:tblW w:w="5000" w:type="pct"/>
        <w:tblCellMar>
          <w:left w:w="70" w:type="dxa"/>
          <w:right w:w="70" w:type="dxa"/>
        </w:tblCellMar>
        <w:tblLook w:val="04A0" w:firstRow="1" w:lastRow="0" w:firstColumn="1" w:lastColumn="0" w:noHBand="0" w:noVBand="1"/>
      </w:tblPr>
      <w:tblGrid>
        <w:gridCol w:w="4512"/>
        <w:gridCol w:w="241"/>
        <w:gridCol w:w="4225"/>
      </w:tblGrid>
      <w:tr>
        <w:trPr>
          <w:trHeight w:val="345"/>
        </w:trPr>
        <w:tc>
          <w:tcPr>
            <w:tcW w:w="5000" w:type="pct"/>
            <w:gridSpan w:val="3"/>
            <w:tcBorders>
              <w:top w:val="nil"/>
              <w:left w:val="nil"/>
              <w:bottom w:val="nil"/>
              <w:right w:val="nil"/>
            </w:tcBorders>
            <w:shd w:val="clear" w:color="auto" w:fill="auto"/>
            <w:noWrap/>
            <w:vAlign w:val="center"/>
            <w:hideMark/>
          </w:tcPr>
          <w:p>
            <w:pPr>
              <w:spacing w:line="312" w:lineRule="auto"/>
              <w:jc w:val="center"/>
              <w:rPr>
                <w:rFonts w:ascii="Times New Roman" w:hAnsi="Times New Roman"/>
                <w:b/>
                <w:color w:val="000000"/>
              </w:rPr>
            </w:pPr>
            <w:r>
              <w:rPr>
                <w:rFonts w:ascii="Times New Roman" w:hAnsi="Times New Roman"/>
                <w:b/>
                <w:color w:val="000000"/>
              </w:rPr>
              <w:t>ELETROPAULO METROPOLITANA ELETRICIDADE DE SÃO PAULO S.A.</w:t>
            </w: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p>
        </w:tc>
      </w:tr>
      <w:tr>
        <w:trPr>
          <w:trHeight w:val="345"/>
        </w:trPr>
        <w:tc>
          <w:tcPr>
            <w:tcW w:w="2513" w:type="pct"/>
            <w:tcBorders>
              <w:top w:val="single" w:sz="4" w:space="0" w:color="auto"/>
              <w:left w:val="nil"/>
              <w:bottom w:val="nil"/>
              <w:right w:val="nil"/>
            </w:tcBorders>
            <w:shd w:val="clear" w:color="auto" w:fill="auto"/>
            <w:noWrap/>
            <w:vAlign w:val="center"/>
            <w:hideMark/>
          </w:tcPr>
          <w:p>
            <w:pPr>
              <w:spacing w:line="312" w:lineRule="auto"/>
              <w:rPr>
                <w:rFonts w:ascii="Times New Roman" w:hAnsi="Times New Roman"/>
                <w:color w:val="000000"/>
              </w:rPr>
            </w:pPr>
            <w:r>
              <w:rPr>
                <w:rFonts w:ascii="Times New Roman" w:hAnsi="Times New Roman"/>
                <w:color w:val="000000"/>
              </w:rPr>
              <w:t>Nome:</w:t>
            </w: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single" w:sz="4" w:space="0" w:color="auto"/>
              <w:left w:val="nil"/>
              <w:bottom w:val="nil"/>
              <w:right w:val="nil"/>
            </w:tcBorders>
            <w:shd w:val="clear" w:color="auto" w:fill="auto"/>
            <w:noWrap/>
            <w:vAlign w:val="bottom"/>
            <w:hideMark/>
          </w:tcPr>
          <w:p>
            <w:pPr>
              <w:spacing w:line="312" w:lineRule="auto"/>
              <w:jc w:val="left"/>
              <w:rPr>
                <w:rFonts w:ascii="Times New Roman" w:hAnsi="Times New Roman"/>
                <w:color w:val="000000"/>
              </w:rPr>
            </w:pPr>
            <w:r>
              <w:rPr>
                <w:rFonts w:ascii="Times New Roman" w:hAnsi="Times New Roman"/>
                <w:color w:val="000000"/>
              </w:rPr>
              <w:t>Nome:</w:t>
            </w: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r>
              <w:rPr>
                <w:rFonts w:ascii="Times New Roman" w:hAnsi="Times New Roman"/>
                <w:color w:val="000000"/>
              </w:rPr>
              <w:t>Cargo:</w:t>
            </w: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r>
              <w:rPr>
                <w:rFonts w:ascii="Times New Roman" w:hAnsi="Times New Roman"/>
                <w:color w:val="000000"/>
              </w:rPr>
              <w:t>Cargo:</w:t>
            </w:r>
          </w:p>
        </w:tc>
      </w:tr>
    </w:tbl>
    <w:p>
      <w:pPr>
        <w:tabs>
          <w:tab w:val="left" w:pos="1134"/>
        </w:tabs>
        <w:spacing w:line="312" w:lineRule="auto"/>
        <w:rPr>
          <w:rFonts w:ascii="Times New Roman" w:hAnsi="Times New Roman"/>
        </w:rPr>
      </w:pPr>
    </w:p>
    <w:p>
      <w:pPr>
        <w:spacing w:line="312" w:lineRule="auto"/>
        <w:rPr>
          <w:rFonts w:ascii="Times New Roman" w:hAnsi="Times New Roman"/>
        </w:rPr>
      </w:pPr>
      <w:r>
        <w:rPr>
          <w:rFonts w:ascii="Times New Roman" w:hAnsi="Times New Roman"/>
        </w:rPr>
        <w:br w:type="page"/>
      </w:r>
    </w:p>
    <w:tbl>
      <w:tblPr>
        <w:tblW w:w="5000" w:type="pct"/>
        <w:tblCellMar>
          <w:left w:w="70" w:type="dxa"/>
          <w:right w:w="70" w:type="dxa"/>
        </w:tblCellMar>
        <w:tblLook w:val="04A0" w:firstRow="1" w:lastRow="0" w:firstColumn="1" w:lastColumn="0" w:noHBand="0" w:noVBand="1"/>
      </w:tblPr>
      <w:tblGrid>
        <w:gridCol w:w="4465"/>
        <w:gridCol w:w="326"/>
        <w:gridCol w:w="4187"/>
      </w:tblGrid>
      <w:tr>
        <w:trPr>
          <w:trHeight w:val="345"/>
        </w:trPr>
        <w:tc>
          <w:tcPr>
            <w:tcW w:w="5000" w:type="pct"/>
            <w:gridSpan w:val="3"/>
            <w:tcBorders>
              <w:top w:val="nil"/>
              <w:left w:val="nil"/>
              <w:bottom w:val="nil"/>
              <w:right w:val="nil"/>
            </w:tcBorders>
            <w:shd w:val="clear" w:color="auto" w:fill="auto"/>
            <w:noWrap/>
            <w:vAlign w:val="center"/>
            <w:hideMark/>
          </w:tcPr>
          <w:p>
            <w:pPr>
              <w:tabs>
                <w:tab w:val="left" w:pos="1134"/>
              </w:tabs>
              <w:spacing w:line="312" w:lineRule="auto"/>
              <w:rPr>
                <w:rFonts w:ascii="Times New Roman" w:hAnsi="Times New Roman"/>
              </w:rPr>
            </w:pPr>
            <w:r>
              <w:rPr>
                <w:rFonts w:ascii="Times New Roman" w:hAnsi="Times New Roman"/>
              </w:rPr>
              <w:t>(Página de assinaturas do Instrumento Particular de Escritura da 20ª (vigésima) Emissão de Debêntures Simples, Não Conversíveis em Ações, da Espécie Com Garantia Real, em Série Única, da Eletropaulo Metropolitana Eletricidade de São Paulo S.A. – Página 2/3)</w:t>
            </w:r>
          </w:p>
          <w:p>
            <w:pPr>
              <w:spacing w:line="312" w:lineRule="auto"/>
              <w:jc w:val="center"/>
              <w:rPr>
                <w:rFonts w:ascii="Times New Roman" w:hAnsi="Times New Roman"/>
                <w:b/>
                <w:color w:val="000000"/>
              </w:rPr>
            </w:pPr>
          </w:p>
          <w:p>
            <w:pPr>
              <w:spacing w:line="312" w:lineRule="auto"/>
              <w:jc w:val="center"/>
              <w:rPr>
                <w:rFonts w:ascii="Times New Roman" w:hAnsi="Times New Roman"/>
                <w:b/>
                <w:color w:val="000000"/>
              </w:rPr>
            </w:pPr>
            <w:r>
              <w:rPr>
                <w:rFonts w:ascii="Times New Roman" w:hAnsi="Times New Roman"/>
                <w:b/>
                <w:color w:val="000000"/>
              </w:rPr>
              <w:t>OLIVEIRA TRUST DISTRIBUIDORA DE TÍTULOS E VALORES MOBILIÁRIOS S.A.</w:t>
            </w: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p>
        </w:tc>
      </w:tr>
      <w:tr>
        <w:trPr>
          <w:trHeight w:val="345"/>
        </w:trPr>
        <w:tc>
          <w:tcPr>
            <w:tcW w:w="2513" w:type="pct"/>
            <w:tcBorders>
              <w:top w:val="single" w:sz="4" w:space="0" w:color="auto"/>
              <w:left w:val="nil"/>
              <w:bottom w:val="nil"/>
              <w:right w:val="nil"/>
            </w:tcBorders>
            <w:shd w:val="clear" w:color="auto" w:fill="auto"/>
            <w:noWrap/>
            <w:vAlign w:val="center"/>
            <w:hideMark/>
          </w:tcPr>
          <w:p>
            <w:pPr>
              <w:spacing w:line="312" w:lineRule="auto"/>
              <w:rPr>
                <w:rFonts w:ascii="Times New Roman" w:hAnsi="Times New Roman"/>
                <w:color w:val="000000"/>
              </w:rPr>
            </w:pPr>
            <w:r>
              <w:rPr>
                <w:rFonts w:ascii="Times New Roman" w:hAnsi="Times New Roman"/>
                <w:color w:val="000000"/>
              </w:rPr>
              <w:t>Nome:</w:t>
            </w: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single" w:sz="4" w:space="0" w:color="auto"/>
              <w:left w:val="nil"/>
              <w:bottom w:val="nil"/>
              <w:right w:val="nil"/>
            </w:tcBorders>
            <w:shd w:val="clear" w:color="auto" w:fill="auto"/>
            <w:noWrap/>
            <w:vAlign w:val="bottom"/>
            <w:hideMark/>
          </w:tcPr>
          <w:p>
            <w:pPr>
              <w:spacing w:line="312" w:lineRule="auto"/>
              <w:jc w:val="left"/>
              <w:rPr>
                <w:rFonts w:ascii="Times New Roman" w:hAnsi="Times New Roman"/>
                <w:color w:val="000000"/>
              </w:rPr>
            </w:pPr>
            <w:r>
              <w:rPr>
                <w:rFonts w:ascii="Times New Roman" w:hAnsi="Times New Roman"/>
                <w:color w:val="000000"/>
              </w:rPr>
              <w:t>Nome:</w:t>
            </w: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r>
              <w:rPr>
                <w:rFonts w:ascii="Times New Roman" w:hAnsi="Times New Roman"/>
                <w:color w:val="000000"/>
              </w:rPr>
              <w:t>Cargo:</w:t>
            </w: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r>
              <w:rPr>
                <w:rFonts w:ascii="Times New Roman" w:hAnsi="Times New Roman"/>
                <w:color w:val="000000"/>
              </w:rPr>
              <w:t>Cargo:</w:t>
            </w:r>
          </w:p>
        </w:tc>
      </w:tr>
    </w:tbl>
    <w:p>
      <w:pPr>
        <w:tabs>
          <w:tab w:val="left" w:pos="1134"/>
        </w:tabs>
        <w:spacing w:line="312" w:lineRule="auto"/>
        <w:rPr>
          <w:rFonts w:ascii="Times New Roman" w:hAnsi="Times New Roman"/>
        </w:rPr>
      </w:pPr>
    </w:p>
    <w:p>
      <w:pPr>
        <w:spacing w:line="312" w:lineRule="auto"/>
        <w:jc w:val="left"/>
        <w:rPr>
          <w:rFonts w:ascii="Times New Roman" w:hAnsi="Times New Roman"/>
        </w:rPr>
      </w:pPr>
      <w:r>
        <w:rPr>
          <w:rFonts w:ascii="Times New Roman" w:hAnsi="Times New Roman"/>
        </w:rPr>
        <w:br w:type="page"/>
      </w:r>
    </w:p>
    <w:p>
      <w:pPr>
        <w:tabs>
          <w:tab w:val="left" w:pos="1134"/>
        </w:tabs>
        <w:spacing w:line="312" w:lineRule="auto"/>
        <w:rPr>
          <w:rFonts w:ascii="Times New Roman" w:hAnsi="Times New Roman"/>
        </w:rPr>
      </w:pPr>
      <w:r>
        <w:rPr>
          <w:rFonts w:ascii="Times New Roman" w:hAnsi="Times New Roman"/>
        </w:rPr>
        <w:t>(Página de assinaturas do Instrumento Particular de Escritura da 20ª (vigésima) Emissão de Debêntures Simples, Não Conversíveis em Ações, da Espécie Com Garantia Real, em Série Única, da Eletropaulo Metropolitana Eletricidade de São Paulo S.A. – Página 3/3)</w:t>
      </w:r>
    </w:p>
    <w:p>
      <w:pPr>
        <w:tabs>
          <w:tab w:val="left" w:pos="1134"/>
        </w:tabs>
        <w:spacing w:line="312" w:lineRule="auto"/>
        <w:rPr>
          <w:rFonts w:ascii="Times New Roman" w:hAnsi="Times New Roman"/>
        </w:rPr>
      </w:pPr>
    </w:p>
    <w:tbl>
      <w:tblPr>
        <w:tblW w:w="5000" w:type="pct"/>
        <w:tblCellMar>
          <w:left w:w="70" w:type="dxa"/>
          <w:right w:w="70" w:type="dxa"/>
        </w:tblCellMar>
        <w:tblLook w:val="04A0" w:firstRow="1" w:lastRow="0" w:firstColumn="1" w:lastColumn="0" w:noHBand="0" w:noVBand="1"/>
      </w:tblPr>
      <w:tblGrid>
        <w:gridCol w:w="4512"/>
        <w:gridCol w:w="241"/>
        <w:gridCol w:w="4225"/>
      </w:tblGrid>
      <w:tr>
        <w:trPr>
          <w:trHeight w:val="345"/>
        </w:trPr>
        <w:tc>
          <w:tcPr>
            <w:tcW w:w="5000" w:type="pct"/>
            <w:gridSpan w:val="3"/>
            <w:tcBorders>
              <w:top w:val="nil"/>
              <w:left w:val="nil"/>
              <w:bottom w:val="nil"/>
              <w:right w:val="nil"/>
            </w:tcBorders>
            <w:shd w:val="clear" w:color="auto" w:fill="auto"/>
            <w:noWrap/>
            <w:vAlign w:val="center"/>
            <w:hideMark/>
          </w:tcPr>
          <w:p>
            <w:pPr>
              <w:spacing w:line="312" w:lineRule="auto"/>
              <w:jc w:val="left"/>
              <w:rPr>
                <w:rFonts w:ascii="Times New Roman" w:hAnsi="Times New Roman"/>
                <w:b/>
                <w:color w:val="000000"/>
              </w:rPr>
            </w:pPr>
            <w:r>
              <w:rPr>
                <w:rFonts w:ascii="Times New Roman" w:hAnsi="Times New Roman"/>
                <w:b/>
                <w:color w:val="000000"/>
              </w:rPr>
              <w:t>Testemunhas:</w:t>
            </w: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p>
        </w:tc>
      </w:tr>
      <w:tr>
        <w:trPr>
          <w:trHeight w:val="345"/>
        </w:trPr>
        <w:tc>
          <w:tcPr>
            <w:tcW w:w="2513" w:type="pct"/>
            <w:tcBorders>
              <w:top w:val="single" w:sz="4" w:space="0" w:color="auto"/>
              <w:left w:val="nil"/>
              <w:bottom w:val="nil"/>
              <w:right w:val="nil"/>
            </w:tcBorders>
            <w:shd w:val="clear" w:color="auto" w:fill="auto"/>
            <w:noWrap/>
            <w:vAlign w:val="center"/>
            <w:hideMark/>
          </w:tcPr>
          <w:p>
            <w:pPr>
              <w:spacing w:line="312" w:lineRule="auto"/>
              <w:rPr>
                <w:rFonts w:ascii="Times New Roman" w:hAnsi="Times New Roman"/>
                <w:color w:val="000000"/>
              </w:rPr>
            </w:pPr>
            <w:r>
              <w:rPr>
                <w:rFonts w:ascii="Times New Roman" w:hAnsi="Times New Roman"/>
                <w:color w:val="000000"/>
              </w:rPr>
              <w:t>Nome:</w:t>
            </w: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single" w:sz="4" w:space="0" w:color="auto"/>
              <w:left w:val="nil"/>
              <w:bottom w:val="nil"/>
              <w:right w:val="nil"/>
            </w:tcBorders>
            <w:shd w:val="clear" w:color="auto" w:fill="auto"/>
            <w:noWrap/>
            <w:vAlign w:val="bottom"/>
            <w:hideMark/>
          </w:tcPr>
          <w:p>
            <w:pPr>
              <w:spacing w:line="312" w:lineRule="auto"/>
              <w:jc w:val="left"/>
              <w:rPr>
                <w:rFonts w:ascii="Times New Roman" w:hAnsi="Times New Roman"/>
                <w:color w:val="000000"/>
              </w:rPr>
            </w:pPr>
            <w:r>
              <w:rPr>
                <w:rFonts w:ascii="Times New Roman" w:hAnsi="Times New Roman"/>
                <w:color w:val="000000"/>
              </w:rPr>
              <w:t>Nome:</w:t>
            </w:r>
          </w:p>
        </w:tc>
      </w:tr>
      <w:tr>
        <w:trPr>
          <w:trHeight w:val="345"/>
        </w:trPr>
        <w:tc>
          <w:tcPr>
            <w:tcW w:w="2513"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r>
              <w:rPr>
                <w:rFonts w:ascii="Times New Roman" w:hAnsi="Times New Roman"/>
                <w:color w:val="000000"/>
              </w:rPr>
              <w:t>Cargo:</w:t>
            </w:r>
          </w:p>
        </w:tc>
        <w:tc>
          <w:tcPr>
            <w:tcW w:w="134" w:type="pct"/>
            <w:tcBorders>
              <w:top w:val="nil"/>
              <w:left w:val="nil"/>
              <w:bottom w:val="nil"/>
              <w:right w:val="nil"/>
            </w:tcBorders>
            <w:shd w:val="clear" w:color="auto" w:fill="auto"/>
            <w:noWrap/>
            <w:vAlign w:val="center"/>
            <w:hideMark/>
          </w:tcPr>
          <w:p>
            <w:pPr>
              <w:spacing w:line="312" w:lineRule="auto"/>
              <w:rPr>
                <w:rFonts w:ascii="Times New Roman" w:hAnsi="Times New Roman"/>
                <w:color w:val="000000"/>
              </w:rPr>
            </w:pPr>
          </w:p>
        </w:tc>
        <w:tc>
          <w:tcPr>
            <w:tcW w:w="2353" w:type="pct"/>
            <w:tcBorders>
              <w:top w:val="nil"/>
              <w:left w:val="nil"/>
              <w:bottom w:val="nil"/>
              <w:right w:val="nil"/>
            </w:tcBorders>
            <w:shd w:val="clear" w:color="auto" w:fill="auto"/>
            <w:noWrap/>
            <w:vAlign w:val="bottom"/>
            <w:hideMark/>
          </w:tcPr>
          <w:p>
            <w:pPr>
              <w:spacing w:line="312" w:lineRule="auto"/>
              <w:jc w:val="left"/>
              <w:rPr>
                <w:rFonts w:ascii="Times New Roman" w:hAnsi="Times New Roman"/>
                <w:color w:val="000000"/>
              </w:rPr>
            </w:pPr>
            <w:r>
              <w:rPr>
                <w:rFonts w:ascii="Times New Roman" w:hAnsi="Times New Roman"/>
                <w:color w:val="000000"/>
              </w:rPr>
              <w:t>Cargo:</w:t>
            </w:r>
          </w:p>
        </w:tc>
      </w:tr>
    </w:tbl>
    <w:p>
      <w:pPr>
        <w:tabs>
          <w:tab w:val="left" w:pos="1134"/>
        </w:tabs>
        <w:spacing w:line="312" w:lineRule="auto"/>
        <w:rPr>
          <w:rFonts w:ascii="Times New Roman" w:hAnsi="Times New Roman"/>
        </w:rPr>
      </w:pPr>
    </w:p>
    <w:sectPr>
      <w:headerReference w:type="default" r:id="rId14"/>
      <w:footerReference w:type="default" r:id="rId15"/>
      <w:footerReference w:type="first" r:id="rId16"/>
      <w:pgSz w:w="12240" w:h="15840" w:code="1"/>
      <w:pgMar w:top="1417" w:right="1701" w:bottom="1417" w:left="1701" w:header="964" w:footer="63" w:gutter="0"/>
      <w:paperSrc w:first="7" w:other="7"/>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 w:type="continuationNotice"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1691987100"/>
      <w:docPartObj>
        <w:docPartGallery w:val="Page Numbers (Bottom of Page)"/>
        <w:docPartUnique/>
      </w:docPartObj>
    </w:sdtPr>
    <w:sdtContent>
      <w:sdt>
        <w:sdtPr>
          <w:id w:val="1634516399"/>
          <w:docPartObj>
            <w:docPartGallery w:val="Page Numbers (Bottom of Page)"/>
            <w:docPartUnique/>
          </w:docPartObj>
        </w:sdtPr>
        <w:sdtEndPr>
          <w:rPr>
            <w:sz w:val="18"/>
            <w:szCs w:val="18"/>
          </w:rPr>
        </w:sdtEndPr>
        <w:sdtContent>
          <w:p>
            <w:pPr>
              <w:pStyle w:val="Rodap"/>
              <w:rPr>
                <w:rFonts w:ascii="Times New Roman" w:hAnsi="Times New Roman"/>
                <w:i/>
                <w:sz w:val="16"/>
                <w:szCs w:val="16"/>
              </w:rPr>
            </w:pPr>
            <w:r>
              <w:rPr>
                <w:rFonts w:ascii="Times New Roman" w:hAnsi="Times New Roman"/>
                <w:i/>
                <w:sz w:val="16"/>
                <w:szCs w:val="16"/>
              </w:rPr>
              <w:t>INSTRUMENTO PARTICULAR DE ESCRITURA DA 20ª (VIGÉSIMA) EMISSÃO DE DEBÊNTURES SIMPLES, NÃO CONVERSÍVEIS EM AÇÕES, DA ESPÉCIE COM GARANTIA REAL, EM SÉRIE ÚNICA, DA ELETROPAULO METROPOLITANA ELETRICIDADE DE SÃO PAULO S.A.</w:t>
            </w:r>
          </w:p>
          <w:p>
            <w:pPr>
              <w:pStyle w:val="Rodap"/>
              <w:jc w:val="center"/>
              <w:rPr>
                <w:sz w:val="18"/>
                <w:szCs w:val="18"/>
              </w:rPr>
            </w:pPr>
            <w:r>
              <w:rPr>
                <w:sz w:val="18"/>
                <w:szCs w:val="18"/>
              </w:rPr>
              <w:fldChar w:fldCharType="begin"/>
            </w:r>
            <w:r>
              <w:rPr>
                <w:sz w:val="18"/>
                <w:szCs w:val="18"/>
              </w:rPr>
              <w:instrText>PAGE   \* MERGEFORMAT</w:instrText>
            </w:r>
            <w:r>
              <w:rPr>
                <w:sz w:val="18"/>
                <w:szCs w:val="18"/>
              </w:rPr>
              <w:fldChar w:fldCharType="separate"/>
            </w:r>
            <w:r>
              <w:rPr>
                <w:noProof/>
                <w:sz w:val="18"/>
                <w:szCs w:val="18"/>
              </w:rPr>
              <w:t>27</w:t>
            </w:r>
            <w:r>
              <w:rPr>
                <w:sz w:val="18"/>
                <w:szCs w:val="18"/>
              </w:rPr>
              <w:fldChar w:fldCharType="end"/>
            </w:r>
            <w:r>
              <w:rPr>
                <w:sz w:val="18"/>
                <w:szCs w:val="18"/>
              </w:rPr>
              <w:t xml:space="preserve"> de 68</w:t>
            </w:r>
          </w:p>
        </w:sdtContent>
      </w:sdt>
      <w:p>
        <w:pPr>
          <w:pStyle w:val="Rodap"/>
          <w:jc w:val="left"/>
          <w:rPr>
            <w:rFonts w:ascii="Tahoma" w:hAnsi="Tahoma" w:cs="Tahoma"/>
            <w:sz w:val="12"/>
          </w:rPr>
        </w:pPr>
        <w:r>
          <w:rPr>
            <w:rFonts w:ascii="Tahoma" w:hAnsi="Tahoma" w:cs="Tahoma"/>
            <w:sz w:val="12"/>
          </w:rPr>
          <w:fldChar w:fldCharType="begin"/>
        </w:r>
        <w:r>
          <w:rPr>
            <w:rFonts w:ascii="Tahoma" w:hAnsi="Tahoma" w:cs="Tahoma"/>
            <w:sz w:val="12"/>
          </w:rPr>
          <w:instrText xml:space="preserve"> DOCPROPERTY "iManageFooter"  \* MERGEFORMAT </w:instrText>
        </w:r>
        <w:r>
          <w:rPr>
            <w:rFonts w:ascii="Tahoma" w:hAnsi="Tahoma" w:cs="Tahoma"/>
            <w:sz w:val="12"/>
          </w:rPr>
          <w:fldChar w:fldCharType="separate"/>
        </w:r>
      </w:p>
      <w:p>
        <w:pPr>
          <w:pStyle w:val="Rodap"/>
          <w:jc w:val="left"/>
          <w:rPr>
            <w:rFonts w:ascii="Times New Roman" w:hAnsi="Times New Roman"/>
          </w:rPr>
        </w:pPr>
        <w:r>
          <w:rPr>
            <w:rFonts w:ascii="Tahoma" w:hAnsi="Tahoma" w:cs="Tahoma"/>
            <w:sz w:val="12"/>
          </w:rPr>
          <w:t xml:space="preserve">SP - 19761294v1 </w:t>
        </w:r>
        <w:r>
          <w:rPr>
            <w:rFonts w:ascii="Tahoma" w:hAnsi="Tahoma" w:cs="Tahoma"/>
            <w:sz w:val="1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852509"/>
      <w:docPartObj>
        <w:docPartGallery w:val="Page Numbers (Bottom of Page)"/>
        <w:docPartUnique/>
      </w:docPartObj>
    </w:sdtPr>
    <w:sdtEndPr>
      <w:rPr>
        <w:sz w:val="18"/>
        <w:szCs w:val="18"/>
      </w:rPr>
    </w:sdtEndPr>
    <w:sdtContent>
      <w:p>
        <w:pPr>
          <w:pStyle w:val="Rodap"/>
          <w:rPr>
            <w:rFonts w:ascii="Times New Roman" w:hAnsi="Times New Roman"/>
            <w:i/>
            <w:sz w:val="16"/>
            <w:szCs w:val="16"/>
          </w:rPr>
        </w:pPr>
        <w:r>
          <w:rPr>
            <w:rFonts w:ascii="Times New Roman" w:hAnsi="Times New Roman"/>
            <w:i/>
            <w:sz w:val="16"/>
            <w:szCs w:val="16"/>
          </w:rPr>
          <w:t>INSTRUMENTO PARTICULAR DE ESCRITURA DA 20ª (VIGÉSIMA) EMISSÃO DE DEBÊNTURES SIMPLES, NÃO CONVERSÍVEIS EM AÇÕES, DA ESPÉCIE COM GARANTIA REAL, EM SÉRIE ÚNICA, DA ELETROPAULO METROPOLITANA ELETRICIDADE DE SÃO PAULO S.A.</w:t>
        </w:r>
      </w:p>
      <w:p>
        <w:pPr>
          <w:pStyle w:val="Rodap"/>
          <w:jc w:val="center"/>
          <w:rPr>
            <w:sz w:val="18"/>
            <w:szCs w:val="18"/>
          </w:rPr>
        </w:pPr>
        <w:r>
          <w:rPr>
            <w:sz w:val="18"/>
            <w:szCs w:val="18"/>
          </w:rPr>
          <w:fldChar w:fldCharType="begin"/>
        </w:r>
        <w:r>
          <w:rPr>
            <w:sz w:val="18"/>
            <w:szCs w:val="18"/>
          </w:rPr>
          <w:instrText>PAGE   \* MERGEFORMAT</w:instrText>
        </w:r>
        <w:r>
          <w:rPr>
            <w:sz w:val="18"/>
            <w:szCs w:val="18"/>
          </w:rPr>
          <w:fldChar w:fldCharType="separate"/>
        </w:r>
        <w:r>
          <w:rPr>
            <w:noProof/>
            <w:sz w:val="18"/>
            <w:szCs w:val="18"/>
          </w:rPr>
          <w:t>1</w:t>
        </w:r>
        <w:r>
          <w:rPr>
            <w:sz w:val="18"/>
            <w:szCs w:val="18"/>
          </w:rPr>
          <w:fldChar w:fldCharType="end"/>
        </w:r>
        <w:r>
          <w:rPr>
            <w:sz w:val="18"/>
            <w:szCs w:val="18"/>
          </w:rPr>
          <w:t xml:space="preserve"> de 68</w:t>
        </w:r>
      </w:p>
    </w:sdtContent>
  </w:sdt>
  <w:p>
    <w:pPr>
      <w:pStyle w:val="Rodap"/>
      <w:jc w:val="left"/>
      <w:rPr>
        <w:rFonts w:ascii="Tahoma" w:hAnsi="Tahoma"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 w:type="continuationNotice" w:id="1">
    <w:p>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jc w:val="right"/>
      <w:rPr>
        <w:rFonts w:ascii="Times New Roman" w:hAnsi="Times New Roman"/>
        <w:b/>
        <w:smallCaps/>
      </w:rPr>
    </w:pPr>
  </w:p>
  <w:p>
    <w:pPr>
      <w:pStyle w:val="Cabealho"/>
      <w:jc w:val="right"/>
      <w:rPr>
        <w:rFonts w:ascii="Times New Roman" w:hAnsi="Times New Roman"/>
        <w:b/>
      </w:rPr>
    </w:pPr>
  </w:p>
  <w:p>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B6172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2436FDB"/>
    <w:multiLevelType w:val="hybridMultilevel"/>
    <w:tmpl w:val="9E5823AC"/>
    <w:lvl w:ilvl="0" w:tplc="6DB07076">
      <w:start w:val="1"/>
      <w:numFmt w:val="lowerLetter"/>
      <w:lvlText w:val="(%1)"/>
      <w:lvlJc w:val="left"/>
      <w:pPr>
        <w:ind w:left="720" w:hanging="360"/>
      </w:pPr>
      <w:rPr>
        <w:rFonts w:cs="Times New Roman" w:hint="default"/>
        <w:color w:val="auto"/>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D42872"/>
    <w:multiLevelType w:val="hybridMultilevel"/>
    <w:tmpl w:val="8BFCBAB4"/>
    <w:lvl w:ilvl="0" w:tplc="DD4AFB44">
      <w:start w:val="1"/>
      <w:numFmt w:val="decimal"/>
      <w:lvlText w:val="%1.1"/>
      <w:lvlJc w:val="left"/>
      <w:pPr>
        <w:ind w:left="720" w:hanging="360"/>
      </w:pPr>
      <w:rPr>
        <w:rFonts w:hint="default"/>
      </w:rPr>
    </w:lvl>
    <w:lvl w:ilvl="1" w:tplc="1A0217D4">
      <w:start w:val="1"/>
      <w:numFmt w:val="decimal"/>
      <w:lvlText w:val="1.%2"/>
      <w:lvlJc w:val="left"/>
      <w:pPr>
        <w:ind w:left="1440" w:hanging="360"/>
      </w:pPr>
      <w:rPr>
        <w:rFonts w:ascii="Tahoma" w:hAnsi="Tahoma" w:cs="Tahoma" w:hint="default"/>
        <w:sz w:val="22"/>
        <w:szCs w:val="22"/>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8C76A9"/>
    <w:multiLevelType w:val="hybridMultilevel"/>
    <w:tmpl w:val="F8C41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D350D0"/>
    <w:multiLevelType w:val="hybridMultilevel"/>
    <w:tmpl w:val="ED40392A"/>
    <w:lvl w:ilvl="0" w:tplc="D87CA6A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7A022D"/>
    <w:multiLevelType w:val="hybridMultilevel"/>
    <w:tmpl w:val="4A3E7968"/>
    <w:lvl w:ilvl="0" w:tplc="7AB6F93C">
      <w:start w:val="1"/>
      <w:numFmt w:val="lowerRoman"/>
      <w:lvlText w:val="(%1)"/>
      <w:lvlJc w:val="left"/>
      <w:pPr>
        <w:ind w:left="1146" w:hanging="360"/>
      </w:pPr>
      <w:rPr>
        <w:rFonts w:hint="default"/>
        <w:b w:val="0"/>
        <w:i w:val="0"/>
        <w:sz w:val="24"/>
        <w:szCs w:val="24"/>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6" w15:restartNumberingAfterBreak="0">
    <w:nsid w:val="11800B93"/>
    <w:multiLevelType w:val="singleLevel"/>
    <w:tmpl w:val="D406A36C"/>
    <w:lvl w:ilvl="0">
      <w:start w:val="1"/>
      <w:numFmt w:val="lowerLetter"/>
      <w:lvlText w:val="(%1)"/>
      <w:lvlJc w:val="left"/>
      <w:pPr>
        <w:tabs>
          <w:tab w:val="num" w:pos="1080"/>
        </w:tabs>
        <w:ind w:left="1080" w:hanging="360"/>
      </w:pPr>
      <w:rPr>
        <w:rFonts w:hint="default"/>
      </w:rPr>
    </w:lvl>
  </w:abstractNum>
  <w:abstractNum w:abstractNumId="7" w15:restartNumberingAfterBreak="0">
    <w:nsid w:val="13512C6F"/>
    <w:multiLevelType w:val="hybridMultilevel"/>
    <w:tmpl w:val="4F8AED96"/>
    <w:lvl w:ilvl="0" w:tplc="DDDCEB1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8C186E"/>
    <w:multiLevelType w:val="hybridMultilevel"/>
    <w:tmpl w:val="CB168A50"/>
    <w:lvl w:ilvl="0" w:tplc="1E98F3C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63562A"/>
    <w:multiLevelType w:val="hybridMultilevel"/>
    <w:tmpl w:val="D8388584"/>
    <w:lvl w:ilvl="0" w:tplc="8B2CADB6">
      <w:start w:val="1"/>
      <w:numFmt w:val="lowerLetter"/>
      <w:lvlText w:val="(%1)"/>
      <w:lvlJc w:val="left"/>
      <w:pPr>
        <w:tabs>
          <w:tab w:val="num" w:pos="840"/>
        </w:tabs>
        <w:ind w:left="840" w:hanging="360"/>
      </w:pPr>
      <w:rPr>
        <w:rFonts w:hint="default"/>
      </w:rPr>
    </w:lvl>
    <w:lvl w:ilvl="1" w:tplc="FFFFFFFF">
      <w:start w:val="1"/>
      <w:numFmt w:val="lowerRoman"/>
      <w:lvlText w:val="(%2)"/>
      <w:lvlJc w:val="left"/>
      <w:pPr>
        <w:tabs>
          <w:tab w:val="num" w:pos="1440"/>
        </w:tabs>
        <w:ind w:left="1440" w:hanging="360"/>
      </w:pPr>
      <w:rPr>
        <w:rFonts w:cs="Times New Roman" w:hint="default"/>
        <w:color w:val="auto"/>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1C8B2672"/>
    <w:multiLevelType w:val="singleLevel"/>
    <w:tmpl w:val="27BEF732"/>
    <w:lvl w:ilvl="0">
      <w:start w:val="1"/>
      <w:numFmt w:val="decimal"/>
      <w:lvlText w:val="%1."/>
      <w:lvlJc w:val="left"/>
      <w:pPr>
        <w:tabs>
          <w:tab w:val="num" w:pos="360"/>
        </w:tabs>
        <w:ind w:left="360" w:hanging="360"/>
      </w:pPr>
      <w:rPr>
        <w:rFonts w:hint="default"/>
      </w:rPr>
    </w:lvl>
  </w:abstractNum>
  <w:abstractNum w:abstractNumId="11" w15:restartNumberingAfterBreak="0">
    <w:nsid w:val="1F617F4A"/>
    <w:multiLevelType w:val="hybridMultilevel"/>
    <w:tmpl w:val="BC0A5720"/>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30A6740"/>
    <w:multiLevelType w:val="hybridMultilevel"/>
    <w:tmpl w:val="8A127936"/>
    <w:lvl w:ilvl="0" w:tplc="C96E07E6">
      <w:start w:val="1"/>
      <w:numFmt w:val="lowerRoman"/>
      <w:lvlText w:val="(%1)"/>
      <w:lvlJc w:val="left"/>
      <w:pPr>
        <w:ind w:left="1440" w:hanging="360"/>
      </w:pPr>
      <w:rPr>
        <w:rFonts w:hint="default"/>
      </w:rPr>
    </w:lvl>
    <w:lvl w:ilvl="1" w:tplc="9BDCB6CE">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6B82550"/>
    <w:multiLevelType w:val="hybridMultilevel"/>
    <w:tmpl w:val="A39ADDA6"/>
    <w:lvl w:ilvl="0" w:tplc="EB9C80BA">
      <w:start w:val="1"/>
      <w:numFmt w:val="decimal"/>
      <w:lvlText w:val="3.%1.1."/>
      <w:lvlJc w:val="left"/>
      <w:pPr>
        <w:ind w:left="1440" w:hanging="360"/>
      </w:pPr>
      <w:rPr>
        <w:rFonts w:hint="default"/>
      </w:rPr>
    </w:lvl>
    <w:lvl w:ilvl="1" w:tplc="CE20431A">
      <w:start w:val="1"/>
      <w:numFmt w:val="low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BC0150B"/>
    <w:multiLevelType w:val="hybridMultilevel"/>
    <w:tmpl w:val="FC62D248"/>
    <w:lvl w:ilvl="0" w:tplc="DE8E710E">
      <w:start w:val="1"/>
      <w:numFmt w:val="lowerLetter"/>
      <w:lvlText w:val="(%1)"/>
      <w:lvlJc w:val="left"/>
      <w:pPr>
        <w:ind w:left="720" w:hanging="360"/>
      </w:pPr>
      <w:rPr>
        <w:rFonts w:hint="default"/>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C125E29"/>
    <w:multiLevelType w:val="hybridMultilevel"/>
    <w:tmpl w:val="4AD0A6B8"/>
    <w:lvl w:ilvl="0" w:tplc="D87CA6A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D6546DC"/>
    <w:multiLevelType w:val="multilevel"/>
    <w:tmpl w:val="38A22736"/>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2E926065"/>
    <w:multiLevelType w:val="hybridMultilevel"/>
    <w:tmpl w:val="1362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77832D7"/>
    <w:multiLevelType w:val="hybridMultilevel"/>
    <w:tmpl w:val="056C4B0C"/>
    <w:lvl w:ilvl="0" w:tplc="583457F0">
      <w:start w:val="1"/>
      <w:numFmt w:val="decimal"/>
      <w:lvlText w:val="3.%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97459F4"/>
    <w:multiLevelType w:val="multilevel"/>
    <w:tmpl w:val="BCB02996"/>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2.%2."/>
      <w:lvlJc w:val="left"/>
      <w:pPr>
        <w:tabs>
          <w:tab w:val="num" w:pos="709"/>
        </w:tabs>
        <w:ind w:left="709" w:hanging="709"/>
      </w:pPr>
      <w:rPr>
        <w:b/>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6"/>
        <w:szCs w:val="20"/>
      </w:rPr>
    </w:lvl>
    <w:lvl w:ilvl="3">
      <w:start w:val="1"/>
      <w:numFmt w:val="lowerRoman"/>
      <w:lvlText w:val="%4)"/>
      <w:lvlJc w:val="left"/>
      <w:pPr>
        <w:tabs>
          <w:tab w:val="num" w:pos="2126"/>
        </w:tabs>
        <w:ind w:left="2126" w:hanging="425"/>
      </w:pPr>
      <w:rPr>
        <w:rFonts w:hint="default"/>
        <w:b w:val="0"/>
        <w:i w:val="0"/>
        <w:sz w:val="22"/>
        <w:szCs w:val="22"/>
      </w:rPr>
    </w:lvl>
    <w:lvl w:ilvl="4">
      <w:start w:val="1"/>
      <w:numFmt w:val="lowerRoman"/>
      <w:lvlText w:val="%5)"/>
      <w:lvlJc w:val="left"/>
      <w:pPr>
        <w:tabs>
          <w:tab w:val="num" w:pos="2835"/>
        </w:tabs>
        <w:ind w:left="2835" w:hanging="709"/>
      </w:pPr>
      <w:rPr>
        <w:rFonts w:hint="default"/>
        <w:b w:val="0"/>
        <w:i w:val="0"/>
        <w:spacing w:val="0"/>
        <w:sz w:val="22"/>
        <w:szCs w:val="22"/>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hint="default"/>
        <w:b w:val="0"/>
        <w:i w:val="0"/>
        <w:sz w:val="22"/>
        <w:szCs w:val="22"/>
      </w:rPr>
    </w:lvl>
    <w:lvl w:ilvl="8">
      <w:start w:val="1"/>
      <w:numFmt w:val="lowerRoman"/>
      <w:lvlText w:val="%9)"/>
      <w:lvlJc w:val="left"/>
      <w:pPr>
        <w:tabs>
          <w:tab w:val="num" w:pos="2835"/>
        </w:tabs>
        <w:ind w:left="2835" w:hanging="709"/>
      </w:pPr>
      <w:rPr>
        <w:rFonts w:hint="default"/>
        <w:b w:val="0"/>
        <w:i w:val="0"/>
        <w:sz w:val="22"/>
        <w:szCs w:val="22"/>
      </w:rPr>
    </w:lvl>
  </w:abstractNum>
  <w:abstractNum w:abstractNumId="21" w15:restartNumberingAfterBreak="0">
    <w:nsid w:val="398B3938"/>
    <w:multiLevelType w:val="hybridMultilevel"/>
    <w:tmpl w:val="B66E1508"/>
    <w:lvl w:ilvl="0" w:tplc="6DB07076">
      <w:start w:val="1"/>
      <w:numFmt w:val="lowerLetter"/>
      <w:lvlText w:val="(%1)"/>
      <w:lvlJc w:val="left"/>
      <w:pPr>
        <w:ind w:left="1429" w:hanging="360"/>
      </w:pPr>
      <w:rPr>
        <w:rFonts w:cs="Times New Roman" w:hint="default"/>
        <w:color w:val="auto"/>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3A451A42"/>
    <w:multiLevelType w:val="hybridMultilevel"/>
    <w:tmpl w:val="C2B8C2A2"/>
    <w:lvl w:ilvl="0" w:tplc="8B2CADB6">
      <w:start w:val="1"/>
      <w:numFmt w:val="lowerLetter"/>
      <w:lvlText w:val="(%1)"/>
      <w:lvlJc w:val="left"/>
      <w:pPr>
        <w:tabs>
          <w:tab w:val="num" w:pos="840"/>
        </w:tabs>
        <w:ind w:left="84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3BE46BC6"/>
    <w:multiLevelType w:val="hybridMultilevel"/>
    <w:tmpl w:val="0024DEEE"/>
    <w:lvl w:ilvl="0" w:tplc="D87CA6A2">
      <w:start w:val="1"/>
      <w:numFmt w:val="lowerRoman"/>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CC34A8A"/>
    <w:multiLevelType w:val="hybridMultilevel"/>
    <w:tmpl w:val="9510F92C"/>
    <w:lvl w:ilvl="0" w:tplc="A9AA4E4E">
      <w:start w:val="3"/>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E562203"/>
    <w:multiLevelType w:val="hybridMultilevel"/>
    <w:tmpl w:val="16BA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27" w15:restartNumberingAfterBreak="0">
    <w:nsid w:val="472C2944"/>
    <w:multiLevelType w:val="hybridMultilevel"/>
    <w:tmpl w:val="5896EEA8"/>
    <w:lvl w:ilvl="0" w:tplc="7136B5A0">
      <w:start w:val="1"/>
      <w:numFmt w:val="lowerRoman"/>
      <w:lvlText w:val="(%1)"/>
      <w:lvlJc w:val="left"/>
      <w:pPr>
        <w:ind w:left="720" w:hanging="360"/>
      </w:pPr>
      <w:rPr>
        <w:rFonts w:cs="Times New Roman" w:hint="default"/>
        <w:b w:val="0"/>
        <w:bCs w:val="0"/>
        <w:color w:val="auto"/>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98F38E9"/>
    <w:multiLevelType w:val="hybridMultilevel"/>
    <w:tmpl w:val="F858F77E"/>
    <w:lvl w:ilvl="0" w:tplc="67848D86">
      <w:start w:val="1"/>
      <w:numFmt w:val="lowerRoman"/>
      <w:lvlText w:val="(%1)"/>
      <w:lvlJc w:val="left"/>
      <w:pPr>
        <w:ind w:left="720" w:hanging="360"/>
      </w:pPr>
      <w:rPr>
        <w:rFonts w:hint="default"/>
        <w:b w:val="0"/>
        <w:i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C940FA0"/>
    <w:multiLevelType w:val="multilevel"/>
    <w:tmpl w:val="7A326194"/>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31" w15:restartNumberingAfterBreak="0">
    <w:nsid w:val="5CD8030E"/>
    <w:multiLevelType w:val="hybridMultilevel"/>
    <w:tmpl w:val="FC061136"/>
    <w:lvl w:ilvl="0" w:tplc="E334EB2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0A0161F"/>
    <w:multiLevelType w:val="hybridMultilevel"/>
    <w:tmpl w:val="8F1485F4"/>
    <w:lvl w:ilvl="0" w:tplc="4BF2EE9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77407032">
      <w:start w:val="1"/>
      <w:numFmt w:val="lowerRoman"/>
      <w:lvlText w:val="(%5)"/>
      <w:lvlJc w:val="left"/>
      <w:pPr>
        <w:ind w:left="360" w:hanging="360"/>
      </w:pPr>
      <w:rPr>
        <w:rFonts w:hint="default"/>
      </w:r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1AA14C0"/>
    <w:multiLevelType w:val="multilevel"/>
    <w:tmpl w:val="96688F10"/>
    <w:lvl w:ilvl="0">
      <w:start w:val="1"/>
      <w:numFmt w:val="decimal"/>
      <w:lvlText w:val="6.%1."/>
      <w:lvlJc w:val="left"/>
      <w:pPr>
        <w:tabs>
          <w:tab w:val="num" w:pos="851"/>
        </w:tabs>
        <w:ind w:left="0" w:firstLine="0"/>
      </w:pPr>
      <w:rPr>
        <w:rFonts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pacing w:val="0"/>
        <w:sz w:val="22"/>
        <w:szCs w:val="22"/>
      </w:rPr>
    </w:lvl>
    <w:lvl w:ilvl="4">
      <w:start w:val="1"/>
      <w:numFmt w:val="lowerLetter"/>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321300A"/>
    <w:multiLevelType w:val="hybridMultilevel"/>
    <w:tmpl w:val="40F671D6"/>
    <w:lvl w:ilvl="0" w:tplc="7AB6F93C">
      <w:start w:val="1"/>
      <w:numFmt w:val="lowerRoman"/>
      <w:lvlText w:val="(%1)"/>
      <w:lvlJc w:val="left"/>
      <w:pPr>
        <w:ind w:left="1440" w:hanging="360"/>
      </w:pPr>
      <w:rPr>
        <w:rFonts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6B9079A"/>
    <w:multiLevelType w:val="hybridMultilevel"/>
    <w:tmpl w:val="7B8AD0D2"/>
    <w:lvl w:ilvl="0" w:tplc="7AB6F93C">
      <w:start w:val="1"/>
      <w:numFmt w:val="lowerRoman"/>
      <w:lvlText w:val="(%1)"/>
      <w:lvlJc w:val="left"/>
      <w:pPr>
        <w:ind w:left="1146" w:hanging="360"/>
      </w:pPr>
      <w:rPr>
        <w:rFonts w:hint="default"/>
        <w:b w:val="0"/>
        <w:i w:val="0"/>
        <w:sz w:val="24"/>
        <w:szCs w:val="24"/>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6" w15:restartNumberingAfterBreak="0">
    <w:nsid w:val="68FD0867"/>
    <w:multiLevelType w:val="hybridMultilevel"/>
    <w:tmpl w:val="F9CC9C78"/>
    <w:lvl w:ilvl="0" w:tplc="19C26D00">
      <w:start w:val="1"/>
      <w:numFmt w:val="none"/>
      <w:pStyle w:val="000-MEMORANDUM"/>
      <w:lvlText w:val="%1MEMORANDO"/>
      <w:lvlJc w:val="left"/>
      <w:pPr>
        <w:tabs>
          <w:tab w:val="num" w:pos="3402"/>
        </w:tabs>
        <w:ind w:left="3402"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6ADD7E76"/>
    <w:multiLevelType w:val="hybridMultilevel"/>
    <w:tmpl w:val="4EFCAF54"/>
    <w:lvl w:ilvl="0" w:tplc="D87CA6A2">
      <w:start w:val="1"/>
      <w:numFmt w:val="low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8" w15:restartNumberingAfterBreak="0">
    <w:nsid w:val="6B1D1232"/>
    <w:multiLevelType w:val="multilevel"/>
    <w:tmpl w:val="B5562B90"/>
    <w:lvl w:ilvl="0">
      <w:start w:val="1"/>
      <w:numFmt w:val="decimal"/>
      <w:lvlText w:val="%1"/>
      <w:lvlJc w:val="left"/>
      <w:pPr>
        <w:tabs>
          <w:tab w:val="num" w:pos="567"/>
        </w:tabs>
        <w:ind w:left="567" w:hanging="567"/>
      </w:pPr>
      <w:rPr>
        <w:b/>
        <w:i w:val="0"/>
        <w:sz w:val="22"/>
      </w:rPr>
    </w:lvl>
    <w:lvl w:ilvl="1">
      <w:start w:val="1"/>
      <w:numFmt w:val="decimal"/>
      <w:lvlText w:val="%1.%2"/>
      <w:lvlJc w:val="left"/>
      <w:pPr>
        <w:tabs>
          <w:tab w:val="num" w:pos="1247"/>
        </w:tabs>
        <w:ind w:left="1247" w:hanging="680"/>
      </w:pPr>
      <w:rPr>
        <w:b/>
        <w:i w:val="0"/>
        <w:sz w:val="21"/>
      </w:rPr>
    </w:lvl>
    <w:lvl w:ilvl="2">
      <w:start w:val="1"/>
      <w:numFmt w:val="decimal"/>
      <w:lvlText w:val="%1.%2.%3"/>
      <w:lvlJc w:val="left"/>
      <w:pPr>
        <w:tabs>
          <w:tab w:val="num" w:pos="1874"/>
        </w:tabs>
        <w:ind w:left="1874" w:hanging="794"/>
      </w:pPr>
      <w:rPr>
        <w:b/>
        <w:i w:val="0"/>
        <w:sz w:val="17"/>
      </w:rPr>
    </w:lvl>
    <w:lvl w:ilvl="3">
      <w:start w:val="1"/>
      <w:numFmt w:val="lowerRoman"/>
      <w:lvlText w:val="(%4)"/>
      <w:lvlJc w:val="left"/>
      <w:pPr>
        <w:tabs>
          <w:tab w:val="num" w:pos="2722"/>
        </w:tabs>
        <w:ind w:left="2722" w:hanging="681"/>
      </w:pPr>
    </w:lvl>
    <w:lvl w:ilvl="4">
      <w:start w:val="1"/>
      <w:numFmt w:val="lowerLetter"/>
      <w:lvlText w:val="(%5)"/>
      <w:lvlJc w:val="left"/>
      <w:pPr>
        <w:tabs>
          <w:tab w:val="num" w:pos="3289"/>
        </w:tabs>
        <w:ind w:left="3289" w:hanging="567"/>
      </w:pPr>
    </w:lvl>
    <w:lvl w:ilvl="5">
      <w:start w:val="1"/>
      <w:numFmt w:val="upperRoman"/>
      <w:lvlText w:val="(%6)"/>
      <w:lvlJc w:val="left"/>
      <w:pPr>
        <w:tabs>
          <w:tab w:val="num" w:pos="3969"/>
        </w:tabs>
        <w:ind w:left="3969" w:hanging="680"/>
      </w:pPr>
    </w:lvl>
    <w:lvl w:ilvl="6">
      <w:start w:val="1"/>
      <w:numFmt w:val="none"/>
      <w:lvlText w:val=""/>
      <w:lvlJc w:val="left"/>
      <w:pPr>
        <w:tabs>
          <w:tab w:val="num" w:pos="3969"/>
        </w:tabs>
        <w:ind w:left="3969" w:hanging="680"/>
      </w:pPr>
    </w:lvl>
    <w:lvl w:ilvl="7">
      <w:start w:val="1"/>
      <w:numFmt w:val="none"/>
      <w:lvlText w:val=""/>
      <w:lvlJc w:val="left"/>
      <w:pPr>
        <w:tabs>
          <w:tab w:val="num" w:pos="3969"/>
        </w:tabs>
        <w:ind w:left="3969" w:hanging="680"/>
      </w:pPr>
    </w:lvl>
    <w:lvl w:ilvl="8">
      <w:start w:val="1"/>
      <w:numFmt w:val="none"/>
      <w:lvlText w:val=""/>
      <w:lvlJc w:val="left"/>
      <w:pPr>
        <w:tabs>
          <w:tab w:val="num" w:pos="3969"/>
        </w:tabs>
        <w:ind w:left="3969" w:hanging="680"/>
      </w:pPr>
    </w:lvl>
  </w:abstractNum>
  <w:abstractNum w:abstractNumId="39" w15:restartNumberingAfterBreak="0">
    <w:nsid w:val="6CBD60CA"/>
    <w:multiLevelType w:val="hybridMultilevel"/>
    <w:tmpl w:val="C096C87C"/>
    <w:lvl w:ilvl="0" w:tplc="FCCA8B60">
      <w:start w:val="1"/>
      <w:numFmt w:val="lowerRoman"/>
      <w:lvlText w:val="(%1)"/>
      <w:lvlJc w:val="left"/>
      <w:pPr>
        <w:ind w:left="720" w:hanging="360"/>
      </w:pPr>
      <w:rPr>
        <w:rFonts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0" w15:restartNumberingAfterBreak="0">
    <w:nsid w:val="6CFD6D34"/>
    <w:multiLevelType w:val="hybridMultilevel"/>
    <w:tmpl w:val="7B48D8FC"/>
    <w:lvl w:ilvl="0" w:tplc="AE6865D0">
      <w:start w:val="1"/>
      <w:numFmt w:val="lowerRoman"/>
      <w:lvlText w:val="(%1)"/>
      <w:lvlJc w:val="left"/>
      <w:pPr>
        <w:ind w:left="1080" w:hanging="720"/>
      </w:pPr>
      <w:rPr>
        <w:rFonts w:ascii="Tahoma" w:hAnsi="Tahoma" w:hint="default"/>
        <w:b/>
        <w:i w:val="0"/>
        <w:spacing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D080803"/>
    <w:multiLevelType w:val="hybridMultilevel"/>
    <w:tmpl w:val="8B3CF09C"/>
    <w:lvl w:ilvl="0" w:tplc="4B1E4D80">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E60270A"/>
    <w:multiLevelType w:val="hybridMultilevel"/>
    <w:tmpl w:val="B47A5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EC9657D"/>
    <w:multiLevelType w:val="hybridMultilevel"/>
    <w:tmpl w:val="1DBC10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107736F"/>
    <w:multiLevelType w:val="hybridMultilevel"/>
    <w:tmpl w:val="8F6A581A"/>
    <w:lvl w:ilvl="0" w:tplc="7AB6F93C">
      <w:start w:val="1"/>
      <w:numFmt w:val="lowerRoman"/>
      <w:lvlText w:val="(%1)"/>
      <w:lvlJc w:val="left"/>
      <w:pPr>
        <w:tabs>
          <w:tab w:val="num" w:pos="840"/>
        </w:tabs>
        <w:ind w:left="840" w:hanging="360"/>
      </w:pPr>
      <w:rPr>
        <w:rFonts w:hint="default"/>
        <w:b w:val="0"/>
        <w:i w:val="0"/>
        <w:sz w:val="24"/>
        <w:szCs w:val="24"/>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764222E7"/>
    <w:multiLevelType w:val="hybridMultilevel"/>
    <w:tmpl w:val="7E34F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8355D7B"/>
    <w:multiLevelType w:val="multilevel"/>
    <w:tmpl w:val="7146E2F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lvlText w:val="(%5)"/>
      <w:lvlJc w:val="left"/>
      <w:pPr>
        <w:tabs>
          <w:tab w:val="num" w:pos="1388"/>
        </w:tabs>
        <w:ind w:left="1388" w:hanging="680"/>
      </w:pPr>
      <w:rPr>
        <w:rFonts w:ascii="Times New Roman" w:hAnsi="Times New Roman" w:cs="Times New Roman" w:hint="default"/>
        <w:b w:val="0"/>
        <w:i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8617EF3"/>
    <w:multiLevelType w:val="multilevel"/>
    <w:tmpl w:val="FD22A68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92A1F09"/>
    <w:multiLevelType w:val="hybridMultilevel"/>
    <w:tmpl w:val="8510472E"/>
    <w:lvl w:ilvl="0" w:tplc="D87CA6A2">
      <w:start w:val="1"/>
      <w:numFmt w:val="lowerRoman"/>
      <w:lvlText w:val="(%1)"/>
      <w:lvlJc w:val="left"/>
      <w:pPr>
        <w:ind w:left="1287" w:hanging="360"/>
      </w:pPr>
      <w:rPr>
        <w:rFonts w:hint="default"/>
      </w:r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9" w15:restartNumberingAfterBreak="0">
    <w:nsid w:val="7C05109E"/>
    <w:multiLevelType w:val="hybridMultilevel"/>
    <w:tmpl w:val="731EB6CE"/>
    <w:lvl w:ilvl="0" w:tplc="6DB07076">
      <w:start w:val="1"/>
      <w:numFmt w:val="lowerLetter"/>
      <w:lvlText w:val="(%1)"/>
      <w:lvlJc w:val="left"/>
      <w:pPr>
        <w:ind w:left="720" w:hanging="360"/>
      </w:pPr>
      <w:rPr>
        <w:rFonts w:cs="Times New Roman" w:hint="default"/>
        <w:b w:val="0"/>
        <w:bCs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7DA4476A"/>
    <w:multiLevelType w:val="hybridMultilevel"/>
    <w:tmpl w:val="AB1AA768"/>
    <w:lvl w:ilvl="0" w:tplc="7166DB74">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num w:numId="1">
    <w:abstractNumId w:val="10"/>
  </w:num>
  <w:num w:numId="2">
    <w:abstractNumId w:val="50"/>
  </w:num>
  <w:num w:numId="3">
    <w:abstractNumId w:val="2"/>
  </w:num>
  <w:num w:numId="4">
    <w:abstractNumId w:val="47"/>
  </w:num>
  <w:num w:numId="5">
    <w:abstractNumId w:val="8"/>
  </w:num>
  <w:num w:numId="6">
    <w:abstractNumId w:val="31"/>
  </w:num>
  <w:num w:numId="7">
    <w:abstractNumId w:val="19"/>
  </w:num>
  <w:num w:numId="8">
    <w:abstractNumId w:val="24"/>
  </w:num>
  <w:num w:numId="9">
    <w:abstractNumId w:val="14"/>
  </w:num>
  <w:num w:numId="10">
    <w:abstractNumId w:val="45"/>
  </w:num>
  <w:num w:numId="11">
    <w:abstractNumId w:val="18"/>
  </w:num>
  <w:num w:numId="12">
    <w:abstractNumId w:val="12"/>
  </w:num>
  <w:num w:numId="13">
    <w:abstractNumId w:val="7"/>
  </w:num>
  <w:num w:numId="14">
    <w:abstractNumId w:val="42"/>
  </w:num>
  <w:num w:numId="15">
    <w:abstractNumId w:val="25"/>
  </w:num>
  <w:num w:numId="16">
    <w:abstractNumId w:val="3"/>
  </w:num>
  <w:num w:numId="17">
    <w:abstractNumId w:val="17"/>
  </w:num>
  <w:num w:numId="18">
    <w:abstractNumId w:val="36"/>
  </w:num>
  <w:num w:numId="19">
    <w:abstractNumId w:val="28"/>
  </w:num>
  <w:num w:numId="20">
    <w:abstractNumId w:val="40"/>
  </w:num>
  <w:num w:numId="21">
    <w:abstractNumId w:val="30"/>
  </w:num>
  <w:num w:numId="22">
    <w:abstractNumId w:val="6"/>
  </w:num>
  <w:num w:numId="23">
    <w:abstractNumId w:val="0"/>
  </w:num>
  <w:num w:numId="24">
    <w:abstractNumId w:val="51"/>
  </w:num>
  <w:num w:numId="25">
    <w:abstractNumId w:val="26"/>
  </w:num>
  <w:num w:numId="26">
    <w:abstractNumId w:val="11"/>
  </w:num>
  <w:num w:numId="27">
    <w:abstractNumId w:val="13"/>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num>
  <w:num w:numId="30">
    <w:abstractNumId w:val="22"/>
  </w:num>
  <w:num w:numId="31">
    <w:abstractNumId w:val="9"/>
  </w:num>
  <w:num w:numId="32">
    <w:abstractNumId w:val="49"/>
  </w:num>
  <w:num w:numId="33">
    <w:abstractNumId w:val="23"/>
  </w:num>
  <w:num w:numId="34">
    <w:abstractNumId w:val="20"/>
  </w:num>
  <w:num w:numId="35">
    <w:abstractNumId w:val="43"/>
  </w:num>
  <w:num w:numId="36">
    <w:abstractNumId w:val="1"/>
  </w:num>
  <w:num w:numId="37">
    <w:abstractNumId w:val="27"/>
  </w:num>
  <w:num w:numId="38">
    <w:abstractNumId w:val="41"/>
  </w:num>
  <w:num w:numId="39">
    <w:abstractNumId w:val="34"/>
  </w:num>
  <w:num w:numId="40">
    <w:abstractNumId w:val="37"/>
  </w:num>
  <w:num w:numId="41">
    <w:abstractNumId w:val="44"/>
  </w:num>
  <w:num w:numId="42">
    <w:abstractNumId w:val="15"/>
  </w:num>
  <w:num w:numId="43">
    <w:abstractNumId w:val="5"/>
  </w:num>
  <w:num w:numId="44">
    <w:abstractNumId w:val="35"/>
  </w:num>
  <w:num w:numId="45">
    <w:abstractNumId w:val="33"/>
  </w:num>
  <w:num w:numId="46">
    <w:abstractNumId w:val="32"/>
  </w:num>
  <w:num w:numId="47">
    <w:abstractNumId w:val="21"/>
  </w:num>
  <w:num w:numId="48">
    <w:abstractNumId w:val="16"/>
  </w:num>
  <w:num w:numId="49">
    <w:abstractNumId w:val="48"/>
  </w:num>
  <w:num w:numId="50">
    <w:abstractNumId w:val="29"/>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20" w:lineRule="atLeast"/>
      <w:jc w:val="both"/>
    </w:pPr>
    <w:rPr>
      <w:rFonts w:ascii="Arial" w:hAnsi="Arial"/>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rPr>
      <w:sz w:val="20"/>
    </w:rPr>
  </w:style>
  <w:style w:type="paragraph" w:styleId="Cabealho">
    <w:name w:val="header"/>
    <w:basedOn w:val="Normal"/>
    <w:link w:val="CabealhoChar"/>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spacing w:line="240" w:lineRule="auto"/>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spacing w:line="240" w:lineRule="auto"/>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jc w:val="left"/>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2"/>
      </w:numPr>
    </w:pPr>
    <w:rPr>
      <w:rFonts w:ascii="Arial" w:hAnsi="Arial" w:cs="Arial"/>
      <w:b/>
      <w:bCs/>
      <w:sz w:val="24"/>
      <w:szCs w:val="22"/>
    </w:rPr>
  </w:style>
  <w:style w:type="character" w:customStyle="1" w:styleId="EscopoNTISubTituloChar">
    <w:name w:val="EscopoNTISubTitulo Char"/>
    <w:link w:val="EscopoNTISubTitulo"/>
    <w:rPr>
      <w:rFonts w:ascii="Arial" w:hAnsi="Arial" w:cs="Arial"/>
      <w:b/>
      <w:bCs/>
      <w:sz w:val="24"/>
      <w:szCs w:val="22"/>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rPr>
      <w:color w:val="0000FF" w:themeColor="hyperlink"/>
      <w:u w:val="single"/>
    </w:rPr>
  </w:style>
  <w:style w:type="paragraph" w:styleId="PargrafodaLista">
    <w:name w:val="List Paragraph"/>
    <w:basedOn w:val="Normal"/>
    <w:qFormat/>
    <w:pPr>
      <w:ind w:left="720"/>
      <w:contextualSpacing/>
    </w:pPr>
  </w:style>
  <w:style w:type="character" w:styleId="TextodoEspaoReservado">
    <w:name w:val="Placeholder Text"/>
    <w:basedOn w:val="Fontepargpadro"/>
    <w:uiPriority w:val="99"/>
    <w:semiHidden/>
    <w:rPr>
      <w:color w:val="808080"/>
    </w:rPr>
  </w:style>
  <w:style w:type="paragraph" w:styleId="Textodebalo">
    <w:name w:val="Balloon Text"/>
    <w:basedOn w:val="Normal"/>
    <w:link w:val="TextodebaloChar"/>
    <w:pPr>
      <w:spacing w:line="240" w:lineRule="auto"/>
    </w:pPr>
    <w:rPr>
      <w:rFonts w:ascii="Tahoma" w:hAnsi="Tahoma" w:cs="Tahoma"/>
      <w:sz w:val="16"/>
      <w:szCs w:val="16"/>
    </w:rPr>
  </w:style>
  <w:style w:type="character" w:customStyle="1" w:styleId="TextodebaloChar">
    <w:name w:val="Texto de balão Char"/>
    <w:basedOn w:val="Fontepargpadro"/>
    <w:link w:val="Textodebalo"/>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heme="minorEastAsia" w:hAnsi="Times New Roman"/>
    </w:rPr>
  </w:style>
  <w:style w:type="character" w:styleId="Refdecomentrio">
    <w:name w:val="annotation reference"/>
    <w:basedOn w:val="Fontepargpadro"/>
    <w:rPr>
      <w:sz w:val="16"/>
      <w:szCs w:val="16"/>
    </w:rPr>
  </w:style>
  <w:style w:type="paragraph" w:styleId="Textodecomentrio">
    <w:name w:val="annotation text"/>
    <w:basedOn w:val="Normal"/>
    <w:link w:val="TextodecomentrioChar"/>
    <w:pPr>
      <w:spacing w:line="240" w:lineRule="auto"/>
    </w:pPr>
    <w:rPr>
      <w:sz w:val="20"/>
      <w:szCs w:val="20"/>
    </w:rPr>
  </w:style>
  <w:style w:type="character" w:customStyle="1" w:styleId="TextodecomentrioChar">
    <w:name w:val="Texto de comentário Char"/>
    <w:basedOn w:val="Fontepargpadro"/>
    <w:link w:val="Textodecomentrio"/>
    <w:rPr>
      <w:rFonts w:ascii="Arial" w:hAnsi="Arial"/>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ascii="Arial" w:hAnsi="Arial"/>
      <w:b/>
      <w:bCs/>
    </w:rPr>
  </w:style>
  <w:style w:type="character" w:customStyle="1" w:styleId="CabealhoChar">
    <w:name w:val="Cabeçalho Char"/>
    <w:basedOn w:val="Fontepargpadro"/>
    <w:link w:val="Cabealho"/>
    <w:locked/>
    <w:rPr>
      <w:rFonts w:ascii="Arial" w:hAnsi="Arial"/>
      <w:sz w:val="24"/>
      <w:szCs w:val="24"/>
    </w:rPr>
  </w:style>
  <w:style w:type="paragraph" w:styleId="Textodenotaderodap">
    <w:name w:val="footnote text"/>
    <w:basedOn w:val="Normal"/>
    <w:link w:val="TextodenotaderodapChar"/>
    <w:pPr>
      <w:spacing w:line="240" w:lineRule="auto"/>
    </w:pPr>
    <w:rPr>
      <w:rFonts w:ascii="Times New Roman" w:hAnsi="Times New Roman"/>
      <w:sz w:val="20"/>
      <w:szCs w:val="20"/>
    </w:rPr>
  </w:style>
  <w:style w:type="character" w:customStyle="1" w:styleId="TextodenotaderodapChar">
    <w:name w:val="Texto de nota de rodapé Char"/>
    <w:basedOn w:val="Fontepargpadro"/>
    <w:link w:val="Textodenotaderodap"/>
  </w:style>
  <w:style w:type="character" w:styleId="Refdenotaderodap">
    <w:name w:val="footnote reference"/>
    <w:basedOn w:val="Fontepargpadro"/>
    <w:rPr>
      <w:vertAlign w:val="superscript"/>
    </w:rPr>
  </w:style>
  <w:style w:type="paragraph" w:customStyle="1" w:styleId="Level2">
    <w:name w:val="Level 2"/>
    <w:basedOn w:val="Normal"/>
    <w:link w:val="Level2Char"/>
    <w:pPr>
      <w:spacing w:after="140" w:line="290" w:lineRule="auto"/>
    </w:pPr>
    <w:rPr>
      <w:rFonts w:ascii="Tahoma" w:hAnsi="Tahoma" w:cs="Tahoma"/>
      <w:kern w:val="20"/>
      <w:sz w:val="22"/>
      <w:szCs w:val="28"/>
    </w:rPr>
  </w:style>
  <w:style w:type="paragraph" w:customStyle="1" w:styleId="TEXTO">
    <w:name w:val="TEXTO"/>
    <w:basedOn w:val="Normal"/>
    <w:pPr>
      <w:spacing w:line="240" w:lineRule="auto"/>
    </w:pPr>
    <w:rPr>
      <w:rFonts w:ascii="CG Times" w:hAnsi="CG Times"/>
      <w:szCs w:val="20"/>
    </w:rPr>
  </w:style>
  <w:style w:type="paragraph" w:customStyle="1" w:styleId="000-MEMORANDUM">
    <w:name w:val="000-MEMORANDUM"/>
    <w:pPr>
      <w:numPr>
        <w:numId w:val="18"/>
      </w:numPr>
      <w:tabs>
        <w:tab w:val="clear" w:pos="3402"/>
        <w:tab w:val="left" w:pos="5292"/>
      </w:tabs>
      <w:spacing w:after="240"/>
      <w:ind w:left="3828" w:right="40"/>
      <w:contextualSpacing/>
    </w:pPr>
    <w:rPr>
      <w:rFonts w:ascii="Verdana" w:hAnsi="Verdana"/>
      <w:b/>
      <w:color w:val="00739C"/>
      <w:sz w:val="24"/>
      <w:szCs w:val="36"/>
      <w:lang w:val="en-US"/>
    </w:rPr>
  </w:style>
  <w:style w:type="paragraph" w:styleId="SemEspaamento">
    <w:name w:val="No Spacing"/>
    <w:link w:val="SemEspaamentoChar"/>
    <w:uiPriority w:val="1"/>
    <w:qFormat/>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Pr>
      <w:rFonts w:asciiTheme="minorHAnsi" w:eastAsiaTheme="minorEastAsia" w:hAnsiTheme="minorHAnsi" w:cstheme="minorBidi"/>
      <w:sz w:val="22"/>
      <w:szCs w:val="22"/>
    </w:rPr>
  </w:style>
  <w:style w:type="paragraph" w:styleId="Commarcadores">
    <w:name w:val="List Bullet"/>
    <w:basedOn w:val="Normal"/>
    <w:pPr>
      <w:numPr>
        <w:numId w:val="23"/>
      </w:numPr>
      <w:contextualSpacing/>
    </w:pPr>
  </w:style>
  <w:style w:type="paragraph" w:customStyle="1" w:styleId="p0">
    <w:name w:val="p0"/>
    <w:basedOn w:val="Normal"/>
    <w:link w:val="p0Char"/>
    <w:pPr>
      <w:tabs>
        <w:tab w:val="left" w:pos="720"/>
      </w:tabs>
      <w:spacing w:line="240" w:lineRule="atLeast"/>
    </w:pPr>
    <w:rPr>
      <w:rFonts w:ascii="Times" w:hAnsi="Times"/>
    </w:rPr>
  </w:style>
  <w:style w:type="character" w:styleId="HiperlinkVisitado">
    <w:name w:val="FollowedHyperlink"/>
    <w:basedOn w:val="Fontepargpadro"/>
    <w:rPr>
      <w:color w:val="800080" w:themeColor="followedHyperlink"/>
      <w:u w:val="single"/>
    </w:rPr>
  </w:style>
  <w:style w:type="paragraph" w:styleId="Textodenotadefim">
    <w:name w:val="endnote text"/>
    <w:basedOn w:val="Normal"/>
    <w:link w:val="TextodenotadefimChar"/>
    <w:semiHidden/>
    <w:unhideWhenUsed/>
    <w:pPr>
      <w:spacing w:line="240" w:lineRule="auto"/>
    </w:pPr>
    <w:rPr>
      <w:sz w:val="20"/>
      <w:szCs w:val="20"/>
    </w:rPr>
  </w:style>
  <w:style w:type="character" w:customStyle="1" w:styleId="TextodenotadefimChar">
    <w:name w:val="Texto de nota de fim Char"/>
    <w:basedOn w:val="Fontepargpadro"/>
    <w:link w:val="Textodenotadefim"/>
    <w:semiHidden/>
    <w:rPr>
      <w:rFonts w:ascii="Arial" w:hAnsi="Arial"/>
    </w:rPr>
  </w:style>
  <w:style w:type="character" w:styleId="Refdenotadefim">
    <w:name w:val="endnote reference"/>
    <w:basedOn w:val="Fontepargpadro"/>
    <w:semiHidden/>
    <w:unhideWhenUsed/>
    <w:rPr>
      <w:vertAlign w:val="superscript"/>
    </w:rPr>
  </w:style>
  <w:style w:type="paragraph" w:customStyle="1" w:styleId="Level1">
    <w:name w:val="Level 1"/>
    <w:basedOn w:val="Normal"/>
    <w:next w:val="Normal"/>
    <w:uiPriority w:val="99"/>
    <w:pPr>
      <w:keepNext/>
      <w:tabs>
        <w:tab w:val="num" w:pos="567"/>
      </w:tabs>
      <w:spacing w:before="280" w:after="140" w:line="288" w:lineRule="auto"/>
      <w:ind w:left="567" w:hanging="567"/>
      <w:outlineLvl w:val="0"/>
    </w:pPr>
    <w:rPr>
      <w:b/>
      <w:bCs/>
      <w:kern w:val="20"/>
      <w:sz w:val="22"/>
      <w:szCs w:val="32"/>
      <w:lang w:eastAsia="en-US"/>
    </w:rPr>
  </w:style>
  <w:style w:type="paragraph" w:customStyle="1" w:styleId="Level3">
    <w:name w:val="Level 3"/>
    <w:basedOn w:val="Normal"/>
    <w:link w:val="Level3Char"/>
    <w:uiPriority w:val="99"/>
    <w:pPr>
      <w:tabs>
        <w:tab w:val="num" w:pos="1874"/>
      </w:tabs>
      <w:spacing w:after="140" w:line="288" w:lineRule="auto"/>
      <w:ind w:left="1874" w:hanging="794"/>
    </w:pPr>
    <w:rPr>
      <w:kern w:val="20"/>
      <w:sz w:val="20"/>
      <w:szCs w:val="28"/>
      <w:lang w:eastAsia="en-US"/>
    </w:rPr>
  </w:style>
  <w:style w:type="paragraph" w:customStyle="1" w:styleId="Level4">
    <w:name w:val="Level 4"/>
    <w:basedOn w:val="Normal"/>
    <w:uiPriority w:val="99"/>
    <w:pPr>
      <w:tabs>
        <w:tab w:val="num" w:pos="2722"/>
      </w:tabs>
      <w:spacing w:after="140" w:line="288" w:lineRule="auto"/>
      <w:ind w:left="2721" w:hanging="680"/>
    </w:pPr>
    <w:rPr>
      <w:kern w:val="20"/>
      <w:sz w:val="20"/>
      <w:lang w:eastAsia="en-US"/>
    </w:rPr>
  </w:style>
  <w:style w:type="paragraph" w:customStyle="1" w:styleId="Level5">
    <w:name w:val="Level 5"/>
    <w:basedOn w:val="Normal"/>
    <w:uiPriority w:val="99"/>
    <w:pPr>
      <w:tabs>
        <w:tab w:val="num" w:pos="3289"/>
      </w:tabs>
      <w:spacing w:after="140" w:line="288" w:lineRule="auto"/>
      <w:ind w:left="3289" w:hanging="567"/>
    </w:pPr>
    <w:rPr>
      <w:kern w:val="20"/>
      <w:sz w:val="20"/>
      <w:lang w:eastAsia="en-US"/>
    </w:rPr>
  </w:style>
  <w:style w:type="paragraph" w:customStyle="1" w:styleId="Level6">
    <w:name w:val="Level 6"/>
    <w:basedOn w:val="Normal"/>
    <w:uiPriority w:val="99"/>
    <w:pPr>
      <w:tabs>
        <w:tab w:val="num" w:pos="3969"/>
      </w:tabs>
      <w:spacing w:after="140" w:line="288" w:lineRule="auto"/>
      <w:ind w:left="3969" w:hanging="680"/>
    </w:pPr>
    <w:rPr>
      <w:kern w:val="20"/>
      <w:sz w:val="20"/>
      <w:lang w:eastAsia="en-US"/>
    </w:rPr>
  </w:style>
  <w:style w:type="paragraph" w:customStyle="1" w:styleId="Level7">
    <w:name w:val="Level 7"/>
    <w:basedOn w:val="Normal"/>
    <w:uiPriority w:val="99"/>
    <w:pPr>
      <w:tabs>
        <w:tab w:val="num" w:pos="3969"/>
      </w:tabs>
      <w:spacing w:after="140" w:line="288" w:lineRule="auto"/>
      <w:ind w:left="3969" w:hanging="680"/>
      <w:outlineLvl w:val="6"/>
    </w:pPr>
    <w:rPr>
      <w:kern w:val="20"/>
      <w:sz w:val="20"/>
      <w:lang w:eastAsia="en-US"/>
    </w:rPr>
  </w:style>
  <w:style w:type="paragraph" w:customStyle="1" w:styleId="Level8">
    <w:name w:val="Level 8"/>
    <w:basedOn w:val="Normal"/>
    <w:uiPriority w:val="99"/>
    <w:pPr>
      <w:tabs>
        <w:tab w:val="num" w:pos="3969"/>
      </w:tabs>
      <w:spacing w:after="140" w:line="288" w:lineRule="auto"/>
      <w:ind w:left="3969" w:hanging="680"/>
      <w:outlineLvl w:val="7"/>
    </w:pPr>
    <w:rPr>
      <w:kern w:val="20"/>
      <w:sz w:val="20"/>
      <w:lang w:eastAsia="en-US"/>
    </w:rPr>
  </w:style>
  <w:style w:type="paragraph" w:customStyle="1" w:styleId="Level9">
    <w:name w:val="Level 9"/>
    <w:basedOn w:val="Normal"/>
    <w:uiPriority w:val="99"/>
    <w:pPr>
      <w:tabs>
        <w:tab w:val="num" w:pos="3969"/>
      </w:tabs>
      <w:spacing w:after="140" w:line="288" w:lineRule="auto"/>
      <w:ind w:left="3969" w:hanging="680"/>
      <w:outlineLvl w:val="8"/>
    </w:pPr>
    <w:rPr>
      <w:kern w:val="20"/>
      <w:sz w:val="20"/>
      <w:lang w:eastAsia="en-US"/>
    </w:rPr>
  </w:style>
  <w:style w:type="character" w:customStyle="1" w:styleId="Level3Char">
    <w:name w:val="Level 3 Char"/>
    <w:link w:val="Level3"/>
    <w:uiPriority w:val="99"/>
    <w:locked/>
    <w:rPr>
      <w:rFonts w:ascii="Arial" w:hAnsi="Arial"/>
      <w:kern w:val="20"/>
      <w:szCs w:val="28"/>
      <w:lang w:eastAsia="en-US"/>
    </w:rPr>
  </w:style>
  <w:style w:type="character" w:customStyle="1" w:styleId="p0Char">
    <w:name w:val="p0 Char"/>
    <w:basedOn w:val="Fontepargpadro"/>
    <w:link w:val="p0"/>
    <w:rPr>
      <w:rFonts w:ascii="Times" w:hAnsi="Times"/>
      <w:sz w:val="24"/>
      <w:szCs w:val="24"/>
    </w:rPr>
  </w:style>
  <w:style w:type="paragraph" w:customStyle="1" w:styleId="Default">
    <w:name w:val="Default"/>
    <w:pPr>
      <w:autoSpaceDE w:val="0"/>
      <w:autoSpaceDN w:val="0"/>
      <w:adjustRightInd w:val="0"/>
    </w:pPr>
    <w:rPr>
      <w:rFonts w:ascii="Verdana" w:eastAsia="MS Mincho" w:hAnsi="Verdana" w:cs="Verdana"/>
      <w:color w:val="000000"/>
      <w:sz w:val="24"/>
      <w:szCs w:val="24"/>
    </w:rPr>
  </w:style>
  <w:style w:type="character" w:customStyle="1" w:styleId="RodapChar">
    <w:name w:val="Rodapé Char"/>
    <w:basedOn w:val="Fontepargpadro"/>
    <w:link w:val="Rodap"/>
    <w:uiPriority w:val="99"/>
    <w:rPr>
      <w:rFonts w:ascii="Arial" w:hAnsi="Arial"/>
      <w:sz w:val="24"/>
      <w:szCs w:val="24"/>
    </w:rPr>
  </w:style>
  <w:style w:type="paragraph" w:styleId="Reviso">
    <w:name w:val="Revision"/>
    <w:hidden/>
    <w:uiPriority w:val="99"/>
    <w:semiHidden/>
    <w:rPr>
      <w:rFonts w:ascii="Arial" w:hAnsi="Arial"/>
      <w:sz w:val="24"/>
      <w:szCs w:val="24"/>
    </w:rPr>
  </w:style>
  <w:style w:type="paragraph" w:customStyle="1" w:styleId="BodyText21">
    <w:name w:val="Body Text 21"/>
    <w:basedOn w:val="Normal"/>
    <w:pPr>
      <w:widowControl w:val="0"/>
      <w:autoSpaceDE w:val="0"/>
      <w:autoSpaceDN w:val="0"/>
      <w:adjustRightInd w:val="0"/>
      <w:spacing w:line="240" w:lineRule="auto"/>
    </w:pPr>
    <w:rPr>
      <w:rFonts w:cs="Arial"/>
    </w:rPr>
  </w:style>
  <w:style w:type="character" w:customStyle="1" w:styleId="Level2Char">
    <w:name w:val="Level 2 Char"/>
    <w:link w:val="Level2"/>
    <w:rPr>
      <w:rFonts w:ascii="Tahoma" w:hAnsi="Tahoma" w:cs="Tahoma"/>
      <w:kern w:val="20"/>
      <w:sz w:val="22"/>
      <w:szCs w:val="28"/>
    </w:rPr>
  </w:style>
  <w:style w:type="character" w:customStyle="1" w:styleId="Celso1Char">
    <w:name w:val="Celso1 Char"/>
    <w:link w:val="Celso1"/>
    <w:uiPriority w:val="99"/>
    <w:locked/>
    <w:rPr>
      <w:rFonts w:ascii="Univers (W1)" w:hAnsi="Univers (W1)"/>
      <w:sz w:val="24"/>
      <w:szCs w:val="24"/>
    </w:rPr>
  </w:style>
  <w:style w:type="paragraph" w:customStyle="1" w:styleId="Celso1">
    <w:name w:val="Celso1"/>
    <w:basedOn w:val="Normal"/>
    <w:link w:val="Celso1Char"/>
    <w:uiPriority w:val="99"/>
    <w:pPr>
      <w:widowControl w:val="0"/>
      <w:spacing w:line="240" w:lineRule="auto"/>
    </w:pPr>
    <w:rPr>
      <w:rFonts w:ascii="Univers (W1)" w:hAnsi="Univers (W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93966">
      <w:bodyDiv w:val="1"/>
      <w:marLeft w:val="0"/>
      <w:marRight w:val="0"/>
      <w:marTop w:val="0"/>
      <w:marBottom w:val="0"/>
      <w:divBdr>
        <w:top w:val="none" w:sz="0" w:space="0" w:color="auto"/>
        <w:left w:val="none" w:sz="0" w:space="0" w:color="auto"/>
        <w:bottom w:val="none" w:sz="0" w:space="0" w:color="auto"/>
        <w:right w:val="none" w:sz="0" w:space="0" w:color="auto"/>
      </w:divBdr>
    </w:div>
    <w:div w:id="349110632">
      <w:bodyDiv w:val="1"/>
      <w:marLeft w:val="0"/>
      <w:marRight w:val="0"/>
      <w:marTop w:val="0"/>
      <w:marBottom w:val="0"/>
      <w:divBdr>
        <w:top w:val="none" w:sz="0" w:space="0" w:color="auto"/>
        <w:left w:val="none" w:sz="0" w:space="0" w:color="auto"/>
        <w:bottom w:val="none" w:sz="0" w:space="0" w:color="auto"/>
        <w:right w:val="none" w:sz="0" w:space="0" w:color="auto"/>
      </w:divBdr>
    </w:div>
    <w:div w:id="1138650013">
      <w:bodyDiv w:val="1"/>
      <w:marLeft w:val="0"/>
      <w:marRight w:val="0"/>
      <w:marTop w:val="0"/>
      <w:marBottom w:val="0"/>
      <w:divBdr>
        <w:top w:val="none" w:sz="0" w:space="0" w:color="auto"/>
        <w:left w:val="none" w:sz="0" w:space="0" w:color="auto"/>
        <w:bottom w:val="none" w:sz="0" w:space="0" w:color="auto"/>
        <w:right w:val="none" w:sz="0" w:space="0" w:color="auto"/>
      </w:divBdr>
    </w:div>
    <w:div w:id="1188442561">
      <w:bodyDiv w:val="1"/>
      <w:marLeft w:val="0"/>
      <w:marRight w:val="0"/>
      <w:marTop w:val="0"/>
      <w:marBottom w:val="0"/>
      <w:divBdr>
        <w:top w:val="none" w:sz="0" w:space="0" w:color="auto"/>
        <w:left w:val="none" w:sz="0" w:space="0" w:color="auto"/>
        <w:bottom w:val="none" w:sz="0" w:space="0" w:color="auto"/>
        <w:right w:val="none" w:sz="0" w:space="0" w:color="auto"/>
      </w:divBdr>
    </w:div>
    <w:div w:id="1199778270">
      <w:bodyDiv w:val="1"/>
      <w:marLeft w:val="0"/>
      <w:marRight w:val="0"/>
      <w:marTop w:val="0"/>
      <w:marBottom w:val="0"/>
      <w:divBdr>
        <w:top w:val="none" w:sz="0" w:space="0" w:color="auto"/>
        <w:left w:val="none" w:sz="0" w:space="0" w:color="auto"/>
        <w:bottom w:val="none" w:sz="0" w:space="0" w:color="auto"/>
        <w:right w:val="none" w:sz="0" w:space="0" w:color="auto"/>
      </w:divBdr>
    </w:div>
    <w:div w:id="1691642723">
      <w:bodyDiv w:val="1"/>
      <w:marLeft w:val="0"/>
      <w:marRight w:val="0"/>
      <w:marTop w:val="0"/>
      <w:marBottom w:val="0"/>
      <w:divBdr>
        <w:top w:val="none" w:sz="0" w:space="0" w:color="auto"/>
        <w:left w:val="none" w:sz="0" w:space="0" w:color="auto"/>
        <w:bottom w:val="none" w:sz="0" w:space="0" w:color="auto"/>
        <w:right w:val="none" w:sz="0" w:space="0" w:color="auto"/>
      </w:divBdr>
    </w:div>
    <w:div w:id="170551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tonio.amaro@oliveiratrust.com.b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struturacaofinanceira@a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ac.negrao@ae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cetip.com.br"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6C182-C627-4073-9745-9FABC433535F}">
  <ds:schemaRefs>
    <ds:schemaRef ds:uri="http://schemas.openxmlformats.org/officeDocument/2006/bibliography"/>
  </ds:schemaRefs>
</ds:datastoreItem>
</file>

<file path=customXml/itemProps2.xml><?xml version="1.0" encoding="utf-8"?>
<ds:datastoreItem xmlns:ds="http://schemas.openxmlformats.org/officeDocument/2006/customXml" ds:itemID="{C45DD0D6-A954-4ACC-B41C-5FA3DAC4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19337</Words>
  <Characters>104425</Characters>
  <Application>Microsoft Office Word</Application>
  <DocSecurity>0</DocSecurity>
  <Lines>870</Lines>
  <Paragraphs>247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123515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2017-04-04T20:13:00Z</dcterms:created>
  <dcterms:modified xsi:type="dcterms:W3CDTF">2017-04-04T20:13:00Z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GEAAO+/T9t20xwlqyI/AQUo8LTHy2aLrzou1FOSE9kYXhO+df/hJ9ao9+a9KTxr6gYYBNYbAjER34BOv
6d1Oa4ZZj3BEsqZnNXp/+yYqCBJDOBGJb/fy7KHpiqp3gIvTLz979YgCF2gvu+t2QTRyfhW5WQXr
/tKUOw26uECn13npGvxgIGuTxHZ1qJVb4yGBkwZvSVYZwXTIc0MqD16/WnTAeU18gGnz9QLfSpRg
bWdjgGsyzATTnyVMD</vt:lpwstr>
  </property>
  <property fmtid="{D5CDD505-2E9C-101B-9397-08002B2CF9AE}" pid="3" name="MAIL_MSG_ID2">
    <vt:lpwstr>v7nJZD8iN9o</vt:lpwstr>
  </property>
  <property fmtid="{D5CDD505-2E9C-101B-9397-08002B2CF9AE}" pid="4" name="RESPONSE_SENDER_NAME">
    <vt:lpwstr>sAAAUYtyAkeNWR649DkdP5GKCQaUAUGSXW1Ey7Lyuc8rT4M=</vt:lpwstr>
  </property>
  <property fmtid="{D5CDD505-2E9C-101B-9397-08002B2CF9AE}" pid="5" name="EMAIL_OWNER_ADDRESS">
    <vt:lpwstr>4AAA4Lxe55UJ0C+Ww3L6zADiXZFPVG/UFaLe4pbE6NtGIZYhyhA7mYu1iw==</vt:lpwstr>
  </property>
  <property fmtid="{D5CDD505-2E9C-101B-9397-08002B2CF9AE}" pid="6" name="iManageFooter">
    <vt:lpwstr>_x000d_SP - 19761294v1 </vt:lpwstr>
  </property>
</Properties>
</file>