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BB" w:rsidRPr="00EE4DB9" w:rsidRDefault="00C759A0" w:rsidP="000C0EB5">
      <w:pPr>
        <w:suppressAutoHyphens/>
        <w:spacing w:after="240" w:line="320" w:lineRule="exact"/>
        <w:jc w:val="both"/>
        <w:rPr>
          <w:caps/>
        </w:rPr>
      </w:pPr>
      <w:bookmarkStart w:id="0" w:name="_Ref426356774"/>
      <w:bookmarkStart w:id="1" w:name="_Toc427749867"/>
      <w:bookmarkStart w:id="2" w:name="_GoBack"/>
      <w:bookmarkEnd w:id="2"/>
      <w:r w:rsidRPr="000C0EB5">
        <w:rPr>
          <w:b/>
          <w:caps/>
        </w:rPr>
        <w:t>INSTRUMENTO PARTICULAR DE ESCRITURA DA 1ª (PRIMEIRA</w:t>
      </w:r>
      <w:r w:rsidR="007E4BA0">
        <w:rPr>
          <w:b/>
          <w:caps/>
        </w:rPr>
        <w:t>)</w:t>
      </w:r>
      <w:r w:rsidRPr="000C0EB5">
        <w:rPr>
          <w:b/>
          <w:caps/>
        </w:rPr>
        <w:t xml:space="preserve"> EMISSÃO DE DEBÊNTURES SIMPLES, NÃO CONVERSÍVEIS EM AÇÕES, </w:t>
      </w:r>
      <w:r w:rsidRPr="00432329">
        <w:rPr>
          <w:b/>
        </w:rPr>
        <w:t>DA ESPÉCIE QUIROGRAFÁRIA A SER CONVOLADA EM DEBÊNTURES DA ESPÉCIE COM GARANTIA REAL, COM GARANTIA ADICIONAL FIDEJUSSÓRIA</w:t>
      </w:r>
      <w:r w:rsidR="007E4BA0">
        <w:rPr>
          <w:b/>
        </w:rPr>
        <w:t>,</w:t>
      </w:r>
      <w:r w:rsidRPr="000C0EB5">
        <w:rPr>
          <w:b/>
          <w:caps/>
        </w:rPr>
        <w:t xml:space="preserve"> EM TRÊS </w:t>
      </w:r>
      <w:r w:rsidR="007E4BA0">
        <w:rPr>
          <w:b/>
          <w:caps/>
        </w:rPr>
        <w:t>SÉRIEs</w:t>
      </w:r>
      <w:r w:rsidRPr="000C0EB5">
        <w:rPr>
          <w:b/>
          <w:caps/>
        </w:rPr>
        <w:t xml:space="preserve">, </w:t>
      </w:r>
      <w:r w:rsidRPr="00432329">
        <w:rPr>
          <w:b/>
        </w:rPr>
        <w:t xml:space="preserve">PARA COLOCAÇÃO PRIVADA, </w:t>
      </w:r>
      <w:r w:rsidRPr="000C0EB5">
        <w:rPr>
          <w:b/>
          <w:caps/>
        </w:rPr>
        <w:t xml:space="preserve">DA </w:t>
      </w:r>
      <w:r w:rsidR="000D5499">
        <w:rPr>
          <w:b/>
          <w:caps/>
        </w:rPr>
        <w:t>GOIÁS SUL GERAÇÃO DE ENERGIA S.A.</w:t>
      </w:r>
    </w:p>
    <w:p w:rsidR="00C963BB" w:rsidRDefault="00C759A0">
      <w:pPr>
        <w:suppressAutoHyphens/>
        <w:spacing w:after="240" w:line="320" w:lineRule="exact"/>
        <w:jc w:val="both"/>
      </w:pPr>
      <w:r>
        <w:t>Pelo presente instrumento particular, na qualidade de emissora:</w:t>
      </w:r>
    </w:p>
    <w:p w:rsidR="00C963BB" w:rsidRDefault="00F656A6">
      <w:pPr>
        <w:spacing w:after="240" w:line="320" w:lineRule="exact"/>
        <w:jc w:val="both"/>
        <w:outlineLvl w:val="0"/>
      </w:pPr>
      <w:r w:rsidRPr="00BF4078">
        <w:rPr>
          <w:b/>
          <w:bCs/>
        </w:rPr>
        <w:t>GOIÁS SUL GERAÇÃO DE ENERGIA S.A.</w:t>
      </w:r>
      <w:r>
        <w:rPr>
          <w:bCs/>
        </w:rPr>
        <w:t>,</w:t>
      </w:r>
      <w:r w:rsidR="00C759A0">
        <w:rPr>
          <w:bCs/>
        </w:rPr>
        <w:t xml:space="preserve"> sociedade por ações sem registro de companhia aberta na Comissão de Valores Mobiliários (“</w:t>
      </w:r>
      <w:r w:rsidR="00C759A0">
        <w:rPr>
          <w:bCs/>
          <w:u w:val="single"/>
        </w:rPr>
        <w:t>CVM</w:t>
      </w:r>
      <w:r w:rsidR="00C759A0">
        <w:rPr>
          <w:bCs/>
        </w:rPr>
        <w:t xml:space="preserve">”), com sede na cidade de São Paulo, Estado de São Paulo, na </w:t>
      </w:r>
      <w:r>
        <w:rPr>
          <w:bCs/>
        </w:rPr>
        <w:t>Rua Leopoldo Couto Magalhães Júnior, nº 758, conjunto 31, Itaim Bibi, CEP 04542</w:t>
      </w:r>
      <w:r w:rsidR="00435376">
        <w:rPr>
          <w:bCs/>
        </w:rPr>
        <w:t>-000</w:t>
      </w:r>
      <w:r w:rsidR="007E4BA0">
        <w:rPr>
          <w:bCs/>
        </w:rPr>
        <w:t>,</w:t>
      </w:r>
      <w:r w:rsidR="00C759A0">
        <w:rPr>
          <w:bCs/>
        </w:rPr>
        <w:t xml:space="preserve"> inscrita no Cadastro Nacional da Pessoa Jurídica do Ministério da Fazenda (“</w:t>
      </w:r>
      <w:r w:rsidR="00C759A0">
        <w:rPr>
          <w:bCs/>
          <w:u w:val="single"/>
        </w:rPr>
        <w:t>CNPJ/MF</w:t>
      </w:r>
      <w:r w:rsidR="00C759A0">
        <w:rPr>
          <w:bCs/>
        </w:rPr>
        <w:t>”) sob o nº </w:t>
      </w:r>
      <w:r>
        <w:rPr>
          <w:bCs/>
        </w:rPr>
        <w:t>07.836.421/0001-04</w:t>
      </w:r>
      <w:r w:rsidR="00C759A0">
        <w:rPr>
          <w:bCs/>
        </w:rPr>
        <w:t xml:space="preserve"> e na Junta Comercial do Estado de São Paulo (“</w:t>
      </w:r>
      <w:r w:rsidR="00C759A0">
        <w:rPr>
          <w:bCs/>
          <w:u w:val="single"/>
        </w:rPr>
        <w:t>JUCESP</w:t>
      </w:r>
      <w:r w:rsidR="00C759A0">
        <w:rPr>
          <w:bCs/>
        </w:rPr>
        <w:t>") sob o NIRE nº </w:t>
      </w:r>
      <w:bookmarkStart w:id="3" w:name="_MailEndCompose"/>
      <w:r>
        <w:rPr>
          <w:bCs/>
        </w:rPr>
        <w:t>35</w:t>
      </w:r>
      <w:r w:rsidR="005C056C">
        <w:rPr>
          <w:bCs/>
        </w:rPr>
        <w:t>.</w:t>
      </w:r>
      <w:r>
        <w:rPr>
          <w:bCs/>
        </w:rPr>
        <w:t>300</w:t>
      </w:r>
      <w:r w:rsidR="005C056C">
        <w:rPr>
          <w:bCs/>
        </w:rPr>
        <w:t>.</w:t>
      </w:r>
      <w:r>
        <w:rPr>
          <w:bCs/>
        </w:rPr>
        <w:t>513</w:t>
      </w:r>
      <w:r w:rsidR="005C056C">
        <w:rPr>
          <w:bCs/>
        </w:rPr>
        <w:t>.</w:t>
      </w:r>
      <w:r>
        <w:rPr>
          <w:bCs/>
        </w:rPr>
        <w:t>282</w:t>
      </w:r>
      <w:r w:rsidR="007E4BA0">
        <w:rPr>
          <w:bCs/>
        </w:rPr>
        <w:t>,</w:t>
      </w:r>
      <w:bookmarkEnd w:id="3"/>
      <w:r w:rsidR="00C759A0">
        <w:rPr>
          <w:bCs/>
        </w:rPr>
        <w:t xml:space="preserve"> </w:t>
      </w:r>
      <w:r w:rsidR="00C759A0">
        <w:t>neste ato representada por seu(s) representante(s) legal(is) devidamente autorizado(s) e identificado(s) nas páginas de assinaturas do presente instrumento </w:t>
      </w:r>
      <w:r w:rsidR="00C759A0">
        <w:rPr>
          <w:bCs/>
        </w:rPr>
        <w:t>(“</w:t>
      </w:r>
      <w:r w:rsidR="00C759A0">
        <w:rPr>
          <w:bCs/>
          <w:u w:val="single"/>
        </w:rPr>
        <w:t>Emissora</w:t>
      </w:r>
      <w:r w:rsidR="00C759A0">
        <w:rPr>
          <w:bCs/>
        </w:rPr>
        <w:t>”</w:t>
      </w:r>
      <w:r w:rsidR="00246E8E">
        <w:rPr>
          <w:bCs/>
        </w:rPr>
        <w:t xml:space="preserve"> ou “</w:t>
      </w:r>
      <w:r w:rsidR="00246E8E" w:rsidRPr="00246E8E">
        <w:rPr>
          <w:bCs/>
          <w:u w:val="single"/>
        </w:rPr>
        <w:t>Goiás Sul</w:t>
      </w:r>
      <w:r w:rsidR="00246E8E">
        <w:rPr>
          <w:bCs/>
        </w:rPr>
        <w:t>”</w:t>
      </w:r>
      <w:r w:rsidR="00C759A0">
        <w:rPr>
          <w:bCs/>
        </w:rPr>
        <w:t>);</w:t>
      </w:r>
    </w:p>
    <w:p w:rsidR="00C963BB" w:rsidRDefault="00C759A0">
      <w:pPr>
        <w:suppressAutoHyphens/>
        <w:spacing w:after="240" w:line="320" w:lineRule="exact"/>
        <w:jc w:val="both"/>
      </w:pPr>
      <w:r>
        <w:t>na qualidade de agente fiduciário, representando a comunhão dos titulares das debêntures da 1ª (primeira</w:t>
      </w:r>
      <w:r w:rsidR="007E4BA0">
        <w:t>)</w:t>
      </w:r>
      <w:r>
        <w:t xml:space="preserve"> emissão de debêntures da Emissora (“</w:t>
      </w:r>
      <w:r>
        <w:rPr>
          <w:u w:val="single"/>
        </w:rPr>
        <w:t>Debenturistas</w:t>
      </w:r>
      <w:r>
        <w:t>” e, individualmente, “</w:t>
      </w:r>
      <w:r>
        <w:rPr>
          <w:u w:val="single"/>
        </w:rPr>
        <w:t>Debenturista</w:t>
      </w:r>
      <w:r>
        <w:t xml:space="preserve">”), </w:t>
      </w:r>
    </w:p>
    <w:p w:rsidR="00C963BB" w:rsidRDefault="00C759A0">
      <w:pPr>
        <w:spacing w:after="240" w:line="320" w:lineRule="exact"/>
        <w:jc w:val="both"/>
        <w:outlineLvl w:val="0"/>
        <w:rPr>
          <w:b/>
          <w:bCs/>
        </w:rPr>
      </w:pPr>
      <w:r>
        <w:rPr>
          <w:b/>
          <w:caps/>
        </w:rPr>
        <w:t xml:space="preserve">Oliveira Trust Distribuidora de Títulos e Valores Mobiliários S.A., </w:t>
      </w:r>
      <w:r>
        <w:rPr>
          <w:bCs/>
        </w:rPr>
        <w:t>sociedade por ações</w:t>
      </w:r>
      <w:r w:rsidR="008E20A0">
        <w:rPr>
          <w:bCs/>
        </w:rPr>
        <w:t>,</w:t>
      </w:r>
      <w:r>
        <w:rPr>
          <w:bCs/>
        </w:rPr>
        <w:t xml:space="preserve"> com </w:t>
      </w:r>
      <w:r>
        <w:t>domicílio na Cidade de São Paulo, Estado de São Paulo, na Rua Joaquim Floriano, 1.052, 13º andar, inscrita no CNPJ/MF sob o nº 36.113.876/0004-34</w:t>
      </w:r>
      <w:r>
        <w:rPr>
          <w:bCs/>
        </w:rPr>
        <w:t>,</w:t>
      </w:r>
      <w:r>
        <w:rPr>
          <w:caps/>
        </w:rPr>
        <w:t xml:space="preserve"> </w:t>
      </w:r>
      <w:r>
        <w:t xml:space="preserve">neste ato representada por seu(s) representante(s) legal(is) devidamente autorizado(s) e identificado(s) nas páginas de assinaturas do presente instrumento </w:t>
      </w:r>
      <w:r>
        <w:rPr>
          <w:bCs/>
        </w:rPr>
        <w:t>(“</w:t>
      </w:r>
      <w:r>
        <w:rPr>
          <w:bCs/>
          <w:u w:val="single"/>
        </w:rPr>
        <w:t>Agente Fiduciário</w:t>
      </w:r>
      <w:r>
        <w:rPr>
          <w:bCs/>
        </w:rPr>
        <w:t xml:space="preserve">”, </w:t>
      </w:r>
      <w:r>
        <w:t>sendo a Emissora e o Agente Fiduciário doravante designados, em conjunto, como “</w:t>
      </w:r>
      <w:r>
        <w:rPr>
          <w:u w:val="single"/>
        </w:rPr>
        <w:t>Partes</w:t>
      </w:r>
      <w:r>
        <w:t>” e, individual e indistintamente, como “</w:t>
      </w:r>
      <w:r>
        <w:rPr>
          <w:u w:val="single"/>
        </w:rPr>
        <w:t>Parte</w:t>
      </w:r>
      <w:r>
        <w:t>”)</w:t>
      </w:r>
      <w:r>
        <w:rPr>
          <w:bCs/>
        </w:rPr>
        <w:t>;</w:t>
      </w:r>
    </w:p>
    <w:p w:rsidR="00C963BB" w:rsidRDefault="00C759A0">
      <w:pPr>
        <w:suppressAutoHyphens/>
        <w:spacing w:after="240" w:line="320" w:lineRule="exact"/>
        <w:jc w:val="both"/>
        <w:rPr>
          <w:rFonts w:eastAsia="MS Mincho"/>
        </w:rPr>
      </w:pPr>
      <w:r>
        <w:rPr>
          <w:rFonts w:eastAsia="MS Mincho"/>
        </w:rPr>
        <w:t>e, na qualidade de intervenientes anuentes:</w:t>
      </w:r>
    </w:p>
    <w:p w:rsidR="00C963BB" w:rsidRDefault="00C759A0">
      <w:pPr>
        <w:spacing w:after="240" w:line="320" w:lineRule="exact"/>
        <w:jc w:val="both"/>
        <w:outlineLvl w:val="0"/>
        <w:rPr>
          <w:bCs/>
          <w:i/>
          <w:highlight w:val="yellow"/>
        </w:rPr>
      </w:pPr>
      <w:r>
        <w:rPr>
          <w:b/>
        </w:rPr>
        <w:t>CONTOUR GLOBAL DO BRASIL PARTICIPAÇÕES S.A.</w:t>
      </w:r>
      <w:r>
        <w:rPr>
          <w:bCs/>
        </w:rPr>
        <w:t xml:space="preserve">, sociedade por ações sem registro de companhia aberta na </w:t>
      </w:r>
      <w:r>
        <w:t>CVM</w:t>
      </w:r>
      <w:r>
        <w:rPr>
          <w:bCs/>
        </w:rPr>
        <w:t xml:space="preserve">, com sede na cidade de São Paulo, Estado de São Paulo, na Rua Leopoldo Couto de Magalhães Jr., nº 758, conjunto 31, parte A, inscrita no </w:t>
      </w:r>
      <w:r>
        <w:t>CNPJ/MF</w:t>
      </w:r>
      <w:r>
        <w:rPr>
          <w:bCs/>
        </w:rPr>
        <w:t xml:space="preserve"> sob o nº 07.802.794/0001-56 e na JUCESP sob o NIRE nº 35.300.510.771, </w:t>
      </w:r>
      <w:r>
        <w:t>neste ato representada por seu(s) representante(s) legal(is) devidamente autorizado(s) e identificado(s) nas páginas de assinaturas do presente instrumento </w:t>
      </w:r>
      <w:r>
        <w:rPr>
          <w:bCs/>
        </w:rPr>
        <w:t>(“</w:t>
      </w:r>
      <w:r>
        <w:rPr>
          <w:bCs/>
          <w:u w:val="single"/>
        </w:rPr>
        <w:t>Contour</w:t>
      </w:r>
      <w:r w:rsidR="007E4BA0">
        <w:rPr>
          <w:bCs/>
        </w:rPr>
        <w:t>”);</w:t>
      </w:r>
    </w:p>
    <w:p w:rsidR="00C963BB" w:rsidRDefault="00C759A0">
      <w:pPr>
        <w:spacing w:after="240" w:line="320" w:lineRule="exact"/>
        <w:jc w:val="both"/>
        <w:outlineLvl w:val="0"/>
        <w:rPr>
          <w:bCs/>
          <w:i/>
          <w:highlight w:val="yellow"/>
        </w:rPr>
      </w:pPr>
      <w:r>
        <w:rPr>
          <w:b/>
        </w:rPr>
        <w:lastRenderedPageBreak/>
        <w:t>FUNDO DE INVESTIMENTO EM DIREITOS CREDITÓRIOS CONTOUR GLOBAL BRASIL</w:t>
      </w:r>
      <w:r>
        <w:t>, fundo de investimento em direitos creditórios, constituído sob a forma de condomínio fechado, inscrito no CNPJ/MF sob o nº 29.505.630/0001-08 (“</w:t>
      </w:r>
      <w:r>
        <w:rPr>
          <w:u w:val="single"/>
        </w:rPr>
        <w:t>FIDC”,</w:t>
      </w:r>
      <w:r>
        <w:t xml:space="preserve"> sendo a Contour e o FIDC doravante designados, em conjunto, como “</w:t>
      </w:r>
      <w:r>
        <w:rPr>
          <w:u w:val="single"/>
        </w:rPr>
        <w:t>Intervenientes Anuentes</w:t>
      </w:r>
      <w:r>
        <w:t>” e, individual e indistintamente, como “</w:t>
      </w:r>
      <w:r>
        <w:rPr>
          <w:u w:val="single"/>
        </w:rPr>
        <w:t>Interveniente Anuente</w:t>
      </w:r>
      <w:r>
        <w:t>”), devidamente registrado perante a CVM nos termos da Instrução CVM n.º 356, de 17 de dezembro de 2001, conforme alterada (“</w:t>
      </w:r>
      <w:r>
        <w:rPr>
          <w:u w:val="single"/>
        </w:rPr>
        <w:t>Instrução CVM 356</w:t>
      </w:r>
      <w:r>
        <w:t xml:space="preserve">”), e regido pelo regulamento datado de </w:t>
      </w:r>
      <w:r w:rsidR="007402CC">
        <w:t>30</w:t>
      </w:r>
      <w:r>
        <w:t xml:space="preserve"> de </w:t>
      </w:r>
      <w:r w:rsidR="007402CC">
        <w:t>maio</w:t>
      </w:r>
      <w:r>
        <w:t xml:space="preserve"> de 2018, registrado sob n.º </w:t>
      </w:r>
      <w:r w:rsidR="007402CC">
        <w:t>1.105.704</w:t>
      </w:r>
      <w:r>
        <w:t xml:space="preserve"> perante o 2º Ofício de Registro de Títulos e Documentos da cidade do Rio de Janeiro, Estado do Rio de Janeiro, conforme alterado (“</w:t>
      </w:r>
      <w:r>
        <w:rPr>
          <w:u w:val="single"/>
        </w:rPr>
        <w:t>Regulamento</w:t>
      </w:r>
      <w:r>
        <w:t xml:space="preserve">”), neste ato devidamente representado por seu administrador, </w:t>
      </w:r>
      <w:r>
        <w:rPr>
          <w:b/>
        </w:rPr>
        <w:t>OLIVEIRA TRUST DISTRIBUIDORA DE TÍTULOS E VALORES MOBILIÁRIOS S.A.</w:t>
      </w:r>
      <w:r>
        <w:t>, instituição financeira com sede na cidade do Rio de Janeiro, no Estado do Rio de Janeiro, na Avenida das Américas, n.º 3.434, 2º andar, bloco 07, sala 201</w:t>
      </w:r>
      <w:r>
        <w:rPr>
          <w:rFonts w:eastAsia="MS Mincho"/>
        </w:rPr>
        <w:t xml:space="preserve">, inscrita no CNPJ/MF sob o nº </w:t>
      </w:r>
      <w:r>
        <w:t>36.113.876/0001-91, instituição financeira devidamente autorizada pela CVM para o exercício profissional de administração de carteira de valores mobiliários por meio do Ato Declaratório CVM n.º 6.696, de 21 de fevereiro de 2002</w:t>
      </w:r>
      <w:r>
        <w:rPr>
          <w:snapToGrid w:val="0"/>
        </w:rPr>
        <w:t>, neste ato representado na forma de seu estatuto</w:t>
      </w:r>
      <w:r>
        <w:t xml:space="preserve"> social;</w:t>
      </w:r>
    </w:p>
    <w:p w:rsidR="00C963BB" w:rsidRDefault="00C759A0">
      <w:pPr>
        <w:suppressAutoHyphens/>
        <w:spacing w:after="240" w:line="320" w:lineRule="exact"/>
        <w:jc w:val="both"/>
      </w:pPr>
      <w:r>
        <w:rPr>
          <w:bCs/>
        </w:rPr>
        <w:t xml:space="preserve">vêm por esta celebrar, na melhor forma de direito, o presente “Instrumento </w:t>
      </w:r>
      <w:r>
        <w:t>Particular</w:t>
      </w:r>
      <w:r>
        <w:rPr>
          <w:bCs/>
        </w:rPr>
        <w:t xml:space="preserve"> de Escritura da </w:t>
      </w:r>
      <w:r>
        <w:t>1ª (primeira</w:t>
      </w:r>
      <w:r w:rsidR="007E4BA0">
        <w:t>)</w:t>
      </w:r>
      <w:r>
        <w:t xml:space="preserve"> Emissão de Debêntures Simples, Não Conversíveis em Ações, </w:t>
      </w:r>
      <w:r>
        <w:rPr>
          <w:bCs/>
        </w:rPr>
        <w:t xml:space="preserve">da Espécie Quirografária </w:t>
      </w:r>
      <w:r>
        <w:t xml:space="preserve">a ser Convolada em Debêntures da Espécie </w:t>
      </w:r>
      <w:r>
        <w:rPr>
          <w:bCs/>
          <w:color w:val="000000"/>
        </w:rPr>
        <w:t>com Garantia Real, com Garantia Adicional Fidejussória</w:t>
      </w:r>
      <w:r w:rsidR="007E4BA0">
        <w:rPr>
          <w:bCs/>
          <w:color w:val="000000"/>
        </w:rPr>
        <w:t>,</w:t>
      </w:r>
      <w:r>
        <w:rPr>
          <w:bCs/>
          <w:color w:val="000000"/>
        </w:rPr>
        <w:t xml:space="preserve"> </w:t>
      </w:r>
      <w:r>
        <w:t>em Três Séries</w:t>
      </w:r>
      <w:r>
        <w:rPr>
          <w:bCs/>
        </w:rPr>
        <w:t xml:space="preserve">, para Colocação Privada, da </w:t>
      </w:r>
      <w:r w:rsidR="008E17C9">
        <w:rPr>
          <w:bCs/>
        </w:rPr>
        <w:t>Goiás Sul Geração de Energia S.A.</w:t>
      </w:r>
      <w:r w:rsidR="007E4BA0">
        <w:rPr>
          <w:bCs/>
        </w:rPr>
        <w:t>”</w:t>
      </w:r>
      <w:r>
        <w:rPr>
          <w:bCs/>
        </w:rPr>
        <w:t xml:space="preserve"> (“</w:t>
      </w:r>
      <w:r>
        <w:rPr>
          <w:bCs/>
          <w:u w:val="single"/>
        </w:rPr>
        <w:t>Escritura de Emissão</w:t>
      </w:r>
      <w:r>
        <w:rPr>
          <w:bCs/>
        </w:rPr>
        <w:t xml:space="preserve">”), o qual será regido pelas seguintes cláusulas e condições: </w:t>
      </w:r>
    </w:p>
    <w:p w:rsidR="00C963BB" w:rsidRDefault="00C759A0">
      <w:pPr>
        <w:pStyle w:val="Level1"/>
        <w:numPr>
          <w:ilvl w:val="0"/>
          <w:numId w:val="120"/>
        </w:numPr>
        <w:spacing w:before="0" w:after="240" w:line="320" w:lineRule="exact"/>
        <w:jc w:val="center"/>
        <w:rPr>
          <w:szCs w:val="22"/>
        </w:rPr>
      </w:pPr>
      <w:r>
        <w:rPr>
          <w:szCs w:val="22"/>
        </w:rPr>
        <w:t>CLÁUSULA PRIMEIRA - DAS AUTORIZAÇÕES</w:t>
      </w:r>
    </w:p>
    <w:p w:rsidR="00C963BB" w:rsidRDefault="00C759A0">
      <w:pPr>
        <w:pStyle w:val="Level2"/>
        <w:tabs>
          <w:tab w:val="clear" w:pos="680"/>
          <w:tab w:val="num" w:pos="1134"/>
        </w:tabs>
        <w:spacing w:after="240" w:line="320" w:lineRule="exact"/>
        <w:ind w:left="0" w:firstLine="0"/>
        <w:rPr>
          <w:szCs w:val="22"/>
        </w:rPr>
      </w:pPr>
      <w:bookmarkStart w:id="4" w:name="_Ref428131603"/>
      <w:r>
        <w:rPr>
          <w:szCs w:val="22"/>
        </w:rPr>
        <w:t>A presente Escritura de Emissão é celebrada de acordo com as aprovações descritas abaixo:</w:t>
      </w:r>
      <w:bookmarkEnd w:id="4"/>
    </w:p>
    <w:p w:rsidR="00C963BB" w:rsidRDefault="00C759A0">
      <w:pPr>
        <w:pStyle w:val="Level4"/>
        <w:spacing w:after="240" w:line="320" w:lineRule="exact"/>
        <w:ind w:left="1134" w:hanging="1134"/>
      </w:pPr>
      <w:r>
        <w:t xml:space="preserve">Assembleia Geral Extraordinária de acionistas da Emissora realizada em </w:t>
      </w:r>
      <w:r w:rsidR="00C27055">
        <w:t xml:space="preserve">01 </w:t>
      </w:r>
      <w:r>
        <w:t xml:space="preserve">de </w:t>
      </w:r>
      <w:r w:rsidR="00C27055">
        <w:t xml:space="preserve">agosto </w:t>
      </w:r>
      <w:r>
        <w:t>de 2018 (“</w:t>
      </w:r>
      <w:r>
        <w:rPr>
          <w:u w:val="single"/>
        </w:rPr>
        <w:t>AGE da Emissora</w:t>
      </w:r>
      <w:r>
        <w:t xml:space="preserve">”), na qual foram aprovadas, dentre outras matérias, </w:t>
      </w:r>
      <w:r>
        <w:rPr>
          <w:b/>
        </w:rPr>
        <w:t>(a)</w:t>
      </w:r>
      <w:r>
        <w:t> os termos e condições da 1ª (primeira</w:t>
      </w:r>
      <w:r w:rsidR="007E4BA0">
        <w:t>)</w:t>
      </w:r>
      <w:r>
        <w:t xml:space="preserve"> emissão de debêntures simples, não conversíveis em ações, da espécie quirografária, a ser convolada em debêntures da espécie com garantia real, com garantia adicional fidejussória, em três séries, da Emissora (“</w:t>
      </w:r>
      <w:r>
        <w:rPr>
          <w:u w:val="single"/>
        </w:rPr>
        <w:t>Debêntures</w:t>
      </w:r>
      <w:r>
        <w:t>” e “</w:t>
      </w:r>
      <w:r>
        <w:rPr>
          <w:u w:val="single"/>
        </w:rPr>
        <w:t>Emissão</w:t>
      </w:r>
      <w:r>
        <w:t>”, respectivamente), conforme o disposto no artigo 59 da Lei nº 6.404, de 15 de dezembro de 1976, conforme alterada (“</w:t>
      </w:r>
      <w:r>
        <w:rPr>
          <w:u w:val="single"/>
        </w:rPr>
        <w:t>Lei das Sociedades por Ações</w:t>
      </w:r>
      <w:r>
        <w:t xml:space="preserve">”); e </w:t>
      </w:r>
      <w:r>
        <w:rPr>
          <w:b/>
        </w:rPr>
        <w:t>(b)</w:t>
      </w:r>
      <w:r>
        <w:t xml:space="preserve"> a autorização aos diretores da Emissora para adotarem todas e quaisquer medidas e celebrar todos os documentos necessários à Emissão, podendo, inclusive, celebrar aditamentos a esta Escritura de Emissão e aos Contratos de Garantia (conforme definido abaixo); </w:t>
      </w:r>
    </w:p>
    <w:p w:rsidR="00C963BB" w:rsidRDefault="00C759A0">
      <w:pPr>
        <w:pStyle w:val="Level4"/>
        <w:spacing w:after="240" w:line="320" w:lineRule="exact"/>
        <w:ind w:left="1134" w:hanging="1134"/>
      </w:pPr>
      <w:r>
        <w:lastRenderedPageBreak/>
        <w:t xml:space="preserve">Assembleia Geral Extraordinária de acionistas da Contour realizada em </w:t>
      </w:r>
      <w:r w:rsidR="00C27055">
        <w:t xml:space="preserve">01 </w:t>
      </w:r>
      <w:r>
        <w:t xml:space="preserve">de </w:t>
      </w:r>
      <w:r w:rsidR="00C27055">
        <w:t xml:space="preserve">agosto </w:t>
      </w:r>
      <w:r>
        <w:t>de 2018 (“</w:t>
      </w:r>
      <w:r>
        <w:rPr>
          <w:u w:val="single"/>
        </w:rPr>
        <w:t>AGE da Contour</w:t>
      </w:r>
      <w:r>
        <w:t xml:space="preserve">”), na qual foram aprovadas, dentre outras matérias, </w:t>
      </w:r>
      <w:r>
        <w:rPr>
          <w:b/>
        </w:rPr>
        <w:t>(a)</w:t>
      </w:r>
      <w:r>
        <w:t xml:space="preserve"> a outorga da Fiança (conforme definido abaixo); </w:t>
      </w:r>
      <w:r>
        <w:rPr>
          <w:b/>
        </w:rPr>
        <w:t>(b)</w:t>
      </w:r>
      <w:r>
        <w:t xml:space="preserve"> a constituição das Garantias Reais (conforme definido abaixo) outorgadas pela Contour, nos termos dos Contratos de Garantia; e </w:t>
      </w:r>
      <w:r>
        <w:rPr>
          <w:b/>
        </w:rPr>
        <w:t>(c)</w:t>
      </w:r>
      <w:r>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aditamentos a esta Escritura de Emissão e aos Contratos de Garantia, conforme aplicável; </w:t>
      </w:r>
    </w:p>
    <w:p w:rsidR="00C963BB" w:rsidRDefault="00C759A0">
      <w:pPr>
        <w:pStyle w:val="Level4"/>
        <w:spacing w:after="240" w:line="320" w:lineRule="exact"/>
        <w:ind w:left="1134" w:hanging="1134"/>
      </w:pPr>
      <w:r>
        <w:t>deliberação da Kani Lux Holdings S.À.R.L (“</w:t>
      </w:r>
      <w:r>
        <w:rPr>
          <w:u w:val="single"/>
        </w:rPr>
        <w:t>Kani</w:t>
      </w:r>
      <w:r>
        <w:t>”), na qual foi aprovada</w:t>
      </w:r>
      <w:r w:rsidR="00613013">
        <w:t xml:space="preserve"> em 17 de julho de 2018</w:t>
      </w:r>
      <w:r>
        <w:t xml:space="preserve">, dentre outras matérias, a constituição da Alienação Fiduciária de Ações (conforme definido abaixo) da Contour, nos termos do Contrato de Alienação Fiduciária de Ações Kani (conforme definido abaixo). </w:t>
      </w:r>
    </w:p>
    <w:p w:rsidR="00C963BB" w:rsidRDefault="00C759A0">
      <w:pPr>
        <w:pStyle w:val="Level1"/>
        <w:numPr>
          <w:ilvl w:val="0"/>
          <w:numId w:val="120"/>
        </w:numPr>
        <w:spacing w:before="0" w:after="240" w:line="320" w:lineRule="exact"/>
        <w:jc w:val="center"/>
        <w:rPr>
          <w:szCs w:val="22"/>
        </w:rPr>
      </w:pPr>
      <w:r>
        <w:rPr>
          <w:szCs w:val="22"/>
        </w:rPr>
        <w:t xml:space="preserve">CLÁUSULA SEGUNDA - </w:t>
      </w:r>
      <w:bookmarkStart w:id="5" w:name="_Ref382084961"/>
      <w:r>
        <w:rPr>
          <w:szCs w:val="22"/>
        </w:rPr>
        <w:t>DOS REQUISITOS</w:t>
      </w:r>
      <w:bookmarkEnd w:id="5"/>
    </w:p>
    <w:p w:rsidR="00C963BB" w:rsidRDefault="00C759A0">
      <w:pPr>
        <w:pStyle w:val="Level2"/>
        <w:numPr>
          <w:ilvl w:val="0"/>
          <w:numId w:val="0"/>
        </w:numPr>
        <w:spacing w:after="240" w:line="320" w:lineRule="exact"/>
        <w:rPr>
          <w:szCs w:val="22"/>
        </w:rPr>
      </w:pPr>
      <w:bookmarkStart w:id="6" w:name="_Ref416107050"/>
      <w:r>
        <w:rPr>
          <w:szCs w:val="22"/>
        </w:rPr>
        <w:t>A Emissão foi realizada em observância aos seguintes requisitos:</w:t>
      </w:r>
      <w:bookmarkEnd w:id="6"/>
    </w:p>
    <w:p w:rsidR="00C963BB" w:rsidRDefault="00C759A0">
      <w:pPr>
        <w:pStyle w:val="Level2"/>
        <w:tabs>
          <w:tab w:val="clear" w:pos="680"/>
          <w:tab w:val="num" w:pos="1134"/>
        </w:tabs>
        <w:spacing w:after="240" w:line="320" w:lineRule="exact"/>
        <w:ind w:left="0" w:firstLine="0"/>
        <w:rPr>
          <w:szCs w:val="22"/>
        </w:rPr>
      </w:pPr>
      <w:bookmarkStart w:id="7" w:name="_Ref416107041"/>
      <w:r>
        <w:rPr>
          <w:b/>
          <w:szCs w:val="22"/>
        </w:rPr>
        <w:t>Ausência de Registro na CVM e na ANBIMA – Associação Brasileira das Entidades dos Mercados Financeiro e de Capitais (“</w:t>
      </w:r>
      <w:r>
        <w:rPr>
          <w:b/>
          <w:szCs w:val="22"/>
          <w:u w:val="single"/>
        </w:rPr>
        <w:t>ANBIMA</w:t>
      </w:r>
      <w:r>
        <w:rPr>
          <w:b/>
          <w:szCs w:val="22"/>
        </w:rPr>
        <w:t>”)</w:t>
      </w:r>
      <w:r>
        <w:rPr>
          <w:szCs w:val="22"/>
        </w:rPr>
        <w:t xml:space="preserve">. </w:t>
      </w:r>
      <w:r>
        <w:rPr>
          <w:rFonts w:eastAsia="MS Mincho"/>
          <w:szCs w:val="22"/>
        </w:rPr>
        <w:t xml:space="preserve">A presente Emissão não será objeto de registro de distribuição perante a CVM ou a </w:t>
      </w:r>
      <w:r>
        <w:rPr>
          <w:color w:val="000000"/>
          <w:szCs w:val="22"/>
        </w:rPr>
        <w:t>ANBIMA</w:t>
      </w:r>
      <w:r>
        <w:rPr>
          <w:rFonts w:eastAsia="MS Mincho"/>
          <w:szCs w:val="22"/>
        </w:rPr>
        <w:t xml:space="preserve">, uma vez que as Debêntures da presente Emissão serão objeto de colocação privada, sem </w:t>
      </w:r>
      <w:r>
        <w:rPr>
          <w:rFonts w:eastAsia="MS Mincho"/>
          <w:b/>
          <w:szCs w:val="22"/>
        </w:rPr>
        <w:t>(i)</w:t>
      </w:r>
      <w:r>
        <w:rPr>
          <w:rFonts w:eastAsia="MS Mincho"/>
          <w:szCs w:val="22"/>
        </w:rPr>
        <w:t xml:space="preserve"> a intermediação de instituições integrantes do sistema de distribuição de valores mobiliários; e/ou </w:t>
      </w:r>
      <w:r>
        <w:rPr>
          <w:rFonts w:eastAsia="MS Mincho"/>
          <w:b/>
          <w:szCs w:val="22"/>
        </w:rPr>
        <w:t xml:space="preserve">(ii) </w:t>
      </w:r>
      <w:r>
        <w:rPr>
          <w:rFonts w:eastAsia="MS Mincho"/>
          <w:szCs w:val="22"/>
        </w:rPr>
        <w:t>a realização de qualquer esforço de venda perante o público em geral, que possa caracterizar uma distribuição pública de valores mobiliários</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8" w:name="_Ref496558742"/>
      <w:bookmarkEnd w:id="7"/>
      <w:r>
        <w:rPr>
          <w:b/>
          <w:szCs w:val="22"/>
        </w:rPr>
        <w:t>Arquivamento e Publicação da Ata da AGE da Emissora</w:t>
      </w:r>
      <w:r>
        <w:rPr>
          <w:szCs w:val="22"/>
        </w:rPr>
        <w:t xml:space="preserve">. A AGE da Emissora será arquivada na JUCESP e publicada no </w:t>
      </w:r>
      <w:r>
        <w:rPr>
          <w:b/>
          <w:szCs w:val="22"/>
        </w:rPr>
        <w:t>(i)</w:t>
      </w:r>
      <w:r>
        <w:rPr>
          <w:szCs w:val="22"/>
        </w:rPr>
        <w:t xml:space="preserve"> Diário Oficial do Estado de São Paulo; e </w:t>
      </w:r>
      <w:r>
        <w:rPr>
          <w:b/>
          <w:szCs w:val="22"/>
        </w:rPr>
        <w:t>(ii)</w:t>
      </w:r>
      <w:r>
        <w:rPr>
          <w:szCs w:val="22"/>
        </w:rPr>
        <w:t xml:space="preserve"> jornal “Valor Econômico” de acordo com o artigo 62, inciso I, e artigo 289, ambos da Lei das Sociedades por Ações </w:t>
      </w:r>
      <w:r>
        <w:rPr>
          <w:rStyle w:val="DeltaViewInsertion"/>
          <w:color w:val="auto"/>
          <w:szCs w:val="22"/>
          <w:u w:val="none"/>
        </w:rPr>
        <w:t>(“</w:t>
      </w:r>
      <w:r>
        <w:rPr>
          <w:rStyle w:val="DeltaViewInsertion"/>
          <w:color w:val="auto"/>
          <w:szCs w:val="22"/>
          <w:u w:val="single"/>
        </w:rPr>
        <w:t>Jornais de Publicação</w:t>
      </w:r>
      <w:r>
        <w:rPr>
          <w:rStyle w:val="DeltaViewInsertion"/>
          <w:color w:val="auto"/>
          <w:szCs w:val="22"/>
          <w:u w:val="none"/>
        </w:rPr>
        <w:t>”)</w:t>
      </w:r>
      <w:r>
        <w:rPr>
          <w:szCs w:val="22"/>
        </w:rPr>
        <w:t>, sendo que estas mesmas medidas deverão ser tomadas nos eventuais atos societários da Emissora posteriores realizados em razão da Emissão</w:t>
      </w:r>
      <w:bookmarkEnd w:id="8"/>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Arquivamento e Publicação da Ata da AGE da Contour</w:t>
      </w:r>
      <w:r>
        <w:rPr>
          <w:szCs w:val="22"/>
        </w:rPr>
        <w:t>. A AGE da Contour será arquivada na JUCESP e publicada nos Jornais de Publicação</w:t>
      </w:r>
      <w:r w:rsidR="007E4BA0">
        <w:rPr>
          <w:szCs w:val="22"/>
        </w:rPr>
        <w:t>.</w:t>
      </w:r>
    </w:p>
    <w:p w:rsidR="00C963BB" w:rsidRDefault="00C759A0">
      <w:pPr>
        <w:pStyle w:val="Level2"/>
        <w:tabs>
          <w:tab w:val="clear" w:pos="680"/>
          <w:tab w:val="num" w:pos="1134"/>
        </w:tabs>
        <w:spacing w:after="240" w:line="320" w:lineRule="exact"/>
        <w:ind w:left="0" w:firstLine="0"/>
        <w:rPr>
          <w:szCs w:val="22"/>
        </w:rPr>
      </w:pPr>
      <w:bookmarkStart w:id="9" w:name="_Ref496656620"/>
      <w:bookmarkStart w:id="10" w:name="_Ref417651149"/>
      <w:r>
        <w:rPr>
          <w:b/>
          <w:szCs w:val="22"/>
        </w:rPr>
        <w:t>Arquivamento da Escritura de Emissão na JUCESP</w:t>
      </w:r>
      <w:r>
        <w:rPr>
          <w:szCs w:val="22"/>
        </w:rPr>
        <w:t xml:space="preserve">. Esta Escritura de Emissão e eventuais aditamentos serão protocolados para registro na JUCESP, em até 5 (cinco) Dias Úteis </w:t>
      </w:r>
      <w:r>
        <w:rPr>
          <w:szCs w:val="22"/>
        </w:rPr>
        <w:lastRenderedPageBreak/>
        <w:t>contados da data da respectiva assinatura, de acordo com o artigo 62, inciso II, parágrafo 3º da Lei das Sociedades por Ações,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bookmarkEnd w:id="9"/>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 xml:space="preserve">Registro da Escritura de Emissão. </w:t>
      </w:r>
      <w:r>
        <w:rPr>
          <w:szCs w:val="22"/>
        </w:rPr>
        <w:t>Nos termos do artigo 129 da Lei nº 6.015, de 31 de dezembro de 1973, conforme alterada (“</w:t>
      </w:r>
      <w:r>
        <w:rPr>
          <w:szCs w:val="22"/>
          <w:u w:val="single"/>
        </w:rPr>
        <w:t>Lei de Registros Públicos</w:t>
      </w:r>
      <w:r>
        <w:rPr>
          <w:szCs w:val="22"/>
        </w:rPr>
        <w:t xml:space="preserve">”), após a constituição da Fiança a ser formalizada por meio de aditamento a esta Escritura de Emissão, nos termos do item </w:t>
      </w:r>
      <w:r>
        <w:rPr>
          <w:szCs w:val="22"/>
        </w:rPr>
        <w:fldChar w:fldCharType="begin"/>
      </w:r>
      <w:r>
        <w:rPr>
          <w:szCs w:val="22"/>
        </w:rPr>
        <w:instrText xml:space="preserve"> REF _Ref508808243 \r \p \h  \* MERGEFORMAT </w:instrText>
      </w:r>
      <w:r>
        <w:rPr>
          <w:szCs w:val="22"/>
        </w:rPr>
      </w:r>
      <w:r>
        <w:rPr>
          <w:szCs w:val="22"/>
        </w:rPr>
        <w:fldChar w:fldCharType="separate"/>
      </w:r>
      <w:r w:rsidR="00281921">
        <w:rPr>
          <w:szCs w:val="22"/>
        </w:rPr>
        <w:t>6.22 abaixo</w:t>
      </w:r>
      <w:r>
        <w:rPr>
          <w:szCs w:val="22"/>
        </w:rPr>
        <w:fldChar w:fldCharType="end"/>
      </w:r>
      <w:r>
        <w:rPr>
          <w:szCs w:val="22"/>
        </w:rPr>
        <w:t>, esta Escritura de Emissão e quaisquer aditamentos serão protocolados para registro perante os Cartórios de Registro de Títulos e Documentos do domicílio das Partes, conforme indicadas no preâmbulo, em até 5 (cinco) Dias Úteis contados da data da respectiva assinatura (exceto pela Escritura de Emissão, a qual será protocolada para registro no prazo de 5 (cinco) Dias Úteis contados da data da assinatura do aditamento para constituição da Fiança),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C963BB" w:rsidRDefault="00C759A0">
      <w:pPr>
        <w:pStyle w:val="Level2"/>
        <w:tabs>
          <w:tab w:val="clear" w:pos="680"/>
          <w:tab w:val="num" w:pos="1134"/>
        </w:tabs>
        <w:spacing w:after="240" w:line="320" w:lineRule="exact"/>
        <w:ind w:left="0" w:firstLine="0"/>
        <w:rPr>
          <w:szCs w:val="22"/>
        </w:rPr>
      </w:pPr>
      <w:bookmarkStart w:id="11" w:name="_Ref417651163"/>
      <w:bookmarkEnd w:id="10"/>
      <w:r>
        <w:rPr>
          <w:b/>
          <w:szCs w:val="22"/>
        </w:rPr>
        <w:t>Constituição</w:t>
      </w:r>
      <w:r>
        <w:rPr>
          <w:b/>
          <w:bCs/>
          <w:szCs w:val="22"/>
        </w:rPr>
        <w:t xml:space="preserve"> das Garantias</w:t>
      </w:r>
      <w:r>
        <w:rPr>
          <w:bCs/>
          <w:szCs w:val="22"/>
        </w:rPr>
        <w:t xml:space="preserve">. Nos termos do item </w:t>
      </w:r>
      <w:r>
        <w:rPr>
          <w:szCs w:val="22"/>
        </w:rPr>
        <w:fldChar w:fldCharType="begin"/>
      </w:r>
      <w:r>
        <w:rPr>
          <w:szCs w:val="22"/>
        </w:rPr>
        <w:instrText xml:space="preserve"> REF _Ref382072770 \n \p \h  \* MERGEFORMAT </w:instrText>
      </w:r>
      <w:r>
        <w:rPr>
          <w:szCs w:val="22"/>
        </w:rPr>
      </w:r>
      <w:r>
        <w:rPr>
          <w:szCs w:val="22"/>
        </w:rPr>
        <w:fldChar w:fldCharType="separate"/>
      </w:r>
      <w:r w:rsidR="00281921" w:rsidRPr="00281921">
        <w:rPr>
          <w:bCs/>
          <w:szCs w:val="22"/>
        </w:rPr>
        <w:t>6.21 abaixo</w:t>
      </w:r>
      <w:r>
        <w:rPr>
          <w:szCs w:val="22"/>
        </w:rPr>
        <w:fldChar w:fldCharType="end"/>
      </w:r>
      <w:r>
        <w:rPr>
          <w:bCs/>
          <w:szCs w:val="22"/>
        </w:rPr>
        <w:t xml:space="preserve">, as Garantias Reais </w:t>
      </w:r>
      <w:r>
        <w:rPr>
          <w:szCs w:val="22"/>
        </w:rPr>
        <w:t xml:space="preserve">serão formalizadas por meio dos Contratos de Garantia (conforme definido no item </w:t>
      </w:r>
      <w:r>
        <w:rPr>
          <w:szCs w:val="22"/>
        </w:rPr>
        <w:fldChar w:fldCharType="begin"/>
      </w:r>
      <w:r>
        <w:rPr>
          <w:szCs w:val="22"/>
        </w:rPr>
        <w:instrText xml:space="preserve"> REF _Ref512688754 \n \p \h  \* MERGEFORMAT </w:instrText>
      </w:r>
      <w:r>
        <w:rPr>
          <w:szCs w:val="22"/>
        </w:rPr>
      </w:r>
      <w:r>
        <w:rPr>
          <w:szCs w:val="22"/>
        </w:rPr>
        <w:fldChar w:fldCharType="separate"/>
      </w:r>
      <w:r w:rsidR="00281921">
        <w:rPr>
          <w:szCs w:val="22"/>
        </w:rPr>
        <w:t>6.21.2 abaixo</w:t>
      </w:r>
      <w:r>
        <w:rPr>
          <w:szCs w:val="22"/>
        </w:rPr>
        <w:fldChar w:fldCharType="end"/>
      </w:r>
      <w:r>
        <w:rPr>
          <w:szCs w:val="22"/>
        </w:rPr>
        <w:t xml:space="preserve">) e serão constituídas nos termos dos respectivos instrumentos, nas condições e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281921">
        <w:rPr>
          <w:szCs w:val="22"/>
        </w:rPr>
        <w:t>6.21.2 abaixo</w:t>
      </w:r>
      <w:r>
        <w:rPr>
          <w:szCs w:val="22"/>
        </w:rPr>
        <w:fldChar w:fldCharType="end"/>
      </w:r>
      <w:r>
        <w:rPr>
          <w:szCs w:val="22"/>
        </w:rPr>
        <w:t xml:space="preserve"> e nos respectivos Contratos de Garantia. Após a celebração dos Contratos de Garantia, a Contour deverá entregar ao Agente Fiduciário 1 (uma) via original dos respectivos instrumentos, devidamente registrados, no prazo de até 5 (cinco) Dias Úteis contados da data do efetivo registro.</w:t>
      </w:r>
      <w:bookmarkEnd w:id="11"/>
    </w:p>
    <w:p w:rsidR="00C963BB" w:rsidRDefault="00C759A0">
      <w:pPr>
        <w:pStyle w:val="Level2"/>
        <w:tabs>
          <w:tab w:val="clear" w:pos="680"/>
          <w:tab w:val="num" w:pos="1134"/>
        </w:tabs>
        <w:spacing w:after="240" w:line="320" w:lineRule="exact"/>
        <w:ind w:left="0" w:firstLine="0"/>
        <w:rPr>
          <w:szCs w:val="22"/>
        </w:rPr>
      </w:pPr>
      <w:bookmarkStart w:id="12" w:name="_DV_M19"/>
      <w:bookmarkStart w:id="13" w:name="_Ref512689233"/>
      <w:bookmarkStart w:id="14" w:name="_Ref382067153"/>
      <w:bookmarkEnd w:id="12"/>
      <w:r>
        <w:rPr>
          <w:b/>
          <w:szCs w:val="22"/>
        </w:rPr>
        <w:t>Depósito para Distribuição, Negociação e Custódia Eletrônica</w:t>
      </w:r>
      <w:r>
        <w:rPr>
          <w:szCs w:val="22"/>
        </w:rPr>
        <w:t xml:space="preserve">. </w:t>
      </w:r>
      <w:bookmarkStart w:id="15" w:name="_Ref429508316"/>
      <w:r>
        <w:rPr>
          <w:rFonts w:eastAsia="Arial Unicode MS"/>
          <w:color w:val="000000"/>
          <w:szCs w:val="22"/>
        </w:rPr>
        <w:t xml:space="preserve">As Debêntures serão registradas </w:t>
      </w:r>
      <w:r>
        <w:rPr>
          <w:szCs w:val="22"/>
        </w:rPr>
        <w:t>em nome do Debenturista na B3 S.A. – Brasil, Bolsa e Balcão – Segmento Cetip UTVM ("</w:t>
      </w:r>
      <w:r>
        <w:rPr>
          <w:szCs w:val="22"/>
          <w:u w:val="single"/>
        </w:rPr>
        <w:t>B3</w:t>
      </w:r>
      <w:r>
        <w:rPr>
          <w:szCs w:val="22"/>
        </w:rPr>
        <w:t xml:space="preserve">"), sendo a liquidação financeira dos eventos realizada através da B3, considerando que as Debêntures estejam registradas em nome do Debenturista na data de cada evento de pagamento pela Emissora e nos termos desta Escritura de Emissão, observado o disposto no item </w:t>
      </w:r>
      <w:r>
        <w:rPr>
          <w:szCs w:val="22"/>
        </w:rPr>
        <w:fldChar w:fldCharType="begin"/>
      </w:r>
      <w:r>
        <w:rPr>
          <w:szCs w:val="22"/>
        </w:rPr>
        <w:instrText xml:space="preserve"> REF _Ref519774904 \r \p \h </w:instrText>
      </w:r>
      <w:r>
        <w:rPr>
          <w:szCs w:val="22"/>
        </w:rPr>
      </w:r>
      <w:r>
        <w:rPr>
          <w:szCs w:val="22"/>
        </w:rPr>
        <w:fldChar w:fldCharType="separate"/>
      </w:r>
      <w:r w:rsidR="00281921">
        <w:rPr>
          <w:szCs w:val="22"/>
        </w:rPr>
        <w:t>5.8 abaixo</w:t>
      </w:r>
      <w:r>
        <w:rPr>
          <w:szCs w:val="22"/>
        </w:rPr>
        <w:fldChar w:fldCharType="end"/>
      </w:r>
      <w:r>
        <w:rPr>
          <w:szCs w:val="22"/>
        </w:rPr>
        <w:t xml:space="preserve">. As Debêntures não serão depositadas para distribuição no mercado primário, negociação no mercado secundário ou qualquer forma de custódia eletrônica, seja em bolsa de valores ou mercado de balcão organizado. </w:t>
      </w:r>
    </w:p>
    <w:bookmarkEnd w:id="13"/>
    <w:bookmarkEnd w:id="15"/>
    <w:p w:rsidR="00C963BB" w:rsidRDefault="00C759A0">
      <w:pPr>
        <w:pStyle w:val="Level2"/>
        <w:tabs>
          <w:tab w:val="clear" w:pos="680"/>
          <w:tab w:val="num" w:pos="1134"/>
        </w:tabs>
        <w:spacing w:after="240" w:line="320" w:lineRule="exact"/>
        <w:ind w:left="0" w:firstLine="0"/>
        <w:rPr>
          <w:szCs w:val="22"/>
        </w:rPr>
      </w:pPr>
      <w:r>
        <w:rPr>
          <w:b/>
          <w:szCs w:val="22"/>
        </w:rPr>
        <w:lastRenderedPageBreak/>
        <w:t xml:space="preserve">Transferência das </w:t>
      </w:r>
      <w:r>
        <w:rPr>
          <w:b/>
          <w:bCs/>
          <w:szCs w:val="22"/>
        </w:rPr>
        <w:t>Debêntures</w:t>
      </w:r>
      <w:r>
        <w:rPr>
          <w:szCs w:val="22"/>
        </w:rPr>
        <w:t xml:space="preserve">. As Debêntures, bem como os direitos creditórios decorrentes das Debêntures, não poderão ser transferidas ou cedidas pelos Debenturistas, sem a prévia e expressa aprovação da Emissora, exceto nas seguintes hipóteses: </w:t>
      </w:r>
      <w:r>
        <w:rPr>
          <w:b/>
          <w:szCs w:val="22"/>
        </w:rPr>
        <w:t>(i)</w:t>
      </w:r>
      <w:r>
        <w:rPr>
          <w:szCs w:val="22"/>
        </w:rPr>
        <w:t xml:space="preserve"> caso o Debenturista titular das Debêntures seja o FIDC e os cotistas do FIDC deliberem pela sua liquidação antecipada; ou </w:t>
      </w:r>
      <w:r>
        <w:rPr>
          <w:b/>
          <w:szCs w:val="22"/>
        </w:rPr>
        <w:t>(ii)</w:t>
      </w:r>
      <w:r>
        <w:rPr>
          <w:szCs w:val="22"/>
        </w:rPr>
        <w:t> em caso de inadimplemento de qualquer obrigação, pecuniária ou não pecuniária assumida pela Emissora, pela Contour</w:t>
      </w:r>
      <w:r w:rsidR="007E4BA0">
        <w:rPr>
          <w:szCs w:val="22"/>
        </w:rPr>
        <w:t>,</w:t>
      </w:r>
      <w:r>
        <w:rPr>
          <w:szCs w:val="22"/>
        </w:rPr>
        <w:t xml:space="preserve"> ou pela Kani no âmbito das Debêntures, que não seja sanado nos respectivos prazos de cura ou em até 10 (dez) Dias Úteis, caso não haja prazo de cura específico ou de declaração de um Evento de Vencimento Antecipado.</w:t>
      </w:r>
    </w:p>
    <w:p w:rsidR="00C963BB" w:rsidRDefault="00C759A0">
      <w:pPr>
        <w:pStyle w:val="Level1"/>
        <w:numPr>
          <w:ilvl w:val="0"/>
          <w:numId w:val="120"/>
        </w:numPr>
        <w:spacing w:before="0" w:after="240" w:line="320" w:lineRule="exact"/>
        <w:jc w:val="center"/>
        <w:rPr>
          <w:szCs w:val="22"/>
        </w:rPr>
      </w:pPr>
      <w:bookmarkStart w:id="16" w:name="_DV_M22"/>
      <w:bookmarkEnd w:id="14"/>
      <w:bookmarkEnd w:id="16"/>
      <w:r>
        <w:rPr>
          <w:szCs w:val="22"/>
        </w:rPr>
        <w:t>CLÁUSULA TERCEIRA - OBJETO SOCIAL DA EMISSORA</w:t>
      </w:r>
    </w:p>
    <w:p w:rsidR="005D4593" w:rsidRDefault="007E4BA0">
      <w:pPr>
        <w:pStyle w:val="Level2"/>
        <w:tabs>
          <w:tab w:val="clear" w:pos="680"/>
          <w:tab w:val="num" w:pos="1134"/>
        </w:tabs>
        <w:spacing w:after="240" w:line="320" w:lineRule="exact"/>
        <w:ind w:left="0" w:firstLine="0"/>
        <w:rPr>
          <w:color w:val="000000"/>
          <w:szCs w:val="22"/>
        </w:rPr>
      </w:pPr>
      <w:r>
        <w:rPr>
          <w:color w:val="000000"/>
          <w:szCs w:val="22"/>
        </w:rPr>
        <w:t>De acordo com o artigo </w:t>
      </w:r>
      <w:r w:rsidR="00B31FB0">
        <w:rPr>
          <w:color w:val="000000"/>
          <w:szCs w:val="22"/>
        </w:rPr>
        <w:t>3</w:t>
      </w:r>
      <w:r>
        <w:rPr>
          <w:color w:val="000000"/>
          <w:szCs w:val="22"/>
        </w:rPr>
        <w:t xml:space="preserve">º de seu Estatuto Social, a Emissora tem como objeto social </w:t>
      </w:r>
      <w:r w:rsidR="00B31FB0" w:rsidRPr="00BF4078">
        <w:rPr>
          <w:b/>
          <w:color w:val="000000"/>
          <w:szCs w:val="22"/>
        </w:rPr>
        <w:t>(i)</w:t>
      </w:r>
      <w:r w:rsidR="00B31FB0">
        <w:rPr>
          <w:color w:val="000000"/>
          <w:szCs w:val="22"/>
        </w:rPr>
        <w:t xml:space="preserve"> estudar, planejar, projetar, construir, operar, manter e explorar os sistemas de produção e/ou geração de energia elétrica das pequenas centrais hidrelétricas de Goiandira e Nova Aurora, assim como sistemas de transmissão, transformação, distribuição, comercialização de interesse restrito das pequenas centrais hidrelétricas Goiandira e Nova Aurora, bem como serviços correlatos que lhe venham a ser concedidos ou autorizados por qualquer título de direito; </w:t>
      </w:r>
      <w:r w:rsidR="00B31FB0" w:rsidRPr="00BF4078">
        <w:rPr>
          <w:b/>
          <w:color w:val="000000"/>
          <w:szCs w:val="22"/>
        </w:rPr>
        <w:t>(ii)</w:t>
      </w:r>
      <w:r w:rsidR="00B31FB0">
        <w:rPr>
          <w:color w:val="000000"/>
          <w:szCs w:val="22"/>
        </w:rPr>
        <w:t xml:space="preserve"> prestação de serviços de operação e manutenção, assistência técnica, reparos e construção de sistemas relativos à atividade relacionada à produção e/ou geração, distribuição e transmissão de energia elétrica e desenvolvimento de sistemas de energia elétrica e similares de interesse restrito das pequenas centrais hidrelétricas Goiandira e Nova Aurora; </w:t>
      </w:r>
      <w:r w:rsidR="00B31FB0" w:rsidRPr="00BF4078">
        <w:rPr>
          <w:b/>
          <w:color w:val="000000"/>
          <w:szCs w:val="22"/>
        </w:rPr>
        <w:t>(iii)</w:t>
      </w:r>
      <w:r w:rsidR="00B31FB0">
        <w:rPr>
          <w:color w:val="000000"/>
          <w:szCs w:val="22"/>
        </w:rPr>
        <w:t xml:space="preserve"> elaborar projetos técnicos na área de energia e correlatos de interesse restrito das pequenas centrais hidrelétricas Goiandira e Nova Aurora; </w:t>
      </w:r>
      <w:r w:rsidR="00B31FB0" w:rsidRPr="00BF4078">
        <w:rPr>
          <w:b/>
          <w:color w:val="000000"/>
          <w:szCs w:val="22"/>
        </w:rPr>
        <w:t>(iv)</w:t>
      </w:r>
      <w:r w:rsidR="00B31FB0">
        <w:rPr>
          <w:color w:val="000000"/>
          <w:szCs w:val="22"/>
        </w:rPr>
        <w:t xml:space="preserve"> organizar subsidiárias, incorporar ou participar de outras empresas e </w:t>
      </w:r>
      <w:r w:rsidR="00B31FB0" w:rsidRPr="00BF4078">
        <w:rPr>
          <w:b/>
          <w:color w:val="000000"/>
          <w:szCs w:val="22"/>
        </w:rPr>
        <w:t>(v)</w:t>
      </w:r>
      <w:r w:rsidR="00B31FB0">
        <w:rPr>
          <w:color w:val="000000"/>
          <w:szCs w:val="22"/>
        </w:rPr>
        <w:t xml:space="preserve"> exercer outras atividades afins ou correlatas ao seu objeto social</w:t>
      </w:r>
      <w:r>
        <w:rPr>
          <w:color w:val="000000"/>
          <w:szCs w:val="22"/>
        </w:rPr>
        <w:t>.</w:t>
      </w:r>
    </w:p>
    <w:p w:rsidR="00C963BB" w:rsidRDefault="00C759A0">
      <w:pPr>
        <w:pStyle w:val="Level1"/>
        <w:numPr>
          <w:ilvl w:val="0"/>
          <w:numId w:val="120"/>
        </w:numPr>
        <w:spacing w:before="0" w:after="240" w:line="320" w:lineRule="exact"/>
        <w:jc w:val="center"/>
        <w:rPr>
          <w:szCs w:val="22"/>
        </w:rPr>
      </w:pPr>
      <w:bookmarkStart w:id="17" w:name="_Ref382075400"/>
      <w:r>
        <w:rPr>
          <w:szCs w:val="22"/>
        </w:rPr>
        <w:t>CLÁUSULA QUARTA - DESTINAÇÃO DE RECURSOS</w:t>
      </w:r>
      <w:bookmarkEnd w:id="17"/>
    </w:p>
    <w:p w:rsidR="00C963BB" w:rsidRDefault="00C759A0">
      <w:pPr>
        <w:pStyle w:val="Level2"/>
        <w:tabs>
          <w:tab w:val="clear" w:pos="680"/>
          <w:tab w:val="num" w:pos="1134"/>
        </w:tabs>
        <w:spacing w:after="240" w:line="320" w:lineRule="exact"/>
        <w:ind w:left="0" w:firstLine="0"/>
        <w:rPr>
          <w:color w:val="000000"/>
          <w:szCs w:val="22"/>
        </w:rPr>
      </w:pPr>
      <w:bookmarkStart w:id="18" w:name="_Ref512686047"/>
      <w:bookmarkStart w:id="19" w:name="_Ref382145219"/>
      <w:bookmarkStart w:id="20" w:name="_Ref508809155"/>
      <w:r>
        <w:rPr>
          <w:kern w:val="0"/>
          <w:szCs w:val="22"/>
        </w:rPr>
        <w:t xml:space="preserve">Os </w:t>
      </w:r>
      <w:r>
        <w:rPr>
          <w:color w:val="000000"/>
          <w:szCs w:val="22"/>
        </w:rPr>
        <w:t>recursos</w:t>
      </w:r>
      <w:r>
        <w:rPr>
          <w:kern w:val="0"/>
          <w:szCs w:val="22"/>
        </w:rPr>
        <w:t xml:space="preserve"> líquidos obtidos pela Emissora com a Emissão serão destinados à distribuição de recursos para os acionistas da Emissora mediante redução de capital</w:t>
      </w:r>
      <w:r w:rsidR="007E4BA0">
        <w:rPr>
          <w:kern w:val="0"/>
          <w:szCs w:val="22"/>
        </w:rPr>
        <w:t>,</w:t>
      </w:r>
      <w:r>
        <w:rPr>
          <w:kern w:val="0"/>
          <w:szCs w:val="22"/>
        </w:rPr>
        <w:t xml:space="preserve"> deliberada em Assembleia Geral de Acionistas da Emissora em 10 de abril de 2018</w:t>
      </w:r>
      <w:r w:rsidR="004A655A">
        <w:rPr>
          <w:kern w:val="0"/>
          <w:szCs w:val="22"/>
        </w:rPr>
        <w:t>, mediante resgate de ações, a ser formalizada em Assembleia Geral de Acionistas da Emissora e/ou por meio de qualquer outra forma de distribuição de recursos a seus acionistas permitida por lei</w:t>
      </w:r>
      <w:r w:rsidR="007E4BA0">
        <w:rPr>
          <w:color w:val="000000"/>
          <w:szCs w:val="22"/>
        </w:rPr>
        <w:t>.</w:t>
      </w:r>
      <w:bookmarkEnd w:id="18"/>
      <w:r>
        <w:rPr>
          <w:color w:val="000000"/>
          <w:szCs w:val="22"/>
        </w:rPr>
        <w:t xml:space="preserve"> </w:t>
      </w:r>
    </w:p>
    <w:p w:rsidR="00C963BB" w:rsidRDefault="00C759A0">
      <w:pPr>
        <w:pStyle w:val="Level3"/>
        <w:numPr>
          <w:ilvl w:val="2"/>
          <w:numId w:val="52"/>
        </w:numPr>
        <w:tabs>
          <w:tab w:val="num" w:pos="1134"/>
        </w:tabs>
        <w:spacing w:after="240" w:line="320" w:lineRule="exact"/>
        <w:ind w:left="0" w:firstLine="0"/>
        <w:rPr>
          <w:color w:val="000000"/>
          <w:szCs w:val="22"/>
        </w:rPr>
      </w:pPr>
      <w:bookmarkStart w:id="21" w:name="_Ref517730059"/>
      <w:bookmarkStart w:id="22" w:name="_Ref513732122"/>
      <w:r>
        <w:rPr>
          <w:color w:val="000000"/>
          <w:szCs w:val="22"/>
        </w:rPr>
        <w:t xml:space="preserve">Os recursos transferidos à Contour nos termos do item </w:t>
      </w:r>
      <w:r>
        <w:rPr>
          <w:color w:val="000000"/>
          <w:szCs w:val="22"/>
        </w:rPr>
        <w:fldChar w:fldCharType="begin"/>
      </w:r>
      <w:r>
        <w:rPr>
          <w:color w:val="000000"/>
          <w:szCs w:val="22"/>
        </w:rPr>
        <w:instrText xml:space="preserve"> REF _Ref512686047 \n \p \h  \* MERGEFORMAT </w:instrText>
      </w:r>
      <w:r>
        <w:rPr>
          <w:color w:val="000000"/>
          <w:szCs w:val="22"/>
        </w:rPr>
      </w:r>
      <w:r>
        <w:rPr>
          <w:color w:val="000000"/>
          <w:szCs w:val="22"/>
        </w:rPr>
        <w:fldChar w:fldCharType="separate"/>
      </w:r>
      <w:r w:rsidR="00281921">
        <w:rPr>
          <w:color w:val="000000"/>
          <w:szCs w:val="22"/>
        </w:rPr>
        <w:t>4.1 acima</w:t>
      </w:r>
      <w:r>
        <w:rPr>
          <w:color w:val="000000"/>
          <w:szCs w:val="22"/>
        </w:rPr>
        <w:fldChar w:fldCharType="end"/>
      </w:r>
      <w:r>
        <w:rPr>
          <w:color w:val="000000"/>
          <w:szCs w:val="22"/>
        </w:rPr>
        <w:t xml:space="preserve"> deverão ser obrigatoriamente utilizados, conforme a seguinte ordem de prioridade: </w:t>
      </w:r>
      <w:r>
        <w:rPr>
          <w:b/>
          <w:color w:val="000000"/>
          <w:szCs w:val="22"/>
        </w:rPr>
        <w:t>(i) </w:t>
      </w:r>
      <w:r>
        <w:rPr>
          <w:color w:val="000000"/>
          <w:szCs w:val="22"/>
        </w:rPr>
        <w:t xml:space="preserve">resgate antecipado total das </w:t>
      </w:r>
      <w:r>
        <w:rPr>
          <w:szCs w:val="22"/>
        </w:rPr>
        <w:t>debêntures simples, não conversíveis em ações, da 1ª (primeira) emissão da Contour (“</w:t>
      </w:r>
      <w:r>
        <w:rPr>
          <w:szCs w:val="22"/>
          <w:u w:val="single"/>
        </w:rPr>
        <w:t>Debêntures Bridge</w:t>
      </w:r>
      <w:r>
        <w:rPr>
          <w:szCs w:val="22"/>
        </w:rPr>
        <w:t>”)</w:t>
      </w:r>
      <w:r>
        <w:rPr>
          <w:color w:val="000000"/>
          <w:szCs w:val="22"/>
        </w:rPr>
        <w:t xml:space="preserve">; </w:t>
      </w:r>
      <w:r>
        <w:rPr>
          <w:b/>
          <w:color w:val="000000"/>
          <w:szCs w:val="22"/>
        </w:rPr>
        <w:t>(ii) </w:t>
      </w:r>
      <w:r>
        <w:rPr>
          <w:color w:val="000000"/>
          <w:szCs w:val="22"/>
        </w:rPr>
        <w:t xml:space="preserve">pagamento de comissões devidas pela Contour aos coordenadores da oferta pública das cotas seniores da 1ª emissão do FIDC; </w:t>
      </w:r>
      <w:r>
        <w:rPr>
          <w:b/>
          <w:color w:val="000000"/>
          <w:szCs w:val="22"/>
        </w:rPr>
        <w:t>(iii)</w:t>
      </w:r>
      <w:r>
        <w:rPr>
          <w:color w:val="000000"/>
          <w:szCs w:val="22"/>
        </w:rPr>
        <w:t xml:space="preserve"> constituição de Reserva do Serviço </w:t>
      </w:r>
      <w:r>
        <w:rPr>
          <w:color w:val="000000"/>
          <w:szCs w:val="22"/>
        </w:rPr>
        <w:lastRenderedPageBreak/>
        <w:t xml:space="preserve">da Dívida (conforme definido no Contrato de Alienação Fiduciária de Ações SPEs); </w:t>
      </w:r>
      <w:r w:rsidR="00743774">
        <w:rPr>
          <w:b/>
          <w:szCs w:val="22"/>
        </w:rPr>
        <w:t>(iv) </w:t>
      </w:r>
      <w:r w:rsidR="00743774">
        <w:rPr>
          <w:szCs w:val="22"/>
        </w:rPr>
        <w:t>composição do Saldo Mínimo da Conta Vinculada GSF (conforme definido no Contrato de Alienação Fiduciária de Ações SPEs)</w:t>
      </w:r>
      <w:r w:rsidR="00743774">
        <w:rPr>
          <w:kern w:val="0"/>
          <w:szCs w:val="22"/>
        </w:rPr>
        <w:t xml:space="preserve">; </w:t>
      </w:r>
      <w:r>
        <w:rPr>
          <w:color w:val="000000"/>
          <w:szCs w:val="22"/>
        </w:rPr>
        <w:t xml:space="preserve">podendo o valor remanescente ser direcionado para </w:t>
      </w:r>
      <w:r>
        <w:rPr>
          <w:b/>
          <w:color w:val="000000"/>
          <w:szCs w:val="22"/>
        </w:rPr>
        <w:t>(v)</w:t>
      </w:r>
      <w:r>
        <w:rPr>
          <w:color w:val="000000"/>
          <w:szCs w:val="22"/>
        </w:rPr>
        <w:t> </w:t>
      </w:r>
      <w:r>
        <w:rPr>
          <w:szCs w:val="22"/>
        </w:rPr>
        <w:t xml:space="preserve">reforço de capital de giro da Contour, incluindo, mas não se limitando a, investimentos em aquisição e manutenção de equipamentos; </w:t>
      </w:r>
      <w:r w:rsidR="00743774" w:rsidRPr="00C20C16">
        <w:rPr>
          <w:kern w:val="0"/>
        </w:rPr>
        <w:t xml:space="preserve">e </w:t>
      </w:r>
      <w:r w:rsidR="00743774" w:rsidRPr="00C20C16">
        <w:rPr>
          <w:b/>
          <w:kern w:val="0"/>
        </w:rPr>
        <w:t>(</w:t>
      </w:r>
      <w:r w:rsidR="00743774">
        <w:rPr>
          <w:b/>
          <w:kern w:val="0"/>
          <w:szCs w:val="22"/>
        </w:rPr>
        <w:t>vi)</w:t>
      </w:r>
      <w:r w:rsidR="00743774">
        <w:rPr>
          <w:szCs w:val="22"/>
        </w:rPr>
        <w:t xml:space="preserve"> distribuição de recursos às acionistas da Contour por </w:t>
      </w:r>
      <w:r w:rsidR="00743774">
        <w:rPr>
          <w:kern w:val="0"/>
          <w:szCs w:val="22"/>
        </w:rPr>
        <w:t>qualquer forma permitida por lei</w:t>
      </w:r>
      <w:r>
        <w:rPr>
          <w:szCs w:val="22"/>
        </w:rPr>
        <w:t>.</w:t>
      </w:r>
      <w:bookmarkEnd w:id="21"/>
      <w:r>
        <w:rPr>
          <w:szCs w:val="22"/>
        </w:rPr>
        <w:t xml:space="preserve"> </w:t>
      </w:r>
      <w:bookmarkEnd w:id="22"/>
    </w:p>
    <w:p w:rsidR="00C963BB" w:rsidRDefault="00C759A0">
      <w:pPr>
        <w:pStyle w:val="Level3"/>
        <w:numPr>
          <w:ilvl w:val="2"/>
          <w:numId w:val="52"/>
        </w:numPr>
        <w:tabs>
          <w:tab w:val="num" w:pos="1134"/>
        </w:tabs>
        <w:spacing w:after="240" w:line="320" w:lineRule="exact"/>
        <w:ind w:left="0" w:firstLine="0"/>
        <w:rPr>
          <w:b/>
          <w:bCs/>
          <w:szCs w:val="22"/>
        </w:rPr>
      </w:pPr>
      <w:r>
        <w:rPr>
          <w:szCs w:val="22"/>
        </w:rPr>
        <w:t xml:space="preserve">A Emissora e a Contour deverão comprovar ao Agente Fiduciário a destinação de recursos, conforme prevista nesta Cláusula Quarta, mediante o envio dos seguintes documentos: </w:t>
      </w:r>
      <w:r>
        <w:rPr>
          <w:b/>
          <w:szCs w:val="22"/>
        </w:rPr>
        <w:t>(i)</w:t>
      </w:r>
      <w:r>
        <w:rPr>
          <w:szCs w:val="22"/>
        </w:rPr>
        <w:t xml:space="preserve"> os atos societários da Emissora que efetivaram a distribuição de recursos aos acionistas devidamente assinados, acompanhados dos respectivos protocolos perante a JUCESP, em até 5 (cinco) Dias Úteis contados da Data de Integralização, sendo certo que referidos atos societários devidamente registrados perante a JUCESP deverão ser enviados ao Agente Fiduciário em até 120 (cento e vinte) dias contados da Data de Integralização, prazo este que será </w:t>
      </w:r>
      <w:r>
        <w:rPr>
          <w:rFonts w:eastAsia="SimSun"/>
          <w:szCs w:val="22"/>
        </w:rPr>
        <w:t>automaticamente prorrogável por igual período,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w:t>
      </w:r>
      <w:r>
        <w:rPr>
          <w:szCs w:val="22"/>
        </w:rPr>
        <w:t xml:space="preserve">; </w:t>
      </w:r>
      <w:r>
        <w:rPr>
          <w:b/>
          <w:szCs w:val="22"/>
        </w:rPr>
        <w:t>(ii)</w:t>
      </w:r>
      <w:r>
        <w:rPr>
          <w:szCs w:val="22"/>
        </w:rPr>
        <w:t> cópia do termo de liberação das garantias das Debêntures Brigde, assinado pelo agente fiduciário de referida emissão em virtude da liquidação integral das Debêntures Bridge (“</w:t>
      </w:r>
      <w:r>
        <w:rPr>
          <w:szCs w:val="22"/>
          <w:u w:val="single"/>
        </w:rPr>
        <w:t>Termo de Liberação</w:t>
      </w:r>
      <w:r>
        <w:rPr>
          <w:szCs w:val="22"/>
        </w:rPr>
        <w:t xml:space="preserve">”), em até 2 (dois) Dias Úteis contados da data em que a Contour receber referido termo de liberação do referido agente fiduciário; </w:t>
      </w:r>
      <w:r>
        <w:rPr>
          <w:b/>
          <w:szCs w:val="22"/>
        </w:rPr>
        <w:t>(iii)</w:t>
      </w:r>
      <w:r>
        <w:rPr>
          <w:szCs w:val="22"/>
        </w:rPr>
        <w:t xml:space="preserve"> extrato da Conta Reserva, comprovando a constituição da Reserva do Serviço da Dívida </w:t>
      </w:r>
      <w:r>
        <w:rPr>
          <w:color w:val="000000"/>
          <w:szCs w:val="22"/>
        </w:rPr>
        <w:t xml:space="preserve">(conforme definido no Contrato de Alienação Fiduciária de Ações SPEs), </w:t>
      </w:r>
      <w:r>
        <w:rPr>
          <w:szCs w:val="22"/>
        </w:rPr>
        <w:t xml:space="preserve">em até 3 (três) Dias Úteis contados da data de celebração dos Contratos de Garantia; </w:t>
      </w:r>
      <w:r w:rsidR="000A383B" w:rsidRPr="00D02C2A">
        <w:rPr>
          <w:b/>
          <w:szCs w:val="22"/>
        </w:rPr>
        <w:t>(i</w:t>
      </w:r>
      <w:r w:rsidR="000A383B">
        <w:rPr>
          <w:b/>
          <w:szCs w:val="22"/>
        </w:rPr>
        <w:t>v</w:t>
      </w:r>
      <w:r w:rsidR="000A383B" w:rsidRPr="00D02C2A">
        <w:rPr>
          <w:b/>
          <w:szCs w:val="22"/>
        </w:rPr>
        <w:t>)</w:t>
      </w:r>
      <w:r w:rsidR="000A383B" w:rsidRPr="00D02C2A">
        <w:rPr>
          <w:szCs w:val="22"/>
        </w:rPr>
        <w:t xml:space="preserve"> extrato da Conta </w:t>
      </w:r>
      <w:r w:rsidR="000A383B">
        <w:rPr>
          <w:szCs w:val="22"/>
        </w:rPr>
        <w:t>Vinculada GSF</w:t>
      </w:r>
      <w:r w:rsidR="000A383B" w:rsidRPr="00D02C2A">
        <w:rPr>
          <w:szCs w:val="22"/>
        </w:rPr>
        <w:t xml:space="preserve">, comprovando </w:t>
      </w:r>
      <w:r w:rsidR="000A383B">
        <w:rPr>
          <w:szCs w:val="22"/>
        </w:rPr>
        <w:t xml:space="preserve">o depósito do Saldo Mínimo da Conta Vinculada GSF </w:t>
      </w:r>
      <w:r w:rsidR="000A383B" w:rsidRPr="00D02C2A">
        <w:rPr>
          <w:color w:val="000000"/>
          <w:szCs w:val="22"/>
        </w:rPr>
        <w:t xml:space="preserve">(conforme definido no Contrato de Alienação Fiduciária de Ações SPEs), </w:t>
      </w:r>
      <w:r w:rsidR="000A383B" w:rsidRPr="00D02C2A">
        <w:rPr>
          <w:szCs w:val="22"/>
        </w:rPr>
        <w:t xml:space="preserve">em até </w:t>
      </w:r>
      <w:r w:rsidR="000A383B">
        <w:rPr>
          <w:szCs w:val="22"/>
        </w:rPr>
        <w:t>10</w:t>
      </w:r>
      <w:r w:rsidR="000A383B" w:rsidRPr="00D02C2A">
        <w:rPr>
          <w:szCs w:val="22"/>
        </w:rPr>
        <w:t xml:space="preserve"> (</w:t>
      </w:r>
      <w:r w:rsidR="000A383B">
        <w:rPr>
          <w:szCs w:val="22"/>
        </w:rPr>
        <w:t>dez</w:t>
      </w:r>
      <w:r w:rsidR="000A383B" w:rsidRPr="00D02C2A">
        <w:rPr>
          <w:szCs w:val="22"/>
        </w:rPr>
        <w:t>) Dias Úteis contados da data de celebração dos Contratos de Garantia;</w:t>
      </w:r>
      <w:r w:rsidR="000A383B">
        <w:rPr>
          <w:szCs w:val="22"/>
        </w:rPr>
        <w:t xml:space="preserve"> </w:t>
      </w:r>
      <w:r w:rsidR="000A383B" w:rsidRPr="00D02C2A">
        <w:rPr>
          <w:szCs w:val="22"/>
        </w:rPr>
        <w:t xml:space="preserve">e </w:t>
      </w:r>
      <w:r w:rsidR="000A383B" w:rsidRPr="00D02C2A">
        <w:rPr>
          <w:b/>
          <w:szCs w:val="22"/>
        </w:rPr>
        <w:t>(v)</w:t>
      </w:r>
      <w:r w:rsidR="000A383B" w:rsidRPr="00D02C2A">
        <w:rPr>
          <w:szCs w:val="22"/>
        </w:rPr>
        <w:t xml:space="preserve"> </w:t>
      </w:r>
      <w:r>
        <w:rPr>
          <w:szCs w:val="22"/>
        </w:rPr>
        <w:t>recibo encaminhado pelos</w:t>
      </w:r>
      <w:r>
        <w:rPr>
          <w:color w:val="000000"/>
          <w:szCs w:val="22"/>
        </w:rPr>
        <w:t xml:space="preserve"> coordenadores da oferta pública das cotas seniores da 1ª emissão do FIDC,</w:t>
      </w:r>
      <w:r>
        <w:rPr>
          <w:szCs w:val="22"/>
        </w:rPr>
        <w:t xml:space="preserve"> em até 5 (cinco) Dias Úteis contados da data de emissão de referido recibo.</w:t>
      </w:r>
    </w:p>
    <w:bookmarkEnd w:id="19"/>
    <w:bookmarkEnd w:id="20"/>
    <w:p w:rsidR="00C963BB" w:rsidRDefault="00C759A0">
      <w:pPr>
        <w:pStyle w:val="Level1"/>
        <w:numPr>
          <w:ilvl w:val="0"/>
          <w:numId w:val="120"/>
        </w:numPr>
        <w:spacing w:before="0" w:after="240" w:line="320" w:lineRule="exact"/>
        <w:jc w:val="center"/>
        <w:rPr>
          <w:szCs w:val="22"/>
        </w:rPr>
      </w:pPr>
      <w:r>
        <w:rPr>
          <w:szCs w:val="22"/>
        </w:rPr>
        <w:t>CLÁUSULA QUINTA - DAS CARACTERÍSTICAS DA EMISSÃO E DA OFERTA</w:t>
      </w:r>
    </w:p>
    <w:p w:rsidR="00C963BB" w:rsidRDefault="00C759A0">
      <w:pPr>
        <w:pStyle w:val="Level2"/>
        <w:tabs>
          <w:tab w:val="clear" w:pos="680"/>
          <w:tab w:val="num" w:pos="1134"/>
        </w:tabs>
        <w:spacing w:after="240" w:line="320" w:lineRule="exact"/>
        <w:ind w:left="0" w:firstLine="0"/>
        <w:rPr>
          <w:color w:val="000000"/>
          <w:szCs w:val="22"/>
        </w:rPr>
      </w:pPr>
      <w:r>
        <w:rPr>
          <w:b/>
          <w:color w:val="000000"/>
          <w:szCs w:val="22"/>
        </w:rPr>
        <w:t>Número da Emissão</w:t>
      </w:r>
      <w:r>
        <w:rPr>
          <w:color w:val="000000"/>
          <w:szCs w:val="22"/>
        </w:rPr>
        <w:t xml:space="preserve">. </w:t>
      </w:r>
      <w:r>
        <w:rPr>
          <w:szCs w:val="22"/>
        </w:rPr>
        <w:t>A Emissão representa a 1ª (primeira</w:t>
      </w:r>
      <w:r w:rsidR="007E4BA0">
        <w:rPr>
          <w:szCs w:val="22"/>
        </w:rPr>
        <w:t>)</w:t>
      </w:r>
      <w:r>
        <w:rPr>
          <w:szCs w:val="22"/>
        </w:rPr>
        <w:t xml:space="preserve"> emissão de debêntures da Emissora.</w:t>
      </w:r>
    </w:p>
    <w:p w:rsidR="00C963BB" w:rsidRDefault="00C759A0">
      <w:pPr>
        <w:pStyle w:val="Level2"/>
        <w:tabs>
          <w:tab w:val="clear" w:pos="680"/>
          <w:tab w:val="num" w:pos="1134"/>
        </w:tabs>
        <w:spacing w:after="240" w:line="320" w:lineRule="exact"/>
        <w:ind w:left="0" w:firstLine="0"/>
        <w:rPr>
          <w:szCs w:val="22"/>
        </w:rPr>
      </w:pPr>
      <w:r>
        <w:rPr>
          <w:b/>
          <w:szCs w:val="22"/>
        </w:rPr>
        <w:t>Valor Total da Emissão</w:t>
      </w:r>
      <w:r>
        <w:rPr>
          <w:szCs w:val="22"/>
        </w:rPr>
        <w:t>. O valor total da Emissão é de R$ </w:t>
      </w:r>
      <w:r w:rsidR="00C20C16">
        <w:rPr>
          <w:color w:val="000000"/>
          <w:szCs w:val="22"/>
        </w:rPr>
        <w:t>139.074.000,00 (cento e trinta e nove milhões, setenta e quatro mil</w:t>
      </w:r>
      <w:r>
        <w:rPr>
          <w:szCs w:val="22"/>
        </w:rPr>
        <w:t xml:space="preserve"> reais) na Data de Emissão, conforme definido no </w:t>
      </w:r>
      <w:r>
        <w:rPr>
          <w:color w:val="000000"/>
          <w:szCs w:val="22"/>
        </w:rPr>
        <w:t>item</w:t>
      </w:r>
      <w:r>
        <w:rPr>
          <w:szCs w:val="22"/>
        </w:rPr>
        <w:t xml:space="preserve"> </w:t>
      </w:r>
      <w:r>
        <w:rPr>
          <w:szCs w:val="22"/>
        </w:rPr>
        <w:fldChar w:fldCharType="begin"/>
      </w:r>
      <w:r>
        <w:rPr>
          <w:szCs w:val="22"/>
        </w:rPr>
        <w:instrText xml:space="preserve"> REF _Ref382146426 \n \p \h  \* MERGEFORMAT </w:instrText>
      </w:r>
      <w:r>
        <w:rPr>
          <w:szCs w:val="22"/>
        </w:rPr>
      </w:r>
      <w:r>
        <w:rPr>
          <w:szCs w:val="22"/>
        </w:rPr>
        <w:fldChar w:fldCharType="separate"/>
      </w:r>
      <w:r w:rsidR="00281921">
        <w:rPr>
          <w:szCs w:val="22"/>
        </w:rPr>
        <w:t>6.5 abaixo</w:t>
      </w:r>
      <w:r>
        <w:rPr>
          <w:szCs w:val="22"/>
        </w:rPr>
        <w:fldChar w:fldCharType="end"/>
      </w:r>
      <w:r>
        <w:rPr>
          <w:szCs w:val="22"/>
        </w:rPr>
        <w:t> (“</w:t>
      </w:r>
      <w:r>
        <w:rPr>
          <w:szCs w:val="22"/>
          <w:u w:val="single"/>
        </w:rPr>
        <w:t>Valor Total da Emissão</w:t>
      </w:r>
      <w:r>
        <w:rPr>
          <w:rFonts w:eastAsia="MS Mincho"/>
          <w:color w:val="000000"/>
          <w:szCs w:val="22"/>
        </w:rPr>
        <w:t xml:space="preserve">”), sendo </w:t>
      </w:r>
      <w:r>
        <w:rPr>
          <w:rFonts w:eastAsia="MS Mincho"/>
          <w:b/>
          <w:color w:val="000000"/>
          <w:szCs w:val="22"/>
        </w:rPr>
        <w:t>(i)</w:t>
      </w:r>
      <w:r>
        <w:rPr>
          <w:rFonts w:eastAsia="MS Mincho"/>
          <w:szCs w:val="22"/>
        </w:rPr>
        <w:t> </w:t>
      </w:r>
      <w:r>
        <w:rPr>
          <w:szCs w:val="22"/>
        </w:rPr>
        <w:t>R$ </w:t>
      </w:r>
      <w:r w:rsidR="00C20C16">
        <w:rPr>
          <w:szCs w:val="22"/>
        </w:rPr>
        <w:t xml:space="preserve">53.926.000,00 (cinquenta e três milhões, </w:t>
      </w:r>
      <w:r w:rsidR="00C20C16">
        <w:rPr>
          <w:szCs w:val="22"/>
        </w:rPr>
        <w:lastRenderedPageBreak/>
        <w:t>novecentos e vinte e seis mil</w:t>
      </w:r>
      <w:r>
        <w:rPr>
          <w:szCs w:val="22"/>
        </w:rPr>
        <w:t xml:space="preserve"> reais)</w:t>
      </w:r>
      <w:r>
        <w:rPr>
          <w:rFonts w:eastAsia="MS Mincho"/>
          <w:color w:val="000000"/>
          <w:szCs w:val="22"/>
        </w:rPr>
        <w:t xml:space="preserve"> correspondentes às Debêntures da primeira série </w:t>
      </w:r>
      <w:r>
        <w:rPr>
          <w:szCs w:val="22"/>
        </w:rPr>
        <w:t>(“</w:t>
      </w:r>
      <w:r>
        <w:rPr>
          <w:szCs w:val="22"/>
          <w:u w:val="single"/>
        </w:rPr>
        <w:t>Primeira Série</w:t>
      </w:r>
      <w:r>
        <w:rPr>
          <w:szCs w:val="22"/>
        </w:rPr>
        <w:t xml:space="preserve">”); </w:t>
      </w:r>
      <w:r>
        <w:rPr>
          <w:b/>
          <w:szCs w:val="22"/>
        </w:rPr>
        <w:t>(ii)</w:t>
      </w:r>
      <w:r>
        <w:rPr>
          <w:szCs w:val="22"/>
        </w:rPr>
        <w:t> R$ </w:t>
      </w:r>
      <w:r w:rsidR="00C20C16">
        <w:rPr>
          <w:szCs w:val="22"/>
        </w:rPr>
        <w:t>42.574.000,00 (quarenta e dois milhões, quinhentos e setenta e quatro mil</w:t>
      </w:r>
      <w:r>
        <w:rPr>
          <w:szCs w:val="22"/>
        </w:rPr>
        <w:t xml:space="preserve"> reais) correspondentes </w:t>
      </w:r>
      <w:r>
        <w:rPr>
          <w:rFonts w:eastAsia="MS Mincho"/>
          <w:color w:val="000000"/>
          <w:szCs w:val="22"/>
        </w:rPr>
        <w:t xml:space="preserve">às Debêntures da </w:t>
      </w:r>
      <w:r>
        <w:rPr>
          <w:szCs w:val="22"/>
        </w:rPr>
        <w:t>segunda série (“</w:t>
      </w:r>
      <w:r>
        <w:rPr>
          <w:szCs w:val="22"/>
          <w:u w:val="single"/>
        </w:rPr>
        <w:t>Segunda Série</w:t>
      </w:r>
      <w:r>
        <w:rPr>
          <w:szCs w:val="22"/>
        </w:rPr>
        <w:t xml:space="preserve">”) e </w:t>
      </w:r>
      <w:r>
        <w:rPr>
          <w:b/>
          <w:szCs w:val="22"/>
        </w:rPr>
        <w:t>(iii)</w:t>
      </w:r>
      <w:r w:rsidR="00C20C16">
        <w:rPr>
          <w:szCs w:val="22"/>
        </w:rPr>
        <w:t xml:space="preserve"> R$ 42.574.000,00 (quarenta e dois milhões, quinhentos e setenta e quatro mil reais) </w:t>
      </w:r>
      <w:r w:rsidR="004A655A" w:rsidRPr="00D02C2A">
        <w:rPr>
          <w:szCs w:val="22"/>
        </w:rPr>
        <w:t>correspondentes</w:t>
      </w:r>
      <w:r w:rsidR="004A655A">
        <w:rPr>
          <w:rFonts w:eastAsia="MS Mincho"/>
          <w:color w:val="000000"/>
          <w:szCs w:val="22"/>
        </w:rPr>
        <w:t xml:space="preserve"> </w:t>
      </w:r>
      <w:r>
        <w:rPr>
          <w:rFonts w:eastAsia="MS Mincho"/>
          <w:color w:val="000000"/>
          <w:szCs w:val="22"/>
        </w:rPr>
        <w:t xml:space="preserve">às Debêntures da terceira série </w:t>
      </w:r>
      <w:r>
        <w:rPr>
          <w:szCs w:val="22"/>
        </w:rPr>
        <w:t>(“</w:t>
      </w:r>
      <w:r>
        <w:rPr>
          <w:szCs w:val="22"/>
          <w:u w:val="single"/>
        </w:rPr>
        <w:t>Terceira Série</w:t>
      </w:r>
      <w:r>
        <w:rPr>
          <w:szCs w:val="22"/>
        </w:rPr>
        <w:t xml:space="preserve">”, </w:t>
      </w:r>
      <w:r>
        <w:rPr>
          <w:rFonts w:eastAsia="MS Mincho"/>
          <w:color w:val="000000"/>
          <w:szCs w:val="22"/>
        </w:rPr>
        <w:t>sendo a Primeira Série, a Segunda Série e a Terceira Série denominadas individual e indistintamente como “</w:t>
      </w:r>
      <w:r>
        <w:rPr>
          <w:rFonts w:eastAsia="MS Mincho"/>
          <w:color w:val="000000"/>
          <w:szCs w:val="22"/>
          <w:u w:val="single"/>
        </w:rPr>
        <w:t>Série</w:t>
      </w:r>
      <w:r>
        <w:rPr>
          <w:rFonts w:eastAsia="MS Mincho"/>
          <w:color w:val="000000"/>
          <w:szCs w:val="22"/>
        </w:rPr>
        <w:t>” e, em conjunto, como “</w:t>
      </w:r>
      <w:r>
        <w:rPr>
          <w:rFonts w:eastAsia="MS Mincho"/>
          <w:color w:val="000000"/>
          <w:szCs w:val="22"/>
          <w:u w:val="single"/>
        </w:rPr>
        <w:t>Séries</w:t>
      </w:r>
      <w:r>
        <w:rPr>
          <w:rFonts w:eastAsia="MS Mincho"/>
          <w:color w:val="000000"/>
          <w:szCs w:val="22"/>
        </w:rPr>
        <w:t>”</w:t>
      </w:r>
      <w:r>
        <w:rPr>
          <w:szCs w:val="22"/>
        </w:rPr>
        <w:t>)</w:t>
      </w:r>
      <w:r w:rsidR="000A383B">
        <w:rPr>
          <w:szCs w:val="22"/>
        </w:rPr>
        <w:t xml:space="preserve">, observado o previsto no item </w:t>
      </w:r>
      <w:r w:rsidR="000A383B">
        <w:rPr>
          <w:szCs w:val="22"/>
        </w:rPr>
        <w:fldChar w:fldCharType="begin"/>
      </w:r>
      <w:r w:rsidR="000A383B">
        <w:rPr>
          <w:szCs w:val="22"/>
        </w:rPr>
        <w:instrText xml:space="preserve"> REF _Ref520794790 \r \p \h </w:instrText>
      </w:r>
      <w:r w:rsidR="000A383B">
        <w:rPr>
          <w:szCs w:val="22"/>
        </w:rPr>
      </w:r>
      <w:r w:rsidR="000A383B">
        <w:rPr>
          <w:szCs w:val="22"/>
        </w:rPr>
        <w:fldChar w:fldCharType="separate"/>
      </w:r>
      <w:r w:rsidR="00281921">
        <w:rPr>
          <w:szCs w:val="22"/>
        </w:rPr>
        <w:t>5.8.1 abaixo</w:t>
      </w:r>
      <w:r w:rsidR="000A383B">
        <w:rPr>
          <w:szCs w:val="22"/>
        </w:rPr>
        <w:fldChar w:fldCharType="end"/>
      </w:r>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Série</w:t>
      </w:r>
      <w:r>
        <w:rPr>
          <w:szCs w:val="22"/>
        </w:rPr>
        <w:t xml:space="preserve">. </w:t>
      </w:r>
      <w:bookmarkStart w:id="23" w:name="_Ref420334801"/>
      <w:r>
        <w:rPr>
          <w:szCs w:val="22"/>
        </w:rPr>
        <w:t xml:space="preserve">A Emissão será </w:t>
      </w:r>
      <w:r>
        <w:rPr>
          <w:color w:val="000000"/>
          <w:szCs w:val="22"/>
        </w:rPr>
        <w:t>realizada</w:t>
      </w:r>
      <w:r>
        <w:rPr>
          <w:szCs w:val="22"/>
        </w:rPr>
        <w:t xml:space="preserve"> em 3 (três) séries</w:t>
      </w:r>
      <w:bookmarkEnd w:id="2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Quantidade de Debêntures</w:t>
      </w:r>
      <w:r>
        <w:rPr>
          <w:szCs w:val="22"/>
        </w:rPr>
        <w:t xml:space="preserve">. </w:t>
      </w:r>
      <w:bookmarkStart w:id="24" w:name="_DV_M70"/>
      <w:bookmarkStart w:id="25" w:name="_DV_M72"/>
      <w:bookmarkStart w:id="26" w:name="_DV_M73"/>
      <w:bookmarkEnd w:id="24"/>
      <w:bookmarkEnd w:id="25"/>
      <w:bookmarkEnd w:id="26"/>
      <w:r>
        <w:rPr>
          <w:szCs w:val="22"/>
        </w:rPr>
        <w:t xml:space="preserve">Serão emitidas </w:t>
      </w:r>
      <w:r w:rsidR="00C20C16">
        <w:rPr>
          <w:color w:val="000000"/>
          <w:szCs w:val="22"/>
        </w:rPr>
        <w:t>139.074 (cento e trinta e nove mil e setenta e quatro)</w:t>
      </w:r>
      <w:r>
        <w:rPr>
          <w:szCs w:val="22"/>
        </w:rPr>
        <w:t xml:space="preserve"> Debêntures</w:t>
      </w:r>
      <w:r>
        <w:rPr>
          <w:rFonts w:eastAsia="MS Mincho"/>
          <w:szCs w:val="22"/>
        </w:rPr>
        <w:t xml:space="preserve">, sendo </w:t>
      </w:r>
      <w:r>
        <w:rPr>
          <w:rFonts w:eastAsia="MS Mincho"/>
          <w:b/>
          <w:szCs w:val="22"/>
        </w:rPr>
        <w:t>(i) </w:t>
      </w:r>
      <w:r w:rsidR="00C20C16">
        <w:rPr>
          <w:szCs w:val="22"/>
        </w:rPr>
        <w:t>53.926 (cinquenta e três mil, novecentos e vinte e seis)</w:t>
      </w:r>
      <w:r>
        <w:rPr>
          <w:szCs w:val="22"/>
        </w:rPr>
        <w:t xml:space="preserve"> </w:t>
      </w:r>
      <w:r>
        <w:rPr>
          <w:rFonts w:eastAsia="MS Mincho"/>
          <w:szCs w:val="22"/>
        </w:rPr>
        <w:t xml:space="preserve">Debêntures da Primeira Série; </w:t>
      </w:r>
      <w:r>
        <w:rPr>
          <w:rFonts w:eastAsia="MS Mincho"/>
          <w:b/>
          <w:szCs w:val="22"/>
        </w:rPr>
        <w:t>(ii)</w:t>
      </w:r>
      <w:r>
        <w:rPr>
          <w:rFonts w:eastAsia="MS Mincho"/>
          <w:szCs w:val="22"/>
        </w:rPr>
        <w:t> </w:t>
      </w:r>
      <w:r w:rsidR="00C20C16">
        <w:rPr>
          <w:szCs w:val="22"/>
        </w:rPr>
        <w:t>42.574 (quarenta e dois mil, quinhentos e setenta e quatro)</w:t>
      </w:r>
      <w:r>
        <w:rPr>
          <w:szCs w:val="22"/>
        </w:rPr>
        <w:t xml:space="preserve"> </w:t>
      </w:r>
      <w:r>
        <w:rPr>
          <w:rFonts w:eastAsia="MS Mincho"/>
          <w:szCs w:val="22"/>
        </w:rPr>
        <w:t xml:space="preserve">Debêntures da Segunda Série; e </w:t>
      </w:r>
      <w:r>
        <w:rPr>
          <w:rFonts w:eastAsia="MS Mincho"/>
          <w:b/>
          <w:szCs w:val="22"/>
        </w:rPr>
        <w:t xml:space="preserve">(iii) </w:t>
      </w:r>
      <w:r w:rsidR="00C20C16">
        <w:rPr>
          <w:szCs w:val="22"/>
        </w:rPr>
        <w:t>42.574 (quarenta e dois mil, quinhentos e setenta e quatro)</w:t>
      </w:r>
      <w:r>
        <w:rPr>
          <w:rFonts w:eastAsia="MS Mincho"/>
          <w:szCs w:val="22"/>
        </w:rPr>
        <w:t xml:space="preserve"> Debêntures da Terceira Série</w:t>
      </w:r>
      <w:r w:rsidR="000A383B">
        <w:rPr>
          <w:szCs w:val="22"/>
        </w:rPr>
        <w:t xml:space="preserve">, observado o previsto no item </w:t>
      </w:r>
      <w:r w:rsidR="000A383B">
        <w:rPr>
          <w:szCs w:val="22"/>
        </w:rPr>
        <w:fldChar w:fldCharType="begin"/>
      </w:r>
      <w:r w:rsidR="000A383B">
        <w:rPr>
          <w:szCs w:val="22"/>
        </w:rPr>
        <w:instrText xml:space="preserve"> REF _Ref520794790 \r \p \h </w:instrText>
      </w:r>
      <w:r w:rsidR="000A383B">
        <w:rPr>
          <w:szCs w:val="22"/>
        </w:rPr>
      </w:r>
      <w:r w:rsidR="000A383B">
        <w:rPr>
          <w:szCs w:val="22"/>
        </w:rPr>
        <w:fldChar w:fldCharType="separate"/>
      </w:r>
      <w:r w:rsidR="00281921">
        <w:rPr>
          <w:szCs w:val="22"/>
        </w:rPr>
        <w:t>5.8.1 abaixo</w:t>
      </w:r>
      <w:r w:rsidR="000A383B">
        <w:rPr>
          <w:szCs w:val="22"/>
        </w:rPr>
        <w:fldChar w:fldCharType="end"/>
      </w:r>
      <w:r>
        <w:rPr>
          <w:rFonts w:eastAsia="MS Mincho"/>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Agente de Liquidação e Escriturador</w:t>
      </w:r>
      <w:r>
        <w:rPr>
          <w:szCs w:val="22"/>
        </w:rPr>
        <w:t xml:space="preserve">. A </w:t>
      </w:r>
      <w:r>
        <w:rPr>
          <w:color w:val="000000"/>
          <w:szCs w:val="22"/>
        </w:rPr>
        <w:t>instituição</w:t>
      </w:r>
      <w:r>
        <w:rPr>
          <w:szCs w:val="22"/>
        </w:rPr>
        <w:t xml:space="preserve"> prestadora de serviços de agente de liquidação e escriturador no âmbito da Emissão será a Oliveira Trust Distribuidora de Títulos e Valores Mobiliários S.A., com sede </w:t>
      </w:r>
      <w:r>
        <w:t>na cidade do Rio de Janeiro, no Estado do Rio de Janeiro, na Avenida das Américas, n.º 3.434, 2º andar, bloco 07, sala 201</w:t>
      </w:r>
      <w:r>
        <w:rPr>
          <w:szCs w:val="22"/>
        </w:rPr>
        <w:t>, inscrita no CNPJ/MF sob o nº 36.113.876/0001-91 (“</w:t>
      </w:r>
      <w:r>
        <w:rPr>
          <w:szCs w:val="22"/>
          <w:u w:val="single"/>
        </w:rPr>
        <w:t>Agente de Liquidação e Escriturador</w:t>
      </w:r>
      <w:r>
        <w:rPr>
          <w:szCs w:val="22"/>
        </w:rPr>
        <w:t>”, cuja definição inclui qualquer outra instituição que venha a suceder o Agente de Liquidação e Escriturador na prestação dos serviços relativos às Debêntures).</w:t>
      </w:r>
    </w:p>
    <w:p w:rsidR="00C963BB" w:rsidRDefault="00C759A0">
      <w:pPr>
        <w:pStyle w:val="Level2"/>
        <w:tabs>
          <w:tab w:val="clear" w:pos="680"/>
          <w:tab w:val="num" w:pos="1134"/>
        </w:tabs>
        <w:spacing w:after="240" w:line="320" w:lineRule="exact"/>
        <w:ind w:left="0" w:firstLine="0"/>
        <w:rPr>
          <w:color w:val="000000"/>
          <w:szCs w:val="22"/>
        </w:rPr>
      </w:pPr>
      <w:bookmarkStart w:id="27" w:name="_Ref416099561"/>
      <w:r>
        <w:rPr>
          <w:b/>
          <w:color w:val="000000"/>
          <w:szCs w:val="22"/>
        </w:rPr>
        <w:t>Imunidade</w:t>
      </w:r>
      <w:r>
        <w:rPr>
          <w:b/>
          <w:szCs w:val="22"/>
        </w:rPr>
        <w:t xml:space="preserve"> dos Debenturistas</w:t>
      </w:r>
      <w:r>
        <w:rPr>
          <w:szCs w:val="22"/>
        </w:rPr>
        <w:t xml:space="preserve">. Caso qualquer Debenturista goze de algum tipo de imunidade ou isenção tributária, este deverá encaminhar ao Agente de Liquidação e Escriturador, no prazo mínimo de 10 (dez) Dias Úteis antes da </w:t>
      </w:r>
      <w:r>
        <w:rPr>
          <w:color w:val="000000"/>
          <w:szCs w:val="22"/>
        </w:rPr>
        <w:t>data</w:t>
      </w:r>
      <w:r>
        <w:rPr>
          <w:szCs w:val="22"/>
        </w:rPr>
        <w:t xml:space="preserve"> prevista para recebimento de valores relativos às Debêntures, documentação comprobatória dessa imunidade ou isenção tributária julgada apropriada pelo Agente de Liquidação e Escriturador, sob pena de ter descontado dos rendimentos das Debêntures os valores devidos nos termos da legislação tributária em vigor.</w:t>
      </w:r>
      <w:bookmarkEnd w:id="27"/>
      <w:r>
        <w:rPr>
          <w:szCs w:val="22"/>
        </w:rPr>
        <w:t xml:space="preserve"> </w:t>
      </w:r>
    </w:p>
    <w:p w:rsidR="00C963BB" w:rsidRDefault="00C759A0">
      <w:pPr>
        <w:pStyle w:val="Level3"/>
        <w:numPr>
          <w:ilvl w:val="2"/>
          <w:numId w:val="52"/>
        </w:numPr>
        <w:tabs>
          <w:tab w:val="num" w:pos="1134"/>
        </w:tabs>
        <w:spacing w:after="240" w:line="320" w:lineRule="exact"/>
        <w:ind w:left="0" w:firstLine="0"/>
        <w:rPr>
          <w:szCs w:val="22"/>
        </w:rPr>
      </w:pPr>
      <w:bookmarkStart w:id="28" w:name="_Ref416099314"/>
      <w:r>
        <w:rPr>
          <w:szCs w:val="22"/>
        </w:rPr>
        <w:t xml:space="preserve">O Debenturista que tenha apresentado documentação comprobatória de sua condição de imunidade ou isenção tributária, nos termos do item </w:t>
      </w:r>
      <w:r>
        <w:rPr>
          <w:szCs w:val="22"/>
        </w:rPr>
        <w:fldChar w:fldCharType="begin"/>
      </w:r>
      <w:r>
        <w:rPr>
          <w:szCs w:val="22"/>
        </w:rPr>
        <w:instrText xml:space="preserve"> REF _Ref416099561 \n \p \h  \* MERGEFORMAT </w:instrText>
      </w:r>
      <w:r>
        <w:rPr>
          <w:szCs w:val="22"/>
        </w:rPr>
      </w:r>
      <w:r>
        <w:rPr>
          <w:szCs w:val="22"/>
        </w:rPr>
        <w:fldChar w:fldCharType="separate"/>
      </w:r>
      <w:r w:rsidR="00281921">
        <w:rPr>
          <w:szCs w:val="22"/>
        </w:rPr>
        <w:t>5.6 acima</w:t>
      </w:r>
      <w:r>
        <w:rPr>
          <w:szCs w:val="22"/>
        </w:rPr>
        <w:fldChar w:fldCharType="end"/>
      </w:r>
      <w:r>
        <w:rPr>
          <w:szCs w:val="22"/>
        </w:rPr>
        <w:t xml:space="preserve">, 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tenha esta condição alterada e/ou revogada por qualquer outra razão que não as mencionadas neste item </w:t>
      </w:r>
      <w:r>
        <w:rPr>
          <w:szCs w:val="22"/>
        </w:rPr>
        <w:fldChar w:fldCharType="begin"/>
      </w:r>
      <w:r>
        <w:rPr>
          <w:szCs w:val="22"/>
        </w:rPr>
        <w:instrText xml:space="preserve"> REF _Ref416099561 \w \h  \* MERGEFORMAT </w:instrText>
      </w:r>
      <w:r>
        <w:rPr>
          <w:szCs w:val="22"/>
        </w:rPr>
      </w:r>
      <w:r>
        <w:rPr>
          <w:szCs w:val="22"/>
        </w:rPr>
        <w:fldChar w:fldCharType="separate"/>
      </w:r>
      <w:r w:rsidR="00281921">
        <w:rPr>
          <w:szCs w:val="22"/>
        </w:rPr>
        <w:t>5.6</w:t>
      </w:r>
      <w:r>
        <w:rPr>
          <w:szCs w:val="22"/>
        </w:rPr>
        <w:fldChar w:fldCharType="end"/>
      </w:r>
      <w:r>
        <w:rPr>
          <w:szCs w:val="22"/>
        </w:rPr>
        <w:t xml:space="preserve">, deverá comunicar esse fato, de forma detalhada e por escrito, ao Agente de Liquidação e Escriturador, </w:t>
      </w:r>
      <w:r>
        <w:rPr>
          <w:szCs w:val="22"/>
        </w:rPr>
        <w:lastRenderedPageBreak/>
        <w:t>com cópia para a Emissora, bem como prestar qualquer informação adicional em relação ao tema que lhe seja solicitada pelo Agente de Liquidação e Escriturador ou pela Emissora.</w:t>
      </w:r>
      <w:bookmarkEnd w:id="28"/>
    </w:p>
    <w:p w:rsidR="00C963BB" w:rsidRDefault="00C759A0">
      <w:pPr>
        <w:pStyle w:val="Level2"/>
        <w:tabs>
          <w:tab w:val="clear" w:pos="680"/>
          <w:tab w:val="num" w:pos="1134"/>
        </w:tabs>
        <w:spacing w:after="240" w:line="320" w:lineRule="exact"/>
        <w:ind w:left="0" w:firstLine="0"/>
        <w:rPr>
          <w:szCs w:val="22"/>
        </w:rPr>
      </w:pPr>
      <w:bookmarkStart w:id="29" w:name="_Ref382067881"/>
      <w:r>
        <w:rPr>
          <w:b/>
          <w:szCs w:val="22"/>
        </w:rPr>
        <w:t>Colocação</w:t>
      </w:r>
      <w:r>
        <w:rPr>
          <w:szCs w:val="22"/>
        </w:rPr>
        <w:t xml:space="preserve">. </w:t>
      </w:r>
      <w:r>
        <w:rPr>
          <w:rFonts w:eastAsia="MS Mincho"/>
          <w:color w:val="000000"/>
          <w:szCs w:val="22"/>
        </w:rPr>
        <w:t xml:space="preserve">As Debêntures serão objeto de colocação privada perante o Debenturista, sem que haja realização de qualquer esforço de </w:t>
      </w:r>
      <w:r>
        <w:rPr>
          <w:color w:val="000000"/>
          <w:szCs w:val="22"/>
        </w:rPr>
        <w:t>venda</w:t>
      </w:r>
      <w:r>
        <w:rPr>
          <w:rFonts w:eastAsia="MS Mincho"/>
          <w:color w:val="000000"/>
          <w:szCs w:val="22"/>
        </w:rPr>
        <w:t xml:space="preserve"> perante investidores </w:t>
      </w:r>
      <w:r>
        <w:rPr>
          <w:color w:val="000000"/>
          <w:szCs w:val="22"/>
          <w:lang w:val="x-none"/>
        </w:rPr>
        <w:t>e sem a intermediação de instituições financeiras integrantes do sistema de distribuição</w:t>
      </w:r>
      <w:r>
        <w:rPr>
          <w:color w:val="000000"/>
          <w:szCs w:val="22"/>
        </w:rPr>
        <w:t xml:space="preserve"> de valores mobiliários</w:t>
      </w:r>
      <w:r>
        <w:rPr>
          <w:color w:val="000000"/>
          <w:szCs w:val="22"/>
          <w:lang w:val="x-none"/>
        </w:rPr>
        <w:t>, não</w:t>
      </w:r>
      <w:r>
        <w:rPr>
          <w:color w:val="000000"/>
          <w:szCs w:val="22"/>
        </w:rPr>
        <w:t xml:space="preserve"> estando</w:t>
      </w:r>
      <w:r>
        <w:rPr>
          <w:color w:val="000000"/>
          <w:szCs w:val="22"/>
          <w:lang w:val="x-none"/>
        </w:rPr>
        <w:t xml:space="preserve"> sujeitas ao art</w:t>
      </w:r>
      <w:r>
        <w:rPr>
          <w:color w:val="000000"/>
          <w:szCs w:val="22"/>
        </w:rPr>
        <w:t>igo</w:t>
      </w:r>
      <w:r>
        <w:rPr>
          <w:color w:val="000000"/>
          <w:szCs w:val="22"/>
          <w:lang w:val="x-none"/>
        </w:rPr>
        <w:t xml:space="preserve"> 19 da Lei </w:t>
      </w:r>
      <w:r>
        <w:rPr>
          <w:color w:val="000000"/>
          <w:szCs w:val="22"/>
        </w:rPr>
        <w:t xml:space="preserve">nº </w:t>
      </w:r>
      <w:r>
        <w:rPr>
          <w:color w:val="000000"/>
          <w:szCs w:val="22"/>
          <w:lang w:val="x-none"/>
        </w:rPr>
        <w:t>6.385</w:t>
      </w:r>
      <w:r>
        <w:rPr>
          <w:color w:val="000000"/>
          <w:szCs w:val="22"/>
        </w:rPr>
        <w:t xml:space="preserve">, de 7 de dezembro de </w:t>
      </w:r>
      <w:r>
        <w:rPr>
          <w:color w:val="000000"/>
          <w:szCs w:val="22"/>
          <w:lang w:val="x-none"/>
        </w:rPr>
        <w:t>1976</w:t>
      </w:r>
      <w:r>
        <w:rPr>
          <w:color w:val="000000"/>
          <w:szCs w:val="22"/>
        </w:rPr>
        <w:t>, conforme alterada, à</w:t>
      </w:r>
      <w:r>
        <w:rPr>
          <w:color w:val="000000"/>
          <w:szCs w:val="22"/>
          <w:lang w:val="x-none"/>
        </w:rPr>
        <w:t xml:space="preserve"> Instrução da </w:t>
      </w:r>
      <w:r>
        <w:rPr>
          <w:color w:val="000000"/>
          <w:szCs w:val="22"/>
        </w:rPr>
        <w:t>CVM</w:t>
      </w:r>
      <w:r>
        <w:rPr>
          <w:color w:val="000000"/>
          <w:szCs w:val="22"/>
          <w:lang w:val="x-none"/>
        </w:rPr>
        <w:t xml:space="preserve"> nº 400</w:t>
      </w:r>
      <w:r>
        <w:rPr>
          <w:color w:val="000000"/>
          <w:szCs w:val="22"/>
        </w:rPr>
        <w:t xml:space="preserve">, de 29 de dezembro de </w:t>
      </w:r>
      <w:r>
        <w:rPr>
          <w:color w:val="000000"/>
          <w:szCs w:val="22"/>
          <w:lang w:val="x-none"/>
        </w:rPr>
        <w:t>2003</w:t>
      </w:r>
      <w:r>
        <w:rPr>
          <w:color w:val="000000"/>
          <w:szCs w:val="22"/>
        </w:rPr>
        <w:t>,</w:t>
      </w:r>
      <w:r>
        <w:rPr>
          <w:color w:val="000000"/>
          <w:szCs w:val="22"/>
          <w:lang w:val="x-none"/>
        </w:rPr>
        <w:t xml:space="preserve"> </w:t>
      </w:r>
      <w:r>
        <w:rPr>
          <w:color w:val="000000"/>
          <w:szCs w:val="22"/>
        </w:rPr>
        <w:t xml:space="preserve">conforme alterada e/ou à Instrução da CVM </w:t>
      </w:r>
      <w:r>
        <w:rPr>
          <w:color w:val="000000"/>
          <w:szCs w:val="22"/>
          <w:lang w:val="x-none"/>
        </w:rPr>
        <w:t>nº</w:t>
      </w:r>
      <w:r>
        <w:rPr>
          <w:color w:val="000000"/>
          <w:szCs w:val="22"/>
        </w:rPr>
        <w:t xml:space="preserve"> 476, de 16 de janeiro de 2009, conforme alterada</w:t>
      </w:r>
      <w:r>
        <w:rPr>
          <w:rFonts w:eastAsia="MS Mincho"/>
          <w:color w:val="000000"/>
          <w:szCs w:val="22"/>
        </w:rPr>
        <w:t>.</w:t>
      </w:r>
    </w:p>
    <w:p w:rsidR="00C963BB" w:rsidRDefault="00C759A0">
      <w:pPr>
        <w:pStyle w:val="Level2"/>
        <w:tabs>
          <w:tab w:val="clear" w:pos="680"/>
          <w:tab w:val="num" w:pos="1134"/>
        </w:tabs>
        <w:spacing w:after="240" w:line="320" w:lineRule="exact"/>
        <w:ind w:left="0" w:firstLine="0"/>
        <w:rPr>
          <w:b/>
          <w:szCs w:val="22"/>
        </w:rPr>
      </w:pPr>
      <w:bookmarkStart w:id="30" w:name="_Ref519774904"/>
      <w:r>
        <w:rPr>
          <w:b/>
          <w:szCs w:val="22"/>
        </w:rPr>
        <w:t>Forma de Subscrição e Integralização</w:t>
      </w:r>
      <w:r>
        <w:rPr>
          <w:szCs w:val="22"/>
        </w:rPr>
        <w:t xml:space="preserve">. As </w:t>
      </w:r>
      <w:r>
        <w:rPr>
          <w:color w:val="000000"/>
          <w:szCs w:val="22"/>
        </w:rPr>
        <w:t>Debêntures</w:t>
      </w:r>
      <w:r>
        <w:rPr>
          <w:szCs w:val="22"/>
        </w:rPr>
        <w:t xml:space="preserve"> serão subscritas e integralizadas à vista, em moeda corrente nacional, pelo Valor Nominal Unitário (cada data de integralização das Debêntures, uma “</w:t>
      </w:r>
      <w:r>
        <w:rPr>
          <w:szCs w:val="22"/>
          <w:u w:val="single"/>
        </w:rPr>
        <w:t>Data de Integralização</w:t>
      </w:r>
      <w:r>
        <w:rPr>
          <w:szCs w:val="22"/>
        </w:rPr>
        <w:t>”), em conta corrente de titularidade da Emissora, fora do âmbito da B3. Caso não ocorra a subscrição e a integralização da totalidade das Debêntures na</w:t>
      </w:r>
      <w:r w:rsidR="00E91E53">
        <w:rPr>
          <w:szCs w:val="22"/>
        </w:rPr>
        <w:t xml:space="preserve"> primeira</w:t>
      </w:r>
      <w:r>
        <w:rPr>
          <w:szCs w:val="22"/>
        </w:rPr>
        <w:t xml:space="preserve"> Data de Integralização por motivos operacionais, o preço de subscrição para as Debêntures que foram integralizadas após a primeira Data de Integralização será o</w:t>
      </w:r>
      <w:r>
        <w:rPr>
          <w:color w:val="000000"/>
          <w:szCs w:val="22"/>
        </w:rPr>
        <w:t xml:space="preserve"> </w:t>
      </w:r>
      <w:r>
        <w:rPr>
          <w:szCs w:val="22"/>
        </w:rPr>
        <w:t xml:space="preserve">Valor Nominal Unitário, acrescido da Remuneração, calculada </w:t>
      </w:r>
      <w:r>
        <w:rPr>
          <w:i/>
          <w:szCs w:val="22"/>
        </w:rPr>
        <w:t>pro rata temporis</w:t>
      </w:r>
      <w:r>
        <w:rPr>
          <w:szCs w:val="22"/>
        </w:rPr>
        <w:t xml:space="preserve"> desde a primeira Data de Integralização até a data de sua efetiva integralização.</w:t>
      </w:r>
      <w:bookmarkEnd w:id="30"/>
    </w:p>
    <w:p w:rsidR="00C963BB" w:rsidRDefault="00C759A0">
      <w:pPr>
        <w:pStyle w:val="Level3"/>
        <w:numPr>
          <w:ilvl w:val="2"/>
          <w:numId w:val="52"/>
        </w:numPr>
        <w:tabs>
          <w:tab w:val="num" w:pos="1134"/>
        </w:tabs>
        <w:spacing w:after="240" w:line="320" w:lineRule="exact"/>
        <w:ind w:left="0" w:firstLine="0"/>
        <w:rPr>
          <w:szCs w:val="22"/>
        </w:rPr>
      </w:pPr>
      <w:bookmarkStart w:id="31" w:name="_Ref513671715"/>
      <w:bookmarkStart w:id="32" w:name="_Ref513672194"/>
      <w:bookmarkStart w:id="33" w:name="_Ref520794790"/>
      <w:r>
        <w:rPr>
          <w:szCs w:val="22"/>
        </w:rPr>
        <w:t xml:space="preserve">O FIDC, na qualidade de Debenturista, antes da </w:t>
      </w:r>
      <w:r w:rsidR="00E91E53">
        <w:rPr>
          <w:szCs w:val="22"/>
        </w:rPr>
        <w:t xml:space="preserve">primeira </w:t>
      </w:r>
      <w:r>
        <w:rPr>
          <w:szCs w:val="22"/>
        </w:rPr>
        <w:t xml:space="preserve">Data de Integralização, deverá optar por não subscrever: </w:t>
      </w:r>
      <w:r>
        <w:rPr>
          <w:b/>
          <w:szCs w:val="22"/>
        </w:rPr>
        <w:t>(i)</w:t>
      </w:r>
      <w:r>
        <w:rPr>
          <w:szCs w:val="22"/>
        </w:rPr>
        <w:t xml:space="preserve"> a integralidade das Debêntures da Segunda Série; ou </w:t>
      </w:r>
      <w:r>
        <w:rPr>
          <w:b/>
          <w:szCs w:val="22"/>
        </w:rPr>
        <w:t>(ii)</w:t>
      </w:r>
      <w:r>
        <w:rPr>
          <w:szCs w:val="22"/>
        </w:rPr>
        <w:t xml:space="preserve"> a integralidade das Debêntures da Terceira Série, conforme a Série </w:t>
      </w:r>
      <w:r>
        <w:t>que não tenha o parâmetro de remuneração equivalente à do Benchmark das cotas seniores</w:t>
      </w:r>
      <w:r>
        <w:rPr>
          <w:szCs w:val="22"/>
        </w:rPr>
        <w:t xml:space="preserve"> da segunda série do FIDC, mediante comunicação à Emissora, com cópia ao Agente Fiduciário, a seu exclusivo critério</w:t>
      </w:r>
      <w:bookmarkStart w:id="34" w:name="_Ref513671200"/>
      <w:bookmarkEnd w:id="31"/>
      <w:bookmarkEnd w:id="32"/>
      <w:r>
        <w:rPr>
          <w:szCs w:val="22"/>
        </w:rPr>
        <w:t>, devendo a Emissora, o Agente Fiduciário e o FIDC celebrar aditamento a esta Escritura de Emissão, sem necessidade de realização de Assembleia Geral de Debenturistas, aprovação societária pela Emissora ou aprovação pelos cotistas do FIDC, para formalizar o cancelamento das Debêntures da Série que não será subscrita e integralizada, sendo certo que r</w:t>
      </w:r>
      <w:bookmarkEnd w:id="34"/>
      <w:r>
        <w:rPr>
          <w:szCs w:val="22"/>
        </w:rPr>
        <w:t>eferido aditamento deverá ser celebrado previamente à primeira Data de Integralização.</w:t>
      </w:r>
      <w:bookmarkEnd w:id="3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Convolação da Espécie das Debêntures.</w:t>
      </w:r>
      <w:r>
        <w:rPr>
          <w:szCs w:val="22"/>
        </w:rPr>
        <w:t xml:space="preserve"> As Debêntures passarão a ser da espécie com garantia real, com garantia fidejussória adicional, nos termos do artigo 58, caput, da Lei das Sociedades por Ações, no momento em que as condições descritas no item </w:t>
      </w:r>
      <w:r>
        <w:rPr>
          <w:szCs w:val="22"/>
        </w:rPr>
        <w:fldChar w:fldCharType="begin"/>
      </w:r>
      <w:r>
        <w:rPr>
          <w:szCs w:val="22"/>
        </w:rPr>
        <w:instrText xml:space="preserve"> REF _Ref512347605 \r \p \h  \* MERGEFORMAT </w:instrText>
      </w:r>
      <w:r>
        <w:rPr>
          <w:szCs w:val="22"/>
        </w:rPr>
      </w:r>
      <w:r>
        <w:rPr>
          <w:szCs w:val="22"/>
        </w:rPr>
        <w:fldChar w:fldCharType="separate"/>
      </w:r>
      <w:r w:rsidR="00281921">
        <w:rPr>
          <w:szCs w:val="22"/>
        </w:rPr>
        <w:t>6.21.3 abaixo</w:t>
      </w:r>
      <w:r>
        <w:rPr>
          <w:szCs w:val="22"/>
        </w:rPr>
        <w:fldChar w:fldCharType="end"/>
      </w:r>
      <w:r>
        <w:rPr>
          <w:szCs w:val="22"/>
        </w:rPr>
        <w:t xml:space="preserve"> forem implementadas. A </w:t>
      </w:r>
      <w:r>
        <w:rPr>
          <w:color w:val="000000"/>
          <w:szCs w:val="22"/>
        </w:rPr>
        <w:t>Emissora</w:t>
      </w:r>
      <w:r>
        <w:rPr>
          <w:szCs w:val="22"/>
        </w:rPr>
        <w:t xml:space="preserve">, a Contour, o Agente Fiduciário e o FIDC estão desde já autorizados e obrigados a celebrar aditamento a esta Escritura, nos termos do Anexo I a esta Escritura de Emissão, para refletir a espécie das Debêntures bem como a outorga da Fiança, no prazo previsto no item </w:t>
      </w:r>
      <w:r>
        <w:rPr>
          <w:szCs w:val="22"/>
        </w:rPr>
        <w:fldChar w:fldCharType="begin"/>
      </w:r>
      <w:r>
        <w:rPr>
          <w:szCs w:val="22"/>
        </w:rPr>
        <w:instrText xml:space="preserve"> REF _Ref512285701 \r \p \h  \* MERGEFORMAT </w:instrText>
      </w:r>
      <w:r>
        <w:rPr>
          <w:szCs w:val="22"/>
        </w:rPr>
      </w:r>
      <w:r>
        <w:rPr>
          <w:szCs w:val="22"/>
        </w:rPr>
        <w:fldChar w:fldCharType="separate"/>
      </w:r>
      <w:r w:rsidR="00281921">
        <w:rPr>
          <w:szCs w:val="22"/>
        </w:rPr>
        <w:t>6.21.2 abaixo</w:t>
      </w:r>
      <w:r>
        <w:rPr>
          <w:szCs w:val="22"/>
        </w:rPr>
        <w:fldChar w:fldCharType="end"/>
      </w:r>
      <w:r>
        <w:rPr>
          <w:szCs w:val="22"/>
        </w:rPr>
        <w:t xml:space="preserve">, sem necessidade de realização de Assembleia Geral de Debenturistas e/ou qualquer outro ato societário da Emissora ou da Contour e/ou qualquer aprovação dos cotistas do </w:t>
      </w:r>
      <w:r>
        <w:rPr>
          <w:szCs w:val="22"/>
        </w:rPr>
        <w:lastRenderedPageBreak/>
        <w:t xml:space="preserve">FIDC. A Emissora deverá informar a B3 sobre a realização da referida convolação, com a finalidade de atualizar seu sistema, imediatamente após a assinatura do aditamento à Escritura de Emissão, bem como enviar à B3 cópia do aditamento assinado. Cada Debenturista, ao subscrever as Debêntures, estará automaticamente declarando-se ciente e de acordo com a celebração do aditamento ora referido. </w:t>
      </w:r>
    </w:p>
    <w:p w:rsidR="00C963BB" w:rsidRDefault="00C759A0">
      <w:pPr>
        <w:pStyle w:val="Level1"/>
        <w:numPr>
          <w:ilvl w:val="0"/>
          <w:numId w:val="120"/>
        </w:numPr>
        <w:spacing w:before="0" w:after="240" w:line="320" w:lineRule="exact"/>
        <w:jc w:val="center"/>
        <w:rPr>
          <w:szCs w:val="22"/>
        </w:rPr>
      </w:pPr>
      <w:r>
        <w:rPr>
          <w:szCs w:val="22"/>
        </w:rPr>
        <w:t>CLÁUSULA SEXTA – DAS CARACTERÍSTICAS DAS DEBÊNTURES</w:t>
      </w:r>
      <w:bookmarkEnd w:id="29"/>
    </w:p>
    <w:p w:rsidR="00C963BB" w:rsidRDefault="00C759A0">
      <w:pPr>
        <w:pStyle w:val="Level2"/>
        <w:tabs>
          <w:tab w:val="clear" w:pos="680"/>
          <w:tab w:val="num" w:pos="1134"/>
        </w:tabs>
        <w:spacing w:after="240" w:line="320" w:lineRule="exact"/>
        <w:ind w:left="0" w:firstLine="0"/>
        <w:rPr>
          <w:iCs/>
          <w:szCs w:val="22"/>
        </w:rPr>
      </w:pPr>
      <w:r>
        <w:rPr>
          <w:b/>
          <w:szCs w:val="22"/>
        </w:rPr>
        <w:t>Forma</w:t>
      </w:r>
      <w:r>
        <w:rPr>
          <w:szCs w:val="22"/>
        </w:rPr>
        <w:t xml:space="preserve">. As Debêntures </w:t>
      </w:r>
      <w:r>
        <w:rPr>
          <w:color w:val="000000"/>
          <w:szCs w:val="22"/>
        </w:rPr>
        <w:t>são</w:t>
      </w:r>
      <w:r>
        <w:rPr>
          <w:szCs w:val="22"/>
        </w:rPr>
        <w:t xml:space="preserve"> emitidas sob a forma nominativa, escritural, sem a emissão de certificados ou cautelas.</w:t>
      </w:r>
    </w:p>
    <w:p w:rsidR="00C963BB" w:rsidRDefault="00C759A0">
      <w:pPr>
        <w:pStyle w:val="Level2"/>
        <w:tabs>
          <w:tab w:val="clear" w:pos="680"/>
          <w:tab w:val="num" w:pos="1134"/>
        </w:tabs>
        <w:spacing w:after="240" w:line="320" w:lineRule="exact"/>
        <w:ind w:left="0" w:firstLine="0"/>
        <w:rPr>
          <w:iCs/>
          <w:szCs w:val="22"/>
        </w:rPr>
      </w:pPr>
      <w:r>
        <w:rPr>
          <w:b/>
          <w:szCs w:val="22"/>
        </w:rPr>
        <w:t>Conversibilidade</w:t>
      </w:r>
      <w:r>
        <w:rPr>
          <w:szCs w:val="22"/>
        </w:rPr>
        <w:t xml:space="preserve">. As </w:t>
      </w:r>
      <w:r>
        <w:rPr>
          <w:color w:val="000000"/>
          <w:szCs w:val="22"/>
        </w:rPr>
        <w:t>Debêntures</w:t>
      </w:r>
      <w:r>
        <w:rPr>
          <w:szCs w:val="22"/>
        </w:rPr>
        <w:t xml:space="preserve"> são simples e, portanto, não são conversíveis em ações de emissão da Emissora.</w:t>
      </w:r>
    </w:p>
    <w:p w:rsidR="00C963BB" w:rsidRDefault="00C759A0">
      <w:pPr>
        <w:pStyle w:val="Level2"/>
        <w:tabs>
          <w:tab w:val="clear" w:pos="680"/>
          <w:tab w:val="num" w:pos="1134"/>
        </w:tabs>
        <w:spacing w:after="240" w:line="320" w:lineRule="exact"/>
        <w:ind w:left="0" w:firstLine="0"/>
        <w:rPr>
          <w:iCs/>
          <w:szCs w:val="22"/>
        </w:rPr>
      </w:pPr>
      <w:r>
        <w:rPr>
          <w:b/>
          <w:szCs w:val="22"/>
        </w:rPr>
        <w:t>Comprovação da Titularidade das Debêntures</w:t>
      </w:r>
      <w:r>
        <w:rPr>
          <w:szCs w:val="22"/>
        </w:rPr>
        <w:t xml:space="preserve">. Para todos os fins e efeitos legais, a titularidade das Debêntures é comprovada pelo extrato das Debêntures emitido pelo Agente de Liquidação e Escriturador, na qualidade de instituição financeira responsável pela escrituração das Debêntures. </w:t>
      </w:r>
    </w:p>
    <w:p w:rsidR="00C963BB" w:rsidRDefault="00C759A0">
      <w:pPr>
        <w:pStyle w:val="Level2"/>
        <w:tabs>
          <w:tab w:val="clear" w:pos="680"/>
          <w:tab w:val="num" w:pos="1134"/>
        </w:tabs>
        <w:spacing w:after="240" w:line="320" w:lineRule="exact"/>
        <w:ind w:left="0" w:firstLine="0"/>
        <w:rPr>
          <w:b/>
          <w:szCs w:val="22"/>
        </w:rPr>
      </w:pPr>
      <w:r>
        <w:rPr>
          <w:b/>
          <w:szCs w:val="22"/>
        </w:rPr>
        <w:t>Espécie</w:t>
      </w:r>
      <w:r>
        <w:rPr>
          <w:szCs w:val="22"/>
        </w:rPr>
        <w:t xml:space="preserve">. As Debêntures </w:t>
      </w:r>
      <w:r>
        <w:rPr>
          <w:color w:val="000000"/>
          <w:szCs w:val="22"/>
        </w:rPr>
        <w:t>serão</w:t>
      </w:r>
      <w:r>
        <w:rPr>
          <w:szCs w:val="22"/>
        </w:rPr>
        <w:t xml:space="preserve"> da espécie quirografária, a ser convolada em espécie com garantia real e com garantia fidejussória adicional, nos termos do artigo 58 da Lei das Sociedades por Ações.</w:t>
      </w:r>
    </w:p>
    <w:p w:rsidR="00C963BB" w:rsidRDefault="00C759A0">
      <w:pPr>
        <w:pStyle w:val="Level2"/>
        <w:tabs>
          <w:tab w:val="clear" w:pos="680"/>
          <w:tab w:val="num" w:pos="1134"/>
        </w:tabs>
        <w:spacing w:after="240" w:line="320" w:lineRule="exact"/>
        <w:ind w:left="0" w:firstLine="0"/>
        <w:rPr>
          <w:szCs w:val="22"/>
        </w:rPr>
      </w:pPr>
      <w:bookmarkStart w:id="35" w:name="_Ref382146426"/>
      <w:r>
        <w:rPr>
          <w:b/>
          <w:szCs w:val="22"/>
        </w:rPr>
        <w:t>Data de Emissão das Debêntures</w:t>
      </w:r>
      <w:r>
        <w:rPr>
          <w:szCs w:val="22"/>
        </w:rPr>
        <w:t xml:space="preserve">. Para todos os </w:t>
      </w:r>
      <w:r>
        <w:rPr>
          <w:color w:val="000000"/>
          <w:szCs w:val="22"/>
        </w:rPr>
        <w:t>efeitos</w:t>
      </w:r>
      <w:r>
        <w:rPr>
          <w:szCs w:val="22"/>
        </w:rPr>
        <w:t xml:space="preserve"> legais, a data de emissão das Debêntures é 15 de junho de 2018 (“</w:t>
      </w:r>
      <w:r>
        <w:rPr>
          <w:szCs w:val="22"/>
          <w:u w:val="single"/>
        </w:rPr>
        <w:t>Data de Emissão</w:t>
      </w:r>
      <w:r>
        <w:rPr>
          <w:szCs w:val="22"/>
        </w:rPr>
        <w:t>”).</w:t>
      </w:r>
      <w:bookmarkEnd w:id="35"/>
    </w:p>
    <w:p w:rsidR="00C963BB" w:rsidRDefault="00C759A0">
      <w:pPr>
        <w:pStyle w:val="Level2"/>
        <w:tabs>
          <w:tab w:val="clear" w:pos="680"/>
          <w:tab w:val="num" w:pos="1134"/>
        </w:tabs>
        <w:spacing w:after="240" w:line="320" w:lineRule="exact"/>
        <w:ind w:left="0" w:firstLine="0"/>
        <w:rPr>
          <w:b/>
          <w:szCs w:val="22"/>
        </w:rPr>
      </w:pPr>
      <w:bookmarkStart w:id="36" w:name="_Ref382146345"/>
      <w:r>
        <w:rPr>
          <w:b/>
          <w:szCs w:val="22"/>
        </w:rPr>
        <w:t>Prazo de Vigência e Data de Vencimento</w:t>
      </w:r>
      <w:r>
        <w:rPr>
          <w:szCs w:val="22"/>
        </w:rPr>
        <w:t xml:space="preserve">. Ressalvadas as hipóteses em que ocorrer o vencimento antecipado e/ou resgate antecipado das Debêntures, nos termos desta Escritura de Emissão, </w:t>
      </w:r>
      <w:r>
        <w:rPr>
          <w:b/>
          <w:szCs w:val="22"/>
        </w:rPr>
        <w:t>(i)</w:t>
      </w:r>
      <w:r>
        <w:rPr>
          <w:szCs w:val="22"/>
        </w:rPr>
        <w:t xml:space="preserve"> as </w:t>
      </w:r>
      <w:r>
        <w:rPr>
          <w:color w:val="000000"/>
          <w:szCs w:val="22"/>
        </w:rPr>
        <w:t>Debêntures</w:t>
      </w:r>
      <w:r>
        <w:rPr>
          <w:szCs w:val="22"/>
        </w:rPr>
        <w:t xml:space="preserve"> da Primeira Série têm prazo de vigência de 72 (setenta e dois) meses contados da Data de Emissão, vencendo-se, portanto, em 15 de junho de 2024 (“</w:t>
      </w:r>
      <w:r>
        <w:rPr>
          <w:szCs w:val="22"/>
          <w:u w:val="single"/>
        </w:rPr>
        <w:t>Data de Vencimento da Primeira Série</w:t>
      </w:r>
      <w:r>
        <w:rPr>
          <w:szCs w:val="22"/>
        </w:rPr>
        <w:t xml:space="preserve">”); </w:t>
      </w:r>
      <w:r>
        <w:rPr>
          <w:b/>
          <w:szCs w:val="22"/>
        </w:rPr>
        <w:t xml:space="preserve">(ii) </w:t>
      </w:r>
      <w:r>
        <w:rPr>
          <w:szCs w:val="22"/>
        </w:rPr>
        <w:t xml:space="preserve">as </w:t>
      </w:r>
      <w:r>
        <w:rPr>
          <w:color w:val="000000"/>
          <w:szCs w:val="22"/>
        </w:rPr>
        <w:t>Debêntures</w:t>
      </w:r>
      <w:r>
        <w:rPr>
          <w:szCs w:val="22"/>
        </w:rPr>
        <w:t xml:space="preserve"> da Segunda Série têm prazo de vigência de 96 (noventa e seis) meses contados da Data de Emissão, vencendo-se, portanto, em 15 de junho de 2026 (“</w:t>
      </w:r>
      <w:r>
        <w:rPr>
          <w:szCs w:val="22"/>
          <w:u w:val="single"/>
        </w:rPr>
        <w:t>Data de Vencimento da Segunda Série</w:t>
      </w:r>
      <w:r>
        <w:rPr>
          <w:szCs w:val="22"/>
        </w:rPr>
        <w:t xml:space="preserve">”); e </w:t>
      </w:r>
      <w:r>
        <w:rPr>
          <w:b/>
          <w:szCs w:val="22"/>
        </w:rPr>
        <w:t>(iii)</w:t>
      </w:r>
      <w:r>
        <w:rPr>
          <w:szCs w:val="22"/>
        </w:rPr>
        <w:t xml:space="preserve"> as </w:t>
      </w:r>
      <w:r>
        <w:rPr>
          <w:color w:val="000000"/>
          <w:szCs w:val="22"/>
        </w:rPr>
        <w:t>Debêntures</w:t>
      </w:r>
      <w:r>
        <w:rPr>
          <w:szCs w:val="22"/>
        </w:rPr>
        <w:t xml:space="preserve"> da Terceira Série têm prazo de vigência de 96 (noventa e seis) meses contados da Data de Emissão, vencendo-se, portanto, em 15 de junho de 2026 (“</w:t>
      </w:r>
      <w:r>
        <w:rPr>
          <w:szCs w:val="22"/>
          <w:u w:val="single"/>
        </w:rPr>
        <w:t>Data de Vencimento da Terceira Série</w:t>
      </w:r>
      <w:r>
        <w:rPr>
          <w:szCs w:val="22"/>
        </w:rPr>
        <w:t>” e</w:t>
      </w:r>
      <w:r>
        <w:rPr>
          <w:rFonts w:eastAsia="MS Mincho"/>
          <w:szCs w:val="22"/>
        </w:rPr>
        <w:t>, em conjunto com a Data de Vencimento da Primeira Série e a Data de Vencimento da Segunda Série, “</w:t>
      </w:r>
      <w:r>
        <w:rPr>
          <w:rFonts w:eastAsia="MS Mincho"/>
          <w:szCs w:val="22"/>
          <w:u w:val="single"/>
        </w:rPr>
        <w:t>Datas de Vencimento</w:t>
      </w:r>
      <w:r>
        <w:rPr>
          <w:rFonts w:eastAsia="MS Mincho"/>
          <w:szCs w:val="22"/>
        </w:rPr>
        <w:t>”)</w:t>
      </w:r>
      <w:r>
        <w:rPr>
          <w:szCs w:val="22"/>
        </w:rPr>
        <w:t>.</w:t>
      </w:r>
      <w:bookmarkEnd w:id="36"/>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lastRenderedPageBreak/>
        <w:t>Valor Nominal Unitário das Debêntures</w:t>
      </w:r>
      <w:r>
        <w:rPr>
          <w:szCs w:val="22"/>
        </w:rPr>
        <w:t xml:space="preserve">. O </w:t>
      </w:r>
      <w:r>
        <w:rPr>
          <w:color w:val="000000"/>
          <w:szCs w:val="22"/>
        </w:rPr>
        <w:t>valor</w:t>
      </w:r>
      <w:r>
        <w:rPr>
          <w:szCs w:val="22"/>
        </w:rPr>
        <w:t xml:space="preserve"> nominal unitário das Debêntures é, na Data de Emissão, de R$1.000,00 (mil reais) (“</w:t>
      </w:r>
      <w:r>
        <w:rPr>
          <w:szCs w:val="22"/>
          <w:u w:val="single"/>
        </w:rPr>
        <w:t>Valor Nominal Unitário</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37" w:name="_Ref499201947"/>
      <w:r>
        <w:rPr>
          <w:b/>
          <w:snapToGrid w:val="0"/>
          <w:szCs w:val="22"/>
          <w:lang w:eastAsia="en-US"/>
        </w:rPr>
        <w:t>Atualização do Valor Nominal Unitário das Debêntures da Primeira Série e das Debêntures da Terceira Série</w:t>
      </w:r>
      <w:r>
        <w:rPr>
          <w:snapToGrid w:val="0"/>
          <w:szCs w:val="22"/>
          <w:lang w:eastAsia="en-US"/>
        </w:rPr>
        <w:t xml:space="preserve">. Não haverá atualização monetária do Valor Nominal Unitário das Debêntures da Primeira Série e das Debêntures da Terceira Série. </w:t>
      </w:r>
    </w:p>
    <w:p w:rsidR="00C963BB" w:rsidRDefault="00C759A0">
      <w:pPr>
        <w:pStyle w:val="Level2"/>
        <w:tabs>
          <w:tab w:val="clear" w:pos="680"/>
          <w:tab w:val="num" w:pos="1134"/>
        </w:tabs>
        <w:spacing w:after="240" w:line="320" w:lineRule="exact"/>
        <w:ind w:left="0" w:firstLine="0"/>
        <w:rPr>
          <w:szCs w:val="22"/>
        </w:rPr>
      </w:pPr>
      <w:bookmarkStart w:id="38" w:name="_Ref518315040"/>
      <w:r>
        <w:rPr>
          <w:b/>
          <w:snapToGrid w:val="0"/>
          <w:szCs w:val="22"/>
          <w:lang w:eastAsia="en-US"/>
        </w:rPr>
        <w:t>Atualização do Valor Nominal Unitário das Debêntures da Segunda Série</w:t>
      </w:r>
      <w:r>
        <w:rPr>
          <w:snapToGrid w:val="0"/>
          <w:szCs w:val="22"/>
          <w:lang w:eastAsia="en-US"/>
        </w:rPr>
        <w:t>. O Valor Nominal Unitário das Debêntures da Segunda Série ou o saldo do Valor Nominal Unitário das Debêntures da Segunda Série, conforme o caso, será atualizado pela variação do Índice de Preços ao Consumidor Amplo – IPCA, apurado e divulgado pelo Instituto Brasileiro de Geografia e Estatística – IBGE (“</w:t>
      </w:r>
      <w:r>
        <w:rPr>
          <w:snapToGrid w:val="0"/>
          <w:szCs w:val="22"/>
          <w:u w:val="single"/>
          <w:lang w:eastAsia="en-US"/>
        </w:rPr>
        <w:t>IPCA</w:t>
      </w:r>
      <w:r>
        <w:rPr>
          <w:snapToGrid w:val="0"/>
          <w:szCs w:val="22"/>
          <w:lang w:eastAsia="en-US"/>
        </w:rPr>
        <w:t>” e "</w:t>
      </w:r>
      <w:r>
        <w:rPr>
          <w:snapToGrid w:val="0"/>
          <w:szCs w:val="22"/>
          <w:u w:val="single"/>
          <w:lang w:eastAsia="en-US"/>
        </w:rPr>
        <w:t>Atualização Monetária</w:t>
      </w:r>
      <w:r>
        <w:rPr>
          <w:snapToGrid w:val="0"/>
          <w:szCs w:val="22"/>
          <w:lang w:eastAsia="en-US"/>
        </w:rPr>
        <w:t>", respectivamente), calculado de forma exponencial e cumulativa</w:t>
      </w:r>
      <w:r>
        <w:rPr>
          <w:i/>
          <w:snapToGrid w:val="0"/>
          <w:szCs w:val="22"/>
          <w:lang w:eastAsia="en-US"/>
        </w:rPr>
        <w:t xml:space="preserve"> pro rata temporis</w:t>
      </w:r>
      <w:r>
        <w:rPr>
          <w:snapToGrid w:val="0"/>
          <w:szCs w:val="22"/>
          <w:lang w:eastAsia="en-US"/>
        </w:rPr>
        <w:t xml:space="preserve"> por Dias Úteis, desde a primeira Data de Integralização das Debêntures da Segunda Série, conforme o caso, até a próxima </w:t>
      </w:r>
      <w:r>
        <w:rPr>
          <w:szCs w:val="22"/>
        </w:rPr>
        <w:t>data de seu efetivo pagamento</w:t>
      </w:r>
      <w:r>
        <w:rPr>
          <w:snapToGrid w:val="0"/>
          <w:szCs w:val="22"/>
          <w:lang w:eastAsia="en-US"/>
        </w:rPr>
        <w:t>, sendo o produto da Atualização Monetária das Debêntures da Segunda Série automaticamente incorporado ao Valor Nominal Unitário ou ao saldo do Valor Nominal Unitário das Debêntures da Segunda Série (“</w:t>
      </w:r>
      <w:r>
        <w:rPr>
          <w:snapToGrid w:val="0"/>
          <w:szCs w:val="22"/>
          <w:u w:val="single"/>
          <w:lang w:eastAsia="en-US"/>
        </w:rPr>
        <w:t>Valor Nominal Unitário Atualizado das Debêntures da Segunda Série</w:t>
      </w:r>
      <w:r>
        <w:rPr>
          <w:snapToGrid w:val="0"/>
          <w:szCs w:val="22"/>
          <w:lang w:eastAsia="en-US"/>
        </w:rPr>
        <w:t>”), de acordo com a seguinte fórmula:</w:t>
      </w:r>
      <w:bookmarkEnd w:id="38"/>
    </w:p>
    <w:p w:rsidR="00C963BB" w:rsidRDefault="00C963BB">
      <w:pPr>
        <w:spacing w:line="320" w:lineRule="exact"/>
        <w:rPr>
          <w:snapToGrid w:val="0"/>
          <w:kern w:val="20"/>
          <w:lang w:eastAsia="en-US"/>
        </w:rPr>
      </w:pPr>
    </w:p>
    <w:p w:rsidR="00C963BB" w:rsidRDefault="00C759A0">
      <w:pPr>
        <w:keepNext/>
        <w:spacing w:line="320" w:lineRule="exact"/>
        <w:jc w:val="center"/>
        <w:rPr>
          <w:snapToGrid w:val="0"/>
          <w:kern w:val="20"/>
          <w:lang w:eastAsia="en-US"/>
        </w:rPr>
      </w:pPr>
      <w:r>
        <w:rPr>
          <w:noProof/>
          <w:snapToGrid w:val="0"/>
          <w:kern w:val="20"/>
        </w:rPr>
        <w:drawing>
          <wp:inline distT="0" distB="0" distL="0" distR="0" wp14:anchorId="22076368" wp14:editId="107D5F81">
            <wp:extent cx="990600" cy="180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Valor Nominal Unitário Atualizado das Debêntures da Segunda Série,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das Debêntures</w:t>
            </w:r>
            <w:r>
              <w:t xml:space="preserve"> da Segunda Série ou o saldo do </w:t>
            </w:r>
            <w:r>
              <w:rPr>
                <w:iCs/>
              </w:rPr>
              <w:t>Valor Nominal Unitário</w:t>
            </w:r>
            <w:r>
              <w:t xml:space="preserve"> atualizado das Debêntures da Segunda 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C</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 xml:space="preserve">Fator acumulado das variações mensais do IPCA, </w:t>
            </w:r>
            <w:r>
              <w:rPr>
                <w:iCs/>
              </w:rPr>
              <w:t>calculado</w:t>
            </w:r>
            <w:r>
              <w:rPr>
                <w:snapToGrid w:val="0"/>
                <w:kern w:val="20"/>
                <w:lang w:eastAsia="en-US"/>
              </w:rPr>
              <w:t xml:space="preserve"> com 8 (oito) casas decimais, sem arredondamento, apurado da seguinte forma:</w:t>
            </w:r>
          </w:p>
        </w:tc>
      </w:tr>
    </w:tbl>
    <w:p w:rsidR="00C963BB" w:rsidRDefault="00C759A0">
      <w:pPr>
        <w:keepNext/>
        <w:tabs>
          <w:tab w:val="left" w:pos="0"/>
          <w:tab w:val="left" w:pos="708"/>
          <w:tab w:val="left" w:pos="2124"/>
          <w:tab w:val="left" w:pos="2832"/>
          <w:tab w:val="left" w:pos="3540"/>
          <w:tab w:val="left" w:pos="4248"/>
          <w:tab w:val="left" w:pos="4956"/>
          <w:tab w:val="left" w:pos="5664"/>
          <w:tab w:val="left" w:pos="6372"/>
          <w:tab w:val="left" w:pos="7080"/>
          <w:tab w:val="left" w:pos="7788"/>
        </w:tabs>
        <w:spacing w:line="320" w:lineRule="exact"/>
        <w:ind w:left="450"/>
        <w:rPr>
          <w:snapToGrid w:val="0"/>
          <w:kern w:val="20"/>
          <w:lang w:eastAsia="en-US"/>
        </w:rPr>
      </w:pPr>
      <w:r>
        <w:rPr>
          <w:noProof/>
          <w:snapToGrid w:val="0"/>
          <w:kern w:val="20"/>
        </w:rPr>
        <w:lastRenderedPageBreak/>
        <w:drawing>
          <wp:anchor distT="0" distB="0" distL="114300" distR="114300" simplePos="0" relativeHeight="251665408" behindDoc="0" locked="0" layoutInCell="1" allowOverlap="1" wp14:anchorId="34C59FB8" wp14:editId="1C8D371A">
            <wp:simplePos x="0" y="0"/>
            <wp:positionH relativeFrom="column">
              <wp:posOffset>2291715</wp:posOffset>
            </wp:positionH>
            <wp:positionV relativeFrom="paragraph">
              <wp:posOffset>15875</wp:posOffset>
            </wp:positionV>
            <wp:extent cx="1670685" cy="882015"/>
            <wp:effectExtent l="0" t="0" r="571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Número total de índices considerados na Atualização Monetária, sendo “n” um número inteiro;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NI</w:t>
            </w:r>
            <w:r>
              <w:rPr>
                <w:b/>
                <w:vertAlign w:val="subscript"/>
              </w:rPr>
              <w:t>k</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valor do número-índice do IPCA do mês anterior ao mês de atualização, caso a atualização seja em data anterior ou na própria Data de Aniversário. Após a Data de Aniversário </w:t>
            </w:r>
            <w:r>
              <w:rPr>
                <w:snapToGrid w:val="0"/>
                <w:kern w:val="20"/>
                <w:lang w:eastAsia="en-US"/>
              </w:rPr>
              <w:t>(conforme abaixo definida)</w:t>
            </w:r>
            <w:r>
              <w:t>, valor do número-índice do IPCA do mês de atualização</w:t>
            </w:r>
            <w:r>
              <w:rPr>
                <w:snapToGrid w:val="0"/>
                <w:kern w:val="20"/>
                <w:lang w:eastAsia="en-U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NI</w:t>
            </w:r>
            <w:r>
              <w:rPr>
                <w:b/>
                <w:vertAlign w:val="subscript"/>
              </w:rPr>
              <w:t>k-1</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valor do número-índice do mês anterior ao mês “k”;</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número de Dias Úteis entre a primeira Data de Integralização ou a última Data de Aniversário (inclusive) e a data de cálculo (exclusive), limitado ao número total de Dias Úteis de vigência do número-índice do IPCA utilizado, sendo “dup” um número inteiro;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dut</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lang w:eastAsia="en-US"/>
              </w:rPr>
            </w:pPr>
            <w:r>
              <w:rPr>
                <w:snapToGrid w:val="0"/>
                <w:kern w:val="20"/>
                <w:lang w:eastAsia="en-US"/>
              </w:rPr>
              <w:t>número de Dias Úteis entre a última Data de Aniversário (inclusive) e a próxima Data de Aniversário (exclusive), sendo “dut” um número inteiro.</w:t>
            </w:r>
          </w:p>
        </w:tc>
      </w:tr>
    </w:tbl>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Sendo que:</w:t>
      </w:r>
    </w:p>
    <w:p w:rsidR="00C963BB" w:rsidRDefault="00C759A0">
      <w:pPr>
        <w:numPr>
          <w:ilvl w:val="0"/>
          <w:numId w:val="317"/>
        </w:numPr>
        <w:autoSpaceDE w:val="0"/>
        <w:autoSpaceDN w:val="0"/>
        <w:adjustRightInd w:val="0"/>
        <w:spacing w:after="240" w:line="320" w:lineRule="exact"/>
        <w:ind w:left="1134" w:hanging="1134"/>
        <w:jc w:val="both"/>
        <w:rPr>
          <w:snapToGrid w:val="0"/>
          <w:kern w:val="20"/>
          <w:lang w:eastAsia="en-US"/>
        </w:rPr>
      </w:pPr>
      <w:r>
        <w:rPr>
          <w:snapToGrid w:val="0"/>
          <w:kern w:val="20"/>
          <w:lang w:eastAsia="en-US"/>
        </w:rPr>
        <w:t>A aplicação do IPCA incidirá no menor período permitido pela legislação em vigor, sem necessidade de aditamento a esta Escritura de Emissão ou qualquer outra formalidade;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número-índice do IPCA deverá ser utilizado considerando-se idêntico número de casas decimais daquele divulgado pelo IBGE;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t>Considera-se como mês de atualização, o período mensal compreendido entre duas datas de aniversários consecutivas das Debêntures;</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lastRenderedPageBreak/>
        <w:t xml:space="preserve">Considera-se como data de aniversário o dia </w:t>
      </w:r>
      <w:r>
        <w:t>15</w:t>
      </w:r>
      <w:r>
        <w:rPr>
          <w:snapToGrid w:val="0"/>
          <w:kern w:val="20"/>
          <w:lang w:eastAsia="en-US"/>
        </w:rPr>
        <w:t xml:space="preserve"> (</w:t>
      </w:r>
      <w:r>
        <w:t>quinze</w:t>
      </w:r>
      <w:r>
        <w:rPr>
          <w:snapToGrid w:val="0"/>
          <w:kern w:val="20"/>
          <w:lang w:eastAsia="en-US"/>
        </w:rPr>
        <w:t xml:space="preserve">) de cada mês, </w:t>
      </w:r>
      <w:r>
        <w:t>e caso referida data não seja Dia Útil, o primeiro Dia Útil subsequente</w:t>
      </w:r>
      <w:r>
        <w:rPr>
          <w:snapToGrid w:val="0"/>
          <w:kern w:val="20"/>
          <w:lang w:eastAsia="en-US"/>
        </w:rPr>
        <w:t xml:space="preserve"> (“</w:t>
      </w:r>
      <w:r>
        <w:rPr>
          <w:snapToGrid w:val="0"/>
          <w:kern w:val="20"/>
          <w:u w:val="single"/>
          <w:lang w:eastAsia="en-US"/>
        </w:rPr>
        <w:t>Data de Aniversário</w:t>
      </w:r>
      <w:r>
        <w:rPr>
          <w:snapToGrid w:val="0"/>
          <w:kern w:val="20"/>
          <w:lang w:eastAsia="en-US"/>
        </w:rPr>
        <w:t>”). Considera-se como mês de atualização, o período mensal compreendido entre duas datas de aniversário consecutivas;</w:t>
      </w:r>
    </w:p>
    <w:p w:rsidR="00C963BB" w:rsidRDefault="00C963BB">
      <w:pPr>
        <w:tabs>
          <w:tab w:val="left" w:pos="0"/>
        </w:tabs>
        <w:autoSpaceDE w:val="0"/>
        <w:autoSpaceDN w:val="0"/>
        <w:adjustRightInd w:val="0"/>
        <w:spacing w:after="240" w:line="320" w:lineRule="exact"/>
        <w:ind w:left="1134"/>
        <w:jc w:val="both"/>
        <w:rPr>
          <w:snapToGrid w:val="0"/>
          <w:kern w:val="20"/>
          <w:lang w:eastAsia="en-US"/>
        </w:rPr>
      </w:pP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noProof/>
          <w:snapToGrid w:val="0"/>
          <w:kern w:val="20"/>
        </w:rPr>
        <w:drawing>
          <wp:anchor distT="0" distB="0" distL="114300" distR="114300" simplePos="0" relativeHeight="251664384" behindDoc="0" locked="0" layoutInCell="1" allowOverlap="1" wp14:anchorId="7087B171" wp14:editId="20AF2374">
            <wp:simplePos x="0" y="0"/>
            <wp:positionH relativeFrom="column">
              <wp:posOffset>3183559</wp:posOffset>
            </wp:positionH>
            <wp:positionV relativeFrom="paragraph">
              <wp:posOffset>-340084</wp:posOffset>
            </wp:positionV>
            <wp:extent cx="799465" cy="647700"/>
            <wp:effectExtent l="0" t="0" r="63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46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napToGrid w:val="0"/>
          <w:kern w:val="20"/>
          <w:lang w:eastAsia="en-US"/>
        </w:rPr>
        <w:t>Os fatores resultantes da expressão:</w:t>
      </w:r>
      <w:r>
        <w:rPr>
          <w:snapToGrid w:val="0"/>
          <w:kern w:val="20"/>
          <w:lang w:eastAsia="en-US"/>
        </w:rPr>
        <w:tab/>
      </w:r>
      <w:r>
        <w:rPr>
          <w:snapToGrid w:val="0"/>
          <w:kern w:val="20"/>
          <w:lang w:eastAsia="en-US"/>
        </w:rPr>
        <w:tab/>
      </w:r>
      <w:r>
        <w:rPr>
          <w:snapToGrid w:val="0"/>
          <w:kern w:val="20"/>
          <w:lang w:eastAsia="en-US"/>
        </w:rPr>
        <w:tab/>
        <w:t xml:space="preserve"> são considerados com 8 (oito) casas decimais, sem arredondamento; 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produtório é executado a partir do fator mais recente, acrescentando-se, em seguida, os mais remotos. Os resultados intermediários são calculados com 16 (dezesseis) casas decimais, sem arredondamento.</w:t>
      </w:r>
    </w:p>
    <w:p w:rsidR="00C963BB" w:rsidRDefault="00C759A0">
      <w:pPr>
        <w:pStyle w:val="Level3"/>
        <w:numPr>
          <w:ilvl w:val="2"/>
          <w:numId w:val="52"/>
        </w:numPr>
        <w:tabs>
          <w:tab w:val="clear" w:pos="1361"/>
          <w:tab w:val="num" w:pos="1674"/>
        </w:tabs>
        <w:spacing w:after="240" w:line="320" w:lineRule="exact"/>
        <w:ind w:left="0" w:firstLine="0"/>
        <w:rPr>
          <w:snapToGrid w:val="0"/>
          <w:szCs w:val="22"/>
        </w:rPr>
      </w:pPr>
      <w:r>
        <w:rPr>
          <w:snapToGrid w:val="0"/>
          <w:szCs w:val="22"/>
          <w:lang w:eastAsia="en-US"/>
        </w:rPr>
        <w:t>Se até a Data de Aniversário das Debêntures da Segunda Série o NIk não tiver sido divulgado, deverá ser utilizado em substituição a NIk na apuração do fator “C” um número-índice projetado, calculado com base na última projeção disponível, divulgada pela ANBIMA (“</w:t>
      </w:r>
      <w:r>
        <w:rPr>
          <w:snapToGrid w:val="0"/>
          <w:szCs w:val="22"/>
          <w:u w:val="single"/>
          <w:lang w:eastAsia="en-US"/>
        </w:rPr>
        <w:t>Número-Índice Projetado</w:t>
      </w:r>
      <w:r>
        <w:rPr>
          <w:snapToGrid w:val="0"/>
          <w:szCs w:val="22"/>
          <w:lang w:eastAsia="en-US"/>
        </w:rPr>
        <w:t>” e “</w:t>
      </w:r>
      <w:r>
        <w:rPr>
          <w:snapToGrid w:val="0"/>
          <w:szCs w:val="22"/>
          <w:u w:val="single"/>
          <w:lang w:eastAsia="en-US"/>
        </w:rPr>
        <w:t>Projeção</w:t>
      </w:r>
      <w:r>
        <w:rPr>
          <w:snapToGrid w:val="0"/>
          <w:szCs w:val="22"/>
          <w:lang w:eastAsia="en-US"/>
        </w:rPr>
        <w:t>”, respectivamente) da variação percentual do IPCA, conforme fórmula a seguir:</w:t>
      </w:r>
    </w:p>
    <w:p w:rsidR="00C963BB" w:rsidRDefault="00C759A0">
      <w:pPr>
        <w:pStyle w:val="TextosemFormatao"/>
        <w:tabs>
          <w:tab w:val="left" w:pos="0"/>
        </w:tabs>
        <w:spacing w:line="320" w:lineRule="exact"/>
        <w:jc w:val="both"/>
        <w:rPr>
          <w:rFonts w:eastAsia="Times New Roman"/>
          <w:snapToGrid w:val="0"/>
          <w:color w:val="auto"/>
          <w:kern w:val="20"/>
          <w:szCs w:val="22"/>
        </w:rPr>
      </w:pPr>
      <w:r>
        <w:rPr>
          <w:rFonts w:eastAsia="Times New Roman"/>
          <w:noProof/>
          <w:snapToGrid w:val="0"/>
          <w:color w:val="auto"/>
          <w:kern w:val="20"/>
          <w:szCs w:val="22"/>
          <w:lang w:eastAsia="pt-BR"/>
        </w:rPr>
        <w:drawing>
          <wp:anchor distT="0" distB="0" distL="114300" distR="114300" simplePos="0" relativeHeight="251666432" behindDoc="0" locked="0" layoutInCell="1" allowOverlap="1" wp14:anchorId="79EFE617" wp14:editId="035AEF1B">
            <wp:simplePos x="0" y="0"/>
            <wp:positionH relativeFrom="column">
              <wp:posOffset>1526540</wp:posOffset>
            </wp:positionH>
            <wp:positionV relativeFrom="paragraph">
              <wp:posOffset>-3175</wp:posOffset>
            </wp:positionV>
            <wp:extent cx="2353310" cy="33401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310" cy="33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3BB" w:rsidRDefault="00C963BB">
      <w:pPr>
        <w:pStyle w:val="TextosemFormatao"/>
        <w:spacing w:line="320" w:lineRule="exact"/>
        <w:jc w:val="center"/>
        <w:rPr>
          <w:rFonts w:eastAsia="Times New Roman"/>
          <w:snapToGrid w:val="0"/>
          <w:color w:val="auto"/>
          <w:kern w:val="20"/>
          <w:szCs w:val="22"/>
        </w:rPr>
      </w:pPr>
    </w:p>
    <w:p w:rsidR="00C963BB" w:rsidRDefault="00C759A0">
      <w:pPr>
        <w:pStyle w:val="Level2"/>
        <w:numPr>
          <w:ilvl w:val="0"/>
          <w:numId w:val="0"/>
        </w:numPr>
        <w:spacing w:after="240" w:line="320" w:lineRule="exact"/>
        <w:rPr>
          <w:i/>
          <w:snapToGrid w:val="0"/>
          <w:szCs w:val="22"/>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snapToGrid w:val="0"/>
                <w:kern w:val="20"/>
              </w:rPr>
              <w:t>NIkp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rPr>
              <w:t>Número-Índice Projetado do IPCA para o mês de atualização, calculado com 2 (duas) casas decimais, com arredondamento;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snapToGrid w:val="0"/>
                <w:kern w:val="20"/>
              </w:rPr>
            </w:pPr>
            <w:r>
              <w:rPr>
                <w:b/>
                <w:snapToGrid w:val="0"/>
                <w:kern w:val="20"/>
              </w:rPr>
              <w:t>Projeção</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rPr>
            </w:pPr>
            <w:r>
              <w:rPr>
                <w:snapToGrid w:val="0"/>
                <w:kern w:val="20"/>
              </w:rPr>
              <w:t>Variação percentual projetada pela ANBIMA referente ao mês de atualização.</w:t>
            </w:r>
          </w:p>
        </w:tc>
      </w:tr>
    </w:tbl>
    <w:p w:rsidR="00C963BB" w:rsidRDefault="00C759A0">
      <w:pPr>
        <w:pStyle w:val="Level2"/>
        <w:numPr>
          <w:ilvl w:val="0"/>
          <w:numId w:val="0"/>
        </w:numPr>
        <w:spacing w:after="240" w:line="320" w:lineRule="exact"/>
        <w:rPr>
          <w:i/>
          <w:snapToGrid w:val="0"/>
          <w:szCs w:val="22"/>
        </w:rPr>
      </w:pPr>
      <w:r>
        <w:rPr>
          <w:i/>
          <w:snapToGrid w:val="0"/>
          <w:szCs w:val="22"/>
          <w:lang w:eastAsia="en-US"/>
        </w:rPr>
        <w:t xml:space="preserve">Sendo que </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t>o Número-Índice Projetado será utilizado, provisoriamente, enquanto não houver sido divulgado o número-índice correspondente ao mês de atualização, não sendo, porém, devida nenhuma compensação entre a Emissora e os Debenturistas quando da divulgação posterior do IPCA que seria aplicável; e</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lastRenderedPageBreak/>
        <w:t>o número-índice do IPCA, bem como as projeções de sua variação, deverão ser utilizados considerando idêntico número de casas decimais divulgado pelo órgão responsável por seu cálculo/apuração.</w:t>
      </w:r>
    </w:p>
    <w:p w:rsidR="00C963BB" w:rsidRDefault="00C759A0">
      <w:pPr>
        <w:pStyle w:val="Level3"/>
        <w:numPr>
          <w:ilvl w:val="2"/>
          <w:numId w:val="52"/>
        </w:numPr>
        <w:tabs>
          <w:tab w:val="clear" w:pos="1361"/>
          <w:tab w:val="num" w:pos="1674"/>
        </w:tabs>
        <w:spacing w:after="240" w:line="320" w:lineRule="exact"/>
        <w:ind w:left="0" w:firstLine="0"/>
        <w:rPr>
          <w:szCs w:val="22"/>
        </w:rPr>
      </w:pPr>
      <w:r>
        <w:rPr>
          <w:rFonts w:eastAsia="Calibri"/>
          <w:bCs/>
          <w:color w:val="000000"/>
          <w:szCs w:val="22"/>
          <w:u w:val="single"/>
          <w:lang w:eastAsia="en-US"/>
        </w:rPr>
        <w:t>Indisponibilidade Temporária do IPCA</w:t>
      </w:r>
      <w:r>
        <w:rPr>
          <w:szCs w:val="22"/>
        </w:rPr>
        <w:t xml:space="preserve">. Se, em qualquer data de apuração da Atualização Monetária, não houver divulgação do IPCA pelo IBGE, será </w:t>
      </w:r>
      <w:r>
        <w:rPr>
          <w:snapToGrid w:val="0"/>
          <w:szCs w:val="22"/>
          <w:lang w:eastAsia="en-US"/>
        </w:rPr>
        <w:t>aplicada</w:t>
      </w:r>
      <w:r>
        <w:rPr>
          <w:szCs w:val="22"/>
        </w:rPr>
        <w:t xml:space="preserve"> na apuração do fator “C” a última Projeção disponível do IPCA divulgada oficialmente que estiver disponível naquela data, não sendo devidas quaisquer compensações entre a Emissora e os Debenturistas quando da divulgação posterior do IPCA que seria aplicável. </w:t>
      </w:r>
    </w:p>
    <w:p w:rsidR="00C963BB" w:rsidRDefault="00C759A0">
      <w:pPr>
        <w:pStyle w:val="Level3"/>
        <w:numPr>
          <w:ilvl w:val="2"/>
          <w:numId w:val="52"/>
        </w:numPr>
        <w:tabs>
          <w:tab w:val="clear" w:pos="1361"/>
          <w:tab w:val="num" w:pos="1674"/>
        </w:tabs>
        <w:spacing w:after="240" w:line="320" w:lineRule="exact"/>
        <w:ind w:left="0" w:firstLine="0"/>
        <w:rPr>
          <w:szCs w:val="22"/>
        </w:rPr>
      </w:pPr>
      <w:r>
        <w:rPr>
          <w:szCs w:val="22"/>
          <w:u w:val="single"/>
        </w:rPr>
        <w:t>Indisponibilidade Definitiva do IPCA</w:t>
      </w:r>
      <w:r>
        <w:rPr>
          <w:szCs w:val="22"/>
        </w:rPr>
        <w:t xml:space="preserve">. Na hipótese de </w:t>
      </w:r>
      <w:r>
        <w:rPr>
          <w:b/>
          <w:szCs w:val="22"/>
        </w:rPr>
        <w:t>(i)</w:t>
      </w:r>
      <w:r>
        <w:rPr>
          <w:szCs w:val="22"/>
        </w:rPr>
        <w:t xml:space="preserve"> não divulgação do IPCA por mais de 10 (dez) Dias Úteis após a data esperada para sua divulgação; ou </w:t>
      </w:r>
      <w:r>
        <w:rPr>
          <w:b/>
          <w:szCs w:val="22"/>
        </w:rPr>
        <w:t>(ii)</w:t>
      </w:r>
      <w:r>
        <w:rPr>
          <w:szCs w:val="22"/>
        </w:rPr>
        <w:t> extinção ou impossibilidade de aplicação do IPCA às Debêntures da Segunda Série por proibição legal ou judicial, o Agente Fiduciário deverá,</w:t>
      </w:r>
      <w:r>
        <w:rPr>
          <w:b/>
          <w:szCs w:val="22"/>
        </w:rPr>
        <w:t xml:space="preserve"> </w:t>
      </w:r>
      <w:r>
        <w:rPr>
          <w:szCs w:val="22"/>
        </w:rPr>
        <w:t xml:space="preserve">no prazo de até 2 (dois) Dias Úteis contados: </w:t>
      </w:r>
      <w:r>
        <w:rPr>
          <w:b/>
          <w:szCs w:val="22"/>
        </w:rPr>
        <w:t xml:space="preserve">(a) </w:t>
      </w:r>
      <w:r>
        <w:rPr>
          <w:szCs w:val="22"/>
        </w:rPr>
        <w:t>da data de término do prazo de 10 (dez) Dias Úteis acima referido, ou</w:t>
      </w:r>
      <w:r>
        <w:rPr>
          <w:b/>
          <w:szCs w:val="22"/>
        </w:rPr>
        <w:t xml:space="preserve"> (b) </w:t>
      </w:r>
      <w:r>
        <w:rPr>
          <w:szCs w:val="22"/>
        </w:rPr>
        <w:t>da data de extinção do IPCA ou de impossibilidade de aplicação do IPCA por imposição legal ou determinação judicial, conforme o caso, convocar uma Assembleia Geral de Debenturistas da Segunda Série para deliberar, em comum acordo com a Emissora e observada a regulamentação aplicável, sobre o novo parâmetro de atualização monetária das Debêntures da Segunda Série a ser aplicado, o qual deverá refletir os parâmetros utilizados em operações similares existentes à época, as quais utilizavam como base o IPCA (“</w:t>
      </w:r>
      <w:r>
        <w:rPr>
          <w:szCs w:val="22"/>
          <w:u w:val="single"/>
        </w:rPr>
        <w:t>Taxa Substitutiva IPCA</w:t>
      </w:r>
      <w:r>
        <w:rPr>
          <w:szCs w:val="22"/>
        </w:rPr>
        <w:t xml:space="preserve">”). </w:t>
      </w:r>
    </w:p>
    <w:p w:rsidR="00C963BB" w:rsidRDefault="00C759A0">
      <w:pPr>
        <w:pStyle w:val="Level3"/>
        <w:numPr>
          <w:ilvl w:val="2"/>
          <w:numId w:val="52"/>
        </w:numPr>
        <w:tabs>
          <w:tab w:val="clear" w:pos="1361"/>
          <w:tab w:val="num" w:pos="1674"/>
        </w:tabs>
        <w:spacing w:after="240" w:line="320" w:lineRule="exact"/>
        <w:ind w:left="0" w:firstLine="0"/>
        <w:rPr>
          <w:szCs w:val="22"/>
        </w:rPr>
      </w:pPr>
      <w:r>
        <w:rPr>
          <w:snapToGrid w:val="0"/>
          <w:szCs w:val="22"/>
          <w:lang w:eastAsia="en-US"/>
        </w:rPr>
        <w:t>Até a deliberação desse parâmetro, que deverá ser aprovado por Debenturistas que representem, pelo menos, a maioria das Debêntures da Segunda Série em Circulação (conforme definido abaixo), será utilizada, para o cálculo da atualização monetária das Debêntures da Segunda Série</w:t>
      </w:r>
      <w:r>
        <w:rPr>
          <w:szCs w:val="22"/>
        </w:rPr>
        <w:t>, a última Projeção disponível do IPCA divulgada oficialmente, não sendo devidas quaisquer compensações entre a Emissora e os Debenturistas quando da deliberação do novo parâmetro de atualização monetária para as Debêntures da Segunda Série. Caso o IPCA volte a ser divulgado antes da realização da Assembleia Geral de Debenturistas prevista acima, referida Assembleia Geral de Debenturistas não será realizada e o IPCA, a partir da data de sua validade, passará a ser novamente utilizado para o cálculo da Atualização Monetária, sendo certo que até a data de divulgação do IPCA nos termos aqui previstos, a última Projeção disponível do IPCA divulgada oficialmente será utilizada para o cálculo da Atualização Monetária.</w:t>
      </w:r>
    </w:p>
    <w:p w:rsidR="00C963BB" w:rsidRDefault="00C759A0">
      <w:pPr>
        <w:pStyle w:val="Level3"/>
        <w:numPr>
          <w:ilvl w:val="2"/>
          <w:numId w:val="52"/>
        </w:numPr>
        <w:tabs>
          <w:tab w:val="clear" w:pos="1361"/>
          <w:tab w:val="num" w:pos="1674"/>
        </w:tabs>
        <w:autoSpaceDE w:val="0"/>
        <w:autoSpaceDN w:val="0"/>
        <w:adjustRightInd w:val="0"/>
        <w:spacing w:after="240" w:line="320" w:lineRule="exact"/>
        <w:ind w:left="-2" w:firstLine="0"/>
        <w:rPr>
          <w:snapToGrid w:val="0"/>
          <w:szCs w:val="22"/>
        </w:rPr>
      </w:pPr>
      <w:bookmarkStart w:id="39" w:name="_Ref516423502"/>
      <w:r>
        <w:rPr>
          <w:szCs w:val="22"/>
        </w:rPr>
        <w:t xml:space="preserve">Caso, na Assembleia Geral de Debenturistas prevista acima, não haja acordo sobre a Taxa Substitutiva IPCA entre a Emissora e Debenturistas </w:t>
      </w:r>
      <w:r>
        <w:rPr>
          <w:snapToGrid w:val="0"/>
          <w:szCs w:val="22"/>
          <w:lang w:eastAsia="en-US"/>
        </w:rPr>
        <w:t>representando</w:t>
      </w:r>
      <w:r>
        <w:rPr>
          <w:szCs w:val="22"/>
        </w:rPr>
        <w:t xml:space="preserve">, no mínimo, a maioria das Debêntures da Segunda Série em Circulação, a Emissora deverá resgatar antecipadamente e, consequentemente, cancelar a totalidade das Debêntures da Segunda Série, </w:t>
      </w:r>
      <w:r>
        <w:rPr>
          <w:szCs w:val="22"/>
        </w:rPr>
        <w:lastRenderedPageBreak/>
        <w:t xml:space="preserve">sem o pagamento de multa ou prêmio de qualquer natureza, no prazo de até 10 (dez) Dias Úteis da data da realização da respectiva assembleia (ou da data em que tal assembleia deveria ter sido realizada), pelo Valor Nominal Unitário Atualizado, acrescido da Remuneração da Segunda Série devida até a data do efetivo resgate, calculada </w:t>
      </w:r>
      <w:r>
        <w:rPr>
          <w:i/>
          <w:szCs w:val="22"/>
        </w:rPr>
        <w:t>pro rata temporis</w:t>
      </w:r>
      <w:r>
        <w:rPr>
          <w:szCs w:val="22"/>
        </w:rPr>
        <w:t xml:space="preserve"> desde a primeira Data de Integralização ou a Data de Pagamento da Segunda Série (conforme abaixo definida) imediatamente anterior, o que ocorrer por último. Neste caso, para o cálculo da Atualização Monetária aplicável às Debêntures da Segunda Série que serão resgatadas, será utilizado o percentual correspondente à última Projeção disponível do IPCA divulgada oficialmente.</w:t>
      </w:r>
      <w:bookmarkEnd w:id="39"/>
      <w:r>
        <w:rPr>
          <w:szCs w:val="22"/>
        </w:rPr>
        <w:t xml:space="preserv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Primeira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Primeira Série será amortizado em 16 (dezesseis) parcelas consecutivas, nas Datas de Pagamento da Primeira Série (conforme definido abaixo) e percentuais indicados no Anexo II a esta Escritura de Emissão, sendo a primeira parcela devida em 15 de setembro de 2020 e a última na Data de Vencimento da Primeira Série. </w:t>
      </w:r>
      <w:bookmarkEnd w:id="37"/>
    </w:p>
    <w:p w:rsidR="00C963BB" w:rsidRDefault="00C759A0">
      <w:pPr>
        <w:pStyle w:val="Level2"/>
        <w:tabs>
          <w:tab w:val="clear" w:pos="680"/>
          <w:tab w:val="num" w:pos="1134"/>
        </w:tabs>
        <w:spacing w:after="240" w:line="320" w:lineRule="exact"/>
        <w:ind w:left="0" w:firstLine="0"/>
        <w:rPr>
          <w:b/>
          <w:szCs w:val="22"/>
        </w:rPr>
      </w:pPr>
      <w:bookmarkStart w:id="40" w:name="_Ref416954838"/>
      <w:r>
        <w:rPr>
          <w:b/>
          <w:szCs w:val="22"/>
        </w:rPr>
        <w:t>Amortização Programada das Debêntures da Segunda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Atualizado das Debêntures da Segunda Série será amortizado em 10 (dez) parcelas consecutivas, nas Datas de Pagamento da Segunda Série e percentuais indicados no Anexo II a esta Escritura de Emissão, sendo a primeira parcela devida em 15 de março de 2024 e a última na Data de Vencimento da Segunda Série.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Terceira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Terceira Série será amortizado em 10 (dez) parcelas trimestrais e consecutivas, nas Datas de Pagamento da Terceira Série (conforme definido abaixo) e percentuais indicados no Anexo II a esta Escritura de Emissão, sendo a primeira parcela devida em 15 de março de 2024 e a última na Data de Vencimento da Terceira Série. </w:t>
      </w:r>
    </w:p>
    <w:p w:rsidR="00C963BB" w:rsidRDefault="00C759A0">
      <w:pPr>
        <w:pStyle w:val="Level2"/>
        <w:tabs>
          <w:tab w:val="clear" w:pos="680"/>
          <w:tab w:val="num" w:pos="1134"/>
        </w:tabs>
        <w:spacing w:after="240" w:line="320" w:lineRule="exact"/>
        <w:ind w:left="0" w:firstLine="0"/>
        <w:rPr>
          <w:b/>
          <w:szCs w:val="22"/>
        </w:rPr>
      </w:pPr>
      <w:r>
        <w:rPr>
          <w:b/>
          <w:szCs w:val="22"/>
        </w:rPr>
        <w:t>Remuneração das Debêntures</w:t>
      </w:r>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Primeira Série</w:t>
      </w:r>
      <w:r>
        <w:rPr>
          <w:szCs w:val="22"/>
        </w:rPr>
        <w:t xml:space="preserve">. Sobre o Valor Nominal Unitário das Debêntures da Primeira Série ou o saldo do Valor Nominal Unitário das Debêntures da Primeira Série, conforme o caso, incidirão juros remuneratórios correspondentes à variação acumulada de </w:t>
      </w:r>
      <w:r>
        <w:rPr>
          <w:szCs w:val="22"/>
        </w:rPr>
        <w:lastRenderedPageBreak/>
        <w:t>100% (cem por cento) das taxas médias diárias dos DI – Depósitos Interfinanceiros de um dia, "</w:t>
      </w:r>
      <w:r>
        <w:rPr>
          <w:i/>
          <w:szCs w:val="22"/>
        </w:rPr>
        <w:t>over extra-grupo</w:t>
      </w:r>
      <w:r>
        <w:rPr>
          <w:szCs w:val="22"/>
        </w:rPr>
        <w:t>", expressas na forma percentual ao ano, base 252 (duzentos e cinquenta e dois) Dias Úteis, calculadas e divulgadas diariamente pela B3, no informativo diário disponível em sua página na Internet (http://www.cetip.com.br) ("</w:t>
      </w:r>
      <w:r>
        <w:rPr>
          <w:szCs w:val="22"/>
          <w:u w:val="single"/>
        </w:rPr>
        <w:t>Taxa DI</w:t>
      </w:r>
      <w:r>
        <w:rPr>
          <w:szCs w:val="22"/>
        </w:rPr>
        <w:t>"), acrescida de sobretaxa equivalente a 3,29% (três inteiros e vinte e nove centésimos por cento) ao ano, base 252 (duzentos e cinquenta e dois) Dias Úteis (“</w:t>
      </w:r>
      <w:r>
        <w:rPr>
          <w:szCs w:val="22"/>
          <w:u w:val="single"/>
        </w:rPr>
        <w:t>Sobretaxa Primeira Série</w:t>
      </w:r>
      <w:r>
        <w:rPr>
          <w:szCs w:val="22"/>
        </w:rPr>
        <w:t>” e, em conjunto com a Taxa DI, “</w:t>
      </w:r>
      <w:r>
        <w:rPr>
          <w:szCs w:val="22"/>
          <w:u w:val="single"/>
        </w:rPr>
        <w:t>Remuneração da Primeira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da Primeira Série ou Data de Pagamento das Debêntures da Primeira Série imediatamente anterior, inclusive, conforme o caso,</w:t>
      </w:r>
      <w:r>
        <w:rPr>
          <w:szCs w:val="22"/>
        </w:rPr>
        <w:t xml:space="preserve"> até a data de seu efetivo pagamento, exclusive.</w:t>
      </w:r>
      <w:bookmarkEnd w:id="40"/>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Terceira Série</w:t>
      </w:r>
      <w:r>
        <w:rPr>
          <w:szCs w:val="22"/>
        </w:rPr>
        <w:t>. Sobre o Valor Nominal Unitário das Debêntures da Terceira Série ou o saldo do Valor Nominal Unitário das Debêntures da Terceira Série, conforme o caso, incidirão juros remuneratórios correspondentes à variação acumulada de 100% (cem por cento) da Taxa DI, acrescida de sobretaxa equivalente a 4,20% (quatro inteiros e vinte centésimos por cento) ao ano, base 252 (duzentos e cinquenta e dois) Dias Úteis (“</w:t>
      </w:r>
      <w:r>
        <w:rPr>
          <w:szCs w:val="22"/>
          <w:u w:val="single"/>
        </w:rPr>
        <w:t>Sobretaxa Terceira Série</w:t>
      </w:r>
      <w:r>
        <w:rPr>
          <w:szCs w:val="22"/>
        </w:rPr>
        <w:t>” e, em conjunto com a Taxa DI, “</w:t>
      </w:r>
      <w:r>
        <w:rPr>
          <w:szCs w:val="22"/>
          <w:u w:val="single"/>
        </w:rPr>
        <w:t>Remuneração da Terceira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da Terceira Série ou Data de Pagamento das Debêntures da Terceira Série imediatamente anterior, inclusive, conforme o caso,</w:t>
      </w:r>
      <w:r>
        <w:rPr>
          <w:szCs w:val="22"/>
        </w:rPr>
        <w:t xml:space="preserve"> até a data de seu efetivo pagamento, exclusive.</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1" w:name="_Ref512697991"/>
      <w:r>
        <w:rPr>
          <w:szCs w:val="22"/>
        </w:rPr>
        <w:t xml:space="preserve">O </w:t>
      </w:r>
      <w:r>
        <w:rPr>
          <w:iCs/>
          <w:szCs w:val="22"/>
        </w:rPr>
        <w:t>cálculo</w:t>
      </w:r>
      <w:r>
        <w:rPr>
          <w:szCs w:val="22"/>
        </w:rPr>
        <w:t xml:space="preserve"> da </w:t>
      </w:r>
      <w:r>
        <w:rPr>
          <w:iCs/>
          <w:szCs w:val="22"/>
        </w:rPr>
        <w:t xml:space="preserve">Remuneração da Primeira Série e da Remuneração da Terceira Série </w:t>
      </w:r>
      <w:r>
        <w:rPr>
          <w:szCs w:val="22"/>
        </w:rPr>
        <w:t>obedecerá à seguinte fórmula:</w:t>
      </w:r>
      <w:bookmarkEnd w:id="41"/>
      <w:r>
        <w:rPr>
          <w:rStyle w:val="Refdenotaderodap"/>
          <w:rFonts w:ascii="Tahoma" w:hAnsi="Tahoma"/>
          <w:b/>
          <w:szCs w:val="22"/>
        </w:rPr>
        <w:t xml:space="preserve"> </w:t>
      </w:r>
    </w:p>
    <w:p w:rsidR="00C963BB" w:rsidRDefault="00C759A0">
      <w:pPr>
        <w:suppressAutoHyphens/>
        <w:spacing w:after="240" w:line="320" w:lineRule="exact"/>
        <w:jc w:val="center"/>
        <w:rPr>
          <w:b/>
          <w:iCs/>
          <w:color w:val="000000"/>
        </w:rPr>
      </w:pPr>
      <w:bookmarkStart w:id="42" w:name="_DV_C62"/>
      <w:r>
        <w:rPr>
          <w:b/>
          <w:iCs/>
          <w:color w:val="000000"/>
        </w:rPr>
        <w:t>J = VNe x (Fator Juros – 1)</w:t>
      </w:r>
      <w:bookmarkEnd w:id="42"/>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Primeira Série ou da Remuneração da Terceira Série, conforme o caso, devida, calculada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b/>
                <w:iCs/>
              </w:rPr>
              <w:t>(a)</w:t>
            </w:r>
            <w:r>
              <w:rPr>
                <w:iCs/>
              </w:rPr>
              <w:t> Valor Nominal Unitário das Debêntures</w:t>
            </w:r>
            <w:r>
              <w:t xml:space="preserve"> da Primeira Série ou saldo</w:t>
            </w:r>
            <w:r>
              <w:rPr>
                <w:iCs/>
              </w:rPr>
              <w:t xml:space="preserve"> do Valor Nominal Unitário das Debêntures</w:t>
            </w:r>
            <w:r>
              <w:t xml:space="preserve"> da Primeira Série, conforme o caso; ou </w:t>
            </w:r>
            <w:r>
              <w:rPr>
                <w:b/>
              </w:rPr>
              <w:t>(b)</w:t>
            </w:r>
            <w:r>
              <w:rPr>
                <w:iCs/>
              </w:rPr>
              <w:t> Valor Nominal Unitário das Debêntures</w:t>
            </w:r>
            <w:r>
              <w:t xml:space="preserve"> da Terceira Série ou saldo</w:t>
            </w:r>
            <w:r>
              <w:rPr>
                <w:iCs/>
              </w:rPr>
              <w:t xml:space="preserve"> do Valor Nominal Unitário das Debêntures</w:t>
            </w:r>
            <w:r>
              <w:t xml:space="preserve"> da Terceira </w:t>
            </w:r>
            <w:r>
              <w:lastRenderedPageBreak/>
              <w:t>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Fator de juros composto pelo parâmetro de flutuação acrescido de spread, calculado com 9 (nove) casas decimais, com arredondamento, apurado da seguinte forma</w:t>
            </w:r>
            <w:r>
              <w:rPr>
                <w:iCs/>
              </w:rPr>
              <w:t>:</w:t>
            </w:r>
          </w:p>
        </w:tc>
      </w:tr>
    </w:tbl>
    <w:p w:rsidR="00C963BB" w:rsidRDefault="00C759A0">
      <w:pPr>
        <w:suppressAutoHyphens/>
        <w:spacing w:after="240" w:line="320" w:lineRule="exact"/>
        <w:jc w:val="center"/>
        <w:rPr>
          <w:b/>
        </w:rPr>
      </w:pPr>
      <w:r>
        <w:rPr>
          <w:b/>
          <w:iCs/>
          <w:color w:val="000000"/>
        </w:rPr>
        <w:t>FatorJuros = (FatorDI x FatorSpread)</w:t>
      </w:r>
    </w:p>
    <w:p w:rsidR="00C963BB" w:rsidRDefault="00C759A0">
      <w:p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Ind w:w="-38" w:type="dxa"/>
        <w:tblLayout w:type="fixed"/>
        <w:tblCellMar>
          <w:left w:w="70" w:type="dxa"/>
          <w:right w:w="70" w:type="dxa"/>
        </w:tblCellMar>
        <w:tblLook w:val="0000" w:firstRow="0" w:lastRow="0" w:firstColumn="0" w:lastColumn="0" w:noHBand="0" w:noVBand="0"/>
      </w:tblPr>
      <w:tblGrid>
        <w:gridCol w:w="1598"/>
        <w:gridCol w:w="211"/>
        <w:gridCol w:w="6876"/>
      </w:tblGrid>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FatorDI</w: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7"/>
                <w:tab w:val="left" w:pos="7080"/>
                <w:tab w:val="left" w:pos="7788"/>
                <w:tab w:val="left" w:pos="8496"/>
              </w:tabs>
              <w:suppressAutoHyphens/>
              <w:autoSpaceDE w:val="0"/>
              <w:autoSpaceDN w:val="0"/>
              <w:adjustRightInd w:val="0"/>
              <w:spacing w:after="240" w:line="320" w:lineRule="exact"/>
              <w:jc w:val="both"/>
              <w:rPr>
                <w:i/>
                <w:iCs/>
              </w:rPr>
            </w:pPr>
            <w:r>
              <w:t>P</w:t>
            </w:r>
            <w:r>
              <w:rPr>
                <w:bCs/>
              </w:rPr>
              <w:t xml:space="preserve">rodutório das Taxas DI desde a </w:t>
            </w:r>
            <w:r>
              <w:t>primeira Data de Integralização ou Data de Pagamento</w:t>
            </w:r>
            <w:r>
              <w:rPr>
                <w:bCs/>
              </w:rPr>
              <w:t>, imediatamente anterior, conforme o caso, inclusive, até a data de cálculo, exclusive, calculado com 8 (oito) casas decimais, com arredondamento, apurado da seguinte forma:</w:t>
            </w:r>
          </w:p>
        </w:tc>
      </w:tr>
      <w:tr w:rsidR="00C963BB">
        <w:tc>
          <w:tcPr>
            <w:tcW w:w="1598"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211"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noProof/>
              </w:rPr>
              <w:drawing>
                <wp:anchor distT="0" distB="0" distL="114300" distR="114300" simplePos="0" relativeHeight="251660288" behindDoc="0" locked="0" layoutInCell="1" allowOverlap="1" wp14:anchorId="52937DE7" wp14:editId="7F51EF5D">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C963BB">
        <w:tc>
          <w:tcPr>
            <w:tcW w:w="1598" w:type="dxa"/>
            <w:tcBorders>
              <w:top w:val="nil"/>
              <w:left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c>
        <w:tc>
          <w:tcPr>
            <w:tcW w:w="211"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total de Taxas DI consideradas desde a primeira </w:t>
            </w:r>
            <w:r>
              <w:rPr>
                <w:noProof/>
              </w:rPr>
              <w:t>Data de Integralização</w:t>
            </w:r>
            <w:r>
              <w:t>, até a data de cálculo, sendo “n” um número inteiro</w:t>
            </w:r>
            <w:r>
              <w:rPr>
                <w:i/>
                <w:iCs/>
              </w:rPr>
              <w:t>.</w:t>
            </w: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b/>
              </w:rPr>
              <w:t>TDI</w:t>
            </w:r>
            <w:r>
              <w:rPr>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15" o:title=""/>
                </v:shape>
                <o:OLEObject Type="Embed" ProgID="Equation.3" ShapeID="_x0000_i1025" DrawAspect="Content" ObjectID="_1594640189" r:id="rId16"/>
              </w:objec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t>Taxa DI, de ordem k, expressa ao dia, calculada com 8 (oito) casas decimais com arredondamento, da seguinte forma:</w:t>
            </w:r>
          </w:p>
        </w:tc>
      </w:tr>
      <w:tr w:rsidR="00C963BB">
        <w:tc>
          <w:tcPr>
            <w:tcW w:w="1598"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
        </w:tc>
        <w:tc>
          <w:tcPr>
            <w:tcW w:w="211"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Pr>
          <w:p w:rsidR="00C963BB" w:rsidRDefault="00C759A0">
            <m:oMathPara>
              <m:oMath>
                <m:r>
                  <w:rPr>
                    <w:rFonts w:ascii="Cambria Math" w:hAnsi="Cambria Math"/>
                  </w:rPr>
                  <m:t>TDIk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m:rPr>
                                    <m:sty m:val="p"/>
                                  </m:rPr>
                                  <w:rPr>
                                    <w:rFonts w:ascii="Cambria Math" w:hAnsi="Cambria Math"/>
                                  </w:rPr>
                                  <m:t>DIk</m:t>
                                </m:r>
                              </m:num>
                              <m:den>
                                <m:r>
                                  <w:rPr>
                                    <w:rFonts w:ascii="Cambria Math" w:hAnsi="Cambria Math"/>
                                  </w:rPr>
                                  <m:t>100</m:t>
                                </m:r>
                              </m:den>
                            </m:f>
                          </m:e>
                        </m:d>
                      </m:e>
                    </m:d>
                  </m:e>
                  <m:sup>
                    <m:f>
                      <m:fPr>
                        <m:ctrlPr>
                          <w:rPr>
                            <w:rFonts w:ascii="Cambria Math" w:hAnsi="Cambria Math"/>
                            <w:i/>
                          </w:rPr>
                        </m:ctrlPr>
                      </m:fPr>
                      <m:num>
                        <m:r>
                          <w:rPr>
                            <w:rFonts w:ascii="Cambria Math" w:hAnsi="Cambria Math"/>
                          </w:rPr>
                          <m:t>1</m:t>
                        </m:r>
                      </m:num>
                      <m:den>
                        <m:r>
                          <w:rPr>
                            <w:rFonts w:ascii="Cambria Math" w:hAnsi="Cambria Math"/>
                          </w:rPr>
                          <m:t>252</m:t>
                        </m:r>
                      </m:den>
                    </m:f>
                  </m:sup>
                </m:sSup>
                <m:r>
                  <w:rPr>
                    <w:rFonts w:ascii="Cambria Math" w:hAnsi="Cambria Math"/>
                  </w:rPr>
                  <m:t xml:space="preserve">-1 </m:t>
                </m:r>
              </m:oMath>
            </m:oMathPara>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p>
        </w:tc>
      </w:tr>
      <w:tr w:rsidR="00C963BB">
        <w:tc>
          <w:tcPr>
            <w:tcW w:w="1598"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K</w:t>
            </w:r>
          </w:p>
        </w:tc>
        <w:tc>
          <w:tcPr>
            <w:tcW w:w="211"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noProof/>
              </w:rPr>
            </w:pPr>
            <w:r>
              <w:t>Número de ordem das Taxas DI, variando de 1 (um) até “n”</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Pr>
                <w:b/>
              </w:rPr>
              <w:t>DI</w:t>
            </w:r>
            <w:r>
              <w:rPr>
                <w:b/>
                <w:position w:val="-12"/>
              </w:rPr>
              <w:object w:dxaOrig="160" w:dyaOrig="360">
                <v:shape id="_x0000_i1026" type="#_x0000_t75" style="width:7.5pt;height:21.75pt" o:ole="">
                  <v:imagedata r:id="rId15" o:title=""/>
                </v:shape>
                <o:OLEObject Type="Embed" ProgID="Equation.3" ShapeID="_x0000_i1026" DrawAspect="Content" ObjectID="_1594640190" r:id="rId17"/>
              </w:objec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t>Taxa DI de ordem k divulgada pela B3, válida por 1 (um) Dia Útil (</w:t>
            </w:r>
            <w:r>
              <w:rPr>
                <w:i/>
              </w:rPr>
              <w:t>overnight</w:t>
            </w:r>
            <w:r>
              <w:t>), utilizada com 2 (duas) casas decimais</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lastRenderedPageBreak/>
              <w:t>FatorSpread</w:t>
            </w:r>
            <w:r>
              <w:tab/>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suppressAutoHyphens/>
              <w:spacing w:after="240" w:line="320" w:lineRule="exact"/>
              <w:ind w:right="566"/>
              <w:jc w:val="both"/>
            </w:pPr>
            <w:r>
              <w:t>Sobretaxa de juros fixos calculada com 9 (nove) casas decimais, com arredondamento, conforme fórmula abaixo:</w:t>
            </w:r>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
        </w:tc>
      </w:tr>
    </w:tbl>
    <w:p w:rsidR="00C963BB" w:rsidRDefault="00C759A0">
      <m:oMathPara>
        <m:oMath>
          <m:r>
            <w:rPr>
              <w:rFonts w:ascii="Cambria Math" w:hAnsi="Cambria Math"/>
            </w:rPr>
            <m:t>FatorSpread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Spread</m:t>
                          </m:r>
                        </m:num>
                        <m:den>
                          <m:r>
                            <w:rPr>
                              <w:rFonts w:ascii="Cambria Math" w:hAnsi="Cambria Math"/>
                            </w:rPr>
                            <m:t>100</m:t>
                          </m:r>
                        </m:den>
                      </m:f>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suppressAutoHyphens/>
        <w:spacing w:after="240" w:line="320" w:lineRule="exact"/>
        <w:jc w:val="both"/>
      </w:pPr>
    </w:p>
    <w:p w:rsidR="00C963BB" w:rsidRDefault="00C759A0">
      <w:pPr>
        <w:suppressAutoHyphens/>
        <w:spacing w:after="240" w:line="320" w:lineRule="exact"/>
        <w:jc w:val="both"/>
      </w:pPr>
      <w:r>
        <w:t>Onde:</w:t>
      </w:r>
    </w:p>
    <w:tbl>
      <w:tblPr>
        <w:tblW w:w="8789" w:type="dxa"/>
        <w:tblLayout w:type="fixed"/>
        <w:tblCellMar>
          <w:left w:w="70" w:type="dxa"/>
          <w:right w:w="70" w:type="dxa"/>
        </w:tblCellMar>
        <w:tblLook w:val="0000" w:firstRow="0" w:lastRow="0" w:firstColumn="0" w:lastColumn="0" w:noHBand="0" w:noVBand="0"/>
      </w:tblPr>
      <w:tblGrid>
        <w:gridCol w:w="1346"/>
        <w:gridCol w:w="444"/>
        <w:gridCol w:w="6999"/>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Spread</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rsidP="00C21E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(a)</w:t>
            </w:r>
            <w:r>
              <w:t xml:space="preserve"> 3,2900 (três inteiros e vinte e nove centésimos) para as Debêntures da Primeira Série; e </w:t>
            </w:r>
            <w:r>
              <w:rPr>
                <w:b/>
              </w:rPr>
              <w:t>(b) </w:t>
            </w:r>
            <w:r>
              <w:t>4,2000 (quatro inteiros e vinte centésimos) para as Debêntures da Terceira Série</w:t>
            </w:r>
            <w:r>
              <w:rPr>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DP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Efetua-se o produtório dos fatores diários (1 + TDIk), sendo que a cada fator diário acumulado, trunca-se o resultado com 16 (dezesseis) casas decimais, aplicando-se o próximo fator diário, e assim por diante até o último considerado;</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A Taxa DI deverá ser utilizada considerando idêntico número de casas decimais divulgado pela entidade responsável pelo seu cálculo;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Deverá ser acrescido no primeiro período de apuração da Remuneração da Primeira Série e da Remuneração da Terceira Série, excepcionalmente, um valor equivalente ao produtório de 2 (dois) Dias Úteis da respectiva Remuneração, considerando os fatores de juros (Fator DI - divulgados nos 2 (dois) Dias Úteis x Fator Spread)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deste item </w:t>
      </w:r>
      <w:r>
        <w:rPr>
          <w:snapToGrid w:val="0"/>
          <w:kern w:val="20"/>
          <w:lang w:eastAsia="en-US"/>
        </w:rPr>
        <w:fldChar w:fldCharType="begin"/>
      </w:r>
      <w:r>
        <w:rPr>
          <w:snapToGrid w:val="0"/>
          <w:kern w:val="20"/>
          <w:lang w:eastAsia="en-US"/>
        </w:rPr>
        <w:instrText xml:space="preserve"> REF _Ref512697991 \n \p \h  \* MERGEFORMAT </w:instrText>
      </w:r>
      <w:r>
        <w:rPr>
          <w:snapToGrid w:val="0"/>
          <w:kern w:val="20"/>
          <w:lang w:eastAsia="en-US"/>
        </w:rPr>
      </w:r>
      <w:r>
        <w:rPr>
          <w:snapToGrid w:val="0"/>
          <w:kern w:val="20"/>
          <w:lang w:eastAsia="en-US"/>
        </w:rPr>
        <w:fldChar w:fldCharType="separate"/>
      </w:r>
      <w:r w:rsidR="00281921">
        <w:rPr>
          <w:snapToGrid w:val="0"/>
          <w:kern w:val="20"/>
          <w:lang w:eastAsia="en-US"/>
        </w:rPr>
        <w:t>6.13.3 acima</w:t>
      </w:r>
      <w:r>
        <w:rPr>
          <w:snapToGrid w:val="0"/>
          <w:kern w:val="20"/>
          <w:lang w:eastAsia="en-US"/>
        </w:rPr>
        <w:fldChar w:fldCharType="end"/>
      </w:r>
      <w:r>
        <w:rPr>
          <w:snapToGrid w:val="0"/>
          <w:kern w:val="20"/>
          <w:lang w:eastAsia="en-US"/>
        </w:rPr>
        <w:t>;</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Para aplicação de DIk, será sempre considerada a Taxa DI divulgada no fim do Dia Útil anterior à data de cálculo da Remuneração. Por exemplo, para cálculo da </w:t>
      </w:r>
      <w:r>
        <w:rPr>
          <w:snapToGrid w:val="0"/>
          <w:kern w:val="20"/>
          <w:lang w:eastAsia="en-US"/>
        </w:rPr>
        <w:lastRenderedPageBreak/>
        <w:t xml:space="preserve">Remuneração no dia 15, será considerada a Taxa DI divulgada no fim do dia 14, considerando que os dias 14 e 15 são Dias Úteis. </w:t>
      </w:r>
    </w:p>
    <w:p w:rsidR="00C963BB" w:rsidRDefault="00C759A0">
      <w:pPr>
        <w:pStyle w:val="Level3"/>
        <w:numPr>
          <w:ilvl w:val="2"/>
          <w:numId w:val="52"/>
        </w:numPr>
        <w:tabs>
          <w:tab w:val="clear" w:pos="1361"/>
          <w:tab w:val="num" w:pos="1134"/>
        </w:tabs>
        <w:spacing w:after="240" w:line="320" w:lineRule="exact"/>
        <w:ind w:left="0" w:firstLine="0"/>
        <w:rPr>
          <w:b/>
          <w:szCs w:val="22"/>
        </w:rPr>
      </w:pPr>
      <w:r>
        <w:rPr>
          <w:rFonts w:eastAsia="Calibri"/>
          <w:bCs/>
          <w:color w:val="000000"/>
          <w:szCs w:val="22"/>
          <w:u w:val="single"/>
          <w:lang w:eastAsia="en-US"/>
        </w:rPr>
        <w:t>Remuneração</w:t>
      </w:r>
      <w:r>
        <w:rPr>
          <w:szCs w:val="22"/>
          <w:u w:val="single"/>
        </w:rPr>
        <w:t xml:space="preserve"> das Debêntures da Segunda Série</w:t>
      </w:r>
      <w:r>
        <w:rPr>
          <w:szCs w:val="22"/>
        </w:rPr>
        <w:t xml:space="preserve">. Sobre o Valor Nominal Unitário Atualizado das Debêntures da Segunda Série, incidirão juros remuneratórios prefixados correspondentes à </w:t>
      </w:r>
      <w:r>
        <w:rPr>
          <w:color w:val="000000" w:themeColor="text1"/>
        </w:rPr>
        <w:t xml:space="preserve">taxa interna de retorno do Tesouro IPCA+2024 com juros semestrais, com vencimento em 2024, acrescido exponencialmente de uma sobretaxa de </w:t>
      </w:r>
      <w:r>
        <w:rPr>
          <w:szCs w:val="22"/>
        </w:rPr>
        <w:t>4,20% (quatro inteiros e vinte centésimos por cento) ao ano, base 252 (duzentos e cinquenta e dois) Dias Úteis (“</w:t>
      </w:r>
      <w:r>
        <w:rPr>
          <w:szCs w:val="22"/>
          <w:u w:val="single"/>
        </w:rPr>
        <w:t>Remuneração da Segunda Série</w:t>
      </w:r>
      <w:r>
        <w:rPr>
          <w:szCs w:val="22"/>
        </w:rPr>
        <w:t>” e, em conjunto com a Remuneração da Primeira Série e a Remuneração da Terceira Série, “</w:t>
      </w:r>
      <w:r>
        <w:rPr>
          <w:szCs w:val="22"/>
          <w:u w:val="single"/>
        </w:rPr>
        <w:t>Remuneração</w:t>
      </w:r>
      <w:r>
        <w:rPr>
          <w:szCs w:val="22"/>
        </w:rPr>
        <w:t xml:space="preserve">”), calculados de forma exponencial e cumulativa </w:t>
      </w:r>
      <w:r>
        <w:rPr>
          <w:i/>
          <w:szCs w:val="22"/>
        </w:rPr>
        <w:t>pro rata temporis</w:t>
      </w:r>
      <w:r>
        <w:rPr>
          <w:szCs w:val="22"/>
        </w:rPr>
        <w:t xml:space="preserve"> por Dias Úteis decorridos, desde a primeira </w:t>
      </w:r>
      <w:r>
        <w:rPr>
          <w:noProof/>
          <w:szCs w:val="22"/>
        </w:rPr>
        <w:t>Data de Integralização das Debêntures da Segunda Série ou Data de Pagamento das Debêntures da Segunda Série imediatamente anterior, inclusive, conforme o caso,</w:t>
      </w:r>
      <w:r>
        <w:rPr>
          <w:szCs w:val="22"/>
        </w:rPr>
        <w:t xml:space="preserve"> até a data de seu efetivo pagamento, exclusive. </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3" w:name="_Ref513659316"/>
      <w:r>
        <w:rPr>
          <w:szCs w:val="22"/>
        </w:rPr>
        <w:t xml:space="preserve">O </w:t>
      </w:r>
      <w:r>
        <w:rPr>
          <w:iCs/>
          <w:szCs w:val="22"/>
        </w:rPr>
        <w:t>cálculo</w:t>
      </w:r>
      <w:r>
        <w:rPr>
          <w:szCs w:val="22"/>
        </w:rPr>
        <w:t xml:space="preserve"> da </w:t>
      </w:r>
      <w:r>
        <w:rPr>
          <w:iCs/>
          <w:szCs w:val="22"/>
        </w:rPr>
        <w:t xml:space="preserve">Remuneração da Segunda Série </w:t>
      </w:r>
      <w:r>
        <w:rPr>
          <w:szCs w:val="22"/>
        </w:rPr>
        <w:t>obedecerá à seguinte fórmula:</w:t>
      </w:r>
      <w:bookmarkEnd w:id="43"/>
    </w:p>
    <w:p w:rsidR="00C963BB" w:rsidRDefault="00C759A0">
      <w:pPr>
        <w:pStyle w:val="Level1"/>
        <w:numPr>
          <w:ilvl w:val="0"/>
          <w:numId w:val="0"/>
        </w:numPr>
        <w:suppressAutoHyphens/>
        <w:spacing w:after="240" w:line="320" w:lineRule="exact"/>
        <w:ind w:left="822"/>
        <w:jc w:val="center"/>
        <w:rPr>
          <w:iCs/>
          <w:color w:val="000000"/>
          <w:szCs w:val="22"/>
        </w:rPr>
      </w:pPr>
      <w:r>
        <w:rPr>
          <w:iCs/>
          <w:color w:val="000000"/>
          <w:szCs w:val="22"/>
        </w:rPr>
        <w:t>J = VNa x (Fator Juros – 1)</w:t>
      </w: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Segunda Série devida, calculada com 8 (oito) casas decimais sem arredondamento</w:t>
            </w:r>
            <w:r>
              <w:rPr>
                <w:i/>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 xml:space="preserve">VNa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Atualizado das Debêntures</w:t>
            </w:r>
            <w:r>
              <w:t xml:space="preserve"> da Segunda Série,</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Fator de juros fixos </w:t>
            </w:r>
            <w:r>
              <w:rPr>
                <w:i/>
              </w:rPr>
              <w:t>calculado</w:t>
            </w:r>
            <w:r>
              <w:t xml:space="preserve"> com 9 (nove) casas decimais, com arredondamento, apurado da seguinte forma:</w:t>
            </w:r>
          </w:p>
        </w:tc>
      </w:tr>
    </w:tbl>
    <w:p w:rsidR="00C963BB" w:rsidRDefault="00C759A0">
      <m:oMathPara>
        <m:oMath>
          <m:r>
            <w:rPr>
              <w:rFonts w:ascii="Cambria Math" w:hAnsi="Cambria Math"/>
            </w:rPr>
            <m:t xml:space="preserve">FatorJuros =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1 + Taxa</m:t>
                      </m:r>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pStyle w:val="Default"/>
        <w:tabs>
          <w:tab w:val="left" w:pos="1418"/>
        </w:tabs>
        <w:spacing w:before="140" w:line="290" w:lineRule="auto"/>
        <w:ind w:left="1418" w:hanging="1134"/>
        <w:jc w:val="center"/>
        <w:rPr>
          <w:rFonts w:ascii="Tahoma" w:hAnsi="Tahoma" w:cs="Tahoma"/>
          <w:noProof/>
          <w:sz w:val="22"/>
          <w:szCs w:val="22"/>
        </w:rPr>
      </w:pP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Taxa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w:t>
            </w:r>
          </w:p>
        </w:tc>
        <w:tc>
          <w:tcPr>
            <w:tcW w:w="6893" w:type="dxa"/>
            <w:tcBorders>
              <w:top w:val="nil"/>
              <w:left w:val="nil"/>
              <w:bottom w:val="nil"/>
              <w:right w:val="nil"/>
            </w:tcBorders>
          </w:tcPr>
          <w:p w:rsidR="00C963BB" w:rsidRDefault="00C759A0" w:rsidP="003A4C3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 xml:space="preserve">Taxa de juros fixa, equivalente à </w:t>
            </w:r>
            <w:r>
              <w:rPr>
                <w:color w:val="000000" w:themeColor="text1"/>
              </w:rPr>
              <w:t xml:space="preserve">taxa interna de retorno do Tesouro IPCA+2024 com juros semestrais, com vencimento em 2024, acrescido exponencialmente de uma sobretaxa de </w:t>
            </w:r>
            <w:r>
              <w:t xml:space="preserve">4,2000% (quatro </w:t>
            </w:r>
            <w:r>
              <w:lastRenderedPageBreak/>
              <w:t>inteiros e vinte centésimos por cento), na forma nominal, informada com 4 (quatro) casas decimais;</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rPr>
              <w:lastRenderedPageBreak/>
              <w:t xml:space="preserve">DP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38"/>
        </w:numPr>
        <w:autoSpaceDE w:val="0"/>
        <w:autoSpaceDN w:val="0"/>
        <w:adjustRightInd w:val="0"/>
        <w:spacing w:after="240" w:line="320" w:lineRule="exact"/>
        <w:ind w:left="1134" w:hanging="1134"/>
        <w:jc w:val="both"/>
      </w:pPr>
      <w:r>
        <w:rPr>
          <w:snapToGrid w:val="0"/>
          <w:kern w:val="20"/>
          <w:lang w:eastAsia="en-US"/>
        </w:rPr>
        <w:t xml:space="preserve">Deverá ser acrescido no primeiro período de apuração da Remuneração da Segunda Série, excepcionalmente, um valor equivalente ao produtório de 2 (dois) Dias Úteis da Remuneração das Debêntures da Segunda Série, considerando os 2 (dois) Dias Úteis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do item </w:t>
      </w:r>
      <w:r>
        <w:rPr>
          <w:snapToGrid w:val="0"/>
          <w:kern w:val="20"/>
          <w:lang w:eastAsia="en-US"/>
        </w:rPr>
        <w:fldChar w:fldCharType="begin"/>
      </w:r>
      <w:r>
        <w:rPr>
          <w:snapToGrid w:val="0"/>
          <w:kern w:val="20"/>
          <w:lang w:eastAsia="en-US"/>
        </w:rPr>
        <w:instrText xml:space="preserve"> REF _Ref513659316 \r \p \h  \* MERGEFORMAT </w:instrText>
      </w:r>
      <w:r>
        <w:rPr>
          <w:snapToGrid w:val="0"/>
          <w:kern w:val="20"/>
          <w:lang w:eastAsia="en-US"/>
        </w:rPr>
      </w:r>
      <w:r>
        <w:rPr>
          <w:snapToGrid w:val="0"/>
          <w:kern w:val="20"/>
          <w:lang w:eastAsia="en-US"/>
        </w:rPr>
        <w:fldChar w:fldCharType="separate"/>
      </w:r>
      <w:r w:rsidR="00281921">
        <w:rPr>
          <w:snapToGrid w:val="0"/>
          <w:kern w:val="20"/>
          <w:lang w:eastAsia="en-US"/>
        </w:rPr>
        <w:t>6.13.5 acima</w:t>
      </w:r>
      <w:r>
        <w:rPr>
          <w:snapToGrid w:val="0"/>
          <w:kern w:val="20"/>
          <w:lang w:eastAsia="en-US"/>
        </w:rPr>
        <w:fldChar w:fldCharType="end"/>
      </w:r>
      <w:r>
        <w:rPr>
          <w:snapToGrid w:val="0"/>
          <w:kern w:val="20"/>
          <w:lang w:eastAsia="en-US"/>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Redução da Remuneração</w:t>
      </w:r>
      <w:r>
        <w:rPr>
          <w:rFonts w:eastAsia="Calibri"/>
          <w:bCs/>
          <w:color w:val="000000"/>
          <w:szCs w:val="22"/>
          <w:lang w:eastAsia="en-US"/>
        </w:rPr>
        <w:t>. A</w:t>
      </w:r>
      <w:r>
        <w:rPr>
          <w:szCs w:val="22"/>
        </w:rPr>
        <w:t xml:space="preserve"> Emissora e o FIDC, na qualidade de Debenturista, de comum acordo, estão desde já autorizados a reduzir a Sobretaxa Primeira Série, sendo tal redução limitada ao </w:t>
      </w:r>
      <w:r>
        <w:rPr>
          <w:i/>
          <w:szCs w:val="22"/>
        </w:rPr>
        <w:t>Benchmark</w:t>
      </w:r>
      <w:r>
        <w:rPr>
          <w:szCs w:val="22"/>
        </w:rPr>
        <w:t xml:space="preserve"> das Cotas Seniores da Primeira Série do FIDC, sem necessidade de realização de Assembleia Geral de Debenturistas, mediante comunicação do FIDC ao Agente Fiduciário, observado que tal alteração deverá ser devidamente formalizada antes da primeira Data de Integralização mediante a celebração pelas Partes </w:t>
      </w:r>
      <w:r>
        <w:rPr>
          <w:rStyle w:val="TtulodoLivro"/>
          <w:b w:val="0"/>
        </w:rPr>
        <w:t>e pelas Intervenientes Anuentes</w:t>
      </w:r>
      <w:r>
        <w:rPr>
          <w:rStyle w:val="TtulodoLivro"/>
        </w:rPr>
        <w:t xml:space="preserve"> </w:t>
      </w:r>
      <w:r>
        <w:rPr>
          <w:szCs w:val="22"/>
        </w:rPr>
        <w:t xml:space="preserve">de aditamento a esta Escritura de Emissão, sem prejuízo do cumprimento das formalidades de que trata a Cláusula Segunda acima.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Indisponibilidade Temporária da Taxa DI</w:t>
      </w:r>
      <w:r>
        <w:rPr>
          <w:szCs w:val="22"/>
        </w:rPr>
        <w:t xml:space="preserve">. Se, em qualquer data de cálculo da Remuneração da Primeira Série ou da Remuneração da Terceira Série, não houver divulgação da Taxa DI pela B3, será aplicada na apuração de </w:t>
      </w:r>
      <w:r>
        <w:rPr>
          <w:spacing w:val="5"/>
          <w:szCs w:val="22"/>
        </w:rPr>
        <w:t>T</w:t>
      </w:r>
      <w:r>
        <w:rPr>
          <w:spacing w:val="2"/>
          <w:szCs w:val="22"/>
        </w:rPr>
        <w:t>D</w:t>
      </w:r>
      <w:r>
        <w:rPr>
          <w:spacing w:val="-6"/>
          <w:szCs w:val="22"/>
        </w:rPr>
        <w:t>I</w:t>
      </w:r>
      <w:r>
        <w:rPr>
          <w:position w:val="-3"/>
          <w:szCs w:val="22"/>
        </w:rPr>
        <w:t>k</w:t>
      </w:r>
      <w:r>
        <w:rPr>
          <w:szCs w:val="22"/>
        </w:rPr>
        <w:t xml:space="preserve"> a última taxa D</w:t>
      </w:r>
      <w:r>
        <w:rPr>
          <w:spacing w:val="-3"/>
          <w:szCs w:val="22"/>
        </w:rPr>
        <w:t>I</w:t>
      </w:r>
      <w:r>
        <w:rPr>
          <w:position w:val="-3"/>
          <w:szCs w:val="22"/>
        </w:rPr>
        <w:t xml:space="preserve">k </w:t>
      </w:r>
      <w:r>
        <w:rPr>
          <w:szCs w:val="22"/>
        </w:rPr>
        <w:t>divulgada, não sendo devidas quaisquer compensações entre a Emissora e os Debenturistas quando da divulgação posterior da taxa D</w:t>
      </w:r>
      <w:r>
        <w:rPr>
          <w:spacing w:val="-3"/>
          <w:szCs w:val="22"/>
        </w:rPr>
        <w:t>I</w:t>
      </w:r>
      <w:r>
        <w:rPr>
          <w:position w:val="-3"/>
          <w:szCs w:val="22"/>
        </w:rPr>
        <w:t xml:space="preserve">k </w:t>
      </w:r>
      <w:r>
        <w:rPr>
          <w:szCs w:val="22"/>
        </w:rPr>
        <w:t xml:space="preserve">que seria aplicável. </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4" w:name="_Ref382071954"/>
      <w:bookmarkStart w:id="45" w:name="_Ref382072713"/>
      <w:r>
        <w:rPr>
          <w:szCs w:val="22"/>
          <w:u w:val="single"/>
        </w:rPr>
        <w:t>Indisponibilidade Definitiva da Taxa DI</w:t>
      </w:r>
      <w:r>
        <w:rPr>
          <w:szCs w:val="22"/>
        </w:rPr>
        <w:t xml:space="preserve">. Na hipótese de </w:t>
      </w:r>
      <w:r>
        <w:rPr>
          <w:b/>
          <w:szCs w:val="22"/>
        </w:rPr>
        <w:t>(i)</w:t>
      </w:r>
      <w:r>
        <w:rPr>
          <w:szCs w:val="22"/>
        </w:rPr>
        <w:t xml:space="preserve"> não divulgação da taxa D</w:t>
      </w:r>
      <w:r>
        <w:rPr>
          <w:spacing w:val="-3"/>
          <w:szCs w:val="22"/>
        </w:rPr>
        <w:t>I</w:t>
      </w:r>
      <w:r>
        <w:rPr>
          <w:position w:val="-3"/>
          <w:szCs w:val="22"/>
        </w:rPr>
        <w:t xml:space="preserve">k </w:t>
      </w:r>
      <w:r>
        <w:rPr>
          <w:szCs w:val="22"/>
        </w:rPr>
        <w:t xml:space="preserve">por mais de 10 (dez) Dias Úteis após a data esperada para sua divulgação; ou </w:t>
      </w:r>
      <w:r>
        <w:rPr>
          <w:b/>
          <w:szCs w:val="22"/>
        </w:rPr>
        <w:t xml:space="preserve">(ii) </w:t>
      </w:r>
      <w:r>
        <w:rPr>
          <w:szCs w:val="22"/>
        </w:rPr>
        <w:t>extinção ou impossibilidade de aplicação da taxa D</w:t>
      </w:r>
      <w:r>
        <w:rPr>
          <w:spacing w:val="-3"/>
          <w:szCs w:val="22"/>
        </w:rPr>
        <w:t>I</w:t>
      </w:r>
      <w:r>
        <w:rPr>
          <w:position w:val="-3"/>
          <w:szCs w:val="22"/>
        </w:rPr>
        <w:t xml:space="preserve">k </w:t>
      </w:r>
      <w:r>
        <w:rPr>
          <w:szCs w:val="22"/>
        </w:rPr>
        <w:t>às Debêntures da Primeira Série e/ou às Debêntures da Terceira Série por proibição legal ou judicial, o Agente Fiduciário deverá, no prazo de até 2 (dois) Dias Úteis contado da</w:t>
      </w:r>
      <w:r>
        <w:rPr>
          <w:b/>
          <w:szCs w:val="22"/>
        </w:rPr>
        <w:t xml:space="preserve"> (a) </w:t>
      </w:r>
      <w:r>
        <w:rPr>
          <w:szCs w:val="22"/>
        </w:rPr>
        <w:t>data de término do prazo de 10 (dez) Dias Úteis acima referido, ou da</w:t>
      </w:r>
      <w:r>
        <w:rPr>
          <w:b/>
          <w:szCs w:val="22"/>
        </w:rPr>
        <w:t xml:space="preserve"> (b) </w:t>
      </w:r>
      <w:r>
        <w:rPr>
          <w:szCs w:val="22"/>
        </w:rPr>
        <w:t>data de extinção da taxa D</w:t>
      </w:r>
      <w:r>
        <w:rPr>
          <w:spacing w:val="-3"/>
          <w:szCs w:val="22"/>
        </w:rPr>
        <w:t>I</w:t>
      </w:r>
      <w:r>
        <w:rPr>
          <w:position w:val="-3"/>
          <w:szCs w:val="22"/>
        </w:rPr>
        <w:t xml:space="preserve">k </w:t>
      </w:r>
      <w:r>
        <w:rPr>
          <w:szCs w:val="22"/>
        </w:rPr>
        <w:t>ou de impossibilidade de aplicação da taxa D</w:t>
      </w:r>
      <w:r>
        <w:rPr>
          <w:spacing w:val="-3"/>
          <w:szCs w:val="22"/>
        </w:rPr>
        <w:t>I</w:t>
      </w:r>
      <w:r>
        <w:rPr>
          <w:position w:val="-3"/>
          <w:szCs w:val="22"/>
        </w:rPr>
        <w:t xml:space="preserve">k </w:t>
      </w:r>
      <w:r>
        <w:rPr>
          <w:szCs w:val="22"/>
        </w:rPr>
        <w:t xml:space="preserve">por imposição legal ou determinação judicial, conforme o caso, convocar uma Assembleia Geral de Debenturistas </w:t>
      </w:r>
      <w:r>
        <w:rPr>
          <w:szCs w:val="22"/>
        </w:rPr>
        <w:lastRenderedPageBreak/>
        <w:t xml:space="preserve">da Primeira Série e uma Assembleia Geral de Debenturistas da Terceira Série para que cada Assembleia Geral delibere, em comum acordo com a Emissora e observada a </w:t>
      </w:r>
      <w:bookmarkEnd w:id="44"/>
      <w:r>
        <w:rPr>
          <w:szCs w:val="22"/>
        </w:rPr>
        <w:t>regulamentação aplicável, sobre o novo parâmetro de remuneração das Debêntures da Primeira Série e das Debêntures da Terceira Série, conforme o caso, a ser aplicado, o qual deverá refletir os parâmetros utilizados em operações similares existentes à época, as quais utilizavam como base a Taxa DI (“</w:t>
      </w:r>
      <w:r>
        <w:rPr>
          <w:szCs w:val="22"/>
          <w:u w:val="single"/>
        </w:rPr>
        <w:t>Taxa Substitutiva DI</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napToGrid w:val="0"/>
          <w:szCs w:val="22"/>
          <w:lang w:eastAsia="en-US"/>
        </w:rPr>
        <w:t xml:space="preserve">Até a deliberação desse parâmetro, que deverá ser aprovado por Debenturistas que representem, pelo menos, a maioria das Debêntures </w:t>
      </w:r>
      <w:r>
        <w:rPr>
          <w:szCs w:val="22"/>
        </w:rPr>
        <w:t xml:space="preserve">da respectiva Série </w:t>
      </w:r>
      <w:r>
        <w:rPr>
          <w:snapToGrid w:val="0"/>
          <w:szCs w:val="22"/>
          <w:lang w:eastAsia="en-US"/>
        </w:rPr>
        <w:t>em Circulação, será utilizada, para o cálculo da Remuneração da Primeira Série e da Remuneração da Terceira Série</w:t>
      </w:r>
      <w:r>
        <w:rPr>
          <w:szCs w:val="22"/>
        </w:rPr>
        <w:t>, a última taxa D</w:t>
      </w:r>
      <w:r>
        <w:rPr>
          <w:spacing w:val="-3"/>
          <w:szCs w:val="22"/>
        </w:rPr>
        <w:t>I</w:t>
      </w:r>
      <w:r>
        <w:rPr>
          <w:position w:val="-3"/>
          <w:szCs w:val="22"/>
        </w:rPr>
        <w:t xml:space="preserve">k </w:t>
      </w:r>
      <w:r>
        <w:rPr>
          <w:szCs w:val="22"/>
        </w:rPr>
        <w:t>divulgada, não sendo devidas quaisquer compensações entre a Emissora e os Debenturistas quando da deliberação do novo parâmetro de remuneração para as Debêntures da Primeira Série e para as Debêntures da Terceira Série. Caso a taxa D</w:t>
      </w:r>
      <w:r>
        <w:rPr>
          <w:spacing w:val="-3"/>
          <w:szCs w:val="22"/>
        </w:rPr>
        <w:t>I</w:t>
      </w:r>
      <w:r>
        <w:rPr>
          <w:position w:val="-3"/>
          <w:szCs w:val="22"/>
        </w:rPr>
        <w:t xml:space="preserve">k </w:t>
      </w:r>
      <w:r>
        <w:rPr>
          <w:szCs w:val="22"/>
        </w:rPr>
        <w:t>volte a ser divulgada antes da realização das Assembleias Gerais de Debenturistas prevista acima, referidas Assembleias Gerais de Debenturistas não serão realizadas e a taxa D</w:t>
      </w:r>
      <w:r>
        <w:rPr>
          <w:spacing w:val="-3"/>
          <w:szCs w:val="22"/>
        </w:rPr>
        <w:t>I</w:t>
      </w:r>
      <w:r>
        <w:rPr>
          <w:position w:val="-3"/>
          <w:szCs w:val="22"/>
        </w:rPr>
        <w:t>k</w:t>
      </w:r>
      <w:r>
        <w:rPr>
          <w:szCs w:val="22"/>
        </w:rPr>
        <w:t xml:space="preserve">, a partir da data de sua validade, passará a ser novamente utilizada para o cálculo </w:t>
      </w:r>
      <w:r>
        <w:rPr>
          <w:snapToGrid w:val="0"/>
          <w:szCs w:val="22"/>
          <w:lang w:eastAsia="en-US"/>
        </w:rPr>
        <w:t>da Remuneração da Primeira Série e da Remuneração da Terceira Série</w:t>
      </w:r>
      <w:r>
        <w:rPr>
          <w:szCs w:val="22"/>
        </w:rPr>
        <w:t>, sendo certo que até a data de divulgação da taxa D</w:t>
      </w:r>
      <w:r>
        <w:rPr>
          <w:spacing w:val="-3"/>
          <w:szCs w:val="22"/>
        </w:rPr>
        <w:t>I</w:t>
      </w:r>
      <w:r>
        <w:rPr>
          <w:position w:val="-3"/>
          <w:szCs w:val="22"/>
        </w:rPr>
        <w:t xml:space="preserve">k </w:t>
      </w:r>
      <w:r>
        <w:rPr>
          <w:szCs w:val="22"/>
        </w:rPr>
        <w:t>os termos aqui previstos, a última taxa D</w:t>
      </w:r>
      <w:r>
        <w:rPr>
          <w:spacing w:val="-3"/>
          <w:szCs w:val="22"/>
        </w:rPr>
        <w:t>I</w:t>
      </w:r>
      <w:r>
        <w:rPr>
          <w:position w:val="-3"/>
          <w:szCs w:val="22"/>
        </w:rPr>
        <w:t xml:space="preserve">k </w:t>
      </w:r>
      <w:r>
        <w:rPr>
          <w:szCs w:val="22"/>
        </w:rPr>
        <w:t xml:space="preserve">divulgada será utilizada para o cálculo da </w:t>
      </w:r>
      <w:r>
        <w:rPr>
          <w:snapToGrid w:val="0"/>
          <w:szCs w:val="22"/>
          <w:lang w:eastAsia="en-US"/>
        </w:rPr>
        <w:t>Remuneração da Primeira Série e da Remuneração da Terceira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6" w:name="_Ref414800817"/>
      <w:r>
        <w:rPr>
          <w:szCs w:val="22"/>
        </w:rPr>
        <w:t xml:space="preserve">Caso, em qualquer das Assembleias Gerais de Debenturistas previstas acima, não haja acordo sobre a Taxa Substitutiva DI entre a Emissora e Debenturistas representando, no mínimo, a maioria das Debêntures </w:t>
      </w:r>
      <w:r>
        <w:rPr>
          <w:snapToGrid w:val="0"/>
          <w:szCs w:val="22"/>
          <w:lang w:eastAsia="en-US"/>
        </w:rPr>
        <w:t xml:space="preserve">da respectiva Série </w:t>
      </w:r>
      <w:r>
        <w:rPr>
          <w:szCs w:val="22"/>
        </w:rPr>
        <w:t>em Circulação, a Emissora deverá resgatar antecipadamente e, consequentemente, cancelar a totalidade das Debêntures</w:t>
      </w:r>
      <w:r>
        <w:rPr>
          <w:snapToGrid w:val="0"/>
          <w:szCs w:val="22"/>
          <w:lang w:eastAsia="en-US"/>
        </w:rPr>
        <w:t xml:space="preserve"> da Primeira Série e/ou a totalidade das </w:t>
      </w:r>
      <w:r>
        <w:rPr>
          <w:szCs w:val="22"/>
        </w:rPr>
        <w:t>Debêntures</w:t>
      </w:r>
      <w:r>
        <w:rPr>
          <w:snapToGrid w:val="0"/>
          <w:szCs w:val="22"/>
          <w:lang w:eastAsia="en-US"/>
        </w:rPr>
        <w:t xml:space="preserve"> da Terceira Série</w:t>
      </w:r>
      <w:r>
        <w:rPr>
          <w:szCs w:val="22"/>
        </w:rPr>
        <w:t>, sem o pagamento de multa ou prêmio de qualquer natureza, no prazo de até 10 (dez) Dias Úteis da data da realização da respectiva assembleia (ou da data em que tal assembleia deveria ter sido realizada), pelo Valor Nominal Unitário ou saldo do Valor Nominal Unitário das Debêntures</w:t>
      </w:r>
      <w:r>
        <w:rPr>
          <w:snapToGrid w:val="0"/>
          <w:szCs w:val="22"/>
          <w:lang w:eastAsia="en-US"/>
        </w:rPr>
        <w:t xml:space="preserve"> da Primeira Série e/ou das Debêntures da Terceira Série</w:t>
      </w:r>
      <w:r>
        <w:rPr>
          <w:szCs w:val="22"/>
        </w:rPr>
        <w:t xml:space="preserve">, conforme o caso, acrescido da Remuneração </w:t>
      </w:r>
      <w:r>
        <w:rPr>
          <w:snapToGrid w:val="0"/>
          <w:szCs w:val="22"/>
          <w:lang w:eastAsia="en-US"/>
        </w:rPr>
        <w:t xml:space="preserve">da Primeira Série ou da Remuneração da Terceira Série, conforme o caso, </w:t>
      </w:r>
      <w:r>
        <w:rPr>
          <w:szCs w:val="22"/>
        </w:rPr>
        <w:t xml:space="preserve">devida até a data do efetivo resgate, calculada </w:t>
      </w:r>
      <w:r>
        <w:rPr>
          <w:i/>
          <w:szCs w:val="22"/>
        </w:rPr>
        <w:t>pro rata temporis</w:t>
      </w:r>
      <w:r>
        <w:rPr>
          <w:szCs w:val="22"/>
        </w:rPr>
        <w:t xml:space="preserve"> desde a primeira Data de Integralização ou a Data de Pagamento imediatamente anterior, o que ocorrer por último. Neste caso, para o cálculo da Remuneração </w:t>
      </w:r>
      <w:r>
        <w:rPr>
          <w:snapToGrid w:val="0"/>
          <w:szCs w:val="22"/>
          <w:lang w:eastAsia="en-US"/>
        </w:rPr>
        <w:t xml:space="preserve">da Primeira Série e/ou </w:t>
      </w:r>
      <w:r>
        <w:rPr>
          <w:szCs w:val="22"/>
        </w:rPr>
        <w:t xml:space="preserve">o cálculo da Remuneração </w:t>
      </w:r>
      <w:r>
        <w:rPr>
          <w:snapToGrid w:val="0"/>
          <w:szCs w:val="22"/>
          <w:lang w:eastAsia="en-US"/>
        </w:rPr>
        <w:t xml:space="preserve">da Terceira Série </w:t>
      </w:r>
      <w:r>
        <w:rPr>
          <w:szCs w:val="22"/>
        </w:rPr>
        <w:t>aplicável às Debêntures que serão resgatadas, será utilizado o percentual correspondente à última Taxa DI oficialmente disponível.</w:t>
      </w:r>
      <w:bookmarkEnd w:id="45"/>
      <w:bookmarkEnd w:id="46"/>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Primeira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w:t>
      </w:r>
      <w:r>
        <w:rPr>
          <w:szCs w:val="22"/>
        </w:rPr>
        <w:lastRenderedPageBreak/>
        <w:t>Debêntures da Primeira Série, nos termos previstos nesta Escritura de Emissão, a Remuneração da Primeira Série será paga a partir da Data de Emissão até a Data de Vencimento da Primeira Série, nas datas estabelecidas no Anexo II a esta Escritura de Emissão (sendo cada data referida como uma “</w:t>
      </w:r>
      <w:r>
        <w:rPr>
          <w:szCs w:val="22"/>
          <w:u w:val="single"/>
        </w:rPr>
        <w:t>Data de Pagamento da Primeira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Primeira Série aqueles que forem Debenturistas da Primeira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Segunda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Segunda Série, nos termos previstos nesta Escritura de Emissão, a Remuneração da Segunda Série será paga a partir da Data de Emissão até a Data de Vencimento da Segunda Série, nas datas estabelecidas no Anexo II a esta Escritura de Emissão (sendo cada data referida como uma “</w:t>
      </w:r>
      <w:r>
        <w:rPr>
          <w:szCs w:val="22"/>
          <w:u w:val="single"/>
        </w:rPr>
        <w:t>Data de Pagamento da Segunda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Segunda Série aqueles que forem Debenturistas da Segunda Série ao final do Dia Útil imediatamente anterior à respectiva data de pagamento</w:t>
      </w:r>
      <w:bookmarkStart w:id="47" w:name="_DV_M166"/>
      <w:bookmarkEnd w:id="47"/>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Terceira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Terceira Série, nos termos previstos nesta Escritura de Emissão, a Remuneração da Terceira Série será paga a partir da Data de Emissão até a Data de Vencimento da Terceira Série, nas datas estabelecidas no Anexo II a esta Escritura de Emissão (sendo cada data referida como uma “</w:t>
      </w:r>
      <w:r>
        <w:rPr>
          <w:szCs w:val="22"/>
          <w:u w:val="single"/>
        </w:rPr>
        <w:t>Data de Pagamento da Terceira Série</w:t>
      </w:r>
      <w:r>
        <w:rPr>
          <w:szCs w:val="22"/>
        </w:rPr>
        <w:t>” e, em conjunto com Data de Pagamento da Primeira Série e Data de Pagamento da Segunda Série, “</w:t>
      </w:r>
      <w:r>
        <w:rPr>
          <w:szCs w:val="22"/>
          <w:u w:val="single"/>
        </w:rPr>
        <w:t>Datas de Pagamento</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Terceira Série aqueles que forem Debenturistas da Terceira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bookmarkStart w:id="48" w:name="_Ref508808702"/>
      <w:r>
        <w:rPr>
          <w:b/>
          <w:szCs w:val="22"/>
        </w:rPr>
        <w:t xml:space="preserve">Resgate Antecipado Facultativo. </w:t>
      </w:r>
      <w:r>
        <w:rPr>
          <w:szCs w:val="22"/>
        </w:rPr>
        <w:t xml:space="preserve">A </w:t>
      </w:r>
      <w:r>
        <w:rPr>
          <w:snapToGrid w:val="0"/>
          <w:szCs w:val="22"/>
          <w:lang w:eastAsia="en-US"/>
        </w:rPr>
        <w:t>Emissora</w:t>
      </w:r>
      <w:r>
        <w:rPr>
          <w:szCs w:val="22"/>
        </w:rPr>
        <w:t xml:space="preserve"> poderá </w:t>
      </w:r>
      <w:r>
        <w:rPr>
          <w:b/>
          <w:szCs w:val="22"/>
        </w:rPr>
        <w:t>(i)</w:t>
      </w:r>
      <w:r>
        <w:rPr>
          <w:szCs w:val="22"/>
        </w:rPr>
        <w:t xml:space="preserve"> a partir de </w:t>
      </w:r>
      <w:r w:rsidR="00C21E7E">
        <w:rPr>
          <w:szCs w:val="22"/>
        </w:rPr>
        <w:t xml:space="preserve">15 </w:t>
      </w:r>
      <w:r>
        <w:rPr>
          <w:szCs w:val="22"/>
        </w:rPr>
        <w:t xml:space="preserve">de </w:t>
      </w:r>
      <w:r w:rsidR="00C21E7E">
        <w:rPr>
          <w:szCs w:val="22"/>
        </w:rPr>
        <w:t xml:space="preserve">junho </w:t>
      </w:r>
      <w:r>
        <w:rPr>
          <w:szCs w:val="22"/>
        </w:rPr>
        <w:t xml:space="preserve">de </w:t>
      </w:r>
      <w:r w:rsidR="00C21E7E">
        <w:rPr>
          <w:szCs w:val="22"/>
        </w:rPr>
        <w:t>2021</w:t>
      </w:r>
      <w:r>
        <w:rPr>
          <w:szCs w:val="22"/>
        </w:rPr>
        <w:t xml:space="preserve">, inclusive; ou </w:t>
      </w:r>
      <w:r>
        <w:rPr>
          <w:b/>
          <w:szCs w:val="22"/>
        </w:rPr>
        <w:t>(ii)</w:t>
      </w:r>
      <w:r>
        <w:rPr>
          <w:szCs w:val="22"/>
        </w:rPr>
        <w:t xml:space="preserve"> a qualquer momento, exclusivamente na hipótese de liquidação antecipada do FIDC, caso o FIDC seja o Debenturista, realizar o resgate antecipado da totalidade das Debêntures, sem necessidade de anuência dos Debenturistas,</w:t>
      </w:r>
      <w:r>
        <w:rPr>
          <w:kern w:val="16"/>
          <w:szCs w:val="22"/>
        </w:rPr>
        <w:t xml:space="preserve"> </w:t>
      </w:r>
      <w:r>
        <w:rPr>
          <w:szCs w:val="22"/>
        </w:rPr>
        <w:t>desde que a totalidade das Debêntures de todas as Séries seja resgatada antecipadamente na mesma data (“</w:t>
      </w:r>
      <w:r>
        <w:rPr>
          <w:szCs w:val="22"/>
          <w:u w:val="single"/>
        </w:rPr>
        <w:t>Resgate Antecipado Facultativo</w:t>
      </w:r>
      <w:r>
        <w:rPr>
          <w:szCs w:val="22"/>
        </w:rPr>
        <w:t xml:space="preserve">”). </w:t>
      </w:r>
      <w:bookmarkEnd w:id="48"/>
    </w:p>
    <w:p w:rsidR="00C963BB" w:rsidRDefault="00C759A0">
      <w:pPr>
        <w:pStyle w:val="Level3"/>
        <w:tabs>
          <w:tab w:val="clear" w:pos="1361"/>
          <w:tab w:val="num" w:pos="1134"/>
        </w:tabs>
        <w:spacing w:after="240" w:line="320" w:lineRule="exact"/>
        <w:ind w:left="0" w:firstLine="0"/>
        <w:rPr>
          <w:b/>
          <w:caps/>
          <w:szCs w:val="22"/>
        </w:rPr>
      </w:pPr>
      <w:r>
        <w:rPr>
          <w:szCs w:val="22"/>
        </w:rPr>
        <w:t>O Resgate Antecipado Facultativo está sujeito ao atendimento das seguintes condições, conforme aplicáveis:</w:t>
      </w:r>
    </w:p>
    <w:p w:rsidR="00C963BB" w:rsidRDefault="00C759A0">
      <w:pPr>
        <w:pStyle w:val="Level4"/>
        <w:spacing w:after="240" w:line="320" w:lineRule="exact"/>
        <w:ind w:left="1134" w:hanging="1134"/>
      </w:pPr>
      <w:r>
        <w:lastRenderedPageBreak/>
        <w:t>a Emissora deverá comunicar aos Debenturistas, por meio de publicação nos Jornais de Publicação ou de comunicado individual a ser encaminhado pela Emissora a cada um dos Debenturistas, com cópia para o Agente Fiduciário, acerca da realização do Resgate Antecipado Facultativo, com, no mínimo, 10 (dez) Dias Úteis de antecedência da data do Resgate Antecipado Facultativo (“</w:t>
      </w:r>
      <w:r>
        <w:rPr>
          <w:u w:val="single"/>
        </w:rPr>
        <w:t>Comunicação de Resgate Antecipado Facultativo</w:t>
      </w:r>
      <w:r>
        <w:t xml:space="preserve">”); </w:t>
      </w:r>
    </w:p>
    <w:p w:rsidR="00C963BB" w:rsidRDefault="00C759A0">
      <w:pPr>
        <w:pStyle w:val="Level4"/>
        <w:spacing w:after="240" w:line="320" w:lineRule="exact"/>
        <w:ind w:left="1134" w:hanging="1134"/>
      </w:pPr>
      <w:r>
        <w:t xml:space="preserve">a Comunicação de Resgate Antecipado deverá conter os termos e condições necessários para realização do Resgate Antecipado Facultativo, conforme o caso, que incluem, mas não se limitam a: </w:t>
      </w:r>
      <w:r>
        <w:rPr>
          <w:b/>
        </w:rPr>
        <w:t>(a)</w:t>
      </w:r>
      <w:r>
        <w:t> data efetiva da realização do Resgate Antecipado Facultativo e do pagamento do Valor do Resgate Antecipado Facultativo (conforme definido abaixo) (“</w:t>
      </w:r>
      <w:r>
        <w:rPr>
          <w:u w:val="single"/>
        </w:rPr>
        <w:t>Data do Resgate Antecipado Facultativo</w:t>
      </w:r>
      <w:r>
        <w:t xml:space="preserve">”) que, deverá ocorrer no prazo de, no mínimo, 10 (dez) Dias Úteis contados da data de publicação ou do último envio aos Debenturistas da respectiva Comunicação de Resgate Antecipado, conforme o caso; </w:t>
      </w:r>
      <w:r>
        <w:rPr>
          <w:b/>
        </w:rPr>
        <w:t>(b) </w:t>
      </w:r>
      <w:r>
        <w:t xml:space="preserve">o Valor do Resgate Antecipado Facultativo, calculado nos termos do inciso </w:t>
      </w:r>
      <w:r>
        <w:fldChar w:fldCharType="begin"/>
      </w:r>
      <w:r>
        <w:instrText xml:space="preserve"> REF _Ref512348639 \r \p \h  \* MERGEFORMAT </w:instrText>
      </w:r>
      <w:r>
        <w:fldChar w:fldCharType="separate"/>
      </w:r>
      <w:r w:rsidR="00281921">
        <w:t>(iv) abaixo</w:t>
      </w:r>
      <w:r>
        <w:fldChar w:fldCharType="end"/>
      </w:r>
      <w:r>
        <w:t xml:space="preserve">; e </w:t>
      </w:r>
      <w:r>
        <w:rPr>
          <w:b/>
        </w:rPr>
        <w:t>(c)</w:t>
      </w:r>
      <w:r>
        <w:t xml:space="preserve"> quaisquer outras informações necessárias à operacionalização do Resgate Antecipado Facultativo; </w:t>
      </w:r>
    </w:p>
    <w:p w:rsidR="00C963BB" w:rsidRDefault="00C759A0">
      <w:pPr>
        <w:pStyle w:val="Level4"/>
        <w:spacing w:after="240" w:line="320" w:lineRule="exact"/>
        <w:ind w:left="1134" w:hanging="1134"/>
      </w:pPr>
      <w:r>
        <w:t>a Emissora deverá comunicar por meio de correspondência escrita a B3, o Agente de Liquidação e Escriturador acerca da realização do Resgate Antecipado Facultativo com, no mínimo, 3 (três) Dias Úteis de antecedência da data do referido Resgate Antecipado Facultativo;</w:t>
      </w:r>
      <w:bookmarkStart w:id="49" w:name="_Ref512701455"/>
      <w:r>
        <w:t xml:space="preserve"> </w:t>
      </w:r>
    </w:p>
    <w:p w:rsidR="00C963BB" w:rsidRDefault="00C759A0">
      <w:pPr>
        <w:pStyle w:val="Level4"/>
        <w:spacing w:after="240" w:line="320" w:lineRule="exact"/>
        <w:ind w:left="1134" w:hanging="1134"/>
      </w:pPr>
      <w:bookmarkStart w:id="50" w:name="_Ref512348639"/>
      <w:bookmarkEnd w:id="49"/>
      <w:r>
        <w:t xml:space="preserve">por ocasião do Resgate Antecipado Facultativo,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Facultativo; </w:t>
      </w:r>
      <w:r>
        <w:rPr>
          <w:b/>
        </w:rPr>
        <w:t>(c)</w:t>
      </w:r>
      <w:r>
        <w:t xml:space="preserve"> dos Encargos Moratórios devidos e não pagos até a Data do Resgate Antecipado Facultativo, se for o caso; e </w:t>
      </w:r>
      <w:r>
        <w:rPr>
          <w:b/>
        </w:rPr>
        <w:t>(d) </w:t>
      </w:r>
      <w:r>
        <w:t>de um prêmio de resgate calculado conforme a fórmula abaixo (“</w:t>
      </w:r>
      <w:r>
        <w:rPr>
          <w:u w:val="single"/>
        </w:rPr>
        <w:t>Valor do Resgate Antecipado Facultativo</w:t>
      </w:r>
      <w:r>
        <w:t>”):</w:t>
      </w:r>
      <w:bookmarkEnd w:id="50"/>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lastRenderedPageBreak/>
        <w:t>PUprêmio</w:t>
      </w:r>
      <w:r>
        <w:t xml:space="preserve"> = prêmio do Resgate Antecipado Facultativo, expresso em reais, calculado com 8 (oito) casas decimais, sem arredondamento;</w:t>
      </w:r>
    </w:p>
    <w:p w:rsidR="00C963BB" w:rsidRDefault="00C759A0">
      <w:pPr>
        <w:spacing w:after="240" w:line="320" w:lineRule="exact"/>
        <w:ind w:left="1134"/>
        <w:jc w:val="both"/>
      </w:pPr>
      <w:r>
        <w:rPr>
          <w:u w:val="single"/>
        </w:rPr>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das Debêntures da Segunda Série ou o saldo Valor do Nominal Unitário Atualizado das Debêntures da Segunda Série,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xml:space="preserve">; </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00D71244" w:rsidRPr="00D71244">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i = referência a cada data de pagamento programada para as Debêntures da Primeira</w:t>
      </w:r>
      <w:r w:rsidRPr="00EE4DB9">
        <w:rPr>
          <w:u w:val="single"/>
        </w:rPr>
        <w:t xml:space="preserve"> </w:t>
      </w:r>
      <w:r w:rsidRPr="00432329">
        <w:t>Série</w:t>
      </w:r>
      <w:r w:rsidRPr="00C20C16">
        <w:t xml:space="preserve"> </w:t>
      </w:r>
      <w:r>
        <w:t>e/ou da Terceira Série;</w:t>
      </w:r>
    </w:p>
    <w:p w:rsidR="00C963BB" w:rsidRDefault="00C759A0">
      <w:pPr>
        <w:spacing w:after="240" w:line="320" w:lineRule="exact"/>
        <w:ind w:left="1134"/>
        <w:jc w:val="both"/>
        <w:rPr>
          <w:i/>
        </w:rPr>
      </w:pPr>
      <w:r>
        <w:t>SDi = saldo devedor das Debêntures da Primeira</w:t>
      </w:r>
      <w:r w:rsidRPr="00C20C16">
        <w:t xml:space="preserve"> </w:t>
      </w:r>
      <w:r w:rsidRPr="00432329">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281921">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 xml:space="preserve">SDi-1 = saldo devedor de principal das Debêntures da Primeira </w:t>
      </w:r>
      <w:r w:rsidRPr="00432329">
        <w:t xml:space="preserve">Série </w:t>
      </w:r>
      <w:r>
        <w:t xml:space="preserve">e/ou da Terceira Série na data de pagamento do PMTi-1, ou seja, equivalente ao valor de emissão das Debêntures da Primeira </w:t>
      </w:r>
      <w:r w:rsidRPr="00432329">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sidRPr="00EE4DB9">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281921">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m:t>
        </m:r>
      </m:oMath>
      <w:r>
        <w:t xml:space="preserve"> Pré, base 252 Dias Úteis, com prazo mais próximo a dupi ou dupi-1, conforme o caso, publicada pela BM&amp;F Bovespa no endereço: </w:t>
      </w:r>
      <w:hyperlink r:id="rId18"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EE4DB9">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lastRenderedPageBreak/>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281921">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rsidRPr="00EE4DB9">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Facultativo 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Fica desde logo estabelecido que a Emissora não poderá, em hipótese alguma, realizar o Resgate Antecipado Facultativo parcial das Debêntures.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Facultativo serão obrigatoriamente canceladas pela Emissora.</w:t>
      </w:r>
    </w:p>
    <w:p w:rsidR="00C963BB" w:rsidRDefault="00C759A0">
      <w:pPr>
        <w:pStyle w:val="Level2"/>
        <w:tabs>
          <w:tab w:val="clear" w:pos="680"/>
          <w:tab w:val="num" w:pos="1134"/>
        </w:tabs>
        <w:spacing w:after="240" w:line="320" w:lineRule="exact"/>
        <w:ind w:left="0" w:firstLine="0"/>
        <w:rPr>
          <w:szCs w:val="22"/>
        </w:rPr>
      </w:pPr>
      <w:bookmarkStart w:id="51" w:name="_Ref514360787"/>
      <w:r>
        <w:rPr>
          <w:b/>
          <w:szCs w:val="22"/>
        </w:rPr>
        <w:t xml:space="preserve">Resgate Antecipado Obrigatório. </w:t>
      </w:r>
      <w:r>
        <w:rPr>
          <w:szCs w:val="22"/>
        </w:rPr>
        <w:t xml:space="preserve">A </w:t>
      </w:r>
      <w:r>
        <w:rPr>
          <w:snapToGrid w:val="0"/>
          <w:szCs w:val="22"/>
          <w:lang w:eastAsia="en-US"/>
        </w:rPr>
        <w:t>Emissora</w:t>
      </w:r>
      <w:r>
        <w:rPr>
          <w:szCs w:val="22"/>
        </w:rPr>
        <w:t xml:space="preserve"> deverá obrigatoriamente realizar o resgate antecipado da totalidade das Debêntures, em até 10 (dez) Dias Úteis contados da data de publicação ou comunicação por qualquer das SPEs ou da Contour acerca da realização de resgate antecipado das debêntures emitidas no âmbito de qualquer das </w:t>
      </w:r>
      <w:r>
        <w:rPr>
          <w:bCs/>
          <w:szCs w:val="22"/>
        </w:rPr>
        <w:t>Escrituras de Emissão Subsidiárias, independentemente do motivo</w:t>
      </w:r>
      <w:r>
        <w:rPr>
          <w:szCs w:val="22"/>
        </w:rPr>
        <w:t xml:space="preserve"> (“</w:t>
      </w:r>
      <w:r>
        <w:rPr>
          <w:szCs w:val="22"/>
          <w:u w:val="single"/>
        </w:rPr>
        <w:t>Resgate Antecipado Obrigatório</w:t>
      </w:r>
      <w:r>
        <w:rPr>
          <w:szCs w:val="22"/>
        </w:rPr>
        <w:t>”).</w:t>
      </w:r>
      <w:bookmarkEnd w:id="51"/>
      <w:r>
        <w:rPr>
          <w:szCs w:val="22"/>
        </w:rPr>
        <w:t xml:space="preserve">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Verificado o evento previsto no item </w:t>
      </w:r>
      <w:r>
        <w:rPr>
          <w:szCs w:val="22"/>
        </w:rPr>
        <w:fldChar w:fldCharType="begin"/>
      </w:r>
      <w:r>
        <w:rPr>
          <w:szCs w:val="22"/>
        </w:rPr>
        <w:instrText xml:space="preserve"> REF _Ref514360787 \r \p \h </w:instrText>
      </w:r>
      <w:r>
        <w:rPr>
          <w:szCs w:val="22"/>
        </w:rPr>
      </w:r>
      <w:r>
        <w:rPr>
          <w:szCs w:val="22"/>
        </w:rPr>
        <w:fldChar w:fldCharType="separate"/>
      </w:r>
      <w:r w:rsidR="00281921">
        <w:rPr>
          <w:szCs w:val="22"/>
        </w:rPr>
        <w:t>6.18 acima</w:t>
      </w:r>
      <w:r>
        <w:rPr>
          <w:szCs w:val="22"/>
        </w:rPr>
        <w:fldChar w:fldCharType="end"/>
      </w:r>
      <w:r>
        <w:rPr>
          <w:szCs w:val="22"/>
        </w:rPr>
        <w:t xml:space="preserve">, o Resgate Antecipado Obrigatório será realizado conforme as seguintes condições, conforme aplicáveis: </w:t>
      </w:r>
    </w:p>
    <w:p w:rsidR="00C963BB" w:rsidRDefault="00C759A0">
      <w:pPr>
        <w:pStyle w:val="Level4"/>
        <w:spacing w:after="240" w:line="320" w:lineRule="exact"/>
        <w:ind w:left="1134" w:hanging="1134"/>
      </w:pPr>
      <w:r>
        <w:t xml:space="preserve">a Emissora deverá comunicar aos Debenturistas, por meio de publicação nos Jornais de Publicação ou de comunicado individual a ser encaminhado pela Emissora a cada um dos Debenturistas, com cópia para o Agente Fiduciário, acerca da realização do </w:t>
      </w:r>
      <w:r>
        <w:lastRenderedPageBreak/>
        <w:t>Resgate Antecipado Obrigatório, com no mínimo 8 (oito) Dias Úteis de antecedência da data do Resgate Antecipado Obrigatório (“</w:t>
      </w:r>
      <w:r>
        <w:rPr>
          <w:u w:val="single"/>
        </w:rPr>
        <w:t>Comunicação de Resgate Antecipado Obrigatório</w:t>
      </w:r>
      <w:r>
        <w:t xml:space="preserve">”); </w:t>
      </w:r>
    </w:p>
    <w:p w:rsidR="00C963BB" w:rsidRDefault="00C759A0">
      <w:pPr>
        <w:pStyle w:val="Level4"/>
        <w:spacing w:after="240" w:line="320" w:lineRule="exact"/>
        <w:ind w:left="1134" w:hanging="1134"/>
      </w:pPr>
      <w:r>
        <w:t xml:space="preserve">a Comunicação de Resgate Antecipado Obrigatório deverá conter os termos e condições necessários para realização do Resgate Antecipado Obrigatório, conforme o caso, que incluem, mas não se limitam a: </w:t>
      </w:r>
      <w:r>
        <w:rPr>
          <w:b/>
        </w:rPr>
        <w:t>(a)</w:t>
      </w:r>
      <w:r>
        <w:t> data efetiva da realização do Resgate Antecipado Obrigatório e do pagamento do Valor do Resgate Antecipado Obrigatório (conforme definido abaixo) (“</w:t>
      </w:r>
      <w:r>
        <w:rPr>
          <w:u w:val="single"/>
        </w:rPr>
        <w:t>Data do Resgate Antecipado Obrigatório</w:t>
      </w:r>
      <w:r>
        <w:t>”) que, deverá ser</w:t>
      </w:r>
      <w:r>
        <w:rPr>
          <w:i/>
        </w:rPr>
        <w:t xml:space="preserve"> </w:t>
      </w:r>
      <w:r>
        <w:t xml:space="preserve">a mesma data em que ocorrer o pagamento do resgate antecipado das debêntures emitidas no âmbito das </w:t>
      </w:r>
      <w:r>
        <w:rPr>
          <w:bCs/>
        </w:rPr>
        <w:t>Escrituras de Emissão Subsidiárias</w:t>
      </w:r>
      <w:r>
        <w:t xml:space="preserve">; </w:t>
      </w:r>
      <w:r>
        <w:rPr>
          <w:b/>
        </w:rPr>
        <w:t>(b) </w:t>
      </w:r>
      <w:r>
        <w:t xml:space="preserve">o Valor do Resgate Antecipado Obrigatório, calculado nos termos do inciso </w:t>
      </w:r>
      <w:r>
        <w:fldChar w:fldCharType="begin"/>
      </w:r>
      <w:r>
        <w:instrText xml:space="preserve"> REF _Ref514360989 \r \h </w:instrText>
      </w:r>
      <w:r>
        <w:fldChar w:fldCharType="separate"/>
      </w:r>
      <w:r w:rsidR="00281921">
        <w:t>(iv)</w:t>
      </w:r>
      <w:r>
        <w:fldChar w:fldCharType="end"/>
      </w:r>
      <w:r>
        <w:t xml:space="preserve"> abaixo; e </w:t>
      </w:r>
      <w:r>
        <w:rPr>
          <w:b/>
        </w:rPr>
        <w:t>(c)</w:t>
      </w:r>
      <w:r>
        <w:t xml:space="preserve"> quaisquer outras informações necessárias à operacionalização do Resgate Antecipado Obrigatório; </w:t>
      </w:r>
    </w:p>
    <w:p w:rsidR="00C963BB" w:rsidRDefault="00C759A0">
      <w:pPr>
        <w:pStyle w:val="Level4"/>
        <w:spacing w:after="240" w:line="320" w:lineRule="exact"/>
        <w:ind w:left="1134" w:hanging="1134"/>
      </w:pPr>
      <w:r>
        <w:t xml:space="preserve">a Emissora deverá comunicar por meio de correspondência escrita a B3, o Agente de Liquidação e Escriturador acerca da realização do Resgate Antecipado Obrigatório com, no mínimo, 3 (três) Dias Úteis de antecedência da data do referido Resgate Antecipado Obrigatório; </w:t>
      </w:r>
    </w:p>
    <w:p w:rsidR="00C963BB" w:rsidRDefault="00C759A0">
      <w:pPr>
        <w:pStyle w:val="Level4"/>
        <w:spacing w:after="240" w:line="320" w:lineRule="exact"/>
        <w:ind w:left="1134" w:hanging="1134"/>
      </w:pPr>
      <w:bookmarkStart w:id="52" w:name="_Ref514360989"/>
      <w:r>
        <w:t xml:space="preserve">por ocasião do Resgate Antecipado Obrigatório,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Obrigatório; </w:t>
      </w:r>
      <w:r>
        <w:rPr>
          <w:b/>
        </w:rPr>
        <w:t>(c)</w:t>
      </w:r>
      <w:r>
        <w:t xml:space="preserve"> dos Encargos Moratórios devidos e não pagos até a Data do Resgate Antecipado Obrigatório, se for o caso; e </w:t>
      </w:r>
      <w:r>
        <w:rPr>
          <w:b/>
        </w:rPr>
        <w:t>(d) </w:t>
      </w:r>
      <w:r>
        <w:t>de um prêmio de resgate calculado conforme a fórmula abaixo (“</w:t>
      </w:r>
      <w:r>
        <w:rPr>
          <w:u w:val="single"/>
        </w:rPr>
        <w:t>Valor do Resgate Antecipado Obrigatório</w:t>
      </w:r>
      <w:r>
        <w:t>”):</w:t>
      </w:r>
      <w:bookmarkEnd w:id="52"/>
      <w:r>
        <w:t xml:space="preserve"> </w:t>
      </w:r>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Obrigatório, expresso em reais, calculado com 8 (oito) casas decimais, sem arredondamento;</w:t>
      </w:r>
    </w:p>
    <w:p w:rsidR="00C963BB" w:rsidRDefault="00C759A0">
      <w:pPr>
        <w:spacing w:after="240" w:line="320" w:lineRule="exact"/>
        <w:ind w:left="1134"/>
        <w:jc w:val="both"/>
      </w:pPr>
      <w:r>
        <w:rPr>
          <w:u w:val="single"/>
        </w:rPr>
        <w:lastRenderedPageBreak/>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ou o saldo Valor do Nominal Unitário Atualizado,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e</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Pr="00432329">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 xml:space="preserve">i = referência a cada data de pagamento programada para as Debêntures da Primeira </w:t>
      </w:r>
      <w:r w:rsidRPr="00432329">
        <w:t xml:space="preserve">Série </w:t>
      </w:r>
      <w:r>
        <w:t>e/ou da Terceira Série;</w:t>
      </w:r>
    </w:p>
    <w:p w:rsidR="00C963BB" w:rsidRDefault="00C759A0">
      <w:pPr>
        <w:spacing w:after="240" w:line="320" w:lineRule="exact"/>
        <w:ind w:left="1134"/>
        <w:jc w:val="both"/>
        <w:rPr>
          <w:i/>
        </w:rPr>
      </w:pPr>
      <w:r>
        <w:t>SDi = saldo devedor das Debêntures da Primeira</w:t>
      </w:r>
      <w:r w:rsidRPr="00C20C16">
        <w:t xml:space="preserve"> </w:t>
      </w:r>
      <w:r w:rsidRPr="00432329">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281921">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lastRenderedPageBreak/>
        <w:t>SDi-1 = saldo devedor de principal das Debêntures da Primeira</w:t>
      </w:r>
      <w:r w:rsidRPr="00432329">
        <w:t xml:space="preserve"> Série</w:t>
      </w:r>
      <w:r>
        <w:t xml:space="preserve"> e/ou da Terceira Série na data de pagamento do PMTi-1, ou seja, equivalente ao valor de emissão das Debêntures da Primeira </w:t>
      </w:r>
      <w:r w:rsidRPr="00432329">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sidRPr="00EE4DB9">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281921">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 xml:space="preserve">× </m:t>
        </m:r>
      </m:oMath>
      <w:r>
        <w:t xml:space="preserve"> Pré, base 252 Dias Úteis, com prazo mais próximo a dupi ou dupi-1, conforme o caso, publicada pela BM&amp;F Bovespa no endereço: </w:t>
      </w:r>
      <w:hyperlink r:id="rId19"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EE4DB9">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lastRenderedPageBreak/>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281921">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w:t>
      </w:r>
      <w:r>
        <w:t xml:space="preserve">Obrigatório </w:t>
      </w:r>
      <w:r>
        <w:rPr>
          <w:szCs w:val="22"/>
        </w:rPr>
        <w:t xml:space="preserve">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Obrigatório serão obrigatoriamente canceladas pela Emissora.</w:t>
      </w:r>
    </w:p>
    <w:p w:rsidR="00C963BB" w:rsidRDefault="00C759A0">
      <w:pPr>
        <w:pStyle w:val="Level2"/>
        <w:tabs>
          <w:tab w:val="clear" w:pos="680"/>
          <w:tab w:val="num" w:pos="1134"/>
        </w:tabs>
        <w:spacing w:after="240" w:line="320" w:lineRule="exact"/>
        <w:ind w:left="0" w:firstLine="0"/>
        <w:rPr>
          <w:b/>
          <w:caps/>
          <w:szCs w:val="22"/>
        </w:rPr>
      </w:pPr>
      <w:r>
        <w:rPr>
          <w:b/>
          <w:szCs w:val="22"/>
        </w:rPr>
        <w:t>Amortização Extraordinária</w:t>
      </w:r>
      <w:r>
        <w:rPr>
          <w:szCs w:val="22"/>
        </w:rPr>
        <w:t>.</w:t>
      </w:r>
      <w:r>
        <w:rPr>
          <w:b/>
          <w:szCs w:val="22"/>
        </w:rPr>
        <w:t xml:space="preserve"> </w:t>
      </w:r>
      <w:r>
        <w:rPr>
          <w:szCs w:val="22"/>
        </w:rPr>
        <w:t xml:space="preserve">As </w:t>
      </w:r>
      <w:r>
        <w:rPr>
          <w:snapToGrid w:val="0"/>
          <w:szCs w:val="22"/>
          <w:lang w:eastAsia="en-US"/>
        </w:rPr>
        <w:t>Debêntures</w:t>
      </w:r>
      <w:r>
        <w:rPr>
          <w:szCs w:val="22"/>
        </w:rPr>
        <w:t xml:space="preserve"> </w:t>
      </w:r>
      <w:bookmarkStart w:id="53" w:name="_Ref503107020"/>
      <w:r>
        <w:rPr>
          <w:szCs w:val="22"/>
        </w:rPr>
        <w:t xml:space="preserve">não </w:t>
      </w:r>
      <w:bookmarkEnd w:id="53"/>
      <w:r>
        <w:rPr>
          <w:szCs w:val="22"/>
        </w:rPr>
        <w:t>estarão sujeitas a amortização extraordinária pela Emissora.</w:t>
      </w:r>
    </w:p>
    <w:p w:rsidR="00C963BB" w:rsidRDefault="00C759A0">
      <w:pPr>
        <w:pStyle w:val="Level2"/>
        <w:tabs>
          <w:tab w:val="clear" w:pos="680"/>
          <w:tab w:val="num" w:pos="1134"/>
        </w:tabs>
        <w:spacing w:after="240" w:line="320" w:lineRule="exact"/>
        <w:ind w:left="0" w:firstLine="0"/>
        <w:rPr>
          <w:b/>
          <w:szCs w:val="22"/>
        </w:rPr>
      </w:pPr>
      <w:r>
        <w:rPr>
          <w:b/>
          <w:szCs w:val="22"/>
        </w:rPr>
        <w:t>Repactuação Programada</w:t>
      </w:r>
      <w:r>
        <w:rPr>
          <w:szCs w:val="22"/>
        </w:rPr>
        <w:t xml:space="preserve">. As </w:t>
      </w:r>
      <w:r>
        <w:rPr>
          <w:snapToGrid w:val="0"/>
          <w:szCs w:val="22"/>
          <w:lang w:eastAsia="en-US"/>
        </w:rPr>
        <w:t>Debêntures</w:t>
      </w:r>
      <w:r>
        <w:rPr>
          <w:szCs w:val="22"/>
        </w:rPr>
        <w:t xml:space="preserve"> não serão objeto de repactuação programada.</w:t>
      </w:r>
      <w:bookmarkStart w:id="54" w:name="_Toc499990364"/>
    </w:p>
    <w:p w:rsidR="00C963BB" w:rsidRDefault="00C759A0">
      <w:pPr>
        <w:pStyle w:val="Level2"/>
        <w:tabs>
          <w:tab w:val="clear" w:pos="680"/>
          <w:tab w:val="num" w:pos="1134"/>
        </w:tabs>
        <w:spacing w:after="240" w:line="320" w:lineRule="exact"/>
        <w:ind w:left="0" w:firstLine="0"/>
        <w:rPr>
          <w:b/>
          <w:szCs w:val="22"/>
        </w:rPr>
      </w:pPr>
      <w:bookmarkStart w:id="55" w:name="_Ref382072770"/>
      <w:bookmarkStart w:id="56" w:name="_Ref512347626"/>
      <w:bookmarkStart w:id="57" w:name="_Ref416106959"/>
      <w:r>
        <w:rPr>
          <w:b/>
          <w:bCs/>
          <w:szCs w:val="22"/>
        </w:rPr>
        <w:t>Garantias Reais</w:t>
      </w:r>
      <w:r>
        <w:rPr>
          <w:szCs w:val="22"/>
        </w:rPr>
        <w:t xml:space="preserve">. </w:t>
      </w:r>
      <w:bookmarkEnd w:id="55"/>
      <w:r>
        <w:rPr>
          <w:szCs w:val="22"/>
        </w:rPr>
        <w:t xml:space="preserve">Observado o disposto no item </w:t>
      </w:r>
      <w:r>
        <w:rPr>
          <w:szCs w:val="22"/>
        </w:rPr>
        <w:fldChar w:fldCharType="begin"/>
      </w:r>
      <w:r>
        <w:rPr>
          <w:szCs w:val="22"/>
        </w:rPr>
        <w:instrText xml:space="preserve"> REF _Ref513915958 \r \p \h  \* MERGEFORMAT </w:instrText>
      </w:r>
      <w:r>
        <w:rPr>
          <w:szCs w:val="22"/>
        </w:rPr>
      </w:r>
      <w:r>
        <w:rPr>
          <w:szCs w:val="22"/>
        </w:rPr>
        <w:fldChar w:fldCharType="separate"/>
      </w:r>
      <w:r w:rsidR="00281921">
        <w:rPr>
          <w:szCs w:val="22"/>
        </w:rPr>
        <w:t>6.23 abaixo</w:t>
      </w:r>
      <w:r>
        <w:rPr>
          <w:szCs w:val="22"/>
        </w:rPr>
        <w:fldChar w:fldCharType="end"/>
      </w:r>
      <w:r>
        <w:rPr>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w:t>
      </w:r>
      <w:r>
        <w:rPr>
          <w:b/>
          <w:szCs w:val="22"/>
        </w:rPr>
        <w:t xml:space="preserve"> </w:t>
      </w:r>
      <w:r>
        <w:rPr>
          <w:szCs w:val="22"/>
        </w:rPr>
        <w:t xml:space="preserve">tais como honorários </w:t>
      </w:r>
      <w:r>
        <w:rPr>
          <w:szCs w:val="22"/>
        </w:rPr>
        <w:lastRenderedPageBreak/>
        <w:t>advocatícios judiciais ou extrajudiciais e despesas processuais necessárias ao exercício de seu direito (“</w:t>
      </w:r>
      <w:r>
        <w:rPr>
          <w:szCs w:val="22"/>
          <w:u w:val="single"/>
        </w:rPr>
        <w:t>Obrigações Garantidas</w:t>
      </w:r>
      <w:r>
        <w:rPr>
          <w:szCs w:val="22"/>
        </w:rPr>
        <w:t xml:space="preserve">”), serão constituídas as seguintes Garantias Reais, nos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281921">
        <w:rPr>
          <w:szCs w:val="22"/>
        </w:rPr>
        <w:t>6.21.2 abaixo</w:t>
      </w:r>
      <w:r>
        <w:rPr>
          <w:szCs w:val="22"/>
        </w:rPr>
        <w:fldChar w:fldCharType="end"/>
      </w:r>
      <w:r>
        <w:rPr>
          <w:szCs w:val="22"/>
        </w:rPr>
        <w:t>:</w:t>
      </w:r>
      <w:bookmarkEnd w:id="56"/>
    </w:p>
    <w:p w:rsidR="00C963BB" w:rsidRDefault="00C759A0">
      <w:pPr>
        <w:pStyle w:val="Level4"/>
        <w:spacing w:after="240" w:line="320" w:lineRule="exact"/>
        <w:ind w:left="1134" w:hanging="1134"/>
        <w:rPr>
          <w:b/>
        </w:rPr>
      </w:pPr>
      <w:r>
        <w:t>alienação fiduciária da totalidade</w:t>
      </w:r>
      <w:r>
        <w:rPr>
          <w:b/>
        </w:rPr>
        <w:t xml:space="preserve"> (a) </w:t>
      </w:r>
      <w:r>
        <w:t xml:space="preserve">das ações da </w:t>
      </w:r>
      <w:r w:rsidR="0001220E">
        <w:t xml:space="preserve">Emissora, </w:t>
      </w:r>
      <w:r>
        <w:rPr>
          <w:bCs/>
        </w:rPr>
        <w:t>Galheiros Geração de Energia S.A. (“</w:t>
      </w:r>
      <w:r>
        <w:rPr>
          <w:bCs/>
          <w:u w:val="single"/>
        </w:rPr>
        <w:t>Galheiros</w:t>
      </w:r>
      <w:r>
        <w:rPr>
          <w:bCs/>
        </w:rPr>
        <w:t xml:space="preserve">”), </w:t>
      </w:r>
      <w:r>
        <w:t>Afluente Geração de Energia Elétrica S.A. (“</w:t>
      </w:r>
      <w:r>
        <w:rPr>
          <w:u w:val="single"/>
        </w:rPr>
        <w:t>Afluente</w:t>
      </w:r>
      <w:r>
        <w:t>”), Bahia PCH I S.A. (“</w:t>
      </w:r>
      <w:r>
        <w:rPr>
          <w:u w:val="single"/>
        </w:rPr>
        <w:t>Bahia PCH</w:t>
      </w:r>
      <w:r>
        <w:t>”)</w:t>
      </w:r>
      <w:r w:rsidR="005C056C">
        <w:t xml:space="preserve"> e</w:t>
      </w:r>
      <w:r>
        <w:t xml:space="preserve"> Rio PCH I S.A. (“</w:t>
      </w:r>
      <w:r>
        <w:rPr>
          <w:u w:val="single"/>
        </w:rPr>
        <w:t>Rio PCH</w:t>
      </w:r>
      <w:r>
        <w:t xml:space="preserve">” e, em conjunto com </w:t>
      </w:r>
      <w:r w:rsidR="00C27055">
        <w:t xml:space="preserve">a </w:t>
      </w:r>
      <w:r w:rsidR="00611082">
        <w:t xml:space="preserve">Emissora, </w:t>
      </w:r>
      <w:r>
        <w:t>Galheiros, Afluente</w:t>
      </w:r>
      <w:r w:rsidR="00611082">
        <w:t xml:space="preserve"> e</w:t>
      </w:r>
      <w:r>
        <w:t xml:space="preserve"> Bahia PCH, as “</w:t>
      </w:r>
      <w:r>
        <w:rPr>
          <w:u w:val="single"/>
        </w:rPr>
        <w:t>Subsidiárias</w:t>
      </w:r>
      <w:r>
        <w:t>” ou “</w:t>
      </w:r>
      <w:r>
        <w:rPr>
          <w:u w:val="single"/>
        </w:rPr>
        <w:t>SPEs</w:t>
      </w:r>
      <w:r>
        <w:t>”), detidas pela Contour; e</w:t>
      </w:r>
      <w:r>
        <w:rPr>
          <w:b/>
        </w:rPr>
        <w:t xml:space="preserve"> (b)</w:t>
      </w:r>
      <w:r>
        <w:t xml:space="preserve"> das ações da Contour detidas pela Kani (sendo (a) e (b) referidas em conjunto como “</w:t>
      </w:r>
      <w:r>
        <w:rPr>
          <w:u w:val="single"/>
        </w:rPr>
        <w:t>Ações Alienadas</w:t>
      </w:r>
      <w:r>
        <w:t xml:space="preserve">”), quer existentes ou futuras, bem como </w:t>
      </w:r>
      <w:r>
        <w:rPr>
          <w:i/>
        </w:rPr>
        <w:t>(1)</w:t>
      </w:r>
      <w:r>
        <w:t xml:space="preserve"> quaisquer bens em que as Ações Alienadas sejam convertidas (inclusive quaisquer certificados de depósitos ou valores mobiliários), todas as ações que porventura, a partir desta data, sejam atribuídas aos respectivos acionistas garantidores no capital social das Subsidiárias e/ou da Contour, conforme o caso, ou seu eventual sucessor legal por meio de subscrição, por força de desmembramentos, grupamentos ou exercício de direito de preferência das ações 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w:t>
      </w:r>
      <w:r>
        <w:rPr>
          <w:i/>
        </w:rPr>
        <w:t>(2)</w:t>
      </w:r>
      <w:r>
        <w:t xml:space="preserve">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 nos termos dos respectivos Contratos de Garantia (“</w:t>
      </w:r>
      <w:r>
        <w:rPr>
          <w:u w:val="single"/>
        </w:rPr>
        <w:t>Alienação Fiduciária de Ações</w:t>
      </w:r>
      <w:r>
        <w:t>”);</w:t>
      </w:r>
    </w:p>
    <w:p w:rsidR="00C963BB" w:rsidRDefault="00C759A0">
      <w:pPr>
        <w:pStyle w:val="Level4"/>
        <w:spacing w:after="240" w:line="320" w:lineRule="exact"/>
        <w:ind w:left="1134" w:hanging="1134"/>
        <w:rPr>
          <w:b/>
        </w:rPr>
      </w:pPr>
      <w:r>
        <w:t>alienação fiduciária da totalidade das quotas da Capuava Energy Ltda. (“</w:t>
      </w:r>
      <w:r>
        <w:rPr>
          <w:u w:val="single"/>
        </w:rPr>
        <w:t>Capuava</w:t>
      </w:r>
      <w:r>
        <w:t>”) detidas pela Contour (“</w:t>
      </w:r>
      <w:r>
        <w:rPr>
          <w:u w:val="single"/>
        </w:rPr>
        <w:t>Quotas Alienadas</w:t>
      </w:r>
      <w:r>
        <w:t xml:space="preserve">”), quer existentes ou futuras, </w:t>
      </w:r>
      <w:r w:rsidR="00E91E53">
        <w:t xml:space="preserve">bem como </w:t>
      </w:r>
      <w:r>
        <w:t xml:space="preserve">todas as quotas que porventura, a partir desta data,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w:t>
      </w:r>
      <w:r>
        <w:lastRenderedPageBreak/>
        <w:t>Capuava, nos termos do Contrato de Alienação Fiduciária de Quotas Capuava (“</w:t>
      </w:r>
      <w:r>
        <w:rPr>
          <w:u w:val="single"/>
        </w:rPr>
        <w:t>Alienação Fiduciária de Quotas</w:t>
      </w:r>
      <w:r>
        <w:t>”); e</w:t>
      </w:r>
    </w:p>
    <w:p w:rsidR="00C963BB" w:rsidRDefault="00C759A0">
      <w:pPr>
        <w:pStyle w:val="Level4"/>
        <w:spacing w:after="240" w:line="320" w:lineRule="exact"/>
        <w:ind w:left="1134" w:hanging="1134"/>
        <w:rPr>
          <w:b/>
        </w:rPr>
      </w:pPr>
      <w:r>
        <w:t xml:space="preserve">cessão fiduciária sobre: </w:t>
      </w:r>
      <w:r>
        <w:rPr>
          <w:b/>
        </w:rPr>
        <w:t>(a)</w:t>
      </w:r>
      <w:r>
        <w:t xml:space="preserve">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Pr>
          <w:u w:val="single"/>
        </w:rPr>
        <w:t>Rendimentos das Ações</w:t>
      </w:r>
      <w:r>
        <w:t xml:space="preserve">”); </w:t>
      </w:r>
      <w:r>
        <w:rPr>
          <w:b/>
        </w:rPr>
        <w:t>(b)</w:t>
      </w:r>
      <w:r>
        <w:t xml:space="preserve">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Pr>
          <w:u w:val="single"/>
        </w:rPr>
        <w:t>Rendimentos das Quotas</w:t>
      </w:r>
      <w:r>
        <w:t xml:space="preserve">”); </w:t>
      </w:r>
      <w:r>
        <w:rPr>
          <w:b/>
        </w:rPr>
        <w:t>(c)</w:t>
      </w:r>
      <w:r>
        <w:t xml:space="preserve"> todos os direitos creditórios decorrentes ou relacionados à conta vinculada mantida pela Contour junto ao Banco Santander (Brasil) S.A., na qualidade de banco depositário (“</w:t>
      </w:r>
      <w:r>
        <w:rPr>
          <w:u w:val="single"/>
        </w:rPr>
        <w:t>Banco Depositário</w:t>
      </w:r>
      <w:r>
        <w:t xml:space="preserve">”), na qual deverão ser depositados os recursos provenientes dos Rendimentos das Ações a serem distribuídos pela Contour, bem como decorrentes de outras formas de distribuição de recursos pela Contour à Kani nos termos do item </w:t>
      </w:r>
      <w:r>
        <w:fldChar w:fldCharType="begin"/>
      </w:r>
      <w:r>
        <w:instrText xml:space="preserve"> REF _Ref517730372 \r \h </w:instrText>
      </w:r>
      <w:r>
        <w:fldChar w:fldCharType="separate"/>
      </w:r>
      <w:r w:rsidR="00281921">
        <w:t>7.1.7</w:t>
      </w:r>
      <w:r>
        <w:fldChar w:fldCharType="end"/>
      </w:r>
      <w:r>
        <w:t xml:space="preserve">, subitens </w:t>
      </w:r>
      <w:r>
        <w:fldChar w:fldCharType="begin"/>
      </w:r>
      <w:r>
        <w:instrText xml:space="preserve"> REF _Ref519774998 \n \h </w:instrText>
      </w:r>
      <w:r>
        <w:fldChar w:fldCharType="separate"/>
      </w:r>
      <w:r w:rsidR="00281921">
        <w:t>(vi)</w:t>
      </w:r>
      <w:r>
        <w:fldChar w:fldCharType="end"/>
      </w:r>
      <w:r>
        <w:t xml:space="preserve">, </w:t>
      </w:r>
      <w:r>
        <w:fldChar w:fldCharType="begin"/>
      </w:r>
      <w:r>
        <w:instrText xml:space="preserve"> REF _Ref518318489 \n \h </w:instrText>
      </w:r>
      <w:r>
        <w:fldChar w:fldCharType="separate"/>
      </w:r>
      <w:r w:rsidR="00281921">
        <w:t>(vii)</w:t>
      </w:r>
      <w:r>
        <w:fldChar w:fldCharType="end"/>
      </w:r>
      <w:r>
        <w:t xml:space="preserve"> e </w:t>
      </w:r>
      <w:r>
        <w:fldChar w:fldCharType="begin"/>
      </w:r>
      <w:r>
        <w:instrText xml:space="preserve"> REF _Ref518318492 \n \p \h </w:instrText>
      </w:r>
      <w:r>
        <w:fldChar w:fldCharType="separate"/>
      </w:r>
      <w:r w:rsidR="00281921">
        <w:t>(viii) abaixo</w:t>
      </w:r>
      <w:r>
        <w:fldChar w:fldCharType="end"/>
      </w:r>
      <w:r>
        <w:t>, antes de sua efetiva transferência à Kani (“</w:t>
      </w:r>
      <w:r>
        <w:rPr>
          <w:u w:val="single"/>
        </w:rPr>
        <w:t>Conta Vinculada Dividendos Contour</w:t>
      </w:r>
      <w:r>
        <w:t xml:space="preserve">”); </w:t>
      </w:r>
      <w:r>
        <w:rPr>
          <w:b/>
        </w:rPr>
        <w:t>(d)</w:t>
      </w:r>
      <w:r>
        <w:t xml:space="preserve"> todos os direitos creditórios decorrentes ou relacionados à conta vinculada mantida pela Contour junto ao Banco Depositário, na qual deverão ser depositados os recursos provenientes dos Rendimentos das Ações e dos Rendimentos das Quotas (“</w:t>
      </w:r>
      <w:r>
        <w:rPr>
          <w:u w:val="single"/>
        </w:rPr>
        <w:t>Conta Vinculada Dividendos SPEs</w:t>
      </w:r>
      <w:r>
        <w:t xml:space="preserve">”); </w:t>
      </w:r>
      <w:r>
        <w:rPr>
          <w:b/>
        </w:rPr>
        <w:t>(e)</w:t>
      </w:r>
      <w:r>
        <w:t xml:space="preserv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Pr>
          <w:u w:val="single"/>
        </w:rPr>
        <w:t>Conta Vinculada GSF</w:t>
      </w:r>
      <w:r>
        <w:t xml:space="preserve">”); e </w:t>
      </w:r>
      <w:r>
        <w:rPr>
          <w:b/>
        </w:rPr>
        <w:t>(f)</w:t>
      </w:r>
      <w:r>
        <w:t xml:space="preserve">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Pr>
          <w:u w:val="single"/>
        </w:rPr>
        <w:t>ICSD Individual</w:t>
      </w:r>
      <w:r>
        <w:t>”) das Subsidiárias e do Índice Financeiro, nos termos do Contrato de Alienação Fiduciária de Ações SPEs (“</w:t>
      </w:r>
      <w:r>
        <w:rPr>
          <w:u w:val="single"/>
        </w:rPr>
        <w:t>Conta Reserva</w:t>
      </w:r>
      <w:r>
        <w:t>” e, em conjunto com a Conta Vinculada Dividendos Contour, a Conta Vinculada GSF e a Conta Vinculada Dividendos SPEs, as “</w:t>
      </w:r>
      <w:r>
        <w:rPr>
          <w:u w:val="single"/>
        </w:rPr>
        <w:t>Contas Vinculadas</w:t>
      </w:r>
      <w:r>
        <w:t>”), em todos os casos observado o disposto nesta Escritura de Emissão, nas Escrituras de Emissão Subsidiárias, no contrato de depósito a ser celebrado entre a Emissora, a Contour, as Subsidiárias, o Agente Fiduciário e o Banco Depositário (“</w:t>
      </w:r>
      <w:r>
        <w:rPr>
          <w:u w:val="single"/>
        </w:rPr>
        <w:t>Contrato de Conta Vinculada</w:t>
      </w:r>
      <w:r>
        <w:t>”) e nos Contratos de Garantia (“</w:t>
      </w:r>
      <w:r>
        <w:rPr>
          <w:u w:val="single"/>
        </w:rPr>
        <w:t>Cessão Fiduciária</w:t>
      </w:r>
      <w:r>
        <w:t xml:space="preserve">”, sendo referida em </w:t>
      </w:r>
      <w:r>
        <w:lastRenderedPageBreak/>
        <w:t>conjunto com a Alienação Fiduciária de Ações e a Alienação Fiduciária de Quotas como “</w:t>
      </w:r>
      <w:r>
        <w:rPr>
          <w:u w:val="single"/>
        </w:rPr>
        <w:t>Garantias Reais</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58" w:name="_Ref519775119"/>
      <w:r>
        <w:rPr>
          <w:szCs w:val="22"/>
        </w:rPr>
        <w:t xml:space="preserve">Sem prejuízo das demais Garantias Reais constituídas, encontra-se desde já autorizada, sem a necessidade de Assembleia Geral de Debenturistas, a extinção da Alienação Fiduciária de Quotas, desde que em decorrência das hipóteses previstas no item </w:t>
      </w:r>
      <w:r>
        <w:rPr>
          <w:szCs w:val="22"/>
        </w:rPr>
        <w:fldChar w:fldCharType="begin"/>
      </w:r>
      <w:r>
        <w:rPr>
          <w:szCs w:val="22"/>
        </w:rPr>
        <w:instrText xml:space="preserve"> REF _Ref516074471 \n \h </w:instrText>
      </w:r>
      <w:r>
        <w:rPr>
          <w:szCs w:val="22"/>
        </w:rPr>
      </w:r>
      <w:r>
        <w:rPr>
          <w:szCs w:val="22"/>
        </w:rPr>
        <w:fldChar w:fldCharType="separate"/>
      </w:r>
      <w:r w:rsidR="00281921">
        <w:rPr>
          <w:szCs w:val="22"/>
        </w:rPr>
        <w:t>7.1.9</w:t>
      </w:r>
      <w:r>
        <w:rPr>
          <w:szCs w:val="22"/>
        </w:rPr>
        <w:fldChar w:fldCharType="end"/>
      </w:r>
      <w:r>
        <w:rPr>
          <w:szCs w:val="22"/>
        </w:rPr>
        <w:t xml:space="preserve">, inciso </w:t>
      </w:r>
      <w:r>
        <w:rPr>
          <w:szCs w:val="22"/>
        </w:rPr>
        <w:fldChar w:fldCharType="begin"/>
      </w:r>
      <w:r>
        <w:rPr>
          <w:szCs w:val="22"/>
        </w:rPr>
        <w:instrText xml:space="preserve"> REF _Ref516074473 \n \p \h </w:instrText>
      </w:r>
      <w:r>
        <w:rPr>
          <w:szCs w:val="22"/>
        </w:rPr>
      </w:r>
      <w:r>
        <w:rPr>
          <w:szCs w:val="22"/>
        </w:rPr>
        <w:fldChar w:fldCharType="separate"/>
      </w:r>
      <w:r w:rsidR="00281921">
        <w:rPr>
          <w:szCs w:val="22"/>
        </w:rPr>
        <w:t>(i) abaixo</w:t>
      </w:r>
      <w:r>
        <w:rPr>
          <w:szCs w:val="22"/>
        </w:rPr>
        <w:fldChar w:fldCharType="end"/>
      </w:r>
      <w:r>
        <w:rPr>
          <w:szCs w:val="22"/>
        </w:rPr>
        <w:t>, alíneas (a) e/ou (c), permitidas exclusivamente a partir da Data de Término do PPA Capuava (conforme definido abaixo).</w:t>
      </w:r>
      <w:bookmarkEnd w:id="58"/>
      <w:r>
        <w:rPr>
          <w:szCs w:val="22"/>
        </w:rPr>
        <w:t xml:space="preserve"> </w:t>
      </w:r>
    </w:p>
    <w:p w:rsidR="00C963BB" w:rsidRDefault="00C759A0">
      <w:pPr>
        <w:pStyle w:val="Level3"/>
        <w:numPr>
          <w:ilvl w:val="2"/>
          <w:numId w:val="253"/>
        </w:numPr>
        <w:tabs>
          <w:tab w:val="clear" w:pos="1361"/>
          <w:tab w:val="num" w:pos="1134"/>
        </w:tabs>
        <w:spacing w:after="240" w:line="320" w:lineRule="exact"/>
        <w:ind w:left="0" w:firstLine="0"/>
        <w:rPr>
          <w:b/>
          <w:szCs w:val="22"/>
        </w:rPr>
      </w:pPr>
      <w:bookmarkStart w:id="59" w:name="_Ref382147151"/>
      <w:bookmarkStart w:id="60" w:name="_Ref512285701"/>
      <w:bookmarkStart w:id="61" w:name="_Ref512688754"/>
      <w:bookmarkEnd w:id="57"/>
      <w:r>
        <w:rPr>
          <w:szCs w:val="22"/>
        </w:rPr>
        <w:t>A Emissora e a Contour obrigam-se a assinar e fazer com que as demais Subsidiárias e a Kani assinem, conforme o caso, em termos e condições substancialmente similares aos modelos constantes do Anexo III a esta Escritura de Emissão, os seguintes instrumentos em até 2 (dois) Dias Úteis contados do recebimento pela Contour, do agente fiduciário das Debêntures Bridge, do Termo de Liberação:</w:t>
      </w:r>
      <w:bookmarkEnd w:id="59"/>
      <w:bookmarkEnd w:id="60"/>
      <w:bookmarkEnd w:id="61"/>
    </w:p>
    <w:p w:rsidR="00C963BB" w:rsidRDefault="00C759A0">
      <w:pPr>
        <w:pStyle w:val="Level4"/>
        <w:spacing w:after="240" w:line="320" w:lineRule="exact"/>
        <w:ind w:left="1134" w:hanging="1134"/>
      </w:pPr>
      <w:r>
        <w:t>“Instrumento Particular de Alienação Fiduciária de Ações e de Cessão Fiduciária de Direitos Creditórios e Outras Avenças (SPEs)”, a ser celebrado entre a Contour e o Agente Fiduciário, com a interveniência e anuência das SPEs (“</w:t>
      </w:r>
      <w:r>
        <w:rPr>
          <w:u w:val="single"/>
        </w:rPr>
        <w:t>Contrato de Alienação Fiduciária de Ações SPEs</w:t>
      </w:r>
      <w:r>
        <w:t xml:space="preserve">”); </w:t>
      </w:r>
    </w:p>
    <w:p w:rsidR="00C963BB" w:rsidRDefault="00C759A0">
      <w:pPr>
        <w:pStyle w:val="Level4"/>
        <w:spacing w:after="240" w:line="320" w:lineRule="exact"/>
        <w:ind w:left="1134" w:hanging="1134"/>
      </w:pPr>
      <w:r>
        <w:t>“Instrumento Particular de Alienação Fiduciária de Quotas e de Cessão Fiduciária de Direitos Creditórios</w:t>
      </w:r>
      <w:r>
        <w:rPr>
          <w:i/>
        </w:rPr>
        <w:t xml:space="preserve"> </w:t>
      </w:r>
      <w:r>
        <w:t>e Outras Avenças (Capuava)”, a ser celebrado entre a Contour e o Agente Fiduciário, com a interveniência e anuência da Capuava (“</w:t>
      </w:r>
      <w:r>
        <w:rPr>
          <w:u w:val="single"/>
        </w:rPr>
        <w:t>Contrato de Alienação Fiduciária de Quotas Capuava</w:t>
      </w:r>
      <w:r>
        <w:t xml:space="preserve">”); e </w:t>
      </w:r>
    </w:p>
    <w:p w:rsidR="00C963BB" w:rsidRDefault="00C759A0">
      <w:pPr>
        <w:pStyle w:val="Level4"/>
        <w:spacing w:after="240" w:line="320" w:lineRule="exact"/>
        <w:ind w:left="1134" w:hanging="1134"/>
        <w:rPr>
          <w:b/>
        </w:rPr>
      </w:pPr>
      <w:r>
        <w:t>“Instrumento Particular de Alienação Fiduciária de Ações e de Cessão Fiduciária de Direitos Creditórios</w:t>
      </w:r>
      <w:r>
        <w:rPr>
          <w:i/>
        </w:rPr>
        <w:t xml:space="preserve"> </w:t>
      </w:r>
      <w:r>
        <w:t>e Outras Avenças (Contour)”, a ser celebrado entre a Kani e o Agente Fiduciário, com a interveniência e anuência da Contour (“</w:t>
      </w:r>
      <w:r>
        <w:rPr>
          <w:u w:val="single"/>
        </w:rPr>
        <w:t>Contrato de Alienação Fiduciária de Ações Kani</w:t>
      </w:r>
      <w:r>
        <w:t>” e, em conjunto com o Contrato de Alienação Fiduciária de Ações SPEs e o Contrato de Alienação Fiduciária de Quotas Capuava, “</w:t>
      </w:r>
      <w:r>
        <w:rPr>
          <w:u w:val="single"/>
        </w:rPr>
        <w:t>Contratos de Garantia</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62" w:name="_Ref512347605"/>
      <w:bookmarkStart w:id="63" w:name="_Ref382665320"/>
      <w:r>
        <w:rPr>
          <w:szCs w:val="22"/>
        </w:rPr>
        <w:t xml:space="preserve">A Emissora e a Contour comprometem-se a, nos termos e prazos previstos nos Contratos de Garantia e às suas expensas, </w:t>
      </w:r>
      <w:r>
        <w:rPr>
          <w:b/>
          <w:szCs w:val="22"/>
        </w:rPr>
        <w:t>(i)</w:t>
      </w:r>
      <w:r>
        <w:rPr>
          <w:szCs w:val="22"/>
        </w:rPr>
        <w:t xml:space="preserve"> observar os procedimentos para registro dos Contratos de Garantia nos cartórios de registro de títulos e documentos competentes, nos termos dos Contratos de Garantia; </w:t>
      </w:r>
      <w:r>
        <w:rPr>
          <w:b/>
          <w:szCs w:val="22"/>
        </w:rPr>
        <w:t>(ii)</w:t>
      </w:r>
      <w:r>
        <w:rPr>
          <w:szCs w:val="22"/>
        </w:rPr>
        <w:t xml:space="preserve"> averbar ou fazer com que sejam averbadas as alienações fiduciárias constituídas sobre as Ações Alienadas no escriturador ou nos livros das Subsidiárias e da Contour, conforme o caso; </w:t>
      </w:r>
      <w:r>
        <w:rPr>
          <w:b/>
          <w:szCs w:val="22"/>
        </w:rPr>
        <w:t>(iii)</w:t>
      </w:r>
      <w:r>
        <w:rPr>
          <w:szCs w:val="22"/>
        </w:rPr>
        <w:t xml:space="preserve"> fazer com que seja aditado e protocolado para registro na junta </w:t>
      </w:r>
      <w:r>
        <w:rPr>
          <w:szCs w:val="22"/>
        </w:rPr>
        <w:lastRenderedPageBreak/>
        <w:t xml:space="preserve">comercial competente o Contrato Social da Capuava, para fazer constar a alienação fiduciária constituída sobre as Quotas Alienadas, e </w:t>
      </w:r>
      <w:r>
        <w:rPr>
          <w:b/>
          <w:szCs w:val="22"/>
        </w:rPr>
        <w:t>(iv)</w:t>
      </w:r>
      <w:r>
        <w:rPr>
          <w:szCs w:val="22"/>
        </w:rPr>
        <w:t xml:space="preserve"> notificar os devedores dos direitos cedidos fiduciariamente para os fins previstos no artigo 290 </w:t>
      </w:r>
      <w:r>
        <w:rPr>
          <w:rFonts w:eastAsia="Arial"/>
          <w:noProof/>
          <w:szCs w:val="22"/>
          <w:lang w:eastAsia="en-GB"/>
        </w:rPr>
        <w:t>da Lei nº 10.406, de 10 de janeiro de 2002, conforme alterada (“</w:t>
      </w:r>
      <w:r>
        <w:rPr>
          <w:rFonts w:eastAsia="Arial"/>
          <w:noProof/>
          <w:szCs w:val="22"/>
          <w:u w:val="single"/>
          <w:lang w:eastAsia="en-GB"/>
        </w:rPr>
        <w:t>Código Civil</w:t>
      </w:r>
      <w:r>
        <w:rPr>
          <w:rFonts w:eastAsia="Arial"/>
          <w:noProof/>
          <w:szCs w:val="22"/>
          <w:lang w:eastAsia="en-GB"/>
        </w:rPr>
        <w:t>”)</w:t>
      </w:r>
      <w:r>
        <w:rPr>
          <w:szCs w:val="22"/>
        </w:rPr>
        <w:t>, sob pena de incorrer em um Evento de Vencimento Antecipado Não Automático.</w:t>
      </w:r>
      <w:bookmarkEnd w:id="62"/>
      <w:r>
        <w:rPr>
          <w:szCs w:val="22"/>
        </w:rPr>
        <w:t xml:space="preserve"> </w:t>
      </w:r>
    </w:p>
    <w:p w:rsidR="00C963BB" w:rsidRDefault="00C759A0">
      <w:pPr>
        <w:pStyle w:val="Level3"/>
        <w:tabs>
          <w:tab w:val="clear" w:pos="1361"/>
          <w:tab w:val="num" w:pos="1134"/>
        </w:tabs>
        <w:spacing w:after="240" w:line="320" w:lineRule="exact"/>
        <w:ind w:left="0" w:firstLine="0"/>
        <w:rPr>
          <w:b/>
          <w:szCs w:val="22"/>
        </w:rPr>
      </w:pPr>
      <w:bookmarkStart w:id="64" w:name="_Ref512703333"/>
      <w:r>
        <w:rPr>
          <w:szCs w:val="22"/>
        </w:rPr>
        <w:t>A Contour obriga-se a assinar o Contrato de Conta Vinculada em até 2 (dois) Dias Úteis contados do recebimento do Termo de Liberação, que regulará a movimentação das Contas Vinculadas.</w:t>
      </w:r>
      <w:bookmarkEnd w:id="64"/>
    </w:p>
    <w:bookmarkEnd w:id="54"/>
    <w:bookmarkEnd w:id="63"/>
    <w:p w:rsidR="00C963BB" w:rsidRDefault="00C759A0">
      <w:pPr>
        <w:pStyle w:val="Level3"/>
        <w:numPr>
          <w:ilvl w:val="2"/>
          <w:numId w:val="253"/>
        </w:numPr>
        <w:tabs>
          <w:tab w:val="clear" w:pos="1361"/>
          <w:tab w:val="num" w:pos="1134"/>
        </w:tabs>
        <w:spacing w:after="240" w:line="320" w:lineRule="exact"/>
        <w:ind w:left="0" w:firstLine="0"/>
        <w:rPr>
          <w:szCs w:val="22"/>
        </w:rPr>
      </w:pPr>
      <w:r>
        <w:rPr>
          <w:szCs w:val="22"/>
        </w:rPr>
        <w:t xml:space="preserve">O Agente Fiduciário fica desde já autorizado e constituído de todos os poderes, de forma irrevogável e irretratável, para, às expensas da Emissora e em nome da Emissora e da Contour, como seu bastante procurador, nos termos dispostos nos artigos 653, 684 e parágrafo 1º do artigo 661 do Código Civil, celebrar e promover o registro dos Contratos de Garantia e do Contrato de Conta Vinculada caso a Emissora não o faça nos prazos previstos nos itens </w:t>
      </w:r>
      <w:r>
        <w:rPr>
          <w:szCs w:val="22"/>
        </w:rPr>
        <w:fldChar w:fldCharType="begin"/>
      </w:r>
      <w:r>
        <w:rPr>
          <w:szCs w:val="22"/>
        </w:rPr>
        <w:instrText xml:space="preserve"> REF _Ref512285701 \r \h  \* MERGEFORMAT </w:instrText>
      </w:r>
      <w:r>
        <w:rPr>
          <w:szCs w:val="22"/>
        </w:rPr>
      </w:r>
      <w:r>
        <w:rPr>
          <w:szCs w:val="22"/>
        </w:rPr>
        <w:fldChar w:fldCharType="separate"/>
      </w:r>
      <w:r w:rsidR="00281921">
        <w:rPr>
          <w:szCs w:val="22"/>
        </w:rPr>
        <w:t>6.21.2</w:t>
      </w:r>
      <w:r>
        <w:rPr>
          <w:szCs w:val="22"/>
        </w:rPr>
        <w:fldChar w:fldCharType="end"/>
      </w:r>
      <w:r>
        <w:rPr>
          <w:szCs w:val="22"/>
        </w:rPr>
        <w:t xml:space="preserve">, </w:t>
      </w:r>
      <w:r>
        <w:rPr>
          <w:szCs w:val="22"/>
        </w:rPr>
        <w:fldChar w:fldCharType="begin"/>
      </w:r>
      <w:r>
        <w:rPr>
          <w:szCs w:val="22"/>
        </w:rPr>
        <w:instrText xml:space="preserve"> REF _Ref512347605 \n \h  \* MERGEFORMAT </w:instrText>
      </w:r>
      <w:r>
        <w:rPr>
          <w:szCs w:val="22"/>
        </w:rPr>
      </w:r>
      <w:r>
        <w:rPr>
          <w:szCs w:val="22"/>
        </w:rPr>
        <w:fldChar w:fldCharType="separate"/>
      </w:r>
      <w:r w:rsidR="00281921">
        <w:rPr>
          <w:szCs w:val="22"/>
        </w:rPr>
        <w:t>6.21.3</w:t>
      </w:r>
      <w:r>
        <w:rPr>
          <w:szCs w:val="22"/>
        </w:rPr>
        <w:fldChar w:fldCharType="end"/>
      </w:r>
      <w:r>
        <w:rPr>
          <w:szCs w:val="22"/>
        </w:rPr>
        <w:t xml:space="preserve"> e </w:t>
      </w:r>
      <w:r>
        <w:rPr>
          <w:szCs w:val="22"/>
        </w:rPr>
        <w:fldChar w:fldCharType="begin"/>
      </w:r>
      <w:r>
        <w:rPr>
          <w:szCs w:val="22"/>
        </w:rPr>
        <w:instrText xml:space="preserve"> REF _Ref512703333 \n \p \h  \* MERGEFORMAT </w:instrText>
      </w:r>
      <w:r>
        <w:rPr>
          <w:szCs w:val="22"/>
        </w:rPr>
      </w:r>
      <w:r>
        <w:rPr>
          <w:szCs w:val="22"/>
        </w:rPr>
        <w:fldChar w:fldCharType="separate"/>
      </w:r>
      <w:r w:rsidR="00281921">
        <w:rPr>
          <w:szCs w:val="22"/>
        </w:rPr>
        <w:t>6.21.4 acima</w:t>
      </w:r>
      <w:r>
        <w:rPr>
          <w:szCs w:val="22"/>
        </w:rPr>
        <w:fldChar w:fldCharType="end"/>
      </w:r>
      <w:r>
        <w:rPr>
          <w:szCs w:val="22"/>
        </w:rPr>
        <w:t xml:space="preserve">. A eventual celebração e o registro dos Contratos de Garantia e do Contrato de Conta Vinculada efetuados pelo Agente Fiduciário não isenta a Emissora das consequências decorrentes do inadimplemento de suas obrigações e consequente caracterização de um Evento de Vencimento Antecipado Não Automático,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281921">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281921">
        <w:rPr>
          <w:szCs w:val="22"/>
        </w:rPr>
        <w:t>(xxiii) abaixo</w:t>
      </w:r>
      <w:r>
        <w:rPr>
          <w:szCs w:val="22"/>
        </w:rPr>
        <w:fldChar w:fldCharType="end"/>
      </w:r>
      <w:r>
        <w:rPr>
          <w:szCs w:val="22"/>
        </w:rPr>
        <w:t>.</w:t>
      </w:r>
    </w:p>
    <w:p w:rsidR="00C963BB" w:rsidRDefault="00C759A0">
      <w:pPr>
        <w:pStyle w:val="Level2"/>
        <w:tabs>
          <w:tab w:val="clear" w:pos="680"/>
          <w:tab w:val="num" w:pos="1106"/>
          <w:tab w:val="num" w:pos="1134"/>
        </w:tabs>
        <w:spacing w:after="240" w:line="320" w:lineRule="exact"/>
        <w:ind w:left="0" w:firstLine="0"/>
        <w:rPr>
          <w:rFonts w:eastAsia="Arial"/>
          <w:b/>
          <w:bCs/>
          <w:iCs/>
          <w:caps/>
          <w:noProof/>
          <w:szCs w:val="22"/>
          <w:lang w:eastAsia="en-GB"/>
        </w:rPr>
      </w:pPr>
      <w:bookmarkStart w:id="65" w:name="_Ref505204724"/>
      <w:bookmarkStart w:id="66" w:name="_Ref507681833"/>
      <w:bookmarkStart w:id="67" w:name="_Ref508620034"/>
      <w:bookmarkStart w:id="68" w:name="_Ref508808243"/>
      <w:bookmarkStart w:id="69" w:name="_Ref512682914"/>
      <w:r>
        <w:rPr>
          <w:b/>
          <w:snapToGrid w:val="0"/>
          <w:szCs w:val="22"/>
        </w:rPr>
        <w:t>Garantia Fidejussória</w:t>
      </w:r>
      <w:bookmarkEnd w:id="65"/>
      <w:r>
        <w:rPr>
          <w:b/>
          <w:snapToGrid w:val="0"/>
          <w:szCs w:val="22"/>
        </w:rPr>
        <w:t>.</w:t>
      </w:r>
      <w:bookmarkStart w:id="70" w:name="_Ref505206207"/>
      <w:bookmarkStart w:id="71" w:name="_Ref447136339"/>
      <w:r>
        <w:rPr>
          <w:b/>
          <w:snapToGrid w:val="0"/>
          <w:szCs w:val="22"/>
        </w:rPr>
        <w:t xml:space="preserve"> </w:t>
      </w:r>
      <w:r>
        <w:rPr>
          <w:rFonts w:eastAsia="Arial"/>
          <w:noProof/>
          <w:szCs w:val="22"/>
          <w:lang w:eastAsia="en-GB"/>
        </w:rPr>
        <w:t xml:space="preserve">A Contour, neste ato, </w:t>
      </w:r>
      <w:r>
        <w:rPr>
          <w:szCs w:val="22"/>
        </w:rPr>
        <w:t xml:space="preserve">compromete-se, de forma irrevogável e irretratável, sob pena de ocorrência de um Evento de Vencimento Antecipado Não Automático das Debêntures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281921">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281921">
        <w:rPr>
          <w:szCs w:val="22"/>
        </w:rPr>
        <w:t>(xxiii) abaixo</w:t>
      </w:r>
      <w:r>
        <w:rPr>
          <w:szCs w:val="22"/>
        </w:rPr>
        <w:fldChar w:fldCharType="end"/>
      </w:r>
      <w:r>
        <w:rPr>
          <w:szCs w:val="22"/>
        </w:rPr>
        <w:t xml:space="preserve">, a outorgar garantia fidejussória na forma de fiança </w:t>
      </w:r>
      <w:r>
        <w:rPr>
          <w:color w:val="000000"/>
          <w:szCs w:val="22"/>
        </w:rPr>
        <w:t xml:space="preserve">em favor dos Debenturistas, representados pelo Agente Fiduciário, obrigando-se, </w:t>
      </w:r>
      <w:r>
        <w:rPr>
          <w:rFonts w:eastAsia="Arial"/>
          <w:noProof/>
          <w:szCs w:val="22"/>
          <w:lang w:eastAsia="en-GB"/>
        </w:rPr>
        <w:t>solidariamente com a Emissora, em caráter irrevogável e irretratável, na qualidade de fiadora e principal pagadora, pelo fiel, pontual e integral pagamento da totalidade das Obrigações Garantidas (“</w:t>
      </w:r>
      <w:r>
        <w:rPr>
          <w:rFonts w:eastAsia="Arial"/>
          <w:noProof/>
          <w:szCs w:val="22"/>
          <w:u w:val="single"/>
          <w:lang w:eastAsia="en-GB"/>
        </w:rPr>
        <w:t>Fiança</w:t>
      </w:r>
      <w:r>
        <w:rPr>
          <w:rFonts w:eastAsia="Arial"/>
          <w:noProof/>
          <w:szCs w:val="22"/>
          <w:lang w:eastAsia="en-GB"/>
        </w:rPr>
        <w:t>” e, em conjunto com as Garantias Reais, “</w:t>
      </w:r>
      <w:r>
        <w:rPr>
          <w:rFonts w:eastAsia="Arial"/>
          <w:noProof/>
          <w:szCs w:val="22"/>
          <w:u w:val="single"/>
          <w:lang w:eastAsia="en-GB"/>
        </w:rPr>
        <w:t>Garantias</w:t>
      </w:r>
      <w:r>
        <w:rPr>
          <w:rFonts w:eastAsia="Arial"/>
          <w:noProof/>
          <w:szCs w:val="22"/>
          <w:lang w:eastAsia="en-GB"/>
        </w:rPr>
        <w:t>”), a ser constituída</w:t>
      </w:r>
      <w:bookmarkEnd w:id="66"/>
      <w:bookmarkEnd w:id="67"/>
      <w:bookmarkEnd w:id="68"/>
      <w:bookmarkEnd w:id="70"/>
      <w:bookmarkEnd w:id="71"/>
      <w:r>
        <w:rPr>
          <w:szCs w:val="22"/>
        </w:rPr>
        <w:t xml:space="preserve"> mediante: </w:t>
      </w:r>
      <w:r>
        <w:rPr>
          <w:b/>
          <w:szCs w:val="22"/>
        </w:rPr>
        <w:t>(i)</w:t>
      </w:r>
      <w:r>
        <w:rPr>
          <w:szCs w:val="22"/>
        </w:rPr>
        <w:t xml:space="preserve"> a celebração pelas Partes </w:t>
      </w:r>
      <w:r>
        <w:rPr>
          <w:rStyle w:val="TtulodoLivro"/>
          <w:b w:val="0"/>
        </w:rPr>
        <w:t>e pelas Intervenientes Anuentes</w:t>
      </w:r>
      <w:r>
        <w:rPr>
          <w:rStyle w:val="TtulodoLivro"/>
        </w:rPr>
        <w:t xml:space="preserve"> </w:t>
      </w:r>
      <w:r>
        <w:rPr>
          <w:szCs w:val="22"/>
        </w:rPr>
        <w:t xml:space="preserve">de aditamento a esta Escritura, nos termos do Anexo I a esta Escritura de Emissão, sendo certo que a Emissora e a Contour deverão assinar referido aditamento em até 2 (dois) Dias Úteis contados do recebimento do Termo de Liberação; e </w:t>
      </w:r>
      <w:r>
        <w:rPr>
          <w:b/>
          <w:szCs w:val="22"/>
        </w:rPr>
        <w:t>(ii)</w:t>
      </w:r>
      <w:r>
        <w:rPr>
          <w:szCs w:val="22"/>
        </w:rPr>
        <w:t xml:space="preserve"> cumprimento das formalidades nos termos e prazos de que trata a Cláusula Segunda acima, sem necessidade de realização de Assembleia Geral de Debenturistas.</w:t>
      </w:r>
      <w:bookmarkEnd w:id="69"/>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Quando da devida constituição da Fiança, a Contour renunciará expressamente aos benefícios dos artigos 333, parágrafo único, 366, 368, 821, 827, 834, 835, 837, 838 e 839 do Código Civil e dos artigos 130 e 794 da Lei nº 13.105 de 16 de março de 2015, conforme alterada (“</w:t>
      </w:r>
      <w:r>
        <w:rPr>
          <w:rFonts w:eastAsia="Arial"/>
          <w:noProof/>
          <w:szCs w:val="22"/>
          <w:u w:val="single"/>
          <w:lang w:eastAsia="en-GB"/>
        </w:rPr>
        <w:t>Código de Processo Civil</w:t>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bookmarkStart w:id="72" w:name="_Ref512286033"/>
      <w:r>
        <w:rPr>
          <w:rFonts w:eastAsia="Arial"/>
          <w:noProof/>
          <w:szCs w:val="22"/>
          <w:lang w:eastAsia="en-GB"/>
        </w:rPr>
        <w:lastRenderedPageBreak/>
        <w:t>Quando da devida constituição da Fiança, a Contour se obrigará a, independentemente de qualquer pretensão, ação, disputa ou reclamação que a Emissora venha a ter ou exercer em relação às suas obrigações, pagar a totalidade das Obrigações Garantidas,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Pr>
          <w:szCs w:val="22"/>
        </w:rPr>
        <w:t xml:space="preserve"> Agente Fiduciário</w:t>
      </w:r>
      <w:r>
        <w:rPr>
          <w:rFonts w:eastAsia="Arial"/>
          <w:noProof/>
          <w:szCs w:val="22"/>
          <w:lang w:eastAsia="en-GB"/>
        </w:rPr>
        <w:t>.</w:t>
      </w:r>
      <w:bookmarkEnd w:id="72"/>
      <w:r>
        <w:rPr>
          <w:rFonts w:eastAsia="Arial"/>
          <w:noProof/>
          <w:szCs w:val="22"/>
          <w:lang w:eastAsia="en-GB"/>
        </w:rPr>
        <w:t xml:space="preserve"> </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Fica desde já certo e ajustado que, após a devida constituição da Fiança, a </w:t>
      </w:r>
      <w:r>
        <w:rPr>
          <w:szCs w:val="22"/>
        </w:rPr>
        <w:t>inobservância</w:t>
      </w:r>
      <w:r>
        <w:rPr>
          <w:rFonts w:eastAsia="Arial"/>
          <w:noProof/>
          <w:szCs w:val="22"/>
          <w:lang w:eastAsia="en-GB"/>
        </w:rPr>
        <w:t>, pel</w:t>
      </w:r>
      <w:r>
        <w:rPr>
          <w:szCs w:val="22"/>
        </w:rPr>
        <w:t>o Agente Fiduciário</w:t>
      </w:r>
      <w:r>
        <w:rPr>
          <w:rFonts w:eastAsia="Arial"/>
          <w:noProof/>
          <w:szCs w:val="22"/>
          <w:lang w:eastAsia="en-GB"/>
        </w:rPr>
        <w:t>, do prazo disposto acima não ensejará, sob hipótese alguma, perda de qualquer direito ou faculdade aqui prevista.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todos e quaisquer pagamentos realizados pela Contour em relação à Fiança </w:t>
      </w:r>
      <w:r>
        <w:rPr>
          <w:szCs w:val="22"/>
        </w:rPr>
        <w:t>serão</w:t>
      </w:r>
      <w:r>
        <w:rPr>
          <w:rFonts w:eastAsia="Arial"/>
          <w:noProof/>
          <w:szCs w:val="22"/>
          <w:lang w:eastAsia="en-GB"/>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deverá obrigar-se, após a devida constituição da Fiança, a pagar as quantias adicionais que sejam necessárias para que os Debenturistas recebam, após tais deduções, recolhimentos ou pagamentos, uma quantia equivalente à que teria sido recebida se tais deduções, recolhimentos ou pagamentos não fossem aplicáveis. </w:t>
      </w:r>
      <w:bookmarkStart w:id="73" w:name="_Ref447071449"/>
      <w:bookmarkStart w:id="74" w:name="_Ref327878923"/>
      <w:bookmarkStart w:id="75" w:name="_Ref368604406"/>
      <w:bookmarkStart w:id="76" w:name="_Ref379922536"/>
      <w:bookmarkStart w:id="77" w:name="_Ref379570836"/>
      <w:bookmarkStart w:id="78" w:name="_Ref381119075"/>
    </w:p>
    <w:bookmarkEnd w:id="73"/>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A Fiança será devidamente consentida de boa fé pela Contour, nos termos das disposições legais aplicáveis. A Fiança será outorgada pela Contour em caráter irrevogável e irretratável até a liquidação integral das Obrigações Garantidas</w:t>
      </w:r>
      <w:r w:rsidR="007E4BA0">
        <w:rPr>
          <w:rFonts w:eastAsia="Arial"/>
          <w:noProof/>
          <w:szCs w:val="22"/>
          <w:lang w:eastAsia="en-GB"/>
        </w:rPr>
        <w:t>.</w:t>
      </w:r>
      <w:bookmarkEnd w:id="74"/>
      <w:bookmarkEnd w:id="75"/>
      <w:bookmarkEnd w:id="76"/>
      <w:bookmarkEnd w:id="77"/>
      <w:bookmarkEnd w:id="78"/>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Nenhuma objeção ou oposição da </w:t>
      </w:r>
      <w:r>
        <w:rPr>
          <w:szCs w:val="22"/>
        </w:rPr>
        <w:t>Emissora</w:t>
      </w:r>
      <w:r>
        <w:rPr>
          <w:rFonts w:eastAsia="Arial"/>
          <w:noProof/>
          <w:szCs w:val="22"/>
          <w:lang w:eastAsia="en-GB"/>
        </w:rPr>
        <w:t xml:space="preserve"> poderá ser admitida ou invocada pela Contour com o fito de escusar-se do cumprimento de suas obrigações perante os Debenturistas após a devida constituição da Fiança.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a </w:t>
      </w:r>
      <w:r>
        <w:rPr>
          <w:szCs w:val="22"/>
        </w:rPr>
        <w:t>Fiança</w:t>
      </w:r>
      <w:r>
        <w:rPr>
          <w:rFonts w:eastAsia="Arial"/>
          <w:noProof/>
          <w:szCs w:val="22"/>
          <w:lang w:eastAsia="en-GB"/>
        </w:rPr>
        <w:t xml:space="preserve"> poderá ser excutida e exigida pelo Agente Fiduciário quantas vezes forem necessárias até a integral e efetiva liquidação das Obrigações Garantidas garantido pela Fiança, nos termos do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281921">
        <w:rPr>
          <w:rFonts w:eastAsia="Arial"/>
          <w:noProof/>
          <w:szCs w:val="22"/>
          <w:lang w:eastAsia="en-GB"/>
        </w:rPr>
        <w:t>6.22 acima</w:t>
      </w:r>
      <w:r>
        <w:rPr>
          <w:rFonts w:eastAsia="Arial"/>
          <w:noProof/>
          <w:szCs w:val="22"/>
          <w:lang w:eastAsia="en-GB"/>
        </w:rPr>
        <w:fldChar w:fldCharType="end"/>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lastRenderedPageBreak/>
        <w:t>Após devidamente constituída, a Fiança permanecerá válida e plenamente eficaz inclusive em caso de aditamentos, alterações e quaisquer outras modificações nos Contratos de Garantia, nesta Escritura de Emissão e nos demais documentos da Emissão,</w:t>
      </w:r>
      <w:r>
        <w:rPr>
          <w:szCs w:val="22"/>
        </w:rPr>
        <w:t xml:space="preserve"> </w:t>
      </w:r>
      <w:r>
        <w:rPr>
          <w:rFonts w:eastAsia="Arial"/>
          <w:noProof/>
          <w:szCs w:val="22"/>
          <w:lang w:eastAsia="en-GB"/>
        </w:rPr>
        <w:t>bem como em caso de qualquer limitação ou incapacidade da Emissora e/ou Contour, inclusive seu pedido de recuperação extrajudicial, pedido de recuperação judicial ou falência</w:t>
      </w:r>
      <w:r w:rsidR="007E4BA0">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No âmbito da Fiança, a Contour concordará e obrigar-se-á a somente exigir e/ou demandar a Emissora por qualquer valor por ela honrado nos termos da Fiança após os Debenturistas terem recebido todos os valores a eles devidos. </w:t>
      </w:r>
    </w:p>
    <w:p w:rsidR="00C963BB" w:rsidRDefault="00C759A0">
      <w:pPr>
        <w:pStyle w:val="Level3"/>
        <w:tabs>
          <w:tab w:val="clear" w:pos="1361"/>
          <w:tab w:val="num" w:pos="1134"/>
        </w:tabs>
        <w:spacing w:after="240" w:line="320" w:lineRule="exact"/>
        <w:ind w:left="0" w:firstLine="0"/>
        <w:rPr>
          <w:szCs w:val="22"/>
        </w:rPr>
      </w:pPr>
      <w:r>
        <w:rPr>
          <w:rFonts w:eastAsia="Arial"/>
          <w:noProof/>
          <w:szCs w:val="22"/>
          <w:lang w:eastAsia="en-GB"/>
        </w:rPr>
        <w:t>A Contour reconhecerá, para os fins do artigo 835 do Código Civil, como prazo final da Fiança a data em que ocorra o pagamento integral das Obrigações Garantidas</w:t>
      </w:r>
      <w:r w:rsidR="007E4BA0">
        <w:rPr>
          <w:rFonts w:eastAsia="Arial"/>
          <w:noProof/>
          <w:szCs w:val="22"/>
          <w:lang w:eastAsia="en-GB"/>
        </w:rPr>
        <w:t>.</w:t>
      </w:r>
    </w:p>
    <w:p w:rsidR="00C963BB" w:rsidRDefault="00C759A0">
      <w:pPr>
        <w:pStyle w:val="Level2"/>
        <w:tabs>
          <w:tab w:val="clear" w:pos="680"/>
          <w:tab w:val="num" w:pos="1106"/>
          <w:tab w:val="num" w:pos="1134"/>
        </w:tabs>
        <w:spacing w:after="240" w:line="320" w:lineRule="exact"/>
        <w:ind w:left="0" w:firstLine="0"/>
        <w:rPr>
          <w:szCs w:val="22"/>
        </w:rPr>
      </w:pPr>
      <w:bookmarkStart w:id="79" w:name="_Ref447136101"/>
      <w:bookmarkStart w:id="80" w:name="_Ref513915958"/>
      <w:bookmarkStart w:id="81" w:name="_Ref508808454"/>
      <w:r>
        <w:rPr>
          <w:b/>
          <w:snapToGrid w:val="0"/>
          <w:szCs w:val="22"/>
        </w:rPr>
        <w:t>Compartilhamento das Garantias</w:t>
      </w:r>
      <w:bookmarkEnd w:id="79"/>
      <w:r>
        <w:rPr>
          <w:b/>
          <w:snapToGrid w:val="0"/>
          <w:szCs w:val="22"/>
        </w:rPr>
        <w:t xml:space="preserve">. </w:t>
      </w:r>
      <w:r>
        <w:rPr>
          <w:snapToGrid w:val="0"/>
          <w:szCs w:val="22"/>
        </w:rPr>
        <w:t>A</w:t>
      </w:r>
      <w:r>
        <w:rPr>
          <w:szCs w:val="22"/>
        </w:rPr>
        <w:t xml:space="preserve">s Garantias Reais descritas no item </w:t>
      </w:r>
      <w:r>
        <w:rPr>
          <w:szCs w:val="22"/>
        </w:rPr>
        <w:fldChar w:fldCharType="begin"/>
      </w:r>
      <w:r>
        <w:rPr>
          <w:szCs w:val="22"/>
        </w:rPr>
        <w:instrText xml:space="preserve"> REF _Ref416106959 \w \p \h  \* MERGEFORMAT </w:instrText>
      </w:r>
      <w:r>
        <w:rPr>
          <w:szCs w:val="22"/>
        </w:rPr>
      </w:r>
      <w:r>
        <w:rPr>
          <w:szCs w:val="22"/>
        </w:rPr>
        <w:fldChar w:fldCharType="separate"/>
      </w:r>
      <w:r w:rsidR="00281921">
        <w:rPr>
          <w:szCs w:val="22"/>
        </w:rPr>
        <w:t>6.21 acima</w:t>
      </w:r>
      <w:r>
        <w:rPr>
          <w:szCs w:val="22"/>
        </w:rPr>
        <w:fldChar w:fldCharType="end"/>
      </w:r>
      <w:r>
        <w:rPr>
          <w:szCs w:val="22"/>
        </w:rPr>
        <w:t xml:space="preserve"> serão compartilhadas com os credores:</w:t>
      </w:r>
      <w:bookmarkEnd w:id="80"/>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Galheiros,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Galheiros Geração de Energia S.A.” (“</w:t>
      </w:r>
      <w:r>
        <w:rPr>
          <w:bCs/>
          <w:szCs w:val="22"/>
          <w:u w:val="single"/>
        </w:rPr>
        <w:t>Escritura de Emissão Galheiros</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Afluente,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Afluente Geração de Energia Elétrica S.A.” (“</w:t>
      </w:r>
      <w:r>
        <w:rPr>
          <w:bCs/>
          <w:szCs w:val="22"/>
          <w:u w:val="single"/>
        </w:rPr>
        <w:t>Escritura de Emissão Afluente</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2ª (segunda) emissão da</w:t>
      </w:r>
      <w:r>
        <w:rPr>
          <w:bCs/>
          <w:szCs w:val="22"/>
        </w:rPr>
        <w:t xml:space="preserve"> </w:t>
      </w:r>
      <w:r>
        <w:rPr>
          <w:szCs w:val="22"/>
        </w:rPr>
        <w:t>Contour</w:t>
      </w:r>
      <w:r>
        <w:rPr>
          <w:bCs/>
          <w:szCs w:val="22"/>
        </w:rPr>
        <w:t xml:space="preserve">, nos termos do “Instrumento </w:t>
      </w:r>
      <w:r>
        <w:rPr>
          <w:szCs w:val="22"/>
        </w:rPr>
        <w:t>Particular</w:t>
      </w:r>
      <w:r>
        <w:rPr>
          <w:bCs/>
          <w:szCs w:val="22"/>
        </w:rPr>
        <w:t xml:space="preserve"> de Escritura da </w:t>
      </w:r>
      <w:r>
        <w:rPr>
          <w:szCs w:val="22"/>
        </w:rPr>
        <w:t xml:space="preserve">2ª (segunda)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w:t>
      </w:r>
      <w:r>
        <w:rPr>
          <w:szCs w:val="22"/>
        </w:rPr>
        <w:t>em Série Única</w:t>
      </w:r>
      <w:r>
        <w:rPr>
          <w:bCs/>
          <w:szCs w:val="22"/>
        </w:rPr>
        <w:t>, para Colocação Privada, da Contour Global do Brasil Participações S.A.” (“</w:t>
      </w:r>
      <w:r>
        <w:rPr>
          <w:bCs/>
          <w:szCs w:val="22"/>
          <w:u w:val="single"/>
        </w:rPr>
        <w:t xml:space="preserve">Escritura de Emissão </w:t>
      </w:r>
      <w:r>
        <w:rPr>
          <w:szCs w:val="22"/>
          <w:u w:val="single"/>
        </w:rPr>
        <w:t>Contour</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Bahia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w:t>
      </w:r>
      <w:r>
        <w:rPr>
          <w:szCs w:val="22"/>
        </w:rPr>
        <w:lastRenderedPageBreak/>
        <w:t xml:space="preserve">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Bahia PCH I </w:t>
      </w:r>
      <w:r>
        <w:rPr>
          <w:bCs/>
          <w:szCs w:val="22"/>
        </w:rPr>
        <w:t>S.A.” (“</w:t>
      </w:r>
      <w:r>
        <w:rPr>
          <w:bCs/>
          <w:szCs w:val="22"/>
          <w:u w:val="single"/>
        </w:rPr>
        <w:t xml:space="preserve">Escritura de Emissão </w:t>
      </w:r>
      <w:r>
        <w:rPr>
          <w:szCs w:val="22"/>
          <w:u w:val="single"/>
        </w:rPr>
        <w:t>Bahia PCH</w:t>
      </w:r>
      <w:r>
        <w:rPr>
          <w:bCs/>
          <w:szCs w:val="22"/>
        </w:rPr>
        <w:t xml:space="preserve">”); </w:t>
      </w:r>
    </w:p>
    <w:p w:rsidR="00C963BB" w:rsidRDefault="00C759A0">
      <w:pPr>
        <w:pStyle w:val="Level2"/>
        <w:numPr>
          <w:ilvl w:val="0"/>
          <w:numId w:val="340"/>
        </w:numPr>
        <w:spacing w:after="240" w:line="320" w:lineRule="exact"/>
        <w:ind w:left="1134" w:hanging="1134"/>
        <w:rPr>
          <w:szCs w:val="22"/>
        </w:rPr>
      </w:pPr>
      <w:r>
        <w:rPr>
          <w:szCs w:val="22"/>
        </w:rPr>
        <w:t>das debêntures da 1ª (primeira) emissão da</w:t>
      </w:r>
      <w:r>
        <w:rPr>
          <w:bCs/>
          <w:szCs w:val="22"/>
        </w:rPr>
        <w:t xml:space="preserve"> </w:t>
      </w:r>
      <w:r>
        <w:rPr>
          <w:szCs w:val="22"/>
        </w:rPr>
        <w:t>Rio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Rio PCH I</w:t>
      </w:r>
      <w:r>
        <w:rPr>
          <w:bCs/>
          <w:szCs w:val="22"/>
        </w:rPr>
        <w:t xml:space="preserve"> S.A.” (“</w:t>
      </w:r>
      <w:r>
        <w:rPr>
          <w:bCs/>
          <w:szCs w:val="22"/>
          <w:u w:val="single"/>
        </w:rPr>
        <w:t>Escritura de Emissão Rio PCH</w:t>
      </w:r>
      <w:r>
        <w:rPr>
          <w:bCs/>
          <w:szCs w:val="22"/>
        </w:rPr>
        <w:t xml:space="preserve">” e, em conjunto com </w:t>
      </w:r>
      <w:r w:rsidR="00AC4EB8">
        <w:rPr>
          <w:bCs/>
          <w:szCs w:val="22"/>
        </w:rPr>
        <w:t>Escritura de Emissão</w:t>
      </w:r>
      <w:r w:rsidR="005C056C">
        <w:rPr>
          <w:bCs/>
          <w:szCs w:val="22"/>
        </w:rPr>
        <w:t xml:space="preserve"> </w:t>
      </w:r>
      <w:r>
        <w:rPr>
          <w:szCs w:val="22"/>
        </w:rPr>
        <w:t xml:space="preserve">Galheiros, </w:t>
      </w:r>
      <w:r>
        <w:rPr>
          <w:bCs/>
          <w:szCs w:val="22"/>
        </w:rPr>
        <w:t xml:space="preserve">Escritura de Emissão </w:t>
      </w:r>
      <w:r>
        <w:rPr>
          <w:szCs w:val="22"/>
        </w:rPr>
        <w:t xml:space="preserve">Afluente, </w:t>
      </w:r>
      <w:r>
        <w:rPr>
          <w:bCs/>
          <w:szCs w:val="22"/>
        </w:rPr>
        <w:t xml:space="preserve">Escritura de Emissão </w:t>
      </w:r>
      <w:r>
        <w:rPr>
          <w:szCs w:val="22"/>
        </w:rPr>
        <w:t xml:space="preserve">Contour e </w:t>
      </w:r>
      <w:r>
        <w:rPr>
          <w:bCs/>
          <w:szCs w:val="22"/>
        </w:rPr>
        <w:t xml:space="preserve">Escritura de Emissão </w:t>
      </w:r>
      <w:r w:rsidR="007E4BA0">
        <w:rPr>
          <w:szCs w:val="22"/>
        </w:rPr>
        <w:t>Bahia PCH</w:t>
      </w:r>
      <w:r>
        <w:rPr>
          <w:szCs w:val="22"/>
        </w:rPr>
        <w:t>, “</w:t>
      </w:r>
      <w:r>
        <w:rPr>
          <w:bCs/>
          <w:szCs w:val="22"/>
          <w:u w:val="single"/>
        </w:rPr>
        <w:t>Escrituras de Emissão Subsidiárias</w:t>
      </w:r>
      <w:r>
        <w:rPr>
          <w:bCs/>
          <w:szCs w:val="22"/>
        </w:rPr>
        <w:t>”), compartilhamento esse regido nos termos desta Escritura de Emissão e dos Contratos de Garantia.</w:t>
      </w:r>
      <w:bookmarkEnd w:id="81"/>
    </w:p>
    <w:p w:rsidR="00C963BB" w:rsidRDefault="00C759A0">
      <w:pPr>
        <w:pStyle w:val="Level3"/>
        <w:tabs>
          <w:tab w:val="clear" w:pos="1361"/>
          <w:tab w:val="num" w:pos="1134"/>
        </w:tabs>
        <w:spacing w:after="240" w:line="320" w:lineRule="exact"/>
        <w:ind w:left="0" w:firstLine="0"/>
        <w:rPr>
          <w:szCs w:val="22"/>
        </w:rPr>
      </w:pPr>
      <w:r>
        <w:rPr>
          <w:snapToGrid w:val="0"/>
          <w:szCs w:val="22"/>
        </w:rPr>
        <w:t xml:space="preserve">Em função do compartilhamento de que trata o item </w:t>
      </w:r>
      <w:r>
        <w:rPr>
          <w:snapToGrid w:val="0"/>
          <w:szCs w:val="22"/>
        </w:rPr>
        <w:fldChar w:fldCharType="begin"/>
      </w:r>
      <w:r>
        <w:rPr>
          <w:snapToGrid w:val="0"/>
          <w:szCs w:val="22"/>
        </w:rPr>
        <w:instrText xml:space="preserve"> REF _Ref508808454 \r \p \h  \* MERGEFORMAT </w:instrText>
      </w:r>
      <w:r>
        <w:rPr>
          <w:snapToGrid w:val="0"/>
          <w:szCs w:val="22"/>
        </w:rPr>
      </w:r>
      <w:r>
        <w:rPr>
          <w:snapToGrid w:val="0"/>
          <w:szCs w:val="22"/>
        </w:rPr>
        <w:fldChar w:fldCharType="separate"/>
      </w:r>
      <w:r w:rsidR="00281921">
        <w:rPr>
          <w:snapToGrid w:val="0"/>
          <w:szCs w:val="22"/>
        </w:rPr>
        <w:t>6.23 acima</w:t>
      </w:r>
      <w:r>
        <w:rPr>
          <w:snapToGrid w:val="0"/>
          <w:szCs w:val="22"/>
        </w:rPr>
        <w:fldChar w:fldCharType="end"/>
      </w:r>
      <w:r>
        <w:rPr>
          <w:snapToGrid w:val="0"/>
          <w:szCs w:val="22"/>
        </w:rPr>
        <w:t>, as Garantias Reais serão constituídas em garantia de todas as obrigações assumidas no âmbito desta Escritura de Emissão e das Escrituras de Emissão Subsidiárias</w:t>
      </w:r>
      <w:r>
        <w:rPr>
          <w:szCs w:val="22"/>
        </w:rPr>
        <w:t>,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C963BB" w:rsidRDefault="00C759A0">
      <w:pPr>
        <w:pStyle w:val="Level3"/>
        <w:tabs>
          <w:tab w:val="clear" w:pos="1361"/>
          <w:tab w:val="num" w:pos="1134"/>
        </w:tabs>
        <w:spacing w:after="240" w:line="320" w:lineRule="exact"/>
        <w:ind w:left="0" w:firstLine="0"/>
        <w:rPr>
          <w:snapToGrid w:val="0"/>
          <w:szCs w:val="22"/>
        </w:rPr>
      </w:pPr>
      <w:r>
        <w:rPr>
          <w:snapToGrid w:val="0"/>
          <w:szCs w:val="22"/>
        </w:rPr>
        <w:t>Fica desde já certo e ajustado que a inobservância, pelo Agente Fiduciário, dos prazos para execução de quaisquer garantias a serem constituídas em favor dos Debenturistas desta Emissão não ensejará, sob hipótese alguma, perda de qualquer direito ou faculdade aqui previsto.</w:t>
      </w:r>
    </w:p>
    <w:p w:rsidR="00C963BB" w:rsidRDefault="00C759A0">
      <w:pPr>
        <w:pStyle w:val="Level3"/>
        <w:tabs>
          <w:tab w:val="clear" w:pos="1361"/>
          <w:tab w:val="num" w:pos="1134"/>
        </w:tabs>
        <w:spacing w:after="240" w:line="320" w:lineRule="exact"/>
        <w:ind w:left="0" w:firstLine="0"/>
        <w:rPr>
          <w:szCs w:val="22"/>
        </w:rPr>
      </w:pPr>
      <w:r>
        <w:rPr>
          <w:snapToGrid w:val="0"/>
          <w:szCs w:val="22"/>
        </w:rPr>
        <w:t>A Emissora e a Contour desde já reconhecem e concordam que o Agente Fiduciário poderá, no exercício de seus direitos nos termos desta Escritura de Emissão e dos Contratos de Garantia, executar as Garantias individual ou simultaneamente, e em qualquer ordem, a seu exclusivo critério, sem que com isso prejudique qualquer direito ou possibilidade de executá-las no futuro, até a quitação integral das Obrigações Garantidas</w:t>
      </w:r>
      <w:r w:rsidR="007E4BA0">
        <w:rPr>
          <w:snapToGrid w:val="0"/>
          <w:szCs w:val="22"/>
        </w:rPr>
        <w:t>.</w:t>
      </w:r>
    </w:p>
    <w:p w:rsidR="00C963BB" w:rsidRDefault="00C759A0">
      <w:pPr>
        <w:pStyle w:val="Level2"/>
        <w:tabs>
          <w:tab w:val="clear" w:pos="680"/>
          <w:tab w:val="num" w:pos="1106"/>
          <w:tab w:val="num" w:pos="1134"/>
        </w:tabs>
        <w:spacing w:after="240" w:line="320" w:lineRule="exact"/>
        <w:ind w:left="0" w:firstLine="0"/>
        <w:rPr>
          <w:szCs w:val="22"/>
        </w:rPr>
      </w:pPr>
      <w:bookmarkStart w:id="82" w:name="_Ref382075186"/>
      <w:r>
        <w:rPr>
          <w:b/>
          <w:snapToGrid w:val="0"/>
          <w:szCs w:val="22"/>
        </w:rPr>
        <w:t>Multa e Juros Moratórios</w:t>
      </w:r>
      <w:r>
        <w:rPr>
          <w:snapToGrid w:val="0"/>
          <w:szCs w:val="22"/>
        </w:rPr>
        <w:t xml:space="preserve">. Sem prejuízo da Remuneração, ocorrendo impontualidade no pagamento pela Emissora de qualquer quantia devida aos Debenturistas nos termos desta Escritura de Emissão, os débitos em atraso </w:t>
      </w:r>
      <w:r>
        <w:rPr>
          <w:szCs w:val="22"/>
        </w:rPr>
        <w:t xml:space="preserve">vencidos e não pagos pela Emissora, devidamente atualizados pela Remuneração, ficarão, desde a data da inadimplência até a data do efetivo pagamento, sujeitos a, independentemente de aviso, notificação ou interpelação judicial ou extrajudicial: </w:t>
      </w:r>
      <w:r>
        <w:rPr>
          <w:b/>
          <w:szCs w:val="22"/>
        </w:rPr>
        <w:t>(i)</w:t>
      </w:r>
      <w:r>
        <w:rPr>
          <w:szCs w:val="22"/>
        </w:rPr>
        <w:t xml:space="preserve"> multa convencional, irredutível e não compensatória, de 2% (dois por cento); </w:t>
      </w:r>
      <w:r>
        <w:rPr>
          <w:szCs w:val="22"/>
        </w:rPr>
        <w:lastRenderedPageBreak/>
        <w:t xml:space="preserve">e </w:t>
      </w:r>
      <w:r>
        <w:rPr>
          <w:b/>
          <w:szCs w:val="22"/>
        </w:rPr>
        <w:t>(ii)</w:t>
      </w:r>
      <w:r>
        <w:rPr>
          <w:szCs w:val="22"/>
        </w:rPr>
        <w:t xml:space="preserve"> juros moratórios à razão de 1% (um por cento) ao mês calculados </w:t>
      </w:r>
      <w:r>
        <w:rPr>
          <w:i/>
          <w:szCs w:val="22"/>
        </w:rPr>
        <w:t>pro rata temporis</w:t>
      </w:r>
      <w:r>
        <w:rPr>
          <w:szCs w:val="22"/>
        </w:rPr>
        <w:t> (“</w:t>
      </w:r>
      <w:r>
        <w:rPr>
          <w:szCs w:val="22"/>
          <w:u w:val="single"/>
        </w:rPr>
        <w:t>Encargos Moratórios</w:t>
      </w:r>
      <w:r>
        <w:rPr>
          <w:szCs w:val="22"/>
        </w:rPr>
        <w:t>”).</w:t>
      </w:r>
      <w:bookmarkEnd w:id="82"/>
    </w:p>
    <w:p w:rsidR="00C963BB" w:rsidRDefault="00C759A0">
      <w:pPr>
        <w:pStyle w:val="Level2"/>
        <w:tabs>
          <w:tab w:val="clear" w:pos="680"/>
          <w:tab w:val="num" w:pos="1134"/>
        </w:tabs>
        <w:spacing w:after="240" w:line="320" w:lineRule="exact"/>
        <w:ind w:left="0" w:firstLine="0"/>
        <w:rPr>
          <w:szCs w:val="22"/>
        </w:rPr>
      </w:pPr>
      <w:r>
        <w:rPr>
          <w:b/>
          <w:snapToGrid w:val="0"/>
          <w:szCs w:val="22"/>
        </w:rPr>
        <w:t>Atraso no Recebimento dos Pagamentos</w:t>
      </w:r>
      <w:r>
        <w:rPr>
          <w:snapToGrid w:val="0"/>
          <w:szCs w:val="22"/>
        </w:rPr>
        <w:t xml:space="preserve">. Sem prejuízo do disposto na Cláusula Sétima abaixo, </w:t>
      </w:r>
      <w:r>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83" w:name="_DV_C857"/>
      <w:r>
        <w:rPr>
          <w:szCs w:val="22"/>
        </w:rPr>
        <w:t xml:space="preserve">dos Encargos Moratórios previstos no item </w:t>
      </w:r>
      <w:r>
        <w:rPr>
          <w:szCs w:val="22"/>
        </w:rPr>
        <w:fldChar w:fldCharType="begin"/>
      </w:r>
      <w:r>
        <w:rPr>
          <w:szCs w:val="22"/>
        </w:rPr>
        <w:instrText xml:space="preserve"> REF _Ref382075186 \r \p \h  \* MERGEFORMAT </w:instrText>
      </w:r>
      <w:r>
        <w:rPr>
          <w:szCs w:val="22"/>
        </w:rPr>
      </w:r>
      <w:r>
        <w:rPr>
          <w:szCs w:val="22"/>
        </w:rPr>
        <w:fldChar w:fldCharType="separate"/>
      </w:r>
      <w:r w:rsidR="00281921">
        <w:rPr>
          <w:szCs w:val="22"/>
        </w:rPr>
        <w:t>6.24 acima</w:t>
      </w:r>
      <w:r>
        <w:rPr>
          <w:szCs w:val="22"/>
        </w:rPr>
        <w:fldChar w:fldCharType="end"/>
      </w:r>
      <w:r>
        <w:rPr>
          <w:szCs w:val="22"/>
        </w:rPr>
        <w:t>, a partir da data em que o valor correspondente seja disponibilizado pela Emissora ao Debenturista</w:t>
      </w:r>
      <w:bookmarkEnd w:id="83"/>
      <w:r>
        <w:rPr>
          <w:szCs w:val="22"/>
        </w:rPr>
        <w:t>, sendo-lhe, todavia, assegurados os direitos adquiridos até a data em que os recursos se tornarem disponíveis.</w:t>
      </w:r>
    </w:p>
    <w:p w:rsidR="00C963BB" w:rsidRDefault="00C759A0">
      <w:pPr>
        <w:pStyle w:val="Level2"/>
        <w:tabs>
          <w:tab w:val="clear" w:pos="680"/>
          <w:tab w:val="num" w:pos="1134"/>
        </w:tabs>
        <w:spacing w:after="240" w:line="320" w:lineRule="exact"/>
        <w:ind w:left="0" w:firstLine="0"/>
        <w:rPr>
          <w:szCs w:val="22"/>
        </w:rPr>
      </w:pPr>
      <w:bookmarkStart w:id="84" w:name="_Ref418100567"/>
      <w:r>
        <w:rPr>
          <w:b/>
          <w:szCs w:val="22"/>
        </w:rPr>
        <w:t>Local de Pagamento</w:t>
      </w:r>
      <w:r>
        <w:rPr>
          <w:szCs w:val="22"/>
        </w:rPr>
        <w:t>. Os pagamentos a que fizerem jus as Debêntures serão efetuados pela Emissora utilizando-se os procedimentos adotados pelo Agente de Liquidação e Escriturador</w:t>
      </w:r>
      <w:bookmarkStart w:id="85" w:name="_DV_C943"/>
      <w:r>
        <w:rPr>
          <w:szCs w:val="22"/>
        </w:rPr>
        <w:t xml:space="preserve"> para as Debêntures que não estejam registradas em nome do titular na B3, e os procedimentos adotados pela B3 para as Debêntures registradas em nome do titular na B3, observado o disposto nesta Escritura de Emissão.</w:t>
      </w:r>
      <w:bookmarkEnd w:id="84"/>
      <w:bookmarkEnd w:id="85"/>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Prorrogação dos Prazos</w:t>
      </w:r>
      <w:r>
        <w:rPr>
          <w:szCs w:val="22"/>
        </w:rPr>
        <w:t xml:space="preserve">. </w:t>
      </w:r>
      <w:bookmarkStart w:id="86" w:name="_DV_C945"/>
      <w:r>
        <w:rPr>
          <w:szCs w:val="22"/>
        </w:rPr>
        <w:t xml:space="preserve">Considerar-se-ão automaticamente prorrogados os prazos referentes ao pagamento ou cumprimento de qualquer obrigação prevista nesta Escritura de Emissão, até o primeiro Dia Útil subsequente, se o seu vencimento coincidir com feriado declarado nacional, sábado ou domingo, sem qualquer acréscimo aos valores a serem pagos. </w:t>
      </w:r>
    </w:p>
    <w:p w:rsidR="00C963BB" w:rsidRDefault="00C759A0">
      <w:pPr>
        <w:pStyle w:val="Level3"/>
        <w:tabs>
          <w:tab w:val="clear" w:pos="1361"/>
          <w:tab w:val="num" w:pos="1134"/>
        </w:tabs>
        <w:spacing w:after="240" w:line="320" w:lineRule="exact"/>
        <w:ind w:left="0" w:firstLine="0"/>
        <w:rPr>
          <w:szCs w:val="22"/>
        </w:rPr>
      </w:pPr>
      <w:bookmarkStart w:id="87" w:name="_Ref416914244"/>
      <w:r>
        <w:rPr>
          <w:szCs w:val="22"/>
        </w:rPr>
        <w:t>Para os fins desta Escritura de Emissão, “</w:t>
      </w:r>
      <w:r>
        <w:rPr>
          <w:szCs w:val="22"/>
          <w:u w:val="single"/>
        </w:rPr>
        <w:t>Dia Útil</w:t>
      </w:r>
      <w:r>
        <w:rPr>
          <w:szCs w:val="22"/>
        </w:rPr>
        <w:t>” significa qualquer dia que não seja sábado, domingo ou feriado declarado nacional.</w:t>
      </w:r>
      <w:bookmarkEnd w:id="86"/>
      <w:bookmarkEnd w:id="87"/>
    </w:p>
    <w:p w:rsidR="00C963BB" w:rsidRDefault="00C759A0">
      <w:pPr>
        <w:pStyle w:val="Level3"/>
        <w:tabs>
          <w:tab w:val="clear" w:pos="1361"/>
          <w:tab w:val="num" w:pos="1134"/>
        </w:tabs>
        <w:spacing w:after="240" w:line="320" w:lineRule="exact"/>
        <w:ind w:left="0" w:firstLine="0"/>
        <w:rPr>
          <w:szCs w:val="22"/>
        </w:rPr>
      </w:pPr>
      <w:r>
        <w:rPr>
          <w:szCs w:val="22"/>
        </w:rPr>
        <w:t>Nos termos do artigo 132 do Código Civil, computar-se-ão os prazos previstos nesta Escritura de Emissão, nos Contratos de Garantia e no Contrato de Conta Vinculada, excluído o dia do começo, e incluído o do vencimento.</w:t>
      </w:r>
    </w:p>
    <w:p w:rsidR="00C963BB" w:rsidRDefault="00C759A0">
      <w:pPr>
        <w:pStyle w:val="Level2"/>
        <w:tabs>
          <w:tab w:val="clear" w:pos="680"/>
          <w:tab w:val="num" w:pos="1134"/>
        </w:tabs>
        <w:spacing w:after="240" w:line="320" w:lineRule="exact"/>
        <w:ind w:left="0" w:firstLine="0"/>
        <w:rPr>
          <w:szCs w:val="22"/>
        </w:rPr>
      </w:pPr>
      <w:bookmarkStart w:id="88" w:name="_Ref507712515"/>
      <w:bookmarkStart w:id="89" w:name="_Ref382076659"/>
      <w:r>
        <w:rPr>
          <w:b/>
          <w:szCs w:val="22"/>
        </w:rPr>
        <w:t>Publicidade</w:t>
      </w:r>
      <w:r>
        <w:rPr>
          <w:szCs w:val="22"/>
        </w:rPr>
        <w:t>. 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w:t>
      </w:r>
      <w:r>
        <w:rPr>
          <w:szCs w:val="22"/>
          <w:u w:val="single"/>
        </w:rPr>
        <w:t>Avisos aos Debenturistas</w:t>
      </w:r>
      <w:r>
        <w:rPr>
          <w:szCs w:val="22"/>
        </w:rPr>
        <w:t xml:space="preserve">"), devendo a Emissora encaminhar cópia ao Agente Fiduciário em até 2 (dois) Dias Úteis após a publicação, observado o estabelecido no artigo 289 da Lei das Sociedades por Ações. A publicação de referido Aviso aos Debenturistas poderá ser substituída por correspondência registrada entregue ao Agente Fiduciário, a exclusivo critério da Emissora, </w:t>
      </w:r>
      <w:r>
        <w:rPr>
          <w:szCs w:val="22"/>
        </w:rPr>
        <w:lastRenderedPageBreak/>
        <w:t xml:space="preserve">devendo o Agente Fiduciário enviar comunicação individual a cada um dos Debenturistas na mesma data do recebimento de tal correspondência. </w:t>
      </w:r>
      <w:bookmarkStart w:id="90" w:name="_DV_C946"/>
      <w:bookmarkEnd w:id="88"/>
      <w:bookmarkEnd w:id="89"/>
    </w:p>
    <w:p w:rsidR="00C963BB" w:rsidRDefault="00C759A0">
      <w:pPr>
        <w:pStyle w:val="Level2"/>
        <w:tabs>
          <w:tab w:val="clear" w:pos="680"/>
          <w:tab w:val="num" w:pos="1134"/>
        </w:tabs>
        <w:spacing w:after="240" w:line="320" w:lineRule="exact"/>
        <w:ind w:left="0" w:firstLine="0"/>
        <w:rPr>
          <w:szCs w:val="22"/>
        </w:rPr>
      </w:pPr>
      <w:r>
        <w:rPr>
          <w:b/>
          <w:bCs/>
          <w:szCs w:val="22"/>
        </w:rPr>
        <w:t>Aquisição Facultativa</w:t>
      </w:r>
      <w:bookmarkEnd w:id="90"/>
      <w:r>
        <w:rPr>
          <w:bCs/>
          <w:szCs w:val="22"/>
        </w:rPr>
        <w:t xml:space="preserve">. </w:t>
      </w:r>
      <w:r>
        <w:rPr>
          <w:szCs w:val="22"/>
        </w:rPr>
        <w:t xml:space="preserve">A Emissora poderá, a qualquer tempo, a seu exclusivo critério, observado o disposto no parágrafo 3º do artigo 55 da Lei das Sociedades por Ações, adquirir Debêntures, em negociação privada com os Debenturistas, caso estes possam e concordem: </w:t>
      </w:r>
      <w:r>
        <w:rPr>
          <w:b/>
          <w:szCs w:val="22"/>
        </w:rPr>
        <w:t>(i)</w:t>
      </w:r>
      <w:r>
        <w:rPr>
          <w:szCs w:val="22"/>
        </w:rPr>
        <w:t xml:space="preserve"> por valor igual ou inferior ao Valor Nominal Unitário ou saldo do Valor Nominal Unitário, conforme aplicável; ou </w:t>
      </w:r>
      <w:r>
        <w:rPr>
          <w:b/>
          <w:szCs w:val="22"/>
        </w:rPr>
        <w:t>(ii)</w:t>
      </w:r>
      <w:r>
        <w:rPr>
          <w:szCs w:val="22"/>
        </w:rPr>
        <w:t xml:space="preserve"> por valor superior ao Valor Nominal Unitário ou saldo do Valor Nominal Unitário, conforme aplicável, as quais poderão ser canceladas, permanecer na tesouraria da Emissora, devendo tal fato constar do relatório da administração e das demonstrações financeiras da Emissora. </w:t>
      </w:r>
    </w:p>
    <w:p w:rsidR="00C963BB" w:rsidRDefault="00C759A0">
      <w:pPr>
        <w:pStyle w:val="Level1"/>
        <w:numPr>
          <w:ilvl w:val="0"/>
          <w:numId w:val="120"/>
        </w:numPr>
        <w:spacing w:before="0" w:after="240" w:line="320" w:lineRule="exact"/>
        <w:jc w:val="center"/>
        <w:rPr>
          <w:szCs w:val="22"/>
        </w:rPr>
      </w:pPr>
      <w:r>
        <w:rPr>
          <w:szCs w:val="22"/>
        </w:rPr>
        <w:t>CLÁUSULA SÉTIMA – DO VENCIMENTO ANTECIPADO</w:t>
      </w:r>
    </w:p>
    <w:p w:rsidR="00C963BB" w:rsidRDefault="00C759A0">
      <w:pPr>
        <w:pStyle w:val="Level2"/>
        <w:tabs>
          <w:tab w:val="clear" w:pos="680"/>
          <w:tab w:val="num" w:pos="1134"/>
        </w:tabs>
        <w:spacing w:after="240" w:line="320" w:lineRule="exact"/>
        <w:ind w:left="0" w:firstLine="0"/>
        <w:rPr>
          <w:szCs w:val="22"/>
        </w:rPr>
      </w:pPr>
      <w:bookmarkStart w:id="91" w:name="_Ref496656512"/>
      <w:bookmarkStart w:id="92" w:name="_Ref514260653"/>
      <w:r>
        <w:rPr>
          <w:noProof/>
          <w:szCs w:val="22"/>
        </w:rPr>
        <w:t xml:space="preserve">O Agente Fiduciário deverá declarar automatica e antecipadamente vencidas, independentemente de aviso, notificação ou interpelação judicial ou extrajudicial, todas as obrigações decorrentes desta Escritura de Emissão e exigir o pagamento, pela Emissora, no prazo previsto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281921">
        <w:rPr>
          <w:noProof/>
          <w:szCs w:val="22"/>
        </w:rPr>
        <w:t>7.1.5 abaixo</w:t>
      </w:r>
      <w:r>
        <w:rPr>
          <w:szCs w:val="22"/>
        </w:rPr>
        <w:fldChar w:fldCharType="end"/>
      </w:r>
      <w:r>
        <w:rPr>
          <w:szCs w:val="22"/>
        </w:rPr>
        <w:t>,</w:t>
      </w:r>
      <w:r>
        <w:rPr>
          <w:noProof/>
          <w:szCs w:val="22"/>
        </w:rPr>
        <w:t xml:space="preserve"> do Valor Nominal Unitário,</w:t>
      </w:r>
      <w:r>
        <w:rPr>
          <w:szCs w:val="22"/>
        </w:rPr>
        <w:t xml:space="preserve"> ou seu saldo, ou do Valor Nominal Unitário Atualizado, conforme o caso,</w:t>
      </w:r>
      <w:r>
        <w:rPr>
          <w:noProof/>
          <w:szCs w:val="22"/>
        </w:rPr>
        <w:t xml:space="preserve"> acrescido da respectiva Remuneração, calculada </w:t>
      </w:r>
      <w:r>
        <w:rPr>
          <w:i/>
          <w:noProof/>
          <w:szCs w:val="22"/>
        </w:rPr>
        <w:t xml:space="preserve">pro rata temporis </w:t>
      </w:r>
      <w:r>
        <w:rPr>
          <w:noProof/>
          <w:szCs w:val="22"/>
        </w:rPr>
        <w:t>desde a primeira Data de Integralização até a data do efetivo pagamento, bem como dos Encargos Moratórios, quando for o caso, e de quaisquer outros valores eventualmente devidos pela Emissora, na data que tomar ciência da ocorrência de qualquer um dos seguintes eventos (“</w:t>
      </w:r>
      <w:r>
        <w:rPr>
          <w:noProof/>
          <w:szCs w:val="22"/>
          <w:u w:val="single"/>
        </w:rPr>
        <w:t>Eventos de Vencimento Antecipado Automático</w:t>
      </w:r>
      <w:r>
        <w:rPr>
          <w:noProof/>
          <w:szCs w:val="22"/>
        </w:rPr>
        <w:t>”):</w:t>
      </w:r>
      <w:bookmarkEnd w:id="91"/>
      <w:bookmarkEnd w:id="92"/>
      <w:r>
        <w:rPr>
          <w:noProof/>
          <w:szCs w:val="22"/>
        </w:rPr>
        <w:t xml:space="preserve"> </w:t>
      </w:r>
    </w:p>
    <w:p w:rsidR="00C963BB" w:rsidRDefault="00C759A0">
      <w:pPr>
        <w:pStyle w:val="Level4"/>
        <w:spacing w:after="240" w:line="320" w:lineRule="exact"/>
        <w:ind w:left="1134" w:hanging="1134"/>
        <w:rPr>
          <w:noProof/>
        </w:rPr>
      </w:pPr>
      <w:r>
        <w:rPr>
          <w:noProof/>
        </w:rPr>
        <w:t xml:space="preserve">intervenção, liquidação, dissolução, pedido de autofalência, pedido de falência não elidido no prazo legal ou decretação de falência da Emissora, da Contour e/ou de qualquer das Subsidiárias e/ou de quaisquer Controladas Relevantes (conforme definido abaixo),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281921">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se a Emissora e/ou a Contour e/ou qualquer das Subsidiárias</w:t>
      </w:r>
      <w:r>
        <w:t xml:space="preserve"> </w:t>
      </w:r>
      <w:r>
        <w:rPr>
          <w:noProof/>
        </w:rPr>
        <w:t>e/ou de quaisquer Controladas Relevantes propuser plano de recuperação extrajudicial a qualquer credor ou classe de credores, independentemente de ter sido requerida ou obtida homologação judicial de referido plano; ou se a Emissora e/ou a Contour e/ou qualquer das Subsidiárias e/ou quaisquer Controladas Relevantes ingressar em juízo com requerimento de recuperação judicial, independentemente de deferimento do processamento da recuperação ou de sua concessão pelo juiz competente; ou se a Emissora e/ou a Contour e/ou qualquer das Subsidiárias e/ou quaisquer Controladas Relevantes, por qualquer motivo, encerrar suas atividades, exceto</w:t>
      </w:r>
      <w:r>
        <w:rPr>
          <w:b/>
        </w:rPr>
        <w:t xml:space="preserve"> </w:t>
      </w:r>
      <w:r>
        <w:t xml:space="preserve">pelo encerramento </w:t>
      </w:r>
      <w:r>
        <w:lastRenderedPageBreak/>
        <w:t xml:space="preserve">das atividades da Capuava e/ou das filiais da Contour conforme permitido pelo item </w:t>
      </w:r>
      <w:r>
        <w:fldChar w:fldCharType="begin"/>
      </w:r>
      <w:r>
        <w:instrText xml:space="preserve"> REF _Ref516061048 \n \p \h </w:instrText>
      </w:r>
      <w:r>
        <w:fldChar w:fldCharType="separate"/>
      </w:r>
      <w:r w:rsidR="00281921">
        <w:t>7.1.9 abaixo</w:t>
      </w:r>
      <w:r>
        <w:fldChar w:fldCharType="end"/>
      </w:r>
      <w:r>
        <w:rPr>
          <w:noProof/>
        </w:rPr>
        <w:t>;</w:t>
      </w:r>
    </w:p>
    <w:p w:rsidR="00C963BB" w:rsidRDefault="00C759A0">
      <w:pPr>
        <w:pStyle w:val="Level4"/>
        <w:spacing w:after="240" w:line="320" w:lineRule="exact"/>
        <w:ind w:left="1134" w:hanging="1134"/>
      </w:pPr>
      <w:bookmarkStart w:id="93" w:name="_Ref512704618"/>
      <w:r>
        <w:rPr>
          <w:noProof/>
        </w:rPr>
        <w:t>descumprimento, pela Emissora e/ou pela Contour, de qualquer obrigação de pagamento dos valores devidos a título de Remuneração ou amortização do Valor Nominal Unitário das Debêntures ou saldo do Valor Nominal Unitário das Debêntures, conforme previsto nesta Escritura de Emissão, não sanado no prazo de 1 (um) Dia Útil contado da data do descumprimento;</w:t>
      </w:r>
      <w:bookmarkEnd w:id="93"/>
    </w:p>
    <w:p w:rsidR="00C963BB" w:rsidRDefault="00C759A0">
      <w:pPr>
        <w:pStyle w:val="Level4"/>
        <w:spacing w:after="240" w:line="320" w:lineRule="exact"/>
        <w:ind w:left="1134" w:hanging="1134"/>
      </w:pPr>
      <w:r>
        <w:rPr>
          <w:noProof/>
        </w:rPr>
        <w:t xml:space="preserve">descumprimento, pela Emissora e/ou pela Contour, de qualquer obrigação pecuniária relativa às Debêntures prevista nesta Escritura de Emissão, conforme aplicável, exceto pelas obrigações pecuniárias previstas no item </w:t>
      </w:r>
      <w:r>
        <w:rPr>
          <w:noProof/>
        </w:rPr>
        <w:fldChar w:fldCharType="begin"/>
      </w:r>
      <w:r>
        <w:rPr>
          <w:noProof/>
        </w:rPr>
        <w:instrText xml:space="preserve"> REF _Ref512704618 \n \p \h  \* MERGEFORMAT </w:instrText>
      </w:r>
      <w:r>
        <w:rPr>
          <w:noProof/>
        </w:rPr>
      </w:r>
      <w:r>
        <w:rPr>
          <w:noProof/>
        </w:rPr>
        <w:fldChar w:fldCharType="separate"/>
      </w:r>
      <w:r w:rsidR="00281921">
        <w:rPr>
          <w:noProof/>
        </w:rPr>
        <w:t>(iii) acima</w:t>
      </w:r>
      <w:r>
        <w:rPr>
          <w:noProof/>
        </w:rPr>
        <w:fldChar w:fldCharType="end"/>
      </w:r>
      <w:r>
        <w:rPr>
          <w:noProof/>
        </w:rPr>
        <w:t xml:space="preserve">, não sanado no prazo de 1 (um) Dia Útil contado da data de recebimento da notificação do Agente Fiduciário neste sentido; </w:t>
      </w:r>
    </w:p>
    <w:p w:rsidR="00C963BB" w:rsidRDefault="00C759A0">
      <w:pPr>
        <w:pStyle w:val="Level4"/>
        <w:spacing w:after="240" w:line="320" w:lineRule="exact"/>
        <w:ind w:left="1134" w:hanging="1134"/>
      </w:pPr>
      <w:r>
        <w:rPr>
          <w:noProof/>
        </w:rPr>
        <w:t xml:space="preserve">descumprimento de qualquer obrigação pecuniária </w:t>
      </w:r>
      <w:r>
        <w:t xml:space="preserve">assumida pelas Subsidiárias </w:t>
      </w:r>
      <w:r>
        <w:rPr>
          <w:noProof/>
        </w:rPr>
        <w:t>e/ou pela Contour</w:t>
      </w:r>
      <w:r>
        <w:t xml:space="preserve"> no âmbito das Escrituras de Emissão Subsidiárias, </w:t>
      </w:r>
      <w:r>
        <w:rPr>
          <w:noProof/>
        </w:rPr>
        <w:t xml:space="preserve">não sanada no prazo de cura </w:t>
      </w:r>
      <w:r>
        <w:t>definido na respectiva Escritura de Emissão Subsidiária, se houver;</w:t>
      </w:r>
    </w:p>
    <w:p w:rsidR="00C963BB" w:rsidRDefault="00C759A0">
      <w:pPr>
        <w:pStyle w:val="Level4"/>
        <w:spacing w:after="240" w:line="320" w:lineRule="exact"/>
        <w:ind w:left="1134" w:hanging="1134"/>
      </w:pPr>
      <w:r>
        <w:t>descumprimento da destinação dos recursos captados por meio da Emissão, conforme estabelecido na Cláusula Quarta acima;</w:t>
      </w:r>
    </w:p>
    <w:p w:rsidR="00C963BB" w:rsidRDefault="00C759A0">
      <w:pPr>
        <w:pStyle w:val="Level4"/>
        <w:spacing w:after="240" w:line="320" w:lineRule="exact"/>
        <w:ind w:left="1134" w:hanging="1134"/>
      </w:pPr>
      <w:r>
        <w:t xml:space="preserve">transferência ou qualquer forma de cessão ou promessa de cessão a terceiros, pela Emissora, pela Contour, e/ou por </w:t>
      </w:r>
      <w:r>
        <w:rPr>
          <w:noProof/>
        </w:rPr>
        <w:t>qualquer das Subsidiárias</w:t>
      </w:r>
      <w:r>
        <w:t xml:space="preserve">, de direitos e/ou obrigações assumidas nesta Escritura de Emissão e/ou nos Contratos de Garantia, conforme o caso, sem a prévia autorização dos Debenturistas nos termos do item </w:t>
      </w:r>
      <w:r>
        <w:fldChar w:fldCharType="begin"/>
      </w:r>
      <w:r>
        <w:instrText xml:space="preserve"> REF _Ref386375664 \r \p \h  \* MERGEFORMAT </w:instrText>
      </w:r>
      <w:r>
        <w:fldChar w:fldCharType="separate"/>
      </w:r>
      <w:r w:rsidR="00281921">
        <w:t>10.12 abaixo</w:t>
      </w:r>
      <w:r>
        <w:fldChar w:fldCharType="end"/>
      </w:r>
      <w:r>
        <w:t>;</w:t>
      </w:r>
    </w:p>
    <w:p w:rsidR="00C963BB" w:rsidRDefault="00C759A0">
      <w:pPr>
        <w:pStyle w:val="Level4"/>
        <w:spacing w:after="240" w:line="320" w:lineRule="exact"/>
        <w:ind w:left="1134" w:hanging="1134"/>
      </w:pPr>
      <w:r>
        <w:t>questionamento judicial pela Emissora, pela Contour, pela Kani e/ou por qualquer das Subsidiárias</w:t>
      </w:r>
      <w:r>
        <w:rPr>
          <w:noProof/>
        </w:rPr>
        <w:t xml:space="preserve"> e/ou por quaisquer controladas, controladoras, diretas ou indiretas, e/ou coligadas da Emissora, da Contour e/ou das Subsidiárias</w:t>
      </w:r>
      <w:r>
        <w:t>, da validade ou exequibilidade desta Escritura de Emissão ou dos Contratos de Garantia, bem como de quaisquer das obrigações estabelecidas em referidos instrumentos;</w:t>
      </w:r>
    </w:p>
    <w:p w:rsidR="00C963BB" w:rsidRDefault="00C759A0">
      <w:pPr>
        <w:pStyle w:val="Level4"/>
        <w:spacing w:after="240" w:line="320" w:lineRule="exact"/>
        <w:ind w:left="1134" w:hanging="1134"/>
      </w:pPr>
      <w:r>
        <w:t>inadimplemento não sanado no prazo de cura definido no respectivo contrato, se houver, de qualquer operação financeira ou acordo financeiro do qual a Emissora, a Contour e/ou as Subsidiárias</w:t>
      </w:r>
      <w:r>
        <w:rPr>
          <w:noProof/>
        </w:rPr>
        <w:t xml:space="preserve"> e/ou quaisquer Controladas Relevantes </w:t>
      </w:r>
      <w:r>
        <w:t xml:space="preserve">seja parte como devedora (incluindo, mas não se limitando a empréstimos no mercado local ou </w:t>
      </w:r>
      <w:r>
        <w:lastRenderedPageBreak/>
        <w:t>internacional, instrumentos derivativos e operações similares) ou de mercado de capitais contratada pela Emissora, pela Contour e/ou por qualquer das Subsidiárias e/ou</w:t>
      </w:r>
      <w:r>
        <w:rPr>
          <w:noProof/>
        </w:rPr>
        <w:t xml:space="preserve"> quaisquer Controladas Relevantes</w:t>
      </w:r>
      <w:r>
        <w:t xml:space="preserve">, cujo valor individual ou agregado seja igual ou superior a R$ 2.000.000,00 (dois milhões de reais), reajustados anualmente pelo IPCA; </w:t>
      </w:r>
    </w:p>
    <w:p w:rsidR="00C963BB" w:rsidRDefault="00C759A0">
      <w:pPr>
        <w:pStyle w:val="Level4"/>
        <w:spacing w:after="240" w:line="320" w:lineRule="exact"/>
        <w:ind w:left="1134" w:hanging="1134"/>
      </w:pPr>
      <w:r>
        <w:t>declaração de vencimento antecipado de qualquer obrigação financeira da Emissora, da Contour e/ou das Subsidiárias</w:t>
      </w:r>
      <w:r>
        <w:rPr>
          <w:noProof/>
        </w:rPr>
        <w:t xml:space="preserve"> e/ou de quaisquer Controladas Relevantes, incluindo, mas não se limitando à declaração de vencimento antecipado de debêntures emitidas por qualquer das Subsidiárias nos termos das suas respectivas Escrituras de Emissão Subsidiárias</w:t>
      </w:r>
      <w:r>
        <w:t>;</w:t>
      </w:r>
    </w:p>
    <w:p w:rsidR="00C963BB" w:rsidRDefault="00C759A0">
      <w:pPr>
        <w:pStyle w:val="Level4"/>
        <w:spacing w:after="240" w:line="320" w:lineRule="exact"/>
        <w:ind w:left="1134" w:hanging="1134"/>
      </w:pPr>
      <w:r>
        <w:t>transformação do tipo societário da Emissora;</w:t>
      </w:r>
    </w:p>
    <w:p w:rsidR="00C963BB" w:rsidRDefault="00C759A0">
      <w:pPr>
        <w:pStyle w:val="Level4"/>
        <w:spacing w:after="240" w:line="320" w:lineRule="exact"/>
        <w:ind w:left="1134" w:hanging="1134"/>
      </w:pPr>
      <w:r>
        <w:t xml:space="preserve">alteração do objeto social da Emissora, da Contour e/ou de qualquer das </w:t>
      </w:r>
      <w:r>
        <w:rPr>
          <w:noProof/>
        </w:rPr>
        <w:t xml:space="preserve">Subsidiárias e/ou de quaisquer Controladas Relevantes </w:t>
      </w:r>
      <w:r>
        <w:rPr>
          <w:rFonts w:eastAsia="Arial Unicode MS"/>
        </w:rPr>
        <w:t xml:space="preserve">que modifique ou restrinja substancialmente as atividades atualmente por elas praticadas, exceto se com a prévia e expressa autorização dos Debenturistas nos termos do item </w:t>
      </w:r>
      <w:r>
        <w:fldChar w:fldCharType="begin"/>
      </w:r>
      <w:r>
        <w:instrText xml:space="preserve"> REF _Ref386375664 \r \p \h  \* MERGEFORMAT </w:instrText>
      </w:r>
      <w:r>
        <w:fldChar w:fldCharType="separate"/>
      </w:r>
      <w:r w:rsidR="00281921">
        <w:t>10.12 abaixo</w:t>
      </w:r>
      <w:r>
        <w:fldChar w:fldCharType="end"/>
      </w:r>
      <w:r>
        <w:t>;</w:t>
      </w:r>
    </w:p>
    <w:p w:rsidR="00C963BB" w:rsidRDefault="00C759A0">
      <w:pPr>
        <w:pStyle w:val="Level4"/>
        <w:spacing w:after="240" w:line="320" w:lineRule="exact"/>
        <w:ind w:left="1134" w:hanging="1134"/>
      </w:pPr>
      <w:r>
        <w:t xml:space="preserve">qualquer alteração do controle acionário direto da Emissora, da Contour e/ou de </w:t>
      </w:r>
      <w:r>
        <w:rPr>
          <w:noProof/>
        </w:rPr>
        <w:t xml:space="preserve">qualquer das </w:t>
      </w:r>
      <w:r>
        <w:t>Subsidiárias</w:t>
      </w:r>
      <w:r>
        <w:rPr>
          <w:noProof/>
        </w:rPr>
        <w:t xml:space="preserve"> e/ou de quaisquer controladas da Emissora, da Contour e/ou das Subsidiárias</w:t>
      </w:r>
      <w:r>
        <w:t xml:space="preserve">, sem prévia e expressa anuência dos Debenturistas nos termos do item </w:t>
      </w:r>
      <w:r>
        <w:fldChar w:fldCharType="begin"/>
      </w:r>
      <w:r>
        <w:instrText xml:space="preserve"> REF _Ref386375664 \r \p \h  \* MERGEFORMAT </w:instrText>
      </w:r>
      <w:r>
        <w:fldChar w:fldCharType="separate"/>
      </w:r>
      <w:r w:rsidR="00281921">
        <w:t>10.12 abaixo</w:t>
      </w:r>
      <w:r>
        <w:fldChar w:fldCharType="end"/>
      </w:r>
      <w:r>
        <w:t xml:space="preserve">, exceto caso a alteração do controle acionário decorra de operação permitida nos termos do item </w:t>
      </w:r>
      <w:r>
        <w:rPr>
          <w:noProof/>
        </w:rPr>
        <w:fldChar w:fldCharType="begin"/>
      </w:r>
      <w:r>
        <w:rPr>
          <w:noProof/>
        </w:rPr>
        <w:instrText xml:space="preserve"> REF _Ref516061048 \n \p \h  \* MERGEFORMAT </w:instrText>
      </w:r>
      <w:r>
        <w:rPr>
          <w:noProof/>
        </w:rPr>
      </w:r>
      <w:r>
        <w:rPr>
          <w:noProof/>
        </w:rPr>
        <w:fldChar w:fldCharType="separate"/>
      </w:r>
      <w:r w:rsidR="00281921">
        <w:rPr>
          <w:noProof/>
        </w:rPr>
        <w:t>7.1.9 abaixo</w:t>
      </w:r>
      <w:r>
        <w:rPr>
          <w:noProof/>
        </w:rPr>
        <w:fldChar w:fldCharType="end"/>
      </w:r>
      <w:r>
        <w:t>;</w:t>
      </w:r>
    </w:p>
    <w:p w:rsidR="00C963BB" w:rsidRDefault="00C759A0">
      <w:pPr>
        <w:pStyle w:val="Level4"/>
        <w:spacing w:after="240" w:line="320" w:lineRule="exact"/>
        <w:ind w:left="1134" w:hanging="1134"/>
      </w:pPr>
      <w:bookmarkStart w:id="94" w:name="_Ref514260656"/>
      <w:bookmarkStart w:id="95" w:name="_Ref516424079"/>
      <w:r>
        <w:t xml:space="preserve">cisão, fusão, incorporação ou qualquer forma de reorganização societária da Emissora, da Contour e/ou de </w:t>
      </w:r>
      <w:r>
        <w:rPr>
          <w:noProof/>
        </w:rPr>
        <w:t>qualquer das Subsidiárias e/ou de quaisquer controladas da Emissora, da Contour e/ou das Subsidiárias</w:t>
      </w:r>
      <w:r>
        <w:t xml:space="preserve">, exceto </w:t>
      </w:r>
      <w:r>
        <w:rPr>
          <w:b/>
        </w:rPr>
        <w:t>(a) </w:t>
      </w:r>
      <w:r>
        <w:t xml:space="preserve">se previamente aprovada pelos Debenturistas, nos termos do item </w:t>
      </w:r>
      <w:r>
        <w:fldChar w:fldCharType="begin"/>
      </w:r>
      <w:r>
        <w:instrText xml:space="preserve"> REF _Ref386375664 \r \p \h  \* MERGEFORMAT </w:instrText>
      </w:r>
      <w:r>
        <w:fldChar w:fldCharType="separate"/>
      </w:r>
      <w:r w:rsidR="00281921">
        <w:t>10.12 abaixo</w:t>
      </w:r>
      <w:r>
        <w:fldChar w:fldCharType="end"/>
      </w:r>
      <w:r>
        <w:t xml:space="preserve">, observado o disposto no artigo 231 da Lei das Sociedades por Ações; ou </w:t>
      </w:r>
      <w:bookmarkEnd w:id="94"/>
      <w:r>
        <w:rPr>
          <w:b/>
        </w:rPr>
        <w:t xml:space="preserve">(b) </w:t>
      </w:r>
      <w:r>
        <w:t>conforme</w:t>
      </w:r>
      <w:r>
        <w:rPr>
          <w:b/>
        </w:rPr>
        <w:t xml:space="preserve"> </w:t>
      </w:r>
      <w:r>
        <w:t xml:space="preserve">permitido nos termos do item </w:t>
      </w:r>
      <w:r>
        <w:rPr>
          <w:noProof/>
        </w:rPr>
        <w:fldChar w:fldCharType="begin"/>
      </w:r>
      <w:r>
        <w:rPr>
          <w:noProof/>
        </w:rPr>
        <w:instrText xml:space="preserve"> REF _Ref516061048 \n \p \h </w:instrText>
      </w:r>
      <w:r>
        <w:rPr>
          <w:noProof/>
        </w:rPr>
      </w:r>
      <w:r>
        <w:rPr>
          <w:noProof/>
        </w:rPr>
        <w:fldChar w:fldCharType="separate"/>
      </w:r>
      <w:r w:rsidR="00281921">
        <w:rPr>
          <w:noProof/>
        </w:rPr>
        <w:t>7.1.9 abaixo</w:t>
      </w:r>
      <w:r>
        <w:rPr>
          <w:noProof/>
        </w:rPr>
        <w:fldChar w:fldCharType="end"/>
      </w:r>
      <w:r>
        <w:t>;</w:t>
      </w:r>
      <w:bookmarkEnd w:id="95"/>
      <w:r>
        <w:t xml:space="preserve"> </w:t>
      </w:r>
    </w:p>
    <w:p w:rsidR="00C963BB" w:rsidRDefault="00C759A0">
      <w:pPr>
        <w:pStyle w:val="Level4"/>
        <w:spacing w:after="240" w:line="320" w:lineRule="exact"/>
        <w:ind w:left="1134" w:hanging="1134"/>
      </w:pPr>
      <w:r>
        <w:t xml:space="preserve">caso as Garantias venham a se tornar totalmente inválidas, nulas, ineficazes, inexequíveis ou insuficientes, nos termos dos Contratos de Garantia e desta Escritura de Emissão, sem prejuízo do disposto no item </w:t>
      </w:r>
      <w:r w:rsidR="007E4BA0">
        <w:t>6.22.1 acima;</w:t>
      </w:r>
      <w:r>
        <w:t xml:space="preserve"> </w:t>
      </w:r>
    </w:p>
    <w:p w:rsidR="00C963BB" w:rsidRDefault="00C759A0">
      <w:pPr>
        <w:pStyle w:val="Level4"/>
        <w:spacing w:after="240" w:line="320" w:lineRule="exact"/>
        <w:ind w:left="1134" w:hanging="1134"/>
      </w:pPr>
      <w:bookmarkStart w:id="96" w:name="_Ref519103834"/>
      <w:r>
        <w:t xml:space="preserve">pagamento, pela Emissora, de dividendos, juros sobre capital próprio ou qualquer outra participação no lucro estatutariamente prevista ou qualquer outra forma de </w:t>
      </w:r>
      <w:r>
        <w:lastRenderedPageBreak/>
        <w:t xml:space="preserve">distribuição de recursos aos seus acionistas, caso a Emissora e/ou a Contour esteja inadimplente com relação às suas obrigações, pecuniárias ou não pecuniárias, previstas nesta Escritura de Emissão, exceto: </w:t>
      </w:r>
      <w:r>
        <w:rPr>
          <w:b/>
        </w:rPr>
        <w:t>(a)</w:t>
      </w:r>
      <w:r>
        <w:t xml:space="preserve"> pelo pagamento do dividendo mínimo obrigatório previsto no artigo 202 da Lei das Sociedades por Ações; ou </w:t>
      </w:r>
      <w:r>
        <w:rPr>
          <w:b/>
        </w:rPr>
        <w:t>(b)</w:t>
      </w:r>
      <w:r>
        <w:t xml:space="preserve"> conforme autorizado nos termos do item </w:t>
      </w:r>
      <w:r>
        <w:fldChar w:fldCharType="begin"/>
      </w:r>
      <w:r>
        <w:instrText xml:space="preserve"> REF _Ref516421436 \r \p \h </w:instrText>
      </w:r>
      <w:r>
        <w:fldChar w:fldCharType="separate"/>
      </w:r>
      <w:r w:rsidR="00281921">
        <w:t>7.1.7 abaixo</w:t>
      </w:r>
      <w:r>
        <w:fldChar w:fldCharType="end"/>
      </w:r>
      <w:r>
        <w:t xml:space="preserve">; </w:t>
      </w:r>
      <w:bookmarkEnd w:id="96"/>
    </w:p>
    <w:p w:rsidR="00C963BB" w:rsidRDefault="00C759A0">
      <w:pPr>
        <w:pStyle w:val="Level4"/>
        <w:spacing w:after="240" w:line="320" w:lineRule="exact"/>
        <w:ind w:left="1134" w:hanging="1134"/>
      </w:pPr>
      <w:bookmarkStart w:id="97" w:name="_Ref519103836"/>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_Ref516421436 \r \p \h </w:instrText>
      </w:r>
      <w:r>
        <w:fldChar w:fldCharType="separate"/>
      </w:r>
      <w:r w:rsidR="00281921">
        <w:t>7.1.7 abaixo</w:t>
      </w:r>
      <w:r>
        <w:fldChar w:fldCharType="end"/>
      </w:r>
      <w:r>
        <w:t>, caso</w:t>
      </w:r>
      <w:r>
        <w:rPr>
          <w:b/>
        </w:rPr>
        <w:t xml:space="preserve"> </w:t>
      </w:r>
      <w:r>
        <w:t>esteja em curso um Evento de Vencimento Antecipado e/ou</w:t>
      </w:r>
      <w:r w:rsidRPr="00C20C16">
        <w:t xml:space="preserve"> </w:t>
      </w:r>
      <w:r>
        <w:t>a Emissora e/ou a Contour esteja inadimplente com relação às suas obrigações, pecuniárias ou não pecuniárias, previstas nesta Escritura de Emissão e/ou nos Contratos de Garantia e/ou fora do Período Permitido para Distribuição (conforme definido no Contrato de Alienação Fiduciária de Ações SPEs);</w:t>
      </w:r>
      <w:bookmarkEnd w:id="97"/>
      <w:r>
        <w:t xml:space="preserve"> </w:t>
      </w:r>
    </w:p>
    <w:p w:rsidR="00C963BB" w:rsidRDefault="00C759A0">
      <w:pPr>
        <w:pStyle w:val="Level4"/>
        <w:spacing w:after="240" w:line="320" w:lineRule="exact"/>
        <w:ind w:left="1134" w:hanging="1134"/>
      </w:pPr>
      <w:bookmarkStart w:id="98" w:name="_Ref518558308"/>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_Ref517730372 \n \p \h </w:instrText>
      </w:r>
      <w:r>
        <w:fldChar w:fldCharType="separate"/>
      </w:r>
      <w:r w:rsidR="00281921">
        <w:t>7.1.7 abaixo</w:t>
      </w:r>
      <w:r>
        <w:fldChar w:fldCharType="end"/>
      </w:r>
      <w:r>
        <w:t>, caso</w:t>
      </w:r>
      <w:r>
        <w:rPr>
          <w:b/>
        </w:rPr>
        <w:t xml:space="preserve"> </w:t>
      </w:r>
      <w:r>
        <w:t>seja verificado que o Índice de Cobertura do Serviço da Dívida consolidado (“</w:t>
      </w:r>
      <w:r>
        <w:rPr>
          <w:u w:val="single"/>
        </w:rPr>
        <w:t>ICSD Consolidado</w:t>
      </w:r>
      <w:r>
        <w:t>”) seja inferior a 1,25 (um inteiro e vinte e cinco centésimos), conforme apurado de acordo com o disposto no Anexo VI desta Escritura de Emissão;</w:t>
      </w:r>
      <w:bookmarkEnd w:id="98"/>
      <w:r>
        <w:t xml:space="preserve"> </w:t>
      </w:r>
    </w:p>
    <w:p w:rsidR="00C963BB" w:rsidRDefault="00C759A0">
      <w:pPr>
        <w:pStyle w:val="Level4"/>
        <w:spacing w:after="240" w:line="320" w:lineRule="exact"/>
        <w:ind w:left="1134" w:hanging="1134"/>
      </w:pPr>
      <w:bookmarkStart w:id="99" w:name="_Ref516059933"/>
      <w:r>
        <w:t xml:space="preserve">desde que não elidido em 15 (quinze) Dias Úteis, não renovação, cancelamento, revogação, encampação, suspensão, caducidade ou extinção de qualquer concessão, autorização, licença ou outorga regulatórias da Emissora, da Contour e/ou de qualquer das Subsidiárias </w:t>
      </w:r>
      <w:r>
        <w:rPr>
          <w:noProof/>
        </w:rPr>
        <w:t>e/ou de quaisquer Controladas Relevantes</w:t>
      </w:r>
      <w:r>
        <w:t xml:space="preserve">, exceto: </w:t>
      </w:r>
      <w:r>
        <w:rPr>
          <w:b/>
        </w:rPr>
        <w:t>(a)</w:t>
      </w:r>
      <w:r>
        <w:t xml:space="preserve"> quando a perda da concessão, autorização, licença ou outorga represente menos de 7,0% (sete por cento) da receita consolidada da Contour, calculado com base no último balanço patrimonial ou nas últimas demonstrações financeiras enviadas pela Contour ao Agente Fiduciário nos termos desta Escritura de Emissão; </w:t>
      </w:r>
      <w:bookmarkEnd w:id="99"/>
      <w:r>
        <w:rPr>
          <w:b/>
        </w:rPr>
        <w:t>(b)</w:t>
      </w:r>
      <w:r>
        <w:t xml:space="preserve"> caso a não renovação, cancelamento, revogação, encampação, suspensão, caducidade ou extinção em questão diga respeito à Filial Brahma (conforme abaixo definido), após a Data de Término do PPA Brahma (conforme definido abaixo); </w:t>
      </w:r>
      <w:r>
        <w:rPr>
          <w:b/>
        </w:rPr>
        <w:t xml:space="preserve">(c) </w:t>
      </w:r>
      <w:r>
        <w:t xml:space="preserve">caso a não renovação, cancelamento, revogação, encampação, suspensão, caducidade ou extinção em questão diga respeito à Filial Balsa (conforme abaixo definido), após a Data de Término do PPA Balsa (conforme definido abaixo); </w:t>
      </w:r>
      <w:r>
        <w:rPr>
          <w:b/>
        </w:rPr>
        <w:t>(d)</w:t>
      </w:r>
      <w:r>
        <w:t xml:space="preserve"> caso a não renovação, </w:t>
      </w:r>
      <w:r>
        <w:lastRenderedPageBreak/>
        <w:t xml:space="preserve">cancelamento, revogação, encampação, suspensão, caducidade ou extinção em questão diga respeito à Filial Mogi (conforme abaixo definido), após a Data de Término do PPA Mogi (conforme definido abaixo); </w:t>
      </w:r>
      <w:r>
        <w:rPr>
          <w:b/>
        </w:rPr>
        <w:t xml:space="preserve">(e) </w:t>
      </w:r>
      <w:r>
        <w:t xml:space="preserve">caso a não renovação, cancelamento, revogação, encampação, suspensão, caducidade ou extinção em questão diga respeito à Capuava, após a Data de Término do PPA Capuava; ou </w:t>
      </w:r>
      <w:r>
        <w:rPr>
          <w:b/>
        </w:rPr>
        <w:t>(f)</w:t>
      </w:r>
      <w:r>
        <w:t xml:space="preserve"> no caso de alteração do regime da concessão da Afluente do regime de prestação de serviço público para o regime de produção independente de energia, desde que referida alteração seja permitida no âmbito dos contratos de venda de energia da Afluente e sejam obtidas quaisquer aprovações regulatórias necessárias para referida alteração, caso aplicável; </w:t>
      </w:r>
    </w:p>
    <w:p w:rsidR="00C963BB" w:rsidRDefault="00C759A0">
      <w:pPr>
        <w:pStyle w:val="Level4"/>
        <w:tabs>
          <w:tab w:val="clear" w:pos="2098"/>
        </w:tabs>
        <w:ind w:left="1134" w:hanging="1134"/>
        <w:rPr>
          <w:lang w:val="pt-PT"/>
        </w:rPr>
      </w:pPr>
      <w:r>
        <w:rPr>
          <w:lang w:val="pt-PT"/>
        </w:rPr>
        <w:t xml:space="preserve">nulidade, revogação, rescisão, cancelamento ou declaração de invalidade ou ineficácia total desta Escritura de Emissão ou dos Contratos de Garantia, em todos os casos, conforme declarado por decisão judicial ou arbitral; </w:t>
      </w:r>
    </w:p>
    <w:p w:rsidR="00C963BB" w:rsidRDefault="00C759A0">
      <w:pPr>
        <w:pStyle w:val="Level4"/>
        <w:tabs>
          <w:tab w:val="clear" w:pos="2098"/>
        </w:tabs>
        <w:ind w:left="1134" w:hanging="1134"/>
      </w:pPr>
      <w:bookmarkStart w:id="100" w:name="_Ref414889963"/>
      <w:bookmarkStart w:id="101" w:name="_Hlk514923168"/>
      <w:r>
        <w:rPr>
          <w:lang w:val="pt-PT"/>
        </w:rPr>
        <w:t xml:space="preserve">redução do capital social da Emissora, das Subsidiárias e/ou da Contour, ou qualquer operação de efeito similar, exceto </w:t>
      </w:r>
      <w:r>
        <w:rPr>
          <w:b/>
          <w:lang w:val="pt-PT"/>
        </w:rPr>
        <w:t xml:space="preserve">(a) </w:t>
      </w:r>
      <w:r>
        <w:rPr>
          <w:lang w:val="pt-PT"/>
        </w:rPr>
        <w:t xml:space="preserve">a redução de </w:t>
      </w:r>
      <w:r>
        <w:rPr>
          <w:rFonts w:eastAsia="SimSun"/>
        </w:rPr>
        <w:t>capital</w:t>
      </w:r>
      <w:r>
        <w:rPr>
          <w:lang w:val="pt-PT"/>
        </w:rPr>
        <w:t xml:space="preserve"> prevista como destinação de recursos das Debêntures nos termos do item </w:t>
      </w:r>
      <w:r>
        <w:rPr>
          <w:lang w:val="pt-PT"/>
        </w:rPr>
        <w:fldChar w:fldCharType="begin"/>
      </w:r>
      <w:r>
        <w:rPr>
          <w:lang w:val="pt-PT"/>
        </w:rPr>
        <w:instrText xml:space="preserve"> REF _Ref512686047 \n \p \h  \* MERGEFORMAT </w:instrText>
      </w:r>
      <w:r>
        <w:rPr>
          <w:lang w:val="pt-PT"/>
        </w:rPr>
      </w:r>
      <w:r>
        <w:rPr>
          <w:lang w:val="pt-PT"/>
        </w:rPr>
        <w:fldChar w:fldCharType="separate"/>
      </w:r>
      <w:r w:rsidR="00281921">
        <w:rPr>
          <w:lang w:val="pt-PT"/>
        </w:rPr>
        <w:t>4.1 acima</w:t>
      </w:r>
      <w:r>
        <w:rPr>
          <w:lang w:val="pt-PT"/>
        </w:rPr>
        <w:fldChar w:fldCharType="end"/>
      </w:r>
      <w:r>
        <w:rPr>
          <w:lang w:val="pt-PT"/>
        </w:rPr>
        <w:t xml:space="preserve"> e/ou </w:t>
      </w:r>
      <w:r>
        <w:rPr>
          <w:b/>
          <w:lang w:val="pt-PT"/>
        </w:rPr>
        <w:t xml:space="preserve">(b) </w:t>
      </w:r>
      <w:r>
        <w:rPr>
          <w:lang w:val="pt-PT"/>
        </w:rPr>
        <w:t xml:space="preserve">se realizada em conformidade com os itens </w:t>
      </w:r>
      <w:r>
        <w:rPr>
          <w:lang w:val="pt-PT"/>
        </w:rPr>
        <w:fldChar w:fldCharType="begin"/>
      </w:r>
      <w:r>
        <w:rPr>
          <w:lang w:val="pt-PT"/>
        </w:rPr>
        <w:instrText xml:space="preserve"> REF _Ref516061009 \n \h  \* MERGEFORMAT </w:instrText>
      </w:r>
      <w:r>
        <w:rPr>
          <w:lang w:val="pt-PT"/>
        </w:rPr>
      </w:r>
      <w:r>
        <w:rPr>
          <w:lang w:val="pt-PT"/>
        </w:rPr>
        <w:fldChar w:fldCharType="separate"/>
      </w:r>
      <w:r w:rsidR="00281921">
        <w:rPr>
          <w:lang w:val="pt-PT"/>
        </w:rPr>
        <w:t>7.1.7</w:t>
      </w:r>
      <w:r>
        <w:rPr>
          <w:lang w:val="pt-PT"/>
        </w:rPr>
        <w:fldChar w:fldCharType="end"/>
      </w:r>
      <w:r>
        <w:rPr>
          <w:lang w:val="pt-PT"/>
        </w:rPr>
        <w:t xml:space="preserve"> e </w:t>
      </w:r>
      <w:r>
        <w:rPr>
          <w:lang w:val="pt-PT"/>
        </w:rPr>
        <w:fldChar w:fldCharType="begin"/>
      </w:r>
      <w:r>
        <w:rPr>
          <w:lang w:val="pt-PT"/>
        </w:rPr>
        <w:instrText xml:space="preserve"> REF _Ref516060992 \n \p \h </w:instrText>
      </w:r>
      <w:r>
        <w:rPr>
          <w:lang w:val="pt-PT"/>
        </w:rPr>
      </w:r>
      <w:r>
        <w:rPr>
          <w:lang w:val="pt-PT"/>
        </w:rPr>
        <w:fldChar w:fldCharType="separate"/>
      </w:r>
      <w:r w:rsidR="00281921">
        <w:rPr>
          <w:lang w:val="pt-PT"/>
        </w:rPr>
        <w:t>7.1.8 abaixo</w:t>
      </w:r>
      <w:r>
        <w:rPr>
          <w:lang w:val="pt-PT"/>
        </w:rPr>
        <w:fldChar w:fldCharType="end"/>
      </w:r>
      <w:r>
        <w:rPr>
          <w:lang w:val="pt-PT"/>
        </w:rPr>
        <w:t xml:space="preserve">; ou </w:t>
      </w:r>
      <w:bookmarkEnd w:id="100"/>
      <w:r>
        <w:rPr>
          <w:b/>
        </w:rPr>
        <w:t xml:space="preserve">(c) </w:t>
      </w:r>
      <w:r>
        <w:t xml:space="preserve">se decorrente da cisão ou outra forma de reorganização societária autorizada, nos termos do item </w:t>
      </w:r>
      <w:r>
        <w:fldChar w:fldCharType="begin"/>
      </w:r>
      <w:r>
        <w:instrText xml:space="preserve"> REF _Ref514260653 \r \h </w:instrText>
      </w:r>
      <w:r>
        <w:fldChar w:fldCharType="separate"/>
      </w:r>
      <w:r w:rsidR="00281921">
        <w:t>7.1</w:t>
      </w:r>
      <w:r>
        <w:fldChar w:fldCharType="end"/>
      </w:r>
      <w:r>
        <w:t xml:space="preserve">, inciso </w:t>
      </w:r>
      <w:r>
        <w:fldChar w:fldCharType="begin"/>
      </w:r>
      <w:r>
        <w:instrText xml:space="preserve"> REF _Ref516424079 \r \p \h </w:instrText>
      </w:r>
      <w:r>
        <w:fldChar w:fldCharType="separate"/>
      </w:r>
      <w:r w:rsidR="00281921">
        <w:t>(xiv) acima</w:t>
      </w:r>
      <w:r>
        <w:fldChar w:fldCharType="end"/>
      </w:r>
      <w:r>
        <w:t>;</w:t>
      </w:r>
    </w:p>
    <w:bookmarkEnd w:id="101"/>
    <w:p w:rsidR="00C963BB" w:rsidRDefault="00C759A0">
      <w:pPr>
        <w:pStyle w:val="Level4"/>
        <w:spacing w:after="240" w:line="320" w:lineRule="exact"/>
        <w:ind w:left="1134" w:hanging="1134"/>
      </w:pPr>
      <w:r>
        <w:rPr>
          <w:noProof/>
        </w:rPr>
        <w:t xml:space="preserve">constituição e/ou prestação pela Emissora, pela Contour e/ou por qualquer das Subsidiárias e/ou por quaisquer Controladas Relevantes, de quaisquer garantias fidejussórias, ônus, gravames, garantias e/ou qualquer outra modalidade de obrigação que limite, sob qualquer forma, a propriedade, titularidade, posse e/ou controle sobre os ativos, bens e direitos de qualquer natureza, de propriedade ou titularidade, conforme aplicável, da Emissora, da Contour e/ou das Subsidiárias, em benefício de qualquer terceiro, exceto </w:t>
      </w:r>
      <w:r>
        <w:rPr>
          <w:b/>
          <w:noProof/>
        </w:rPr>
        <w:t>(a)</w:t>
      </w:r>
      <w:r>
        <w:rPr>
          <w:noProof/>
        </w:rPr>
        <w:t xml:space="preserve"> pelas Garantias que serão prestadas no âmbito desta Emissão, nos termos dos Contratos de Garantia e desta Escritura de Emissão; </w:t>
      </w:r>
      <w:r>
        <w:rPr>
          <w:b/>
          <w:noProof/>
        </w:rPr>
        <w:t>(b)</w:t>
      </w:r>
      <w:r>
        <w:rPr>
          <w:noProof/>
        </w:rPr>
        <w:t> </w:t>
      </w:r>
      <w:r>
        <w:rPr>
          <w:iCs/>
          <w:noProof/>
        </w:rPr>
        <w:t>pela prestação de garantia pessoal (fiança e/ou aval) pela Contour em benefício da Emissora ou das Subsidiárias</w:t>
      </w:r>
      <w:r>
        <w:rPr>
          <w:noProof/>
        </w:rPr>
        <w:t>,</w:t>
      </w:r>
      <w:r>
        <w:rPr>
          <w:iCs/>
          <w:noProof/>
        </w:rPr>
        <w:t xml:space="preserve"> cujo valor de exposição até a Data de Vencimento (assim considerado </w:t>
      </w:r>
      <w:r>
        <w:t xml:space="preserve">como o valor que possa ser exigido da Contour em decorrência de quaisquer obrigações decorrentes </w:t>
      </w:r>
      <w:r>
        <w:rPr>
          <w:iCs/>
          <w:noProof/>
        </w:rPr>
        <w:t>de tal garantia até a Data de Vencimento), individual ou agregado, não seja superior a R$ 20.000.000,00 (vinte milhões de reais),</w:t>
      </w:r>
      <w:r>
        <w:t xml:space="preserve"> reajustados anualmente pelo IPCA</w:t>
      </w:r>
      <w:r>
        <w:rPr>
          <w:noProof/>
        </w:rPr>
        <w:t xml:space="preserve">; ou </w:t>
      </w:r>
      <w:r>
        <w:rPr>
          <w:b/>
          <w:noProof/>
        </w:rPr>
        <w:t xml:space="preserve">(c) </w:t>
      </w:r>
      <w:r>
        <w:rPr>
          <w:noProof/>
        </w:rPr>
        <w:t xml:space="preserve">caso previamente aprovado pelos Debenturistas </w:t>
      </w:r>
      <w:r>
        <w:t xml:space="preserve">nos termos do item </w:t>
      </w:r>
      <w:r>
        <w:fldChar w:fldCharType="begin"/>
      </w:r>
      <w:r>
        <w:instrText xml:space="preserve"> REF _Ref386375664 \r \p \h  \* MERGEFORMAT </w:instrText>
      </w:r>
      <w:r>
        <w:fldChar w:fldCharType="separate"/>
      </w:r>
      <w:r w:rsidR="00281921">
        <w:t>10.12 abaixo</w:t>
      </w:r>
      <w:r>
        <w:fldChar w:fldCharType="end"/>
      </w:r>
      <w:r>
        <w:rPr>
          <w:noProof/>
        </w:rPr>
        <w:t xml:space="preserve">; ou </w:t>
      </w:r>
    </w:p>
    <w:p w:rsidR="00C963BB" w:rsidRDefault="00C759A0">
      <w:pPr>
        <w:pStyle w:val="Level4"/>
        <w:spacing w:after="240" w:line="320" w:lineRule="exact"/>
        <w:ind w:left="1134" w:hanging="1134"/>
        <w:rPr>
          <w:noProof/>
        </w:rPr>
      </w:pPr>
      <w:r>
        <w:lastRenderedPageBreak/>
        <w:t>violação pela Emissora, pela Contour e/ou por qualquer das Subsidiárias</w:t>
      </w:r>
      <w:r>
        <w:rPr>
          <w:noProof/>
        </w:rPr>
        <w:t xml:space="preserve"> e/ou suas controladas e/ou controladoras</w:t>
      </w:r>
      <w:r>
        <w:t xml:space="preserve">, funcionários, conselheiros e/ou diretores, ou ainda decretação de prisão (inclusive preventiva ou temporária) de quaisquer destas pessoas,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03 de março de 1998, na Lei nº 12.529, de 30 de novembro de 2011, e, conforme aplicável, na </w:t>
      </w:r>
      <w:r>
        <w:rPr>
          <w:i/>
        </w:rPr>
        <w:t>U.S. Foreign Corrupt Practices Act of 1977</w:t>
      </w:r>
      <w:r>
        <w:t xml:space="preserve"> e no </w:t>
      </w:r>
      <w:r>
        <w:rPr>
          <w:i/>
        </w:rPr>
        <w:t>UK Bribery Act</w:t>
      </w:r>
      <w:r>
        <w:t xml:space="preserve"> (em conjunto “</w:t>
      </w:r>
      <w:r>
        <w:rPr>
          <w:u w:val="single"/>
        </w:rPr>
        <w:t>Legislação Anticorrupção</w:t>
      </w:r>
      <w:r>
        <w:t xml:space="preserve">”). </w:t>
      </w:r>
    </w:p>
    <w:p w:rsidR="00C963BB" w:rsidRDefault="00C759A0">
      <w:pPr>
        <w:pStyle w:val="Level3"/>
        <w:tabs>
          <w:tab w:val="clear" w:pos="1361"/>
          <w:tab w:val="num" w:pos="1134"/>
        </w:tabs>
        <w:spacing w:after="240" w:line="320" w:lineRule="exact"/>
        <w:ind w:left="0" w:firstLine="0"/>
        <w:rPr>
          <w:szCs w:val="22"/>
        </w:rPr>
      </w:pPr>
      <w:bookmarkStart w:id="102" w:name="_Ref496656448"/>
      <w:r>
        <w:rPr>
          <w:noProof/>
          <w:szCs w:val="22"/>
        </w:rPr>
        <w:t>O Agente Fiduciário deverá convocar, dentro de até 2</w:t>
      </w:r>
      <w:r>
        <w:rPr>
          <w:w w:val="0"/>
          <w:szCs w:val="22"/>
        </w:rPr>
        <w:t> </w:t>
      </w:r>
      <w:r>
        <w:rPr>
          <w:noProof/>
          <w:szCs w:val="22"/>
        </w:rPr>
        <w:t>(</w:t>
      </w:r>
      <w:r>
        <w:rPr>
          <w:w w:val="0"/>
          <w:szCs w:val="22"/>
        </w:rPr>
        <w:t>dois</w:t>
      </w:r>
      <w:r>
        <w:rPr>
          <w:noProof/>
          <w:szCs w:val="22"/>
        </w:rPr>
        <w:t xml:space="preserve">) Dias Úteis da data em que tomar conhecimento da ocorrência de qualquer dos eventos listados abaixo, a Assembleia Geral de Debenturistas, visando deliberar sobre a não declaração do vencimento antecipado das Debêntures, observado o quorum específico estabelecido no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281921">
        <w:rPr>
          <w:noProof/>
          <w:szCs w:val="22"/>
        </w:rPr>
        <w:t>7.1.4 abaixo</w:t>
      </w:r>
      <w:r>
        <w:rPr>
          <w:noProof/>
          <w:szCs w:val="22"/>
        </w:rPr>
        <w:fldChar w:fldCharType="end"/>
      </w:r>
      <w:r>
        <w:rPr>
          <w:noProof/>
          <w:szCs w:val="22"/>
        </w:rPr>
        <w:t>, diante da ocorrência de qualquer uma das seguintes hipóteses (“</w:t>
      </w:r>
      <w:r>
        <w:rPr>
          <w:noProof/>
          <w:szCs w:val="22"/>
          <w:u w:val="single"/>
        </w:rPr>
        <w:t>Eventos de Vencimento Antecipado Não Automático</w:t>
      </w:r>
      <w:r>
        <w:rPr>
          <w:noProof/>
          <w:szCs w:val="22"/>
        </w:rPr>
        <w:t>” e, em conjunto com os Eventos de Vencimento Antecipado Automático, são doravante denominados “</w:t>
      </w:r>
      <w:r>
        <w:rPr>
          <w:noProof/>
          <w:szCs w:val="22"/>
          <w:u w:val="single"/>
        </w:rPr>
        <w:t>Eventos de Vencimento Antecipado</w:t>
      </w:r>
      <w:r>
        <w:rPr>
          <w:noProof/>
          <w:szCs w:val="22"/>
        </w:rPr>
        <w:t>”):</w:t>
      </w:r>
      <w:bookmarkEnd w:id="102"/>
    </w:p>
    <w:p w:rsidR="00C963BB" w:rsidRDefault="00C759A0">
      <w:pPr>
        <w:pStyle w:val="Level4"/>
        <w:spacing w:after="240" w:line="320" w:lineRule="exact"/>
        <w:ind w:left="1134" w:hanging="1134"/>
      </w:pPr>
      <w:bookmarkStart w:id="103" w:name="_Ref496653677"/>
      <w:r>
        <w:rPr>
          <w:noProof/>
        </w:rPr>
        <w:t>descumprimento, pela Emissora, pela Contour, pela Kani e/ou pelas Subsidiárias de qualquer obrigação não pecuniária prevista nesta Escritura de Emissão, nos Contratos de Garantia ou no Contrato de Conta Vinculada, não sanada no prazo de cura específico ou, se não houver, em até 10 (dez) Dias Úteis contados da data em que tal obrigação tornou-se exigível;</w:t>
      </w:r>
      <w:bookmarkEnd w:id="103"/>
      <w:r>
        <w:rPr>
          <w:noProof/>
        </w:rPr>
        <w:t xml:space="preserve"> </w:t>
      </w:r>
    </w:p>
    <w:p w:rsidR="00C963BB" w:rsidRDefault="00C759A0">
      <w:pPr>
        <w:pStyle w:val="Level4"/>
        <w:spacing w:after="240" w:line="320" w:lineRule="exact"/>
        <w:ind w:left="1134" w:hanging="1134"/>
      </w:pPr>
      <w:r>
        <w:t>inadimplemento de qualquer obrigação não pecuniária assumida pelas Subsidiárias no âmbito das debêntures</w:t>
      </w:r>
      <w:r>
        <w:rPr>
          <w:noProof/>
        </w:rPr>
        <w:t xml:space="preserve"> emitidas nos termos das suas respectivas Escrituras de Emissão Subsidiárias</w:t>
      </w:r>
      <w:r>
        <w:t xml:space="preserve">, </w:t>
      </w:r>
      <w:r>
        <w:rPr>
          <w:noProof/>
        </w:rPr>
        <w:t>não sanada no prazo de cura específico ou, se não houver, em até 10 (dez) Dias Úteis contados da data em que tal obrigação tornou-se exigível,</w:t>
      </w:r>
      <w:r>
        <w:t xml:space="preserve"> nos termos das Escrituras de Emissão Subsidiárias;</w:t>
      </w:r>
    </w:p>
    <w:p w:rsidR="00C963BB" w:rsidRDefault="00C759A0">
      <w:pPr>
        <w:pStyle w:val="Level4"/>
        <w:spacing w:after="240" w:line="320" w:lineRule="exact"/>
        <w:ind w:left="1134" w:hanging="1134"/>
      </w:pPr>
      <w:r>
        <w:rPr>
          <w:noProof/>
        </w:rPr>
        <w:t>questionamento judicial</w:t>
      </w:r>
      <w:r>
        <w:t>, por qualquer pessoa que não</w:t>
      </w:r>
      <w:r>
        <w:rPr>
          <w:noProof/>
        </w:rPr>
        <w:t xml:space="preserve"> a </w:t>
      </w:r>
      <w:r>
        <w:t>Emissora, a Contour, a Kani e/ou qualquer das Subsidiárias</w:t>
      </w:r>
      <w:r>
        <w:rPr>
          <w:noProof/>
        </w:rPr>
        <w:t xml:space="preserve"> e/ou quaisquer controladas, controladoras, diretas ou indiretas, e/ou coligadas da Emissora, da Contour e/ou das Subsidiárias, da validade ou exequibilidade desta Escritura de Emissão ou dos Contratos de Garantia, bem como de quaisquer das obrigações estabelecidas em referidos instrumentos, desde que não elidida no prazo de até 30 (trinta) dias contados da data em que a Emissora e/ou a </w:t>
      </w:r>
      <w:r>
        <w:rPr>
          <w:noProof/>
        </w:rPr>
        <w:lastRenderedPageBreak/>
        <w:t>Contour e/ou qualquer de suas coligadas, controladas ou controladoras e/ou qualquer das Subsidiárias tomar ciência do ajuizamento de tal questionamento judicial;</w:t>
      </w:r>
    </w:p>
    <w:p w:rsidR="00C963BB" w:rsidRDefault="00C759A0">
      <w:pPr>
        <w:pStyle w:val="Level4"/>
        <w:spacing w:after="240" w:line="320" w:lineRule="exact"/>
        <w:ind w:left="1134" w:hanging="1134"/>
      </w:pPr>
      <w:r>
        <w:rPr>
          <w:noProof/>
        </w:rPr>
        <w:t xml:space="preserve">desapropriação, confisco, arresto, sequestro ou penhora de bens ou outra medida de qualquer autoridade governamental ou judiciária que implique perda de bens da Emissora e/ou da Contour e/ou de qualquer Subsidiária e/ou de quaisquer Controladas Relevantes, </w:t>
      </w:r>
      <w:r>
        <w:t>cujo valor, individual ou agregado, seja igual ou superior a R$ 10.000.000,00 (dez milhões de reais)</w:t>
      </w:r>
      <w:r>
        <w:rPr>
          <w:noProof/>
        </w:rPr>
        <w:t xml:space="preserve"> (ou seu equivalente em outras moedas), </w:t>
      </w:r>
      <w:r>
        <w:t>reajustados anualmente pelo IPCA,</w:t>
      </w:r>
      <w:r>
        <w:rPr>
          <w:noProof/>
        </w:rPr>
        <w:t xml:space="preserve"> ou que sejam necessários para a consecução do objeto social da Emissora e/ou da Contour e/ou das Subsidiárias, independentemente do valor, exceto se a Emissora ou a Contour comprovar ter obtido decisão judicial suspendendo a respectiva medida </w:t>
      </w:r>
      <w:r>
        <w:rPr>
          <w:b/>
          <w:noProof/>
        </w:rPr>
        <w:t xml:space="preserve">(a) </w:t>
      </w:r>
      <w:r>
        <w:rPr>
          <w:noProof/>
        </w:rPr>
        <w:t xml:space="preserve">em até 30 (trinta) Dias Úteis da determinação da respectiva medida, caso a perda do bem seja decorrente de ato, fato ou omissão ocorrido previamente a 17 de março de 2017 (inclusive), ainda que a ação, procedimento ou medida governamental ou judiciária que tenha gerado a perda de bens tenha se iniciado posteriormente a essa data; ou </w:t>
      </w:r>
      <w:r>
        <w:rPr>
          <w:b/>
          <w:noProof/>
        </w:rPr>
        <w:t xml:space="preserve">(b) </w:t>
      </w:r>
      <w:r>
        <w:rPr>
          <w:noProof/>
        </w:rPr>
        <w:t>em até 15 (quinze) Dias Úteis da determinação da respectiva medida, caso a perda do bem seja decorrente de ato, fato ou omissão ocorrido após 17 de março de 2017 (exclusive);</w:t>
      </w:r>
    </w:p>
    <w:p w:rsidR="00C963BB" w:rsidRDefault="00C759A0">
      <w:pPr>
        <w:pStyle w:val="Level4"/>
        <w:spacing w:after="240" w:line="320" w:lineRule="exact"/>
        <w:ind w:left="1134" w:hanging="1134"/>
      </w:pPr>
      <w:r>
        <w:t xml:space="preserve">decisão judicial não sujeita a recurso com efeito suspensivo ou decisão arbitral definitiva, de </w:t>
      </w:r>
      <w:r>
        <w:rPr>
          <w:noProof/>
        </w:rPr>
        <w:t>natureza</w:t>
      </w:r>
      <w:r>
        <w:t xml:space="preserve"> condenatória, contra a Emissora </w:t>
      </w:r>
      <w:r>
        <w:rPr>
          <w:noProof/>
        </w:rPr>
        <w:t xml:space="preserve">e/ou a Contour </w:t>
      </w:r>
      <w:r>
        <w:t xml:space="preserve">e/ou qualquer Subsidiária e/ou </w:t>
      </w:r>
      <w:r>
        <w:rPr>
          <w:noProof/>
        </w:rPr>
        <w:t>quaisquer Controladas Relevantes</w:t>
      </w:r>
      <w:r>
        <w:t>, que imponha obrigação de pagamento em valor individual seja igual ou superior a R$ 2.000.000,00 (dois milhões de reais) ou o valor agregado seja igual ou superior a R$ 5.000.000,00 (cinco milhões de reais), reajustados anualmente pelo IPCA,</w:t>
      </w:r>
      <w:r>
        <w:rPr>
          <w:noProof/>
        </w:rPr>
        <w:t xml:space="preserve"> </w:t>
      </w:r>
      <w:r>
        <w:t xml:space="preserve">desde que tal valor não seja pago ou garantido perante o juízo de execução no menor prazo entre: </w:t>
      </w:r>
      <w:r>
        <w:rPr>
          <w:b/>
        </w:rPr>
        <w:t>(a)</w:t>
      </w:r>
      <w:r>
        <w:t xml:space="preserve"> o prazo determinado por referida decisão; ou </w:t>
      </w:r>
      <w:r>
        <w:rPr>
          <w:b/>
        </w:rPr>
        <w:t xml:space="preserve">(b) (b.1) </w:t>
      </w:r>
      <w:r>
        <w:t xml:space="preserve">10 (dez) Dias Úteis contados da data da referida decisão, se o processo no âmbito do qual </w:t>
      </w:r>
      <w:r>
        <w:rPr>
          <w:noProof/>
        </w:rPr>
        <w:t xml:space="preserve">a decisão foi proferida tiver como objeto ato, fato ou omissão ocorrido previamente a 17 de março de 2017 (inclusive) ainda que a ação, procedimento ou medida judicial ou arbital que tenha gerado a perda de bens tenha se iniciado posteriormente a essa data; </w:t>
      </w:r>
      <w:r>
        <w:t xml:space="preserve">ou </w:t>
      </w:r>
      <w:r>
        <w:rPr>
          <w:b/>
        </w:rPr>
        <w:t xml:space="preserve">(b.2) </w:t>
      </w:r>
      <w:r>
        <w:t xml:space="preserve">20 (vinte) Dias Úteis contados da data da referida decisão, se o processo no âmbito do qual </w:t>
      </w:r>
      <w:r>
        <w:rPr>
          <w:noProof/>
        </w:rPr>
        <w:t>a decisão foi proferida tiver como objeto ato, fato ou omissão ocorrido após 17 de março de 2017 (exclusive)</w:t>
      </w:r>
      <w:r>
        <w:t>;</w:t>
      </w:r>
    </w:p>
    <w:p w:rsidR="00C963BB" w:rsidRDefault="00C759A0">
      <w:pPr>
        <w:pStyle w:val="Level4"/>
        <w:spacing w:after="240" w:line="320" w:lineRule="exact"/>
        <w:ind w:left="1134" w:hanging="1134"/>
      </w:pPr>
      <w:r>
        <w:rPr>
          <w:noProof/>
        </w:rPr>
        <w:t xml:space="preserve">desde que não sanado no prazo de 10 (dez) Dias Úteis, </w:t>
      </w:r>
      <w:r>
        <w:t xml:space="preserve">não renovação, não obtenção, cancelamento, revogação, suspensão ou extinção de quaisquer autorizações, alvarás, </w:t>
      </w:r>
      <w:r>
        <w:lastRenderedPageBreak/>
        <w:t>permissões ou licenças, inclusive as ambientais, da Emissora e/ou da Contour e/ou de qualquer das Subsidiárias</w:t>
      </w:r>
      <w:r>
        <w:rPr>
          <w:noProof/>
        </w:rPr>
        <w:t xml:space="preserve"> e/ou de quaisquer Controladas Relevantes, que não estejam contempladas no item </w:t>
      </w:r>
      <w:r>
        <w:rPr>
          <w:noProof/>
        </w:rPr>
        <w:fldChar w:fldCharType="begin"/>
      </w:r>
      <w:r>
        <w:rPr>
          <w:noProof/>
        </w:rPr>
        <w:instrText xml:space="preserve"> REF _Ref514260653 \r \h </w:instrText>
      </w:r>
      <w:r>
        <w:rPr>
          <w:noProof/>
        </w:rPr>
      </w:r>
      <w:r>
        <w:rPr>
          <w:noProof/>
        </w:rPr>
        <w:fldChar w:fldCharType="separate"/>
      </w:r>
      <w:r w:rsidR="00281921">
        <w:rPr>
          <w:noProof/>
        </w:rPr>
        <w:t>7.1</w:t>
      </w:r>
      <w:r>
        <w:rPr>
          <w:noProof/>
        </w:rPr>
        <w:fldChar w:fldCharType="end"/>
      </w:r>
      <w:r>
        <w:rPr>
          <w:noProof/>
        </w:rPr>
        <w:t xml:space="preserve">, </w:t>
      </w:r>
      <w:r>
        <w:rPr>
          <w:noProof/>
        </w:rPr>
        <w:fldChar w:fldCharType="begin"/>
      </w:r>
      <w:r>
        <w:rPr>
          <w:noProof/>
        </w:rPr>
        <w:instrText xml:space="preserve"> REF _Ref516059933 \r \p \h </w:instrText>
      </w:r>
      <w:r>
        <w:rPr>
          <w:noProof/>
        </w:rPr>
      </w:r>
      <w:r>
        <w:rPr>
          <w:noProof/>
        </w:rPr>
        <w:fldChar w:fldCharType="separate"/>
      </w:r>
      <w:r w:rsidR="00281921">
        <w:rPr>
          <w:noProof/>
        </w:rPr>
        <w:t>(xix) acima</w:t>
      </w:r>
      <w:r>
        <w:rPr>
          <w:noProof/>
        </w:rPr>
        <w:fldChar w:fldCharType="end"/>
      </w:r>
      <w:r>
        <w:t>, que de qualquer forma afetem o regular exercício das atividades desenvolvidas pela Emissora, pela Contour e/ou por qualquer das Subsidiárias</w:t>
      </w:r>
      <w:r>
        <w:rPr>
          <w:noProof/>
        </w:rPr>
        <w:t xml:space="preserve"> e/ou por quaisquer controladas da Emissora, da Contour e/ou das Subsidiárias</w:t>
      </w:r>
      <w:r>
        <w:t xml:space="preserve">, exceto: </w:t>
      </w:r>
      <w:r>
        <w:rPr>
          <w:b/>
        </w:rPr>
        <w:t>(a)</w:t>
      </w:r>
      <w:r>
        <w:t xml:space="preserve"> caso a não renovação, não obtenção, cancelamento, revogação, suspensão ou extinção esteja sendo questionada de boa-fé nas esferas administrativa e/ou judicial; </w:t>
      </w:r>
      <w:r>
        <w:rPr>
          <w:b/>
        </w:rPr>
        <w:t>(b)</w:t>
      </w:r>
      <w:r>
        <w:t xml:space="preserve"> caso a não renovação, não obtenção, cancelamento, revogação, suspensão ou extinção em questão diga respeito à Filial Brahma, após a Data de Término do PPA Brahma; </w:t>
      </w:r>
      <w:r>
        <w:rPr>
          <w:b/>
        </w:rPr>
        <w:t xml:space="preserve">(c) </w:t>
      </w:r>
      <w:r>
        <w:t xml:space="preserve">caso a não renovação, não obtenção, cancelamento, revogação, suspensão ou extinção em questão diga respeito à Filial Balsa, após a Data de Término do PPA Balsa; </w:t>
      </w:r>
      <w:r>
        <w:rPr>
          <w:b/>
        </w:rPr>
        <w:t>(d)</w:t>
      </w:r>
      <w:r>
        <w:t xml:space="preserve"> caso a não renovação, não obtenção, cancelamento, revogação, suspensão ou extinção em questão diga respeito à Filial Mogi, após a Data de Término do PPA Mogi; ou </w:t>
      </w:r>
      <w:r>
        <w:rPr>
          <w:b/>
        </w:rPr>
        <w:t xml:space="preserve">(e) </w:t>
      </w:r>
      <w:r>
        <w:t xml:space="preserve">caso a não renovação, não obtenção, cancelamento, revogação, suspensão ou extinção em questão diga respeito à Capuava, após a Data de Término do PPA Capuava); </w:t>
      </w:r>
    </w:p>
    <w:p w:rsidR="00C963BB" w:rsidRDefault="00C759A0">
      <w:pPr>
        <w:pStyle w:val="Level4"/>
        <w:spacing w:after="240" w:line="320" w:lineRule="exact"/>
        <w:ind w:left="1134" w:hanging="1134"/>
      </w:pPr>
      <w:r>
        <w:t>suspensão das atividades da Emissora, da Contour e/ou de qualquer das Subsidiárias</w:t>
      </w:r>
      <w:r>
        <w:rPr>
          <w:noProof/>
        </w:rPr>
        <w:t xml:space="preserve"> e/ou de quaisquer Controladas Relevantes</w:t>
      </w:r>
      <w:r>
        <w:t xml:space="preserve">, desde que tal suspensão não seja revertida em um prazo de 10 (dez) Dias Úteis,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281921">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 xml:space="preserve">caso sejam exigidas </w:t>
      </w:r>
      <w:r>
        <w:t>quaisquer novas autorizações, alvarás, licenças, inclusive as ambientais da Emissora, da Contour, de qualquer das Subsidiárias</w:t>
      </w:r>
      <w:r>
        <w:rPr>
          <w:noProof/>
        </w:rPr>
        <w:t xml:space="preserve"> e/ou de quaisquer Controladas Relevantes</w:t>
      </w:r>
      <w:r>
        <w:t xml:space="preserve">, </w:t>
      </w:r>
      <w:r>
        <w:rPr>
          <w:noProof/>
        </w:rPr>
        <w:t xml:space="preserve">em razão de exigência </w:t>
      </w:r>
      <w:r>
        <w:t xml:space="preserve">de quaisquer órgãos governamentais (inclusive autarquias) que, de qualquer forma implique em custo adicional para a Emissora, a Contour, qualquer das Subsidiárias </w:t>
      </w:r>
      <w:r>
        <w:rPr>
          <w:noProof/>
        </w:rPr>
        <w:t>e/ou quaisquer Controladas Relevantes</w:t>
      </w:r>
      <w:r>
        <w:t xml:space="preserve"> em valor igual ou superior ao equivalente a 20% (vinte por cento) da receita líquida da Emissora, da Contour, da respectiva Subsidiária</w:t>
      </w:r>
      <w:r>
        <w:rPr>
          <w:noProof/>
        </w:rPr>
        <w:t xml:space="preserve"> e/ou quaisquer Controladas Relevantes, conforme o caso,</w:t>
      </w:r>
      <w:r>
        <w:t xml:space="preserve"> calculado com base no último balanço patrimonial ou nas últimas demonstrações financeiras enviadas pela Contour e/ou pela Emissora ao Agente Fiduciário nos ter</w:t>
      </w:r>
      <w:r w:rsidR="00502DA2">
        <w:t>mos desta Escritura de Emissão;</w:t>
      </w:r>
      <w:r w:rsidRPr="00432329">
        <w:rPr>
          <w:i/>
        </w:rPr>
        <w:t xml:space="preserve"> </w:t>
      </w:r>
    </w:p>
    <w:p w:rsidR="00C963BB" w:rsidRDefault="00C759A0">
      <w:pPr>
        <w:pStyle w:val="Level4"/>
        <w:spacing w:after="240" w:line="320" w:lineRule="exact"/>
        <w:ind w:left="1134" w:hanging="1134"/>
      </w:pPr>
      <w:r>
        <w:t>inobservância da legislação ambiental e/ou trabalhista vigentes, relativa à saúde e segurança ocupacional, inclusive, mas não limitado, ao que se refere à inexistência de trabalho análogo ao escravo e infantil</w:t>
      </w:r>
      <w:r>
        <w:rPr>
          <w:bCs/>
          <w:noProof/>
        </w:rPr>
        <w:t xml:space="preserve">, conforme </w:t>
      </w:r>
      <w:r>
        <w:rPr>
          <w:b/>
          <w:bCs/>
          <w:noProof/>
        </w:rPr>
        <w:t>(a)</w:t>
      </w:r>
      <w:r>
        <w:rPr>
          <w:bCs/>
          <w:noProof/>
        </w:rPr>
        <w:t xml:space="preserve"> verificado por decisão judicial transitada em julgado contra a Emissora, a Contour e/ou qualquer das </w:t>
      </w:r>
      <w:r>
        <w:t>Subsidiárias</w:t>
      </w:r>
      <w:r>
        <w:rPr>
          <w:bCs/>
          <w:noProof/>
        </w:rPr>
        <w:t xml:space="preserve"> </w:t>
      </w:r>
      <w:r>
        <w:rPr>
          <w:noProof/>
        </w:rPr>
        <w:lastRenderedPageBreak/>
        <w:t>e/ou quaisquer controladas da Emissora, da Contour e/ou das Subsidiárias</w:t>
      </w:r>
      <w:r>
        <w:rPr>
          <w:bCs/>
          <w:noProof/>
        </w:rPr>
        <w:t xml:space="preserve"> em razão de tal inobservância; ou </w:t>
      </w:r>
      <w:r>
        <w:rPr>
          <w:b/>
          <w:bCs/>
          <w:noProof/>
        </w:rPr>
        <w:t>(b)</w:t>
      </w:r>
      <w:r>
        <w:rPr>
          <w:bCs/>
          <w:noProof/>
        </w:rPr>
        <w:t xml:space="preserve"> haja a inclusão da Emissora, da Contour e/ou de qualquer das </w:t>
      </w:r>
      <w:r>
        <w:t xml:space="preserve">Subsidiárias </w:t>
      </w:r>
      <w:r>
        <w:rPr>
          <w:noProof/>
        </w:rPr>
        <w:t>e/ou de quaisquer controladas da Emissora, da Contour e/ou das Subsidiárias</w:t>
      </w:r>
      <w:r>
        <w:rPr>
          <w:bCs/>
          <w:noProof/>
        </w:rPr>
        <w:t xml:space="preserve"> em qualquer espécie de lista oficial emitida por órgão governamental brasileiro de sociedades que descumpram regras de caráter socioambiental, incluindo, mas não se limitando a listas de áreas contaminadas dos Estados de São Paulo e Minas Gerais, de informações sobre áreas embargadas do IBAMA e de utilização de mão de obra em condições análogas à de escravo do Ministério do Trabalho e Emprego, desde que tal inclusão não seja suspensa em um prazo de 10 (dez) Dias Úteis; </w:t>
      </w:r>
    </w:p>
    <w:p w:rsidR="00C963BB" w:rsidRDefault="00C759A0">
      <w:pPr>
        <w:pStyle w:val="Level4"/>
        <w:spacing w:after="240" w:line="320" w:lineRule="exact"/>
        <w:ind w:left="1134" w:hanging="1134"/>
      </w:pPr>
      <w:r>
        <w:rPr>
          <w:noProof/>
        </w:rPr>
        <w:t xml:space="preserve">protestos de títulos em valor individual igual ou </w:t>
      </w:r>
      <w:r>
        <w:t>superior a R$ 2.000.000,00 (dois milhões de reais) ou valor agregado igual ou superior a R$ 10.000.000,00 (dez milhões de reais)</w:t>
      </w:r>
      <w:r>
        <w:rPr>
          <w:noProof/>
        </w:rPr>
        <w:t xml:space="preserve"> (ou seu equivalente em outras moedas), </w:t>
      </w:r>
      <w:r>
        <w:t>reajustados anualmente pelo IPCA,</w:t>
      </w:r>
      <w:r>
        <w:rPr>
          <w:noProof/>
        </w:rPr>
        <w:t xml:space="preserve"> contra a Emissora, a Contour e/ou qualquer Subsidiária e/ou quaisquer Controladas Relevantes, exceto se dentro do prazo de 5 (cinco) Dias Úteis a Emissora ou a Contour comprovar que o protesto foi cancelado, pago ou suspenso ou foram prestadas garantias em juízo e aceitas pelo Poder Judiciário; </w:t>
      </w:r>
    </w:p>
    <w:p w:rsidR="00C963BB" w:rsidRDefault="00C759A0">
      <w:pPr>
        <w:pStyle w:val="Level4"/>
        <w:spacing w:after="240" w:line="320" w:lineRule="exact"/>
        <w:ind w:left="1134" w:hanging="1134"/>
      </w:pPr>
      <w:r>
        <w:rPr>
          <w:bCs/>
          <w:noProof/>
        </w:rPr>
        <w:t xml:space="preserve">caso </w:t>
      </w:r>
      <w:r>
        <w:rPr>
          <w:kern w:val="16"/>
        </w:rPr>
        <w:t xml:space="preserve">qualquer uma das declarações e garantias dadas pela Emissora, pela Contour e/ou por qualquer das </w:t>
      </w:r>
      <w:r>
        <w:t>Subsidiárias</w:t>
      </w:r>
      <w:r>
        <w:rPr>
          <w:kern w:val="16"/>
        </w:rPr>
        <w:t xml:space="preserve"> nesta Escritura de Emissão e/ou nos Contratos de Garantia não sejam, na data de sua respectiva assinatura, verdadeiras e corretas em todos os seus aspectos relevantes, desde que não tenha sido sanado em até 10 (dez) Dias Úteis a contar do recebimento de notificação a ser enviada pelo Agente Fiduciário; </w:t>
      </w:r>
    </w:p>
    <w:p w:rsidR="00C963BB" w:rsidRDefault="00C759A0">
      <w:pPr>
        <w:pStyle w:val="Level4"/>
        <w:spacing w:after="240" w:line="320" w:lineRule="exact"/>
        <w:ind w:left="1134" w:hanging="1134"/>
      </w:pPr>
      <w:bookmarkStart w:id="104" w:name="_Ref519072152"/>
      <w:r>
        <w:rPr>
          <w:bCs/>
          <w:noProof/>
        </w:rPr>
        <w:t>alteração da atual composição societária direta da Emissora, da Contour, de qualquer das Subsidiárias</w:t>
      </w:r>
      <w:r>
        <w:rPr>
          <w:noProof/>
        </w:rPr>
        <w:t xml:space="preserve"> e/ou de quaisquer Controladas Relevantes</w:t>
      </w:r>
      <w:r>
        <w:rPr>
          <w:bCs/>
          <w:noProof/>
        </w:rPr>
        <w:t xml:space="preserve">, exceto: </w:t>
      </w:r>
      <w:r>
        <w:rPr>
          <w:b/>
          <w:bCs/>
          <w:noProof/>
        </w:rPr>
        <w:t>(a)</w:t>
      </w:r>
      <w:r>
        <w:rPr>
          <w:bCs/>
          <w:noProof/>
        </w:rPr>
        <w:t xml:space="preserve"> por eventual cessão da participação societária detida pela </w:t>
      </w:r>
      <w:r>
        <w:rPr>
          <w:lang w:val="pt-PT"/>
        </w:rPr>
        <w:t xml:space="preserve">Contour Global do Brasil Holding Ltda. na Contour para outra sociedade do grupo econômico da Contour, desde que </w:t>
      </w:r>
      <w:r>
        <w:rPr>
          <w:i/>
          <w:lang w:val="pt-PT"/>
        </w:rPr>
        <w:t>(1)</w:t>
      </w:r>
      <w:r>
        <w:rPr>
          <w:lang w:val="pt-PT"/>
        </w:rPr>
        <w:t xml:space="preserve"> as ações transferidas não representem mais do que 1% (um por cento) do capital social da Contour, consideradas todas as eventuais cessões de forma agregada; e </w:t>
      </w:r>
      <w:r>
        <w:rPr>
          <w:i/>
          <w:lang w:val="pt-PT"/>
        </w:rPr>
        <w:t>(2)</w:t>
      </w:r>
      <w:r>
        <w:rPr>
          <w:lang w:val="pt-PT"/>
        </w:rPr>
        <w:t xml:space="preserve"> a cessionária de tal participação seja uma sociedade controlada pela Emissora, pela Contour e/ou pelas Subsidiárias e não seja a Santa Cruz; </w:t>
      </w:r>
      <w:r>
        <w:rPr>
          <w:b/>
          <w:lang w:val="pt-PT"/>
        </w:rPr>
        <w:t xml:space="preserve">(b) </w:t>
      </w:r>
      <w:r>
        <w:rPr>
          <w:lang w:val="pt-PT"/>
        </w:rPr>
        <w:t xml:space="preserve">por eventual cessão de participação societária detida pela Contour na Capuava para fins exclusivos de recomposição da pluralidade de sócios, desde que </w:t>
      </w:r>
      <w:r>
        <w:rPr>
          <w:i/>
          <w:lang w:val="pt-PT"/>
        </w:rPr>
        <w:t>(1)</w:t>
      </w:r>
      <w:r>
        <w:rPr>
          <w:lang w:val="pt-PT"/>
        </w:rPr>
        <w:t xml:space="preserve"> as quotas transferidas não representem mais do que 1% (um por cento) do capital social da Capuava; e </w:t>
      </w:r>
      <w:r>
        <w:rPr>
          <w:i/>
          <w:lang w:val="pt-PT"/>
        </w:rPr>
        <w:t>(2)</w:t>
      </w:r>
      <w:r>
        <w:rPr>
          <w:lang w:val="pt-PT"/>
        </w:rPr>
        <w:t> a cessionária de tal participação seja a Emissora ou uma sociedade controlada pela Emissora e/ou pelas Subsidiárias e não seja a Santa Cruz;</w:t>
      </w:r>
      <w:r>
        <w:rPr>
          <w:bCs/>
          <w:noProof/>
        </w:rPr>
        <w:t xml:space="preserve"> </w:t>
      </w:r>
      <w:r>
        <w:rPr>
          <w:b/>
          <w:bCs/>
          <w:noProof/>
        </w:rPr>
        <w:t>(c) </w:t>
      </w:r>
      <w:r>
        <w:rPr>
          <w:bCs/>
          <w:noProof/>
        </w:rPr>
        <w:t xml:space="preserve">por eventual alteração </w:t>
      </w:r>
      <w:r>
        <w:rPr>
          <w:bCs/>
          <w:noProof/>
        </w:rPr>
        <w:lastRenderedPageBreak/>
        <w:t xml:space="preserve">do percentual de participação societária direta decorrente de aumentos de capital realizados pela Contour, pela Emissora, pelas Subsidiárias ou por suas respectivas Controladas Relevantes, desde que não haja o ingresso ou a saída de quaisquer acionistas ou quotistas, conforme o caso, de tais sociedades, e que o percentual de participação societária detido pela Kani na Contour, e pela Contour na Emissora, nas Subsidiárias, na Capuava ou nas demais respectivas Controladas Relevantes, não se torne inferior àqueles indicados no Anexo IV desta Escritura de Emissão; </w:t>
      </w:r>
      <w:r>
        <w:rPr>
          <w:b/>
          <w:bCs/>
          <w:noProof/>
        </w:rPr>
        <w:t>(d)</w:t>
      </w:r>
      <w:r>
        <w:t xml:space="preserve"> </w:t>
      </w:r>
      <w:r>
        <w:rPr>
          <w:bCs/>
          <w:noProof/>
        </w:rPr>
        <w:t xml:space="preserve">decorrente de operação permitida nos termos do item </w:t>
      </w:r>
      <w:r>
        <w:rPr>
          <w:bCs/>
          <w:noProof/>
        </w:rPr>
        <w:fldChar w:fldCharType="begin"/>
      </w:r>
      <w:r>
        <w:rPr>
          <w:bCs/>
          <w:noProof/>
        </w:rPr>
        <w:instrText xml:space="preserve"> REF _Ref516074471 \r \p \h </w:instrText>
      </w:r>
      <w:r>
        <w:rPr>
          <w:bCs/>
          <w:noProof/>
        </w:rPr>
      </w:r>
      <w:r>
        <w:rPr>
          <w:bCs/>
          <w:noProof/>
        </w:rPr>
        <w:fldChar w:fldCharType="separate"/>
      </w:r>
      <w:r w:rsidR="00281921">
        <w:rPr>
          <w:bCs/>
          <w:noProof/>
        </w:rPr>
        <w:t>7.1.9 abaixo</w:t>
      </w:r>
      <w:r>
        <w:rPr>
          <w:bCs/>
          <w:noProof/>
        </w:rPr>
        <w:fldChar w:fldCharType="end"/>
      </w:r>
      <w:r>
        <w:rPr>
          <w:bCs/>
          <w:noProof/>
        </w:rPr>
        <w:t xml:space="preserve">; </w:t>
      </w:r>
      <w:r>
        <w:rPr>
          <w:b/>
          <w:bCs/>
          <w:noProof/>
        </w:rPr>
        <w:t xml:space="preserve">(e) </w:t>
      </w:r>
      <w:r>
        <w:rPr>
          <w:bCs/>
          <w:noProof/>
        </w:rPr>
        <w:t xml:space="preserve">por qualquer transferência, a título gratuito ou oneroso, das ações da Rio PCH e/ou da Galheiros que não sejam detidas pela Contour e/ou entidades de seu grupo econômico; ou </w:t>
      </w:r>
      <w:r>
        <w:rPr>
          <w:b/>
          <w:bCs/>
          <w:noProof/>
        </w:rPr>
        <w:t>(f)</w:t>
      </w:r>
      <w:r>
        <w:rPr>
          <w:bCs/>
          <w:noProof/>
        </w:rPr>
        <w:t xml:space="preserve"> se previamente aprovado pelos Debenturistas</w:t>
      </w:r>
      <w:r>
        <w:t xml:space="preserve"> nos termos do item </w:t>
      </w:r>
      <w:r>
        <w:fldChar w:fldCharType="begin"/>
      </w:r>
      <w:r>
        <w:instrText xml:space="preserve"> REF _Ref386375664 \r \p \h  \* MERGEFORMAT </w:instrText>
      </w:r>
      <w:r>
        <w:fldChar w:fldCharType="separate"/>
      </w:r>
      <w:r w:rsidR="00281921">
        <w:t>10.12 abaixo</w:t>
      </w:r>
      <w:r>
        <w:fldChar w:fldCharType="end"/>
      </w:r>
      <w:r>
        <w:t>;</w:t>
      </w:r>
      <w:bookmarkEnd w:id="104"/>
      <w:r>
        <w:t xml:space="preserve"> </w:t>
      </w:r>
    </w:p>
    <w:p w:rsidR="00C963BB" w:rsidRDefault="00C759A0">
      <w:pPr>
        <w:pStyle w:val="Level4"/>
        <w:spacing w:after="240" w:line="320" w:lineRule="exact"/>
        <w:ind w:left="1134" w:hanging="1134"/>
        <w:rPr>
          <w:noProof/>
        </w:rPr>
      </w:pPr>
      <w:r>
        <w:t>alteração da política de distribuição de dividendos de qualquer das Subsidiárias</w:t>
      </w:r>
      <w:r>
        <w:rPr>
          <w:noProof/>
        </w:rPr>
        <w:t xml:space="preserve"> e/ou de quaisquer Controladas Relevantes, exceto pela alteração prevista no item </w:t>
      </w:r>
      <w:r>
        <w:rPr>
          <w:noProof/>
        </w:rPr>
        <w:fldChar w:fldCharType="begin"/>
      </w:r>
      <w:r>
        <w:rPr>
          <w:noProof/>
        </w:rPr>
        <w:instrText xml:space="preserve"> REF _Ref498984291 \n \h  \* MERGEFORMAT </w:instrText>
      </w:r>
      <w:r>
        <w:rPr>
          <w:noProof/>
        </w:rPr>
      </w:r>
      <w:r>
        <w:rPr>
          <w:noProof/>
        </w:rPr>
        <w:fldChar w:fldCharType="separate"/>
      </w:r>
      <w:r w:rsidR="00281921">
        <w:rPr>
          <w:noProof/>
        </w:rPr>
        <w:t>8.1</w:t>
      </w:r>
      <w:r>
        <w:rPr>
          <w:noProof/>
        </w:rPr>
        <w:fldChar w:fldCharType="end"/>
      </w:r>
      <w:r>
        <w:rPr>
          <w:noProof/>
        </w:rPr>
        <w:t xml:space="preserve">, inciso </w:t>
      </w:r>
      <w:r>
        <w:rPr>
          <w:noProof/>
        </w:rPr>
        <w:fldChar w:fldCharType="begin"/>
      </w:r>
      <w:r>
        <w:rPr>
          <w:noProof/>
        </w:rPr>
        <w:instrText xml:space="preserve"> REF _Ref517738830 \n \p \h  \* MERGEFORMAT </w:instrText>
      </w:r>
      <w:r>
        <w:rPr>
          <w:noProof/>
        </w:rPr>
      </w:r>
      <w:r>
        <w:rPr>
          <w:noProof/>
        </w:rPr>
        <w:fldChar w:fldCharType="separate"/>
      </w:r>
      <w:r w:rsidR="00281921">
        <w:rPr>
          <w:noProof/>
        </w:rPr>
        <w:t>(xxxvi) abaixo</w:t>
      </w:r>
      <w:r>
        <w:rPr>
          <w:noProof/>
        </w:rPr>
        <w:fldChar w:fldCharType="end"/>
      </w:r>
      <w:r w:rsidR="00152DF4">
        <w:rPr>
          <w:noProof/>
        </w:rPr>
        <w:t xml:space="preserve"> e </w:t>
      </w:r>
      <w:r>
        <w:rPr>
          <w:noProof/>
        </w:rPr>
        <w:t>do esta</w:t>
      </w:r>
      <w:r w:rsidR="00152DF4">
        <w:rPr>
          <w:noProof/>
        </w:rPr>
        <w:t>tuto social da Bahia PCH e da Rio PCH</w:t>
      </w:r>
      <w:r>
        <w:rPr>
          <w:noProof/>
        </w:rPr>
        <w:t xml:space="preserve"> de forma a prever a distribuição de 100% (cem por cento) do lucro líquido ajustado apurado em cada exercício social na forma de dividendos, juros sobre capital próprio ou outra forma equivalente de distribuição de recursos aos seus acionistas, nos termos </w:t>
      </w:r>
      <w:r w:rsidR="00152DF4">
        <w:rPr>
          <w:noProof/>
        </w:rPr>
        <w:t xml:space="preserve">da presente Escritura de Emissão e </w:t>
      </w:r>
      <w:r>
        <w:rPr>
          <w:noProof/>
        </w:rPr>
        <w:t>das respectivas Escritu</w:t>
      </w:r>
      <w:r w:rsidR="00152DF4">
        <w:rPr>
          <w:noProof/>
        </w:rPr>
        <w:t xml:space="preserve">ras de Emissão Subsidiárias da </w:t>
      </w:r>
      <w:r>
        <w:rPr>
          <w:noProof/>
        </w:rPr>
        <w:t>Bahia PCH</w:t>
      </w:r>
      <w:r w:rsidR="00152DF4">
        <w:rPr>
          <w:noProof/>
        </w:rPr>
        <w:t xml:space="preserve"> e da Rio PCH;</w:t>
      </w:r>
    </w:p>
    <w:p w:rsidR="00C963BB" w:rsidRDefault="00C759A0">
      <w:pPr>
        <w:pStyle w:val="Level4"/>
        <w:spacing w:after="240" w:line="320" w:lineRule="exact"/>
        <w:ind w:left="1134" w:hanging="1134"/>
      </w:pPr>
      <w:r>
        <w:t xml:space="preserve">não contratação e/ou renovação, em até 5 (cinco) Dias Úteis anteriores a seu vencimento, pela Emissora, pela Contour e/ou por qualquer das Subsidiárias </w:t>
      </w:r>
      <w:r>
        <w:rPr>
          <w:noProof/>
        </w:rPr>
        <w:t>e/ou por quaisquer Controladas Relevantes</w:t>
      </w:r>
      <w:r>
        <w:t xml:space="preserve"> de apólices de seguro para seus respectivos bens necessários para a condução regular dos negócios da Emissora, da Contour e/ou das Subsidiárias</w:t>
      </w:r>
      <w:r>
        <w:rPr>
          <w:noProof/>
        </w:rPr>
        <w:t xml:space="preserve"> e/ou de qualquer das Controladas Relevantes</w:t>
      </w:r>
      <w:r>
        <w:t xml:space="preserve">, conforme demonstrado ao Agente Fiduciário; </w:t>
      </w:r>
    </w:p>
    <w:p w:rsidR="00C963BB" w:rsidRDefault="00C759A0">
      <w:pPr>
        <w:pStyle w:val="Level4"/>
        <w:spacing w:after="240" w:line="320" w:lineRule="exact"/>
        <w:ind w:left="1134" w:hanging="1134"/>
        <w:rPr>
          <w:noProof/>
        </w:rPr>
      </w:pPr>
      <w:bookmarkStart w:id="105" w:name="_Ref513730680"/>
      <w:r>
        <w:t>realização pela Emissora, pela Contour, por qualquer das Subsidiárias</w:t>
      </w:r>
      <w:r>
        <w:rPr>
          <w:noProof/>
        </w:rPr>
        <w:t xml:space="preserve"> e/ou por quaisquer Controladas Relevantes</w:t>
      </w:r>
      <w:r>
        <w:t xml:space="preserve">, de operações com suas partes relacionadas, exceto: </w:t>
      </w:r>
      <w:r>
        <w:rPr>
          <w:b/>
        </w:rPr>
        <w:t>(a)</w:t>
      </w:r>
      <w:r>
        <w:t xml:space="preserve"> se</w:t>
      </w:r>
      <w:r>
        <w:rPr>
          <w:b/>
        </w:rPr>
        <w:t xml:space="preserve"> </w:t>
      </w:r>
      <w:r>
        <w:t xml:space="preserve">a operação com partes relacionadas tenha como objetivo a obtenção de recursos para </w:t>
      </w:r>
      <w:r>
        <w:rPr>
          <w:lang w:val="pt-PT"/>
        </w:rPr>
        <w:t>o pagamento de qualquer obrigação pecuniária assumida nos termos desta Escritura de Emissão, das Escrituras de Emissão Subsidiárias ou dos Contratos de Garantia, ou a complementação da Conta Reserva, nos termos do Contrato de Alienação Fiduciária de Ações SPE</w:t>
      </w:r>
      <w:r>
        <w:t xml:space="preserve">, sendo certo que, caso tal operação ocorra por meio de contratação de endividamento, deverão ser observados os termos dos itens </w:t>
      </w:r>
      <w:r>
        <w:fldChar w:fldCharType="begin"/>
      </w:r>
      <w:r>
        <w:instrText xml:space="preserve"> REF _Ref514270726 \w \h </w:instrText>
      </w:r>
      <w:r>
        <w:fldChar w:fldCharType="separate"/>
      </w:r>
      <w:r w:rsidR="00281921">
        <w:t>8.1(xxi)</w:t>
      </w:r>
      <w:r>
        <w:fldChar w:fldCharType="end"/>
      </w:r>
      <w:r>
        <w:t xml:space="preserve"> e </w:t>
      </w:r>
      <w:r>
        <w:fldChar w:fldCharType="begin"/>
      </w:r>
      <w:r>
        <w:instrText xml:space="preserve"> REF _Ref513730601 \r \p \h  \* MERGEFORMAT </w:instrText>
      </w:r>
      <w:r>
        <w:fldChar w:fldCharType="separate"/>
      </w:r>
      <w:r w:rsidR="00281921">
        <w:t>8.2(xx) abaixo</w:t>
      </w:r>
      <w:r>
        <w:fldChar w:fldCharType="end"/>
      </w:r>
      <w:r>
        <w:t xml:space="preserve">; </w:t>
      </w:r>
      <w:r>
        <w:rPr>
          <w:b/>
        </w:rPr>
        <w:t>(b)</w:t>
      </w:r>
      <w:r w:rsidRPr="00EE4DB9">
        <w:t xml:space="preserve"> </w:t>
      </w:r>
      <w:r>
        <w:t xml:space="preserve">quaisquer operações de compra e venda de energia e/ou </w:t>
      </w:r>
      <w:r>
        <w:lastRenderedPageBreak/>
        <w:t xml:space="preserve">operações de proteção de preço de energia contratadas entre a Emissora, a Contour e/ou qualquer Subsidiária; </w:t>
      </w:r>
      <w:r>
        <w:rPr>
          <w:b/>
        </w:rPr>
        <w:t xml:space="preserve">(c) </w:t>
      </w:r>
      <w:r>
        <w:t xml:space="preserve">no caso das operações permitidas pelos itens </w:t>
      </w:r>
      <w:r>
        <w:fldChar w:fldCharType="begin"/>
      </w:r>
      <w:r>
        <w:instrText xml:space="preserve"> REF _Ref514270726 \w \h </w:instrText>
      </w:r>
      <w:r>
        <w:fldChar w:fldCharType="separate"/>
      </w:r>
      <w:r w:rsidR="00281921">
        <w:t>8.1(xxi)</w:t>
      </w:r>
      <w:r>
        <w:fldChar w:fldCharType="end"/>
      </w:r>
      <w:r>
        <w:t xml:space="preserve"> e </w:t>
      </w:r>
      <w:r>
        <w:fldChar w:fldCharType="begin"/>
      </w:r>
      <w:r>
        <w:instrText xml:space="preserve"> REF _Ref513730601 \r \p \h  \* MERGEFORMAT </w:instrText>
      </w:r>
      <w:r>
        <w:fldChar w:fldCharType="separate"/>
      </w:r>
      <w:r w:rsidR="00281921">
        <w:t>8.2(xx) abaixo</w:t>
      </w:r>
      <w:r>
        <w:fldChar w:fldCharType="end"/>
      </w:r>
      <w:r>
        <w:t xml:space="preserve">; </w:t>
      </w:r>
      <w:r>
        <w:rPr>
          <w:b/>
        </w:rPr>
        <w:t>(d)</w:t>
      </w:r>
      <w:r>
        <w:t xml:space="preserve"> operações com a finalidade de rateio de despesas administrativas incorridas pela Emissora, pela Contour, por Controlada Relevante e pelas Subsidiárias, desde que a contratação que originou a despesa tenha beneficiado a Emissora, a Contour, a Controlada Relevante ou as Subsidiárias e que tais despesas estejam limitadas a valor agregado de R$6.000.000,00 (seis milhões de reais) por ano, reajustados anualmente pelo IPCA; </w:t>
      </w:r>
      <w:r>
        <w:rPr>
          <w:b/>
        </w:rPr>
        <w:t xml:space="preserve">(e) </w:t>
      </w:r>
      <w:r>
        <w:t xml:space="preserve">conforme permitido nos termos do item </w:t>
      </w:r>
      <w:r>
        <w:rPr>
          <w:noProof/>
        </w:rPr>
        <w:fldChar w:fldCharType="begin"/>
      </w:r>
      <w:r>
        <w:rPr>
          <w:noProof/>
        </w:rPr>
        <w:instrText xml:space="preserve"> REF _Ref516061048 \n \p \h </w:instrText>
      </w:r>
      <w:r>
        <w:rPr>
          <w:noProof/>
        </w:rPr>
      </w:r>
      <w:r>
        <w:rPr>
          <w:noProof/>
        </w:rPr>
        <w:fldChar w:fldCharType="separate"/>
      </w:r>
      <w:r w:rsidR="00281921">
        <w:rPr>
          <w:noProof/>
        </w:rPr>
        <w:t>7.1.9 abaixo</w:t>
      </w:r>
      <w:r>
        <w:rPr>
          <w:noProof/>
        </w:rPr>
        <w:fldChar w:fldCharType="end"/>
      </w:r>
      <w:r>
        <w:t>. Para fins de esclarecimento, não estão compreendidos no conceito de “operações com partes relacionadas” nos termos deste item “</w:t>
      </w:r>
      <w:r>
        <w:fldChar w:fldCharType="begin"/>
      </w:r>
      <w:r>
        <w:instrText xml:space="preserve"> REF _Ref513730680 \r \h  \* MERGEFORMAT </w:instrText>
      </w:r>
      <w:r>
        <w:fldChar w:fldCharType="separate"/>
      </w:r>
      <w:r w:rsidR="00281921">
        <w:t>(xv)</w:t>
      </w:r>
      <w:r>
        <w:fldChar w:fldCharType="end"/>
      </w:r>
      <w:r>
        <w:t>”,</w:t>
      </w:r>
      <w:r>
        <w:rPr>
          <w:b/>
        </w:rPr>
        <w:t xml:space="preserve"> (x) </w:t>
      </w:r>
      <w:r>
        <w:t>aumentos de capital ou adiantamentos para futuros aumentos de capital (desde que não cancelados) na Contour, na Emissora e/ou nas Subsidiárias, subscritos por seus acionistas, desde que referidos aportes sejam permitidos nesta Escritura de Emissão ou nos Contratos de Garantia; e</w:t>
      </w:r>
      <w:r>
        <w:rPr>
          <w:b/>
        </w:rPr>
        <w:t xml:space="preserve"> (y) </w:t>
      </w:r>
      <w:r>
        <w:t xml:space="preserve">pagamento dos valores devidos a acionistas em razão da redução de capital ou de resgate de ações de emissão da Contour, das Subsidiárias, de Controladas Relevantes e/ou da Emissora, desde que permitido nos termos dos itens </w:t>
      </w:r>
      <w:r>
        <w:fldChar w:fldCharType="begin"/>
      </w:r>
      <w:r>
        <w:instrText xml:space="preserve"> REF _Ref517730372 \n \h </w:instrText>
      </w:r>
      <w:r>
        <w:fldChar w:fldCharType="separate"/>
      </w:r>
      <w:r w:rsidR="00281921">
        <w:t>7.1.7</w:t>
      </w:r>
      <w:r>
        <w:fldChar w:fldCharType="end"/>
      </w:r>
      <w:r>
        <w:t xml:space="preserve"> e/ou </w:t>
      </w:r>
      <w:r>
        <w:fldChar w:fldCharType="begin"/>
      </w:r>
      <w:r>
        <w:instrText xml:space="preserve"> REF _Ref516060992 \n \p \h </w:instrText>
      </w:r>
      <w:r>
        <w:fldChar w:fldCharType="separate"/>
      </w:r>
      <w:r w:rsidR="00281921">
        <w:t>7.1.8 abaixo</w:t>
      </w:r>
      <w:r>
        <w:fldChar w:fldCharType="end"/>
      </w:r>
      <w:r>
        <w:t>;</w:t>
      </w:r>
      <w:bookmarkEnd w:id="105"/>
    </w:p>
    <w:p w:rsidR="00C963BB" w:rsidRDefault="00C759A0">
      <w:pPr>
        <w:pStyle w:val="Level4"/>
        <w:spacing w:after="240" w:line="320" w:lineRule="exact"/>
        <w:ind w:left="1134" w:hanging="1134"/>
        <w:rPr>
          <w:noProof/>
        </w:rPr>
      </w:pPr>
      <w:bookmarkStart w:id="106" w:name="_Ref498949415"/>
      <w:r>
        <w:t xml:space="preserve">caso as Garantias venham a se tornar insuficientes, nos termos dos Contratos de Garantia, e as Garantias não sejam substituídas ou reforçadas no prazo de 10 (dez) Dias Úteis contados de notificação do Agente Fiduciário solicitando a substituição ou reforço das Garantias; </w:t>
      </w:r>
      <w:bookmarkEnd w:id="106"/>
    </w:p>
    <w:p w:rsidR="00C963BB" w:rsidRDefault="00C759A0">
      <w:pPr>
        <w:pStyle w:val="Level4"/>
        <w:spacing w:after="240" w:line="320" w:lineRule="exact"/>
        <w:ind w:left="1134" w:hanging="1134"/>
        <w:rPr>
          <w:noProof/>
        </w:rPr>
      </w:pPr>
      <w:r>
        <w:rPr>
          <w:noProof/>
        </w:rPr>
        <w:t>nulidade, revogação, rescisão, cancelamento ou declaração de invalidade ou ineficácia parcial desta Escritura de Emissão ou dos Contratos de Garantia, em todos os casos, conforme declarado por decisão judicial ou arbitral,</w:t>
      </w:r>
      <w:r>
        <w:rPr>
          <w:lang w:val="pt-PT"/>
        </w:rPr>
        <w:t xml:space="preserve"> exceto se a nulidade, revogação, rescisão, cancelamento ou declaração de invalidade ou ineficácia parcial não impactar adversamente os Debenturistas ou qualquer dos direitos dos Debenturistas;</w:t>
      </w:r>
      <w:r>
        <w:rPr>
          <w:noProof/>
        </w:rPr>
        <w:t xml:space="preserve"> </w:t>
      </w:r>
    </w:p>
    <w:p w:rsidR="00C963BB" w:rsidRDefault="00C759A0">
      <w:pPr>
        <w:pStyle w:val="Level4"/>
        <w:spacing w:after="240" w:line="320" w:lineRule="exact"/>
        <w:ind w:left="1134" w:hanging="1134"/>
        <w:rPr>
          <w:noProof/>
        </w:rPr>
      </w:pPr>
      <w:r>
        <w:t xml:space="preserve">investigação e/ou inquérito instaurado contra a Emissora, a Contour, as Subsidiárias, seus respectivos funcionários, conselheiros e/ou diretores envolvendo qualquer Legislação Anticorrupção; </w:t>
      </w:r>
    </w:p>
    <w:p w:rsidR="00C963BB" w:rsidRDefault="00C759A0">
      <w:pPr>
        <w:pStyle w:val="Level4"/>
        <w:spacing w:after="240" w:line="320" w:lineRule="exact"/>
        <w:ind w:left="1134" w:hanging="1134"/>
      </w:pPr>
      <w:r>
        <w:t xml:space="preserve">exclusão, por qualquer razão, de qualquer das usinas hidrelétricas da Emissora, das Subsidiárias e/ou quaisquer Controladas Relevantes do Mecanismo de Realocação de Energia – MRE e/ou impossibilidade de qualquer das usinas hidrelétricas da Emissora, das Subsidiárias e/ou quaisquer controladas das Subsidiárias </w:t>
      </w:r>
      <w:r>
        <w:rPr>
          <w:noProof/>
        </w:rPr>
        <w:t xml:space="preserve">(exceto pela Santa Cruz) </w:t>
      </w:r>
      <w:r>
        <w:t xml:space="preserve">passarem a participar de tal mecanismo, exceto se tal exclusão ou impossibilidade de </w:t>
      </w:r>
      <w:r>
        <w:lastRenderedPageBreak/>
        <w:t xml:space="preserve">participação </w:t>
      </w:r>
      <w:r>
        <w:rPr>
          <w:b/>
        </w:rPr>
        <w:t>(a)</w:t>
      </w:r>
      <w:r>
        <w:t xml:space="preserve"> não for suspensa, de forma definitiva, em um prazo de 10 (dez) Dias Úteis; ou </w:t>
      </w:r>
      <w:r>
        <w:rPr>
          <w:b/>
        </w:rPr>
        <w:t>(b)</w:t>
      </w:r>
      <w:r>
        <w:t xml:space="preserve"> não representar uma redução superior a 10,0% (dez por cento) do EBITDA da Contour e das Controladas Relevantes (de forma consolidada), calculado com base no balanço patrimonial ou nas demonstrações financeiras mais recentes e enviadas pela Contour ao Agente Fiduciário nos termos desta Escritura de Emissão, sendo desconsiderada para fins deste item a redução decorrente da ocorrência de qualquer dos eventos previstos no item </w:t>
      </w:r>
      <w:r>
        <w:rPr>
          <w:noProof/>
        </w:rPr>
        <w:fldChar w:fldCharType="begin"/>
      </w:r>
      <w:r>
        <w:rPr>
          <w:noProof/>
        </w:rPr>
        <w:instrText xml:space="preserve"> REF _Ref516061048 \n \p \h </w:instrText>
      </w:r>
      <w:r>
        <w:rPr>
          <w:noProof/>
        </w:rPr>
      </w:r>
      <w:r>
        <w:rPr>
          <w:noProof/>
        </w:rPr>
        <w:fldChar w:fldCharType="separate"/>
      </w:r>
      <w:r w:rsidR="00281921">
        <w:rPr>
          <w:noProof/>
        </w:rPr>
        <w:t>7.1.9 abaixo</w:t>
      </w:r>
      <w:r>
        <w:rPr>
          <w:noProof/>
        </w:rPr>
        <w:fldChar w:fldCharType="end"/>
      </w:r>
      <w:r>
        <w:t xml:space="preserve">; </w:t>
      </w:r>
    </w:p>
    <w:p w:rsidR="00C963BB" w:rsidRDefault="00C759A0">
      <w:pPr>
        <w:pStyle w:val="Level4"/>
        <w:spacing w:after="240" w:line="320" w:lineRule="exact"/>
        <w:ind w:left="1134" w:hanging="1134"/>
        <w:rPr>
          <w:noProof/>
        </w:rPr>
      </w:pPr>
      <w:r>
        <w:t xml:space="preserve">aquisição de ativos e/ou direitos operacionais relacionados à geração, distribuição ou transmissão de energia pela Emissora, pela Contour, pelas Subsidiárias e/ou qualquer de suas Controladas Relevantes, inclusive por meio de aquisição de participações societárias, exceto aquelas realizadas no curso ordinário de suas atividades e/ou as seguintes atividades: </w:t>
      </w:r>
      <w:r>
        <w:rPr>
          <w:b/>
        </w:rPr>
        <w:t>(a)</w:t>
      </w:r>
      <w:r>
        <w:rPr>
          <w:noProof/>
        </w:rPr>
        <w:t xml:space="preserve"> a realização de investimentos em equipamentos não previstos originalmente em decorrência da perda de performance de equipamentos, com necessidade de substituição ou reparos; </w:t>
      </w:r>
      <w:r>
        <w:rPr>
          <w:b/>
          <w:noProof/>
        </w:rPr>
        <w:t>(b)</w:t>
      </w:r>
      <w:r>
        <w:rPr>
          <w:noProof/>
        </w:rPr>
        <w:t xml:space="preserve"> a realização de investimentos em equipamentos não previstos originalmente em decorrência de alterações no perfil de consumo dos clientes, exigindo-se, assim, investimentos para aumento de eficiência e/ou de capacidade, incluindo, mas não se limitando, à aquisição de equipamentos; e/ou </w:t>
      </w:r>
      <w:r>
        <w:rPr>
          <w:b/>
          <w:noProof/>
        </w:rPr>
        <w:t>(c)</w:t>
      </w:r>
      <w:r>
        <w:rPr>
          <w:noProof/>
        </w:rPr>
        <w:t xml:space="preserve"> a aquisição de turbinas para fins de </w:t>
      </w:r>
      <w:r>
        <w:rPr>
          <w:i/>
          <w:noProof/>
        </w:rPr>
        <w:t>overhaul</w:t>
      </w:r>
      <w:r>
        <w:rPr>
          <w:noProof/>
        </w:rPr>
        <w:t xml:space="preserve"> ou aumento de capacidade. Para fins de esclarecimento, a aquisição de participações societárias em qualquer sociedade que atualmente não seja controlada pela Contour não será considerada, em nenhuma hipótese, como um investimento no curso ordinário das atividades</w:t>
      </w:r>
      <w:r>
        <w:t xml:space="preserve"> da Emissora, da Contour, das Subsidiárias e/ou de suas Controladas Relevantes,</w:t>
      </w:r>
      <w:r>
        <w:rPr>
          <w:noProof/>
        </w:rPr>
        <w:t xml:space="preserve"> mesmo que vise o fim previsto nas alíneas (a), (b) ou (c) acima</w:t>
      </w:r>
      <w:r>
        <w:t xml:space="preserve">; </w:t>
      </w:r>
    </w:p>
    <w:p w:rsidR="00C963BB" w:rsidRDefault="00C759A0">
      <w:pPr>
        <w:pStyle w:val="Level4"/>
        <w:spacing w:after="240" w:line="320" w:lineRule="exact"/>
        <w:ind w:left="1134" w:hanging="1134"/>
      </w:pPr>
      <w:r>
        <w:rPr>
          <w:noProof/>
        </w:rPr>
        <w:t xml:space="preserve">depósito e/ou transferência pela Emissora, pela Contour ou por qualquer das Subsidiárias, conforme o caso, dos Rendimentos das Ações ou dos Rendimentos de Quotas por qualquer meio que não seja um depósito e/ou transferência para a Conta Vinculada Dividendos Contour ou para a Conta Vinculada Dividendos SPEs, conforme aplicável, nos termos dos respectivos </w:t>
      </w:r>
      <w:r>
        <w:t>Contratos de Garantia, desde que tais recursos não sejam redirecionados para as respectivas contas vinculadas cedidas fiduciariamente em até 2 (dois) Dias Úteis</w:t>
      </w:r>
      <w:r>
        <w:rPr>
          <w:noProof/>
        </w:rPr>
        <w:t xml:space="preserve">; </w:t>
      </w:r>
    </w:p>
    <w:p w:rsidR="00C963BB" w:rsidRDefault="00C759A0">
      <w:pPr>
        <w:pStyle w:val="Level4"/>
        <w:spacing w:after="240" w:line="320" w:lineRule="exact"/>
        <w:ind w:left="1134" w:hanging="1134"/>
      </w:pPr>
      <w:r>
        <w:rPr>
          <w:rFonts w:eastAsia="Arial Unicode MS"/>
        </w:rPr>
        <w:t>descumprimento das obrigações de</w:t>
      </w:r>
      <w:r>
        <w:rPr>
          <w:rFonts w:eastAsia="Arial Unicode MS"/>
          <w:b/>
        </w:rPr>
        <w:t xml:space="preserve"> (a) </w:t>
      </w:r>
      <w:r>
        <w:rPr>
          <w:rFonts w:eastAsia="Arial Unicode MS"/>
        </w:rPr>
        <w:t>composição e/ou recomposição da Reserva do Serviço da Dívida; ou</w:t>
      </w:r>
      <w:r>
        <w:rPr>
          <w:rFonts w:eastAsia="Arial Unicode MS"/>
          <w:b/>
        </w:rPr>
        <w:t xml:space="preserve"> (b) </w:t>
      </w:r>
      <w:r>
        <w:rPr>
          <w:rFonts w:eastAsia="Arial Unicode MS"/>
        </w:rPr>
        <w:t>depósito do Valor de Complementação do ICSD, em quaisquer casos, nos respectivos prazos e condições a serem previstos no Contrato de Alienação Fiduciária de Ações SPEs</w:t>
      </w:r>
      <w:r>
        <w:t xml:space="preserve">; </w:t>
      </w:r>
    </w:p>
    <w:p w:rsidR="00C963BB" w:rsidRDefault="00C759A0">
      <w:pPr>
        <w:pStyle w:val="Level4"/>
        <w:spacing w:after="240" w:line="320" w:lineRule="exact"/>
        <w:ind w:left="1134" w:hanging="1134"/>
        <w:rPr>
          <w:rFonts w:eastAsia="Arial Unicode MS"/>
        </w:rPr>
      </w:pPr>
      <w:bookmarkStart w:id="107" w:name="_DV_C964"/>
      <w:r>
        <w:rPr>
          <w:rFonts w:eastAsia="Arial Unicode MS"/>
        </w:rPr>
        <w:lastRenderedPageBreak/>
        <w:t>não formalização da</w:t>
      </w:r>
      <w:r>
        <w:t>s</w:t>
      </w:r>
      <w:r>
        <w:rPr>
          <w:rFonts w:eastAsia="Arial Unicode MS"/>
        </w:rPr>
        <w:t xml:space="preserve"> Garantia</w:t>
      </w:r>
      <w:r>
        <w:t xml:space="preserve">s Reais e/ou da Fiança nas condições e nos prazos previstos nos </w:t>
      </w:r>
      <w:r>
        <w:rPr>
          <w:rFonts w:eastAsia="Arial Unicode MS"/>
        </w:rPr>
        <w:t xml:space="preserve">itens </w:t>
      </w:r>
      <w:r>
        <w:rPr>
          <w:rFonts w:eastAsia="Arial Unicode MS"/>
        </w:rPr>
        <w:fldChar w:fldCharType="begin"/>
      </w:r>
      <w:r>
        <w:rPr>
          <w:rFonts w:eastAsia="Arial Unicode MS"/>
        </w:rPr>
        <w:instrText xml:space="preserve"> REF _Ref512688754 \n \h  \* MERGEFORMAT </w:instrText>
      </w:r>
      <w:r>
        <w:rPr>
          <w:rFonts w:eastAsia="Arial Unicode MS"/>
        </w:rPr>
      </w:r>
      <w:r>
        <w:rPr>
          <w:rFonts w:eastAsia="Arial Unicode MS"/>
        </w:rPr>
        <w:fldChar w:fldCharType="separate"/>
      </w:r>
      <w:r w:rsidR="00281921">
        <w:rPr>
          <w:rFonts w:eastAsia="Arial Unicode MS"/>
        </w:rPr>
        <w:t>6.21.2</w:t>
      </w:r>
      <w:r>
        <w:rPr>
          <w:rFonts w:eastAsia="Arial Unicode MS"/>
        </w:rPr>
        <w:fldChar w:fldCharType="end"/>
      </w:r>
      <w:r>
        <w:rPr>
          <w:rFonts w:eastAsia="Arial Unicode MS"/>
        </w:rPr>
        <w:t xml:space="preserve"> a </w:t>
      </w:r>
      <w:r>
        <w:rPr>
          <w:rFonts w:eastAsia="Arial Unicode MS"/>
        </w:rPr>
        <w:fldChar w:fldCharType="begin"/>
      </w:r>
      <w:r>
        <w:rPr>
          <w:rFonts w:eastAsia="Arial Unicode MS"/>
        </w:rPr>
        <w:instrText xml:space="preserve"> REF _Ref512703333 \n \h </w:instrText>
      </w:r>
      <w:r>
        <w:rPr>
          <w:rFonts w:eastAsia="Arial Unicode MS"/>
        </w:rPr>
      </w:r>
      <w:r>
        <w:rPr>
          <w:rFonts w:eastAsia="Arial Unicode MS"/>
        </w:rPr>
        <w:fldChar w:fldCharType="separate"/>
      </w:r>
      <w:r w:rsidR="00281921">
        <w:rPr>
          <w:rFonts w:eastAsia="Arial Unicode MS"/>
        </w:rPr>
        <w:t>6.21.4</w:t>
      </w:r>
      <w:r>
        <w:rPr>
          <w:rFonts w:eastAsia="Arial Unicode MS"/>
        </w:rPr>
        <w:fldChar w:fldCharType="end"/>
      </w:r>
      <w:r>
        <w:rPr>
          <w:rFonts w:eastAsia="Arial Unicode MS"/>
        </w:rPr>
        <w:t xml:space="preserve"> e </w:t>
      </w:r>
      <w:r>
        <w:rPr>
          <w:rFonts w:eastAsia="Arial Unicode MS"/>
        </w:rPr>
        <w:fldChar w:fldCharType="begin"/>
      </w:r>
      <w:r>
        <w:rPr>
          <w:rFonts w:eastAsia="Arial Unicode MS"/>
        </w:rPr>
        <w:instrText xml:space="preserve"> REF _Ref512682914 \n \p \h  \* MERGEFORMAT </w:instrText>
      </w:r>
      <w:r>
        <w:rPr>
          <w:rFonts w:eastAsia="Arial Unicode MS"/>
        </w:rPr>
      </w:r>
      <w:r>
        <w:rPr>
          <w:rFonts w:eastAsia="Arial Unicode MS"/>
        </w:rPr>
        <w:fldChar w:fldCharType="separate"/>
      </w:r>
      <w:r w:rsidR="00281921">
        <w:rPr>
          <w:rFonts w:eastAsia="Arial Unicode MS"/>
        </w:rPr>
        <w:t>6.22 acima</w:t>
      </w:r>
      <w:r>
        <w:rPr>
          <w:rFonts w:eastAsia="Arial Unicode MS"/>
        </w:rPr>
        <w:fldChar w:fldCharType="end"/>
      </w:r>
      <w:bookmarkStart w:id="108" w:name="_Ref511251036"/>
      <w:bookmarkEnd w:id="107"/>
      <w:r>
        <w:rPr>
          <w:rFonts w:eastAsia="Arial Unicode MS"/>
        </w:rPr>
        <w:t xml:space="preserve">; </w:t>
      </w:r>
    </w:p>
    <w:p w:rsidR="00C963BB" w:rsidRDefault="00152DF4">
      <w:pPr>
        <w:pStyle w:val="Level4"/>
        <w:spacing w:after="240" w:line="320" w:lineRule="exact"/>
        <w:ind w:left="1134" w:hanging="1134"/>
        <w:rPr>
          <w:rFonts w:eastAsia="Arial Unicode MS"/>
        </w:rPr>
      </w:pPr>
      <w:r>
        <w:rPr>
          <w:rFonts w:ascii="Arial" w:hAnsi="Arial" w:cs="Arial"/>
          <w:color w:val="000000"/>
        </w:rPr>
        <w:t>descumprimento, pela Contour</w:t>
      </w:r>
      <w:r w:rsidR="00C759A0">
        <w:rPr>
          <w:rFonts w:ascii="Arial" w:hAnsi="Arial" w:cs="Arial"/>
          <w:color w:val="000000"/>
        </w:rPr>
        <w:t xml:space="preserve">, de suas obrigações de aporte de recursos no FIDC, por meio de </w:t>
      </w:r>
      <w:r w:rsidR="00C759A0">
        <w:rPr>
          <w:rFonts w:eastAsia="Arial Unicode MS"/>
        </w:rPr>
        <w:t>subscrição</w:t>
      </w:r>
      <w:r w:rsidR="00C759A0">
        <w:rPr>
          <w:rFonts w:ascii="Arial" w:hAnsi="Arial" w:cs="Arial"/>
          <w:color w:val="000000"/>
        </w:rPr>
        <w:t xml:space="preserve"> e integralização de cotas subordinadas, nos termos e prazos previstos no “Instrumento Particular de Compromisso de Subscrição e Integralização de Cotas Subordinadas e Outras Avenças”, a ser celebrado previamente à integra</w:t>
      </w:r>
      <w:r>
        <w:rPr>
          <w:rFonts w:ascii="Arial" w:hAnsi="Arial" w:cs="Arial"/>
          <w:color w:val="000000"/>
        </w:rPr>
        <w:t>lização das Debêntures entre a Contour</w:t>
      </w:r>
      <w:r w:rsidR="00C759A0">
        <w:rPr>
          <w:rFonts w:ascii="Arial" w:hAnsi="Arial" w:cs="Arial"/>
          <w:color w:val="000000"/>
        </w:rPr>
        <w:t xml:space="preserve"> e o FIDC</w:t>
      </w:r>
      <w:r w:rsidR="00C759A0">
        <w:rPr>
          <w:rFonts w:eastAsia="Arial Unicode MS"/>
        </w:rPr>
        <w:t xml:space="preserve">; </w:t>
      </w:r>
    </w:p>
    <w:p w:rsidR="00C963BB" w:rsidRDefault="00C759A0">
      <w:pPr>
        <w:pStyle w:val="Level4"/>
        <w:spacing w:after="240" w:line="320" w:lineRule="exact"/>
        <w:ind w:left="1134" w:hanging="1134"/>
        <w:rPr>
          <w:rFonts w:eastAsia="Arial Unicode MS"/>
        </w:rPr>
      </w:pPr>
      <w:r>
        <w:rPr>
          <w:rFonts w:eastAsia="Arial Unicode MS"/>
        </w:rPr>
        <w:t>descumprimento, pela Emissora, de sua obrigação de depósito na Conta Vinculada GSF de recursos suficientes para atingir o Saldo Mínimo da Conta Vinculada GSF (conforme definido no Contrato de Alienação Fiduciária de Ações SPEs), não sanado no prazo de 10 (dez) Dias Úteis; e</w:t>
      </w:r>
    </w:p>
    <w:p w:rsidR="00C963BB" w:rsidRDefault="00C759A0">
      <w:pPr>
        <w:pStyle w:val="Level4"/>
        <w:spacing w:after="240" w:line="320" w:lineRule="exact"/>
        <w:ind w:left="1134" w:hanging="1134"/>
        <w:rPr>
          <w:i/>
        </w:rPr>
      </w:pPr>
      <w:bookmarkStart w:id="109" w:name="_DV_M844"/>
      <w:bookmarkEnd w:id="108"/>
      <w:bookmarkEnd w:id="109"/>
      <w:r>
        <w:t>não manutenção pela Contour, durante todo o prazo de vigência das Debêntures, do índice financeiro “Dívida Líquida/EBITDA” em valor igual ou inferior a 3,25 (três inteiros e vinte e cinco centésimos) vezes (“</w:t>
      </w:r>
      <w:r>
        <w:rPr>
          <w:u w:val="single"/>
        </w:rPr>
        <w:t>Índice Financeiro</w:t>
      </w:r>
      <w:r>
        <w:t xml:space="preserve">”), que será acompanhado trimestralmente, em cada Data de Apuração (conforme definido no Contrato de Alienação Fiduciária de Ações SPE), pelo Agente Fiduciário, a partir do encerramento do trimestre fiscal ou exercício social, conforme o caso, imediatamente subsequente à Data de Integralização das Debêntures, observado que o Índice Financeiro será calculado sempre considerando os 12 (doze) meses anteriores ao trimestre findo, conforme a </w:t>
      </w:r>
      <w:r>
        <w:rPr>
          <w:rFonts w:eastAsia="SimSun"/>
        </w:rPr>
        <w:t>metodologia de cálculo constante do Anexo V a esta Escritura de Emissão</w:t>
      </w:r>
      <w:r>
        <w:t xml:space="preserve"> com base nos relatórios fornecidos pela Contour, nos termos do item </w:t>
      </w:r>
      <w:r w:rsidR="005C056C">
        <w:fldChar w:fldCharType="begin"/>
      </w:r>
      <w:r w:rsidR="005C056C">
        <w:instrText xml:space="preserve"> REF _Ref520564231 \r \h </w:instrText>
      </w:r>
      <w:r w:rsidR="005C056C">
        <w:fldChar w:fldCharType="separate"/>
      </w:r>
      <w:r w:rsidR="00281921">
        <w:t>8.2</w:t>
      </w:r>
      <w:r w:rsidR="005C056C">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_Ref514233027 \n \p \h  \* MERGEFORMAT </w:instrText>
      </w:r>
      <w:r>
        <w:fldChar w:fldCharType="separate"/>
      </w:r>
      <w:r w:rsidR="00281921">
        <w:t>(e) abaixo</w:t>
      </w:r>
      <w:r>
        <w:fldChar w:fldCharType="end"/>
      </w:r>
      <w:r>
        <w:t xml:space="preserve">, </w:t>
      </w:r>
      <w:r>
        <w:rPr>
          <w:rFonts w:eastAsia="Arial Unicode MS"/>
        </w:rPr>
        <w:t>sendo que o Índice Financeiro será considerado como cumprido caso a Emissora e/ou a Contour, nos respectivos prazos e condições a serem previstos no Contrato de Alienação Fiduciária de Ações SPEs, deposite na Conta Reserva o valor necessário para observância ao Índice Financeiro ou contrate Carta de Fiança Bancária (“</w:t>
      </w:r>
      <w:r>
        <w:rPr>
          <w:rFonts w:eastAsia="Arial Unicode MS"/>
          <w:u w:val="single"/>
        </w:rPr>
        <w:t xml:space="preserve">Valor de Complementação </w:t>
      </w:r>
      <w:r>
        <w:rPr>
          <w:u w:val="single"/>
        </w:rPr>
        <w:t>do Índice Financeiro</w:t>
      </w:r>
      <w:r>
        <w:t xml:space="preserve">”), conforme prazos e forma previstos no Contrato de Alienação Fiduciária de Ações SPEs. </w:t>
      </w:r>
    </w:p>
    <w:p w:rsidR="00C963BB" w:rsidRDefault="00C759A0">
      <w:pPr>
        <w:pStyle w:val="Level3"/>
        <w:tabs>
          <w:tab w:val="clear" w:pos="1361"/>
          <w:tab w:val="num" w:pos="1134"/>
        </w:tabs>
        <w:spacing w:after="240" w:line="320" w:lineRule="exact"/>
        <w:ind w:left="0" w:firstLine="0"/>
        <w:rPr>
          <w:noProof/>
          <w:szCs w:val="22"/>
        </w:rPr>
      </w:pPr>
      <w:r>
        <w:rPr>
          <w:bCs/>
        </w:rPr>
        <w:t xml:space="preserve">Para os </w:t>
      </w:r>
      <w:r>
        <w:t>fins</w:t>
      </w:r>
      <w:r>
        <w:rPr>
          <w:bCs/>
        </w:rPr>
        <w:t xml:space="preserve"> desta Escritura de Emissão quaisquer referências a </w:t>
      </w:r>
      <w:r>
        <w:rPr>
          <w:b/>
          <w:bCs/>
        </w:rPr>
        <w:t>(i)</w:t>
      </w:r>
      <w:r>
        <w:rPr>
          <w:bCs/>
        </w:rPr>
        <w:t xml:space="preserve"> “controle”</w:t>
      </w:r>
      <w:r>
        <w:rPr>
          <w:noProof/>
          <w:szCs w:val="22"/>
        </w:rPr>
        <w:t xml:space="preserve"> deverão ser entendidas como tendo o sentido conferido pelo artigo 116 da Lei das Sociedades por Ações; e </w:t>
      </w:r>
      <w:r>
        <w:rPr>
          <w:b/>
          <w:noProof/>
          <w:szCs w:val="22"/>
        </w:rPr>
        <w:t>(ii)</w:t>
      </w:r>
      <w:r>
        <w:rPr>
          <w:noProof/>
          <w:szCs w:val="22"/>
        </w:rPr>
        <w:t xml:space="preserve"> “Controladas Relevantes” deverão ser entendidas como todas as </w:t>
      </w:r>
      <w:r>
        <w:rPr>
          <w:noProof/>
        </w:rPr>
        <w:t>controladas da Emissora, da Contour e/ou das Subsidiárias, presentes e futuras, exceto</w:t>
      </w:r>
      <w:r>
        <w:rPr>
          <w:b/>
          <w:noProof/>
        </w:rPr>
        <w:t xml:space="preserve"> (a) </w:t>
      </w:r>
      <w:r>
        <w:rPr>
          <w:noProof/>
        </w:rPr>
        <w:t xml:space="preserve">pela </w:t>
      </w:r>
      <w:r>
        <w:t>Santa Cruz Power Corporation Usinas Hidroelétricas S.A. (“</w:t>
      </w:r>
      <w:r>
        <w:rPr>
          <w:u w:val="single"/>
        </w:rPr>
        <w:t>Santa Cruz</w:t>
      </w:r>
      <w:r>
        <w:t xml:space="preserve">”), </w:t>
      </w:r>
      <w:r>
        <w:rPr>
          <w:b/>
        </w:rPr>
        <w:t xml:space="preserve">(b) </w:t>
      </w:r>
      <w:r>
        <w:t>pela Tespias Geração de Energia Ltda. (“</w:t>
      </w:r>
      <w:r>
        <w:rPr>
          <w:u w:val="single"/>
        </w:rPr>
        <w:t>Tespias</w:t>
      </w:r>
      <w:r>
        <w:t xml:space="preserve">”), exclusivamente na hipótese de conclusão da liquidação ou dissolução da Tespias ou da Segregação Tespias (conforme definido abaixo), realizadas nos termos do item </w:t>
      </w:r>
      <w:r>
        <w:fldChar w:fldCharType="begin"/>
      </w:r>
      <w:r>
        <w:instrText xml:space="preserve"> REF _Ref516074471 \n \h </w:instrText>
      </w:r>
      <w:r>
        <w:fldChar w:fldCharType="separate"/>
      </w:r>
      <w:r w:rsidR="00281921">
        <w:t>7.1.9</w:t>
      </w:r>
      <w:r>
        <w:fldChar w:fldCharType="end"/>
      </w:r>
      <w:r>
        <w:t xml:space="preserve">, inciso </w:t>
      </w:r>
      <w:r>
        <w:lastRenderedPageBreak/>
        <w:fldChar w:fldCharType="begin"/>
      </w:r>
      <w:r>
        <w:instrText xml:space="preserve"> REF _Ref517729714 \n \p \h </w:instrText>
      </w:r>
      <w:r>
        <w:fldChar w:fldCharType="separate"/>
      </w:r>
      <w:r w:rsidR="00281921">
        <w:t>(vi) abaixo</w:t>
      </w:r>
      <w:r>
        <w:fldChar w:fldCharType="end"/>
      </w:r>
      <w:r>
        <w:t xml:space="preserve">; e </w:t>
      </w:r>
      <w:r>
        <w:rPr>
          <w:b/>
        </w:rPr>
        <w:t>(c) </w:t>
      </w:r>
      <w:r>
        <w:t xml:space="preserve">pela Capuava, exclusivamente na hipótese de conclusão da liquidação ou dissolução da Capuava ou da Segregação Capuava (conforme definido abaixo), realizadas nos termos do item </w:t>
      </w:r>
      <w:r>
        <w:fldChar w:fldCharType="begin"/>
      </w:r>
      <w:r>
        <w:instrText xml:space="preserve"> REF _Ref516074471 \n \h </w:instrText>
      </w:r>
      <w:r>
        <w:fldChar w:fldCharType="separate"/>
      </w:r>
      <w:r w:rsidR="00281921">
        <w:t>7.1.9</w:t>
      </w:r>
      <w:r>
        <w:fldChar w:fldCharType="end"/>
      </w:r>
      <w:r>
        <w:t xml:space="preserve">, inciso </w:t>
      </w:r>
      <w:r>
        <w:fldChar w:fldCharType="begin"/>
      </w:r>
      <w:r>
        <w:instrText xml:space="preserve"> REF _Ref516074473 \n \p \h </w:instrText>
      </w:r>
      <w:r>
        <w:fldChar w:fldCharType="separate"/>
      </w:r>
      <w:r w:rsidR="00281921">
        <w:t>(i) abaixo</w:t>
      </w:r>
      <w:r>
        <w:fldChar w:fldCharType="end"/>
      </w:r>
      <w:r>
        <w:rPr>
          <w:noProof/>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0" w:name="_Ref496656277"/>
      <w:r>
        <w:rPr>
          <w:noProof/>
          <w:szCs w:val="22"/>
        </w:rPr>
        <w:t xml:space="preserve">Observado o disposto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281921">
        <w:rPr>
          <w:noProof/>
          <w:szCs w:val="22"/>
        </w:rPr>
        <w:t>7.1.5 abaixo</w:t>
      </w:r>
      <w:r>
        <w:rPr>
          <w:szCs w:val="22"/>
        </w:rPr>
        <w:fldChar w:fldCharType="end"/>
      </w:r>
      <w:r>
        <w:rPr>
          <w:noProof/>
          <w:szCs w:val="22"/>
        </w:rPr>
        <w:t>, se, nas Assembleias Gerais de Debenturistas referidas no item </w:t>
      </w:r>
      <w:r>
        <w:rPr>
          <w:szCs w:val="22"/>
        </w:rPr>
        <w:fldChar w:fldCharType="begin"/>
      </w:r>
      <w:r>
        <w:rPr>
          <w:noProof/>
          <w:szCs w:val="22"/>
        </w:rPr>
        <w:instrText xml:space="preserve"> REF _Ref496656448 \w \p \h </w:instrText>
      </w:r>
      <w:r>
        <w:rPr>
          <w:szCs w:val="22"/>
        </w:rPr>
        <w:instrText xml:space="preserve"> \* MERGEFORMAT </w:instrText>
      </w:r>
      <w:r>
        <w:rPr>
          <w:szCs w:val="22"/>
        </w:rPr>
      </w:r>
      <w:r>
        <w:rPr>
          <w:szCs w:val="22"/>
        </w:rPr>
        <w:fldChar w:fldCharType="separate"/>
      </w:r>
      <w:r w:rsidR="00281921">
        <w:rPr>
          <w:noProof/>
          <w:szCs w:val="22"/>
        </w:rPr>
        <w:t>7.1.2 acima</w:t>
      </w:r>
      <w:r>
        <w:rPr>
          <w:szCs w:val="22"/>
        </w:rPr>
        <w:fldChar w:fldCharType="end"/>
      </w:r>
      <w:r>
        <w:rPr>
          <w:noProof/>
          <w:szCs w:val="22"/>
        </w:rPr>
        <w:t xml:space="preserve">, os Debenturistas detentores de, no mínimo, 75% (setenta e cinco por cento), das Debêntures em Circulação, em primeira convocação ou a maioria das Debêntures em Circulação presentes à referida Assembleia Geral de Debenturistas em segunda convocação (desde que Debenturistas representando no mínimo 30% (trinta por cento) das Debêntures em Circulação estejam presentes), determinarem que o Agente Fiduciário </w:t>
      </w:r>
      <w:r>
        <w:rPr>
          <w:noProof/>
          <w:szCs w:val="22"/>
          <w:u w:val="single"/>
        </w:rPr>
        <w:t>não</w:t>
      </w:r>
      <w:r>
        <w:rPr>
          <w:noProof/>
          <w:szCs w:val="22"/>
        </w:rPr>
        <w:t xml:space="preserve"> declare o vencimento antecipado das Debêntures,</w:t>
      </w:r>
      <w:r>
        <w:rPr>
          <w:szCs w:val="22"/>
        </w:rPr>
        <w:t xml:space="preserve"> ou, ainda, em caso de suspensão dos trabalhos para deliberação em data posterior, </w:t>
      </w:r>
      <w:r>
        <w:rPr>
          <w:noProof/>
          <w:szCs w:val="22"/>
        </w:rPr>
        <w:t xml:space="preserve">o Agente Fiduciário não declarará o vencimento antecipado de tais Debêntures; </w:t>
      </w:r>
      <w:r>
        <w:rPr>
          <w:szCs w:val="22"/>
        </w:rPr>
        <w:t>caso contrário, ou em caso de não instalação, em segunda convocação, da referida Assembleia Geral de Debenturistas, o Agente Fiduciário deverá, imediatamente, declarar o vencimento antecipado das obrigações decorrentes das Debêntures</w:t>
      </w:r>
      <w:r>
        <w:rPr>
          <w:noProof/>
          <w:szCs w:val="22"/>
        </w:rPr>
        <w:t>.</w:t>
      </w:r>
      <w:bookmarkEnd w:id="110"/>
      <w:r>
        <w:rPr>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1" w:name="_Ref496656229"/>
      <w:r>
        <w:rPr>
          <w:noProof/>
          <w:szCs w:val="22"/>
        </w:rPr>
        <w:t xml:space="preserve">Em caso de vencimento antecipado das Debêntures, a Emissora obriga-se a resgatar a totalidade das Debêntures, com o seu consequente cancelamento, obrigando-se aos pagamentos previstos no item </w:t>
      </w:r>
      <w:r>
        <w:rPr>
          <w:szCs w:val="22"/>
        </w:rPr>
        <w:fldChar w:fldCharType="begin"/>
      </w:r>
      <w:r>
        <w:rPr>
          <w:noProof/>
          <w:szCs w:val="22"/>
        </w:rPr>
        <w:instrText xml:space="preserve"> REF _Ref496656512 \w \p \h </w:instrText>
      </w:r>
      <w:r>
        <w:rPr>
          <w:szCs w:val="22"/>
        </w:rPr>
        <w:instrText xml:space="preserve"> \* MERGEFORMAT </w:instrText>
      </w:r>
      <w:r>
        <w:rPr>
          <w:szCs w:val="22"/>
        </w:rPr>
      </w:r>
      <w:r>
        <w:rPr>
          <w:szCs w:val="22"/>
        </w:rPr>
        <w:fldChar w:fldCharType="separate"/>
      </w:r>
      <w:r w:rsidR="00281921">
        <w:rPr>
          <w:noProof/>
          <w:szCs w:val="22"/>
        </w:rPr>
        <w:t>7.1 acima</w:t>
      </w:r>
      <w:r>
        <w:rPr>
          <w:szCs w:val="22"/>
        </w:rPr>
        <w:fldChar w:fldCharType="end"/>
      </w:r>
      <w:r>
        <w:rPr>
          <w:noProof/>
          <w:szCs w:val="22"/>
        </w:rPr>
        <w:t>, além dos demais encargos devidos nos termos desta Escritura de Emissão, fora do âmbito da B3, em até 1 (um) Dia Útil contado da declaração do vencimento antecipado pelo Agente Fiduciário sob pena de, em não o fazendo, ficar obrigada, ainda, ao pagamento dos Encargos Moratórios. Caso a Emissora não consiga honrar tempestivamente com as obrigações previstas nesta Escritura de Emissão, os Debenturistas poderão executar as Garantias, uma vez constituídas, respeitados os termos e condições dos Contratos de Garantia e desta Escritura de Emissão.</w:t>
      </w:r>
      <w:bookmarkEnd w:id="111"/>
    </w:p>
    <w:p w:rsidR="00C963BB" w:rsidRDefault="00C759A0">
      <w:pPr>
        <w:pStyle w:val="Level3"/>
        <w:tabs>
          <w:tab w:val="clear" w:pos="1361"/>
          <w:tab w:val="num" w:pos="1134"/>
        </w:tabs>
        <w:spacing w:after="240" w:line="320" w:lineRule="exact"/>
        <w:ind w:left="0" w:firstLine="0"/>
        <w:rPr>
          <w:noProof/>
          <w:szCs w:val="22"/>
        </w:rPr>
      </w:pPr>
      <w:r>
        <w:rPr>
          <w:noProof/>
          <w:szCs w:val="22"/>
        </w:rPr>
        <w:t xml:space="preserve">Diante de ocorrência de Eventos de Vencimento Antecipado Automático, ou no caso de decretação em Assembleia Geral de Debenturistas de Eventos de Vencimento Antecipado Não Automáticos, nos termos do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281921">
        <w:rPr>
          <w:noProof/>
          <w:szCs w:val="22"/>
        </w:rPr>
        <w:t>7.1.4 acima</w:t>
      </w:r>
      <w:r>
        <w:rPr>
          <w:noProof/>
          <w:szCs w:val="22"/>
        </w:rPr>
        <w:fldChar w:fldCharType="end"/>
      </w:r>
      <w:r>
        <w:rPr>
          <w:noProof/>
          <w:szCs w:val="22"/>
        </w:rPr>
        <w:t xml:space="preserve">, a Emissora deverá comunicar a B3 imediatamente sobre a ocorrência de Evento de Vencimento Automático ou sobre a decretação em Assembleia Geral de Debenturistas de Eventos de Vencimento Antecipado Não Automáticos. </w:t>
      </w:r>
    </w:p>
    <w:p w:rsidR="00C963BB" w:rsidRDefault="00C759A0">
      <w:pPr>
        <w:pStyle w:val="Level3"/>
        <w:tabs>
          <w:tab w:val="clear" w:pos="1361"/>
          <w:tab w:val="num" w:pos="1134"/>
        </w:tabs>
        <w:spacing w:after="240" w:line="320" w:lineRule="exact"/>
        <w:ind w:left="0" w:firstLine="0"/>
        <w:rPr>
          <w:noProof/>
          <w:szCs w:val="22"/>
        </w:rPr>
      </w:pPr>
      <w:bookmarkStart w:id="112" w:name="_Ref517730372"/>
      <w:bookmarkStart w:id="113" w:name="_Ref516061009"/>
      <w:bookmarkStart w:id="114" w:name="_Ref514247482"/>
      <w:bookmarkStart w:id="115" w:name="_Ref516421436"/>
      <w:r>
        <w:rPr>
          <w:szCs w:val="22"/>
        </w:rPr>
        <w:t xml:space="preserve">Sem prejuízo das demais operações permitidas nos termos desta Escritura de Emissão, ficam desde já autorizadas, sem qualquer necessidade de anuência do Agente Fiduciário ou dos Debenturistas, observado o disposto nos Eventos de Vencimento Antecipado indicados no item </w:t>
      </w:r>
      <w:r>
        <w:rPr>
          <w:szCs w:val="22"/>
        </w:rPr>
        <w:fldChar w:fldCharType="begin"/>
      </w:r>
      <w:r>
        <w:rPr>
          <w:szCs w:val="22"/>
        </w:rPr>
        <w:instrText xml:space="preserve"> REF _Ref496656512 \r \h </w:instrText>
      </w:r>
      <w:r>
        <w:rPr>
          <w:szCs w:val="22"/>
        </w:rPr>
      </w:r>
      <w:r>
        <w:rPr>
          <w:szCs w:val="22"/>
        </w:rPr>
        <w:fldChar w:fldCharType="separate"/>
      </w:r>
      <w:r w:rsidR="00281921">
        <w:rPr>
          <w:szCs w:val="22"/>
        </w:rPr>
        <w:t>7.1</w:t>
      </w:r>
      <w:r>
        <w:rPr>
          <w:szCs w:val="22"/>
        </w:rPr>
        <w:fldChar w:fldCharType="end"/>
      </w:r>
      <w:r>
        <w:rPr>
          <w:szCs w:val="22"/>
        </w:rPr>
        <w:t xml:space="preserve">, incisos </w:t>
      </w:r>
      <w:r>
        <w:rPr>
          <w:szCs w:val="22"/>
        </w:rPr>
        <w:fldChar w:fldCharType="begin"/>
      </w:r>
      <w:r>
        <w:rPr>
          <w:szCs w:val="22"/>
        </w:rPr>
        <w:instrText xml:space="preserve"> REF _Ref519103836 \r \h </w:instrText>
      </w:r>
      <w:r>
        <w:rPr>
          <w:szCs w:val="22"/>
        </w:rPr>
      </w:r>
      <w:r>
        <w:rPr>
          <w:szCs w:val="22"/>
        </w:rPr>
        <w:fldChar w:fldCharType="separate"/>
      </w:r>
      <w:r w:rsidR="00281921">
        <w:rPr>
          <w:szCs w:val="22"/>
        </w:rPr>
        <w:t>(xvii)</w:t>
      </w:r>
      <w:r>
        <w:rPr>
          <w:szCs w:val="22"/>
        </w:rPr>
        <w:fldChar w:fldCharType="end"/>
      </w:r>
      <w:r>
        <w:rPr>
          <w:szCs w:val="22"/>
        </w:rPr>
        <w:t xml:space="preserve"> e </w:t>
      </w:r>
      <w:r>
        <w:rPr>
          <w:szCs w:val="22"/>
        </w:rPr>
        <w:fldChar w:fldCharType="begin"/>
      </w:r>
      <w:r>
        <w:rPr>
          <w:szCs w:val="22"/>
        </w:rPr>
        <w:instrText xml:space="preserve"> REF _Ref518558308 \r \p \h </w:instrText>
      </w:r>
      <w:r>
        <w:rPr>
          <w:szCs w:val="22"/>
        </w:rPr>
      </w:r>
      <w:r>
        <w:rPr>
          <w:szCs w:val="22"/>
        </w:rPr>
        <w:fldChar w:fldCharType="separate"/>
      </w:r>
      <w:r w:rsidR="00281921">
        <w:rPr>
          <w:szCs w:val="22"/>
        </w:rPr>
        <w:t>(xviii) acima</w:t>
      </w:r>
      <w:r>
        <w:rPr>
          <w:szCs w:val="22"/>
        </w:rPr>
        <w:fldChar w:fldCharType="end"/>
      </w:r>
      <w:r>
        <w:rPr>
          <w:szCs w:val="22"/>
        </w:rPr>
        <w:t>:</w:t>
      </w:r>
      <w:bookmarkEnd w:id="112"/>
      <w:r>
        <w:rPr>
          <w:szCs w:val="22"/>
        </w:rPr>
        <w:t xml:space="preserve"> </w:t>
      </w:r>
    </w:p>
    <w:p w:rsidR="00C963BB" w:rsidRDefault="00C759A0">
      <w:pPr>
        <w:pStyle w:val="Level4"/>
        <w:spacing w:after="240" w:line="320" w:lineRule="exact"/>
        <w:ind w:left="1134" w:hanging="1134"/>
      </w:pPr>
      <w:r>
        <w:lastRenderedPageBreak/>
        <w:t xml:space="preserve">a realização de redução de capital e/ou resgate de ações da Contour, no valor de até R$ 161.000.000,00 (cento e sessenta e um milhões de reais), em até 90 (noventa) dias contados da Data de Integralização, para fins do item </w:t>
      </w:r>
      <w:r>
        <w:fldChar w:fldCharType="begin"/>
      </w:r>
      <w:r>
        <w:instrText xml:space="preserve"> REF _Ref517730059 \n \p \h </w:instrText>
      </w:r>
      <w:r>
        <w:fldChar w:fldCharType="separate"/>
      </w:r>
      <w:r w:rsidR="00281921">
        <w:t>4.1.1 acima</w:t>
      </w:r>
      <w:r>
        <w:fldChar w:fldCharType="end"/>
      </w:r>
      <w:r>
        <w:t>;</w:t>
      </w:r>
      <w:r w:rsidR="009F0FDA">
        <w:t xml:space="preserve"> </w:t>
      </w:r>
    </w:p>
    <w:p w:rsidR="00C963BB" w:rsidRDefault="00C759A0" w:rsidP="00152DF4">
      <w:pPr>
        <w:pStyle w:val="Level4"/>
        <w:tabs>
          <w:tab w:val="clear" w:pos="2098"/>
        </w:tabs>
        <w:ind w:left="1134" w:hanging="1134"/>
      </w:pPr>
      <w:r>
        <w:t xml:space="preserve">a realização de redução de capital ou resgate de ações da Contour, no valor em reais equivalente a até US$ 5.086.249,00 (cinco milhões, oitenta e seis mil, duzentos e quarenta e nove dólares norte-americanos), em até 90 (noventa) dias contados da Data de Integralização, para fins de compensação de valores em aberto devidos pela Kani no âmbito de mútuos celebrados entre a Kani e Contour, existentes na data de assinatura desta Escritura de Emissão, sem efetiva restituição de recursos à Kani; </w:t>
      </w:r>
    </w:p>
    <w:p w:rsidR="00C963BB" w:rsidRDefault="00C759A0">
      <w:pPr>
        <w:pStyle w:val="Level4"/>
        <w:spacing w:after="240" w:line="320" w:lineRule="exact"/>
        <w:ind w:left="1134" w:hanging="1134"/>
      </w:pPr>
      <w:r>
        <w:t>a realização de redução de capital da Contour, da Emissora e/ou das Controladas Relevantes exclusivamente para fins de absorção de prejuízos, sem restituição de recursos aos acionistas;</w:t>
      </w:r>
    </w:p>
    <w:p w:rsidR="00C963BB" w:rsidRDefault="00C759A0">
      <w:pPr>
        <w:pStyle w:val="Level4"/>
        <w:spacing w:after="240" w:line="320" w:lineRule="exact"/>
        <w:ind w:left="1134" w:hanging="1134"/>
      </w:pPr>
      <w:r>
        <w:t>a realização de redução de capital da Contour, para fins de cancelamento de até 112.596.137 (cento e doze milhões, quinhentas e noventa e seis mil, cento e trinta e sete) ações já subscritas mas não integralizadas, sem restituição de recursos aos acionistas;</w:t>
      </w:r>
    </w:p>
    <w:p w:rsidR="00C963BB" w:rsidRDefault="00C759A0">
      <w:pPr>
        <w:pStyle w:val="Level4"/>
        <w:spacing w:after="240" w:line="320" w:lineRule="exact"/>
        <w:ind w:left="1134" w:hanging="1134"/>
      </w:pPr>
      <w:bookmarkStart w:id="116" w:name="_Ref518509592"/>
      <w:r>
        <w:t>a realização de redução de capital da Afluente, no valor de até R$5.000.000,00 (cinco milhões de reais), desde que a Afluente possua capital social suficiente para referida redução e desde que observado a regulamentação aplicável;</w:t>
      </w:r>
      <w:bookmarkEnd w:id="116"/>
    </w:p>
    <w:p w:rsidR="00C963BB" w:rsidRDefault="00C759A0">
      <w:pPr>
        <w:pStyle w:val="Level4"/>
        <w:spacing w:after="240" w:line="320" w:lineRule="exact"/>
        <w:ind w:left="1134" w:hanging="1134"/>
      </w:pPr>
      <w:bookmarkStart w:id="117" w:name="_Ref519774998"/>
      <w:bookmarkStart w:id="118" w:name="_Ref517730383"/>
      <w:bookmarkStart w:id="119" w:name="_Ref518509580"/>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sendo a distribuição de recursos durante a vigência das Debêntures limitada ao Valor Limite de Distribuição (conforme definido abaixo), desde que: </w:t>
      </w:r>
      <w:r>
        <w:rPr>
          <w:b/>
        </w:rPr>
        <w:t xml:space="preserve">(a) </w:t>
      </w:r>
      <w:r>
        <w:t xml:space="preserve">os resultados da Contour nos 12 (doze) meses anteriores à distribuição tenham sido negativamente impactados devido aos eventos sem efeitos no caixa listados no item 7.1.7.1 abaixo;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(c)</w:t>
      </w:r>
      <w:r>
        <w:t xml:space="preserve"> a Emissora e/ou a Contour não esteja inadimplente com relação às suas obrigações pecuniárias e/ou não pecuniárias previstas nesta Escritura de Emissão e/ou nos Contratos de Garantia e não esteja em curso um Evento de Vencimento Antecipado; e </w:t>
      </w:r>
      <w:r>
        <w:rPr>
          <w:b/>
        </w:rPr>
        <w:t xml:space="preserve">(d) </w:t>
      </w:r>
      <w:r>
        <w:t>sejam realizadas</w:t>
      </w:r>
      <w:r>
        <w:rPr>
          <w:b/>
        </w:rPr>
        <w:t xml:space="preserve"> </w:t>
      </w:r>
      <w:r>
        <w:t xml:space="preserve">durante o Período </w:t>
      </w:r>
      <w:r>
        <w:lastRenderedPageBreak/>
        <w:t>Permitido para Distribuição (conforme definido no Contrato de Alienação de Ações SPEs);</w:t>
      </w:r>
      <w:bookmarkEnd w:id="117"/>
      <w:bookmarkEnd w:id="118"/>
      <w:bookmarkEnd w:id="119"/>
    </w:p>
    <w:p w:rsidR="00C963BB" w:rsidRDefault="00C759A0">
      <w:pPr>
        <w:pStyle w:val="Level4"/>
        <w:spacing w:after="240" w:line="320" w:lineRule="exact"/>
        <w:ind w:left="1134" w:hanging="1134"/>
      </w:pPr>
      <w:bookmarkStart w:id="120" w:name="_Ref518318489"/>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negativamente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nos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estará limitado à diferença entre: </w:t>
      </w:r>
      <w:r>
        <w:rPr>
          <w:i/>
        </w:rPr>
        <w:t>(1)</w:t>
      </w:r>
      <w:r>
        <w:t xml:space="preserve"> os valores que poderiam ser distribuídos a título de dividendos pela Contour à Kani, caso a Santa Cruz e/ou a Tespias não fossem controladas pela Contour no respectivo período e, portanto, não tivessem impactado os resultados da Contour negativamente; e </w:t>
      </w:r>
      <w:r>
        <w:rPr>
          <w:i/>
        </w:rPr>
        <w:t>(2)</w:t>
      </w:r>
      <w:r>
        <w:t xml:space="preserve"> os valores que podem ser distribuídos a título de dividendos pela Contour à Kani no respectivo período;</w:t>
      </w:r>
      <w:bookmarkEnd w:id="120"/>
    </w:p>
    <w:p w:rsidR="00C963BB" w:rsidRDefault="00C759A0">
      <w:pPr>
        <w:pStyle w:val="Level4"/>
        <w:spacing w:after="240" w:line="320" w:lineRule="exact"/>
        <w:ind w:left="1134" w:hanging="1134"/>
      </w:pPr>
      <w:bookmarkStart w:id="121" w:name="_Ref518318492"/>
      <w:bookmarkStart w:id="122" w:name="_Ref518509585"/>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positivamente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será no máximo </w:t>
      </w:r>
      <w:r>
        <w:lastRenderedPageBreak/>
        <w:t>equivalente ao valor dos lucros distribuídos pela Santa Cruz e pela Tespias à Contour no respectivo período;</w:t>
      </w:r>
      <w:r w:rsidR="001438D9">
        <w:t xml:space="preserve"> </w:t>
      </w:r>
    </w:p>
    <w:p w:rsidR="00C963BB" w:rsidRDefault="00C759A0" w:rsidP="00D83494">
      <w:pPr>
        <w:pStyle w:val="Level4"/>
        <w:spacing w:after="240" w:line="320" w:lineRule="exact"/>
        <w:ind w:left="1134" w:hanging="1134"/>
      </w:pPr>
      <w:r>
        <w:t xml:space="preserve">a realização de distribuição de recursos pela Contour à Kani após a liberação de recursos depositados na </w:t>
      </w:r>
      <w:r w:rsidRPr="00737C74">
        <w:t xml:space="preserve">Conta Vinculada GSF para conta de livre movimentação da Contour, seja em razão </w:t>
      </w:r>
      <w:r w:rsidR="00737C74" w:rsidRPr="00A26C4D">
        <w:rPr>
          <w:i/>
        </w:rPr>
        <w:t>(1)</w:t>
      </w:r>
      <w:r w:rsidR="00737C74">
        <w:t xml:space="preserve"> </w:t>
      </w:r>
      <w:r w:rsidRPr="00737C74">
        <w:t>da contratação de Carta de Fiança Bancária GSF</w:t>
      </w:r>
      <w:r w:rsidR="00AF517D">
        <w:t xml:space="preserve"> (conforme definido no Contrato de Alienação Fiduciária de Ações SPEs)</w:t>
      </w:r>
      <w:r w:rsidR="00737C74">
        <w:t xml:space="preserve">; </w:t>
      </w:r>
      <w:r w:rsidR="00D83494" w:rsidRPr="00743774">
        <w:rPr>
          <w:i/>
        </w:rPr>
        <w:t xml:space="preserve">(2) </w:t>
      </w:r>
      <w:r w:rsidR="00D83494">
        <w:t xml:space="preserve">da celebração do Compromisso de Pagamento da ContourGlobal PLC (conforme definido abaixo); </w:t>
      </w:r>
      <w:r w:rsidR="00737C74" w:rsidRPr="00737507">
        <w:rPr>
          <w:i/>
        </w:rPr>
        <w:t>(</w:t>
      </w:r>
      <w:r w:rsidR="00D83494">
        <w:rPr>
          <w:i/>
        </w:rPr>
        <w:t>3</w:t>
      </w:r>
      <w:r w:rsidR="00737C74" w:rsidRPr="00737507">
        <w:rPr>
          <w:i/>
        </w:rPr>
        <w:t>)</w:t>
      </w:r>
      <w:r w:rsidRPr="00737C74">
        <w:t xml:space="preserve"> da revogação </w:t>
      </w:r>
      <w:r w:rsidR="00737C74" w:rsidRPr="00737C74">
        <w:t>da Liminar GSF</w:t>
      </w:r>
      <w:r w:rsidR="00737C74">
        <w:t>;</w:t>
      </w:r>
      <w:r w:rsidR="00737C74" w:rsidRPr="00737C74">
        <w:t xml:space="preserve"> </w:t>
      </w:r>
      <w:r w:rsidRPr="00737C74">
        <w:t xml:space="preserve">ou </w:t>
      </w:r>
      <w:r w:rsidR="00737C74" w:rsidRPr="00737507">
        <w:rPr>
          <w:i/>
        </w:rPr>
        <w:t>(</w:t>
      </w:r>
      <w:r w:rsidR="00D83494">
        <w:rPr>
          <w:i/>
        </w:rPr>
        <w:t>4</w:t>
      </w:r>
      <w:r w:rsidR="00737C74" w:rsidRPr="00737507">
        <w:rPr>
          <w:i/>
        </w:rPr>
        <w:t>)</w:t>
      </w:r>
      <w:r w:rsidR="00737C74">
        <w:rPr>
          <w:i/>
        </w:rPr>
        <w:t xml:space="preserve"> </w:t>
      </w:r>
      <w:r w:rsidR="00737C74">
        <w:t xml:space="preserve">de decisão definitiva e favorável </w:t>
      </w:r>
      <w:r w:rsidR="00737C74">
        <w:rPr>
          <w:rFonts w:eastAsia="SimSun"/>
        </w:rPr>
        <w:t>à Bahia PCH e à Galheiros</w:t>
      </w:r>
      <w:r w:rsidR="00737C74" w:rsidRPr="00737C74">
        <w:t xml:space="preserve"> </w:t>
      </w:r>
      <w:r w:rsidR="00737C74">
        <w:t>no âmbito do</w:t>
      </w:r>
      <w:r w:rsidR="00737C74">
        <w:rPr>
          <w:rFonts w:eastAsia="SimSun"/>
        </w:rPr>
        <w:t xml:space="preserve"> processo judicial no qual foi obtido a Liminar GSF</w:t>
      </w:r>
      <w:r w:rsidRPr="00737C74">
        <w:t xml:space="preserve">, nos termos do Contrato de Alienação Fiduciária de Ações SPEs, </w:t>
      </w:r>
      <w:r w:rsidR="009A377B">
        <w:t xml:space="preserve">sendo certo que tal </w:t>
      </w:r>
      <w:r w:rsidRPr="00737C74">
        <w:t>distribuição de recursos será no máximo equivalente ao valor liberado à Contour nos termos do Contrato de Alienação Fiduciária de Ações</w:t>
      </w:r>
      <w:r>
        <w:t xml:space="preserve"> SPEs</w:t>
      </w:r>
      <w:r w:rsidR="00D24061" w:rsidRPr="00743774">
        <w:t>, sendo certo que a distribuição prevista neste item pode ser realizada mesmo caso esteja em curso um Evento de Vencimento Antecipado e/ou a Emissora e/ou a Contour esteja inadimplente com relação às suas obrigações, pecuniárias ou não pecuniárias, previstas nesta Escritura de Emissão e/ou nos Contratos de Garantia e/ou fora do Período Permitido para Distribuição</w:t>
      </w:r>
      <w:r>
        <w:t>; e</w:t>
      </w:r>
      <w:r w:rsidR="009F0FDA">
        <w:t xml:space="preserve"> </w:t>
      </w:r>
    </w:p>
    <w:p w:rsidR="00C963BB" w:rsidRDefault="00C759A0">
      <w:pPr>
        <w:pStyle w:val="Level4"/>
        <w:spacing w:after="240" w:line="320" w:lineRule="exact"/>
        <w:ind w:left="1134" w:hanging="1134"/>
      </w:pPr>
      <w:r>
        <w:t xml:space="preserve">a realização de distribuição de recursos pela Contour à Kani após a liberação de recursos depositados na Conta Reserva para a Contour, em virtude da contratação de Carta de Fiança Bancária nos termos do Contrato de Alienação Fiduciária de Ações SPEs, desde que: </w:t>
      </w:r>
      <w:r>
        <w:rPr>
          <w:b/>
        </w:rPr>
        <w:t>(a)</w:t>
      </w:r>
      <w:r>
        <w:t xml:space="preserve"> na data da distribuição, existam recursos depositados na Conta Reserva suficientes para atingimento do Saldo Consolidado da Conta Reserva, nos termos do Contrato de Alienação Fiduciária de Ações SPEs; </w:t>
      </w:r>
      <w:r>
        <w:rPr>
          <w:b/>
        </w:rPr>
        <w:t>(</w:t>
      </w:r>
      <w:r w:rsidR="006E5BA8">
        <w:rPr>
          <w:b/>
        </w:rPr>
        <w:t>b</w:t>
      </w:r>
      <w:r>
        <w:rPr>
          <w:b/>
        </w:rPr>
        <w:t xml:space="preserve">) </w:t>
      </w:r>
      <w:r>
        <w:t xml:space="preserve">durante o Período Permitido para Distribuição (conforme definido no Contrato de Alienação de Ações SPEs); e </w:t>
      </w:r>
      <w:r>
        <w:rPr>
          <w:b/>
        </w:rPr>
        <w:t>(</w:t>
      </w:r>
      <w:r w:rsidR="006E5BA8">
        <w:rPr>
          <w:b/>
        </w:rPr>
        <w:t>c</w:t>
      </w:r>
      <w:r>
        <w:rPr>
          <w:b/>
        </w:rPr>
        <w:t>)</w:t>
      </w:r>
      <w:r>
        <w:t xml:space="preserve"> a Emissora e/ou a Contour não esteja inadimplente com relação às suas obrigações pecuniárias e/ou não pecuniárias previstas nesta Escritura de Emissão e/ou no Contratos de Garantia</w:t>
      </w:r>
      <w:r w:rsidR="001438D9">
        <w:t xml:space="preserve"> </w:t>
      </w:r>
      <w:r w:rsidR="00A26C4D">
        <w:t>e não esteja em curso um Evento de Vencimento Antecipado</w:t>
      </w:r>
      <w:r>
        <w:t>. Nesse caso, a distribuição de recursos será no máximo equivalente ao valor liberado à Contour nos termos do Contrato de Alienação Fiduciária de Ações SPEs em virtude da contratação de Carta de Fiança Bancária.</w:t>
      </w:r>
      <w:bookmarkEnd w:id="121"/>
      <w:bookmarkEnd w:id="122"/>
      <w:r w:rsidR="00BE10C4">
        <w:t xml:space="preserve"> </w:t>
      </w:r>
    </w:p>
    <w:p w:rsidR="00C963BB" w:rsidRDefault="00C759A0">
      <w:pPr>
        <w:pStyle w:val="Level3"/>
        <w:numPr>
          <w:ilvl w:val="0"/>
          <w:numId w:val="0"/>
        </w:numPr>
        <w:tabs>
          <w:tab w:val="left" w:pos="1134"/>
        </w:tabs>
        <w:spacing w:after="240" w:line="320" w:lineRule="exact"/>
        <w:rPr>
          <w:noProof/>
          <w:szCs w:val="22"/>
        </w:rPr>
      </w:pPr>
      <w:r>
        <w:rPr>
          <w:b/>
          <w:szCs w:val="22"/>
        </w:rPr>
        <w:t>7.1.7.1.</w:t>
      </w:r>
      <w:bookmarkEnd w:id="113"/>
      <w:bookmarkEnd w:id="114"/>
      <w:bookmarkEnd w:id="115"/>
      <w:r>
        <w:rPr>
          <w:szCs w:val="22"/>
        </w:rPr>
        <w:t xml:space="preserve"> </w:t>
      </w:r>
      <w:r>
        <w:rPr>
          <w:szCs w:val="22"/>
        </w:rPr>
        <w:tab/>
        <w:t xml:space="preserve">Para fins do item </w:t>
      </w:r>
      <w:r>
        <w:rPr>
          <w:szCs w:val="22"/>
        </w:rPr>
        <w:fldChar w:fldCharType="begin"/>
      </w:r>
      <w:r>
        <w:rPr>
          <w:szCs w:val="22"/>
        </w:rPr>
        <w:instrText xml:space="preserve"> REF _Ref517730372 \n \h </w:instrText>
      </w:r>
      <w:r>
        <w:rPr>
          <w:szCs w:val="22"/>
        </w:rPr>
      </w:r>
      <w:r>
        <w:rPr>
          <w:szCs w:val="22"/>
        </w:rPr>
        <w:fldChar w:fldCharType="separate"/>
      </w:r>
      <w:r w:rsidR="00281921">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281921">
        <w:rPr>
          <w:szCs w:val="22"/>
        </w:rPr>
        <w:t>(vi) acima</w:t>
      </w:r>
      <w:r>
        <w:rPr>
          <w:szCs w:val="22"/>
        </w:rPr>
        <w:fldChar w:fldCharType="end"/>
      </w:r>
      <w:r>
        <w:rPr>
          <w:szCs w:val="22"/>
        </w:rPr>
        <w:t>, “</w:t>
      </w:r>
      <w:r>
        <w:rPr>
          <w:szCs w:val="22"/>
          <w:u w:val="single"/>
        </w:rPr>
        <w:t>Valor Limite de Distribuição</w:t>
      </w:r>
      <w:r>
        <w:rPr>
          <w:szCs w:val="22"/>
        </w:rPr>
        <w:t xml:space="preserve">” será o valor de R$ 50.000.000,00 (cinquenta milhões de reais), reajustado anualmente pelo IPCA a partir da Data de Emissão: </w:t>
      </w:r>
      <w:r>
        <w:rPr>
          <w:b/>
          <w:szCs w:val="22"/>
        </w:rPr>
        <w:t>(i)</w:t>
      </w:r>
      <w:r>
        <w:rPr>
          <w:szCs w:val="22"/>
        </w:rPr>
        <w:t xml:space="preserve"> somado ao (ou subtraído do) do valor líquido dos lucros acumulados da Contour que tenha sido reduzido (ou aumentado) pelas perdas (ou ganhos) não realizados em mútuos </w:t>
      </w:r>
      <w:r>
        <w:rPr>
          <w:szCs w:val="22"/>
        </w:rPr>
        <w:lastRenderedPageBreak/>
        <w:t xml:space="preserve">entre partes relacionadas, resultantes de variação cambial negativa (ou positiva), nos últimos 12 (doze) meses anteriores à distribuição; </w:t>
      </w:r>
      <w:r>
        <w:rPr>
          <w:b/>
          <w:szCs w:val="22"/>
        </w:rPr>
        <w:t>(ii)</w:t>
      </w:r>
      <w:r>
        <w:rPr>
          <w:szCs w:val="22"/>
        </w:rPr>
        <w:t xml:space="preserve"> somado ao valor dos juros não pagos em mútuos com partes relacionadas nos últimos 12 (doze) meses anteriores à distribuição; </w:t>
      </w:r>
      <w:r>
        <w:rPr>
          <w:b/>
          <w:szCs w:val="22"/>
        </w:rPr>
        <w:t>(iii)</w:t>
      </w:r>
      <w:r>
        <w:rPr>
          <w:szCs w:val="22"/>
        </w:rPr>
        <w:t xml:space="preserve"> somado ao valor das provisões para as liminares </w:t>
      </w:r>
      <w:r>
        <w:t xml:space="preserve">obtidas </w:t>
      </w:r>
      <w:r>
        <w:rPr>
          <w:szCs w:val="22"/>
        </w:rPr>
        <w:t>em processos judiciais em favor da Bahia PCH e da Galheiros</w:t>
      </w:r>
      <w:r>
        <w:t xml:space="preserve"> para neutralizar o impacto negativo do </w:t>
      </w:r>
      <w:r>
        <w:rPr>
          <w:i/>
        </w:rPr>
        <w:t>Generation Scaling Factor</w:t>
      </w:r>
      <w:r>
        <w:t xml:space="preserve"> – GSF; e </w:t>
      </w:r>
      <w:r>
        <w:rPr>
          <w:b/>
        </w:rPr>
        <w:t>(iv)</w:t>
      </w:r>
      <w:r>
        <w:t xml:space="preserve"> somado aos ajustes referente aos valores que seriam distribuídos nos termos do item </w:t>
      </w:r>
      <w:r>
        <w:fldChar w:fldCharType="begin"/>
      </w:r>
      <w:r>
        <w:instrText xml:space="preserve"> REF _Ref517730372 \r \h  \* MERGEFORMAT </w:instrText>
      </w:r>
      <w:r>
        <w:fldChar w:fldCharType="separate"/>
      </w:r>
      <w:r w:rsidR="00281921">
        <w:t>7.1.7</w:t>
      </w:r>
      <w:r>
        <w:fldChar w:fldCharType="end"/>
      </w:r>
      <w:r>
        <w:t xml:space="preserve">, incisos </w:t>
      </w:r>
      <w:r>
        <w:fldChar w:fldCharType="begin"/>
      </w:r>
      <w:r>
        <w:instrText xml:space="preserve"> REF _Ref518318489 \r \h  \* MERGEFORMAT </w:instrText>
      </w:r>
      <w:r>
        <w:fldChar w:fldCharType="separate"/>
      </w:r>
      <w:r w:rsidR="00281921">
        <w:t>(vii)</w:t>
      </w:r>
      <w:r>
        <w:fldChar w:fldCharType="end"/>
      </w:r>
      <w:r>
        <w:t xml:space="preserve"> e </w:t>
      </w:r>
      <w:r>
        <w:fldChar w:fldCharType="begin"/>
      </w:r>
      <w:r>
        <w:instrText xml:space="preserve"> REF _Ref518318492 \r \p \h  \* MERGEFORMAT </w:instrText>
      </w:r>
      <w:r>
        <w:fldChar w:fldCharType="separate"/>
      </w:r>
      <w:r w:rsidR="00281921">
        <w:t>(viii) acima</w:t>
      </w:r>
      <w:r>
        <w:fldChar w:fldCharType="end"/>
      </w:r>
      <w:r>
        <w:t>, caso existentes;</w:t>
      </w:r>
      <w:r>
        <w:rPr>
          <w:szCs w:val="22"/>
        </w:rPr>
        <w:t xml:space="preserve"> em todos os casos conforme identificados no último balanço patrimonial ou nas últimas demonstrações financeiras enviadas pela Contour ao Agente Fiduciário nos termos desta Escritura de Emissão. O Valor Limite de Distribuição será recalculado pela Contour toda vez que a Contour desejar realizar uma distribuição à Kani nos termos do item </w:t>
      </w:r>
      <w:r>
        <w:rPr>
          <w:szCs w:val="22"/>
        </w:rPr>
        <w:fldChar w:fldCharType="begin"/>
      </w:r>
      <w:r>
        <w:rPr>
          <w:szCs w:val="22"/>
        </w:rPr>
        <w:instrText xml:space="preserve"> REF _Ref517730372 \n \h </w:instrText>
      </w:r>
      <w:r>
        <w:rPr>
          <w:szCs w:val="22"/>
        </w:rPr>
      </w:r>
      <w:r>
        <w:rPr>
          <w:szCs w:val="22"/>
        </w:rPr>
        <w:fldChar w:fldCharType="separate"/>
      </w:r>
      <w:r w:rsidR="00281921">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281921">
        <w:rPr>
          <w:szCs w:val="22"/>
        </w:rPr>
        <w:t>(vi) acima</w:t>
      </w:r>
      <w:r>
        <w:rPr>
          <w:szCs w:val="22"/>
        </w:rPr>
        <w:fldChar w:fldCharType="end"/>
      </w:r>
      <w:r>
        <w:rPr>
          <w:szCs w:val="22"/>
        </w:rPr>
        <w:t xml:space="preserve">, devendo a Contour, com até 2 (dois) Dias Úteis de antecedência da referida distribuição, informar ao Agente Fiduciário o Valor Limite de Distribuição disponível e o valor da distribuição que pretende realizar, observado, ainda, que </w:t>
      </w:r>
      <w:r>
        <w:rPr>
          <w:rFonts w:eastAsia="Arial"/>
          <w:noProof/>
          <w:lang w:eastAsia="en-GB"/>
        </w:rPr>
        <w:t>até 15 de junho de 2019, a Contour somente poderá realizar distribuições à Kani</w:t>
      </w:r>
      <w:r>
        <w:t xml:space="preserve"> até o limite de R$ 20.000.000,00 (vinte milhões de reais, independentemente do Valor Limite de Distribuição ainda disponível</w:t>
      </w:r>
      <w:r>
        <w:rPr>
          <w:szCs w:val="22"/>
        </w:rPr>
        <w:t xml:space="preserve">. </w:t>
      </w:r>
    </w:p>
    <w:p w:rsidR="00C963BB" w:rsidRDefault="00C759A0">
      <w:pPr>
        <w:pStyle w:val="Level3"/>
        <w:tabs>
          <w:tab w:val="clear" w:pos="1361"/>
          <w:tab w:val="num" w:pos="1134"/>
        </w:tabs>
        <w:spacing w:after="240" w:line="320" w:lineRule="exact"/>
        <w:ind w:left="0" w:firstLine="0"/>
        <w:rPr>
          <w:noProof/>
          <w:szCs w:val="22"/>
        </w:rPr>
      </w:pPr>
      <w:bookmarkStart w:id="123" w:name="_Ref516060992"/>
      <w:r>
        <w:rPr>
          <w:szCs w:val="22"/>
        </w:rPr>
        <w:t>Sem prejuízo das demais operações permitidas nos termos desta Escritura de Emissão, fica desde já autorizada, sem qualquer necessidade de anuência do Agente Fiduciário ou dos Debenturistas e sem que se caracterize qualquer descumprimento de obrigação ou Evento de Vencimento Antecipado</w:t>
      </w:r>
      <w:r>
        <w:t xml:space="preserve">, a distribuição/transferência de recursos entre a Contour e as Subsidiárias ou entre as próprias Subsidiárias, a qualquer título, </w:t>
      </w:r>
      <w:r>
        <w:rPr>
          <w:lang w:val="pt-PT"/>
        </w:rPr>
        <w:t>que tenha como finalidade exclusiva 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Pr>
          <w:szCs w:val="22"/>
        </w:rPr>
        <w:t xml:space="preserve">. As distribuições/transferências aqui autorizadas poderão ser realizadas por meio de </w:t>
      </w:r>
      <w:r>
        <w:t xml:space="preserve">reduções de capital, concessão de mútuos ou empréstimos, distribuição de reservas, dividendos e juros sobre capital próprio ou por qualquer outra forma permitida por lei, observado que, caso realizadas por meio de reduções de capital estarão sempre restritas ao valor necessário para cumprimento da finalidade indicada acima e caso realizadas por meio de mútuos ou empréstimos deverão respeitar o disposto nos itens </w:t>
      </w:r>
      <w:r>
        <w:fldChar w:fldCharType="begin"/>
      </w:r>
      <w:r>
        <w:instrText xml:space="preserve"> REF _Ref514270726 \w \h </w:instrText>
      </w:r>
      <w:r>
        <w:fldChar w:fldCharType="separate"/>
      </w:r>
      <w:r w:rsidR="00281921">
        <w:t>8.1(xxi)</w:t>
      </w:r>
      <w:r>
        <w:fldChar w:fldCharType="end"/>
      </w:r>
      <w:r>
        <w:t xml:space="preserve"> e </w:t>
      </w:r>
      <w:r>
        <w:fldChar w:fldCharType="begin"/>
      </w:r>
      <w:r>
        <w:instrText xml:space="preserve"> REF _Ref513730601 \r \p \h  \* MERGEFORMAT </w:instrText>
      </w:r>
      <w:r>
        <w:fldChar w:fldCharType="separate"/>
      </w:r>
      <w:r w:rsidR="00281921">
        <w:t>8.2(xx) abaixo</w:t>
      </w:r>
      <w:r>
        <w:fldChar w:fldCharType="end"/>
      </w:r>
      <w:r>
        <w:t>.</w:t>
      </w:r>
      <w:bookmarkEnd w:id="123"/>
      <w:r>
        <w:rPr>
          <w:szCs w:val="22"/>
        </w:rPr>
        <w:t xml:space="preserve"> </w:t>
      </w:r>
    </w:p>
    <w:p w:rsidR="00C963BB" w:rsidRDefault="00C759A0">
      <w:pPr>
        <w:pStyle w:val="Level3"/>
        <w:numPr>
          <w:ilvl w:val="0"/>
          <w:numId w:val="0"/>
        </w:numPr>
        <w:tabs>
          <w:tab w:val="left" w:pos="1134"/>
        </w:tabs>
        <w:spacing w:after="240" w:line="320" w:lineRule="exact"/>
        <w:rPr>
          <w:szCs w:val="22"/>
        </w:rPr>
      </w:pPr>
      <w:r>
        <w:rPr>
          <w:b/>
          <w:szCs w:val="22"/>
        </w:rPr>
        <w:t>7.1.8.1.</w:t>
      </w:r>
      <w:r>
        <w:rPr>
          <w:szCs w:val="22"/>
        </w:rPr>
        <w:tab/>
        <w:t xml:space="preserve">Para fins de esclarecimento, as operações e distribuições autorizadas nos termos dos itens </w:t>
      </w:r>
      <w:r>
        <w:rPr>
          <w:szCs w:val="22"/>
        </w:rPr>
        <w:fldChar w:fldCharType="begin"/>
      </w:r>
      <w:r>
        <w:rPr>
          <w:szCs w:val="22"/>
        </w:rPr>
        <w:instrText xml:space="preserve"> REF _Ref517730372 \n \h  \* MERGEFORMAT </w:instrText>
      </w:r>
      <w:r>
        <w:rPr>
          <w:szCs w:val="22"/>
        </w:rPr>
      </w:r>
      <w:r>
        <w:rPr>
          <w:szCs w:val="22"/>
        </w:rPr>
        <w:fldChar w:fldCharType="separate"/>
      </w:r>
      <w:r w:rsidR="00281921">
        <w:rPr>
          <w:szCs w:val="22"/>
        </w:rPr>
        <w:t>7.1.7</w:t>
      </w:r>
      <w:r>
        <w:rPr>
          <w:szCs w:val="22"/>
        </w:rPr>
        <w:fldChar w:fldCharType="end"/>
      </w:r>
      <w:r>
        <w:rPr>
          <w:szCs w:val="22"/>
        </w:rPr>
        <w:t xml:space="preserve"> e seus respectivos incisos, e </w:t>
      </w:r>
      <w:r>
        <w:rPr>
          <w:szCs w:val="22"/>
        </w:rPr>
        <w:fldChar w:fldCharType="begin"/>
      </w:r>
      <w:r>
        <w:rPr>
          <w:szCs w:val="22"/>
        </w:rPr>
        <w:instrText xml:space="preserve"> REF _Ref516060992 \n \p \h  \* MERGEFORMAT </w:instrText>
      </w:r>
      <w:r>
        <w:rPr>
          <w:szCs w:val="22"/>
        </w:rPr>
      </w:r>
      <w:r>
        <w:rPr>
          <w:szCs w:val="22"/>
        </w:rPr>
        <w:fldChar w:fldCharType="separate"/>
      </w:r>
      <w:r w:rsidR="00281921">
        <w:rPr>
          <w:szCs w:val="22"/>
        </w:rPr>
        <w:t>7.1.8 acima</w:t>
      </w:r>
      <w:r>
        <w:rPr>
          <w:szCs w:val="22"/>
        </w:rPr>
        <w:fldChar w:fldCharType="end"/>
      </w:r>
      <w:r>
        <w:rPr>
          <w:szCs w:val="22"/>
        </w:rPr>
        <w:t xml:space="preserve"> deverão sempre ser consideradas como sendo em adição à distribuição de dividendos pelas Subsidiárias e/ou pela Contour aos respectivos acionistas, a qual sempre será permitida</w:t>
      </w:r>
      <w:r>
        <w:t xml:space="preserve"> caso a Emissora e a Contour estejam adimplentes com relação às suas obrigações, pecuniárias e não pecuniárias, previstas nesta Escritura de Emissão e não esteja em curso um Evento de Vencimento Antecipado, sendo que, no caso da distribuição </w:t>
      </w:r>
      <w:r>
        <w:lastRenderedPageBreak/>
        <w:t>de dividendos à Kani, esta deverá ser realizada durante o Período Permitido para Distribuição, nos termos do Contrato de Alienação Fiduciária de Ações SPEs</w:t>
      </w:r>
      <w:r>
        <w:rPr>
          <w:szCs w:val="22"/>
        </w:rPr>
        <w:t>.</w:t>
      </w:r>
    </w:p>
    <w:p w:rsidR="00C963BB" w:rsidRDefault="00C759A0">
      <w:pPr>
        <w:pStyle w:val="Level3"/>
        <w:numPr>
          <w:ilvl w:val="0"/>
          <w:numId w:val="0"/>
        </w:numPr>
        <w:tabs>
          <w:tab w:val="left" w:pos="1134"/>
        </w:tabs>
        <w:spacing w:after="240" w:line="320" w:lineRule="exact"/>
        <w:rPr>
          <w:szCs w:val="22"/>
        </w:rPr>
      </w:pPr>
      <w:r>
        <w:rPr>
          <w:rFonts w:eastAsia="SimSun"/>
          <w:b/>
          <w:szCs w:val="22"/>
        </w:rPr>
        <w:t>7.1.8.2</w:t>
      </w:r>
      <w:r>
        <w:rPr>
          <w:rFonts w:eastAsia="SimSun"/>
          <w:b/>
          <w:szCs w:val="22"/>
        </w:rPr>
        <w:tab/>
      </w:r>
      <w:r>
        <w:rPr>
          <w:rFonts w:eastAsia="SimSun"/>
          <w:szCs w:val="22"/>
        </w:rPr>
        <w:t xml:space="preserve">As </w:t>
      </w:r>
      <w:r>
        <w:t xml:space="preserve">distribuições de recursos pela Contour à Kani previstas no item </w:t>
      </w:r>
      <w:r>
        <w:fldChar w:fldCharType="begin"/>
      </w:r>
      <w:r>
        <w:instrText xml:space="preserve"> REF _Ref517730372 \r \h </w:instrText>
      </w:r>
      <w:r>
        <w:fldChar w:fldCharType="separate"/>
      </w:r>
      <w:r w:rsidR="00281921">
        <w:t>7.1.7</w:t>
      </w:r>
      <w:r>
        <w:fldChar w:fldCharType="end"/>
      </w:r>
      <w:r>
        <w:t xml:space="preserve">, incisos </w:t>
      </w:r>
      <w:r>
        <w:fldChar w:fldCharType="begin"/>
      </w:r>
      <w:r>
        <w:instrText xml:space="preserve"> REF _Ref518509580 \n \h </w:instrText>
      </w:r>
      <w:r>
        <w:fldChar w:fldCharType="separate"/>
      </w:r>
      <w:r w:rsidR="00281921">
        <w:t>(vi)</w:t>
      </w:r>
      <w:r>
        <w:fldChar w:fldCharType="end"/>
      </w:r>
      <w:r>
        <w:t xml:space="preserve">, </w:t>
      </w:r>
      <w:r>
        <w:fldChar w:fldCharType="begin"/>
      </w:r>
      <w:r>
        <w:instrText xml:space="preserve"> REF _Ref518318489 \n \h </w:instrText>
      </w:r>
      <w:r>
        <w:fldChar w:fldCharType="separate"/>
      </w:r>
      <w:r w:rsidR="00281921">
        <w:t>(vii)</w:t>
      </w:r>
      <w:r>
        <w:fldChar w:fldCharType="end"/>
      </w:r>
      <w:r>
        <w:t xml:space="preserve"> e </w:t>
      </w:r>
      <w:r>
        <w:fldChar w:fldCharType="begin"/>
      </w:r>
      <w:r>
        <w:instrText xml:space="preserve"> REF _Ref518509585 \n \p \h </w:instrText>
      </w:r>
      <w:r>
        <w:fldChar w:fldCharType="separate"/>
      </w:r>
      <w:r w:rsidR="00281921">
        <w:t>(viii) acima</w:t>
      </w:r>
      <w:r>
        <w:fldChar w:fldCharType="end"/>
      </w:r>
      <w:r>
        <w:t xml:space="preserve"> deverão ser realizadas exclusivamente com base no resultado apurado: </w:t>
      </w:r>
      <w:r>
        <w:rPr>
          <w:b/>
        </w:rPr>
        <w:t>(i)</w:t>
      </w:r>
      <w:r>
        <w:t xml:space="preserve"> nas últimas </w:t>
      </w:r>
      <w:r>
        <w:rPr>
          <w:rFonts w:eastAsia="Arial Unicode MS"/>
        </w:rPr>
        <w:t xml:space="preserve">demonstrações financeiras anuais auditadas divulgadas nos termos do </w:t>
      </w:r>
      <w:r>
        <w:t>item</w:t>
      </w:r>
      <w:r w:rsidR="005C056C">
        <w:t xml:space="preserve"> </w:t>
      </w:r>
      <w:r w:rsidR="005C056C">
        <w:fldChar w:fldCharType="begin"/>
      </w:r>
      <w:r w:rsidR="005C056C">
        <w:instrText xml:space="preserve"> REF _Ref512706016 \r \h </w:instrText>
      </w:r>
      <w:r w:rsidR="005C056C">
        <w:fldChar w:fldCharType="separate"/>
      </w:r>
      <w:r w:rsidR="00281921">
        <w:t>8.2</w:t>
      </w:r>
      <w:r w:rsidR="005C056C">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_Ref518509757 \n \h </w:instrText>
      </w:r>
      <w:r>
        <w:fldChar w:fldCharType="separate"/>
      </w:r>
      <w:r w:rsidR="00281921">
        <w:t>(a)</w:t>
      </w:r>
      <w:r>
        <w:fldChar w:fldCharType="end"/>
      </w:r>
      <w:r>
        <w:t xml:space="preserve"> abaixo;</w:t>
      </w:r>
      <w:r>
        <w:rPr>
          <w:rFonts w:eastAsia="Arial Unicode MS"/>
        </w:rPr>
        <w:t xml:space="preserve"> </w:t>
      </w:r>
      <w:r>
        <w:rPr>
          <w:rFonts w:eastAsia="Arial Unicode MS"/>
          <w:b/>
        </w:rPr>
        <w:t>(ii)</w:t>
      </w:r>
      <w:r w:rsidRPr="00152DF4">
        <w:rPr>
          <w:rFonts w:eastAsia="Arial Unicode MS"/>
          <w:b/>
        </w:rPr>
        <w:t xml:space="preserve"> </w:t>
      </w:r>
      <w:r>
        <w:rPr>
          <w:rFonts w:eastAsia="Arial Unicode MS"/>
        </w:rPr>
        <w:t xml:space="preserve">nos últimos </w:t>
      </w:r>
      <w:r>
        <w:t xml:space="preserve">balanços patrimoniais, demonstrações de fluxo de caixa, demonstrações de resultados (lucros e prejuízos) trimestrais consolidados da Contour, relativos aos trimestres findos em 31 de março e 30 de setembro, </w:t>
      </w:r>
      <w:r>
        <w:rPr>
          <w:rFonts w:eastAsia="Arial Unicode MS"/>
        </w:rPr>
        <w:t xml:space="preserve">previstos no </w:t>
      </w:r>
      <w:r>
        <w:t>item</w:t>
      </w:r>
      <w:r w:rsidR="005C056C">
        <w:t xml:space="preserve"> </w:t>
      </w:r>
      <w:r w:rsidR="005C056C">
        <w:fldChar w:fldCharType="begin"/>
      </w:r>
      <w:r w:rsidR="005C056C">
        <w:instrText xml:space="preserve"> REF _Ref512706016 \r \h </w:instrText>
      </w:r>
      <w:r w:rsidR="005C056C">
        <w:fldChar w:fldCharType="separate"/>
      </w:r>
      <w:r w:rsidR="00281921">
        <w:t>8.2</w:t>
      </w:r>
      <w:r w:rsidR="005C056C">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_Ref507708623 \n \p \h </w:instrText>
      </w:r>
      <w:r>
        <w:fldChar w:fldCharType="separate"/>
      </w:r>
      <w:r w:rsidR="00281921">
        <w:t>(b) abaixo</w:t>
      </w:r>
      <w:r>
        <w:fldChar w:fldCharType="end"/>
      </w:r>
      <w:r>
        <w:t xml:space="preserve">, </w:t>
      </w:r>
      <w:r>
        <w:rPr>
          <w:rFonts w:eastAsia="Arial Unicode MS"/>
        </w:rPr>
        <w:t>revisados por Auditor Independente</w:t>
      </w:r>
      <w:r>
        <w:t xml:space="preserve">; ou </w:t>
      </w:r>
      <w:r>
        <w:rPr>
          <w:b/>
        </w:rPr>
        <w:t xml:space="preserve">(iii) </w:t>
      </w:r>
      <w:r>
        <w:t>nas demonstrações financeiras semestrais consolidadas da Contour,</w:t>
      </w:r>
      <w:r>
        <w:rPr>
          <w:rFonts w:eastAsia="Arial Unicode MS"/>
        </w:rPr>
        <w:t xml:space="preserve"> revisadas por Auditor Independente, previstas no </w:t>
      </w:r>
      <w:r>
        <w:t>item</w:t>
      </w:r>
      <w:r w:rsidR="005C056C">
        <w:t xml:space="preserve"> </w:t>
      </w:r>
      <w:r w:rsidR="005C056C">
        <w:fldChar w:fldCharType="begin"/>
      </w:r>
      <w:r w:rsidR="005C056C">
        <w:instrText xml:space="preserve"> REF _Ref512706016 \r \h </w:instrText>
      </w:r>
      <w:r w:rsidR="005C056C">
        <w:fldChar w:fldCharType="separate"/>
      </w:r>
      <w:r w:rsidR="00281921">
        <w:t>8.2</w:t>
      </w:r>
      <w:r w:rsidR="005C056C">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_Ref507708623 \n \p \h </w:instrText>
      </w:r>
      <w:r>
        <w:fldChar w:fldCharType="separate"/>
      </w:r>
      <w:r w:rsidR="00281921">
        <w:t>(b) abaixo</w:t>
      </w:r>
      <w:r>
        <w:fldChar w:fldCharType="end"/>
      </w:r>
      <w:r>
        <w:t xml:space="preserve">, sendo certo que tais recursos deverão ser depositados pela Contour </w:t>
      </w:r>
      <w:r>
        <w:rPr>
          <w:rFonts w:eastAsia="SimSun"/>
          <w:szCs w:val="22"/>
        </w:rPr>
        <w:t xml:space="preserve">na Conta Vinculada Dividendos Contour, que terá sua movimentação definida no Contrato de Alienação Fiduciária de Ações SPEs e no Contrato de Conta Vinculada. </w:t>
      </w:r>
    </w:p>
    <w:p w:rsidR="00C963BB" w:rsidRDefault="00C759A0">
      <w:pPr>
        <w:pStyle w:val="Level3"/>
        <w:tabs>
          <w:tab w:val="clear" w:pos="1361"/>
          <w:tab w:val="num" w:pos="1134"/>
        </w:tabs>
        <w:spacing w:after="240" w:line="320" w:lineRule="exact"/>
        <w:ind w:left="0" w:firstLine="0"/>
        <w:rPr>
          <w:noProof/>
          <w:szCs w:val="22"/>
        </w:rPr>
      </w:pPr>
      <w:bookmarkStart w:id="124" w:name="_Ref516061048"/>
      <w:bookmarkStart w:id="125" w:name="_Ref516074471"/>
      <w:r>
        <w:rPr>
          <w:szCs w:val="22"/>
        </w:rPr>
        <w:t>Sem prejuízo das demais operações permitidas nos termos desta Escritura de Emissão, ficam desde já autorizados, sem qualquer necessidade de anuência do Agente Fiduciário ou dos Debenturistas e sem que se caracterize qualquer descumprimento de obrigação ou Evento de Vencimento Antecipado, os seguintes atos:</w:t>
      </w:r>
      <w:bookmarkEnd w:id="124"/>
      <w:r>
        <w:rPr>
          <w:szCs w:val="22"/>
        </w:rPr>
        <w:t xml:space="preserve"> </w:t>
      </w:r>
      <w:bookmarkEnd w:id="125"/>
    </w:p>
    <w:p w:rsidR="00C963BB" w:rsidRDefault="00C759A0">
      <w:pPr>
        <w:pStyle w:val="Level4"/>
        <w:spacing w:after="240" w:line="320" w:lineRule="exact"/>
        <w:ind w:left="1134" w:hanging="1134"/>
      </w:pPr>
      <w:bookmarkStart w:id="126" w:name="_Ref516074855"/>
      <w:bookmarkStart w:id="127" w:name="_Ref516074473"/>
      <w:r>
        <w:t>sem prejuízo do disposto no item</w:t>
      </w:r>
      <w:r w:rsidR="005C056C">
        <w:t xml:space="preserve"> </w:t>
      </w:r>
      <w:r w:rsidR="005C056C">
        <w:fldChar w:fldCharType="begin"/>
      </w:r>
      <w:r w:rsidR="005C056C">
        <w:instrText xml:space="preserve"> REF _Ref512706016 \r \h </w:instrText>
      </w:r>
      <w:r w:rsidR="005C056C">
        <w:fldChar w:fldCharType="separate"/>
      </w:r>
      <w:r w:rsidR="00281921">
        <w:t>8.2</w:t>
      </w:r>
      <w:r w:rsidR="005C056C">
        <w:fldChar w:fldCharType="end"/>
      </w:r>
      <w:r>
        <w:t xml:space="preserve">, </w:t>
      </w:r>
      <w:r>
        <w:fldChar w:fldCharType="begin"/>
      </w:r>
      <w:r>
        <w:instrText xml:space="preserve"> REF _Ref516526363 \n \p \h  \* MERGEFORMAT </w:instrText>
      </w:r>
      <w:r>
        <w:fldChar w:fldCharType="separate"/>
      </w:r>
      <w:r w:rsidR="00281921">
        <w:t>(xxxviii) abaixo</w:t>
      </w:r>
      <w:r>
        <w:fldChar w:fldCharType="end"/>
      </w:r>
      <w:r>
        <w:t>,</w:t>
      </w:r>
      <w:r>
        <w:rPr>
          <w:b/>
        </w:rPr>
        <w:t xml:space="preserve"> </w:t>
      </w:r>
      <w:r>
        <w:t>em relação à Capuava,</w:t>
      </w:r>
      <w:r>
        <w:rPr>
          <w:noProof/>
        </w:rPr>
        <w:t xml:space="preserve"> após 08 de junho de 2020 (“</w:t>
      </w:r>
      <w:r>
        <w:rPr>
          <w:noProof/>
          <w:u w:val="single"/>
        </w:rPr>
        <w:t>Data de Término do PPA Capuava</w:t>
      </w:r>
      <w:r>
        <w:rPr>
          <w:noProof/>
        </w:rPr>
        <w:t>”)</w:t>
      </w:r>
      <w:r>
        <w:t>:</w:t>
      </w:r>
      <w:bookmarkEnd w:id="126"/>
      <w:bookmarkEnd w:id="127"/>
      <w:r>
        <w:t xml:space="preserve"> </w:t>
      </w:r>
    </w:p>
    <w:p w:rsidR="00C963BB" w:rsidRDefault="00C759A0">
      <w:pPr>
        <w:pStyle w:val="Level5"/>
        <w:tabs>
          <w:tab w:val="clear" w:pos="2608"/>
        </w:tabs>
        <w:ind w:left="1701"/>
      </w:pPr>
      <w:r>
        <w:t>sua dissolução</w:t>
      </w:r>
      <w:r>
        <w:rPr>
          <w:noProof/>
        </w:rPr>
        <w:t xml:space="preserve"> e/ou liquidação, encerramento ou suspensão de atividades</w:t>
      </w:r>
      <w:r>
        <w:t>;</w:t>
      </w:r>
    </w:p>
    <w:p w:rsidR="00C963BB" w:rsidRDefault="00C759A0">
      <w:pPr>
        <w:pStyle w:val="Level5"/>
        <w:tabs>
          <w:tab w:val="clear" w:pos="2608"/>
        </w:tabs>
        <w:ind w:left="1701"/>
      </w:pPr>
      <w:r>
        <w:t xml:space="preserve">a transferência de ativos da Capuava, nos termos estabelecidos no contrato de fornecimento de energia celebrado com seu cliente; e/ou </w:t>
      </w:r>
    </w:p>
    <w:p w:rsidR="00C963BB" w:rsidRDefault="00C759A0">
      <w:pPr>
        <w:pStyle w:val="Level5"/>
        <w:tabs>
          <w:tab w:val="clear" w:pos="2608"/>
        </w:tabs>
        <w:ind w:left="1701"/>
      </w:pPr>
      <w:bookmarkStart w:id="128" w:name="_Ref516074859"/>
      <w:r>
        <w:t>transferência, seja a título gratuito ou oneroso, da participação societária detida pela Contour na Capuava para outra sociedade que não seja controlada, direta ou indiretamente, pela Contour (“</w:t>
      </w:r>
      <w:r>
        <w:rPr>
          <w:u w:val="single"/>
        </w:rPr>
        <w:t>Segregação Capuava</w:t>
      </w:r>
      <w:r>
        <w:t>”);</w:t>
      </w:r>
      <w:bookmarkEnd w:id="128"/>
    </w:p>
    <w:p w:rsidR="00C963BB" w:rsidRDefault="00C759A0">
      <w:pPr>
        <w:pStyle w:val="Level4"/>
        <w:spacing w:after="240" w:line="320" w:lineRule="exact"/>
        <w:ind w:left="1134" w:hanging="1134"/>
      </w:pPr>
      <w:r>
        <w:t>em relação à filial da Contour localizada no Estado do Rio de Janeiro com CNPJ/MF nº 07.802.794/0004-07 (“</w:t>
      </w:r>
      <w:r>
        <w:rPr>
          <w:u w:val="single"/>
        </w:rPr>
        <w:t>Filial Brahma</w:t>
      </w:r>
      <w:r>
        <w:t>”)</w:t>
      </w:r>
      <w:r>
        <w:rPr>
          <w:noProof/>
        </w:rPr>
        <w:t>, após 25 de agosto de 2018</w:t>
      </w:r>
      <w:r>
        <w:t xml:space="preserve"> (“</w:t>
      </w:r>
      <w:r>
        <w:rPr>
          <w:noProof/>
          <w:u w:val="single"/>
        </w:rPr>
        <w:t>Data de Término do PPA Brahma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lastRenderedPageBreak/>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a cisão ou outra forma de reorganização societária por meio da transferência, a título gratuito ou oneroso, de ativos da Contour, desde que tal cisão ou outra forma de reorganização societária:</w:t>
      </w:r>
      <w:r w:rsidRPr="00EE4DB9">
        <w:rPr>
          <w:i/>
        </w:rPr>
        <w:t xml:space="preserve"> (1)</w:t>
      </w:r>
      <w:r>
        <w:t xml:space="preserve"> inclua exclusivamente os ativos e passivos inerentes às atividades conduzidas pela Contour por meio de sua filial (“</w:t>
      </w:r>
      <w:r>
        <w:rPr>
          <w:u w:val="single"/>
        </w:rPr>
        <w:t>Ativos e Passivos Brahma</w:t>
      </w:r>
      <w:r>
        <w:t xml:space="preserve">”); e </w:t>
      </w:r>
      <w:r w:rsidRPr="00EE4DB9">
        <w:rPr>
          <w:i/>
        </w:rPr>
        <w:t>(2)</w:t>
      </w:r>
      <w:r>
        <w:t xml:space="preserve"> resulte na transferência dos Ativos e Passivos Brahma a uma sociedade que não seja controlada, direta ou indiretamente, pela Contour, seja a título de transferência dos Ativos e Passivos Brahma,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do Paraná com CNPJ/MF nº 07.802.794/0003-18</w:t>
      </w:r>
      <w:r w:rsidRPr="00152DF4">
        <w:t xml:space="preserve"> </w:t>
      </w:r>
      <w:r>
        <w:t>(“</w:t>
      </w:r>
      <w:r>
        <w:rPr>
          <w:u w:val="single"/>
        </w:rPr>
        <w:t>Filial Balsa</w:t>
      </w:r>
      <w:r>
        <w:t>”)</w:t>
      </w:r>
      <w:r>
        <w:rPr>
          <w:noProof/>
        </w:rPr>
        <w:t xml:space="preserve">, após </w:t>
      </w:r>
      <w:r>
        <w:t>30 de novembro de 2022 (“</w:t>
      </w:r>
      <w:r>
        <w:rPr>
          <w:noProof/>
          <w:u w:val="single"/>
        </w:rPr>
        <w:t>Data de Término do PPA Balsa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EE4DB9">
        <w:rPr>
          <w:i/>
        </w:rPr>
        <w:t>(1)</w:t>
      </w:r>
      <w:r>
        <w:t xml:space="preserve"> inclua exclusivamente os ativos e passivos inerentes às atividades conduzidas pela Contour por meio de sua filial (“</w:t>
      </w:r>
      <w:r>
        <w:rPr>
          <w:u w:val="single"/>
        </w:rPr>
        <w:t>Ativos e Passivos Balsa</w:t>
      </w:r>
      <w:r>
        <w:t xml:space="preserve">”); e </w:t>
      </w:r>
      <w:r w:rsidRPr="00EE4DB9">
        <w:rPr>
          <w:i/>
        </w:rPr>
        <w:t>(2)</w:t>
      </w:r>
      <w:r>
        <w:t xml:space="preserve"> resulte na transferência dos Ativos e Passivos Balsa a uma sociedade que não seja controlada, direta ou indiretamente, pela Contour, seja a título de transferência dos Ativos e Passivos Balsa,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de São Paulo com CNPJ/MF nº 07.802.794/0002-37 (“</w:t>
      </w:r>
      <w:r>
        <w:rPr>
          <w:u w:val="single"/>
        </w:rPr>
        <w:t>Filial Mogi</w:t>
      </w:r>
      <w:r>
        <w:t>”)</w:t>
      </w:r>
      <w:r>
        <w:rPr>
          <w:noProof/>
        </w:rPr>
        <w:t xml:space="preserve">, após </w:t>
      </w:r>
      <w:r>
        <w:t>31 de março de 2023 (“</w:t>
      </w:r>
      <w:r>
        <w:rPr>
          <w:noProof/>
          <w:u w:val="single"/>
        </w:rPr>
        <w:t>Data de Término do PPA Mogi</w:t>
      </w:r>
      <w:r>
        <w:rPr>
          <w:noProof/>
        </w:rPr>
        <w:t>”</w:t>
      </w:r>
      <w:r>
        <w:t xml:space="preserve">): </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lastRenderedPageBreak/>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EE4DB9">
        <w:rPr>
          <w:i/>
        </w:rPr>
        <w:t>(1)</w:t>
      </w:r>
      <w:r>
        <w:t xml:space="preserve"> inclua exclusivamente os ativos e passivos inerentes às atividades conduzidas pela Contour por meio de sua filial (“</w:t>
      </w:r>
      <w:r>
        <w:rPr>
          <w:u w:val="single"/>
        </w:rPr>
        <w:t>Ativos e Passivos Mogi</w:t>
      </w:r>
      <w:r>
        <w:t xml:space="preserve">”); e </w:t>
      </w:r>
      <w:r w:rsidRPr="00EE4DB9">
        <w:rPr>
          <w:i/>
        </w:rPr>
        <w:t>(2)</w:t>
      </w:r>
      <w:r>
        <w:t xml:space="preserve"> resulte na transferência dos Ativos e Passivos Mogi a uma sociedade que não seja controlada, direta ou indiretamente, pela Contour, seja a título de transferência dos Ativos e Passivos Mogi,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Santa Cruz, a qualquer momento, a transferência, seja a título gratuito ou oneroso, da participação societária detida pela Contour na Santa Cruz para outra sociedade que não seja controlada, direta ou indiretamente, pela Contour (“</w:t>
      </w:r>
      <w:r>
        <w:rPr>
          <w:u w:val="single"/>
        </w:rPr>
        <w:t>Segregação Santa Cruz</w:t>
      </w:r>
      <w:r>
        <w:t>”); e</w:t>
      </w:r>
    </w:p>
    <w:p w:rsidR="00C963BB" w:rsidRDefault="00C759A0">
      <w:pPr>
        <w:pStyle w:val="Level4"/>
        <w:spacing w:after="240" w:line="320" w:lineRule="exact"/>
        <w:ind w:left="1134" w:hanging="1134"/>
      </w:pPr>
      <w:bookmarkStart w:id="129" w:name="_Ref517729714"/>
      <w:r>
        <w:t>em relação à Tespias, a qualquer momento</w:t>
      </w:r>
      <w:r>
        <w:rPr>
          <w:b/>
        </w:rPr>
        <w:t>:</w:t>
      </w:r>
    </w:p>
    <w:p w:rsidR="00C963BB" w:rsidRDefault="00C759A0">
      <w:pPr>
        <w:pStyle w:val="Level5"/>
        <w:tabs>
          <w:tab w:val="clear" w:pos="2608"/>
        </w:tabs>
        <w:ind w:left="1701"/>
      </w:pPr>
      <w:r>
        <w:t>a transferência, seja a título gratuito ou oneroso, da participação societária detida pela Contour na Tespias Geração de Energia Ltda. para outra sociedade que não seja controlada, direta ou indiretamente, pela Contour (“</w:t>
      </w:r>
      <w:r>
        <w:rPr>
          <w:u w:val="single"/>
        </w:rPr>
        <w:t>Segregação Tespias</w:t>
      </w:r>
      <w:r>
        <w:t xml:space="preserve">”); ou </w:t>
      </w:r>
    </w:p>
    <w:p w:rsidR="00C963BB" w:rsidRDefault="00C759A0">
      <w:pPr>
        <w:pStyle w:val="Level5"/>
        <w:tabs>
          <w:tab w:val="clear" w:pos="2608"/>
        </w:tabs>
        <w:ind w:left="1701"/>
      </w:pPr>
      <w:r>
        <w:t>sua dissolução</w:t>
      </w:r>
      <w:r>
        <w:rPr>
          <w:noProof/>
        </w:rPr>
        <w:t xml:space="preserve"> e/ou liquidação, encerramento ou suspensão de atividades</w:t>
      </w:r>
      <w:r>
        <w:t>.</w:t>
      </w:r>
      <w:bookmarkEnd w:id="129"/>
      <w:r>
        <w:t xml:space="preserve"> </w:t>
      </w:r>
    </w:p>
    <w:p w:rsidR="00C963BB" w:rsidRDefault="00C759A0">
      <w:pPr>
        <w:pStyle w:val="Level1"/>
        <w:numPr>
          <w:ilvl w:val="0"/>
          <w:numId w:val="120"/>
        </w:numPr>
        <w:spacing w:before="0" w:after="240" w:line="320" w:lineRule="exact"/>
        <w:jc w:val="center"/>
        <w:rPr>
          <w:szCs w:val="22"/>
        </w:rPr>
      </w:pPr>
      <w:r>
        <w:rPr>
          <w:szCs w:val="22"/>
        </w:rPr>
        <w:t>CLÁUSULA OITAVA - DAS OBRIGAÇÕES ADICIONAIS DA EMISSORA E DA CONTOUR</w:t>
      </w:r>
    </w:p>
    <w:p w:rsidR="00C963BB" w:rsidRDefault="00C759A0">
      <w:pPr>
        <w:pStyle w:val="Level2"/>
        <w:tabs>
          <w:tab w:val="clear" w:pos="680"/>
          <w:tab w:val="num" w:pos="1134"/>
        </w:tabs>
        <w:spacing w:after="240" w:line="320" w:lineRule="exact"/>
        <w:ind w:left="0" w:firstLine="0"/>
        <w:rPr>
          <w:szCs w:val="22"/>
        </w:rPr>
      </w:pPr>
      <w:bookmarkStart w:id="130" w:name="_Ref498984291"/>
      <w:bookmarkStart w:id="131" w:name="_Ref497991274"/>
      <w:r>
        <w:rPr>
          <w:szCs w:val="22"/>
        </w:rPr>
        <w:t>Sem prejuízo do disposto na regulamentação aplicável e em outras disposições desta Escritura de Emissão, a Emissora está obrigada a:</w:t>
      </w:r>
      <w:bookmarkEnd w:id="130"/>
      <w:r>
        <w:rPr>
          <w:szCs w:val="22"/>
        </w:rPr>
        <w:t xml:space="preserve"> </w:t>
      </w:r>
      <w:bookmarkEnd w:id="131"/>
    </w:p>
    <w:p w:rsidR="00C963BB" w:rsidRDefault="00C759A0">
      <w:pPr>
        <w:pStyle w:val="Level4"/>
        <w:tabs>
          <w:tab w:val="clear" w:pos="2098"/>
          <w:tab w:val="num" w:pos="1134"/>
        </w:tabs>
        <w:spacing w:after="240" w:line="320" w:lineRule="exact"/>
        <w:ind w:left="1134" w:hanging="1134"/>
      </w:pPr>
      <w:bookmarkStart w:id="132" w:name="_Ref515972292"/>
      <w:r>
        <w:t>disponibilizar ao Agente Fiduciário:</w:t>
      </w:r>
      <w:bookmarkEnd w:id="132"/>
    </w:p>
    <w:p w:rsidR="00C963BB" w:rsidRDefault="00C759A0">
      <w:pPr>
        <w:pStyle w:val="Level5"/>
        <w:tabs>
          <w:tab w:val="num" w:pos="1134"/>
        </w:tabs>
        <w:spacing w:after="240" w:line="320" w:lineRule="exact"/>
        <w:ind w:left="1134" w:firstLine="0"/>
      </w:pPr>
      <w:bookmarkStart w:id="133" w:name="_Ref512724014"/>
      <w:bookmarkStart w:id="134" w:name="_Ref519119315"/>
      <w:r>
        <w:t xml:space="preserve">no prazo de até 90 (noventa) dias após o término de cada exercício social ou nas respectivas datas de divulgação, o que ocorrer primeiro, </w:t>
      </w:r>
      <w:r>
        <w:rPr>
          <w:i/>
        </w:rPr>
        <w:t>(1)</w:t>
      </w:r>
      <w:r>
        <w:t xml:space="preserve"> cópia das demonstrações financeiras anuais individuais da Emissora, completas relativas ao respectivo exercício social acompanhadas do relatório da administração e do parecer </w:t>
      </w:r>
      <w:r>
        <w:lastRenderedPageBreak/>
        <w:t>ou relatório, conforme o caso, da Deloitte Touche Tohmatsu Limited, PricewaterhouseCoopers, EY ou KPMG (“</w:t>
      </w:r>
      <w:r>
        <w:rPr>
          <w:u w:val="single"/>
        </w:rPr>
        <w:t>Auditores Independentes</w:t>
      </w:r>
      <w:r w:rsidR="00152DF4">
        <w:t>”)</w:t>
      </w:r>
      <w:r>
        <w:t xml:space="preserve">; </w:t>
      </w:r>
      <w:r>
        <w:rPr>
          <w:i/>
        </w:rPr>
        <w:t>(2)</w:t>
      </w:r>
      <w:r>
        <w:t xml:space="preserve"> declaração assinada pelos representantes legais da Emissora, na forma do seu estatuto social, atestando </w:t>
      </w:r>
      <w:r>
        <w:rPr>
          <w:i/>
        </w:rPr>
        <w:t>(2.a)</w:t>
      </w:r>
      <w:r>
        <w:t xml:space="preserve"> que permanecem válidas as disposições contidas nesta Escritura de Emissão; </w:t>
      </w:r>
      <w:r>
        <w:rPr>
          <w:i/>
        </w:rPr>
        <w:t>(2.b)</w:t>
      </w:r>
      <w:r>
        <w:t xml:space="preserve"> a não ocorrência de qualquer dos Eventos de Vencimento Antecipado e a inexistência de descumprimento de obrigações da Emissora perante os Debenturistas; e </w:t>
      </w:r>
      <w:r>
        <w:rPr>
          <w:i/>
        </w:rPr>
        <w:t>(2.c)</w:t>
      </w:r>
      <w:r>
        <w:t xml:space="preserve"> que não foram praticados atos em desacordo com o seu estatuto social; </w:t>
      </w:r>
      <w:bookmarkEnd w:id="133"/>
      <w:bookmarkEnd w:id="134"/>
    </w:p>
    <w:p w:rsidR="00C963BB" w:rsidRDefault="00C759A0">
      <w:pPr>
        <w:pStyle w:val="Level5"/>
        <w:tabs>
          <w:tab w:val="num" w:pos="1134"/>
        </w:tabs>
        <w:spacing w:after="240" w:line="320" w:lineRule="exact"/>
        <w:ind w:left="1134" w:firstLine="0"/>
      </w:pPr>
      <w:bookmarkStart w:id="135" w:name="_Ref507708599"/>
      <w:bookmarkStart w:id="136" w:name="_Ref519105705"/>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t xml:space="preserve">cópias dos balanços patrimoniais, demonstrações de fluxo de caixa e demonstrações de resultados (lucros e prejuízos) trimestrais individuais não auditados da Emissora, relativos ao respectivo trimestre; </w:t>
      </w:r>
      <w:bookmarkEnd w:id="135"/>
      <w:bookmarkEnd w:id="136"/>
    </w:p>
    <w:p w:rsidR="00C963BB" w:rsidRDefault="00C759A0">
      <w:pPr>
        <w:pStyle w:val="Level5"/>
        <w:tabs>
          <w:tab w:val="num" w:pos="1134"/>
        </w:tabs>
        <w:spacing w:after="240" w:line="320" w:lineRule="exact"/>
        <w:ind w:left="1134" w:firstLine="0"/>
      </w:pPr>
      <w:r>
        <w:t xml:space="preserve">avisos aos Debenturistas, assim como atas de assembleias gerais e reuniões do Conselho de Administração (conforme aplicável) da Emissora que, de alguma forma, envolvam interesse dos Debenturistas, no prazo de até 5 (cinco) Dias Úteis contados da data em que forem publicados ou, se não forem publicados, da data em que forem realizados; e </w:t>
      </w:r>
    </w:p>
    <w:p w:rsidR="00C963BB" w:rsidRDefault="00C759A0">
      <w:pPr>
        <w:pStyle w:val="Level5"/>
        <w:tabs>
          <w:tab w:val="num" w:pos="1134"/>
        </w:tabs>
        <w:spacing w:after="240" w:line="320" w:lineRule="exact"/>
        <w:ind w:left="1134" w:firstLine="0"/>
      </w:pPr>
      <w:r>
        <w:t>dentro de até 5 (cinco) Dias Úteis,</w:t>
      </w:r>
      <w:bookmarkStart w:id="137" w:name="_DV_M201"/>
      <w:bookmarkStart w:id="138" w:name="_DV_M202"/>
      <w:bookmarkEnd w:id="137"/>
      <w:bookmarkEnd w:id="138"/>
      <w:r>
        <w:t xml:space="preserve"> qualquer informação relevante para a presente Emissão que lhe venha a ser razoavelmente solicitada pelo Agente Fiduciário,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w:t>
      </w:r>
    </w:p>
    <w:p w:rsidR="00C963BB" w:rsidRDefault="00C759A0">
      <w:pPr>
        <w:pStyle w:val="Level5"/>
        <w:tabs>
          <w:tab w:val="num" w:pos="1134"/>
          <w:tab w:val="left" w:pos="6946"/>
        </w:tabs>
        <w:spacing w:after="240" w:line="320" w:lineRule="exact"/>
        <w:ind w:left="1134" w:firstLine="0"/>
      </w:pPr>
      <w:bookmarkStart w:id="139" w:name="_Ref515972301"/>
      <w:r>
        <w:t xml:space="preserve">dentro de 5 (cinco) </w:t>
      </w:r>
      <w:r>
        <w:rPr>
          <w:rFonts w:eastAsia="Arial Unicode MS"/>
        </w:rPr>
        <w:t xml:space="preserve">Dias Úteis contados da data de disponibilização das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281921">
        <w:rPr>
          <w:rFonts w:eastAsia="Arial Unicode MS"/>
        </w:rPr>
        <w:t>(a) acima</w:t>
      </w:r>
      <w:r>
        <w:rPr>
          <w:rFonts w:eastAsia="Arial Unicode MS"/>
        </w:rPr>
        <w:fldChar w:fldCharType="end"/>
      </w:r>
      <w:r>
        <w:rPr>
          <w:rFonts w:eastAsia="Arial Unicode MS"/>
        </w:rPr>
        <w:t xml:space="preserve"> ou dos </w:t>
      </w:r>
      <w:r>
        <w:t xml:space="preserve">balanços patrimoniais, demonstrações de fluxo de caixa e demonstrações de resultados (lucros e prejuízos) </w:t>
      </w:r>
      <w:r>
        <w:rPr>
          <w:rFonts w:eastAsia="Arial Unicode MS"/>
        </w:rPr>
        <w:t xml:space="preserve">trimestrais individuais nos termos do item </w:t>
      </w:r>
      <w:r>
        <w:rPr>
          <w:rFonts w:eastAsia="Arial Unicode MS"/>
        </w:rPr>
        <w:fldChar w:fldCharType="begin"/>
      </w:r>
      <w:r>
        <w:rPr>
          <w:rFonts w:eastAsia="Arial Unicode MS"/>
        </w:rPr>
        <w:instrText xml:space="preserve"> REF _Ref507708599 \n \p \h  \* MERGEFORMAT </w:instrText>
      </w:r>
      <w:r>
        <w:rPr>
          <w:rFonts w:eastAsia="Arial Unicode MS"/>
        </w:rPr>
      </w:r>
      <w:r>
        <w:rPr>
          <w:rFonts w:eastAsia="Arial Unicode MS"/>
        </w:rPr>
        <w:fldChar w:fldCharType="separate"/>
      </w:r>
      <w:r w:rsidR="00281921">
        <w:rPr>
          <w:rFonts w:eastAsia="Arial Unicode MS"/>
        </w:rPr>
        <w:t>(b) acima</w:t>
      </w:r>
      <w:r>
        <w:rPr>
          <w:rFonts w:eastAsia="Arial Unicode MS"/>
        </w:rPr>
        <w:fldChar w:fldCharType="end"/>
      </w:r>
      <w:r>
        <w:t xml:space="preserve">, </w:t>
      </w:r>
      <w:r>
        <w:rPr>
          <w:rFonts w:eastAsia="Arial Unicode MS"/>
        </w:rPr>
        <w:t xml:space="preserve">relatórios específicos de apuração do ICSD Individual, acompanhado da memória de cálculo compreendendo todas as rubricas necessárias para a obtenção do ICSD Individual, sendo certo que, exclusivamente nos casos dos relatórios referentes às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281921">
        <w:rPr>
          <w:rFonts w:eastAsia="Arial Unicode MS"/>
        </w:rPr>
        <w:t>(a) acima</w:t>
      </w:r>
      <w:r>
        <w:rPr>
          <w:rFonts w:eastAsia="Arial Unicode MS"/>
        </w:rPr>
        <w:fldChar w:fldCharType="end"/>
      </w:r>
      <w:r>
        <w:rPr>
          <w:rFonts w:eastAsia="Arial Unicode MS"/>
        </w:rPr>
        <w:t>, tais relatórios deverão estar devidamente validados pelo Auditor Independente contratado pela Emissora;</w:t>
      </w:r>
      <w:bookmarkEnd w:id="139"/>
      <w:r>
        <w:rPr>
          <w:rFonts w:eastAsia="Arial Unicode MS"/>
        </w:rPr>
        <w:t xml:space="preserve"> </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lastRenderedPageBreak/>
        <w:t>manter válidas e regulares as licenças, concessões, autorizações ou aprovações, incluindo, mas não se limitando às ambientais, necessárias ao regular funcionamento da Emissora;</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 xml:space="preserve">; </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Emissora que: </w:t>
      </w:r>
      <w:r>
        <w:rPr>
          <w:b/>
        </w:rPr>
        <w:t>(a)</w:t>
      </w:r>
      <w:r>
        <w:t xml:space="preserve"> possam afetar negativamente, impossibilitar ou dificultar de forma justificada o cumprimento, pela Emissora, de suas obrigações decorrentes desta Escritura de Emissão e das Debêntures; </w:t>
      </w:r>
      <w:r>
        <w:rPr>
          <w:b/>
        </w:rPr>
        <w:t>(b)</w:t>
      </w:r>
      <w:r>
        <w:t xml:space="preserve"> faça com que as demonstrações financeiras ou os balanços patrimoniais </w:t>
      </w:r>
      <w:r>
        <w:rPr>
          <w:rFonts w:eastAsia="Arial Unicode MS"/>
        </w:rPr>
        <w:t>trimestrais individuais</w:t>
      </w:r>
      <w:r>
        <w:t xml:space="preserve"> da Emissora não mais reflitam a real condição financeira da Emissora;</w:t>
      </w:r>
      <w:bookmarkStart w:id="140" w:name="_DV_M206"/>
      <w:bookmarkStart w:id="141" w:name="_DV_M207"/>
      <w:bookmarkEnd w:id="140"/>
      <w:bookmarkEnd w:id="141"/>
      <w:r>
        <w:t xml:space="preserve"> ou </w:t>
      </w:r>
      <w:r>
        <w:rPr>
          <w:b/>
        </w:rPr>
        <w:t>(c)</w:t>
      </w:r>
      <w:r>
        <w:t> qualquer alteração nas condições operacionais e/ou qualquer evento que, de qualquer modo, possam afetar negativamente, impossibilitar ou comprometer as atividades da Emissora;</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 xml:space="preserve">prestar informações ao Agente Fiduciário,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w:t>
      </w:r>
      <w:r>
        <w:rPr>
          <w:color w:val="000000"/>
        </w:rPr>
        <w:lastRenderedPageBreak/>
        <w:t xml:space="preserve">outros, em relação à Emissora,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bookmarkStart w:id="142" w:name="_Ref382081678"/>
      <w:r>
        <w:rPr>
          <w:color w:val="000000"/>
        </w:rPr>
        <w:t>submeter, na forma da lei, suas demonstrações financeiras anuais a exame por Auditor Independente;</w:t>
      </w:r>
      <w:bookmarkEnd w:id="142"/>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Emissora,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xml:space="preserve">, em prazo não superior a 2 (dois) Dias Úteis após o seu recebimento; </w:t>
      </w:r>
    </w:p>
    <w:p w:rsidR="00C963BB" w:rsidRDefault="00C759A0">
      <w:pPr>
        <w:pStyle w:val="Level4"/>
        <w:tabs>
          <w:tab w:val="clear" w:pos="2098"/>
          <w:tab w:val="num" w:pos="1134"/>
        </w:tabs>
        <w:spacing w:after="240" w:line="320" w:lineRule="exact"/>
        <w:ind w:left="1134" w:hanging="1134"/>
      </w:pPr>
      <w:r>
        <w:rPr>
          <w:color w:val="000000"/>
        </w:rPr>
        <w:t xml:space="preserve">efetuar o pagamento de todas as despesas razoáveis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66096E">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e/ou em quaisquer de suas controladas</w:t>
      </w:r>
      <w:r w:rsidR="007E4BA0">
        <w:rPr>
          <w:color w:val="000000"/>
        </w:rPr>
        <w:t xml:space="preserve">; </w:t>
      </w:r>
    </w:p>
    <w:p w:rsidR="00C963BB" w:rsidRDefault="00C759A0">
      <w:pPr>
        <w:pStyle w:val="Level4"/>
        <w:tabs>
          <w:tab w:val="clear" w:pos="2098"/>
          <w:tab w:val="num" w:pos="1134"/>
        </w:tabs>
        <w:spacing w:after="240" w:line="320" w:lineRule="exact"/>
        <w:ind w:left="1134" w:hanging="1134"/>
      </w:pPr>
      <w:r>
        <w:t xml:space="preserve">proceder a todas as diligências exigidas para realização de suas atividades, preservando o meio ambiente e atendendo às determinações dos órgãos municipais, </w:t>
      </w:r>
      <w:r>
        <w:lastRenderedPageBreak/>
        <w:t>estaduais e federais que subsidiariamente venham a legislar ou regulamentar as normas ambientais em vigor, exceto se a Emissora estiver discutindo as referidas determinações de boa-fé na esfera administrativa ou judicial e/ou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 e convocada nos prazos previstos nesta Escritura de Emissão;</w:t>
      </w:r>
      <w:bookmarkStart w:id="143" w:name="_Ref130390977"/>
      <w:bookmarkStart w:id="144" w:name="_Ref260239075"/>
    </w:p>
    <w:bookmarkEnd w:id="143"/>
    <w:bookmarkEnd w:id="144"/>
    <w:p w:rsidR="00C963BB" w:rsidRDefault="00C759A0">
      <w:pPr>
        <w:pStyle w:val="Level4"/>
        <w:tabs>
          <w:tab w:val="clear" w:pos="2098"/>
          <w:tab w:val="num" w:pos="1134"/>
        </w:tabs>
        <w:spacing w:after="240" w:line="320" w:lineRule="exact"/>
        <w:ind w:left="1134" w:hanging="1134"/>
      </w:pPr>
      <w:r>
        <w:t>contratar e manter contratados, às suas expensas, o Agente de Liquidação e Escriturador, a B3, o Agente Fiduciário, bem como tomar todas e quaisquer providências perante o Agente de Liquidação e Escriturador, a B3, o Agente Fiduciário que se façam necessárias para a manutenção das Debêntures;</w:t>
      </w:r>
    </w:p>
    <w:p w:rsidR="00C963BB" w:rsidRDefault="00C759A0">
      <w:pPr>
        <w:pStyle w:val="Level4"/>
        <w:tabs>
          <w:tab w:val="clear" w:pos="2098"/>
          <w:tab w:val="num" w:pos="1134"/>
        </w:tabs>
        <w:spacing w:after="240" w:line="320" w:lineRule="exact"/>
        <w:ind w:left="1134" w:hanging="1134"/>
      </w:pPr>
      <w:r>
        <w:t xml:space="preserve">não constituir, em favor de terceiros, </w:t>
      </w:r>
      <w:r w:rsidR="008D12D9">
        <w:t xml:space="preserve">ônus, gravames, </w:t>
      </w:r>
      <w:r>
        <w:t xml:space="preserve">garantias </w:t>
      </w:r>
      <w:r w:rsidR="008D12D9">
        <w:t xml:space="preserve">objeto da </w:t>
      </w:r>
      <w:r>
        <w:t xml:space="preserve">Garantia ou dispor sob qualquer forma de tais bens, antes ou após a assinatura dos Contratos de Garantia, sem prévia e expressa aprovação dos Debenturistas, nos termos do item </w:t>
      </w:r>
      <w:r>
        <w:fldChar w:fldCharType="begin"/>
      </w:r>
      <w:r>
        <w:instrText xml:space="preserve"> REF _Ref386375664 \r \p \h  \* MERGEFORMAT </w:instrText>
      </w:r>
      <w:r>
        <w:fldChar w:fldCharType="separate"/>
      </w:r>
      <w:r w:rsidR="00281921">
        <w:t>10.12 abaixo</w:t>
      </w:r>
      <w:r>
        <w:fldChar w:fldCharType="end"/>
      </w:r>
      <w:r>
        <w:t xml:space="preserve">, exceto </w:t>
      </w:r>
      <w:r w:rsidR="008D12D9">
        <w:t xml:space="preserve">pela celebração dos Contratos de Garantia ou </w:t>
      </w:r>
      <w:r>
        <w:t xml:space="preserve">conforme autorizado nos termos do item </w:t>
      </w:r>
      <w:r>
        <w:fldChar w:fldCharType="begin"/>
      </w:r>
      <w:r>
        <w:instrText xml:space="preserve"> REF _Ref496656448 \r \h </w:instrText>
      </w:r>
      <w:r>
        <w:fldChar w:fldCharType="separate"/>
      </w:r>
      <w:r w:rsidR="00281921">
        <w:t>7.1.2</w:t>
      </w:r>
      <w:r>
        <w:fldChar w:fldCharType="end"/>
      </w:r>
      <w:r>
        <w:t xml:space="preserve">, inciso </w:t>
      </w:r>
      <w:r>
        <w:fldChar w:fldCharType="begin"/>
      </w:r>
      <w:r>
        <w:instrText xml:space="preserve"> REF _Ref519072152 \n \p \h </w:instrText>
      </w:r>
      <w:r>
        <w:fldChar w:fldCharType="separate"/>
      </w:r>
      <w:r w:rsidR="00281921">
        <w:t>(xii) acima</w:t>
      </w:r>
      <w:r>
        <w:fldChar w:fldCharType="end"/>
      </w:r>
      <w:r>
        <w:t xml:space="preserve"> e do item </w:t>
      </w:r>
      <w:r>
        <w:fldChar w:fldCharType="begin"/>
      </w:r>
      <w:r>
        <w:instrText xml:space="preserve"> REF _Ref516061048 \n \p \h </w:instrText>
      </w:r>
      <w:r>
        <w:fldChar w:fldCharType="separate"/>
      </w:r>
      <w:r w:rsidR="00281921">
        <w:t>7.1.9 acima</w:t>
      </w:r>
      <w:r>
        <w:fldChar w:fldCharType="end"/>
      </w:r>
      <w:r>
        <w:t>;</w:t>
      </w:r>
    </w:p>
    <w:p w:rsidR="00C963BB" w:rsidRDefault="00C759A0">
      <w:pPr>
        <w:pStyle w:val="Level4"/>
        <w:tabs>
          <w:tab w:val="clear" w:pos="2098"/>
          <w:tab w:val="num" w:pos="1134"/>
        </w:tabs>
        <w:spacing w:after="240" w:line="320" w:lineRule="exact"/>
        <w:ind w:left="1134" w:hanging="1134"/>
      </w:pPr>
      <w:bookmarkStart w:id="145" w:name="_Ref514270726"/>
      <w:bookmarkStart w:id="146" w:name="_Ref517730866"/>
      <w:r>
        <w:t xml:space="preserve">não celebrar qualquer espécie de empréstimo, adiantamento, mútuo ou outros instrumentos de dívida, sem a prévia e expressa concordância dos Debenturistas, com quaisquer pessoas físicas e jurídicas, nacionais ou estrangeiras, inclusive partes relacionadas; exceto </w:t>
      </w:r>
      <w:r>
        <w:rPr>
          <w:b/>
        </w:rPr>
        <w:t>(a)</w:t>
      </w:r>
      <w:r>
        <w:t xml:space="preserve"> pela celebração de mútuos, empréstimos, adiantamentos ou outros instrumentos de dívida, entre a </w:t>
      </w:r>
      <w:r w:rsidR="00743100">
        <w:t xml:space="preserve">Emissora, a </w:t>
      </w:r>
      <w:r>
        <w:t xml:space="preserve">Contour e quaisquer Subsidiárias ou entre as Subsidiárias, desde que permitido pela regulamentação aplicável; </w:t>
      </w:r>
      <w:r>
        <w:rPr>
          <w:b/>
        </w:rPr>
        <w:t>(b)</w:t>
      </w:r>
      <w:r>
        <w:t xml:space="preserve"> pela Contour</w:t>
      </w:r>
      <w:r w:rsidR="00152DF4">
        <w:t xml:space="preserve">, na qualidade de credor, com </w:t>
      </w:r>
      <w:r>
        <w:t xml:space="preserve">qualquer sociedade controlada que não seja uma Controlada Relevante, desde que os valores objeto do mútuo, empréstimo, adiantamento ou outro instrumento de dívida tenham sido integralmente recebidos pela Contour por meio de aumento de capital previamente à concessão do referido mútuo ou empréstimo; </w:t>
      </w:r>
      <w:r>
        <w:rPr>
          <w:b/>
        </w:rPr>
        <w:t>(c)</w:t>
      </w:r>
      <w:r>
        <w:t> pela celebração de mútuos, empréstimos, adiantamentos ou outros instrumentos de dívida pela</w:t>
      </w:r>
      <w:r w:rsidR="00743100">
        <w:t xml:space="preserve"> Emissora,</w:t>
      </w:r>
      <w:r>
        <w:t xml:space="preserve"> Contour e/ou Subsidiárias, na </w:t>
      </w:r>
      <w:r>
        <w:lastRenderedPageBreak/>
        <w:t xml:space="preserve">qualidade de devedor, com quaisquer outras empresas coligadas, controladas ou controladoras que não sejam a </w:t>
      </w:r>
      <w:r w:rsidR="00743100">
        <w:t xml:space="preserve">Emissora, a </w:t>
      </w:r>
      <w:r>
        <w:t xml:space="preserve">Contour e/ou as demais Subsidiárias, desde que permitido pela regulamentação aplicável e que referida operação </w:t>
      </w:r>
      <w:r>
        <w:rPr>
          <w:i/>
        </w:rPr>
        <w:t>(1)</w:t>
      </w:r>
      <w:r>
        <w:t xml:space="preserve"> seja subordinada ao pagamento das Debêntures, </w:t>
      </w:r>
      <w:r>
        <w:rPr>
          <w:i/>
        </w:rPr>
        <w:t>(2)</w:t>
      </w:r>
      <w:r>
        <w:rPr>
          <w:b/>
        </w:rPr>
        <w:t> </w:t>
      </w:r>
      <w:r>
        <w:t xml:space="preserve">possua data de vencimento posterior a Data de Vencimento; </w:t>
      </w:r>
      <w:r>
        <w:rPr>
          <w:i/>
        </w:rPr>
        <w:t>(3)</w:t>
      </w:r>
      <w:r>
        <w:rPr>
          <w:b/>
        </w:rPr>
        <w:t> </w:t>
      </w:r>
      <w:r>
        <w:t xml:space="preserve">seja celebrada em condições não menos favoráveis para a Emissora, a Contour ou as Subsidiárias, conforme o caso, do que as que seriam obtidas se tal operação fosse realizada em condições de mercado; </w:t>
      </w:r>
      <w:r>
        <w:rPr>
          <w:i/>
        </w:rPr>
        <w:t>(4)</w:t>
      </w:r>
      <w:r>
        <w:t xml:space="preserve"> seja vedada a compensação antes da liquidação integral das obrigações decorrentes das Debêntures; e </w:t>
      </w:r>
      <w:r>
        <w:rPr>
          <w:i/>
        </w:rPr>
        <w:t>(5)</w:t>
      </w:r>
      <w:r>
        <w:t xml:space="preserve"> tenha como finalidade exclusiva o pagamento de quaisquer obrigações assumidas pela Emissora, pelas Subsidiárias ou pela Contour no âmbito desta Escritura de Emissão, das Escrituras de Emissões Subsidiárias ou dos Contratos de Garantia </w:t>
      </w:r>
      <w:r>
        <w:rPr>
          <w:lang w:val="pt-PT"/>
        </w:rPr>
        <w:t>ou a complementação da Conta Reserva, nos termos do Contrato de Alienação Fiduciária de Ações SPE</w:t>
      </w:r>
      <w:r>
        <w:t>;</w:t>
      </w:r>
      <w:bookmarkEnd w:id="145"/>
      <w:r>
        <w:t xml:space="preserve"> </w:t>
      </w:r>
      <w:r>
        <w:rPr>
          <w:b/>
        </w:rPr>
        <w:t>(d) </w:t>
      </w:r>
      <w:r>
        <w:t xml:space="preserve">por adiantamentos a fornecedores da Contour e/ou suas Controladas Relevantes; ou </w:t>
      </w:r>
      <w:r>
        <w:rPr>
          <w:b/>
        </w:rPr>
        <w:t xml:space="preserve">(e) </w:t>
      </w:r>
      <w:r>
        <w:t xml:space="preserve">pela celebração de mútuos, empréstimos, adiantamentos ou outros instrumentos de dívida pela Contour, na qualidade de credor, e a Kani, na qualidade de devedor, desde que permitido pela regulamentação aplicável e em conformidade com o disposto no item </w:t>
      </w:r>
      <w:r>
        <w:fldChar w:fldCharType="begin"/>
      </w:r>
      <w:r>
        <w:instrText xml:space="preserve"> REF _Ref516421436 \n \p \h </w:instrText>
      </w:r>
      <w:r>
        <w:fldChar w:fldCharType="separate"/>
      </w:r>
      <w:r w:rsidR="00281921">
        <w:t>7.1.7 acima</w:t>
      </w:r>
      <w:r>
        <w:fldChar w:fldCharType="end"/>
      </w:r>
      <w:r>
        <w:t xml:space="preserve">. Para fins de esclarecimento, adiantamentos para futuro aumento de capital não cancelados não estão compreendidos no conceito de “adiantamento” para fins desta Escritura de Emissão; </w:t>
      </w:r>
      <w:bookmarkEnd w:id="146"/>
    </w:p>
    <w:p w:rsidR="00C963BB" w:rsidRDefault="00152DF4">
      <w:pPr>
        <w:pStyle w:val="Level4"/>
        <w:tabs>
          <w:tab w:val="clear" w:pos="2098"/>
          <w:tab w:val="num" w:pos="1134"/>
        </w:tabs>
        <w:spacing w:after="240" w:line="320" w:lineRule="exact"/>
        <w:ind w:left="1134" w:hanging="1134"/>
      </w:pPr>
      <w:bookmarkStart w:id="147" w:name="_Ref517730887"/>
      <w:r>
        <w:t>não efetuar</w:t>
      </w:r>
      <w:r w:rsidR="00C759A0">
        <w:t xml:space="preserve">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sidR="00C759A0">
        <w:rPr>
          <w:b/>
        </w:rPr>
        <w:t>(a)</w:t>
      </w:r>
      <w:r w:rsidR="00C759A0">
        <w:t xml:space="preserve"> pelo pagamento de qualquer empréstimos, adiantamentos, mútuo ou outros instrumentos de dívida que venham a ser contratados nos termos do item </w:t>
      </w:r>
      <w:r w:rsidR="00C759A0">
        <w:fldChar w:fldCharType="begin"/>
      </w:r>
      <w:r w:rsidR="00C759A0">
        <w:instrText xml:space="preserve"> REF _Ref514270726 \n \p \h </w:instrText>
      </w:r>
      <w:r w:rsidR="00C759A0">
        <w:fldChar w:fldCharType="separate"/>
      </w:r>
      <w:r w:rsidR="00281921">
        <w:t>(xxi) acima</w:t>
      </w:r>
      <w:r w:rsidR="00C759A0">
        <w:fldChar w:fldCharType="end"/>
      </w:r>
      <w:r w:rsidR="00C759A0">
        <w:t xml:space="preserve">, desde que o pagamento seja permitido nos termos do referido item e desta Escritura de Emissão; </w:t>
      </w:r>
      <w:r w:rsidR="00C759A0">
        <w:rPr>
          <w:b/>
        </w:rPr>
        <w:t>(b)</w:t>
      </w:r>
      <w:r w:rsidR="00C759A0">
        <w:t xml:space="preserve"> pelo pagamento no prazo de vencimento ordinário de qualquer empréstimos, adiantamentos, mútuo ou outros instrumentos de dívida contratado previamente à data de assinatura desta Escritura de Emissão; </w:t>
      </w:r>
      <w:r w:rsidR="00C759A0">
        <w:rPr>
          <w:b/>
        </w:rPr>
        <w:t>(c) </w:t>
      </w:r>
      <w:r w:rsidR="00C759A0">
        <w:t xml:space="preserve">pelo pagamento antecipado ou no prazo de vencimento ordinário das Debêntures Bridge; ou </w:t>
      </w:r>
      <w:r w:rsidR="00C759A0">
        <w:rPr>
          <w:b/>
        </w:rPr>
        <w:t>(d) </w:t>
      </w:r>
      <w:r w:rsidR="00C759A0">
        <w:t>por pagamento de adiantamento para fornecedores ou para futuro aumento de capital, desde que, neste último caso, não cancelado e celebrado entre as respectivas Subsidiárias e a Contour;</w:t>
      </w:r>
      <w:bookmarkEnd w:id="147"/>
    </w:p>
    <w:p w:rsidR="00C963BB" w:rsidRDefault="00C759A0">
      <w:pPr>
        <w:pStyle w:val="Level4"/>
        <w:tabs>
          <w:tab w:val="clear" w:pos="2098"/>
          <w:tab w:val="num" w:pos="1134"/>
        </w:tabs>
        <w:spacing w:after="240" w:line="320" w:lineRule="exact"/>
        <w:ind w:left="1134" w:hanging="1134"/>
      </w:pPr>
      <w:r>
        <w:t xml:space="preserve">informar ao Agente Fiduciário, no prazo de até 5 (cinco) Dias Úteis da contratação de qualquer endividamento ou de cancelamento de adiantamento para futuro aumento de capital, disponibilizando, na mesma data, o referente instrumento de empréstimo, </w:t>
      </w:r>
      <w:r>
        <w:lastRenderedPageBreak/>
        <w:t xml:space="preserve">adiantamento, mútuo ou outros endividamentos celebrados pela Emissora, pela Contour, pelas Subsidiárias e/ou por suas controladas; </w:t>
      </w:r>
    </w:p>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adequadamente segurados, conforme razoavelmente esperado e de acordo com as práticas correntes de mercado, bem como manter todas as</w:t>
      </w:r>
      <w:r>
        <w:t xml:space="preserve"> apólices de seguro contratadas pela Emissora vigentes na data de assinatura desta Escritura de Emissão; </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Emissora,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w:t>
      </w:r>
      <w:r w:rsidR="00AE7691">
        <w:rPr>
          <w:noProof/>
        </w:rPr>
        <w:t xml:space="preserve">pela </w:t>
      </w:r>
      <w:r>
        <w:rPr>
          <w:noProof/>
        </w:rPr>
        <w:t>Emissora, investimentos esses que podem ou n</w:t>
      </w:r>
      <w:r w:rsidR="00152DF4">
        <w:rPr>
          <w:noProof/>
        </w:rPr>
        <w:t>ão ser realizados pela Emissora</w:t>
      </w:r>
      <w:r>
        <w:rPr>
          <w:noProof/>
        </w:rPr>
        <w:t xml:space="preserve"> a seu exclusivo critério, observado o previsto no</w:t>
      </w:r>
      <w:r w:rsidR="00E92836">
        <w:rPr>
          <w:noProof/>
        </w:rPr>
        <w:t>s</w:t>
      </w:r>
      <w:r>
        <w:rPr>
          <w:noProof/>
        </w:rPr>
        <w:t xml:space="preserve"> ite</w:t>
      </w:r>
      <w:r w:rsidR="00E92836">
        <w:rPr>
          <w:noProof/>
        </w:rPr>
        <w:t xml:space="preserve">ns </w:t>
      </w:r>
      <w:r w:rsidR="00E92836">
        <w:rPr>
          <w:noProof/>
        </w:rPr>
        <w:fldChar w:fldCharType="begin"/>
      </w:r>
      <w:r w:rsidR="00E92836">
        <w:rPr>
          <w:noProof/>
        </w:rPr>
        <w:instrText xml:space="preserve"> REF _Ref518561356 \n \h </w:instrText>
      </w:r>
      <w:r w:rsidR="00E92836">
        <w:rPr>
          <w:noProof/>
        </w:rPr>
      </w:r>
      <w:r w:rsidR="00E92836">
        <w:rPr>
          <w:noProof/>
        </w:rPr>
        <w:fldChar w:fldCharType="separate"/>
      </w:r>
      <w:r w:rsidR="00281921">
        <w:rPr>
          <w:noProof/>
        </w:rPr>
        <w:t>(xxviii)</w:t>
      </w:r>
      <w:r w:rsidR="00E92836">
        <w:rPr>
          <w:noProof/>
        </w:rPr>
        <w:fldChar w:fldCharType="end"/>
      </w:r>
      <w:r w:rsidR="00E92836">
        <w:rPr>
          <w:noProof/>
        </w:rPr>
        <w:t xml:space="preserve"> e </w:t>
      </w:r>
      <w:r w:rsidR="00E92836">
        <w:rPr>
          <w:noProof/>
        </w:rPr>
        <w:fldChar w:fldCharType="begin"/>
      </w:r>
      <w:r w:rsidR="00E92836">
        <w:rPr>
          <w:noProof/>
        </w:rPr>
        <w:instrText xml:space="preserve"> REF _Ref520572536 \n \p \h </w:instrText>
      </w:r>
      <w:r w:rsidR="00E92836">
        <w:rPr>
          <w:noProof/>
        </w:rPr>
      </w:r>
      <w:r w:rsidR="00E92836">
        <w:rPr>
          <w:noProof/>
        </w:rPr>
        <w:fldChar w:fldCharType="separate"/>
      </w:r>
      <w:r w:rsidR="00281921">
        <w:rPr>
          <w:noProof/>
        </w:rPr>
        <w:t>(xxix) abaixo</w:t>
      </w:r>
      <w:r w:rsidR="00E92836">
        <w:rPr>
          <w:noProof/>
        </w:rPr>
        <w:fldChar w:fldCharType="end"/>
      </w:r>
      <w:r>
        <w:t xml:space="preserve">; </w:t>
      </w:r>
    </w:p>
    <w:p w:rsidR="00C963BB" w:rsidRDefault="00C759A0">
      <w:pPr>
        <w:pStyle w:val="Level4"/>
        <w:tabs>
          <w:tab w:val="clear" w:pos="2098"/>
          <w:tab w:val="num" w:pos="1134"/>
        </w:tabs>
        <w:spacing w:after="240" w:line="320" w:lineRule="exact"/>
        <w:ind w:left="1134" w:hanging="1134"/>
        <w:rPr>
          <w:rFonts w:eastAsia="Arial Unicode MS"/>
        </w:rPr>
      </w:pPr>
      <w:bookmarkStart w:id="148" w:name="_Ref518561356"/>
      <w:bookmarkStart w:id="149" w:name="_Ref519775321"/>
      <w:r>
        <w:rPr>
          <w:rFonts w:eastAsia="SimSun"/>
        </w:rPr>
        <w:t xml:space="preserve">durante o exercício social de 2021, </w:t>
      </w:r>
      <w:r>
        <w:t>não realizar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Contour, mediante </w:t>
      </w:r>
      <w:r>
        <w:t>aumento de capital na Contour ou outra forma de aporte permitida nesta Escritura de Emissão;</w:t>
      </w:r>
      <w:bookmarkEnd w:id="148"/>
      <w:r>
        <w:rPr>
          <w:noProof/>
        </w:rPr>
        <w:t xml:space="preserve"> </w:t>
      </w:r>
      <w:bookmarkEnd w:id="149"/>
    </w:p>
    <w:p w:rsidR="00C963BB" w:rsidRDefault="00C759A0">
      <w:pPr>
        <w:pStyle w:val="Level4"/>
        <w:tabs>
          <w:tab w:val="clear" w:pos="2098"/>
          <w:tab w:val="num" w:pos="1134"/>
        </w:tabs>
        <w:spacing w:after="240" w:line="320" w:lineRule="exact"/>
        <w:ind w:left="1134" w:hanging="1134"/>
        <w:rPr>
          <w:rFonts w:eastAsia="Arial Unicode MS"/>
        </w:rPr>
      </w:pPr>
      <w:bookmarkStart w:id="150" w:name="_Ref520572536"/>
      <w:r>
        <w:rPr>
          <w:rFonts w:eastAsia="SimSun"/>
        </w:rPr>
        <w:t xml:space="preserve">sem prejuízo do disposto do item </w:t>
      </w:r>
      <w:r>
        <w:rPr>
          <w:rFonts w:eastAsia="SimSun"/>
        </w:rPr>
        <w:fldChar w:fldCharType="begin"/>
      </w:r>
      <w:r>
        <w:rPr>
          <w:rFonts w:eastAsia="SimSun"/>
        </w:rPr>
        <w:instrText xml:space="preserve"> REF _Ref519775321 \n \p \h </w:instrText>
      </w:r>
      <w:r>
        <w:rPr>
          <w:rFonts w:eastAsia="SimSun"/>
        </w:rPr>
      </w:r>
      <w:r>
        <w:rPr>
          <w:rFonts w:eastAsia="SimSun"/>
        </w:rPr>
        <w:fldChar w:fldCharType="separate"/>
      </w:r>
      <w:r w:rsidR="00281921">
        <w:rPr>
          <w:rFonts w:eastAsia="SimSun"/>
        </w:rPr>
        <w:t>(xxviii) acima</w:t>
      </w:r>
      <w:r>
        <w:rPr>
          <w:rFonts w:eastAsia="SimSun"/>
        </w:rPr>
        <w:fldChar w:fldCharType="end"/>
      </w:r>
      <w:r>
        <w:rPr>
          <w:rFonts w:eastAsia="SimSun"/>
        </w:rPr>
        <w:t xml:space="preserve">, em caso de </w:t>
      </w:r>
      <w:r>
        <w:t>renovação e/ou celebração de novos contratos de fornecimento de energia da Capuava, da Filial Brahma, da Filial Balsa, da Filial Mogi, da Santa Cru</w:t>
      </w:r>
      <w:r w:rsidR="00152DF4">
        <w:t>z e/ou da Tespias, não realizar</w:t>
      </w:r>
      <w:r>
        <w:t xml:space="preserve"> qualquer investimento ou aquisição de equipamentos </w:t>
      </w:r>
      <w:r>
        <w:rPr>
          <w:noProof/>
        </w:rPr>
        <w:t xml:space="preserve">necessários para celebração e/ou renovação dos </w:t>
      </w:r>
      <w:r>
        <w:rPr>
          <w:noProof/>
        </w:rPr>
        <w:lastRenderedPageBreak/>
        <w:t>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Emissão;</w:t>
      </w:r>
      <w:bookmarkEnd w:id="150"/>
      <w:r>
        <w:t xml:space="preserve"> </w:t>
      </w:r>
    </w:p>
    <w:p w:rsidR="00C963BB" w:rsidRDefault="00C759A0">
      <w:pPr>
        <w:pStyle w:val="Level4"/>
        <w:tabs>
          <w:tab w:val="clear" w:pos="2098"/>
          <w:tab w:val="num" w:pos="1134"/>
        </w:tabs>
        <w:spacing w:after="240" w:line="320" w:lineRule="exact"/>
        <w:ind w:left="1134" w:hanging="1134"/>
      </w:pPr>
      <w:r>
        <w:t>aplicar os recursos exclusivamente de acordo com os termos da Cláusula Quarta acima;</w:t>
      </w:r>
    </w:p>
    <w:p w:rsidR="00C963BB" w:rsidRDefault="00C759A0">
      <w:pPr>
        <w:pStyle w:val="Level4"/>
        <w:tabs>
          <w:tab w:val="clear" w:pos="2098"/>
          <w:tab w:val="num" w:pos="1134"/>
        </w:tabs>
        <w:spacing w:after="240" w:line="320" w:lineRule="exact"/>
        <w:ind w:left="1134" w:hanging="1134"/>
      </w:pPr>
      <w:r>
        <w:t xml:space="preserve">cumprir rigorosamente e envidar seus melhores esforços para que suas demais partes subordinadas, assim entendidas como representantes, funcionários, prepostos, contratados, prestadores de serviços que atuem a mando ou em favor da Emissora, sob qualquer forma, cumpram, durante o prazo de vigência das Debêntures, as obrigações oriundas da legislação e da regulamentação ambiental e trabalhista relativa à saúde e segurança ocupacional aplicável à Emissora, assim como aquelas decorrentes das Debêntures, inclusive no que se refere à inexistência de trabalho escravo e infantil, exceto por aquelas questionadas de boa-fé nas esferas administrativa e/ou judicial ou cujo descumprimento não cause um efeito adverso relevante na Emissora; </w:t>
      </w:r>
    </w:p>
    <w:p w:rsidR="00C963BB" w:rsidRDefault="00C759A0">
      <w:pPr>
        <w:pStyle w:val="Level4"/>
        <w:tabs>
          <w:tab w:val="clear" w:pos="2098"/>
          <w:tab w:val="num" w:pos="1134"/>
        </w:tabs>
        <w:spacing w:after="240" w:line="320" w:lineRule="exact"/>
        <w:ind w:left="1134" w:hanging="1134"/>
      </w:pPr>
      <w:bookmarkStart w:id="151" w:name="_Ref498984318"/>
      <w:r>
        <w:t>manter-se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w:t>
      </w:r>
      <w:bookmarkEnd w:id="151"/>
    </w:p>
    <w:p w:rsidR="00C963BB" w:rsidRDefault="00C759A0">
      <w:pPr>
        <w:pStyle w:val="Level4"/>
        <w:tabs>
          <w:tab w:val="clear" w:pos="2098"/>
          <w:tab w:val="num" w:pos="1134"/>
        </w:tabs>
        <w:spacing w:after="240" w:line="320" w:lineRule="exact"/>
        <w:ind w:left="1134" w:hanging="1134"/>
      </w:pPr>
      <w:r>
        <w:t>não transferir, ceder, alienar, onerar, de qualquer forma ou prometer transferir, ceder, alienar ou onerar os direitos creditórios de titularidade da Emissora de</w:t>
      </w:r>
      <w:r w:rsidR="00C27055">
        <w:t>correntes de</w:t>
      </w:r>
      <w:r>
        <w:t xml:space="preserve"> contratos de compra e venda de energia; </w:t>
      </w:r>
    </w:p>
    <w:p w:rsidR="00C963BB" w:rsidRDefault="00C759A0">
      <w:pPr>
        <w:pStyle w:val="Level4"/>
        <w:tabs>
          <w:tab w:val="clear" w:pos="2098"/>
          <w:tab w:val="num" w:pos="1134"/>
        </w:tabs>
        <w:spacing w:after="240" w:line="320" w:lineRule="exact"/>
        <w:ind w:left="1134" w:hanging="1134"/>
      </w:pPr>
      <w:bookmarkStart w:id="152" w:name="_Ref519073068"/>
      <w:r>
        <w:rPr>
          <w:rFonts w:eastAsia="Arial Unicode MS"/>
        </w:rPr>
        <w:t xml:space="preserve">observado o disposto no item </w:t>
      </w:r>
      <w:r>
        <w:fldChar w:fldCharType="begin"/>
      </w:r>
      <w:r>
        <w:instrText xml:space="preserve"> REF _Ref514240585 \n \p \h  \* MERGEFORMAT </w:instrText>
      </w:r>
      <w:r>
        <w:fldChar w:fldCharType="separate"/>
      </w:r>
      <w:r w:rsidR="00281921">
        <w:t>(xxxvi) abaixo</w:t>
      </w:r>
      <w:r>
        <w:fldChar w:fldCharType="end"/>
      </w:r>
      <w:r>
        <w:rPr>
          <w:rFonts w:eastAsia="Arial Unicode MS"/>
        </w:rPr>
        <w:t>, manter previsto em seu Estatuto Social a obrigatoriedade de distribuição da totalidade do lucro líquido após os devidos ajustes legais a título de dividendos e tomar todas e quaisquer medidas necessárias para a efetiva distribuição da totalidade do lucro líquido ajustado, observado o disposto no artigo 193 da Lei das Sociedades por Ações, desde que a Emissora tenha caixa no momento da distribuição, observada a possibilidade de manutenção de caixa máximo na Emissora nos termos definidos no Contrato de Alienação Fiduciária</w:t>
      </w:r>
      <w:r w:rsidR="007E4BA0">
        <w:rPr>
          <w:rFonts w:eastAsia="Arial Unicode MS"/>
        </w:rPr>
        <w:t>;</w:t>
      </w:r>
      <w:bookmarkEnd w:id="152"/>
    </w:p>
    <w:p w:rsidR="00C963BB" w:rsidRPr="005C056C" w:rsidRDefault="00C759A0">
      <w:pPr>
        <w:pStyle w:val="Level4"/>
        <w:tabs>
          <w:tab w:val="clear" w:pos="2098"/>
          <w:tab w:val="num" w:pos="1134"/>
        </w:tabs>
        <w:spacing w:after="240" w:line="320" w:lineRule="exact"/>
        <w:ind w:left="1134" w:hanging="1134"/>
      </w:pPr>
      <w:bookmarkStart w:id="153" w:name="_Ref518463112"/>
      <w:r w:rsidRPr="005C056C">
        <w:t xml:space="preserve">somente realizar pagamentos de dividendos, juros sobre capital próprio ou qualquer outra participação no lucro estatutariamente prevista com base no resultado apurado </w:t>
      </w:r>
      <w:r w:rsidRPr="005C056C">
        <w:lastRenderedPageBreak/>
        <w:t xml:space="preserve">nas suas últimas </w:t>
      </w:r>
      <w:r w:rsidRPr="005C056C">
        <w:rPr>
          <w:rFonts w:eastAsia="Arial Unicode MS"/>
        </w:rPr>
        <w:t xml:space="preserve">demonstrações financeiras auditadas divulgadas nos termos do </w:t>
      </w:r>
      <w:r w:rsidRPr="005C056C">
        <w:t xml:space="preserve">item </w:t>
      </w:r>
      <w:r w:rsidRPr="005C056C">
        <w:fldChar w:fldCharType="begin"/>
      </w:r>
      <w:r w:rsidRPr="005C056C">
        <w:instrText xml:space="preserve"> REF _Ref498984291 \n \h </w:instrText>
      </w:r>
      <w:r w:rsidR="00152DF4" w:rsidRPr="005C056C">
        <w:instrText xml:space="preserve"> \* MERGEFORMAT </w:instrText>
      </w:r>
      <w:r w:rsidRPr="005C056C">
        <w:fldChar w:fldCharType="separate"/>
      </w:r>
      <w:r w:rsidR="00281921">
        <w:t>8.1</w:t>
      </w:r>
      <w:r w:rsidRPr="005C056C">
        <w:fldChar w:fldCharType="end"/>
      </w:r>
      <w:r w:rsidRPr="005C056C">
        <w:t xml:space="preserve">, inciso </w:t>
      </w:r>
      <w:r w:rsidRPr="005C056C">
        <w:fldChar w:fldCharType="begin"/>
      </w:r>
      <w:r w:rsidRPr="005C056C">
        <w:instrText xml:space="preserve"> REF _Ref515972292 \n \h </w:instrText>
      </w:r>
      <w:r w:rsidR="00152DF4" w:rsidRPr="005C056C">
        <w:instrText xml:space="preserve"> \* MERGEFORMAT </w:instrText>
      </w:r>
      <w:r w:rsidRPr="005C056C">
        <w:fldChar w:fldCharType="separate"/>
      </w:r>
      <w:r w:rsidR="00281921">
        <w:t>(i)</w:t>
      </w:r>
      <w:r w:rsidRPr="005C056C">
        <w:fldChar w:fldCharType="end"/>
      </w:r>
      <w:r w:rsidRPr="005C056C">
        <w:t xml:space="preserve">, alínea </w:t>
      </w:r>
      <w:r w:rsidRPr="005C056C">
        <w:fldChar w:fldCharType="begin"/>
      </w:r>
      <w:r w:rsidRPr="005C056C">
        <w:instrText xml:space="preserve"> REF _Ref519119315 \n \p \h </w:instrText>
      </w:r>
      <w:r w:rsidR="00152DF4" w:rsidRPr="005C056C">
        <w:instrText xml:space="preserve"> \* MERGEFORMAT </w:instrText>
      </w:r>
      <w:r w:rsidRPr="005C056C">
        <w:fldChar w:fldCharType="separate"/>
      </w:r>
      <w:r w:rsidR="00281921">
        <w:t>(a) acima</w:t>
      </w:r>
      <w:r w:rsidRPr="005C056C">
        <w:fldChar w:fldCharType="end"/>
      </w:r>
      <w:r w:rsidRPr="005C056C">
        <w:t xml:space="preserve"> </w:t>
      </w:r>
      <w:r w:rsidRPr="005C056C">
        <w:rPr>
          <w:rFonts w:eastAsia="Arial Unicode MS"/>
        </w:rPr>
        <w:t xml:space="preserve">ou nos seus últimos </w:t>
      </w:r>
      <w:r w:rsidRPr="005C056C">
        <w:t xml:space="preserve">balanços patrimoniais, demonstrações de fluxo de caixa e demonstrações de resultados (lucros e prejuízos) individuais trimestrais </w:t>
      </w:r>
      <w:r w:rsidRPr="005C056C">
        <w:rPr>
          <w:rFonts w:eastAsia="Arial Unicode MS"/>
        </w:rPr>
        <w:t>não auditados</w:t>
      </w:r>
      <w:r w:rsidR="00AF517D" w:rsidRPr="005C056C">
        <w:rPr>
          <w:rFonts w:eastAsia="Arial Unicode MS"/>
        </w:rPr>
        <w:t xml:space="preserve"> </w:t>
      </w:r>
      <w:r w:rsidRPr="005C056C">
        <w:rPr>
          <w:rFonts w:eastAsia="Arial Unicode MS"/>
        </w:rPr>
        <w:t xml:space="preserve">divulgados nos termos do </w:t>
      </w:r>
      <w:r w:rsidRPr="005C056C">
        <w:t xml:space="preserve">item </w:t>
      </w:r>
      <w:r w:rsidRPr="005C056C">
        <w:fldChar w:fldCharType="begin"/>
      </w:r>
      <w:r w:rsidRPr="005C056C">
        <w:instrText xml:space="preserve"> REF _Ref498984291 \n \h </w:instrText>
      </w:r>
      <w:r w:rsidR="00152DF4" w:rsidRPr="005C056C">
        <w:instrText xml:space="preserve"> \* MERGEFORMAT </w:instrText>
      </w:r>
      <w:r w:rsidRPr="005C056C">
        <w:fldChar w:fldCharType="separate"/>
      </w:r>
      <w:r w:rsidR="00281921">
        <w:t>8.1</w:t>
      </w:r>
      <w:r w:rsidRPr="005C056C">
        <w:fldChar w:fldCharType="end"/>
      </w:r>
      <w:r w:rsidRPr="005C056C">
        <w:t xml:space="preserve">, inciso </w:t>
      </w:r>
      <w:r w:rsidRPr="005C056C">
        <w:fldChar w:fldCharType="begin"/>
      </w:r>
      <w:r w:rsidRPr="005C056C">
        <w:instrText xml:space="preserve"> REF _Ref515972292 \n \h </w:instrText>
      </w:r>
      <w:r w:rsidR="00152DF4" w:rsidRPr="005C056C">
        <w:instrText xml:space="preserve"> \* MERGEFORMAT </w:instrText>
      </w:r>
      <w:r w:rsidRPr="005C056C">
        <w:fldChar w:fldCharType="separate"/>
      </w:r>
      <w:r w:rsidR="00281921">
        <w:t>(i)</w:t>
      </w:r>
      <w:r w:rsidRPr="005C056C">
        <w:fldChar w:fldCharType="end"/>
      </w:r>
      <w:r w:rsidRPr="005C056C">
        <w:t xml:space="preserve">, alínea </w:t>
      </w:r>
      <w:r w:rsidRPr="005C056C">
        <w:fldChar w:fldCharType="begin"/>
      </w:r>
      <w:r w:rsidRPr="005C056C">
        <w:instrText xml:space="preserve"> REF _Ref519105705 \n \p \h </w:instrText>
      </w:r>
      <w:r w:rsidR="00152DF4" w:rsidRPr="005C056C">
        <w:instrText xml:space="preserve"> \* MERGEFORMAT </w:instrText>
      </w:r>
      <w:r w:rsidRPr="005C056C">
        <w:fldChar w:fldCharType="separate"/>
      </w:r>
      <w:r w:rsidR="00281921">
        <w:t>(b) acima</w:t>
      </w:r>
      <w:r w:rsidRPr="005C056C">
        <w:fldChar w:fldCharType="end"/>
      </w:r>
      <w:r w:rsidRPr="005C056C">
        <w:rPr>
          <w:rFonts w:eastAsia="Arial Unicode MS"/>
        </w:rPr>
        <w:t xml:space="preserve">, observado que está desde já autorizado o eventual pagamento de dividendos declarados pela Emissora e não pagos referentes aos exercícios sociais de 2016 e 2017 e o disposto no item </w:t>
      </w:r>
      <w:r w:rsidRPr="005C056C">
        <w:rPr>
          <w:rFonts w:eastAsia="Arial Unicode MS"/>
        </w:rPr>
        <w:fldChar w:fldCharType="begin"/>
      </w:r>
      <w:r w:rsidRPr="005C056C">
        <w:rPr>
          <w:rFonts w:eastAsia="Arial Unicode MS"/>
        </w:rPr>
        <w:instrText xml:space="preserve"> REF _Ref519073068 \n \p \h </w:instrText>
      </w:r>
      <w:r w:rsidR="00152DF4" w:rsidRPr="005C056C">
        <w:rPr>
          <w:rFonts w:eastAsia="Arial Unicode MS"/>
        </w:rPr>
        <w:instrText xml:space="preserve"> \* MERGEFORMAT </w:instrText>
      </w:r>
      <w:r w:rsidRPr="005C056C">
        <w:rPr>
          <w:rFonts w:eastAsia="Arial Unicode MS"/>
        </w:rPr>
      </w:r>
      <w:r w:rsidRPr="005C056C">
        <w:rPr>
          <w:rFonts w:eastAsia="Arial Unicode MS"/>
        </w:rPr>
        <w:fldChar w:fldCharType="separate"/>
      </w:r>
      <w:r w:rsidR="00281921">
        <w:rPr>
          <w:rFonts w:eastAsia="Arial Unicode MS"/>
        </w:rPr>
        <w:t>(xxxiv) acima</w:t>
      </w:r>
      <w:r w:rsidRPr="005C056C">
        <w:rPr>
          <w:rFonts w:eastAsia="Arial Unicode MS"/>
        </w:rPr>
        <w:fldChar w:fldCharType="end"/>
      </w:r>
      <w:bookmarkEnd w:id="153"/>
      <w:r w:rsidRPr="005C056C">
        <w:rPr>
          <w:rFonts w:eastAsia="Arial Unicode MS"/>
        </w:rPr>
        <w:t>;</w:t>
      </w:r>
      <w:r w:rsidR="00BE10C4" w:rsidRPr="005C056C">
        <w:rPr>
          <w:rFonts w:eastAsia="Arial Unicode MS"/>
        </w:rPr>
        <w:t xml:space="preserve"> </w:t>
      </w:r>
    </w:p>
    <w:p w:rsidR="00C963BB" w:rsidRDefault="00C759A0">
      <w:pPr>
        <w:pStyle w:val="Level4"/>
        <w:tabs>
          <w:tab w:val="clear" w:pos="2098"/>
          <w:tab w:val="num" w:pos="1134"/>
        </w:tabs>
        <w:spacing w:after="240" w:line="320" w:lineRule="exact"/>
        <w:ind w:left="1134" w:hanging="1134"/>
      </w:pPr>
      <w:bookmarkStart w:id="154" w:name="_Ref514240585"/>
      <w:bookmarkStart w:id="155" w:name="_Ref517738830"/>
      <w:r>
        <w:t xml:space="preserve">protocolar na competente junta comercial, no prazo de até 30 (trinta) dias a contar da Data de Integralização, sob pena de pagamento aos Debenturistas de prêmio equivalente a 0,10% (dez centésimos por cento) do Valor Total da Emissão em até 2 (dois) Dias Úteis da data em que terminar o prazo previsto neste item, ata de assembleia geral de acionistas alterando o seu estatuto social de forma a prever a distribuição de 100% (cem por cento) do lucro líquido ajustado apurado em cada exercício social na forma de dividendos, juros sobre capital próprio ou outra forma equivalente de distribuição de recursos aos seus acionistas, observado o disposto no item </w:t>
      </w:r>
      <w:r>
        <w:fldChar w:fldCharType="begin"/>
      </w:r>
      <w:r>
        <w:instrText xml:space="preserve"> REF _Ref519073068 \n \p \h </w:instrText>
      </w:r>
      <w:r>
        <w:fldChar w:fldCharType="separate"/>
      </w:r>
      <w:r w:rsidR="00281921">
        <w:t>(xxxiv) acima</w:t>
      </w:r>
      <w:r>
        <w:fldChar w:fldCharType="end"/>
      </w:r>
      <w:r>
        <w:t xml:space="preserve">; </w:t>
      </w:r>
      <w:bookmarkEnd w:id="154"/>
      <w:bookmarkEnd w:id="155"/>
      <w:r w:rsidR="00152DF4">
        <w:t>e</w:t>
      </w:r>
    </w:p>
    <w:p w:rsidR="00C963BB" w:rsidRDefault="00C759A0">
      <w:pPr>
        <w:pStyle w:val="Level4"/>
        <w:tabs>
          <w:tab w:val="clear" w:pos="2098"/>
          <w:tab w:val="num" w:pos="1134"/>
        </w:tabs>
        <w:spacing w:after="240" w:line="320" w:lineRule="exact"/>
        <w:ind w:left="1134" w:hanging="1134"/>
      </w:pPr>
      <w:r>
        <w:t xml:space="preserve">apresentar ao Agente Fiduciário o ato societário indicado no item </w:t>
      </w:r>
      <w:r>
        <w:fldChar w:fldCharType="begin"/>
      </w:r>
      <w:r>
        <w:instrText xml:space="preserve"> REF _Ref514240585 \n \p \h  \* MERGEFORMAT </w:instrText>
      </w:r>
      <w:r>
        <w:fldChar w:fldCharType="separate"/>
      </w:r>
      <w:r w:rsidR="00281921">
        <w:t>(xxxvi) acima</w:t>
      </w:r>
      <w:r>
        <w:fldChar w:fldCharType="end"/>
      </w:r>
      <w:r>
        <w:t xml:space="preserve">, devidamente registrado na competente junta comercial, em até 60 (sessenta) dias contados da Data de Integralização, prazo este que será </w:t>
      </w:r>
      <w:r>
        <w:rPr>
          <w:rFonts w:eastAsia="SimSun"/>
        </w:rPr>
        <w:t xml:space="preserve">automaticamente prorrogável por sucessivos períodos,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 </w:t>
      </w:r>
      <w:r>
        <w:t>sob pena de pagamento aos Debenturistas de prêmio equivalente a 0,10% (dez centésimos por cento) do Valor Total da Emissão em até 2 (dois) Dias Úteis da data em que terminar o prazo previsto acima, sem que este seja prorrogado nos termos deste item</w:t>
      </w:r>
      <w:r w:rsidR="00152DF4">
        <w:t>.</w:t>
      </w:r>
    </w:p>
    <w:p w:rsidR="00C963BB" w:rsidRDefault="00C759A0">
      <w:pPr>
        <w:pStyle w:val="Level2"/>
        <w:tabs>
          <w:tab w:val="clear" w:pos="680"/>
          <w:tab w:val="num" w:pos="1134"/>
        </w:tabs>
        <w:spacing w:after="240" w:line="320" w:lineRule="exact"/>
        <w:ind w:left="0" w:firstLine="0"/>
        <w:rPr>
          <w:szCs w:val="22"/>
        </w:rPr>
      </w:pPr>
      <w:bookmarkStart w:id="156" w:name="_Ref512706016"/>
      <w:bookmarkStart w:id="157" w:name="_Ref520564231"/>
      <w:r>
        <w:rPr>
          <w:szCs w:val="22"/>
        </w:rPr>
        <w:t>Sem prejuízo do disposto na regulamentação aplicável e em outras disposições desta Escritura de Emissão, a Contour está obrigada a:</w:t>
      </w:r>
      <w:bookmarkEnd w:id="156"/>
      <w:bookmarkEnd w:id="157"/>
      <w:r>
        <w:rPr>
          <w:szCs w:val="22"/>
        </w:rPr>
        <w:t xml:space="preserve"> </w:t>
      </w:r>
    </w:p>
    <w:p w:rsidR="00C963BB" w:rsidRDefault="00C759A0">
      <w:pPr>
        <w:pStyle w:val="Level4"/>
        <w:tabs>
          <w:tab w:val="clear" w:pos="2098"/>
          <w:tab w:val="num" w:pos="1134"/>
        </w:tabs>
        <w:spacing w:after="240" w:line="320" w:lineRule="exact"/>
        <w:ind w:left="1134" w:hanging="1134"/>
      </w:pPr>
      <w:bookmarkStart w:id="158" w:name="_Ref514233046"/>
      <w:r>
        <w:t>disponibilizar ao Agente Fiduciário:</w:t>
      </w:r>
      <w:bookmarkEnd w:id="158"/>
    </w:p>
    <w:p w:rsidR="00C963BB" w:rsidRDefault="00C759A0">
      <w:pPr>
        <w:pStyle w:val="Level5"/>
        <w:tabs>
          <w:tab w:val="num" w:pos="1134"/>
        </w:tabs>
        <w:spacing w:after="240" w:line="320" w:lineRule="exact"/>
        <w:ind w:left="1134" w:firstLine="0"/>
      </w:pPr>
      <w:bookmarkStart w:id="159" w:name="_Ref518509757"/>
      <w:bookmarkStart w:id="160" w:name="_Ref512724353"/>
      <w:r>
        <w:t xml:space="preserve">no prazo de até 90 (noventa) dias após o término de cada exercício social ou nas respectivas datas de divulgação, o que ocorrer primeiro, cópia das demonstrações financeiras consolidadas da Contour e de todas as suas controladas </w:t>
      </w:r>
      <w:r>
        <w:lastRenderedPageBreak/>
        <w:t>(exceto com relação à Capuava, que será contabilizada por equivalência patrimonial na Contour), relativas ao respectivo exercício social acompanhadas do relatório da administração e do parecer ou relatório, conforme o caso, de Auditor Independente;</w:t>
      </w:r>
      <w:bookmarkEnd w:id="159"/>
      <w:r>
        <w:t xml:space="preserve"> </w:t>
      </w:r>
      <w:bookmarkEnd w:id="160"/>
    </w:p>
    <w:p w:rsidR="00C963BB" w:rsidRDefault="00C759A0">
      <w:pPr>
        <w:pStyle w:val="Level5"/>
        <w:tabs>
          <w:tab w:val="num" w:pos="1134"/>
        </w:tabs>
        <w:spacing w:after="240" w:line="320" w:lineRule="exact"/>
        <w:ind w:left="1134" w:firstLine="0"/>
      </w:pPr>
      <w:bookmarkStart w:id="161" w:name="_Ref507708623"/>
      <w:bookmarkStart w:id="162" w:name="_Ref519105777"/>
      <w:bookmarkStart w:id="163" w:name="_Ref519119633"/>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rPr>
          <w:i/>
        </w:rPr>
        <w:t>(1)</w:t>
      </w:r>
      <w:r>
        <w:rPr>
          <w:b/>
        </w:rPr>
        <w:t xml:space="preserve"> </w:t>
      </w:r>
      <w:r>
        <w:t xml:space="preserve">cópias dos balanços patrimoniais, demonstrações de fluxo de caixa e demonstrações de resultados (lucros e prejuízos) trimestrais consolidados da Contour, relativos aos trimestres findos em 31 de março e 30 de setembro, os quais deverão estar revisados por Auditor Independente, apenas caso a Contour deseje realizar distribuições de dividendos ou outras distribuições aos acionistas permitidas nos termos desta Escritura de Emissão, em especial nos termos do item 7.1.8.2 acima; </w:t>
      </w:r>
      <w:r>
        <w:rPr>
          <w:i/>
        </w:rPr>
        <w:t>(2)</w:t>
      </w:r>
      <w:r>
        <w:t xml:space="preserve"> cópias das demonstrações financeiras semestrais consolidadas da Contour, revisadas por Auditor Independente; (3) cópia dos balanços patrimoniais, demonstrações de fluxo de caixa e demonstrações de resultados (lucros e prejuízos) trimestrais individuais não auditados das Subsidiárias e de todas as controladas da Contour (exceto com relação à Capuava, que será contabilizada por equivalência patrimonial na Contour), relativas ao respectivo trimestre;</w:t>
      </w:r>
      <w:bookmarkEnd w:id="161"/>
      <w:bookmarkEnd w:id="162"/>
      <w:bookmarkEnd w:id="163"/>
      <w:r>
        <w:t xml:space="preserve"> </w:t>
      </w:r>
    </w:p>
    <w:p w:rsidR="00C963BB" w:rsidRDefault="00C759A0">
      <w:pPr>
        <w:pStyle w:val="Level5"/>
        <w:tabs>
          <w:tab w:val="num" w:pos="1134"/>
        </w:tabs>
        <w:spacing w:after="240" w:line="320" w:lineRule="exact"/>
        <w:ind w:left="1134" w:firstLine="0"/>
      </w:pPr>
      <w:r>
        <w:t xml:space="preserve">atas de assembleias gerais e reuniões do Conselho de Administração (conforme aplicável) da Contour que, de alguma forma, envolvam interesse dos Debenturistas, no prazo de até 5 (cinco) Dias Úteis contados da data em que forem publicados ou, se não forem publicados, da data em que forem realizados; </w:t>
      </w:r>
    </w:p>
    <w:p w:rsidR="00C963BB" w:rsidRDefault="00C759A0">
      <w:pPr>
        <w:pStyle w:val="Level5"/>
        <w:tabs>
          <w:tab w:val="num" w:pos="1134"/>
        </w:tabs>
        <w:spacing w:after="240" w:line="320" w:lineRule="exact"/>
        <w:ind w:left="1134" w:firstLine="0"/>
      </w:pPr>
      <w:r>
        <w:t xml:space="preserve">dentro de até 5 (cinco) Dias Úteis, qualquer informação relevante para a presente Emissão que lhe venha a ser razoavelmente solicitada pelo </w:t>
      </w:r>
      <w:r>
        <w:rPr>
          <w:rFonts w:eastAsia="Arial"/>
          <w:noProof/>
          <w:lang w:eastAsia="en-GB"/>
        </w:rPr>
        <w:t>Agente Fiduciário</w:t>
      </w:r>
      <w:r>
        <w:t xml:space="preserve">,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 e</w:t>
      </w:r>
    </w:p>
    <w:p w:rsidR="00C963BB" w:rsidRDefault="00C759A0">
      <w:pPr>
        <w:pStyle w:val="Level5"/>
        <w:tabs>
          <w:tab w:val="num" w:pos="1134"/>
        </w:tabs>
        <w:spacing w:after="240" w:line="320" w:lineRule="exact"/>
        <w:ind w:left="1134" w:firstLine="0"/>
      </w:pPr>
      <w:bookmarkStart w:id="164" w:name="_Ref514233027"/>
      <w:r>
        <w:t xml:space="preserve">dentro de </w:t>
      </w:r>
      <w:r>
        <w:rPr>
          <w:rFonts w:eastAsia="Arial Unicode MS"/>
        </w:rPr>
        <w:t xml:space="preserve">5 (cinco) Dias Úteis contados da data de disponibilização das demonstrações financeiras nos termos do item </w:t>
      </w:r>
      <w:r>
        <w:rPr>
          <w:rFonts w:eastAsia="Arial Unicode MS"/>
        </w:rPr>
        <w:fldChar w:fldCharType="begin"/>
      </w:r>
      <w:r>
        <w:rPr>
          <w:rFonts w:eastAsia="Arial Unicode MS"/>
        </w:rPr>
        <w:instrText xml:space="preserve"> REF _Ref512724353 \n \p \h  \* MERGEFORMAT </w:instrText>
      </w:r>
      <w:r>
        <w:rPr>
          <w:rFonts w:eastAsia="Arial Unicode MS"/>
        </w:rPr>
      </w:r>
      <w:r>
        <w:rPr>
          <w:rFonts w:eastAsia="Arial Unicode MS"/>
        </w:rPr>
        <w:fldChar w:fldCharType="separate"/>
      </w:r>
      <w:r w:rsidR="00281921">
        <w:rPr>
          <w:rFonts w:eastAsia="Arial Unicode MS"/>
        </w:rPr>
        <w:t>(a) acima</w:t>
      </w:r>
      <w:r>
        <w:rPr>
          <w:rFonts w:eastAsia="Arial Unicode MS"/>
        </w:rPr>
        <w:fldChar w:fldCharType="end"/>
      </w:r>
      <w:r>
        <w:rPr>
          <w:rFonts w:eastAsia="Arial Unicode MS"/>
        </w:rPr>
        <w:t xml:space="preserve"> ou </w:t>
      </w:r>
      <w:r>
        <w:t xml:space="preserve">das demonstrações financeiras </w:t>
      </w:r>
      <w:r>
        <w:rPr>
          <w:rFonts w:eastAsia="Arial Unicode MS"/>
        </w:rPr>
        <w:t xml:space="preserve">semestrais da Contour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281921">
        <w:rPr>
          <w:rFonts w:eastAsia="Arial Unicode MS"/>
        </w:rPr>
        <w:t>(b) acima</w:t>
      </w:r>
      <w:r>
        <w:rPr>
          <w:rFonts w:eastAsia="Arial Unicode MS"/>
        </w:rPr>
        <w:fldChar w:fldCharType="end"/>
      </w:r>
      <w:r>
        <w:t xml:space="preserve">, </w:t>
      </w:r>
      <w:r>
        <w:rPr>
          <w:rFonts w:eastAsia="Arial Unicode MS"/>
        </w:rPr>
        <w:t xml:space="preserve">relatórios específicos de apuração do Índice Financeiro e do ICSD Consolidado, acompanhado da memória de cálculo compreendendo todas as rubricas necessárias para a obtenção do Índice </w:t>
      </w:r>
      <w:r>
        <w:rPr>
          <w:rFonts w:eastAsia="Arial Unicode MS"/>
        </w:rPr>
        <w:lastRenderedPageBreak/>
        <w:t>Financeiro e do ICSD Consolidado, devidamente validados pelo Auditor Independente contratado pela Contour;</w:t>
      </w:r>
      <w:bookmarkEnd w:id="164"/>
      <w:r>
        <w:rPr>
          <w:rFonts w:eastAsia="Arial Unicode MS"/>
        </w:rPr>
        <w:t xml:space="preserve"> </w:t>
      </w:r>
    </w:p>
    <w:p w:rsidR="00C963BB" w:rsidRDefault="00C759A0">
      <w:pPr>
        <w:pStyle w:val="Level5"/>
        <w:tabs>
          <w:tab w:val="num" w:pos="1134"/>
        </w:tabs>
        <w:spacing w:after="240" w:line="320" w:lineRule="exact"/>
        <w:ind w:left="1134" w:firstLine="0"/>
      </w:pPr>
      <w:r>
        <w:t xml:space="preserve">dentro de </w:t>
      </w:r>
      <w:r>
        <w:rPr>
          <w:rFonts w:eastAsia="Arial Unicode MS"/>
        </w:rPr>
        <w:t xml:space="preserve">5 (cinco) Dias Úteis contados da data de disponibilização </w:t>
      </w:r>
      <w:r>
        <w:t xml:space="preserve">dos balanços patrimoniais, demonstrações de fluxo de caixa, demonstrações de resultados (lucros e prejuízos) </w:t>
      </w:r>
      <w:r>
        <w:rPr>
          <w:rFonts w:eastAsia="Arial Unicode MS"/>
        </w:rPr>
        <w:t xml:space="preserve">trimestrais consolidadas da Contour referentes aos trimestres findos em 31 de março e 30 de setembro,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281921">
        <w:rPr>
          <w:rFonts w:eastAsia="Arial Unicode MS"/>
        </w:rPr>
        <w:t>(b) acima</w:t>
      </w:r>
      <w:r>
        <w:rPr>
          <w:rFonts w:eastAsia="Arial Unicode MS"/>
        </w:rPr>
        <w:fldChar w:fldCharType="end"/>
      </w:r>
      <w:r>
        <w:t xml:space="preserve">, </w:t>
      </w:r>
      <w:r>
        <w:rPr>
          <w:rFonts w:eastAsia="Arial Unicode MS"/>
        </w:rPr>
        <w:t xml:space="preserve">relatórios específicos de apuração do Índice Financeiro e do ICSD Consolidado, acompanhado da memória de cálculo compreendendo todas as rubricas necessárias para a obtenção do Índice Financeiro e do ICSD Consolidado, sendo certo que, caso tais </w:t>
      </w:r>
      <w:r>
        <w:t xml:space="preserve">balanços patrimoniais, demonstrações de fluxo de caixa, demonstrações de resultados (lucros e prejuízos) da Contour </w:t>
      </w:r>
      <w:r>
        <w:rPr>
          <w:rFonts w:eastAsia="Arial Unicode MS"/>
        </w:rPr>
        <w:t>sejam revisados por Auditor Independente para os fins do item</w:t>
      </w:r>
      <w:r w:rsidR="005C056C">
        <w:rPr>
          <w:rFonts w:eastAsia="Arial Unicode MS"/>
        </w:rPr>
        <w:t xml:space="preserve"> </w:t>
      </w:r>
      <w:r w:rsidR="005C056C">
        <w:fldChar w:fldCharType="begin"/>
      </w:r>
      <w:r w:rsidR="005C056C">
        <w:instrText xml:space="preserve"> REF _Ref512706016 \r \h </w:instrText>
      </w:r>
      <w:r w:rsidR="005C056C">
        <w:fldChar w:fldCharType="separate"/>
      </w:r>
      <w:r w:rsidR="00281921">
        <w:t>8.2</w:t>
      </w:r>
      <w:r w:rsidR="005C056C">
        <w:fldChar w:fldCharType="end"/>
      </w:r>
      <w:r>
        <w:rPr>
          <w:rFonts w:eastAsia="Arial Unicode MS"/>
        </w:rPr>
        <w:t xml:space="preserve">, subitem </w:t>
      </w:r>
      <w:r>
        <w:rPr>
          <w:rFonts w:eastAsia="Arial Unicode MS"/>
        </w:rPr>
        <w:fldChar w:fldCharType="begin"/>
      </w:r>
      <w:r>
        <w:rPr>
          <w:rFonts w:eastAsia="Arial Unicode MS"/>
        </w:rPr>
        <w:instrText xml:space="preserve"> REF _Ref514233046 \n \h </w:instrText>
      </w:r>
      <w:r>
        <w:rPr>
          <w:rFonts w:eastAsia="Arial Unicode MS"/>
        </w:rPr>
      </w:r>
      <w:r>
        <w:rPr>
          <w:rFonts w:eastAsia="Arial Unicode MS"/>
        </w:rPr>
        <w:fldChar w:fldCharType="separate"/>
      </w:r>
      <w:r w:rsidR="00281921">
        <w:rPr>
          <w:rFonts w:eastAsia="Arial Unicode MS"/>
        </w:rPr>
        <w:t>(i)</w:t>
      </w:r>
      <w:r>
        <w:rPr>
          <w:rFonts w:eastAsia="Arial Unicode MS"/>
        </w:rPr>
        <w:fldChar w:fldCharType="end"/>
      </w:r>
      <w:r>
        <w:rPr>
          <w:rFonts w:eastAsia="Arial Unicode MS"/>
        </w:rPr>
        <w:fldChar w:fldCharType="begin"/>
      </w:r>
      <w:r>
        <w:rPr>
          <w:rFonts w:eastAsia="Arial Unicode MS"/>
        </w:rPr>
        <w:instrText xml:space="preserve"> REF _Ref507708623 \n \h </w:instrText>
      </w:r>
      <w:r>
        <w:rPr>
          <w:rFonts w:eastAsia="Arial Unicode MS"/>
        </w:rPr>
      </w:r>
      <w:r>
        <w:rPr>
          <w:rFonts w:eastAsia="Arial Unicode MS"/>
        </w:rPr>
        <w:fldChar w:fldCharType="separate"/>
      </w:r>
      <w:r w:rsidR="00281921">
        <w:rPr>
          <w:rFonts w:eastAsia="Arial Unicode MS"/>
        </w:rPr>
        <w:t>(b)</w:t>
      </w:r>
      <w:r>
        <w:rPr>
          <w:rFonts w:eastAsia="Arial Unicode MS"/>
        </w:rPr>
        <w:fldChar w:fldCharType="end"/>
      </w:r>
      <w:r>
        <w:rPr>
          <w:rFonts w:eastAsia="Arial Unicode MS"/>
        </w:rPr>
        <w:t>(1) e 7.1.8.2 acima, tais relatórios deverão estar devidamente validados pelo Auditor Independente contratado pela Contour;</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t>manter válidas e regulares as licenças, concessões, autorizações ou aprovações, incluindo, mas não se limitando às ambientais, necessárias ao regular funcionamento da Contour;</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Contour e/ou das Subsidiárias que: </w:t>
      </w:r>
      <w:r>
        <w:rPr>
          <w:b/>
        </w:rPr>
        <w:t>(a)</w:t>
      </w:r>
      <w:r>
        <w:t xml:space="preserve"> possam afetar negativamente, impossibilitar ou dificultar de </w:t>
      </w:r>
      <w:r>
        <w:lastRenderedPageBreak/>
        <w:t xml:space="preserve">forma justificada o cumprimento, pela Contour, de suas obrigações decorrentes desta Escritura de Emissão e das Debêntures; </w:t>
      </w:r>
      <w:r>
        <w:rPr>
          <w:b/>
        </w:rPr>
        <w:t>(b)</w:t>
      </w:r>
      <w:r>
        <w:t> faça com que as demonstrações financeiras ou os balanços patrimoniais</w:t>
      </w:r>
      <w:r>
        <w:rPr>
          <w:rFonts w:eastAsia="Arial Unicode MS"/>
        </w:rPr>
        <w:t xml:space="preserve"> trimestrais ou semestrais consolidados</w:t>
      </w:r>
      <w:r>
        <w:t xml:space="preserve"> da Contour não mais reflitam a real condição financeira da Contour; ou </w:t>
      </w:r>
      <w:r>
        <w:rPr>
          <w:b/>
        </w:rPr>
        <w:t>(c)</w:t>
      </w:r>
      <w:r>
        <w:t> qualquer alteração nas condições operacionais e/ou qualquer evento que, de qualquer modo, possam afetar negativamente, impossibilitar ou comprometer as atividades das Subsidiárias e/ou da Contour;</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prestar informações a</w:t>
      </w:r>
      <w:r>
        <w:t>o Agente Fiduciário</w:t>
      </w:r>
      <w:r>
        <w:rPr>
          <w:color w:val="000000"/>
        </w:rPr>
        <w:t xml:space="preserve">,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outros, em relação à Contour e/ou às Subsidiárias,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 e informações financeiras trimestrais;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r>
        <w:rPr>
          <w:color w:val="000000"/>
        </w:rPr>
        <w:t>submeter, na forma da lei, suas demonstrações financeiras anuais a exame por Auditor Independente;</w:t>
      </w:r>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Contour e/ou pelas Subsidiárias,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em prazo não superior a 2 (dois) Dias Úteis após o seu recebimento;</w:t>
      </w:r>
    </w:p>
    <w:p w:rsidR="00C963BB" w:rsidRDefault="00C759A0">
      <w:pPr>
        <w:pStyle w:val="Level4"/>
        <w:tabs>
          <w:tab w:val="clear" w:pos="2098"/>
          <w:tab w:val="num" w:pos="1134"/>
        </w:tabs>
        <w:spacing w:after="240" w:line="320" w:lineRule="exact"/>
        <w:ind w:left="1134" w:hanging="1134"/>
      </w:pPr>
      <w:r>
        <w:rPr>
          <w:color w:val="000000"/>
        </w:rPr>
        <w:t xml:space="preserve">efetuar, caso a Emissora não realize, o pagamento de todas as despesas razoáveis comprovadas pelo Agente Fiduciário e/ou Debenturistas, que venham a ser necessárias para proteger os direitos e interesses dos Debenturistas ou para realizar </w:t>
      </w:r>
      <w:r>
        <w:rPr>
          <w:color w:val="000000"/>
        </w:rPr>
        <w:lastRenderedPageBreak/>
        <w:t>seus créditos, inclusive honorários advocatícios e outras despesas e custos incorridos em virtude da cobrança de qualquer quantia devida aos Debenturistas nos termos desta Escritura de Emissão;</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66096E">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Contour e/ou nas Subsidiárias e/ou em quaisquer de suas controladas que não seja a Santa Cruz</w:t>
      </w:r>
      <w:r>
        <w:rPr>
          <w:color w:val="000000"/>
        </w:rPr>
        <w:t xml:space="preserve">; </w:t>
      </w:r>
    </w:p>
    <w:p w:rsidR="00C963BB" w:rsidRDefault="00C759A0">
      <w:pPr>
        <w:pStyle w:val="Level4"/>
        <w:tabs>
          <w:tab w:val="clear" w:pos="2098"/>
          <w:tab w:val="num" w:pos="1134"/>
        </w:tabs>
        <w:spacing w:after="240" w:line="320" w:lineRule="exact"/>
        <w:ind w:left="1134" w:hanging="1134"/>
      </w:pPr>
      <w:r>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Contour estiver discutindo as referidas determinações de boa-fé na esfera administrativa ou judicial e/ou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w:t>
      </w:r>
    </w:p>
    <w:p w:rsidR="00C963BB" w:rsidRDefault="00C759A0">
      <w:pPr>
        <w:pStyle w:val="Level4"/>
        <w:tabs>
          <w:tab w:val="clear" w:pos="2098"/>
          <w:tab w:val="num" w:pos="1134"/>
        </w:tabs>
        <w:spacing w:after="240" w:line="320" w:lineRule="exact"/>
        <w:ind w:left="1134" w:hanging="1134"/>
      </w:pPr>
      <w:r>
        <w:t xml:space="preserve">não constituir, em favor de terceiros, ônus, gravames, garantias sobre os ativos objeto da Garantia ou dispor sob qualquer forma de tais bens, antes ou após a assinatura dos Contratos de Garantia, sem prévia e expressa aprovação dos Debenturistas, </w:t>
      </w:r>
      <w:r w:rsidR="008D12D9">
        <w:t xml:space="preserve">nos termos do item </w:t>
      </w:r>
      <w:r w:rsidR="008D12D9">
        <w:fldChar w:fldCharType="begin"/>
      </w:r>
      <w:r w:rsidR="008D12D9">
        <w:instrText xml:space="preserve"> REF _Ref386375664 \r \p \h  \* MERGEFORMAT </w:instrText>
      </w:r>
      <w:r w:rsidR="008D12D9">
        <w:fldChar w:fldCharType="separate"/>
      </w:r>
      <w:r w:rsidR="00281921">
        <w:t>10.12 abaixo</w:t>
      </w:r>
      <w:r w:rsidR="008D12D9">
        <w:fldChar w:fldCharType="end"/>
      </w:r>
      <w:r w:rsidR="008D12D9">
        <w:t xml:space="preserve">, </w:t>
      </w:r>
      <w:r>
        <w:t xml:space="preserve">exceto pela celebração dos Contratos de Garantia ou conforme autorizado nos termos do item </w:t>
      </w:r>
      <w:r>
        <w:fldChar w:fldCharType="begin"/>
      </w:r>
      <w:r>
        <w:instrText xml:space="preserve"> REF _Ref496656448 \r \h </w:instrText>
      </w:r>
      <w:r>
        <w:fldChar w:fldCharType="separate"/>
      </w:r>
      <w:r w:rsidR="00281921">
        <w:t>7.1.2</w:t>
      </w:r>
      <w:r>
        <w:fldChar w:fldCharType="end"/>
      </w:r>
      <w:r>
        <w:t xml:space="preserve">, inciso </w:t>
      </w:r>
      <w:r>
        <w:fldChar w:fldCharType="begin"/>
      </w:r>
      <w:r>
        <w:instrText xml:space="preserve"> REF _Ref519072152 \n \p \h </w:instrText>
      </w:r>
      <w:r>
        <w:fldChar w:fldCharType="separate"/>
      </w:r>
      <w:r w:rsidR="00281921">
        <w:t>(xii) acima</w:t>
      </w:r>
      <w:r>
        <w:fldChar w:fldCharType="end"/>
      </w:r>
      <w:r>
        <w:t xml:space="preserve"> e do item </w:t>
      </w:r>
      <w:r>
        <w:fldChar w:fldCharType="begin"/>
      </w:r>
      <w:r>
        <w:instrText xml:space="preserve"> REF _Ref516061048 \n \p \h </w:instrText>
      </w:r>
      <w:r>
        <w:fldChar w:fldCharType="separate"/>
      </w:r>
      <w:r w:rsidR="00281921">
        <w:t>7.1.9 acima</w:t>
      </w:r>
      <w:r>
        <w:fldChar w:fldCharType="end"/>
      </w:r>
      <w:r>
        <w:t xml:space="preserve">; </w:t>
      </w:r>
    </w:p>
    <w:p w:rsidR="00C963BB" w:rsidRDefault="00C759A0">
      <w:pPr>
        <w:pStyle w:val="Level4"/>
        <w:tabs>
          <w:tab w:val="clear" w:pos="2098"/>
          <w:tab w:val="num" w:pos="1134"/>
        </w:tabs>
        <w:spacing w:after="240" w:line="320" w:lineRule="exact"/>
        <w:ind w:left="1134" w:hanging="1134"/>
      </w:pPr>
      <w:bookmarkStart w:id="165" w:name="_Ref514359413"/>
      <w:bookmarkStart w:id="166" w:name="_Ref513730601"/>
      <w:bookmarkStart w:id="167" w:name="_Ref507699103"/>
      <w:r>
        <w:t xml:space="preserve">não celebrar ou permitir que suas Controladas Relevantes celebrem qualquer espécie de empréstimo, adiantamento, mútuo ou outros instrumentos de dívida, sem a prévia </w:t>
      </w:r>
      <w:r>
        <w:lastRenderedPageBreak/>
        <w:t xml:space="preserve">e expressa concordância dos Debenturistas, com quaisquer pessoas físicas e jurídicas, nacionais ou estrangeiras, inclusive partes relacionadas, exceto conforme permitido nos termos do item </w:t>
      </w:r>
      <w:r>
        <w:fldChar w:fldCharType="begin"/>
      </w:r>
      <w:r>
        <w:instrText xml:space="preserve"> REF _Ref498984291 \n \h </w:instrText>
      </w:r>
      <w:r>
        <w:fldChar w:fldCharType="separate"/>
      </w:r>
      <w:r w:rsidR="00281921">
        <w:t>8.1</w:t>
      </w:r>
      <w:r>
        <w:fldChar w:fldCharType="end"/>
      </w:r>
      <w:r>
        <w:t xml:space="preserve">, inciso </w:t>
      </w:r>
      <w:r>
        <w:fldChar w:fldCharType="begin"/>
      </w:r>
      <w:r>
        <w:instrText xml:space="preserve"> REF _Ref517730866 \n \p \h </w:instrText>
      </w:r>
      <w:r>
        <w:fldChar w:fldCharType="separate"/>
      </w:r>
      <w:r w:rsidR="00281921">
        <w:t>(xxi) acima</w:t>
      </w:r>
      <w:r>
        <w:fldChar w:fldCharType="end"/>
      </w:r>
      <w:r>
        <w:t>;</w:t>
      </w:r>
      <w:bookmarkEnd w:id="165"/>
    </w:p>
    <w:p w:rsidR="00C963BB" w:rsidRDefault="00C759A0">
      <w:pPr>
        <w:pStyle w:val="Level4"/>
        <w:tabs>
          <w:tab w:val="clear" w:pos="2098"/>
          <w:tab w:val="num" w:pos="1134"/>
        </w:tabs>
        <w:spacing w:after="240" w:line="320" w:lineRule="exact"/>
        <w:ind w:left="1134" w:hanging="1134"/>
      </w:pPr>
      <w:r>
        <w:t xml:space="preserve">não efetuar e/ou permitir que suas Controladas Relevantes efetuem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conforme permitido nos termos do item </w:t>
      </w:r>
      <w:r>
        <w:fldChar w:fldCharType="begin"/>
      </w:r>
      <w:r>
        <w:instrText xml:space="preserve"> REF _Ref498984291 \n \h </w:instrText>
      </w:r>
      <w:r>
        <w:fldChar w:fldCharType="separate"/>
      </w:r>
      <w:r w:rsidR="00281921">
        <w:t>8.1</w:t>
      </w:r>
      <w:r>
        <w:fldChar w:fldCharType="end"/>
      </w:r>
      <w:r>
        <w:t xml:space="preserve">, inciso </w:t>
      </w:r>
      <w:r>
        <w:fldChar w:fldCharType="begin"/>
      </w:r>
      <w:r>
        <w:instrText xml:space="preserve"> REF _Ref517730887 \n \p \h </w:instrText>
      </w:r>
      <w:r>
        <w:fldChar w:fldCharType="separate"/>
      </w:r>
      <w:r w:rsidR="00281921">
        <w:t>(xxii) acima</w:t>
      </w:r>
      <w:r>
        <w:fldChar w:fldCharType="end"/>
      </w:r>
      <w:r>
        <w:t xml:space="preserve">; </w:t>
      </w:r>
    </w:p>
    <w:p w:rsidR="00C963BB" w:rsidRDefault="00C759A0">
      <w:pPr>
        <w:pStyle w:val="Level4"/>
        <w:tabs>
          <w:tab w:val="clear" w:pos="2098"/>
          <w:tab w:val="num" w:pos="1134"/>
        </w:tabs>
        <w:spacing w:after="240" w:line="320" w:lineRule="exact"/>
        <w:ind w:left="1134" w:hanging="1134"/>
      </w:pPr>
      <w:r>
        <w:t>informar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w:t>
      </w:r>
      <w:r w:rsidR="00AE7691">
        <w:t xml:space="preserve"> por suas</w:t>
      </w:r>
      <w:r>
        <w:t xml:space="preserve"> controladas; </w:t>
      </w:r>
    </w:p>
    <w:bookmarkEnd w:id="166"/>
    <w:bookmarkEnd w:id="167"/>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e de suas Controladas Relevantes adequadamente segurados, conforme razoavelmente esperado e de acordo com as práticas correntes de mercado, bem como manter todas as</w:t>
      </w:r>
      <w:r>
        <w:t xml:space="preserve"> apólices de seguro contratadas pela Contour e/ou pelas Subsidiárias vigentes na data de assinatura desta Escritura de Emissão;</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Contour e de suas Controladas Relevantes,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w:t>
      </w:r>
      <w:r w:rsidR="00AE7691">
        <w:rPr>
          <w:noProof/>
        </w:rPr>
        <w:t xml:space="preserve">pela </w:t>
      </w:r>
      <w:r>
        <w:rPr>
          <w:noProof/>
        </w:rPr>
        <w:t xml:space="preserve">Contour e/ou </w:t>
      </w:r>
      <w:r w:rsidR="00AE7691">
        <w:rPr>
          <w:noProof/>
        </w:rPr>
        <w:t xml:space="preserve">por </w:t>
      </w:r>
      <w:r>
        <w:rPr>
          <w:noProof/>
        </w:rPr>
        <w:t xml:space="preserve">suas Controladas Relevantes para além de seu prazo ordinário, investimentos esses que </w:t>
      </w:r>
      <w:r>
        <w:rPr>
          <w:noProof/>
        </w:rPr>
        <w:lastRenderedPageBreak/>
        <w:t xml:space="preserve">podem ou não ser realizados pela Contour e/ou por suas Controladas Relevantes a seu exclusivo critério, observado o previsto nos itens </w:t>
      </w:r>
      <w:r>
        <w:rPr>
          <w:noProof/>
        </w:rPr>
        <w:fldChar w:fldCharType="begin"/>
      </w:r>
      <w:r>
        <w:rPr>
          <w:noProof/>
        </w:rPr>
        <w:instrText xml:space="preserve"> REF _Ref519775448 \n \h </w:instrText>
      </w:r>
      <w:r>
        <w:rPr>
          <w:noProof/>
        </w:rPr>
      </w:r>
      <w:r>
        <w:rPr>
          <w:noProof/>
        </w:rPr>
        <w:fldChar w:fldCharType="separate"/>
      </w:r>
      <w:r w:rsidR="00281921">
        <w:rPr>
          <w:noProof/>
        </w:rPr>
        <w:t>(xxvii)</w:t>
      </w:r>
      <w:r>
        <w:rPr>
          <w:noProof/>
        </w:rPr>
        <w:fldChar w:fldCharType="end"/>
      </w:r>
      <w:r>
        <w:rPr>
          <w:noProof/>
        </w:rPr>
        <w:t xml:space="preserve"> e </w:t>
      </w:r>
      <w:r>
        <w:rPr>
          <w:noProof/>
        </w:rPr>
        <w:fldChar w:fldCharType="begin"/>
      </w:r>
      <w:r>
        <w:rPr>
          <w:noProof/>
        </w:rPr>
        <w:instrText xml:space="preserve"> REF _Ref519775455 \n \p \h </w:instrText>
      </w:r>
      <w:r>
        <w:rPr>
          <w:noProof/>
        </w:rPr>
      </w:r>
      <w:r>
        <w:rPr>
          <w:noProof/>
        </w:rPr>
        <w:fldChar w:fldCharType="separate"/>
      </w:r>
      <w:r w:rsidR="00281921">
        <w:rPr>
          <w:noProof/>
        </w:rPr>
        <w:t>(xxviii) abaixo</w:t>
      </w:r>
      <w:r>
        <w:rPr>
          <w:noProof/>
        </w:rPr>
        <w:fldChar w:fldCharType="end"/>
      </w:r>
      <w:r>
        <w:rPr>
          <w:noProof/>
        </w:rPr>
        <w:t>;</w:t>
      </w:r>
    </w:p>
    <w:p w:rsidR="00C963BB" w:rsidRDefault="00C759A0">
      <w:pPr>
        <w:pStyle w:val="Level4"/>
        <w:tabs>
          <w:tab w:val="clear" w:pos="2098"/>
          <w:tab w:val="num" w:pos="1134"/>
        </w:tabs>
        <w:spacing w:after="240" w:line="320" w:lineRule="exact"/>
        <w:ind w:left="1134" w:hanging="1134"/>
        <w:rPr>
          <w:rFonts w:eastAsia="Arial Unicode MS"/>
        </w:rPr>
      </w:pPr>
      <w:bookmarkStart w:id="168" w:name="_Ref519775448"/>
      <w:bookmarkStart w:id="169" w:name="_Ref518561584"/>
      <w:r>
        <w:rPr>
          <w:rFonts w:eastAsia="SimSun"/>
        </w:rPr>
        <w:t xml:space="preserve">durante o exercício social de 2021, </w:t>
      </w:r>
      <w:r>
        <w:t>não realizar e assegurar que suas Controladas Relevantes não realizarão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Contour, mediante </w:t>
      </w:r>
      <w:r>
        <w:t>aumento de capital na Contour ou outra forma de aporte permitida nesta Escritura de Emissão;</w:t>
      </w:r>
      <w:bookmarkEnd w:id="168"/>
    </w:p>
    <w:p w:rsidR="00C963BB" w:rsidRDefault="00C759A0">
      <w:pPr>
        <w:pStyle w:val="Level4"/>
        <w:tabs>
          <w:tab w:val="clear" w:pos="2098"/>
          <w:tab w:val="num" w:pos="1134"/>
        </w:tabs>
        <w:spacing w:after="240" w:line="320" w:lineRule="exact"/>
        <w:ind w:left="1134" w:hanging="1134"/>
        <w:rPr>
          <w:rFonts w:eastAsia="Arial Unicode MS"/>
        </w:rPr>
      </w:pPr>
      <w:bookmarkStart w:id="170" w:name="_Ref519775455"/>
      <w:r>
        <w:rPr>
          <w:rFonts w:eastAsia="SimSun"/>
        </w:rPr>
        <w:t xml:space="preserve">sem prejuízo do disposto do item </w:t>
      </w:r>
      <w:r>
        <w:rPr>
          <w:rFonts w:eastAsia="SimSun"/>
        </w:rPr>
        <w:fldChar w:fldCharType="begin"/>
      </w:r>
      <w:r>
        <w:rPr>
          <w:rFonts w:eastAsia="SimSun"/>
        </w:rPr>
        <w:instrText xml:space="preserve"> REF _Ref519775448 \n \p \h </w:instrText>
      </w:r>
      <w:r>
        <w:rPr>
          <w:rFonts w:eastAsia="SimSun"/>
        </w:rPr>
      </w:r>
      <w:r>
        <w:rPr>
          <w:rFonts w:eastAsia="SimSun"/>
        </w:rPr>
        <w:fldChar w:fldCharType="separate"/>
      </w:r>
      <w:r w:rsidR="00281921">
        <w:rPr>
          <w:rFonts w:eastAsia="SimSun"/>
        </w:rPr>
        <w:t>(xxvii) acima</w:t>
      </w:r>
      <w:r>
        <w:rPr>
          <w:rFonts w:eastAsia="SimSun"/>
        </w:rPr>
        <w:fldChar w:fldCharType="end"/>
      </w:r>
      <w:r>
        <w:rPr>
          <w:rFonts w:eastAsia="SimSun"/>
        </w:rPr>
        <w:t xml:space="preserve">, em caso de </w:t>
      </w:r>
      <w:r>
        <w:t xml:space="preserve">renovação e/ou celebração de novos contratos de fornecimento de energia da Capuava, da Filial Brahma, da Filial Balsa, da Filial Mogi, da Santa Cruz e/ou da Tespias, não realizar e assegurar que suas Controladas Relevantes não realizarão qualquer investimento ou aquisição de equipamentos </w:t>
      </w:r>
      <w:r>
        <w:rPr>
          <w:noProof/>
        </w:rPr>
        <w:t>necessários para celebração e/ou renovação dos 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Emissão;</w:t>
      </w:r>
      <w:bookmarkEnd w:id="170"/>
      <w:r>
        <w:t xml:space="preserve"> </w:t>
      </w:r>
    </w:p>
    <w:bookmarkEnd w:id="169"/>
    <w:p w:rsidR="00C963BB" w:rsidRDefault="00C759A0">
      <w:pPr>
        <w:pStyle w:val="Level4"/>
        <w:tabs>
          <w:tab w:val="clear" w:pos="2098"/>
          <w:tab w:val="num" w:pos="1134"/>
        </w:tabs>
        <w:spacing w:after="240" w:line="320" w:lineRule="exact"/>
        <w:ind w:left="1134" w:hanging="1134"/>
      </w:pPr>
      <w:r>
        <w:t>aplicar e fazer com que a Emissora aplique os recursos captados por meio da Emissão exclusivamente de acordo com os termos da Cláusula Quarta acima;</w:t>
      </w:r>
    </w:p>
    <w:p w:rsidR="00C963BB" w:rsidRDefault="00C759A0">
      <w:pPr>
        <w:pStyle w:val="Level4"/>
        <w:tabs>
          <w:tab w:val="clear" w:pos="2098"/>
          <w:tab w:val="num" w:pos="1134"/>
        </w:tabs>
        <w:spacing w:after="240" w:line="320" w:lineRule="exact"/>
        <w:ind w:left="1134" w:hanging="1134"/>
      </w:pPr>
      <w:r>
        <w:t>cumprir rigorosamente e envidar seus melhores esforços para que suas demais partes subordinadas, assim entendidas como representantes, funcionários, prepostos, contratados, prestadores de serviços que atuem a mando ou em favor da Contour e/ou da</w:t>
      </w:r>
      <w:r w:rsidR="00E92836">
        <w:t>s</w:t>
      </w:r>
      <w:r>
        <w:t xml:space="preserve"> Subsidiárias, sob qualquer forma, cumpram, durante o prazo de vigência das Debêntures, as obrigações oriundas da legislação e da regulamentação ambiental e trabalhista relativa à saúde e segurança ocupacional aplicável à Contour e</w:t>
      </w:r>
      <w:r w:rsidR="00E92836">
        <w:t>/ou</w:t>
      </w:r>
      <w:r>
        <w:t xml:space="preserve"> às Subsidiárias, assim como aquelas decorrentes das Debêntures, inclusive no que se refere à inexistência de trabalho escravo e infantil, exceto por aquelas questionadas de boa-fé nas esferas administrativa e/ou judicial ou cujo descumprimento não cause um efeito adverso relevante na Contour e/ou nas Subsidiárias; </w:t>
      </w:r>
    </w:p>
    <w:p w:rsidR="00C963BB" w:rsidRDefault="00C759A0">
      <w:pPr>
        <w:pStyle w:val="Level4"/>
        <w:tabs>
          <w:tab w:val="clear" w:pos="2098"/>
          <w:tab w:val="num" w:pos="1134"/>
        </w:tabs>
        <w:spacing w:after="240" w:line="320" w:lineRule="exact"/>
        <w:ind w:left="1134" w:hanging="1134"/>
      </w:pPr>
      <w:r>
        <w:t xml:space="preserve">manter-se e fazer com que as Subsidiárias mantenham-se em situação regular com relação às suas obrigações junto aos órgãos do meio ambiente, à Câmara de Comercialização de Energia Elétrica (CCEE), à Agência Nacional de Energia </w:t>
      </w:r>
      <w:r>
        <w:lastRenderedPageBreak/>
        <w:t xml:space="preserve">Elétrica (ANEEL), ao Ministério de Minas e Energia (MME) e ao Operador Nacional do Sistema Elétrico (ONS), durante a vigência desta Escritura de Emissão; </w:t>
      </w:r>
    </w:p>
    <w:p w:rsidR="004603E6" w:rsidRDefault="004603E6">
      <w:pPr>
        <w:pStyle w:val="Level4"/>
        <w:tabs>
          <w:tab w:val="clear" w:pos="2098"/>
          <w:tab w:val="num" w:pos="1134"/>
        </w:tabs>
        <w:spacing w:after="240" w:line="320" w:lineRule="exact"/>
        <w:ind w:left="1134" w:hanging="1134"/>
      </w:pPr>
      <w:r>
        <w:t>não transferir, ceder, alienar, onerar, de qualquer forma ou prometer transferir, ceder, alienar ou onerar os direitos creditórios de titularidade da Contour ou de suas controladas decorrentes de contratos de compra e venda de energia;</w:t>
      </w:r>
    </w:p>
    <w:p w:rsidR="00C963BB" w:rsidRDefault="00C759A0">
      <w:pPr>
        <w:pStyle w:val="Level4"/>
        <w:tabs>
          <w:tab w:val="clear" w:pos="2098"/>
          <w:tab w:val="num" w:pos="1134"/>
        </w:tabs>
        <w:spacing w:after="240" w:line="320" w:lineRule="exact"/>
        <w:ind w:left="1134" w:hanging="1134"/>
      </w:pPr>
      <w:bookmarkStart w:id="171" w:name="_Ref516062543"/>
      <w:r>
        <w:t xml:space="preserve">tomar todas as medidas para que sejam distribuídos à Contour, na proporção de sua participação no capital social das Subsidiárias, 100% (cem por cento) do lucro líquido ajustado das Subsidiárias apurado ao final de cada exercício social, calculado com base na legislação aplicável, observado o disposto neste item, na legislação aplicável e nos documentos constitutivos das Subsidiárias. Fica, desde já, estabelecido que </w:t>
      </w:r>
      <w:r>
        <w:rPr>
          <w:b/>
        </w:rPr>
        <w:t xml:space="preserve">(a) </w:t>
      </w:r>
      <w:r>
        <w:t>após cada distribuição dos recursos atrelados às ações, nunca poderá ser mantido caixa em nenhuma das Subsidiárias em valor superior a R$1.000.000,00 (um milhão de reais) por Subsidiária para fins de pagamento das despesas ordinárias de cada Subsidiária, somado ao montante de investimentos em ativos imobilizados que for essencial para a manutenção da boa operação das Subsidiárias para os próximos 12 (doze) meses e ao valor necessário para realizar os pagamentos devidos no âmbito desta Escritura de Emissão e das respectivas Escrituras de Emissão Subsidiárias (“</w:t>
      </w:r>
      <w:r>
        <w:rPr>
          <w:u w:val="single"/>
        </w:rPr>
        <w:t>Caixa Máximo</w:t>
      </w:r>
      <w:r>
        <w:t xml:space="preserve">”), exceto caso o lucro líquido ajustado da Subsidiária não seja suficiente para que o Caixa Máximo seja observado; e </w:t>
      </w:r>
      <w:r>
        <w:rPr>
          <w:b/>
        </w:rPr>
        <w:t>(b)</w:t>
      </w:r>
      <w:r>
        <w:t> caso qualquer Subsidiária não possua caixa para realizar a distribuição de 100% (cem por cento) do lucro líquido apurado, a distribuição será limitada ao montante de caixa disponível, observado o Caixa Máximo;</w:t>
      </w:r>
      <w:bookmarkEnd w:id="171"/>
      <w:r>
        <w:t xml:space="preserve"> </w:t>
      </w:r>
    </w:p>
    <w:p w:rsidR="00C963BB" w:rsidRDefault="00C759A0">
      <w:pPr>
        <w:pStyle w:val="Level4"/>
        <w:tabs>
          <w:tab w:val="clear" w:pos="2098"/>
          <w:tab w:val="num" w:pos="1134"/>
        </w:tabs>
        <w:spacing w:after="240" w:line="320" w:lineRule="exact"/>
        <w:ind w:left="1134" w:hanging="1134"/>
      </w:pPr>
      <w:bookmarkStart w:id="172" w:name="_Ref497991280"/>
      <w:bookmarkStart w:id="173" w:name="_Ref516060247"/>
      <w:r>
        <w:rPr>
          <w:bCs/>
        </w:rPr>
        <w:t xml:space="preserve">fazer com que as Subsidiárias mantenham previsão em seus respectivos estatutos sociais a obrigatoriedade de distribuição da totalidade do lucro líquido ajustado a título de dividendos nos termos do item </w:t>
      </w:r>
      <w:r>
        <w:rPr>
          <w:bCs/>
        </w:rPr>
        <w:fldChar w:fldCharType="begin"/>
      </w:r>
      <w:r>
        <w:rPr>
          <w:bCs/>
        </w:rPr>
        <w:instrText xml:space="preserve"> REF _Ref516062543 \n \p \h </w:instrText>
      </w:r>
      <w:r>
        <w:rPr>
          <w:bCs/>
        </w:rPr>
      </w:r>
      <w:r>
        <w:rPr>
          <w:bCs/>
        </w:rPr>
        <w:fldChar w:fldCharType="separate"/>
      </w:r>
      <w:r w:rsidR="00281921">
        <w:rPr>
          <w:bCs/>
        </w:rPr>
        <w:t>(xxxiii) acima</w:t>
      </w:r>
      <w:r>
        <w:rPr>
          <w:bCs/>
        </w:rPr>
        <w:fldChar w:fldCharType="end"/>
      </w:r>
      <w:r>
        <w:rPr>
          <w:bCs/>
        </w:rPr>
        <w:t xml:space="preserve"> e tomar todas e quaisquer medidas necessárias para a efetiva distribuição da </w:t>
      </w:r>
      <w:bookmarkEnd w:id="172"/>
      <w:r>
        <w:t xml:space="preserve">totalidade do lucro líquido </w:t>
      </w:r>
      <w:bookmarkStart w:id="174" w:name="_Ref498984335"/>
      <w:r>
        <w:t xml:space="preserve">ajustado, observado o disposto no </w:t>
      </w:r>
      <w:bookmarkEnd w:id="174"/>
      <w:r>
        <w:t xml:space="preserve">artigo 193 da Lei das Sociedades por Ações; </w:t>
      </w:r>
    </w:p>
    <w:p w:rsidR="00C963BB" w:rsidRDefault="00C759A0">
      <w:pPr>
        <w:pStyle w:val="Level4"/>
        <w:tabs>
          <w:tab w:val="clear" w:pos="2098"/>
          <w:tab w:val="num" w:pos="1134"/>
        </w:tabs>
        <w:spacing w:after="240" w:line="320" w:lineRule="exact"/>
        <w:ind w:left="1134" w:hanging="1134"/>
      </w:pPr>
      <w:r>
        <w:t xml:space="preserve">somente realizar pagamentos de dividendos, juros sobre capital próprio ou qualquer outra participação no lucro estatutariamente prevista com base no resultado apurado: </w:t>
      </w:r>
      <w:r>
        <w:rPr>
          <w:b/>
        </w:rPr>
        <w:t>(a)</w:t>
      </w:r>
      <w:r>
        <w:t xml:space="preserve"> nas últimas </w:t>
      </w:r>
      <w:r>
        <w:rPr>
          <w:rFonts w:eastAsia="Arial Unicode MS"/>
        </w:rPr>
        <w:t xml:space="preserve">demonstrações financeiras anuais auditadas divulgadas nos termos do </w:t>
      </w:r>
      <w:r>
        <w:t xml:space="preserve">item </w:t>
      </w:r>
      <w:r>
        <w:fldChar w:fldCharType="begin"/>
      </w:r>
      <w:r>
        <w:instrText xml:space="preserve"> REF _Ref512706016 \r \h  \* MERGEFORMAT </w:instrText>
      </w:r>
      <w:r>
        <w:fldChar w:fldCharType="separate"/>
      </w:r>
      <w:r w:rsidR="00281921">
        <w:t>8.2</w:t>
      </w:r>
      <w:r>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_Ref518509757 \n \h </w:instrText>
      </w:r>
      <w:r>
        <w:fldChar w:fldCharType="separate"/>
      </w:r>
      <w:r w:rsidR="00281921">
        <w:t>(a)</w:t>
      </w:r>
      <w:r>
        <w:fldChar w:fldCharType="end"/>
      </w:r>
      <w:r>
        <w:t xml:space="preserve"> acima;</w:t>
      </w:r>
      <w:r>
        <w:rPr>
          <w:rFonts w:eastAsia="Arial Unicode MS"/>
        </w:rPr>
        <w:t xml:space="preserve"> </w:t>
      </w:r>
      <w:r>
        <w:rPr>
          <w:rFonts w:eastAsia="Arial Unicode MS"/>
          <w:b/>
        </w:rPr>
        <w:t xml:space="preserve">(b) </w:t>
      </w:r>
      <w:r>
        <w:rPr>
          <w:rFonts w:eastAsia="Arial Unicode MS"/>
        </w:rPr>
        <w:t xml:space="preserve">nos últimos </w:t>
      </w:r>
      <w:r>
        <w:t xml:space="preserve">balanços patrimoniais, demonstrações de fluxo de caixa e demonstrações de resultados (lucros e prejuízos) trimestrais consolidados da Contour, relativos aos trimestres findos em 31 de março e 30 de setembro, </w:t>
      </w:r>
      <w:r w:rsidR="004603E6">
        <w:t xml:space="preserve">divulgados nos termos do </w:t>
      </w:r>
      <w:r>
        <w:t xml:space="preserve">item </w:t>
      </w:r>
      <w:r>
        <w:fldChar w:fldCharType="begin"/>
      </w:r>
      <w:r>
        <w:instrText xml:space="preserve"> REF _Ref512706016 \r \h  \* MERGEFORMAT </w:instrText>
      </w:r>
      <w:r>
        <w:fldChar w:fldCharType="separate"/>
      </w:r>
      <w:r w:rsidR="00281921">
        <w:t>8.2</w:t>
      </w:r>
      <w:r>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_Ref507708623 \n \p \h </w:instrText>
      </w:r>
      <w:r>
        <w:fldChar w:fldCharType="separate"/>
      </w:r>
      <w:r w:rsidR="00281921">
        <w:t>(b) acima</w:t>
      </w:r>
      <w:r>
        <w:fldChar w:fldCharType="end"/>
      </w:r>
      <w:r>
        <w:t xml:space="preserve">, </w:t>
      </w:r>
      <w:r>
        <w:rPr>
          <w:rFonts w:eastAsia="Arial Unicode MS"/>
        </w:rPr>
        <w:lastRenderedPageBreak/>
        <w:t>revisados por Auditor Independente</w:t>
      </w:r>
      <w:r>
        <w:t xml:space="preserve">; ou </w:t>
      </w:r>
      <w:r>
        <w:rPr>
          <w:b/>
        </w:rPr>
        <w:t xml:space="preserve">(c) </w:t>
      </w:r>
      <w:r>
        <w:t>nas demonstrações financeiras semestrais consolidadas da Contour</w:t>
      </w:r>
      <w:r>
        <w:rPr>
          <w:rFonts w:eastAsia="Arial Unicode MS"/>
        </w:rPr>
        <w:t xml:space="preserve"> revisadas por Auditor Independente, </w:t>
      </w:r>
      <w:r w:rsidR="004603E6">
        <w:rPr>
          <w:rFonts w:eastAsia="Arial Unicode MS"/>
        </w:rPr>
        <w:t xml:space="preserve">divulgadas nos termos do </w:t>
      </w:r>
      <w:r>
        <w:t xml:space="preserve">item </w:t>
      </w:r>
      <w:r>
        <w:fldChar w:fldCharType="begin"/>
      </w:r>
      <w:r>
        <w:instrText xml:space="preserve"> REF _Ref512706016 \r \h  \* MERGEFORMAT </w:instrText>
      </w:r>
      <w:r>
        <w:fldChar w:fldCharType="separate"/>
      </w:r>
      <w:r w:rsidR="00281921">
        <w:t>8.2</w:t>
      </w:r>
      <w:r>
        <w:fldChar w:fldCharType="end"/>
      </w:r>
      <w:r>
        <w:t xml:space="preserve">, inciso </w:t>
      </w:r>
      <w:r>
        <w:fldChar w:fldCharType="begin"/>
      </w:r>
      <w:r>
        <w:instrText xml:space="preserve"> REF _Ref514233046 \n \h  \* MERGEFORMAT </w:instrText>
      </w:r>
      <w:r>
        <w:fldChar w:fldCharType="separate"/>
      </w:r>
      <w:r w:rsidR="00281921">
        <w:t>(i)</w:t>
      </w:r>
      <w:r>
        <w:fldChar w:fldCharType="end"/>
      </w:r>
      <w:r>
        <w:t xml:space="preserve">, alínea </w:t>
      </w:r>
      <w:r>
        <w:fldChar w:fldCharType="begin"/>
      </w:r>
      <w:r>
        <w:instrText xml:space="preserve"> REF _Ref507708623 \n \p \h </w:instrText>
      </w:r>
      <w:r>
        <w:fldChar w:fldCharType="separate"/>
      </w:r>
      <w:r w:rsidR="00281921">
        <w:t>(b) acima</w:t>
      </w:r>
      <w:r>
        <w:fldChar w:fldCharType="end"/>
      </w:r>
      <w:r>
        <w:rPr>
          <w:rFonts w:eastAsia="Arial Unicode MS"/>
        </w:rPr>
        <w:t>;</w:t>
      </w:r>
    </w:p>
    <w:p w:rsidR="00C963BB" w:rsidRDefault="00C759A0">
      <w:pPr>
        <w:pStyle w:val="Level4"/>
        <w:tabs>
          <w:tab w:val="clear" w:pos="2098"/>
          <w:tab w:val="num" w:pos="1134"/>
        </w:tabs>
        <w:spacing w:after="240" w:line="320" w:lineRule="exact"/>
        <w:ind w:left="1134" w:hanging="1134"/>
      </w:pPr>
      <w:r>
        <w:t xml:space="preserve">assegurar que </w:t>
      </w:r>
      <w:r>
        <w:rPr>
          <w:bCs/>
        </w:rPr>
        <w:t xml:space="preserve">as Subsidiárias </w:t>
      </w:r>
      <w:r>
        <w:t xml:space="preserve">somente realizem pagamentos de dividendos, juros sobre capital próprio ou qualquer outra participação no lucro estatutariamente prevista com base no resultado apurado nas suas últimas </w:t>
      </w:r>
      <w:r>
        <w:rPr>
          <w:rFonts w:eastAsia="Arial Unicode MS"/>
        </w:rPr>
        <w:t xml:space="preserve">demonstrações financeiras auditadas ou nos seus últimos </w:t>
      </w:r>
      <w:r>
        <w:t xml:space="preserve">balanços patrimoniais, demonstrações de fluxo de caixa e demonstrações de resultados (lucros e prejuízos) trimestrais individuais </w:t>
      </w:r>
      <w:r>
        <w:rPr>
          <w:rFonts w:eastAsia="Arial Unicode MS"/>
        </w:rPr>
        <w:t xml:space="preserve">não auditados, observado que está desde já autorizado o eventual pagamento de dividendos declarados pela Emissora e não pagos referentes aos exercícios sociais de 2016 e 2017; </w:t>
      </w:r>
    </w:p>
    <w:p w:rsidR="00C963BB" w:rsidRDefault="00C759A0">
      <w:pPr>
        <w:pStyle w:val="Level4"/>
        <w:tabs>
          <w:tab w:val="clear" w:pos="2098"/>
          <w:tab w:val="num" w:pos="1134"/>
        </w:tabs>
        <w:spacing w:after="240" w:line="320" w:lineRule="exact"/>
        <w:ind w:left="1134" w:hanging="1134"/>
      </w:pPr>
      <w:r>
        <w:t xml:space="preserve">não realizar, e assegurar que suas Controladas Relevantes não realizem qualquer aumento de capital ou adiantamentos para futuros aumentos de capital na Santa Cruz e/ou na Tespias, exceto caso os valores do aumento de capital ou adiantamento para futuro aumento de capital tenham sido integralmente recebidos pela Contour por meio de aumento de capital previamente ao respectivo aumento na ou adiantamento à Santa Cruz e/ou na Tespias; </w:t>
      </w:r>
      <w:r w:rsidR="008D326A">
        <w:t>e</w:t>
      </w:r>
    </w:p>
    <w:p w:rsidR="00C963BB" w:rsidRDefault="00C759A0">
      <w:pPr>
        <w:pStyle w:val="Level4"/>
        <w:spacing w:after="240" w:line="320" w:lineRule="exact"/>
        <w:ind w:left="1134" w:hanging="1134"/>
      </w:pPr>
      <w:bookmarkStart w:id="175" w:name="_Ref516526363"/>
      <w:r>
        <w:rPr>
          <w:noProof/>
        </w:rPr>
        <w:t xml:space="preserve">caso o contrato de compra e venda de energia da Capuava não seja renovado, no prazo de até 6 (seis) meses contados da Data de Término do PPA Capuava: </w:t>
      </w:r>
      <w:r>
        <w:rPr>
          <w:b/>
          <w:noProof/>
        </w:rPr>
        <w:t>(a)</w:t>
      </w:r>
      <w:r>
        <w:rPr>
          <w:noProof/>
        </w:rPr>
        <w:t> iniciar os procedimentos para a</w:t>
      </w:r>
      <w:r>
        <w:t xml:space="preserve"> dissolução</w:t>
      </w:r>
      <w:r>
        <w:rPr>
          <w:noProof/>
        </w:rPr>
        <w:t xml:space="preserve"> e/ou liquidação da Capuava, devendo </w:t>
      </w:r>
      <w:r>
        <w:rPr>
          <w:rFonts w:eastAsia="SimSun"/>
        </w:rPr>
        <w:t>praticar tempestivamente todos e quaisquer atos necessários para a efetiva dissolução e/ou liquidação da Capuava, incluindo mas não se limitando ao atendimento de exigências formuladas por junta comercial ou por outras autoridades governamentais</w:t>
      </w:r>
      <w:r>
        <w:rPr>
          <w:noProof/>
        </w:rPr>
        <w:t xml:space="preserve">; ou </w:t>
      </w:r>
      <w:r>
        <w:rPr>
          <w:b/>
          <w:noProof/>
        </w:rPr>
        <w:t>(b)</w:t>
      </w:r>
      <w:r>
        <w:rPr>
          <w:noProof/>
        </w:rPr>
        <w:t> realizar a Segregação Capuava</w:t>
      </w:r>
      <w:r w:rsidR="008D326A">
        <w:rPr>
          <w:noProof/>
        </w:rPr>
        <w:t>.</w:t>
      </w:r>
    </w:p>
    <w:p w:rsidR="00C963BB" w:rsidRDefault="00C759A0">
      <w:pPr>
        <w:pStyle w:val="Level1"/>
        <w:spacing w:before="0" w:after="240" w:line="320" w:lineRule="exact"/>
        <w:ind w:left="0" w:firstLine="0"/>
        <w:jc w:val="center"/>
        <w:rPr>
          <w:szCs w:val="22"/>
        </w:rPr>
      </w:pPr>
      <w:bookmarkStart w:id="176" w:name="_Ref417635874"/>
      <w:bookmarkEnd w:id="175"/>
      <w:bookmarkEnd w:id="173"/>
      <w:r>
        <w:t>CLÁUSULA</w:t>
      </w:r>
      <w:r>
        <w:rPr>
          <w:szCs w:val="22"/>
        </w:rPr>
        <w:t xml:space="preserve"> NONA - </w:t>
      </w:r>
      <w:bookmarkEnd w:id="176"/>
      <w:r>
        <w:rPr>
          <w:szCs w:val="22"/>
        </w:rPr>
        <w:t>DO AGENTE FIDUCIÁRIO</w:t>
      </w:r>
    </w:p>
    <w:p w:rsidR="00C963BB" w:rsidRDefault="00C759A0">
      <w:pPr>
        <w:pStyle w:val="Level2"/>
        <w:tabs>
          <w:tab w:val="clear" w:pos="680"/>
          <w:tab w:val="num" w:pos="1134"/>
        </w:tabs>
        <w:spacing w:after="240" w:line="320" w:lineRule="exact"/>
        <w:ind w:left="0" w:firstLine="0"/>
        <w:rPr>
          <w:szCs w:val="22"/>
        </w:rPr>
      </w:pPr>
      <w:r>
        <w:rPr>
          <w:szCs w:val="22"/>
        </w:rPr>
        <w:t xml:space="preserve">A Emissora nomeou e constituiu como Agente Fiduciário da Emissão a </w:t>
      </w:r>
      <w:r>
        <w:rPr>
          <w:b/>
          <w:caps/>
          <w:szCs w:val="22"/>
        </w:rPr>
        <w:t>Oliveira Trust Distribuidora de Títulos e Valores Mobiliários S.A.</w:t>
      </w:r>
      <w:r>
        <w:rPr>
          <w:szCs w:val="22"/>
        </w:rPr>
        <w:t>, qualificada no preâmbulo desta Escritura de Emissão, que aceitou a nomeação para, nos termos da lei e da presente Escritura de Emissão, representar os interesses da comunhão dos Debenturistas.</w:t>
      </w:r>
    </w:p>
    <w:p w:rsidR="00C963BB" w:rsidRDefault="00C759A0">
      <w:pPr>
        <w:pStyle w:val="Level2"/>
        <w:tabs>
          <w:tab w:val="clear" w:pos="680"/>
          <w:tab w:val="num" w:pos="1134"/>
        </w:tabs>
        <w:spacing w:after="240" w:line="320" w:lineRule="exact"/>
        <w:ind w:left="0" w:firstLine="0"/>
        <w:rPr>
          <w:szCs w:val="22"/>
        </w:rPr>
      </w:pPr>
      <w:r>
        <w:rPr>
          <w:szCs w:val="22"/>
        </w:rPr>
        <w:t>O Agente Fiduciário, nomeado na presente Escritura de Emissão, declara que:</w:t>
      </w:r>
    </w:p>
    <w:p w:rsidR="00C963BB" w:rsidRDefault="00C759A0">
      <w:pPr>
        <w:pStyle w:val="Level4"/>
        <w:spacing w:after="240" w:line="320" w:lineRule="exact"/>
        <w:ind w:left="1134" w:hanging="1134"/>
      </w:pPr>
      <w:r>
        <w:lastRenderedPageBreak/>
        <w:t>aceita a função para a qual foi nomeado, assumindo integralmente os deveres e atribuições previstas na legislação específica e nesta Escritura de Emissão;</w:t>
      </w:r>
    </w:p>
    <w:p w:rsidR="00C963BB" w:rsidRDefault="00C759A0">
      <w:pPr>
        <w:pStyle w:val="Level4"/>
        <w:spacing w:after="240" w:line="320" w:lineRule="exact"/>
        <w:ind w:left="1134" w:hanging="1134"/>
      </w:pPr>
      <w:r>
        <w:t>aceita integralmente esta Escritura de Emissão, todas suas Cláusulas e condições;</w:t>
      </w:r>
    </w:p>
    <w:p w:rsidR="00C963BB" w:rsidRDefault="00C759A0">
      <w:pPr>
        <w:pStyle w:val="Level4"/>
        <w:spacing w:after="240" w:line="320" w:lineRule="exact"/>
        <w:ind w:left="1134" w:hanging="1134"/>
      </w:pPr>
      <w:r>
        <w:t>está devidamente autorizado a celebrar esta Escritura de Emissão e a cumprir com suas obrigações aqui previstas, tendo sido satisfeitos todos os requisitos legais e estatutários necessários para tanto;</w:t>
      </w:r>
    </w:p>
    <w:p w:rsidR="00C963BB" w:rsidRDefault="00C759A0">
      <w:pPr>
        <w:pStyle w:val="Level4"/>
        <w:spacing w:after="240" w:line="320" w:lineRule="exact"/>
        <w:ind w:left="1134" w:hanging="1134"/>
      </w:pPr>
      <w:r>
        <w:t>a celebração desta Escritura de Emissão e o cumprimento de suas obrigações aqui previstas não infringem qualquer obrigação anteriormente assumida pelo Agente Fiduciário;</w:t>
      </w:r>
    </w:p>
    <w:p w:rsidR="00C963BB" w:rsidRDefault="00C759A0">
      <w:pPr>
        <w:pStyle w:val="Level4"/>
        <w:spacing w:after="240" w:line="320" w:lineRule="exact"/>
        <w:ind w:left="1134" w:hanging="1134"/>
      </w:pPr>
      <w:r>
        <w:t xml:space="preserve">não tem qualquer impedimento legal, conforme parágrafo terceiro do </w:t>
      </w:r>
      <w:r>
        <w:rPr>
          <w:rFonts w:eastAsia="Arial Unicode MS"/>
        </w:rPr>
        <w:t>artigo</w:t>
      </w:r>
      <w:r>
        <w:t> 66,</w:t>
      </w:r>
      <w:r>
        <w:rPr>
          <w:rFonts w:eastAsia="Arial Unicode MS"/>
        </w:rPr>
        <w:t xml:space="preserve"> da Lei das Sociedades por Ações</w:t>
      </w:r>
      <w:r>
        <w:t>, para exercer a função que lhe é conferida;</w:t>
      </w:r>
    </w:p>
    <w:p w:rsidR="00C963BB" w:rsidRDefault="00C759A0">
      <w:pPr>
        <w:pStyle w:val="Level4"/>
        <w:spacing w:after="240" w:line="320" w:lineRule="exact"/>
        <w:ind w:left="1134" w:hanging="1134"/>
      </w:pPr>
      <w:r>
        <w:t xml:space="preserve">não se encontra em nenhuma das situações de conflito de interesse previstas no artigo 6º da Instrução CVM nº </w:t>
      </w:r>
      <w:r>
        <w:rPr>
          <w:bCs/>
        </w:rPr>
        <w:t>583, de 20 de dezembro de 2016, conforme alterada (“</w:t>
      </w:r>
      <w:r>
        <w:rPr>
          <w:bCs/>
          <w:u w:val="single"/>
        </w:rPr>
        <w:t>Instrução CVM 583</w:t>
      </w:r>
      <w:r>
        <w:rPr>
          <w:bCs/>
        </w:rPr>
        <w:t>”)</w:t>
      </w:r>
      <w:r>
        <w:t>;</w:t>
      </w:r>
    </w:p>
    <w:p w:rsidR="00C963BB" w:rsidRDefault="00C759A0">
      <w:pPr>
        <w:pStyle w:val="Level4"/>
        <w:spacing w:after="240" w:line="320" w:lineRule="exact"/>
        <w:ind w:left="1134" w:hanging="1134"/>
      </w:pPr>
      <w:r>
        <w:t>está devidamente qualificado a exercer as atividades de agente fiduciário, nos termos da regulamentação aplicável e vigente;</w:t>
      </w:r>
    </w:p>
    <w:p w:rsidR="00C963BB" w:rsidRDefault="00C759A0">
      <w:pPr>
        <w:pStyle w:val="Level4"/>
        <w:spacing w:after="240" w:line="320" w:lineRule="exact"/>
        <w:ind w:left="1134" w:hanging="1134"/>
      </w:pPr>
      <w:r>
        <w:t>não tem qualquer ligação com a Emissora que o impeça de exercer suas funções;</w:t>
      </w:r>
    </w:p>
    <w:p w:rsidR="00C963BB" w:rsidRDefault="00C759A0">
      <w:pPr>
        <w:pStyle w:val="Level4"/>
        <w:spacing w:after="240" w:line="320" w:lineRule="exact"/>
        <w:ind w:left="1134" w:hanging="1134"/>
      </w:pPr>
      <w:r>
        <w:t>está ciente das disposições da Circular do Banco Central do Brasil nº 1.832, de 31 de outubro de 1990;</w:t>
      </w:r>
    </w:p>
    <w:p w:rsidR="00C963BB" w:rsidRDefault="00C759A0">
      <w:pPr>
        <w:pStyle w:val="Level4"/>
        <w:spacing w:after="240" w:line="320" w:lineRule="exact"/>
        <w:ind w:left="1134" w:hanging="1134"/>
      </w:pPr>
      <w:r>
        <w:t>verificou a veracidade das informações relativas às Garantias e a consistência das demais informações contidas nesta Escritura de Emissão, na Data de Emissão, baseado nas informações prestadas pela Emissora;</w:t>
      </w:r>
    </w:p>
    <w:p w:rsidR="00C963BB" w:rsidRDefault="00C759A0">
      <w:pPr>
        <w:pStyle w:val="Level4"/>
        <w:spacing w:after="240" w:line="320" w:lineRule="exact"/>
        <w:ind w:left="1134" w:hanging="1134"/>
      </w:pPr>
      <w:r>
        <w:rPr>
          <w:w w:val="0"/>
        </w:rPr>
        <w:t xml:space="preserve">verificará, na forma prevista no inciso X do Art. 11 da Instrução CVM </w:t>
      </w:r>
      <w:r>
        <w:rPr>
          <w:bCs/>
        </w:rPr>
        <w:t>583</w:t>
      </w:r>
      <w:r>
        <w:rPr>
          <w:w w:val="0"/>
        </w:rPr>
        <w:t>, a regularidade da constituição das Garantias, bem como sua suficiência e exequibilidade;</w:t>
      </w:r>
    </w:p>
    <w:p w:rsidR="00C963BB" w:rsidRDefault="00C759A0">
      <w:pPr>
        <w:pStyle w:val="Level4"/>
        <w:spacing w:after="240" w:line="320" w:lineRule="exact"/>
        <w:ind w:left="1134" w:hanging="1134"/>
      </w:pPr>
      <w:r>
        <w:t>a pessoa que o representa na assinatura desta Escritura de Emissão tem poderes bastantes para tanto;</w:t>
      </w:r>
    </w:p>
    <w:p w:rsidR="00C963BB" w:rsidRDefault="00C759A0">
      <w:pPr>
        <w:pStyle w:val="Level4"/>
        <w:spacing w:after="240" w:line="320" w:lineRule="exact"/>
        <w:ind w:left="1134" w:hanging="1134"/>
      </w:pPr>
      <w:r>
        <w:lastRenderedPageBreak/>
        <w:t xml:space="preserve">esta Escritura de Emissão, as Debêntures e os Contratos de Garantia quando celebrados, constituirão obrigações legais, válidas, eficazes e vinculativas do Agente Fiduciário, exequíveis de acordo com os seus termos e condições, com força de título executivo extrajudicial nos termos do artigo 784 do Código de Processo Civil; </w:t>
      </w:r>
    </w:p>
    <w:p w:rsidR="00C963BB" w:rsidRDefault="00C759A0">
      <w:pPr>
        <w:pStyle w:val="Level4"/>
        <w:spacing w:after="240" w:line="320" w:lineRule="exact"/>
        <w:ind w:left="1134" w:hanging="1134"/>
      </w:pPr>
      <w:r>
        <w:t>assegura e assegurará, nos termos do parágrafo 1º do artigo 6 da Instrução CVM 583, tratamento equitativo a todos os Debenturistas de eventuais emissões de valores mobiliários realizadas pela Emissora, sociedade coligada, controlada, controladora ou integrante do mesmo grupo da Emissora, em que atue ou venha a atuar na qualidade de agente fiduciário, agente de notas ou agente de garantias; e</w:t>
      </w:r>
    </w:p>
    <w:p w:rsidR="00C963BB" w:rsidRDefault="00C759A0">
      <w:pPr>
        <w:pStyle w:val="Level4"/>
        <w:spacing w:after="240" w:line="320" w:lineRule="exact"/>
        <w:ind w:left="1134" w:hanging="1134"/>
      </w:pPr>
      <w:r>
        <w:t xml:space="preserve">na data de assinatura da presente Escritura de Emissão, conforme organograma encaminhado pela Emissora, o Agente Fiduciário identificou que não presta serviços de agente fiduciário em emissões de valores mobiliários, públicas ou privadas, realizadas pela própria Emissora, por sociedade coligada, controlada, controladora ou integrante do mesmo grupo da Emissora. </w:t>
      </w:r>
    </w:p>
    <w:p w:rsidR="00C963BB" w:rsidRDefault="00C759A0">
      <w:pPr>
        <w:pStyle w:val="Level2"/>
        <w:tabs>
          <w:tab w:val="clear" w:pos="680"/>
          <w:tab w:val="num" w:pos="1134"/>
        </w:tabs>
        <w:spacing w:after="240" w:line="320" w:lineRule="exact"/>
        <w:ind w:left="0" w:firstLine="0"/>
        <w:rPr>
          <w:szCs w:val="22"/>
        </w:rPr>
      </w:pPr>
      <w:r>
        <w:rPr>
          <w:szCs w:val="22"/>
        </w:rPr>
        <w:t xml:space="preserve">O Agente Fiduciário exercerá suas funções a partir da data de assinatura desta Escritura de Emissão, devendo permanecer no exercício de suas funções até a integral quitação das Obrigações Garantidas ou até sua efetiva substituição. </w:t>
      </w:r>
      <w:r>
        <w:rPr>
          <w:color w:val="000000"/>
          <w:w w:val="0"/>
          <w:szCs w:val="22"/>
        </w:rPr>
        <w:t>Neste último caso, o término do exercício das funções do Agente Fiduciário será formalizado por meio da celebração do respectivo aditamento à presente Escritura de Emissão</w:t>
      </w:r>
      <w:r>
        <w:rPr>
          <w:szCs w:val="22"/>
        </w:rPr>
        <w:t>.</w:t>
      </w:r>
    </w:p>
    <w:p w:rsidR="00C963BB" w:rsidRDefault="00C759A0">
      <w:pPr>
        <w:pStyle w:val="Level2"/>
        <w:tabs>
          <w:tab w:val="clear" w:pos="680"/>
          <w:tab w:val="num" w:pos="1134"/>
        </w:tabs>
        <w:spacing w:after="240" w:line="320" w:lineRule="exact"/>
        <w:ind w:left="0" w:firstLine="0"/>
        <w:rPr>
          <w:szCs w:val="22"/>
        </w:rPr>
      </w:pPr>
      <w:bookmarkStart w:id="177" w:name="_Ref512339991"/>
      <w:r>
        <w:rPr>
          <w:szCs w:val="22"/>
        </w:rPr>
        <w:t xml:space="preserve">Será devido pela Emissora à título de remuneração pelos serviços prestados pelo Agente Fiduciário, parcelas anuais de </w:t>
      </w:r>
      <w:r>
        <w:rPr>
          <w:bCs/>
          <w:szCs w:val="22"/>
        </w:rPr>
        <w:t>R$ 8.000,00 (oito mil reais),</w:t>
      </w:r>
      <w:r>
        <w:rPr>
          <w:szCs w:val="22"/>
        </w:rPr>
        <w:t xml:space="preserve"> sendo que o primeiro pagamento deverá ser realizado em até 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bookmarkEnd w:id="177"/>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178" w:name="_Ref386054756"/>
      <w:bookmarkStart w:id="179" w:name="_Ref417651939"/>
      <w:r>
        <w:rPr>
          <w:szCs w:val="22"/>
        </w:rPr>
        <w:t xml:space="preserve">Adicionalmente a remuneração prevista no item </w:t>
      </w:r>
      <w:r>
        <w:rPr>
          <w:szCs w:val="22"/>
        </w:rPr>
        <w:fldChar w:fldCharType="begin"/>
      </w:r>
      <w:r>
        <w:rPr>
          <w:szCs w:val="22"/>
        </w:rPr>
        <w:instrText xml:space="preserve"> REF _Ref512339991 \r \p \h  \* MERGEFORMAT </w:instrText>
      </w:r>
      <w:r>
        <w:rPr>
          <w:szCs w:val="22"/>
        </w:rPr>
      </w:r>
      <w:r>
        <w:rPr>
          <w:szCs w:val="22"/>
        </w:rPr>
        <w:fldChar w:fldCharType="separate"/>
      </w:r>
      <w:r w:rsidR="00281921">
        <w:rPr>
          <w:szCs w:val="22"/>
        </w:rPr>
        <w:t>9.4 acima</w:t>
      </w:r>
      <w:r>
        <w:rPr>
          <w:szCs w:val="22"/>
        </w:rPr>
        <w:fldChar w:fldCharType="end"/>
      </w:r>
      <w:r>
        <w:rPr>
          <w:szCs w:val="22"/>
        </w:rPr>
        <w:t>, será devido pela Emissora, a título de remuneração pelo acompanhamento do Índice Financeiro</w:t>
      </w:r>
      <w:r w:rsidR="00D51CC8">
        <w:rPr>
          <w:szCs w:val="22"/>
        </w:rPr>
        <w:t>, do ICSD Individual e do ICSD Consolidado</w:t>
      </w:r>
      <w:r>
        <w:rPr>
          <w:szCs w:val="22"/>
        </w:rPr>
        <w:t xml:space="preserve"> apurado trimestralmente nos termos desta Escritura de Emissão, parcelas mensais de R$500,00 (quinhentos reais), sendo que o primeiro pagamento deverá ser realizado em até 5 (cinco) dias corridos da data de assinatura desta Escritura de Emissão, e as demais parcelas serão devidas nas mesmas datas dos meses subsequentes. Tais pagamentos serão devidos até a Data de Vencimento das Debêntures ou até liquidação integral das Debêntures, caso estas não sejam quitadas na data de seu vencimento.</w:t>
      </w:r>
    </w:p>
    <w:p w:rsidR="00C963BB" w:rsidRDefault="00C759A0">
      <w:pPr>
        <w:pStyle w:val="Level2"/>
        <w:tabs>
          <w:tab w:val="clear" w:pos="680"/>
          <w:tab w:val="num" w:pos="1134"/>
        </w:tabs>
        <w:spacing w:after="240" w:line="320" w:lineRule="exact"/>
        <w:ind w:left="0" w:firstLine="0"/>
        <w:rPr>
          <w:szCs w:val="22"/>
        </w:rPr>
      </w:pPr>
      <w:bookmarkStart w:id="180" w:name="_Ref512339869"/>
      <w:r>
        <w:rPr>
          <w:szCs w:val="22"/>
        </w:rPr>
        <w:lastRenderedPageBreak/>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bCs/>
          <w:szCs w:val="22"/>
        </w:rPr>
        <w:t>R$ 500,00 (quinhentos reais)</w:t>
      </w:r>
      <w:r>
        <w:rPr>
          <w:szCs w:val="22"/>
        </w:rPr>
        <w:t xml:space="preserve"> por hora-homem de trabalho dedicado à </w:t>
      </w:r>
      <w:r>
        <w:rPr>
          <w:b/>
          <w:szCs w:val="22"/>
        </w:rPr>
        <w:t>(i)</w:t>
      </w:r>
      <w:r>
        <w:rPr>
          <w:szCs w:val="22"/>
        </w:rPr>
        <w:t xml:space="preserve"> execução das Garantias; </w:t>
      </w:r>
      <w:r>
        <w:rPr>
          <w:b/>
          <w:szCs w:val="22"/>
        </w:rPr>
        <w:t>(ii)</w:t>
      </w:r>
      <w:r>
        <w:rPr>
          <w:szCs w:val="22"/>
        </w:rPr>
        <w:t xml:space="preserve"> participação em reuniões formais ou virtuais com a Emissora e/ou com investidores; e </w:t>
      </w:r>
      <w:r>
        <w:rPr>
          <w:b/>
          <w:szCs w:val="22"/>
        </w:rPr>
        <w:t>(iii)</w:t>
      </w:r>
      <w:r>
        <w:rPr>
          <w:szCs w:val="22"/>
        </w:rPr>
        <w:t> implementação das consequentes decisões tomadas em tais eventos, pagas 5 (cinco) dias após comprovação da entrega, pelo Agente Fiduciário, de "relatório de horas" à Emissora.</w:t>
      </w:r>
      <w:bookmarkEnd w:id="180"/>
      <w:r>
        <w:rPr>
          <w:szCs w:val="22"/>
        </w:rPr>
        <w:t xml:space="preserve"> </w:t>
      </w:r>
    </w:p>
    <w:p w:rsidR="00C963BB" w:rsidRDefault="00C759A0">
      <w:pPr>
        <w:pStyle w:val="Level3"/>
        <w:tabs>
          <w:tab w:val="clear" w:pos="1361"/>
          <w:tab w:val="num" w:pos="1134"/>
        </w:tabs>
        <w:spacing w:after="240" w:line="320" w:lineRule="exact"/>
        <w:ind w:left="0" w:firstLine="0"/>
        <w:rPr>
          <w:szCs w:val="22"/>
        </w:rPr>
      </w:pPr>
      <w:r>
        <w:rPr>
          <w:szCs w:val="22"/>
        </w:rPr>
        <w:t xml:space="preserve">Nos termos do item </w:t>
      </w:r>
      <w:r>
        <w:rPr>
          <w:szCs w:val="22"/>
        </w:rPr>
        <w:fldChar w:fldCharType="begin"/>
      </w:r>
      <w:r>
        <w:rPr>
          <w:szCs w:val="22"/>
        </w:rPr>
        <w:instrText xml:space="preserve"> REF _Ref512339869 \r \p \h  \* MERGEFORMAT </w:instrText>
      </w:r>
      <w:r>
        <w:rPr>
          <w:szCs w:val="22"/>
        </w:rPr>
      </w:r>
      <w:r>
        <w:rPr>
          <w:szCs w:val="22"/>
        </w:rPr>
        <w:fldChar w:fldCharType="separate"/>
      </w:r>
      <w:r w:rsidR="00281921">
        <w:rPr>
          <w:szCs w:val="22"/>
        </w:rPr>
        <w:t>9.6 acima</w:t>
      </w:r>
      <w:r>
        <w:rPr>
          <w:szCs w:val="22"/>
        </w:rPr>
        <w:fldChar w:fldCharType="end"/>
      </w:r>
      <w:r>
        <w:rPr>
          <w:szCs w:val="22"/>
        </w:rPr>
        <w:t xml:space="preserve">, entende-se por reestruturação das Debêntures os eventos relacionados a alteração </w:t>
      </w:r>
      <w:r>
        <w:rPr>
          <w:b/>
          <w:szCs w:val="22"/>
        </w:rPr>
        <w:t>(i) </w:t>
      </w:r>
      <w:r>
        <w:rPr>
          <w:szCs w:val="22"/>
        </w:rPr>
        <w:t xml:space="preserve">das Garantias, conforme o caso; </w:t>
      </w:r>
      <w:r>
        <w:rPr>
          <w:b/>
          <w:szCs w:val="22"/>
        </w:rPr>
        <w:t>(ii) </w:t>
      </w:r>
      <w:r>
        <w:rPr>
          <w:szCs w:val="22"/>
        </w:rPr>
        <w:t xml:space="preserve">prazos de pagamento; e </w:t>
      </w:r>
      <w:r>
        <w:rPr>
          <w:b/>
          <w:szCs w:val="22"/>
        </w:rPr>
        <w:t>(iii)</w:t>
      </w:r>
      <w:r>
        <w:rPr>
          <w:szCs w:val="22"/>
        </w:rPr>
        <w:t xml:space="preserve"> condições relacionadas ao vencimento antecipado. Os eventos relacionados à amortização das Debêntures não são considerados reestruturação das Debêntures. </w:t>
      </w:r>
    </w:p>
    <w:bookmarkEnd w:id="178"/>
    <w:bookmarkEnd w:id="179"/>
    <w:p w:rsidR="00C963BB" w:rsidRDefault="00C759A0">
      <w:pPr>
        <w:pStyle w:val="Level3"/>
        <w:tabs>
          <w:tab w:val="clear" w:pos="1361"/>
          <w:tab w:val="num" w:pos="1134"/>
        </w:tabs>
        <w:spacing w:after="240" w:line="320" w:lineRule="exact"/>
        <w:ind w:left="0" w:firstLine="0"/>
        <w:rPr>
          <w:szCs w:val="22"/>
        </w:rPr>
      </w:pPr>
      <w:r>
        <w:rPr>
          <w:szCs w:val="22"/>
        </w:rPr>
        <w:t>No caso de celebração de aditamentos a esta Escritura que não estejam expressamente previstos nesta Escritura de Emissão, bem como, nas horas externas ao escritório do Agente Fiduciário, serão cobradas, adicionalmente, o valor de R$ 500,00 (quinhentos reais) por hora-homem de trabalho dedicado a tais alterações/serviços.</w:t>
      </w:r>
    </w:p>
    <w:p w:rsidR="00C963BB" w:rsidRDefault="00C759A0">
      <w:pPr>
        <w:pStyle w:val="Level3"/>
        <w:tabs>
          <w:tab w:val="clear" w:pos="1361"/>
          <w:tab w:val="num" w:pos="1134"/>
        </w:tabs>
        <w:spacing w:after="240" w:line="320" w:lineRule="exact"/>
        <w:ind w:left="0" w:firstLine="0"/>
        <w:rPr>
          <w:szCs w:val="22"/>
        </w:rPr>
      </w:pPr>
      <w:bookmarkStart w:id="181" w:name="_Ref498950266"/>
      <w:r>
        <w:rPr>
          <w:szCs w:val="22"/>
        </w:rPr>
        <w:t xml:space="preserve">Em caso de mora no pagamento de qualquer quantia devida em decorrência da remuneração de que trata os itens </w:t>
      </w:r>
      <w:r>
        <w:rPr>
          <w:szCs w:val="22"/>
        </w:rPr>
        <w:fldChar w:fldCharType="begin"/>
      </w:r>
      <w:r>
        <w:rPr>
          <w:szCs w:val="22"/>
        </w:rPr>
        <w:instrText xml:space="preserve"> REF _Ref512339991 \r \h  \* MERGEFORMAT </w:instrText>
      </w:r>
      <w:r>
        <w:rPr>
          <w:szCs w:val="22"/>
        </w:rPr>
      </w:r>
      <w:r>
        <w:rPr>
          <w:szCs w:val="22"/>
        </w:rPr>
        <w:fldChar w:fldCharType="separate"/>
      </w:r>
      <w:r w:rsidR="00281921">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281921">
        <w:rPr>
          <w:szCs w:val="22"/>
        </w:rPr>
        <w:t>9.6 acima</w:t>
      </w:r>
      <w:r>
        <w:rPr>
          <w:szCs w:val="22"/>
        </w:rPr>
        <w:fldChar w:fldCharType="end"/>
      </w:r>
      <w:r>
        <w:rPr>
          <w:szCs w:val="22"/>
        </w:rPr>
        <w:t>, os débitos em atraso ficarão sujeitos a juros de mora de 1% (um por cento) ao mês e multa não compensatória de 2% (dois por cento) sobre o valor devido.</w:t>
      </w:r>
      <w:bookmarkEnd w:id="181"/>
    </w:p>
    <w:p w:rsidR="00C963BB" w:rsidRDefault="00C759A0">
      <w:pPr>
        <w:pStyle w:val="Level2"/>
        <w:tabs>
          <w:tab w:val="clear" w:pos="680"/>
          <w:tab w:val="num" w:pos="1134"/>
        </w:tabs>
        <w:spacing w:after="240" w:line="320" w:lineRule="exact"/>
        <w:ind w:left="0" w:firstLine="0"/>
        <w:rPr>
          <w:szCs w:val="22"/>
        </w:rPr>
      </w:pPr>
      <w:r>
        <w:rPr>
          <w:szCs w:val="22"/>
        </w:rPr>
        <w:t xml:space="preserve">Os serviços do Agente Fiduciário previstos nesta Escritura de Emissão são aqueles descritos na Instrução CVM 583 e na Lei das Sociedades por Ações. </w:t>
      </w:r>
    </w:p>
    <w:p w:rsidR="00C963BB" w:rsidRDefault="00C759A0">
      <w:pPr>
        <w:pStyle w:val="Level2"/>
        <w:tabs>
          <w:tab w:val="clear" w:pos="680"/>
          <w:tab w:val="num" w:pos="1134"/>
        </w:tabs>
        <w:spacing w:after="240" w:line="320" w:lineRule="exact"/>
        <w:ind w:left="0" w:firstLine="0"/>
        <w:rPr>
          <w:szCs w:val="22"/>
        </w:rPr>
      </w:pPr>
      <w:r>
        <w:rPr>
          <w:szCs w:val="22"/>
        </w:rPr>
        <w:t xml:space="preserve">A remuneração do Agente Fiduciário prevista nos itens </w:t>
      </w:r>
      <w:r>
        <w:rPr>
          <w:szCs w:val="22"/>
        </w:rPr>
        <w:fldChar w:fldCharType="begin"/>
      </w:r>
      <w:r>
        <w:rPr>
          <w:szCs w:val="22"/>
        </w:rPr>
        <w:instrText xml:space="preserve"> REF _Ref512339991 \r \h  \* MERGEFORMAT </w:instrText>
      </w:r>
      <w:r>
        <w:rPr>
          <w:szCs w:val="22"/>
        </w:rPr>
      </w:r>
      <w:r>
        <w:rPr>
          <w:szCs w:val="22"/>
        </w:rPr>
        <w:fldChar w:fldCharType="separate"/>
      </w:r>
      <w:r w:rsidR="00281921">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281921">
        <w:rPr>
          <w:szCs w:val="22"/>
        </w:rPr>
        <w:t>9.6 acima</w:t>
      </w:r>
      <w:r>
        <w:rPr>
          <w:szCs w:val="22"/>
        </w:rPr>
        <w:fldChar w:fldCharType="end"/>
      </w:r>
      <w:r>
        <w:rPr>
          <w:szCs w:val="22"/>
        </w:rPr>
        <w:t xml:space="preserve"> não inclui as despesas razoáveis e comprovadas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das garantias concedidas em garantia das Debêntures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pela Emissora. Tais despesas incluem honorários advocatícios para defesa do Agente Fiduciário e deverão ser igualmente adiantadas pelos Debenturistas e ressarcidas pela Emissora.</w:t>
      </w:r>
    </w:p>
    <w:p w:rsidR="00C963BB" w:rsidRDefault="00C759A0">
      <w:pPr>
        <w:pStyle w:val="Level2"/>
        <w:tabs>
          <w:tab w:val="clear" w:pos="680"/>
          <w:tab w:val="num" w:pos="1134"/>
        </w:tabs>
        <w:spacing w:after="240" w:line="320" w:lineRule="exact"/>
        <w:ind w:left="0" w:firstLine="0"/>
        <w:rPr>
          <w:szCs w:val="22"/>
        </w:rPr>
      </w:pPr>
      <w:r>
        <w:rPr>
          <w:szCs w:val="22"/>
        </w:rPr>
        <w:lastRenderedPageBreak/>
        <w:t>No caso de inadimplemento da Emissora, todas as despesas razoáveis e comprovadas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C963BB" w:rsidRDefault="00C759A0">
      <w:pPr>
        <w:pStyle w:val="Level2"/>
        <w:tabs>
          <w:tab w:val="clear" w:pos="680"/>
          <w:tab w:val="num" w:pos="1134"/>
        </w:tabs>
        <w:spacing w:after="240" w:line="320" w:lineRule="exact"/>
        <w:ind w:left="0" w:firstLine="0"/>
        <w:rPr>
          <w:szCs w:val="22"/>
        </w:rPr>
      </w:pPr>
      <w:r>
        <w:rPr>
          <w:szCs w:val="22"/>
        </w:rPr>
        <w:t>O ressarcimento a que se refere esta Cláusula será efetuado em até 15 (quinze) Dias Úteis após a realização da respectiva prestação de contas à Emissora.</w:t>
      </w:r>
    </w:p>
    <w:p w:rsidR="00C963BB" w:rsidRDefault="00C759A0">
      <w:pPr>
        <w:pStyle w:val="Level2"/>
        <w:tabs>
          <w:tab w:val="clear" w:pos="680"/>
          <w:tab w:val="num" w:pos="1134"/>
        </w:tabs>
        <w:spacing w:after="240" w:line="320" w:lineRule="exact"/>
        <w:ind w:left="0" w:firstLine="0"/>
        <w:rPr>
          <w:szCs w:val="22"/>
        </w:rPr>
      </w:pPr>
      <w:r>
        <w:rPr>
          <w:szCs w:val="22"/>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da Escritura de Emissão.</w:t>
      </w:r>
    </w:p>
    <w:p w:rsidR="00C963BB" w:rsidRDefault="00C759A0">
      <w:pPr>
        <w:pStyle w:val="Level2"/>
        <w:tabs>
          <w:tab w:val="clear" w:pos="680"/>
          <w:tab w:val="num" w:pos="1134"/>
        </w:tabs>
        <w:spacing w:after="240" w:line="320" w:lineRule="exact"/>
        <w:ind w:left="0" w:firstLine="0"/>
        <w:rPr>
          <w:szCs w:val="22"/>
        </w:rPr>
      </w:pPr>
      <w:r>
        <w:rPr>
          <w:szCs w:val="22"/>
        </w:rPr>
        <w:t>Além de outros previstos em lei, em ato normativo da CVM ou nesta Escritura de Emissão, constituem deveres e atribuições do Agente Fiduciário:</w:t>
      </w:r>
    </w:p>
    <w:p w:rsidR="00C963BB" w:rsidRDefault="00C759A0">
      <w:pPr>
        <w:pStyle w:val="Level2"/>
        <w:numPr>
          <w:ilvl w:val="0"/>
          <w:numId w:val="59"/>
        </w:numPr>
        <w:tabs>
          <w:tab w:val="left" w:pos="1134"/>
        </w:tabs>
        <w:spacing w:after="240" w:line="320" w:lineRule="exact"/>
        <w:ind w:left="1134" w:hanging="1134"/>
        <w:rPr>
          <w:szCs w:val="22"/>
        </w:rPr>
      </w:pPr>
      <w:r>
        <w:rPr>
          <w:szCs w:val="22"/>
        </w:rPr>
        <w:t>exercer suas atividades com boa fé, transparência e lealdade para com os Debenturistas;</w:t>
      </w:r>
    </w:p>
    <w:p w:rsidR="00C963BB" w:rsidRDefault="00C759A0">
      <w:pPr>
        <w:pStyle w:val="Level2"/>
        <w:numPr>
          <w:ilvl w:val="0"/>
          <w:numId w:val="59"/>
        </w:numPr>
        <w:spacing w:after="240" w:line="320" w:lineRule="exact"/>
        <w:ind w:left="1134" w:hanging="1134"/>
        <w:rPr>
          <w:szCs w:val="22"/>
        </w:rPr>
      </w:pPr>
      <w:r>
        <w:rPr>
          <w:szCs w:val="22"/>
        </w:rPr>
        <w:t>proteger os direitos e interesses dos Debenturistas, empregando, no exercício da função, o cuidado e a diligência que todo homem ativo e probo costuma empregar na administração dos seus próprios bens;</w:t>
      </w:r>
    </w:p>
    <w:p w:rsidR="00C963BB" w:rsidRDefault="00C759A0">
      <w:pPr>
        <w:pStyle w:val="Level2"/>
        <w:numPr>
          <w:ilvl w:val="0"/>
          <w:numId w:val="59"/>
        </w:numPr>
        <w:spacing w:after="240" w:line="320" w:lineRule="exact"/>
        <w:ind w:left="1134" w:hanging="1134"/>
        <w:rPr>
          <w:szCs w:val="22"/>
        </w:rPr>
      </w:pPr>
      <w:r>
        <w:rPr>
          <w:szCs w:val="22"/>
        </w:rPr>
        <w:t>renunciar à função, na hipótese de superveniência de conflitos de interesse ou de qualquer outra modalidade de inaptidão e realizar a imediata convocação da</w:t>
      </w:r>
      <w:r w:rsidR="00417C40" w:rsidRPr="00417C40">
        <w:rPr>
          <w:szCs w:val="22"/>
        </w:rPr>
        <w:t xml:space="preserve"> </w:t>
      </w:r>
      <w:r w:rsidR="00417C40">
        <w:rPr>
          <w:szCs w:val="22"/>
        </w:rPr>
        <w:t>Assembleia Geral de Debenturistas</w:t>
      </w:r>
      <w:r>
        <w:rPr>
          <w:szCs w:val="22"/>
        </w:rPr>
        <w:t xml:space="preserve"> para deliberação de sua substituição;</w:t>
      </w:r>
    </w:p>
    <w:p w:rsidR="00C963BB" w:rsidRDefault="00C759A0">
      <w:pPr>
        <w:pStyle w:val="Level2"/>
        <w:numPr>
          <w:ilvl w:val="0"/>
          <w:numId w:val="59"/>
        </w:numPr>
        <w:spacing w:after="240" w:line="320" w:lineRule="exact"/>
        <w:ind w:left="1134" w:hanging="1134"/>
        <w:rPr>
          <w:szCs w:val="22"/>
        </w:rPr>
      </w:pPr>
      <w:r>
        <w:rPr>
          <w:szCs w:val="22"/>
        </w:rPr>
        <w:t>conservar em boa guarda documentação relativa ao exercício de suas funções;</w:t>
      </w:r>
    </w:p>
    <w:p w:rsidR="00C963BB" w:rsidRDefault="00C759A0">
      <w:pPr>
        <w:pStyle w:val="Level2"/>
        <w:numPr>
          <w:ilvl w:val="0"/>
          <w:numId w:val="59"/>
        </w:numPr>
        <w:spacing w:after="240" w:line="320" w:lineRule="exact"/>
        <w:ind w:left="1134" w:hanging="1134"/>
        <w:rPr>
          <w:szCs w:val="22"/>
        </w:rPr>
      </w:pPr>
      <w:r>
        <w:rPr>
          <w:szCs w:val="22"/>
        </w:rPr>
        <w:t>verificar, no momento de aceitar a função, a veracidade das informações relativas às Garantias e a consistência das demais informações contidas na Escritura de Emissão, diligenciando no sentido de que sejam sanadas as omissões, falhas ou defeitos de que tenha conhecimento;</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diligenciar junto a Emissora para que a Escritura de Emissão e seus respectivos aditamentos sejam registrados na JUCESP, adotando, no caso de omissão da Emissora, as medidas eventualmente previstas em lei; </w:t>
      </w:r>
    </w:p>
    <w:p w:rsidR="00C963BB" w:rsidRDefault="00C759A0">
      <w:pPr>
        <w:pStyle w:val="Level2"/>
        <w:numPr>
          <w:ilvl w:val="0"/>
          <w:numId w:val="59"/>
        </w:numPr>
        <w:spacing w:after="240" w:line="320" w:lineRule="exact"/>
        <w:ind w:left="1134" w:hanging="1134"/>
        <w:rPr>
          <w:szCs w:val="22"/>
        </w:rPr>
      </w:pPr>
      <w:r>
        <w:rPr>
          <w:szCs w:val="22"/>
        </w:rPr>
        <w:t xml:space="preserve">acompanhar a prestação das informações periódicas pela Emissora, alertando os Debenturistas, no relatório anual de que trata o inciso </w:t>
      </w:r>
      <w:r>
        <w:rPr>
          <w:szCs w:val="22"/>
        </w:rPr>
        <w:fldChar w:fldCharType="begin"/>
      </w:r>
      <w:r>
        <w:rPr>
          <w:szCs w:val="22"/>
        </w:rPr>
        <w:instrText xml:space="preserve"> REF _Ref496714360 \r \p \h  \* MERGEFORMAT </w:instrText>
      </w:r>
      <w:r>
        <w:rPr>
          <w:szCs w:val="22"/>
        </w:rPr>
      </w:r>
      <w:r>
        <w:rPr>
          <w:szCs w:val="22"/>
        </w:rPr>
        <w:fldChar w:fldCharType="separate"/>
      </w:r>
      <w:r w:rsidR="00281921">
        <w:rPr>
          <w:szCs w:val="22"/>
        </w:rPr>
        <w:t>(xix) abaixo</w:t>
      </w:r>
      <w:r>
        <w:rPr>
          <w:szCs w:val="22"/>
        </w:rPr>
        <w:fldChar w:fldCharType="end"/>
      </w:r>
      <w:r>
        <w:rPr>
          <w:szCs w:val="22"/>
        </w:rPr>
        <w:t>, sobre inconsistências ou omissões de que tenha conhecimento;</w:t>
      </w:r>
    </w:p>
    <w:p w:rsidR="00C963BB" w:rsidRDefault="00C759A0">
      <w:pPr>
        <w:pStyle w:val="Level2"/>
        <w:numPr>
          <w:ilvl w:val="0"/>
          <w:numId w:val="59"/>
        </w:numPr>
        <w:spacing w:after="240" w:line="320" w:lineRule="exact"/>
        <w:ind w:left="1134" w:hanging="1134"/>
        <w:rPr>
          <w:szCs w:val="22"/>
        </w:rPr>
      </w:pPr>
      <w:r>
        <w:rPr>
          <w:szCs w:val="22"/>
        </w:rPr>
        <w:t>opinar sobre a suficiência das informações prestadas nas propostas de modificação das condições das Debêntures;</w:t>
      </w:r>
    </w:p>
    <w:p w:rsidR="00C963BB" w:rsidRDefault="00C759A0">
      <w:pPr>
        <w:pStyle w:val="Level2"/>
        <w:numPr>
          <w:ilvl w:val="0"/>
          <w:numId w:val="59"/>
        </w:numPr>
        <w:spacing w:after="240" w:line="320" w:lineRule="exact"/>
        <w:ind w:left="1134" w:hanging="1134"/>
        <w:rPr>
          <w:szCs w:val="22"/>
        </w:rPr>
      </w:pPr>
      <w:r>
        <w:rPr>
          <w:szCs w:val="22"/>
        </w:rPr>
        <w:t>verificar a regularidade da constituição das Garantias, bem como o valor dos bens objeto das Garantias, observando a manutenção de sua suficiência e exequibilidade nos termos das disposições estabelecidas na Escritura de Emissão;</w:t>
      </w:r>
    </w:p>
    <w:p w:rsidR="00C963BB" w:rsidRDefault="00C759A0">
      <w:pPr>
        <w:pStyle w:val="Level2"/>
        <w:numPr>
          <w:ilvl w:val="0"/>
          <w:numId w:val="59"/>
        </w:numPr>
        <w:spacing w:after="240" w:line="320" w:lineRule="exact"/>
        <w:ind w:left="1134" w:hanging="1134"/>
        <w:rPr>
          <w:szCs w:val="22"/>
        </w:rPr>
      </w:pPr>
      <w:r>
        <w:rPr>
          <w:szCs w:val="22"/>
        </w:rPr>
        <w:t>examinar eventual proposta de substituição dos objetos das Garantias, manifestando sua opinião a respeito do assunto de forma justificada;</w:t>
      </w:r>
    </w:p>
    <w:p w:rsidR="00C963BB" w:rsidRDefault="00C759A0">
      <w:pPr>
        <w:pStyle w:val="Level2"/>
        <w:numPr>
          <w:ilvl w:val="0"/>
          <w:numId w:val="59"/>
        </w:numPr>
        <w:spacing w:after="240" w:line="320" w:lineRule="exact"/>
        <w:ind w:left="1134" w:hanging="1134"/>
        <w:rPr>
          <w:szCs w:val="22"/>
        </w:rPr>
      </w:pPr>
      <w:r>
        <w:rPr>
          <w:szCs w:val="22"/>
        </w:rPr>
        <w:t>intimar a Emissora e/ou as Subsidiárias a reforçar as Garantias dadas, na hipótese de sua deterioração ou depreciação e nos termos dos Contratos de Garantia ou desta Escritura de Emissão;</w:t>
      </w:r>
    </w:p>
    <w:p w:rsidR="00C963BB" w:rsidRDefault="00C759A0">
      <w:pPr>
        <w:pStyle w:val="Level2"/>
        <w:numPr>
          <w:ilvl w:val="0"/>
          <w:numId w:val="59"/>
        </w:numPr>
        <w:spacing w:after="240" w:line="320" w:lineRule="exact"/>
        <w:ind w:left="1134" w:hanging="1134"/>
        <w:rPr>
          <w:szCs w:val="22"/>
        </w:rPr>
      </w:pPr>
      <w:r>
        <w:rPr>
          <w:szCs w:val="22"/>
        </w:rPr>
        <w:t>solicitar, quando julgar necessário ao fiel desempenho de suas funções e mediante fundamentação, certidões atualizadas dos distribuidores cíveis, das Varas da Fazenda Pública, Cartórios de Protesto, Varas do Trabalho, Procuradoria da Fazenda Pública do foro da sede da Emissora, bem como das demais comarcas em que a Emissora exerça suas atividades, as quais deverão ser apresentadas em até 15 (quinze) dias corridos da data de solicitação;</w:t>
      </w:r>
    </w:p>
    <w:p w:rsidR="00C963BB" w:rsidRDefault="00C759A0">
      <w:pPr>
        <w:pStyle w:val="Level2"/>
        <w:numPr>
          <w:ilvl w:val="0"/>
          <w:numId w:val="59"/>
        </w:numPr>
        <w:spacing w:after="240" w:line="320" w:lineRule="exact"/>
        <w:ind w:left="1134" w:hanging="1134"/>
        <w:rPr>
          <w:szCs w:val="22"/>
        </w:rPr>
      </w:pPr>
      <w:r>
        <w:rPr>
          <w:szCs w:val="22"/>
        </w:rPr>
        <w:t>solicitar, quando considerar necessário e mediante fundamentação, às expensas da Emissora, auditoria externa na Emissora;</w:t>
      </w:r>
    </w:p>
    <w:p w:rsidR="00C963BB" w:rsidRDefault="00C759A0">
      <w:pPr>
        <w:pStyle w:val="Level2"/>
        <w:numPr>
          <w:ilvl w:val="0"/>
          <w:numId w:val="59"/>
        </w:numPr>
        <w:spacing w:after="240" w:line="320" w:lineRule="exact"/>
        <w:ind w:left="1134" w:hanging="1134"/>
        <w:rPr>
          <w:szCs w:val="22"/>
        </w:rPr>
      </w:pPr>
      <w:r>
        <w:rPr>
          <w:szCs w:val="22"/>
        </w:rPr>
        <w:t xml:space="preserve">convocar, quando necessário, </w:t>
      </w:r>
      <w:r w:rsidR="00417C40">
        <w:rPr>
          <w:szCs w:val="22"/>
        </w:rPr>
        <w:t>Assembleia Geral de Debenturistas</w:t>
      </w:r>
      <w:r>
        <w:rPr>
          <w:szCs w:val="22"/>
        </w:rPr>
        <w:t>, nos termos da Cláusula Décima abaixo;</w:t>
      </w:r>
    </w:p>
    <w:p w:rsidR="00C963BB" w:rsidRDefault="00C759A0">
      <w:pPr>
        <w:pStyle w:val="Level2"/>
        <w:numPr>
          <w:ilvl w:val="0"/>
          <w:numId w:val="59"/>
        </w:numPr>
        <w:spacing w:after="240" w:line="320" w:lineRule="exact"/>
        <w:ind w:left="1134" w:hanging="1134"/>
        <w:rPr>
          <w:szCs w:val="22"/>
        </w:rPr>
      </w:pPr>
      <w:r>
        <w:rPr>
          <w:szCs w:val="22"/>
        </w:rPr>
        <w:t>comparecer à</w:t>
      </w:r>
      <w:r w:rsidR="00417C40" w:rsidRPr="00417C40">
        <w:rPr>
          <w:szCs w:val="22"/>
        </w:rPr>
        <w:t xml:space="preserve"> </w:t>
      </w:r>
      <w:r w:rsidR="00417C40">
        <w:rPr>
          <w:szCs w:val="22"/>
        </w:rPr>
        <w:t>Assembleia Geral de Debenturistas</w:t>
      </w:r>
      <w:r>
        <w:rPr>
          <w:szCs w:val="22"/>
        </w:rPr>
        <w:t xml:space="preserve"> a fim de prestar as informações que lhe forem solicitadas;</w:t>
      </w:r>
    </w:p>
    <w:p w:rsidR="00C963BB" w:rsidRDefault="00C759A0">
      <w:pPr>
        <w:pStyle w:val="Level2"/>
        <w:numPr>
          <w:ilvl w:val="0"/>
          <w:numId w:val="59"/>
        </w:numPr>
        <w:spacing w:after="240" w:line="320" w:lineRule="exact"/>
        <w:ind w:left="1134" w:hanging="1134"/>
        <w:rPr>
          <w:szCs w:val="22"/>
        </w:rPr>
      </w:pPr>
      <w:r>
        <w:rPr>
          <w:szCs w:val="22"/>
        </w:rPr>
        <w:lastRenderedPageBreak/>
        <w:t>manter atualizada a relação de Debenturistas e de seus endereços, mediante, inclusive, solicitação de informações à Emissora, ao Agente de Liquidação e Escriturador e à B3, sendo que, para fins de atendimento ao disposto nesta alínea, a Emissora e os Debenturistas, assim que subscreverem, integralizarem ou adquirirem as Debêntures, expressamente autorizam, desde já, o Agente de Liquidação e Escriturador e a B3 a divulgarem, a qualquer momento, a posição das Debêntures, bem como relação dos Debenturistas;</w:t>
      </w:r>
    </w:p>
    <w:p w:rsidR="00C963BB" w:rsidRDefault="00C759A0">
      <w:pPr>
        <w:pStyle w:val="Level2"/>
        <w:numPr>
          <w:ilvl w:val="0"/>
          <w:numId w:val="59"/>
        </w:numPr>
        <w:spacing w:after="240" w:line="320" w:lineRule="exact"/>
        <w:ind w:left="1134" w:hanging="1134"/>
        <w:rPr>
          <w:szCs w:val="22"/>
        </w:rPr>
      </w:pPr>
      <w:r>
        <w:rPr>
          <w:szCs w:val="22"/>
        </w:rPr>
        <w:t>fiscalizar o cumprimento das cláusulas constantes desta Escritura de Emissão, especialmente daquelas impositivas de obrigações de fazer e de não fazer;</w:t>
      </w:r>
    </w:p>
    <w:p w:rsidR="00C963BB" w:rsidRDefault="00C759A0">
      <w:pPr>
        <w:pStyle w:val="Level2"/>
        <w:numPr>
          <w:ilvl w:val="0"/>
          <w:numId w:val="59"/>
        </w:numPr>
        <w:spacing w:after="240" w:line="320" w:lineRule="exact"/>
        <w:ind w:left="1134" w:hanging="1134"/>
        <w:rPr>
          <w:szCs w:val="22"/>
        </w:rPr>
      </w:pPr>
      <w:r>
        <w:rPr>
          <w:szCs w:val="22"/>
        </w:rPr>
        <w:t xml:space="preserve">comunicar aos Debenturistas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rsidR="00C963BB" w:rsidRDefault="00C759A0">
      <w:pPr>
        <w:pStyle w:val="Level2"/>
        <w:numPr>
          <w:ilvl w:val="0"/>
          <w:numId w:val="59"/>
        </w:numPr>
        <w:spacing w:after="240" w:line="320" w:lineRule="exact"/>
        <w:ind w:left="1134" w:hanging="1134"/>
        <w:rPr>
          <w:szCs w:val="22"/>
        </w:rPr>
      </w:pPr>
      <w:bookmarkStart w:id="182" w:name="_Ref496714360"/>
      <w:r>
        <w:rPr>
          <w:szCs w:val="22"/>
        </w:rPr>
        <w:t>elaborar relatórios anuais destinados aos Debenturistas, nos termos da alínea “b” do parágrafo 1º do artigo 68 da Lei das Sociedades por Ações e do artigo 15 da Instrução CVM 583, relativos aos exercícios sociais da Emissora, os quais deverão conter, ao menos, as seguintes informações:</w:t>
      </w:r>
      <w:bookmarkEnd w:id="182"/>
    </w:p>
    <w:p w:rsidR="00C963BB" w:rsidRDefault="00C759A0">
      <w:pPr>
        <w:pStyle w:val="Level2"/>
        <w:numPr>
          <w:ilvl w:val="1"/>
          <w:numId w:val="59"/>
        </w:numPr>
        <w:spacing w:after="240" w:line="320" w:lineRule="exact"/>
        <w:ind w:left="1701" w:hanging="567"/>
        <w:rPr>
          <w:szCs w:val="22"/>
        </w:rPr>
      </w:pPr>
      <w:r>
        <w:rPr>
          <w:szCs w:val="22"/>
        </w:rPr>
        <w:t>cumprimento pela Emissora das suas obrigações de prestação de informações periódicas, indicando as inconsistências ou omissões de que tenha conhecimento;</w:t>
      </w:r>
    </w:p>
    <w:p w:rsidR="00C963BB" w:rsidRDefault="00C759A0">
      <w:pPr>
        <w:pStyle w:val="Level2"/>
        <w:numPr>
          <w:ilvl w:val="1"/>
          <w:numId w:val="59"/>
        </w:numPr>
        <w:spacing w:after="240" w:line="320" w:lineRule="exact"/>
        <w:ind w:left="1701" w:hanging="567"/>
        <w:rPr>
          <w:szCs w:val="22"/>
        </w:rPr>
      </w:pPr>
      <w:r>
        <w:rPr>
          <w:szCs w:val="22"/>
        </w:rPr>
        <w:t>alterações estatutárias ocorridas no período com efeitos relevantes para os Debenturistas;</w:t>
      </w:r>
    </w:p>
    <w:p w:rsidR="00C963BB" w:rsidRDefault="00C759A0">
      <w:pPr>
        <w:pStyle w:val="Level2"/>
        <w:numPr>
          <w:ilvl w:val="1"/>
          <w:numId w:val="59"/>
        </w:numPr>
        <w:spacing w:after="240" w:line="320" w:lineRule="exact"/>
        <w:ind w:left="1701" w:hanging="567"/>
        <w:rPr>
          <w:szCs w:val="22"/>
        </w:rPr>
      </w:pPr>
      <w:r>
        <w:rPr>
          <w:szCs w:val="22"/>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rsidR="00C963BB" w:rsidRDefault="00C759A0">
      <w:pPr>
        <w:pStyle w:val="Level2"/>
        <w:numPr>
          <w:ilvl w:val="1"/>
          <w:numId w:val="59"/>
        </w:numPr>
        <w:spacing w:after="240" w:line="320" w:lineRule="exact"/>
        <w:ind w:left="1701" w:hanging="567"/>
        <w:rPr>
          <w:szCs w:val="22"/>
        </w:rPr>
      </w:pPr>
      <w:r>
        <w:rPr>
          <w:szCs w:val="22"/>
        </w:rPr>
        <w:t>quantidade de Debêntures emitidas, quantidade de Debêntures em Circulação e saldo cancelado no período;</w:t>
      </w:r>
    </w:p>
    <w:p w:rsidR="00C963BB" w:rsidRDefault="00C759A0">
      <w:pPr>
        <w:pStyle w:val="Level2"/>
        <w:numPr>
          <w:ilvl w:val="1"/>
          <w:numId w:val="59"/>
        </w:numPr>
        <w:spacing w:after="240" w:line="320" w:lineRule="exact"/>
        <w:ind w:left="1701" w:hanging="567"/>
        <w:rPr>
          <w:szCs w:val="22"/>
        </w:rPr>
      </w:pPr>
      <w:r>
        <w:rPr>
          <w:szCs w:val="22"/>
        </w:rPr>
        <w:lastRenderedPageBreak/>
        <w:t>resgate, amortização, conversão, repactuação e pagamento de juros das Debêntures realizados no período;</w:t>
      </w:r>
    </w:p>
    <w:p w:rsidR="00C963BB" w:rsidRDefault="00C759A0">
      <w:pPr>
        <w:pStyle w:val="Level2"/>
        <w:numPr>
          <w:ilvl w:val="1"/>
          <w:numId w:val="59"/>
        </w:numPr>
        <w:spacing w:after="240" w:line="320" w:lineRule="exact"/>
        <w:ind w:left="1701" w:hanging="567"/>
        <w:rPr>
          <w:szCs w:val="22"/>
        </w:rPr>
      </w:pPr>
      <w:r>
        <w:rPr>
          <w:szCs w:val="22"/>
        </w:rPr>
        <w:t xml:space="preserve">destinação dos recursos captados por meio da Emissão, conforme informações prestadas pela Emissora; </w:t>
      </w:r>
    </w:p>
    <w:p w:rsidR="00C963BB" w:rsidRDefault="00C759A0">
      <w:pPr>
        <w:pStyle w:val="Level2"/>
        <w:numPr>
          <w:ilvl w:val="1"/>
          <w:numId w:val="59"/>
        </w:numPr>
        <w:spacing w:after="240" w:line="320" w:lineRule="exact"/>
        <w:ind w:left="1701" w:hanging="567"/>
        <w:rPr>
          <w:szCs w:val="22"/>
        </w:rPr>
      </w:pPr>
      <w:r>
        <w:rPr>
          <w:szCs w:val="22"/>
        </w:rPr>
        <w:t>relação dos bens e valores entregues à administração do Agente Fiduciário</w:t>
      </w:r>
      <w:r w:rsidR="00417C40">
        <w:rPr>
          <w:szCs w:val="22"/>
        </w:rPr>
        <w:t>;</w:t>
      </w:r>
    </w:p>
    <w:p w:rsidR="00C963BB" w:rsidRDefault="00C759A0">
      <w:pPr>
        <w:pStyle w:val="Level2"/>
        <w:numPr>
          <w:ilvl w:val="1"/>
          <w:numId w:val="59"/>
        </w:numPr>
        <w:spacing w:after="240" w:line="320" w:lineRule="exact"/>
        <w:ind w:left="1701" w:hanging="567"/>
        <w:rPr>
          <w:szCs w:val="22"/>
        </w:rPr>
      </w:pPr>
      <w:r>
        <w:rPr>
          <w:szCs w:val="22"/>
        </w:rPr>
        <w:t>cumprimento de outras obrigações assumidas pela Emissora nesta Escritura de Emissão;</w:t>
      </w:r>
    </w:p>
    <w:p w:rsidR="00C963BB" w:rsidRDefault="00C759A0">
      <w:pPr>
        <w:pStyle w:val="Level2"/>
        <w:numPr>
          <w:ilvl w:val="1"/>
          <w:numId w:val="59"/>
        </w:numPr>
        <w:spacing w:after="240" w:line="320" w:lineRule="exact"/>
        <w:ind w:left="1701" w:hanging="567"/>
        <w:rPr>
          <w:szCs w:val="22"/>
        </w:rPr>
      </w:pPr>
      <w:r>
        <w:rPr>
          <w:szCs w:val="22"/>
        </w:rPr>
        <w:t>manutenção da suficiência e exequibilidade das Garantias;</w:t>
      </w:r>
    </w:p>
    <w:p w:rsidR="00C963BB" w:rsidRDefault="00C759A0">
      <w:pPr>
        <w:pStyle w:val="Level2"/>
        <w:numPr>
          <w:ilvl w:val="1"/>
          <w:numId w:val="59"/>
        </w:numPr>
        <w:spacing w:after="240" w:line="320" w:lineRule="exact"/>
        <w:ind w:left="1701" w:hanging="567"/>
        <w:rPr>
          <w:szCs w:val="22"/>
        </w:rPr>
      </w:pPr>
      <w:r>
        <w:rPr>
          <w:szCs w:val="22"/>
        </w:rPr>
        <w:t>declaração sobre a não existência de situação de conflito de interesses que o impeça a continuar exercendo a função de agente fiduciário da Emissão; e</w:t>
      </w:r>
    </w:p>
    <w:p w:rsidR="00C963BB" w:rsidRDefault="00C759A0">
      <w:pPr>
        <w:pStyle w:val="Level2"/>
        <w:numPr>
          <w:ilvl w:val="1"/>
          <w:numId w:val="59"/>
        </w:numPr>
        <w:spacing w:after="240" w:line="320" w:lineRule="exact"/>
        <w:ind w:left="1701" w:hanging="567"/>
        <w:rPr>
          <w:szCs w:val="22"/>
        </w:rPr>
      </w:pPr>
      <w:r>
        <w:rPr>
          <w:szCs w:val="22"/>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 denominação da companhia ofertante; valor da emissão; quantidade de valores mobiliários emitidos; espécie e garantias envolvidas; prazo de vencimento e taxa de juros dos valores mobiliários; e inadimplemento no período.</w:t>
      </w:r>
    </w:p>
    <w:p w:rsidR="00C963BB" w:rsidRDefault="00C759A0">
      <w:pPr>
        <w:pStyle w:val="Level2"/>
        <w:numPr>
          <w:ilvl w:val="0"/>
          <w:numId w:val="59"/>
        </w:numPr>
        <w:spacing w:after="240" w:line="320" w:lineRule="exact"/>
        <w:ind w:left="1134" w:hanging="1134"/>
        <w:rPr>
          <w:szCs w:val="22"/>
        </w:rPr>
      </w:pPr>
      <w:r>
        <w:rPr>
          <w:szCs w:val="22"/>
        </w:rPr>
        <w:t>disponibilizar em sua página na rede mundial de computadores (www.oliveiratrust.com.br) o relatório a que se refere o inciso </w:t>
      </w:r>
      <w:r>
        <w:rPr>
          <w:szCs w:val="22"/>
        </w:rPr>
        <w:fldChar w:fldCharType="begin"/>
      </w:r>
      <w:r>
        <w:rPr>
          <w:szCs w:val="22"/>
        </w:rPr>
        <w:instrText xml:space="preserve"> REF _Ref496714360 \n \p \h  \* MERGEFORMAT </w:instrText>
      </w:r>
      <w:r>
        <w:rPr>
          <w:szCs w:val="22"/>
        </w:rPr>
      </w:r>
      <w:r>
        <w:rPr>
          <w:szCs w:val="22"/>
        </w:rPr>
        <w:fldChar w:fldCharType="separate"/>
      </w:r>
      <w:r w:rsidR="00281921">
        <w:rPr>
          <w:szCs w:val="22"/>
        </w:rPr>
        <w:t>(xix) acima</w:t>
      </w:r>
      <w:r>
        <w:rPr>
          <w:szCs w:val="22"/>
        </w:rPr>
        <w:fldChar w:fldCharType="end"/>
      </w:r>
      <w:r>
        <w:rPr>
          <w:szCs w:val="22"/>
        </w:rPr>
        <w:t xml:space="preserve"> aos Debenturistas, no prazo máximo de 4 (quatro) meses a contar do encerramento do exercício social da Emissora; </w:t>
      </w:r>
    </w:p>
    <w:p w:rsidR="00C963BB" w:rsidRDefault="00C759A0">
      <w:pPr>
        <w:pStyle w:val="Level2"/>
        <w:numPr>
          <w:ilvl w:val="0"/>
          <w:numId w:val="59"/>
        </w:numPr>
        <w:spacing w:after="240" w:line="320" w:lineRule="exact"/>
        <w:ind w:left="1134" w:hanging="1134"/>
        <w:rPr>
          <w:szCs w:val="22"/>
        </w:rPr>
      </w:pPr>
      <w:r>
        <w:rPr>
          <w:szCs w:val="22"/>
        </w:rPr>
        <w:t xml:space="preserve">disponibilizar aos Debenturistas e demais participantes do mercado, em sua central de atendimento e/ou página na rede mundial de computadores (www.oliveiratrust.com.br), o Valor Nominal Unitário das Debêntures, a ser calculado pela Emissora; </w:t>
      </w:r>
    </w:p>
    <w:p w:rsidR="00C963BB" w:rsidRDefault="00C759A0">
      <w:pPr>
        <w:pStyle w:val="Level2"/>
        <w:numPr>
          <w:ilvl w:val="0"/>
          <w:numId w:val="59"/>
        </w:numPr>
        <w:spacing w:after="240" w:line="320" w:lineRule="exact"/>
        <w:ind w:left="1134" w:hanging="1134"/>
        <w:rPr>
          <w:szCs w:val="22"/>
        </w:rPr>
      </w:pPr>
      <w:r>
        <w:rPr>
          <w:szCs w:val="22"/>
        </w:rPr>
        <w:t>acompanhar a manutenção do Índice Financeiro, do ICSD Individual e do ICSD Consolidado, podendo o Agente Fiduciário solicitar à Emissora, à Contour ou aos Auditores Independentes todos os eventuais esclarecimentos adicionais que se façam necessários, e informar imediatamente os titulares de Debêntures de qualquer descumprimento do Índice Financeiro, do ICSD Individual ou do ICSD Consolidado; e</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disponibilizar aos Debenturistas os </w:t>
      </w:r>
      <w:r>
        <w:t xml:space="preserve">relatórios fornecidos pela Contour e pela Emissora, nos termos do item </w:t>
      </w:r>
      <w:r>
        <w:fldChar w:fldCharType="begin"/>
      </w:r>
      <w:r>
        <w:instrText xml:space="preserve"> REF _Ref512706016 \r \h </w:instrText>
      </w:r>
      <w:r>
        <w:fldChar w:fldCharType="separate"/>
      </w:r>
      <w:r w:rsidR="00281921">
        <w:t>8.2</w:t>
      </w:r>
      <w:r>
        <w:fldChar w:fldCharType="end"/>
      </w:r>
      <w:r>
        <w:t xml:space="preserve">, inciso </w:t>
      </w:r>
      <w:r>
        <w:fldChar w:fldCharType="begin"/>
      </w:r>
      <w:r>
        <w:instrText xml:space="preserve"> REF _Ref514233046 \n \h </w:instrText>
      </w:r>
      <w:r>
        <w:fldChar w:fldCharType="separate"/>
      </w:r>
      <w:r w:rsidR="00281921">
        <w:t>(i)</w:t>
      </w:r>
      <w:r>
        <w:fldChar w:fldCharType="end"/>
      </w:r>
      <w:r>
        <w:t xml:space="preserve">, alínea </w:t>
      </w:r>
      <w:r>
        <w:fldChar w:fldCharType="begin"/>
      </w:r>
      <w:r>
        <w:instrText xml:space="preserve"> REF _Ref514233027 \n \p \h </w:instrText>
      </w:r>
      <w:r>
        <w:fldChar w:fldCharType="separate"/>
      </w:r>
      <w:r w:rsidR="00281921">
        <w:t>(e) acima</w:t>
      </w:r>
      <w:r>
        <w:fldChar w:fldCharType="end"/>
      </w:r>
      <w:r>
        <w:t xml:space="preserve"> e do item </w:t>
      </w:r>
      <w:r>
        <w:fldChar w:fldCharType="begin"/>
      </w:r>
      <w:r>
        <w:instrText xml:space="preserve"> REF _Ref498984291 \n \h </w:instrText>
      </w:r>
      <w:r>
        <w:fldChar w:fldCharType="separate"/>
      </w:r>
      <w:r w:rsidR="00281921">
        <w:t>8.1</w:t>
      </w:r>
      <w:r>
        <w:fldChar w:fldCharType="end"/>
      </w:r>
      <w:r>
        <w:t xml:space="preserve">, inciso </w:t>
      </w:r>
      <w:r>
        <w:fldChar w:fldCharType="begin"/>
      </w:r>
      <w:r>
        <w:instrText xml:space="preserve"> REF _Ref515972292 \n \h </w:instrText>
      </w:r>
      <w:r>
        <w:fldChar w:fldCharType="separate"/>
      </w:r>
      <w:r w:rsidR="00281921">
        <w:t>(i)</w:t>
      </w:r>
      <w:r>
        <w:fldChar w:fldCharType="end"/>
      </w:r>
      <w:r>
        <w:t xml:space="preserve">, alínea </w:t>
      </w:r>
      <w:r>
        <w:fldChar w:fldCharType="begin"/>
      </w:r>
      <w:r>
        <w:instrText xml:space="preserve"> REF _Ref515972301 \n \p \h </w:instrText>
      </w:r>
      <w:r>
        <w:fldChar w:fldCharType="separate"/>
      </w:r>
      <w:r w:rsidR="00281921">
        <w:t>(e) acima</w:t>
      </w:r>
      <w:r>
        <w:fldChar w:fldCharType="end"/>
      </w:r>
      <w:r>
        <w:t>, bem como os controles individuais elaborados pelo Agente Fiduciário, nos termos do Anexo IV – A do Contrato de Alienação Fiduciária de Ações SPEs</w:t>
      </w:r>
      <w:r>
        <w:rPr>
          <w:szCs w:val="22"/>
        </w:rPr>
        <w:t>.</w:t>
      </w:r>
    </w:p>
    <w:p w:rsidR="00C963BB" w:rsidRDefault="00C759A0">
      <w:pPr>
        <w:pStyle w:val="Level2"/>
        <w:tabs>
          <w:tab w:val="clear" w:pos="680"/>
          <w:tab w:val="num" w:pos="1134"/>
        </w:tabs>
        <w:spacing w:after="240" w:line="320" w:lineRule="exact"/>
        <w:ind w:left="0" w:firstLine="0"/>
        <w:rPr>
          <w:szCs w:val="22"/>
        </w:rPr>
      </w:pPr>
      <w:bookmarkStart w:id="183" w:name="_Ref416099529"/>
      <w:r>
        <w:rPr>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w:t>
      </w:r>
      <w:bookmarkEnd w:id="183"/>
    </w:p>
    <w:p w:rsidR="00C963BB" w:rsidRDefault="00C759A0">
      <w:pPr>
        <w:pStyle w:val="Level4"/>
        <w:spacing w:after="240" w:line="320" w:lineRule="exact"/>
        <w:ind w:left="1134" w:hanging="1134"/>
      </w:pPr>
      <w:bookmarkStart w:id="184" w:name="_Ref382082997"/>
      <w:r>
        <w:t>diante da ocorrência de um dos Eventos de Vencimento Antecipado Automático ou de uma dos Eventos de Vencimento Antecipado Não Automático, neste caso observado o disposto na Cláusula Sétima acima, declarar antecipadamente vencidas as Debêntures e cobrar seu principal e acessórios, observadas as condições da presente Escritura de Emissão;</w:t>
      </w:r>
      <w:bookmarkEnd w:id="184"/>
    </w:p>
    <w:p w:rsidR="00C963BB" w:rsidRDefault="00C759A0">
      <w:pPr>
        <w:pStyle w:val="Level4"/>
        <w:spacing w:after="240" w:line="320" w:lineRule="exact"/>
        <w:ind w:left="1134" w:hanging="1134"/>
      </w:pPr>
      <w:r>
        <w:t xml:space="preserve">convocar Assembleia Geral de Debenturistas para que seja deliberado a forma de excussão das Garantias descritas no item </w:t>
      </w:r>
      <w:r>
        <w:fldChar w:fldCharType="begin"/>
      </w:r>
      <w:r>
        <w:instrText xml:space="preserve"> REF _Ref382072770 \n \p \h  \* MERGEFORMAT </w:instrText>
      </w:r>
      <w:r>
        <w:fldChar w:fldCharType="separate"/>
      </w:r>
      <w:r w:rsidR="00281921">
        <w:t>6.21 acima</w:t>
      </w:r>
      <w:r>
        <w:fldChar w:fldCharType="end"/>
      </w:r>
      <w:r>
        <w:t>, conforme em vigor, bem como quaisquer outras garantias constituídas, em favor dos Debenturistas;</w:t>
      </w:r>
    </w:p>
    <w:p w:rsidR="00C963BB" w:rsidRDefault="00C759A0">
      <w:pPr>
        <w:pStyle w:val="Level4"/>
        <w:spacing w:after="240" w:line="320" w:lineRule="exact"/>
        <w:ind w:left="1134" w:hanging="1134"/>
      </w:pPr>
      <w:r>
        <w:rPr>
          <w:color w:val="000000"/>
        </w:rPr>
        <w:t>requerer a falência ou, conforme o caso, a insolvência, da Emissora;</w:t>
      </w:r>
    </w:p>
    <w:p w:rsidR="00C963BB" w:rsidRDefault="00C759A0">
      <w:pPr>
        <w:pStyle w:val="Level4"/>
        <w:spacing w:after="240" w:line="320" w:lineRule="exact"/>
        <w:ind w:left="1134" w:hanging="1134"/>
      </w:pPr>
      <w:bookmarkStart w:id="185" w:name="_Ref382082998"/>
      <w:r>
        <w:t>tomar todas as providências necessárias para a realização dos créditos dos Debenturistas; e</w:t>
      </w:r>
      <w:bookmarkEnd w:id="185"/>
    </w:p>
    <w:p w:rsidR="00C963BB" w:rsidRDefault="00C759A0">
      <w:pPr>
        <w:pStyle w:val="Level4"/>
        <w:spacing w:after="240" w:line="320" w:lineRule="exact"/>
        <w:ind w:left="1134" w:hanging="1134"/>
      </w:pPr>
      <w:bookmarkStart w:id="186" w:name="_Ref382083035"/>
      <w:r>
        <w:t>representar os Debenturistas em processo de falência, recuperação judicial e extrajudicial, intervenção, liquidação ou insolvência da Emissora.</w:t>
      </w:r>
      <w:bookmarkEnd w:id="186"/>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somente se eximirá da responsabilidade pela não adoção das medidas contempladas no item </w:t>
      </w:r>
      <w:r>
        <w:rPr>
          <w:szCs w:val="22"/>
        </w:rPr>
        <w:fldChar w:fldCharType="begin"/>
      </w:r>
      <w:r>
        <w:rPr>
          <w:szCs w:val="22"/>
        </w:rPr>
        <w:instrText xml:space="preserve"> REF _Ref416099529 \n \p \h  \* MERGEFORMAT </w:instrText>
      </w:r>
      <w:r>
        <w:rPr>
          <w:szCs w:val="22"/>
        </w:rPr>
      </w:r>
      <w:r>
        <w:rPr>
          <w:szCs w:val="22"/>
        </w:rPr>
        <w:fldChar w:fldCharType="separate"/>
      </w:r>
      <w:r w:rsidR="00281921">
        <w:rPr>
          <w:szCs w:val="22"/>
        </w:rPr>
        <w:t>9.13 acima</w:t>
      </w:r>
      <w:r>
        <w:rPr>
          <w:szCs w:val="22"/>
        </w:rPr>
        <w:fldChar w:fldCharType="end"/>
      </w:r>
      <w:r>
        <w:rPr>
          <w:szCs w:val="22"/>
        </w:rPr>
        <w:t xml:space="preserve"> se a Assembleia Geral de Debenturistas assim autorizar por deliberação de Debenturistas titulares de 75% (setenta e cinco por cento) das Debêntures em Circulação.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w:t>
      </w:r>
      <w:r>
        <w:rPr>
          <w:szCs w:val="22"/>
        </w:rPr>
        <w:lastRenderedPageBreak/>
        <w:t>venham a ser causados em decorrência disto aos Debenturistas ou à Emissora. A atuação do Agente Fiduciário limita-se ao escopo da Instrução CVM 583, conforme alterada e dos artigos aplicáveis da Lei das Sociedades por Ações, estando este isento, sob qualquer forma ou pretexto, de qualquer responsabilidade adicional que não tenha decorrido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Sem prejuízo do dever de diligência do Agente Fiduciário, o Agente Fiduciário presumirá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ou nos Contratos de Garantia, somente serão válidos quando previamente assim deliberado pelos Debenturistas reunidos em Assembleia Geral.</w:t>
      </w:r>
    </w:p>
    <w:p w:rsidR="00C963BB" w:rsidRDefault="00C759A0">
      <w:pPr>
        <w:pStyle w:val="Level2"/>
        <w:numPr>
          <w:ilvl w:val="1"/>
          <w:numId w:val="52"/>
        </w:numPr>
        <w:tabs>
          <w:tab w:val="clear" w:pos="680"/>
          <w:tab w:val="num" w:pos="1134"/>
        </w:tabs>
        <w:spacing w:after="240" w:line="320" w:lineRule="exact"/>
        <w:ind w:left="0" w:firstLine="0"/>
        <w:rPr>
          <w:szCs w:val="22"/>
        </w:rPr>
      </w:pPr>
      <w:r>
        <w:rPr>
          <w:szCs w:val="22"/>
        </w:rPr>
        <w:t>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Décima abaixo, sendo certo que a CVM poderá nomear substituto provisório, enquanto não se consumar o processo de escolha do novo agente fiduciário da Emissão. A substituição não implicará remuneração ao novo Agente Fiduciário superior à ora avençada.</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É facultado aos Debenturistas, após o encerramento do prazo para a subscrição e integralização da totalidade das Debêntures, proceder à substituição do Agente Fiduciário e à </w:t>
      </w:r>
      <w:r>
        <w:rPr>
          <w:szCs w:val="22"/>
        </w:rPr>
        <w:lastRenderedPageBreak/>
        <w:t>indicação de seu substituto, em Assembleia Geral de Debenturistas especialmente convocada para esse fim.</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szCs w:val="22"/>
        </w:rPr>
        <w:t>pro rata temporis</w:t>
      </w:r>
      <w:r>
        <w:rPr>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Em qualquer hipótese, a substituição do Agente Fiduciário ficará sujeita à comunicação prévia à CVM e normas aplicáveis.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A substituição do Agente Fiduciário em caráter permanente deverá ser objeto de aditamento à Escritura de Emissão, que deverá ser registrado nos termos do item </w:t>
      </w:r>
      <w:r>
        <w:rPr>
          <w:szCs w:val="22"/>
        </w:rPr>
        <w:fldChar w:fldCharType="begin"/>
      </w:r>
      <w:r>
        <w:rPr>
          <w:szCs w:val="22"/>
        </w:rPr>
        <w:instrText xml:space="preserve"> REF _Ref496656620 \w \p \h  \* MERGEFORMAT </w:instrText>
      </w:r>
      <w:r>
        <w:rPr>
          <w:szCs w:val="22"/>
        </w:rPr>
      </w:r>
      <w:r>
        <w:rPr>
          <w:szCs w:val="22"/>
        </w:rPr>
        <w:fldChar w:fldCharType="separate"/>
      </w:r>
      <w:r w:rsidR="00281921">
        <w:rPr>
          <w:szCs w:val="22"/>
        </w:rPr>
        <w:t>2.4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substituto deverá, imediatamente após sua nomeação, comunicá-la aos Debenturistas em forma de aviso nos termos do item </w:t>
      </w:r>
      <w:r>
        <w:rPr>
          <w:szCs w:val="22"/>
        </w:rPr>
        <w:fldChar w:fldCharType="begin"/>
      </w:r>
      <w:r>
        <w:rPr>
          <w:szCs w:val="22"/>
        </w:rPr>
        <w:instrText xml:space="preserve"> REF _Ref382076659 \n \p \h  \* MERGEFORMAT </w:instrText>
      </w:r>
      <w:r>
        <w:rPr>
          <w:szCs w:val="22"/>
        </w:rPr>
      </w:r>
      <w:r>
        <w:rPr>
          <w:szCs w:val="22"/>
        </w:rPr>
        <w:fldChar w:fldCharType="separate"/>
      </w:r>
      <w:r w:rsidR="00281921">
        <w:rPr>
          <w:szCs w:val="22"/>
        </w:rPr>
        <w:t>6.28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Aplicam-se às hipóteses de substituição do Agente Fiduciário as normas e preceitos a este respeito promulgados por atos da CVM</w:t>
      </w:r>
      <w:r>
        <w:rPr>
          <w:rFonts w:eastAsia="Arial Unicode MS"/>
          <w:szCs w:val="22"/>
        </w:rPr>
        <w:t>.</w:t>
      </w:r>
    </w:p>
    <w:p w:rsidR="00C963BB" w:rsidRDefault="00C759A0">
      <w:pPr>
        <w:pStyle w:val="Level1"/>
        <w:numPr>
          <w:ilvl w:val="0"/>
          <w:numId w:val="120"/>
        </w:numPr>
        <w:spacing w:before="0" w:after="240" w:line="320" w:lineRule="exact"/>
        <w:jc w:val="center"/>
        <w:rPr>
          <w:szCs w:val="22"/>
        </w:rPr>
      </w:pPr>
      <w:bookmarkStart w:id="187" w:name="_DV_M362"/>
      <w:bookmarkStart w:id="188" w:name="_DV_M325"/>
      <w:bookmarkStart w:id="189" w:name="_DV_M327"/>
      <w:bookmarkStart w:id="190" w:name="_DV_M330"/>
      <w:bookmarkStart w:id="191" w:name="_DV_M331"/>
      <w:bookmarkStart w:id="192" w:name="_DV_M332"/>
      <w:bookmarkStart w:id="193" w:name="_Ref382081591"/>
      <w:bookmarkEnd w:id="187"/>
      <w:bookmarkEnd w:id="188"/>
      <w:bookmarkEnd w:id="189"/>
      <w:bookmarkEnd w:id="190"/>
      <w:bookmarkEnd w:id="191"/>
      <w:bookmarkEnd w:id="192"/>
      <w:r>
        <w:rPr>
          <w:szCs w:val="22"/>
        </w:rPr>
        <w:t>CLÁUSULA DÉCIMA - DA ASSEMBLEIA GERAL DE DEBENTURISTAS</w:t>
      </w:r>
      <w:bookmarkEnd w:id="193"/>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Os Debenturistas poderão reunir-se em assembleia geral de debenturistas (“</w:t>
      </w:r>
      <w:r>
        <w:rPr>
          <w:szCs w:val="22"/>
          <w:u w:val="single"/>
        </w:rPr>
        <w:t>Assembleia Geral de Debenturistas</w:t>
      </w:r>
      <w:r>
        <w:rPr>
          <w:szCs w:val="22"/>
        </w:rPr>
        <w:t xml:space="preserve">”), observado que </w:t>
      </w:r>
      <w:r>
        <w:rPr>
          <w:b/>
          <w:szCs w:val="22"/>
        </w:rPr>
        <w:t>(i)</w:t>
      </w:r>
      <w:r>
        <w:rPr>
          <w:szCs w:val="22"/>
        </w:rPr>
        <w:t xml:space="preserve"> 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todas as Séries; e; </w:t>
      </w:r>
      <w:r>
        <w:rPr>
          <w:b/>
          <w:szCs w:val="22"/>
        </w:rPr>
        <w:t>(ii) </w:t>
      </w:r>
      <w:r>
        <w:rPr>
          <w:szCs w:val="22"/>
        </w:rPr>
        <w:t>quando o assunto a ser deliberado for específico a uma determinada Série, os Debenturistas da respectiva Série poderão, a qualquer tempo, de acordo com o disposto no artigo 71 da Lei das Sociedades por Ações, reunir-se em Assembleia Geral de Debenturistas, que se realizará em separado, computando-se em separado os respectivos quóruns de convocação, instalação e deliberação, a fim de deliberarem sobre matéria de interesse da comunhão dos Debenturistas da respectiva Série, conforme o caso.</w:t>
      </w:r>
    </w:p>
    <w:p w:rsidR="00C963BB" w:rsidRDefault="00C759A0">
      <w:pPr>
        <w:pStyle w:val="Level3"/>
        <w:numPr>
          <w:ilvl w:val="2"/>
          <w:numId w:val="54"/>
        </w:numPr>
        <w:tabs>
          <w:tab w:val="num" w:pos="1134"/>
        </w:tabs>
        <w:spacing w:after="240" w:line="320" w:lineRule="exact"/>
        <w:ind w:left="0" w:firstLine="0"/>
        <w:rPr>
          <w:color w:val="000000"/>
          <w:szCs w:val="22"/>
          <w:shd w:val="clear" w:color="auto" w:fill="FFFFFF"/>
        </w:rPr>
      </w:pPr>
      <w:r>
        <w:rPr>
          <w:szCs w:val="22"/>
        </w:rPr>
        <w:t xml:space="preserve">As matérias a serem deliberadas em conjunto por todas as Séries incluem, mas não se limitam a: </w:t>
      </w:r>
      <w:r>
        <w:rPr>
          <w:b/>
          <w:szCs w:val="22"/>
        </w:rPr>
        <w:t>(i)</w:t>
      </w:r>
      <w:r>
        <w:rPr>
          <w:szCs w:val="22"/>
        </w:rPr>
        <w:t xml:space="preserve"> a substituição do Agente Fiduciário; </w:t>
      </w:r>
      <w:r>
        <w:rPr>
          <w:b/>
          <w:szCs w:val="22"/>
        </w:rPr>
        <w:t>(ii) </w:t>
      </w:r>
      <w:r>
        <w:rPr>
          <w:szCs w:val="22"/>
        </w:rPr>
        <w:t xml:space="preserve">a alteração da redação, inclusões ou exclusões dos Eventos de Vencimento Antecipado; </w:t>
      </w:r>
      <w:r>
        <w:rPr>
          <w:b/>
          <w:szCs w:val="22"/>
        </w:rPr>
        <w:t>(iii) </w:t>
      </w:r>
      <w:r>
        <w:rPr>
          <w:szCs w:val="22"/>
        </w:rPr>
        <w:t xml:space="preserve">a alteração dos quóruns de deliberação </w:t>
      </w:r>
      <w:r>
        <w:rPr>
          <w:szCs w:val="22"/>
        </w:rPr>
        <w:lastRenderedPageBreak/>
        <w:t xml:space="preserve">previstos nesta Cláusula Décima; </w:t>
      </w:r>
      <w:r>
        <w:rPr>
          <w:b/>
          <w:szCs w:val="22"/>
        </w:rPr>
        <w:t>(iv) </w:t>
      </w:r>
      <w:r>
        <w:rPr>
          <w:szCs w:val="22"/>
        </w:rPr>
        <w:t xml:space="preserve">os procedimentos aplicáveis às Assembleias Gerais; </w:t>
      </w:r>
      <w:r>
        <w:rPr>
          <w:b/>
          <w:szCs w:val="22"/>
        </w:rPr>
        <w:t>(v)</w:t>
      </w:r>
      <w:r>
        <w:rPr>
          <w:szCs w:val="22"/>
        </w:rPr>
        <w:t xml:space="preserve"> aumento da Remuneração das Debêntures de qualquer Série; </w:t>
      </w:r>
      <w:r>
        <w:rPr>
          <w:b/>
          <w:szCs w:val="22"/>
        </w:rPr>
        <w:t>(vi)</w:t>
      </w:r>
      <w:r>
        <w:rPr>
          <w:szCs w:val="22"/>
        </w:rPr>
        <w:t xml:space="preserve"> alteração das Datas de Vencimento, das Datas de Amortização das Debêntures, incluindo o valor a ser amortização em cada data, e das Datas de Pagamento de qualquer Série; </w:t>
      </w:r>
      <w:r>
        <w:rPr>
          <w:b/>
          <w:szCs w:val="22"/>
        </w:rPr>
        <w:t>(vii) </w:t>
      </w:r>
      <w:r>
        <w:rPr>
          <w:szCs w:val="22"/>
        </w:rPr>
        <w:t xml:space="preserve">declaração de vencimento antecipado em razão de um Evento de Vencimento Antecipado; </w:t>
      </w:r>
      <w:r>
        <w:rPr>
          <w:b/>
          <w:szCs w:val="22"/>
        </w:rPr>
        <w:t>(viii)</w:t>
      </w:r>
      <w:r>
        <w:rPr>
          <w:szCs w:val="22"/>
        </w:rPr>
        <w:t xml:space="preserve"> alterações ou exclusões das obrigações da Emissora e Garantidoras dispostas na Escritura ou nos Contratos de Garantia; e </w:t>
      </w:r>
      <w:r>
        <w:rPr>
          <w:b/>
          <w:szCs w:val="22"/>
        </w:rPr>
        <w:t xml:space="preserve">(ix) </w:t>
      </w:r>
      <w:r>
        <w:rPr>
          <w:szCs w:val="22"/>
        </w:rPr>
        <w:t>renúncia (</w:t>
      </w:r>
      <w:r>
        <w:rPr>
          <w:i/>
          <w:szCs w:val="22"/>
        </w:rPr>
        <w:t>waivers</w:t>
      </w:r>
      <w:r>
        <w:rPr>
          <w:szCs w:val="22"/>
        </w:rPr>
        <w:t xml:space="preserve">) de direitos e/ou obrigações conferidos aos Debenturistas aplicáveis a todas as Séries. </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Assembleia Geral de Debenturistas poderá ser convocada pela Emissora ou por Debenturistas que representem, no mínimo, 10% (dez por cento) das Debêntures em Circulação da respectiva Série ou 10% (dez por cento) da totalidade das Debêntures em circulação de todas as Séries, quando o assunto a ser deliberado for comum a todas as Séries.</w:t>
      </w:r>
    </w:p>
    <w:p w:rsidR="00C963BB" w:rsidRDefault="00C759A0">
      <w:pPr>
        <w:pStyle w:val="Level2"/>
        <w:numPr>
          <w:ilvl w:val="1"/>
          <w:numId w:val="54"/>
        </w:numPr>
        <w:tabs>
          <w:tab w:val="clear" w:pos="680"/>
          <w:tab w:val="num" w:pos="1134"/>
        </w:tabs>
        <w:spacing w:after="240" w:line="320" w:lineRule="exact"/>
        <w:ind w:left="0" w:firstLine="0"/>
        <w:rPr>
          <w:szCs w:val="22"/>
        </w:rPr>
      </w:pPr>
      <w:r>
        <w:rPr>
          <w:color w:val="000000"/>
          <w:szCs w:val="22"/>
        </w:rPr>
        <w:t>A convocação da Assembleia Geral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r>
        <w:rPr>
          <w:szCs w:val="22"/>
        </w:rPr>
        <w:t>, ficando dispensada a convocação no caso da presença da totalidade dos Debenturistas da respectiva Série</w:t>
      </w:r>
      <w:r>
        <w:rPr>
          <w:color w:val="000000"/>
          <w:szCs w:val="22"/>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Aplicar-se-á à Assembleia Geral de Debenturistas, no que couber, o disposto na Lei das Sociedades por Ações, a respeito das assembleias gerais de acionistas.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4" w:name="_Ref512684882"/>
      <w:r>
        <w:rPr>
          <w:szCs w:val="22"/>
        </w:rPr>
        <w:t>A Assembleia Geral de Debenturistas deverá ser realizada no prazo de, no mínimo, 15 (quinze) dias contados da publicação do edital de convocação ou, caso não se verifique quórum para realização da Assembleia Geral de Debenturistas, no prazo de, no mínimo, 8 (oito) dias contados da nova publicação do edital de convocação.</w:t>
      </w:r>
      <w:bookmarkEnd w:id="194"/>
      <w:r>
        <w:rPr>
          <w:i/>
          <w:szCs w:val="22"/>
        </w:rPr>
        <w:t xml:space="preserve"> </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5" w:name="_Ref382261517"/>
      <w:r>
        <w:rPr>
          <w:szCs w:val="22"/>
        </w:rPr>
        <w:t xml:space="preserve">A Assembleia Geral de Debenturistas instalar-se-á, em primeira convocação, com a presença de Debenturistas que representem, no mínimo, metade das Debêntures em Circulação da respectiva Série, conforme definido no item </w:t>
      </w:r>
      <w:r>
        <w:rPr>
          <w:szCs w:val="22"/>
        </w:rPr>
        <w:fldChar w:fldCharType="begin"/>
      </w:r>
      <w:r>
        <w:rPr>
          <w:szCs w:val="22"/>
        </w:rPr>
        <w:instrText xml:space="preserve"> REF _Ref382083554 \n \p \h  \* MERGEFORMAT </w:instrText>
      </w:r>
      <w:r>
        <w:rPr>
          <w:szCs w:val="22"/>
        </w:rPr>
      </w:r>
      <w:r>
        <w:rPr>
          <w:szCs w:val="22"/>
        </w:rPr>
        <w:fldChar w:fldCharType="separate"/>
      </w:r>
      <w:r w:rsidR="00281921">
        <w:rPr>
          <w:szCs w:val="22"/>
        </w:rPr>
        <w:t>10.8 abaixo</w:t>
      </w:r>
      <w:r>
        <w:rPr>
          <w:szCs w:val="22"/>
        </w:rPr>
        <w:fldChar w:fldCharType="end"/>
      </w:r>
      <w:r>
        <w:rPr>
          <w:szCs w:val="22"/>
        </w:rPr>
        <w:t>, e, em segunda convocação, com qualquer quórum.</w:t>
      </w:r>
      <w:bookmarkEnd w:id="195"/>
    </w:p>
    <w:p w:rsidR="00C963BB" w:rsidRDefault="00C759A0">
      <w:pPr>
        <w:pStyle w:val="Level3"/>
        <w:numPr>
          <w:ilvl w:val="2"/>
          <w:numId w:val="54"/>
        </w:numPr>
        <w:tabs>
          <w:tab w:val="num" w:pos="1134"/>
        </w:tabs>
        <w:spacing w:after="240" w:line="320" w:lineRule="exact"/>
        <w:ind w:left="0" w:firstLine="0"/>
        <w:rPr>
          <w:szCs w:val="22"/>
        </w:rPr>
      </w:pPr>
      <w:r>
        <w:rPr>
          <w:color w:val="000000"/>
          <w:szCs w:val="22"/>
          <w:shd w:val="clear" w:color="auto" w:fill="FFFFFF"/>
        </w:rPr>
        <w:t xml:space="preserve">Independentemente das formalidades previstas </w:t>
      </w:r>
      <w:r>
        <w:rPr>
          <w:szCs w:val="22"/>
        </w:rPr>
        <w:t xml:space="preserve">nos itens </w:t>
      </w:r>
      <w:r>
        <w:rPr>
          <w:szCs w:val="22"/>
        </w:rPr>
        <w:fldChar w:fldCharType="begin"/>
      </w:r>
      <w:r>
        <w:rPr>
          <w:szCs w:val="22"/>
        </w:rPr>
        <w:instrText xml:space="preserve"> REF _Ref512684882 \n \h  \* MERGEFORMAT </w:instrText>
      </w:r>
      <w:r>
        <w:rPr>
          <w:szCs w:val="22"/>
        </w:rPr>
      </w:r>
      <w:r>
        <w:rPr>
          <w:szCs w:val="22"/>
        </w:rPr>
        <w:fldChar w:fldCharType="separate"/>
      </w:r>
      <w:r w:rsidR="00281921">
        <w:rPr>
          <w:szCs w:val="22"/>
        </w:rPr>
        <w:t>10.5</w:t>
      </w:r>
      <w:r>
        <w:rPr>
          <w:szCs w:val="22"/>
        </w:rPr>
        <w:fldChar w:fldCharType="end"/>
      </w:r>
      <w:r>
        <w:rPr>
          <w:szCs w:val="22"/>
        </w:rPr>
        <w:t xml:space="preserve"> e </w:t>
      </w:r>
      <w:r>
        <w:rPr>
          <w:szCs w:val="22"/>
        </w:rPr>
        <w:fldChar w:fldCharType="begin"/>
      </w:r>
      <w:r>
        <w:rPr>
          <w:szCs w:val="22"/>
        </w:rPr>
        <w:instrText xml:space="preserve"> REF _Ref382261517 \n \p \h  \* MERGEFORMAT </w:instrText>
      </w:r>
      <w:r>
        <w:rPr>
          <w:szCs w:val="22"/>
        </w:rPr>
      </w:r>
      <w:r>
        <w:rPr>
          <w:szCs w:val="22"/>
        </w:rPr>
        <w:fldChar w:fldCharType="separate"/>
      </w:r>
      <w:r w:rsidR="00281921" w:rsidRPr="00281921">
        <w:rPr>
          <w:color w:val="000000"/>
          <w:szCs w:val="22"/>
          <w:shd w:val="clear" w:color="auto" w:fill="FFFFFF"/>
        </w:rPr>
        <w:t>10.6 acima</w:t>
      </w:r>
      <w:r>
        <w:rPr>
          <w:szCs w:val="22"/>
        </w:rPr>
        <w:fldChar w:fldCharType="end"/>
      </w:r>
      <w:r>
        <w:rPr>
          <w:color w:val="000000"/>
          <w:szCs w:val="22"/>
          <w:shd w:val="clear" w:color="auto" w:fill="FFFFFF"/>
        </w:rPr>
        <w:t>, será considerada regular a assembleia-geral a que comparecerem todos os Debenturistas, conforme o caso.</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Cada Debênture conferirá a seu titular o direito a um voto nas Assembleias Gerais de Debenturistas, sendo admitida a constituição de mandatários, titulares de Debêntures ou não.</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6" w:name="_Ref382083554"/>
      <w:r>
        <w:rPr>
          <w:szCs w:val="22"/>
        </w:rPr>
        <w:t>Para efeito de verificação dos quóruns previstos nesta Escritura de Emissão, define-se como “</w:t>
      </w:r>
      <w:r>
        <w:rPr>
          <w:szCs w:val="22"/>
          <w:u w:val="single"/>
        </w:rPr>
        <w:t>Debêntures da Primeira Série em Circulação</w:t>
      </w:r>
      <w:r>
        <w:rPr>
          <w:szCs w:val="22"/>
        </w:rPr>
        <w:t>”, “</w:t>
      </w:r>
      <w:r>
        <w:rPr>
          <w:szCs w:val="22"/>
          <w:u w:val="single"/>
        </w:rPr>
        <w:t>Debêntures da Segunda Série em Circulação</w:t>
      </w:r>
      <w:r>
        <w:rPr>
          <w:szCs w:val="22"/>
        </w:rPr>
        <w:t>” e “</w:t>
      </w:r>
      <w:r>
        <w:rPr>
          <w:szCs w:val="22"/>
          <w:u w:val="single"/>
        </w:rPr>
        <w:t>Debêntures da Terceira Série em Circulação</w:t>
      </w:r>
      <w:r>
        <w:rPr>
          <w:szCs w:val="22"/>
        </w:rPr>
        <w:t>” ou, conjuntamente, “</w:t>
      </w:r>
      <w:r>
        <w:rPr>
          <w:szCs w:val="22"/>
          <w:u w:val="single"/>
        </w:rPr>
        <w:t>Debêntures em Circulação</w:t>
      </w:r>
      <w:r>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Pr>
          <w:i/>
          <w:szCs w:val="22"/>
        </w:rPr>
        <w:t xml:space="preserve">quórum </w:t>
      </w:r>
      <w:r>
        <w:rPr>
          <w:szCs w:val="22"/>
        </w:rPr>
        <w:t>de deliberação não serão computados, ainda, os votos em branco.</w:t>
      </w:r>
      <w:bookmarkEnd w:id="196"/>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7" w:name="_Ref497761300"/>
      <w:r>
        <w:rPr>
          <w:szCs w:val="22"/>
        </w:rPr>
        <w:t>Será facultada a presença dos representantes legais da Emissora nas Assembleias Gerais de Debenturistas, exceto quando formalmente solicitado pelos Debenturistas, hipótese em que será obrigatória.</w:t>
      </w:r>
      <w:bookmarkEnd w:id="197"/>
    </w:p>
    <w:p w:rsidR="00C963BB" w:rsidRDefault="00C759A0">
      <w:pPr>
        <w:pStyle w:val="Level3"/>
        <w:numPr>
          <w:ilvl w:val="2"/>
          <w:numId w:val="54"/>
        </w:numPr>
        <w:tabs>
          <w:tab w:val="clear" w:pos="1361"/>
          <w:tab w:val="num" w:pos="1134"/>
        </w:tabs>
        <w:spacing w:after="240" w:line="320" w:lineRule="exact"/>
        <w:ind w:left="0" w:firstLine="0"/>
        <w:rPr>
          <w:szCs w:val="22"/>
        </w:rPr>
      </w:pPr>
      <w:bookmarkStart w:id="198" w:name="_Ref497826705"/>
      <w:r>
        <w:rPr>
          <w:szCs w:val="22"/>
        </w:rPr>
        <w:t xml:space="preserve">Sem prejuízo do item </w:t>
      </w:r>
      <w:r>
        <w:rPr>
          <w:szCs w:val="22"/>
        </w:rPr>
        <w:fldChar w:fldCharType="begin"/>
      </w:r>
      <w:r>
        <w:rPr>
          <w:szCs w:val="22"/>
        </w:rPr>
        <w:instrText xml:space="preserve"> REF _Ref497761300 \r \p \h  \* MERGEFORMAT </w:instrText>
      </w:r>
      <w:r>
        <w:rPr>
          <w:szCs w:val="22"/>
        </w:rPr>
      </w:r>
      <w:r>
        <w:rPr>
          <w:szCs w:val="22"/>
        </w:rPr>
        <w:fldChar w:fldCharType="separate"/>
      </w:r>
      <w:r w:rsidR="00281921">
        <w:rPr>
          <w:szCs w:val="22"/>
        </w:rPr>
        <w:t>10.9 acima</w:t>
      </w:r>
      <w:r>
        <w:rPr>
          <w:szCs w:val="22"/>
        </w:rPr>
        <w:fldChar w:fldCharType="end"/>
      </w:r>
      <w:r>
        <w:rPr>
          <w:szCs w:val="22"/>
        </w:rPr>
        <w:t>, nas Assembleias Gerais de Debenturistas de que trata o item </w:t>
      </w:r>
      <w:r>
        <w:rPr>
          <w:szCs w:val="22"/>
        </w:rPr>
        <w:fldChar w:fldCharType="begin"/>
      </w:r>
      <w:r>
        <w:rPr>
          <w:szCs w:val="22"/>
        </w:rPr>
        <w:instrText xml:space="preserve"> REF _Ref496656448 \n \p \h  \* MERGEFORMAT </w:instrText>
      </w:r>
      <w:r>
        <w:rPr>
          <w:szCs w:val="22"/>
        </w:rPr>
      </w:r>
      <w:r>
        <w:rPr>
          <w:szCs w:val="22"/>
        </w:rPr>
        <w:fldChar w:fldCharType="separate"/>
      </w:r>
      <w:r w:rsidR="00281921">
        <w:rPr>
          <w:szCs w:val="22"/>
        </w:rPr>
        <w:t>7.1.2 acima</w:t>
      </w:r>
      <w:r>
        <w:rPr>
          <w:szCs w:val="22"/>
        </w:rPr>
        <w:fldChar w:fldCharType="end"/>
      </w:r>
      <w:r>
        <w:rPr>
          <w:szCs w:val="22"/>
        </w:rPr>
        <w:t xml:space="preserve"> a convocação deverá ser endereçada aos Debenturistas e à Emissora. Contudo, a Emissora desde já se declara ciente de que, independentemente de convocação nesse sentido, sua participação nas referidas Assembleias Gerais de Debenturistas é permitida e de antemão convidada, de modo que fica desde já certo e ajustado que a convocação e instalação das Assembleias Gerais de Debenturistas nos termos desta Cláusula Décima não será de nenhuma forma prejudicada caso</w:t>
      </w:r>
      <w:bookmarkEnd w:id="198"/>
      <w:r>
        <w:rPr>
          <w:szCs w:val="22"/>
        </w:rPr>
        <w:t xml:space="preserve"> a convocação não mencione a Emissora expressamente ou caso os seus representantes não compareçam à respectiva Assembleia Geral de Debenturistas.</w:t>
      </w:r>
    </w:p>
    <w:p w:rsidR="00C963BB" w:rsidRDefault="00C759A0">
      <w:pPr>
        <w:pStyle w:val="Level2"/>
        <w:numPr>
          <w:ilvl w:val="1"/>
          <w:numId w:val="52"/>
        </w:numPr>
        <w:tabs>
          <w:tab w:val="clear" w:pos="680"/>
          <w:tab w:val="num" w:pos="1134"/>
        </w:tabs>
        <w:spacing w:after="240" w:line="320" w:lineRule="exact"/>
        <w:ind w:left="0" w:firstLine="0"/>
        <w:rPr>
          <w:szCs w:val="22"/>
        </w:rPr>
      </w:pPr>
      <w:bookmarkStart w:id="199" w:name="_DV_M384"/>
      <w:bookmarkEnd w:id="199"/>
      <w:r>
        <w:rPr>
          <w:szCs w:val="22"/>
        </w:rPr>
        <w:t>O Agente Fiduciário deverá comparecer à Assembleia Geral de Debenturistas e prestar aos Debenturistas as informações que lhe forem solicitadas.</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presidência da Assembleia Geral de Debenturistas caberá ao Debenturista eleito pelos Debenturistas.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200" w:name="_Ref386375664"/>
      <w:bookmarkStart w:id="201" w:name="_Hlk514924609"/>
      <w:r>
        <w:rPr>
          <w:szCs w:val="22"/>
        </w:rPr>
        <w:t>Exceto se de outra forma estabelecido nesta Escritura de Emissão, as deliberações, incluindo, mas não se limitando, àquelas que tenham por objeto qualquer renúncia (</w:t>
      </w:r>
      <w:r>
        <w:rPr>
          <w:i/>
          <w:szCs w:val="22"/>
        </w:rPr>
        <w:t>waiver</w:t>
      </w:r>
      <w:r>
        <w:rPr>
          <w:szCs w:val="22"/>
        </w:rPr>
        <w:t xml:space="preserve">) dos direitos conferidos aos Debenturistas por meio desta Escritura de Emissão e/ou dos Contratos de Garantia (inclusive em relação à renúncia temporária a um Evento de Vencimento Antecipado antes de sua ocorrência, caso quórum diverso não tenha sido estabelecido nesta Escritura de Emissão), serão tomadas por Debenturistas que representem, no mínimo, </w:t>
      </w:r>
      <w:r>
        <w:rPr>
          <w:b/>
          <w:szCs w:val="22"/>
        </w:rPr>
        <w:t>(i)</w:t>
      </w:r>
      <w:r>
        <w:rPr>
          <w:szCs w:val="22"/>
        </w:rPr>
        <w:t xml:space="preserve"> 75% (setenta e cinco por cento) das Debêntures em Circulação, em primeira convocação ou a maioria das </w:t>
      </w:r>
      <w:r>
        <w:rPr>
          <w:szCs w:val="22"/>
        </w:rPr>
        <w:lastRenderedPageBreak/>
        <w:t xml:space="preserve">Debêntures em Circulação presentes na Assembleia Geral de Debenturistas, em segunda convocação </w:t>
      </w:r>
      <w:r>
        <w:rPr>
          <w:noProof/>
          <w:szCs w:val="22"/>
        </w:rPr>
        <w:t>(desde que Debenturistas representando no mínimo 30% (trinta por cento) das Debêntures em Circulação estejam presentes)</w:t>
      </w:r>
      <w:r>
        <w:rPr>
          <w:szCs w:val="22"/>
        </w:rPr>
        <w:t xml:space="preserve">, quando se tratar de deliberações que digam respeito aos Debenturistas de todas as Séries; </w:t>
      </w:r>
      <w:r>
        <w:rPr>
          <w:b/>
          <w:szCs w:val="22"/>
        </w:rPr>
        <w:t>(ii)</w:t>
      </w:r>
      <w:r>
        <w:rPr>
          <w:szCs w:val="22"/>
        </w:rPr>
        <w:t xml:space="preserve"> 75% (setenta e cinco por cento) das Debêntures da Primeira Série em Circulação, em primeira convocação, ou a maioria das Debêntures da Primeira Série em Circulação presentes na Assembleia Geral de Debenturistas, em segunda convocação </w:t>
      </w:r>
      <w:r>
        <w:rPr>
          <w:noProof/>
          <w:szCs w:val="22"/>
        </w:rPr>
        <w:t xml:space="preserve">(desde que Debenturistas representando no mínimo 30% (trinta por cento) das Debêntures da Primeira Série em Circulação estejam presentes) </w:t>
      </w:r>
      <w:r>
        <w:rPr>
          <w:szCs w:val="22"/>
        </w:rPr>
        <w:t xml:space="preserve">quando se tratar de deliberações que digam respeito especificamente aos Debenturistas da Primeira Série; </w:t>
      </w:r>
      <w:r>
        <w:rPr>
          <w:b/>
          <w:szCs w:val="22"/>
        </w:rPr>
        <w:t>(iii)</w:t>
      </w:r>
      <w:r>
        <w:rPr>
          <w:szCs w:val="22"/>
        </w:rPr>
        <w:t xml:space="preserve"> 75% (setenta e cinco por cento) das Debêntures da Segunda Série em Circulação, em primeira convocação, ou a maioria das Debêntures da Segunda Série em Circulação presentes na Assembleia Geral de Debenturistas, em segunda convocação </w:t>
      </w:r>
      <w:r>
        <w:rPr>
          <w:noProof/>
          <w:szCs w:val="22"/>
        </w:rPr>
        <w:t>(desde que Debenturistas representando no mínimo 30% (trinta por cento) das Debêntures da Segunda Série em Circulação estejam presentes)</w:t>
      </w:r>
      <w:r>
        <w:rPr>
          <w:szCs w:val="22"/>
        </w:rPr>
        <w:t xml:space="preserve"> quando se tratar de deliberações que digam respeito especificamente aos Debenturistas da Segunda Série; e </w:t>
      </w:r>
      <w:r>
        <w:rPr>
          <w:b/>
          <w:szCs w:val="22"/>
        </w:rPr>
        <w:t>(iv)</w:t>
      </w:r>
      <w:r>
        <w:rPr>
          <w:szCs w:val="22"/>
        </w:rPr>
        <w:t xml:space="preserve"> 75% (setenta e cinco por cento) das Debêntures da Terceira Série em Circulação, em primeira convocação, ou a maioria das Debêntures da Terceira Série em Circulação presentes na Assembleia Geral de Debenturistas, em segunda convocação </w:t>
      </w:r>
      <w:r>
        <w:rPr>
          <w:noProof/>
          <w:szCs w:val="22"/>
        </w:rPr>
        <w:t xml:space="preserve">(desde que Debenturistas representando no mínimo 30% (trinta por cento) das Debêntures da Terceira Série em Circulação estejam presentes) </w:t>
      </w:r>
      <w:r>
        <w:rPr>
          <w:szCs w:val="22"/>
        </w:rPr>
        <w:t xml:space="preserve">quando se tratar de deliberações que digam respeito especificamente aos Debenturistas da Terceira Série. </w:t>
      </w:r>
    </w:p>
    <w:bookmarkEnd w:id="200"/>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Nas deliberações da Assembleia Geral de Debenturistas que tenham por objeto alterar: </w:t>
      </w:r>
      <w:r>
        <w:rPr>
          <w:b/>
          <w:szCs w:val="22"/>
        </w:rPr>
        <w:t>(i)</w:t>
      </w:r>
      <w:r>
        <w:rPr>
          <w:szCs w:val="22"/>
        </w:rPr>
        <w:t xml:space="preserve"> a Remuneração das Debêntures; </w:t>
      </w:r>
      <w:r>
        <w:rPr>
          <w:b/>
          <w:szCs w:val="22"/>
        </w:rPr>
        <w:t>(ii)</w:t>
      </w:r>
      <w:r>
        <w:rPr>
          <w:szCs w:val="22"/>
        </w:rPr>
        <w:t xml:space="preserve"> as Datas de Pagamento; </w:t>
      </w:r>
      <w:r>
        <w:rPr>
          <w:b/>
          <w:szCs w:val="22"/>
        </w:rPr>
        <w:t>(iii)</w:t>
      </w:r>
      <w:r>
        <w:rPr>
          <w:szCs w:val="22"/>
        </w:rPr>
        <w:t xml:space="preserve"> o prazo de vencimento das Debêntures; </w:t>
      </w:r>
      <w:r>
        <w:rPr>
          <w:b/>
          <w:szCs w:val="22"/>
        </w:rPr>
        <w:t>(iv)</w:t>
      </w:r>
      <w:r>
        <w:rPr>
          <w:szCs w:val="22"/>
        </w:rPr>
        <w:t xml:space="preserve"> os valores e datas de amortização do principal das Debêntures; </w:t>
      </w:r>
      <w:r>
        <w:rPr>
          <w:b/>
          <w:szCs w:val="22"/>
        </w:rPr>
        <w:t>(v)</w:t>
      </w:r>
      <w:r>
        <w:rPr>
          <w:szCs w:val="22"/>
        </w:rPr>
        <w:t xml:space="preserve"> os Eventos de Vencimento Antecipado estabelecidas na Cláusula Sétima (incluindo alterações, inclusões ou exclusões nos Eventos de Vencimento Antecipado); </w:t>
      </w:r>
      <w:r>
        <w:rPr>
          <w:b/>
          <w:szCs w:val="22"/>
        </w:rPr>
        <w:t>(vi)</w:t>
      </w:r>
      <w:r>
        <w:rPr>
          <w:szCs w:val="22"/>
        </w:rPr>
        <w:t xml:space="preserve"> os quóruns de deliberação estabelecidos nesta Escritura de Emissão; </w:t>
      </w:r>
      <w:r>
        <w:rPr>
          <w:b/>
          <w:szCs w:val="22"/>
        </w:rPr>
        <w:t>(vii)</w:t>
      </w:r>
      <w:r>
        <w:rPr>
          <w:szCs w:val="22"/>
        </w:rPr>
        <w:t xml:space="preserve"> as Garantias, observadas, porém, as disposições constantes dos respectivos instrumentos constitutivos dessas Garantias; e/ou </w:t>
      </w:r>
      <w:r>
        <w:rPr>
          <w:b/>
          <w:szCs w:val="22"/>
        </w:rPr>
        <w:t>(viii)</w:t>
      </w:r>
      <w:r>
        <w:rPr>
          <w:szCs w:val="22"/>
        </w:rPr>
        <w:t xml:space="preserve"> os procedimentos aplicáveis às Assembleias Gerais de Debenturistas estabelecidas nesta Cláusula Décima, deverão ser aprovadas, seja em primeira convocação da Assembleia Geral de Debenturistas ou em qualquer convocação subsequente, por Debenturistas que representem, no mínimo, 90% (noventa por cento) </w:t>
      </w:r>
      <w:r>
        <w:rPr>
          <w:b/>
          <w:szCs w:val="22"/>
        </w:rPr>
        <w:t xml:space="preserve">(a) </w:t>
      </w:r>
      <w:r>
        <w:rPr>
          <w:szCs w:val="22"/>
        </w:rPr>
        <w:t xml:space="preserve">das Debêntures em Circulação, quando se tratar de deliberações que digam respeito aos Debenturistas de todas as Séries; ou </w:t>
      </w:r>
      <w:r>
        <w:rPr>
          <w:b/>
          <w:szCs w:val="22"/>
        </w:rPr>
        <w:t>(b)</w:t>
      </w:r>
      <w:r>
        <w:rPr>
          <w:szCs w:val="22"/>
        </w:rPr>
        <w:t xml:space="preserve"> das Debêntures da Primeira Série em Circulação, ou das Debêntures da Segunda Série em Circulação, ou das Debêntures da Terceira Série em Circulação, conforme o caso, quando se tratar de deliberações que digam respeito aos Debenturistas de uma Série específica. </w:t>
      </w:r>
    </w:p>
    <w:bookmarkEnd w:id="201"/>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As deliberações tomadas pelos Debenturistas 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ou do voto proferido nas respectivas Assembleias Gerais de Debenturistas.</w:t>
      </w:r>
    </w:p>
    <w:p w:rsidR="00C963BB" w:rsidRDefault="00C759A0">
      <w:pPr>
        <w:pStyle w:val="Level1"/>
        <w:numPr>
          <w:ilvl w:val="0"/>
          <w:numId w:val="120"/>
        </w:numPr>
        <w:spacing w:before="0" w:after="240" w:line="320" w:lineRule="exact"/>
        <w:jc w:val="center"/>
        <w:rPr>
          <w:szCs w:val="22"/>
        </w:rPr>
      </w:pPr>
      <w:r>
        <w:rPr>
          <w:szCs w:val="22"/>
        </w:rPr>
        <w:t>CLÁUSULA DÉCIMA PRIMEIRA - DAS DECLARAÇÕES DA EMISSORA</w:t>
      </w:r>
      <w:r w:rsidR="006B19EA">
        <w:rPr>
          <w:szCs w:val="22"/>
        </w:rPr>
        <w:t xml:space="preserve"> E DA CONTOUR</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neste ato, declaram e garantem, individualmente, conforme aplicável, que: </w:t>
      </w:r>
    </w:p>
    <w:p w:rsidR="00C963BB" w:rsidRDefault="00C759A0">
      <w:pPr>
        <w:pStyle w:val="Level4"/>
        <w:numPr>
          <w:ilvl w:val="3"/>
          <w:numId w:val="54"/>
        </w:numPr>
        <w:spacing w:after="240" w:line="320" w:lineRule="exact"/>
        <w:ind w:left="1134" w:hanging="1134"/>
      </w:pPr>
      <w:r>
        <w:t>é uma sociedade devidamente organizada, constituída e existente sob a forma de sociedade anônima, de acordo com as leis brasileiras e está devidamente autorizada a conduzir os seus negócios, com plenos poderes para desempenhar as atividades descritas em seus objeto social;</w:t>
      </w:r>
    </w:p>
    <w:p w:rsidR="00C963BB" w:rsidRDefault="00C759A0">
      <w:pPr>
        <w:pStyle w:val="Level4"/>
        <w:numPr>
          <w:ilvl w:val="3"/>
          <w:numId w:val="54"/>
        </w:numPr>
        <w:spacing w:after="240" w:line="320" w:lineRule="exact"/>
        <w:ind w:left="1134" w:hanging="1134"/>
      </w:pPr>
      <w:r>
        <w:t>está devidamente autorizada e obteve todas as licenças e autorizações necessárias, inclusive as societárias, à celebração desta Escritura de Emissão, dos Contratos de Garantia e do Contrato de Conta Vinculada (nestes últimos casos, após cumpridas as condições previstas nesta Escritura de Emissão), à emissão das Debêntures e ao cumprimento de suas obrigações aqui previstas, tendo sido satisfeitos todos os requisitos legais e estatutários necessários para tanto, exceto pelo registro da ata de AGE da Emissora e da AGE da Contour perante a junta comercial competente;</w:t>
      </w:r>
    </w:p>
    <w:p w:rsidR="00C963BB" w:rsidRDefault="00C759A0">
      <w:pPr>
        <w:pStyle w:val="Level4"/>
        <w:numPr>
          <w:ilvl w:val="3"/>
          <w:numId w:val="54"/>
        </w:numPr>
        <w:spacing w:after="240" w:line="320" w:lineRule="exact"/>
        <w:ind w:left="1134" w:hanging="1134"/>
      </w:pPr>
      <w:r>
        <w:t>os representantes legais que assinam esta Escritura de Emissão e assinarão os Contratos de Garantia e o Contrato de Conta Vinculada dos quais é parte têm poderes estatutários e/ou delegados para assumir, em seu nome, as obrigações ora estabelecidas e, sendo mandatários, tiveram os poderes legitimamente outorgados, estando os respectivos mandatos em pleno vigor;</w:t>
      </w:r>
    </w:p>
    <w:p w:rsidR="00C963BB" w:rsidRDefault="00C759A0">
      <w:pPr>
        <w:pStyle w:val="Level4"/>
        <w:numPr>
          <w:ilvl w:val="3"/>
          <w:numId w:val="54"/>
        </w:numPr>
        <w:spacing w:after="240" w:line="320" w:lineRule="exact"/>
        <w:ind w:left="1134" w:hanging="1134"/>
      </w:pPr>
      <w:r>
        <w:t xml:space="preserve">tem todas as autorizações e licenças exigidas pelas autoridades federais, estaduais e municipais, inclusive autarquias, necessárias para o exercício de suas atividades, sendo todas válidas, exceto para as licenças e autorizações para as quais a Emissora ou a Contour possua provimento jurisdicional vigente autorizando sua atuação sem as referidas licenças ou nos casos em que tais licenças estejam em processo legal de renovação, ficando a Emissora e a Contour obrigadas a notificar o Agente Fiduciário </w:t>
      </w:r>
      <w:r>
        <w:lastRenderedPageBreak/>
        <w:t>sobre tal renovação, em até 2 (dois) Dias Úteis após ter recebido resposta sobre a renovação;</w:t>
      </w:r>
    </w:p>
    <w:p w:rsidR="00C963BB" w:rsidRDefault="00C759A0">
      <w:pPr>
        <w:pStyle w:val="Level4"/>
        <w:numPr>
          <w:ilvl w:val="3"/>
          <w:numId w:val="54"/>
        </w:numPr>
        <w:spacing w:after="240" w:line="320" w:lineRule="exact"/>
        <w:ind w:left="1134" w:hanging="1134"/>
      </w:pPr>
      <w:r>
        <w:t xml:space="preserve">a celebração e o cumprimento de suas obrigações previstas nesta Escritura de Emissão, bem como a celebração dos Contratos de Garantia e do Contrato de Conta Vinculada, não infringem ou contrariam: </w:t>
      </w:r>
      <w:r>
        <w:rPr>
          <w:b/>
        </w:rPr>
        <w:t>(a)</w:t>
      </w:r>
      <w:r>
        <w:t xml:space="preserve"> qualquer contrato ou documento no qual a Emissora ou a Contour seja parte ou pelo qual quaisquer de seus bens e propriedades estejam vinculados, nem irá resultar em </w:t>
      </w:r>
      <w:r>
        <w:rPr>
          <w:i/>
        </w:rPr>
        <w:t>(1)</w:t>
      </w:r>
      <w:r>
        <w:t xml:space="preserve"> vencimento antecipado de qualquer obrigação estabelecida em qualquer desses contratos ou instrumentos; </w:t>
      </w:r>
      <w:r>
        <w:rPr>
          <w:i/>
        </w:rPr>
        <w:t>(2)</w:t>
      </w:r>
      <w:r>
        <w:t xml:space="preserve"> criação de qualquer ônus sobre qualquer ativo ou bem da Emissora ou da Contour, exceto pelas Garantias a serem constituídas nos termos dos itens </w:t>
      </w:r>
      <w:r>
        <w:fldChar w:fldCharType="begin"/>
      </w:r>
      <w:r>
        <w:instrText xml:space="preserve"> REF _Ref512347626 \n \h  \* MERGEFORMAT </w:instrText>
      </w:r>
      <w:r>
        <w:fldChar w:fldCharType="separate"/>
      </w:r>
      <w:r w:rsidR="00281921">
        <w:t>6.21</w:t>
      </w:r>
      <w:r>
        <w:fldChar w:fldCharType="end"/>
      </w:r>
      <w:r>
        <w:t xml:space="preserve"> e </w:t>
      </w:r>
      <w:r>
        <w:fldChar w:fldCharType="begin"/>
      </w:r>
      <w:r>
        <w:instrText xml:space="preserve"> REF _Ref512682914 \n \p \h  \* MERGEFORMAT </w:instrText>
      </w:r>
      <w:r>
        <w:fldChar w:fldCharType="separate"/>
      </w:r>
      <w:r w:rsidR="00281921">
        <w:t>6.22 acima</w:t>
      </w:r>
      <w:r>
        <w:fldChar w:fldCharType="end"/>
      </w:r>
      <w:r>
        <w:t xml:space="preserve">; ou </w:t>
      </w:r>
      <w:r>
        <w:rPr>
          <w:i/>
        </w:rPr>
        <w:t>(3)</w:t>
      </w:r>
      <w:r>
        <w:t xml:space="preserve"> rescisão de qualquer desses contratos ou instrumentos; </w:t>
      </w:r>
      <w:r>
        <w:rPr>
          <w:b/>
        </w:rPr>
        <w:t>(b)</w:t>
      </w:r>
      <w:r>
        <w:t xml:space="preserve"> qualquer lei, decreto ou regulamento a que a Emissora, a Contour ou quaisquer de seus bens e propriedades estejam sujeitos; ou </w:t>
      </w:r>
      <w:r>
        <w:rPr>
          <w:b/>
        </w:rPr>
        <w:t>(c)</w:t>
      </w:r>
      <w:r>
        <w:t> qualquer ordem, decisão ou sentença administrativa, judicial ou arbitral que seja de seu conhecimento e que afete a Emissora, a Contour ou quaisquer de seus bens e propriedades;</w:t>
      </w:r>
    </w:p>
    <w:p w:rsidR="00C963BB" w:rsidRDefault="00C759A0">
      <w:pPr>
        <w:pStyle w:val="Level4"/>
        <w:numPr>
          <w:ilvl w:val="3"/>
          <w:numId w:val="54"/>
        </w:numPr>
        <w:spacing w:after="240" w:line="320" w:lineRule="exact"/>
        <w:ind w:left="1134" w:hanging="1134"/>
      </w:pPr>
      <w:r>
        <w:t xml:space="preserve">está cumprindo rigorosamente a legislação ambiental e trabalhista em vigor, inclusive, mas não limitado à, </w:t>
      </w:r>
      <w:r>
        <w:rPr>
          <w:color w:val="000000"/>
        </w:rPr>
        <w:t xml:space="preserve">legislação em vigor pertinente à Política Nacional do Meio Ambiente, às Resoluções do </w:t>
      </w:r>
      <w:r w:rsidR="0066096E">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na Contour, nas Subsidiárias e/ou em quaisquer de suas controladas</w:t>
      </w:r>
      <w:r>
        <w:rPr>
          <w:color w:val="000000"/>
        </w:rPr>
        <w:t>;</w:t>
      </w:r>
    </w:p>
    <w:p w:rsidR="00C963BB" w:rsidRDefault="00C759A0">
      <w:pPr>
        <w:pStyle w:val="Level4"/>
        <w:numPr>
          <w:ilvl w:val="3"/>
          <w:numId w:val="54"/>
        </w:numPr>
        <w:spacing w:after="240" w:line="320" w:lineRule="exact"/>
        <w:ind w:left="1134" w:hanging="1134"/>
      </w:pPr>
      <w:r>
        <w:t>procede a todas as diligências exigidas para realização de suas atividades, preservando o meio ambiente e atendendo às determinações dos órgãos municipais, estaduais e federais que subsidiariamente venham a legislar ou regulamentar as normas ambientais em vigor, exceto nos casos em que a Emissora ou a Contour estiver discutindo as referidas determinações de boa-fé na esfera administrativa ou judicial ou se o descumprimento não cause um efeito adverso relevante na Emissora, na Contour, nas Subsidiárias e/ou em quaisquer de suas controladas;</w:t>
      </w:r>
    </w:p>
    <w:p w:rsidR="00C963BB" w:rsidRDefault="00C759A0">
      <w:pPr>
        <w:pStyle w:val="Level4"/>
        <w:numPr>
          <w:ilvl w:val="3"/>
          <w:numId w:val="54"/>
        </w:numPr>
        <w:spacing w:after="240" w:line="320" w:lineRule="exact"/>
        <w:ind w:left="1134" w:hanging="1134"/>
      </w:pPr>
      <w:r>
        <w:t xml:space="preserve">as demonstrações financeiras da Emissora e da Contour relativas ao exercício social encerrado em </w:t>
      </w:r>
      <w:r>
        <w:rPr>
          <w:w w:val="0"/>
        </w:rPr>
        <w:t>31 de dezembro de 2017</w:t>
      </w:r>
      <w:r>
        <w:t xml:space="preserve"> são verdadeiras, completas, consistentes e corretas em todos os aspectos na data em que foram preparadas; refletem, de forma </w:t>
      </w:r>
      <w:r>
        <w:lastRenderedPageBreak/>
        <w:t>clara e precisa, a posição financeira e patrimonial, os resultados, operações e fluxos de caixa da Emissora e da Contour no período;</w:t>
      </w:r>
    </w:p>
    <w:p w:rsidR="00C963BB" w:rsidRDefault="00C759A0">
      <w:pPr>
        <w:pStyle w:val="Level4"/>
        <w:numPr>
          <w:ilvl w:val="3"/>
          <w:numId w:val="52"/>
        </w:numPr>
        <w:spacing w:after="240" w:line="320" w:lineRule="exact"/>
        <w:ind w:left="1134" w:hanging="1134"/>
      </w:pPr>
      <w:r>
        <w:t xml:space="preserve">não há qualquer evento de conflito de interesses entre </w:t>
      </w:r>
      <w:r w:rsidR="00EE72D8">
        <w:t xml:space="preserve">a Emissora, </w:t>
      </w:r>
      <w:r>
        <w:t>as Subsidiárias e o Agente Fiduciário que impeça o Agente Fiduciário de exercer plenamente suas funções, nos termos da Lei das Sociedades por Ações e demais normas aplicáveis;</w:t>
      </w:r>
    </w:p>
    <w:p w:rsidR="00C963BB" w:rsidRDefault="00C759A0">
      <w:pPr>
        <w:pStyle w:val="Level4"/>
        <w:numPr>
          <w:ilvl w:val="3"/>
          <w:numId w:val="54"/>
        </w:numPr>
        <w:spacing w:after="240" w:line="320" w:lineRule="exact"/>
        <w:ind w:left="1134" w:hanging="1134"/>
      </w:pPr>
      <w:r>
        <w:t>todas as informações prestadas pela Emissora no âmbito da presente Emissão, para fins de análise e aprovação da emissão das Debêntures, são corretas, verdadeiras, completas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rsidR="00C963BB" w:rsidRDefault="00C759A0">
      <w:pPr>
        <w:pStyle w:val="Level4"/>
        <w:numPr>
          <w:ilvl w:val="3"/>
          <w:numId w:val="54"/>
        </w:numPr>
        <w:spacing w:after="240" w:line="320" w:lineRule="exact"/>
        <w:ind w:left="1134" w:hanging="1134"/>
      </w:pPr>
      <w:r>
        <w:rPr>
          <w:kern w:val="16"/>
        </w:rPr>
        <w:t xml:space="preserve">todas as declarações e garantias relacionadas à Emissora e à Contour que constam desta </w:t>
      </w:r>
      <w:r>
        <w:t>Escritura de Emissão</w:t>
      </w:r>
      <w:r>
        <w:rPr>
          <w:kern w:val="16"/>
        </w:rPr>
        <w:t xml:space="preserve"> são verdadeiras, corretas e consistentes em todos os seus aspectos;</w:t>
      </w:r>
    </w:p>
    <w:p w:rsidR="00C963BB" w:rsidRDefault="00C759A0">
      <w:pPr>
        <w:pStyle w:val="Level4"/>
        <w:numPr>
          <w:ilvl w:val="3"/>
          <w:numId w:val="54"/>
        </w:numPr>
        <w:spacing w:after="240" w:line="320" w:lineRule="exact"/>
        <w:ind w:left="1134" w:hanging="1134"/>
      </w:pPr>
      <w:r>
        <w:t xml:space="preserve">nenhum registro, consentimento, autorização, aprovação, licença, ordem de, ou qualificação perante qualquer autoridade governamental ou órgão regulatório, inclusive autarquia, é exigido para o cumprimento, pela Emissora e/ou pela Contour, de suas obrigações nos termos desta Escritura de Emissão e das Debêntures e/ou para a realização da Emissão, exceto </w:t>
      </w:r>
      <w:r>
        <w:rPr>
          <w:b/>
        </w:rPr>
        <w:t>(a) </w:t>
      </w:r>
      <w:r>
        <w:t xml:space="preserve">pelo registro das Debêntures para custódia eletrônica junto à B3; </w:t>
      </w:r>
      <w:r>
        <w:rPr>
          <w:b/>
        </w:rPr>
        <w:t>(b)</w:t>
      </w:r>
      <w:r>
        <w:t> pelos arquivamentos dos atos societários descritos no item </w:t>
      </w:r>
      <w:r>
        <w:fldChar w:fldCharType="begin"/>
      </w:r>
      <w:r>
        <w:instrText xml:space="preserve"> REF _Ref428131603 \w \p \h  \* MERGEFORMAT </w:instrText>
      </w:r>
      <w:r>
        <w:fldChar w:fldCharType="separate"/>
      </w:r>
      <w:r w:rsidR="00281921">
        <w:t>1.1 acima</w:t>
      </w:r>
      <w:r>
        <w:fldChar w:fldCharType="end"/>
      </w:r>
      <w:r>
        <w:t xml:space="preserve"> junto às juntas comerciais competentes; e </w:t>
      </w:r>
      <w:r>
        <w:rPr>
          <w:b/>
        </w:rPr>
        <w:t>(c)</w:t>
      </w:r>
      <w:r>
        <w:t> pela inscrição desta Escritura de Emissão perante a JUCESP</w:t>
      </w:r>
      <w:r>
        <w:rPr>
          <w:color w:val="000000"/>
        </w:rPr>
        <w:t>;</w:t>
      </w:r>
    </w:p>
    <w:p w:rsidR="00C963BB" w:rsidRDefault="00C759A0">
      <w:pPr>
        <w:pStyle w:val="Level4"/>
        <w:numPr>
          <w:ilvl w:val="3"/>
          <w:numId w:val="54"/>
        </w:numPr>
        <w:spacing w:after="240" w:line="320" w:lineRule="exact"/>
        <w:ind w:left="1134" w:hanging="1134"/>
      </w:pPr>
      <w:r>
        <w:t>esta Escritura de Emissão constitui obrigação legal, válida e vinculante da Emissora e da Contour, exequível de acordo com os seus termos e condições, com força de título executivo extrajudicial nos termos do artigo 784, inciso III, do Código de Processo Civil;</w:t>
      </w:r>
    </w:p>
    <w:p w:rsidR="00C963BB" w:rsidRDefault="00C759A0">
      <w:pPr>
        <w:pStyle w:val="Level4"/>
        <w:numPr>
          <w:ilvl w:val="3"/>
          <w:numId w:val="54"/>
        </w:numPr>
        <w:spacing w:after="240" w:line="320" w:lineRule="exact"/>
        <w:ind w:left="1134" w:hanging="1134"/>
      </w:pPr>
      <w:r>
        <w:t>possui, nesta data, e possuirá, na data em que os Contratos de Garantia forem celebrados, pleno poder, autoridade e capacidade para celebrar os Contratos de Garantia, bem como todas as autorizações societárias e demais autorizações necessárias para a constituição das Garantias;</w:t>
      </w:r>
    </w:p>
    <w:p w:rsidR="00C963BB" w:rsidRDefault="00C759A0">
      <w:pPr>
        <w:pStyle w:val="Level4"/>
        <w:numPr>
          <w:ilvl w:val="3"/>
          <w:numId w:val="54"/>
        </w:numPr>
        <w:spacing w:after="240" w:line="320" w:lineRule="exact"/>
        <w:ind w:left="1134" w:hanging="1134"/>
      </w:pPr>
      <w:r>
        <w:lastRenderedPageBreak/>
        <w:t>os ativos objetos das Garantias existem e, quando da celebração dos Contratos de Garantia, estarão livres e desembaraçadas de qualquer ônus;</w:t>
      </w:r>
    </w:p>
    <w:p w:rsidR="00C963BB" w:rsidRDefault="00C759A0">
      <w:pPr>
        <w:pStyle w:val="Level4"/>
        <w:numPr>
          <w:ilvl w:val="3"/>
          <w:numId w:val="54"/>
        </w:numPr>
        <w:spacing w:after="240" w:line="320" w:lineRule="exact"/>
        <w:ind w:left="1134" w:hanging="1134"/>
      </w:pPr>
      <w:r>
        <w:t xml:space="preserve">mantém os seus bens considerados relevantes adequadamente segurados, conforme razoavelmente esperado e de acordo com as práticas correntes de mercado; </w:t>
      </w:r>
    </w:p>
    <w:p w:rsidR="00C963BB" w:rsidRDefault="00C759A0">
      <w:pPr>
        <w:pStyle w:val="Level4"/>
        <w:numPr>
          <w:ilvl w:val="3"/>
          <w:numId w:val="54"/>
        </w:numPr>
        <w:spacing w:after="240" w:line="320" w:lineRule="exact"/>
        <w:ind w:left="1134" w:hanging="1134"/>
      </w:pPr>
      <w:r>
        <w:t xml:space="preserve">cumpre e faz com que suas controladas, funcionários, conselheiros e/ou diretores cumpram as normas aplicáveis que versam sobre atos de corrupção e atos lesivos contra a administração pública, na forma da Legislação Anticorrupção, na medida em que </w:t>
      </w:r>
      <w:r>
        <w:rPr>
          <w:b/>
        </w:rPr>
        <w:t>(a)</w:t>
      </w:r>
      <w:r>
        <w:t xml:space="preserve"> mantêm políticas e procedimentos internos que asseguram integral cumprimento de tais normas; </w:t>
      </w:r>
      <w:r>
        <w:rPr>
          <w:b/>
        </w:rPr>
        <w:t>(b)</w:t>
      </w:r>
      <w:r>
        <w:t xml:space="preserve"> dão pleno conhecimento de tais normas a todos os profissionais que venham a se relacionar com a Emissora e/ou a Contour previamente ao início de sua atuação no âmbito deste documento; e </w:t>
      </w:r>
      <w:r>
        <w:rPr>
          <w:b/>
        </w:rPr>
        <w:t>(c)</w:t>
      </w:r>
      <w:r>
        <w:t xml:space="preserve"> abstêm-se de praticar atos de corrupção e de agir de forma lesiva à administração pública, nacional e estrangeira, no seu interesse ou para seu benefício, exclusivo ou não; </w:t>
      </w:r>
    </w:p>
    <w:p w:rsidR="00C963BB" w:rsidRDefault="00C759A0">
      <w:pPr>
        <w:pStyle w:val="Level4"/>
        <w:numPr>
          <w:ilvl w:val="3"/>
          <w:numId w:val="54"/>
        </w:numPr>
        <w:spacing w:after="240" w:line="320" w:lineRule="exact"/>
        <w:ind w:left="1134" w:hanging="1134"/>
      </w:pPr>
      <w:r>
        <w:t xml:space="preserve">inexiste violação ou indício de violação de qualquer dispositivo legal ou regulatório, nacional ou estrangeiro, relativo à prática de corrupção ou de atos lesivos à administração pública, incluindo, sem limitação, a Legislação Anticorrupção, pela Emissora ou suas controladas; </w:t>
      </w:r>
    </w:p>
    <w:p w:rsidR="00C963BB" w:rsidRDefault="00C759A0">
      <w:pPr>
        <w:pStyle w:val="Level4"/>
        <w:numPr>
          <w:ilvl w:val="3"/>
          <w:numId w:val="54"/>
        </w:numPr>
        <w:spacing w:after="240" w:line="320" w:lineRule="exact"/>
        <w:ind w:left="1134" w:hanging="1134"/>
      </w:pPr>
      <w:r>
        <w:t>tem plena ciência e concorda integralmente com a forma de divulgação e apuração da Taxa DI, divulgada pela B3, e que a forma de cálculo da Remuneração foi acordada por livre vontade entre a Emissora, a Contour e os Debenturistas, em observância ao princípio da boa-fé;</w:t>
      </w:r>
    </w:p>
    <w:p w:rsidR="00C963BB" w:rsidRDefault="00C759A0">
      <w:pPr>
        <w:pStyle w:val="Level4"/>
        <w:numPr>
          <w:ilvl w:val="3"/>
          <w:numId w:val="54"/>
        </w:numPr>
        <w:spacing w:after="240" w:line="320" w:lineRule="exact"/>
        <w:ind w:left="1134" w:hanging="1134"/>
      </w:pPr>
      <w:r>
        <w:t>não há qualquer ação judicial, procedimento administrativo ou arbitral, inquérito ou outro tipo de investigação que possa vir a causar um impacto adverso na Emissora e/ou na Contour, em suas condições financeiras ou em suas atividades, que possam afetar a capacidade da Emissora e/ou da Contour de cumprir com suas obrigações previstas nesta Escritura de Emissão e/ou nos Contratos de Garantia;</w:t>
      </w:r>
    </w:p>
    <w:p w:rsidR="00C963BB" w:rsidRDefault="00C759A0">
      <w:pPr>
        <w:pStyle w:val="Level4"/>
        <w:numPr>
          <w:ilvl w:val="3"/>
          <w:numId w:val="54"/>
        </w:numPr>
        <w:spacing w:after="240" w:line="320" w:lineRule="exact"/>
        <w:ind w:left="1134" w:hanging="1134"/>
      </w:pPr>
      <w:r>
        <w:t>não há fatos relativos à Emissora, à Contour, às Debêntures ou aos Contratos de Garantia, que, até a Data de Integralização, não tenham sido divulgados aos Debenturistas, cuja omissão, no contexto da Emissão, faça com que alguma declaração desta Escritura de Emissão seja enganosa, incorreta ou inverídica;</w:t>
      </w:r>
    </w:p>
    <w:p w:rsidR="00C963BB" w:rsidRDefault="00C759A0">
      <w:pPr>
        <w:pStyle w:val="Level4"/>
        <w:numPr>
          <w:ilvl w:val="3"/>
          <w:numId w:val="54"/>
        </w:numPr>
        <w:spacing w:after="240" w:line="320" w:lineRule="exact"/>
        <w:ind w:left="1134" w:hanging="1134"/>
      </w:pPr>
      <w:r>
        <w:lastRenderedPageBreak/>
        <w:t>não prestou declarações falsas ou imprecisas aos Debenturistas e/ou ao Agente Fiduciário, e não há pendências, judiciais ou administrativas, de qualquer natureza, no Brasil ou no exterior, que causem ou possam causar um impacto adverso na Emissora</w:t>
      </w:r>
      <w:r>
        <w:rPr>
          <w:bCs/>
        </w:rPr>
        <w:t>;</w:t>
      </w:r>
    </w:p>
    <w:p w:rsidR="00C963BB" w:rsidRDefault="00C759A0">
      <w:pPr>
        <w:pStyle w:val="Level4"/>
        <w:numPr>
          <w:ilvl w:val="3"/>
          <w:numId w:val="54"/>
        </w:numPr>
        <w:spacing w:after="240" w:line="320" w:lineRule="exact"/>
        <w:ind w:left="1134" w:hanging="1134"/>
      </w:pPr>
      <w:r>
        <w:t xml:space="preserve">não presta, nesta data, qualquer garantia fidejussória ou real para quaisquer obrigações assumidas pelas Subsidiárias, pela Emissora, pela Contour </w:t>
      </w:r>
      <w:r>
        <w:rPr>
          <w:noProof/>
        </w:rPr>
        <w:t xml:space="preserve">e/ou </w:t>
      </w:r>
      <w:r>
        <w:t xml:space="preserve">quaisquer controladas da Emissora, da Contour e/ou das Subsidiárias, exceto pelas seguintes garantias: </w:t>
      </w:r>
      <w:r>
        <w:rPr>
          <w:b/>
        </w:rPr>
        <w:t>(a)</w:t>
      </w:r>
      <w:r>
        <w:t xml:space="preserve"> alienação fiduciária das ações de emissão da Santa Cruz e de titularidade da </w:t>
      </w:r>
      <w:r w:rsidR="00477051">
        <w:t>Contour</w:t>
      </w:r>
      <w:r>
        <w:t xml:space="preserve"> em garantia da Escritura de Emissão Santa Cruz; </w:t>
      </w:r>
      <w:r>
        <w:rPr>
          <w:b/>
        </w:rPr>
        <w:t>(b)</w:t>
      </w:r>
      <w:r>
        <w:t xml:space="preserve"> alienação fiduciária de ações da Galheiros e da Afluente e de quotas da Capuava em garantia das debêntures da primeira emissão da Contour; e </w:t>
      </w:r>
      <w:r w:rsidR="007E4BA0">
        <w:rPr>
          <w:b/>
        </w:rPr>
        <w:t>(</w:t>
      </w:r>
      <w:r w:rsidR="00084EB9">
        <w:rPr>
          <w:b/>
        </w:rPr>
        <w:t>c</w:t>
      </w:r>
      <w:r>
        <w:rPr>
          <w:b/>
        </w:rPr>
        <w:t>)</w:t>
      </w:r>
      <w:r>
        <w:t xml:space="preserve"> garantia fidejussória prestada pela Contour no âmbito de Contrato de Prestação de Fiança celebrado com o Banco ABC Brasil S.A.; e</w:t>
      </w:r>
      <w:r w:rsidR="007E4BA0">
        <w:t xml:space="preserve"> </w:t>
      </w:r>
    </w:p>
    <w:p w:rsidR="00C963BB" w:rsidRDefault="00C759A0">
      <w:pPr>
        <w:pStyle w:val="Level4"/>
        <w:numPr>
          <w:ilvl w:val="3"/>
          <w:numId w:val="54"/>
        </w:numPr>
        <w:spacing w:after="240" w:line="320" w:lineRule="exact"/>
        <w:ind w:left="1134" w:hanging="1134"/>
      </w:pPr>
      <w:r>
        <w:rPr>
          <w:bCs/>
        </w:rPr>
        <w:t>não está em curso quaisquer</w:t>
      </w:r>
      <w:r>
        <w:rPr>
          <w:noProof/>
        </w:rPr>
        <w:t xml:space="preserve"> Eventos de Vencimento Antecipado</w:t>
      </w:r>
      <w:r>
        <w:rPr>
          <w:bCs/>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se comprometem a notificar em até </w:t>
      </w:r>
      <w:r>
        <w:rPr>
          <w:w w:val="0"/>
          <w:szCs w:val="22"/>
        </w:rPr>
        <w:t>5 (</w:t>
      </w:r>
      <w:r>
        <w:rPr>
          <w:szCs w:val="22"/>
        </w:rPr>
        <w:t>cinco) Dias Úteis o Agente Fiduciário caso quaisquer das declarações prestadas pela Emissora e/ou pela Contour na presente Escritura de Emissão tornem-se total ou parcialmente inverídicas, incompletas, incorretas ou inconsistentes.</w:t>
      </w:r>
    </w:p>
    <w:p w:rsidR="00C963BB" w:rsidRDefault="00C759A0">
      <w:pPr>
        <w:pStyle w:val="Level1"/>
        <w:numPr>
          <w:ilvl w:val="0"/>
          <w:numId w:val="120"/>
        </w:numPr>
        <w:spacing w:before="0" w:after="240" w:line="320" w:lineRule="exact"/>
        <w:jc w:val="center"/>
        <w:rPr>
          <w:szCs w:val="22"/>
        </w:rPr>
      </w:pPr>
      <w:r>
        <w:rPr>
          <w:szCs w:val="22"/>
        </w:rPr>
        <w:t>CLÁUSULA DÉCIMA SEGUNDA - DAS NOTIFICAÇÕES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Todos os documentos e as comunicações, que deverão ser sempre feitos por escrito, assim como os meios físicos que contenham documentos ou comunicações, a serem enviados por qualquer das Partes </w:t>
      </w:r>
      <w:r>
        <w:rPr>
          <w:rStyle w:val="TtulodoLivro"/>
          <w:b w:val="0"/>
        </w:rPr>
        <w:t>e/ou Intervenientes Anuentes</w:t>
      </w:r>
      <w:r>
        <w:rPr>
          <w:rStyle w:val="TtulodoLivro"/>
        </w:rPr>
        <w:t xml:space="preserve"> </w:t>
      </w:r>
      <w:r>
        <w:rPr>
          <w:szCs w:val="22"/>
        </w:rPr>
        <w:t>nos termos desta Escritura de Emissão deverão ser encaminhados para os seguintes endereços:</w:t>
      </w:r>
    </w:p>
    <w:p w:rsidR="00C963BB" w:rsidRDefault="00C759A0">
      <w:pPr>
        <w:pStyle w:val="Level4"/>
        <w:keepNext/>
        <w:keepLines/>
        <w:numPr>
          <w:ilvl w:val="3"/>
          <w:numId w:val="55"/>
        </w:numPr>
        <w:spacing w:after="240" w:line="320" w:lineRule="exact"/>
        <w:ind w:left="1134" w:hanging="1134"/>
      </w:pPr>
      <w:r>
        <w:t>Se para a Emissora:</w:t>
      </w:r>
    </w:p>
    <w:p w:rsidR="00C963BB" w:rsidRDefault="00470AF8">
      <w:pPr>
        <w:pStyle w:val="Level4"/>
        <w:numPr>
          <w:ilvl w:val="0"/>
          <w:numId w:val="0"/>
        </w:numPr>
        <w:spacing w:after="240" w:line="320" w:lineRule="exact"/>
        <w:ind w:left="1134"/>
        <w:jc w:val="left"/>
      </w:pPr>
      <w:r>
        <w:rPr>
          <w:b/>
        </w:rPr>
        <w:t>GOIÁS SUL GERAÇÃO DE ENERGIA S.A.</w:t>
      </w:r>
      <w:r w:rsidR="00C759A0">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0" w:history="1">
        <w:r w:rsidR="00C759A0">
          <w:t>ludovic.pasqualinotto@contourglobal.com</w:t>
        </w:r>
      </w:hyperlink>
      <w:r w:rsidR="00C759A0">
        <w:t xml:space="preserve"> / </w:t>
      </w:r>
      <w:hyperlink r:id="rId21" w:history="1">
        <w:r w:rsidR="00C759A0">
          <w:t>priscilla.cagelli@contourglobal.com</w:t>
        </w:r>
      </w:hyperlink>
      <w:r w:rsidR="00C759A0">
        <w:t xml:space="preserve"> / </w:t>
      </w:r>
      <w:hyperlink r:id="rId22" w:history="1">
        <w:r w:rsidR="00C759A0">
          <w:t>thiago.oliveira@contourglobal.com</w:t>
        </w:r>
      </w:hyperlink>
      <w:r w:rsidR="00C759A0">
        <w:t xml:space="preserve"> / </w:t>
      </w:r>
      <w:hyperlink r:id="rId23"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pPr>
      <w:r>
        <w:lastRenderedPageBreak/>
        <w:t>Se para a Contour:</w:t>
      </w:r>
    </w:p>
    <w:p w:rsidR="00C963BB" w:rsidRDefault="005C056C">
      <w:pPr>
        <w:pStyle w:val="Level4"/>
        <w:numPr>
          <w:ilvl w:val="0"/>
          <w:numId w:val="0"/>
        </w:numPr>
        <w:tabs>
          <w:tab w:val="left" w:pos="708"/>
        </w:tabs>
        <w:spacing w:after="240" w:line="320" w:lineRule="exact"/>
        <w:ind w:left="1134"/>
        <w:jc w:val="left"/>
      </w:pPr>
      <w:r>
        <w:rPr>
          <w:b/>
        </w:rPr>
        <w:t>CONTOUR GLOBAL DO BRASIL PARTICIPAÇÕES S.A.</w:t>
      </w:r>
      <w:r>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4" w:history="1">
        <w:r w:rsidR="00C759A0">
          <w:t>ludovic.pasqualinotto@contourglobal.com</w:t>
        </w:r>
      </w:hyperlink>
      <w:r w:rsidR="00C759A0">
        <w:t xml:space="preserve"> / </w:t>
      </w:r>
      <w:hyperlink r:id="rId25" w:history="1">
        <w:r w:rsidR="00C759A0">
          <w:t>priscilla.cagelli@contourglobal.com</w:t>
        </w:r>
      </w:hyperlink>
      <w:r w:rsidR="00C759A0">
        <w:t xml:space="preserve"> / </w:t>
      </w:r>
      <w:hyperlink r:id="rId26" w:history="1">
        <w:r w:rsidR="00C759A0">
          <w:t>thiago.oliveira@contourglobal.com</w:t>
        </w:r>
      </w:hyperlink>
      <w:r w:rsidR="00C759A0">
        <w:t xml:space="preserve"> / </w:t>
      </w:r>
      <w:hyperlink r:id="rId27"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rPr>
          <w:b/>
        </w:rPr>
      </w:pPr>
      <w:r>
        <w:t>Se para o Agente Fiduciário:</w:t>
      </w:r>
    </w:p>
    <w:p w:rsidR="00C963BB" w:rsidRDefault="005C056C">
      <w:pPr>
        <w:pStyle w:val="Level2"/>
        <w:numPr>
          <w:ilvl w:val="0"/>
          <w:numId w:val="0"/>
        </w:numPr>
        <w:spacing w:after="240" w:line="320" w:lineRule="exact"/>
        <w:ind w:left="1134"/>
        <w:rPr>
          <w:szCs w:val="22"/>
        </w:rPr>
      </w:pPr>
      <w:r>
        <w:rPr>
          <w:b/>
          <w:szCs w:val="22"/>
        </w:rPr>
        <w:t>OLIVEIRA TRUST DISTRIBUIDORA DE TÍTULOS E VALORES MOBILIÁRIOS S.A.</w:t>
      </w:r>
      <w:r>
        <w:rPr>
          <w:b/>
          <w:szCs w:val="22"/>
        </w:rPr>
        <w:tab/>
      </w:r>
      <w:r>
        <w:rPr>
          <w:b/>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Antonio Amaro/Maria Carolina Abrantes Lodi de Oliveira</w:t>
      </w:r>
      <w:r w:rsidR="00C759A0">
        <w:rPr>
          <w:szCs w:val="22"/>
        </w:rPr>
        <w:tab/>
      </w:r>
      <w:r w:rsidR="00C759A0">
        <w:rPr>
          <w:szCs w:val="22"/>
        </w:rPr>
        <w:br/>
        <w:t>Telefone: (21) 3514-0000</w:t>
      </w:r>
      <w:r w:rsidR="00C759A0">
        <w:rPr>
          <w:szCs w:val="22"/>
        </w:rPr>
        <w:tab/>
      </w:r>
      <w:r w:rsidR="00C759A0">
        <w:rPr>
          <w:szCs w:val="22"/>
        </w:rPr>
        <w:br/>
        <w:t xml:space="preserve">E-mail: </w:t>
      </w:r>
      <w:hyperlink r:id="rId28" w:history="1">
        <w:r w:rsidR="00C759A0">
          <w:rPr>
            <w:szCs w:val="22"/>
          </w:rPr>
          <w:t>antonio.amaro@oliveiratrust.com.br/ger2.agente@oliveira</w:t>
        </w:r>
      </w:hyperlink>
      <w:r w:rsidR="00C759A0">
        <w:rPr>
          <w:szCs w:val="22"/>
        </w:rPr>
        <w:t xml:space="preserve">trust.com.br </w:t>
      </w:r>
    </w:p>
    <w:p w:rsidR="00C963BB" w:rsidRDefault="00C759A0">
      <w:pPr>
        <w:pStyle w:val="Level4"/>
        <w:keepNext/>
        <w:keepLines/>
        <w:numPr>
          <w:ilvl w:val="3"/>
          <w:numId w:val="55"/>
        </w:numPr>
        <w:spacing w:after="240" w:line="320" w:lineRule="exact"/>
        <w:ind w:left="1134" w:hanging="1134"/>
        <w:rPr>
          <w:b/>
        </w:rPr>
      </w:pPr>
      <w:r>
        <w:t>Se para o FIDC:</w:t>
      </w:r>
    </w:p>
    <w:p w:rsidR="00C963BB" w:rsidRDefault="005C056C">
      <w:pPr>
        <w:pStyle w:val="Level2"/>
        <w:numPr>
          <w:ilvl w:val="0"/>
          <w:numId w:val="0"/>
        </w:numPr>
        <w:spacing w:after="240" w:line="320" w:lineRule="exact"/>
        <w:ind w:left="1134"/>
        <w:rPr>
          <w:szCs w:val="22"/>
        </w:rPr>
      </w:pPr>
      <w:r>
        <w:rPr>
          <w:b/>
          <w:szCs w:val="22"/>
        </w:rPr>
        <w:t>OLIVEIRA TRUST DISTRIBUIDORA DE TÍTULOS E VALORES MOBILIÁRIOS S.A.</w:t>
      </w:r>
      <w:r>
        <w:rPr>
          <w:szCs w:val="22"/>
        </w:rPr>
        <w:tab/>
      </w:r>
      <w:r>
        <w:rPr>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Alan Russo Najman</w:t>
      </w:r>
      <w:r w:rsidR="00C759A0">
        <w:rPr>
          <w:szCs w:val="22"/>
        </w:rPr>
        <w:tab/>
      </w:r>
      <w:r w:rsidR="00C759A0">
        <w:rPr>
          <w:szCs w:val="22"/>
        </w:rPr>
        <w:br/>
        <w:t>Telefone: (21) 3514-0000</w:t>
      </w:r>
      <w:r w:rsidR="00C759A0">
        <w:rPr>
          <w:szCs w:val="22"/>
        </w:rPr>
        <w:tab/>
      </w:r>
      <w:r w:rsidR="00C759A0">
        <w:rPr>
          <w:szCs w:val="22"/>
        </w:rPr>
        <w:br/>
        <w:t xml:space="preserve">E-mail: ger1.fundos@oliveiratrust.com.br </w:t>
      </w:r>
    </w:p>
    <w:p w:rsidR="00C963BB" w:rsidRDefault="00C759A0">
      <w:pPr>
        <w:pStyle w:val="Level4"/>
        <w:keepNext/>
        <w:keepLines/>
        <w:numPr>
          <w:ilvl w:val="3"/>
          <w:numId w:val="55"/>
        </w:numPr>
        <w:spacing w:after="240" w:line="320" w:lineRule="exact"/>
        <w:ind w:left="1134" w:hanging="1134"/>
      </w:pPr>
      <w:r>
        <w:t>Se para a Agente de Liquidação e Escriturador:</w:t>
      </w:r>
    </w:p>
    <w:p w:rsidR="00C963BB" w:rsidRDefault="005C056C">
      <w:pPr>
        <w:pStyle w:val="Level2"/>
        <w:numPr>
          <w:ilvl w:val="0"/>
          <w:numId w:val="0"/>
        </w:numPr>
        <w:spacing w:after="240" w:line="320" w:lineRule="exact"/>
        <w:ind w:left="1134"/>
        <w:rPr>
          <w:b/>
          <w:szCs w:val="22"/>
        </w:rPr>
      </w:pPr>
      <w:r>
        <w:rPr>
          <w:b/>
        </w:rPr>
        <w:t>OLIVEIRA TRUST DISTRIBUIDORA DE TÍTULOS E VALORES MOBILIÁRIOS S.A.</w:t>
      </w:r>
      <w:r>
        <w:rPr>
          <w:b/>
        </w:rPr>
        <w:tab/>
      </w:r>
      <w:r>
        <w:rPr>
          <w:b/>
        </w:rPr>
        <w:br/>
      </w:r>
      <w:r w:rsidR="00C759A0">
        <w:t>Avenida das Américas, 3434, bloco 7, sala 201</w:t>
      </w:r>
      <w:r w:rsidR="00C759A0">
        <w:tab/>
      </w:r>
      <w:r w:rsidR="00C759A0">
        <w:br/>
        <w:t>CEP 22640-102 - Rio de Janeiro/RJ</w:t>
      </w:r>
      <w:r w:rsidR="00C759A0">
        <w:tab/>
      </w:r>
      <w:r w:rsidR="00C759A0">
        <w:br/>
        <w:t xml:space="preserve">At.: Alexandre Lodi/João Bezerra </w:t>
      </w:r>
      <w:r w:rsidR="00C759A0">
        <w:tab/>
      </w:r>
      <w:r w:rsidR="00C759A0">
        <w:br/>
      </w:r>
      <w:r w:rsidR="00C759A0">
        <w:lastRenderedPageBreak/>
        <w:t>Telefone: (21) 3514-0000</w:t>
      </w:r>
      <w:r w:rsidR="00C759A0">
        <w:tab/>
      </w:r>
      <w:r w:rsidR="00C759A0">
        <w:br/>
        <w:t>E-mail: sqescrituracao@oliveiratrust.com.br</w:t>
      </w:r>
      <w:r w:rsidR="00C759A0">
        <w:rPr>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szCs w:val="22"/>
        </w:rPr>
      </w:pPr>
      <w:bookmarkStart w:id="202" w:name="_DV_M393"/>
      <w:bookmarkStart w:id="203" w:name="_DV_M395"/>
      <w:bookmarkStart w:id="204" w:name="_DV_M398"/>
      <w:bookmarkStart w:id="205" w:name="_DV_M399"/>
      <w:bookmarkEnd w:id="202"/>
      <w:bookmarkEnd w:id="203"/>
      <w:bookmarkEnd w:id="204"/>
      <w:bookmarkEnd w:id="205"/>
      <w:r>
        <w:rPr>
          <w:szCs w:val="22"/>
        </w:rPr>
        <w:t xml:space="preserve">As comunicações referentes a esta Escritura de Emissão serão consideradas entregues quando recebidas sob protocolo ou com "aviso de recebimento" expedido pelo correio, sob protocolo, nos endereços acima. As comunicações feitas por e-mail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mudança de qualquer dos endereços acima deverá ser comunicada à outra parte pela parte que tiver seu endereço alterado.</w:t>
      </w:r>
    </w:p>
    <w:p w:rsidR="00C963BB" w:rsidRDefault="00C759A0">
      <w:pPr>
        <w:pStyle w:val="Level1"/>
        <w:numPr>
          <w:ilvl w:val="0"/>
          <w:numId w:val="120"/>
        </w:numPr>
        <w:spacing w:before="0" w:after="240" w:line="320" w:lineRule="exact"/>
        <w:jc w:val="center"/>
        <w:rPr>
          <w:szCs w:val="22"/>
        </w:rPr>
      </w:pPr>
      <w:r>
        <w:rPr>
          <w:szCs w:val="22"/>
        </w:rPr>
        <w:t>CLÁUSULA DÉCIMA TERCEIRA - DAS DISPOSIÇÕES GERAIS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de outra forma expressamente estabelecido nesta Escritura de Emissão, quaisquer aditamentos a esta Escritura de Emissão deverão ser firmados pelas Partes e as Intervenientes Anuentes</w:t>
      </w:r>
      <w:r>
        <w:rPr>
          <w:b/>
          <w:szCs w:val="22"/>
        </w:rPr>
        <w:t xml:space="preserve"> </w:t>
      </w:r>
      <w:r>
        <w:rPr>
          <w:szCs w:val="22"/>
        </w:rPr>
        <w:t>após aprovação em Assembleia Geral de Debenturistas, conforme Cláusula Décima acima, e posteriormente arquivados pela Emissora na JUCESP, observados os prazos estabelecidos na Cláusula Primeira acima.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presente Escritura de Emissão é firmada em caráter irrevogável e irretratável.</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Caso qualquer das disposições desta Escritura de Emissão venha a ser julgada ilegal, inválida ou ineficaz, prevalecerão todas as demais disposições não afetadas por tal julgamento, </w:t>
      </w:r>
      <w:r>
        <w:rPr>
          <w:szCs w:val="22"/>
        </w:rPr>
        <w:lastRenderedPageBreak/>
        <w:t xml:space="preserve">comprometendo-se as Partes </w:t>
      </w:r>
      <w:r>
        <w:rPr>
          <w:rStyle w:val="TtulodoLivro"/>
          <w:b w:val="0"/>
        </w:rPr>
        <w:t>e as Intervenientes Anuentes</w:t>
      </w:r>
      <w:r>
        <w:rPr>
          <w:szCs w:val="22"/>
        </w:rPr>
        <w:t>, em boa-fé, a substituir a disposição afetada por outra que, na medida do possível, produza o mesmo efeito.</w:t>
      </w:r>
    </w:p>
    <w:p w:rsidR="00C963BB" w:rsidRDefault="00C759A0">
      <w:pPr>
        <w:pStyle w:val="Level2"/>
        <w:numPr>
          <w:ilvl w:val="1"/>
          <w:numId w:val="55"/>
        </w:numPr>
        <w:tabs>
          <w:tab w:val="clear" w:pos="680"/>
          <w:tab w:val="num" w:pos="1134"/>
        </w:tabs>
        <w:spacing w:after="240" w:line="320" w:lineRule="exact"/>
        <w:ind w:left="0" w:firstLine="0"/>
        <w:rPr>
          <w:szCs w:val="22"/>
        </w:rPr>
      </w:pPr>
      <w:r>
        <w:rPr>
          <w:iCs/>
          <w:szCs w:val="22"/>
        </w:rPr>
        <w:t>A presente Escritura de Emissão e as Debêntures</w:t>
      </w:r>
      <w:r>
        <w:rPr>
          <w:szCs w:val="22"/>
        </w:rPr>
        <w:t xml:space="preserve">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w:t>
      </w:r>
      <w:r w:rsidR="00837990">
        <w:rPr>
          <w:szCs w:val="22"/>
        </w:rPr>
        <w:t xml:space="preserve">a </w:t>
      </w:r>
      <w:r>
        <w:rPr>
          <w:szCs w:val="22"/>
        </w:rPr>
        <w:t xml:space="preserve">presente </w:t>
      </w:r>
      <w:r w:rsidR="00837990">
        <w:rPr>
          <w:szCs w:val="22"/>
        </w:rPr>
        <w:t>Escritura de Emissão</w:t>
      </w:r>
      <w:r>
        <w:rPr>
          <w:szCs w:val="22"/>
        </w:rPr>
        <w:t>.</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previsto de outra forma nesta Escritura de Emissão, os prazos estabelecidos na presente Escritura de Emissão serão computados de acordo com a regra prescrita no artigo 132 do Código Civil, sendo excluído o dia do começo e incluído o do vencimento.</w:t>
      </w:r>
    </w:p>
    <w:p w:rsidR="00C963BB" w:rsidRDefault="00C759A0">
      <w:pPr>
        <w:pStyle w:val="Level1"/>
        <w:numPr>
          <w:ilvl w:val="0"/>
          <w:numId w:val="120"/>
        </w:numPr>
        <w:spacing w:before="0" w:after="240" w:line="320" w:lineRule="exact"/>
        <w:jc w:val="center"/>
        <w:rPr>
          <w:szCs w:val="22"/>
        </w:rPr>
      </w:pPr>
      <w:r>
        <w:rPr>
          <w:szCs w:val="22"/>
        </w:rPr>
        <w:t>CLÁUSULA DÉCIMA QUARTA – LEI DE REGÊNCIA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Esta Escritura de Emissão é regida pelas leis da República Federativa do Brasil.</w:t>
      </w:r>
    </w:p>
    <w:p w:rsidR="00C963BB" w:rsidRDefault="00C759A0">
      <w:pPr>
        <w:pStyle w:val="Level1"/>
        <w:numPr>
          <w:ilvl w:val="0"/>
          <w:numId w:val="120"/>
        </w:numPr>
        <w:spacing w:before="0" w:after="240" w:line="320" w:lineRule="exact"/>
        <w:jc w:val="center"/>
        <w:rPr>
          <w:szCs w:val="22"/>
        </w:rPr>
      </w:pPr>
      <w:r>
        <w:rPr>
          <w:szCs w:val="22"/>
        </w:rPr>
        <w:t>CLÁUSULA DÉCIMA QUINTA – CLÁUSULA COMPROMISSÓRIA</w:t>
      </w:r>
    </w:p>
    <w:p w:rsidR="00C963BB" w:rsidRDefault="00C759A0">
      <w:pPr>
        <w:pStyle w:val="Level2"/>
        <w:numPr>
          <w:ilvl w:val="1"/>
          <w:numId w:val="55"/>
        </w:numPr>
        <w:tabs>
          <w:tab w:val="clear" w:pos="680"/>
          <w:tab w:val="num" w:pos="1134"/>
        </w:tabs>
        <w:spacing w:after="240" w:line="320" w:lineRule="exact"/>
        <w:ind w:left="0" w:firstLine="0"/>
        <w:rPr>
          <w:b/>
          <w:szCs w:val="22"/>
        </w:rPr>
      </w:pPr>
      <w:r>
        <w:rPr>
          <w:rFonts w:eastAsia="SimSun"/>
          <w:b/>
          <w:szCs w:val="22"/>
        </w:rPr>
        <w:t xml:space="preserve">As </w:t>
      </w:r>
      <w:r>
        <w:rPr>
          <w:rStyle w:val="TtulodoLivro"/>
        </w:rPr>
        <w:t xml:space="preserve">Partes e as Intervenientes Anuentes </w:t>
      </w:r>
      <w:r>
        <w:rPr>
          <w:rFonts w:eastAsia="SimSun"/>
          <w:b/>
          <w:szCs w:val="22"/>
        </w:rPr>
        <w:t>signatárias deste instrumento comprometem-se a envidar seus melhores esforços para alcançar um acordo sobre quaisquer disputas, controvérsias ou demandas oriundas, ou relacionadas às Debêntures ou a esta Escritura de Emissão (“</w:t>
      </w:r>
      <w:r>
        <w:rPr>
          <w:rFonts w:eastAsia="SimSun"/>
          <w:b/>
          <w:szCs w:val="22"/>
          <w:u w:val="single"/>
        </w:rPr>
        <w:t>Controvérsia</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bookmarkStart w:id="206" w:name="_Ref496730221"/>
      <w:r>
        <w:rPr>
          <w:rFonts w:eastAsia="SimSun"/>
          <w:b/>
          <w:szCs w:val="22"/>
        </w:rPr>
        <w:t>Sem prejuízo à possibilidade de qualquer das partes envolvidas nesta relação contratual promover, no foro da Cidade de São Paulo, Estado de São Paulo: (i) a execução de obrigações líquidas, certas e exigíveis estipuladas nesta Escritura de Emissão e/ou nas Debêntures; (ii) a excussão das Garantias; (iii) a propositura da ação judicial de que trata o artigo 7º da Lei Federal nº 9.307/1996 (“</w:t>
      </w:r>
      <w:r>
        <w:rPr>
          <w:rFonts w:eastAsia="SimSun"/>
          <w:b/>
          <w:szCs w:val="22"/>
          <w:u w:val="single"/>
        </w:rPr>
        <w:t>Lei de Arbitragem</w:t>
      </w:r>
      <w:r>
        <w:rPr>
          <w:rFonts w:eastAsia="SimSun"/>
          <w:b/>
          <w:szCs w:val="22"/>
        </w:rPr>
        <w:t xml:space="preserve">”); (iv) a propositura de ações judiciais voltadas à obtenção de tutelas cautelares e de urgência, nos termos dos artigos 22-A e 22-B da Lei de Arbitragem e dos itens </w:t>
      </w:r>
      <w:r>
        <w:rPr>
          <w:rFonts w:eastAsia="SimSun"/>
          <w:b/>
          <w:szCs w:val="22"/>
        </w:rPr>
        <w:fldChar w:fldCharType="begin"/>
      </w:r>
      <w:r>
        <w:rPr>
          <w:rFonts w:eastAsia="SimSun"/>
          <w:b/>
          <w:szCs w:val="22"/>
        </w:rPr>
        <w:instrText xml:space="preserve"> REF _Ref507705760 \w \h  \* MERGEFORMAT </w:instrText>
      </w:r>
      <w:r>
        <w:rPr>
          <w:rFonts w:eastAsia="SimSun"/>
          <w:b/>
          <w:szCs w:val="22"/>
        </w:rPr>
      </w:r>
      <w:r>
        <w:rPr>
          <w:rFonts w:eastAsia="SimSun"/>
          <w:b/>
          <w:szCs w:val="22"/>
        </w:rPr>
        <w:fldChar w:fldCharType="separate"/>
      </w:r>
      <w:r w:rsidR="00281921">
        <w:rPr>
          <w:rFonts w:eastAsia="SimSun"/>
          <w:b/>
          <w:szCs w:val="22"/>
        </w:rPr>
        <w:t>15.8</w:t>
      </w:r>
      <w:r>
        <w:rPr>
          <w:rFonts w:eastAsia="SimSun"/>
          <w:b/>
          <w:szCs w:val="22"/>
        </w:rPr>
        <w:fldChar w:fldCharType="end"/>
      </w:r>
      <w:r>
        <w:rPr>
          <w:rFonts w:eastAsia="SimSun"/>
          <w:b/>
          <w:szCs w:val="22"/>
        </w:rPr>
        <w:t xml:space="preserve"> e </w:t>
      </w:r>
      <w:r>
        <w:rPr>
          <w:rFonts w:eastAsia="SimSun"/>
          <w:b/>
          <w:szCs w:val="22"/>
        </w:rPr>
        <w:fldChar w:fldCharType="begin"/>
      </w:r>
      <w:r>
        <w:rPr>
          <w:rFonts w:eastAsia="SimSun"/>
          <w:b/>
          <w:szCs w:val="22"/>
        </w:rPr>
        <w:instrText xml:space="preserve"> REF _Ref507705750 \w \p \h  \* MERGEFORMAT </w:instrText>
      </w:r>
      <w:r>
        <w:rPr>
          <w:rFonts w:eastAsia="SimSun"/>
          <w:b/>
          <w:szCs w:val="22"/>
        </w:rPr>
      </w:r>
      <w:r>
        <w:rPr>
          <w:rFonts w:eastAsia="SimSun"/>
          <w:b/>
          <w:szCs w:val="22"/>
        </w:rPr>
        <w:fldChar w:fldCharType="separate"/>
      </w:r>
      <w:r w:rsidR="00281921">
        <w:rPr>
          <w:rFonts w:eastAsia="SimSun"/>
          <w:b/>
          <w:szCs w:val="22"/>
        </w:rPr>
        <w:t>15.9 abaixo</w:t>
      </w:r>
      <w:r>
        <w:rPr>
          <w:rFonts w:eastAsia="SimSun"/>
          <w:b/>
          <w:szCs w:val="22"/>
        </w:rPr>
        <w:fldChar w:fldCharType="end"/>
      </w:r>
      <w:r>
        <w:rPr>
          <w:rFonts w:eastAsia="SimSun"/>
          <w:b/>
          <w:szCs w:val="22"/>
        </w:rPr>
        <w:t xml:space="preserve">;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w:t>
      </w:r>
      <w:r>
        <w:rPr>
          <w:rFonts w:eastAsia="SimSun"/>
          <w:b/>
          <w:szCs w:val="22"/>
        </w:rPr>
        <w:lastRenderedPageBreak/>
        <w:t>Câmara de Comércio Brasil-Canadá (“</w:t>
      </w:r>
      <w:r>
        <w:rPr>
          <w:rFonts w:eastAsia="SimSun"/>
          <w:b/>
          <w:szCs w:val="22"/>
          <w:u w:val="single"/>
        </w:rPr>
        <w:t>CAM-CCBC</w:t>
      </w:r>
      <w:r>
        <w:rPr>
          <w:rFonts w:eastAsia="SimSun"/>
          <w:b/>
          <w:szCs w:val="22"/>
        </w:rPr>
        <w:t>”), de acordo com os termos de seu Regulamento de Arbitragem (“</w:t>
      </w:r>
      <w:r>
        <w:rPr>
          <w:rFonts w:eastAsia="SimSun"/>
          <w:b/>
          <w:szCs w:val="22"/>
          <w:u w:val="single"/>
        </w:rPr>
        <w:t>Regulamento</w:t>
      </w:r>
      <w:r>
        <w:rPr>
          <w:rFonts w:eastAsia="SimSun"/>
          <w:b/>
          <w:szCs w:val="22"/>
        </w:rPr>
        <w:t>”) e, subsidiariamente, com os termos da Lei de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Inclui-se no conceito de Controvérsia, sem limitação, os embargos do devedor à execução por quantia certa fundada nas Debêntures, que serão substituídos pela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w:t>
      </w:r>
      <w:r>
        <w:rPr>
          <w:rStyle w:val="TtulodoLivro"/>
        </w:rPr>
        <w:t>ualquer disposição do Regulamento referente à limitação da escolha de árbitro àqueles que compõem o corpo de árbitros do CAM-CCBC não será aplicável.</w:t>
      </w:r>
      <w:r>
        <w:rPr>
          <w:rFonts w:eastAsia="SimSun"/>
          <w:b/>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w:t>
      </w:r>
      <w:r>
        <w:rPr>
          <w:rFonts w:eastAsia="SimSun"/>
          <w:b/>
          <w:szCs w:val="22"/>
        </w:rPr>
        <w:lastRenderedPageBreak/>
        <w:t xml:space="preserve">árbitros que comporão o tribunal arbitral não poderão decidir o mérito da arbitragem por equidade, julgar </w:t>
      </w:r>
      <w:r>
        <w:rPr>
          <w:rFonts w:eastAsia="SimSun"/>
          <w:b/>
          <w:i/>
          <w:szCs w:val="22"/>
        </w:rPr>
        <w:t>ex aequo et bono</w:t>
      </w:r>
      <w:r>
        <w:rPr>
          <w:rFonts w:eastAsia="SimSun"/>
          <w:b/>
          <w:szCs w:val="22"/>
        </w:rPr>
        <w:t xml:space="preserve"> ou atuar como </w:t>
      </w:r>
      <w:r>
        <w:rPr>
          <w:rFonts w:eastAsia="SimSun"/>
          <w:b/>
          <w:i/>
          <w:szCs w:val="22"/>
        </w:rPr>
        <w:t>amiable compositeurs</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Style w:val="TtulodoLivro"/>
        </w:rPr>
        <w:t>As decisões do tribunal arbitral serão finais e vinculantes às partes da arbitragem e seus sucessores a qualquer título.</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7" w:name="_Ref507705760"/>
      <w:r>
        <w:rPr>
          <w:rStyle w:val="TtulodoLivro"/>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bookmarkEnd w:id="207"/>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8" w:name="_Ref507705750"/>
      <w:r>
        <w:rPr>
          <w:rStyle w:val="TtulodoLivro"/>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bookmarkEnd w:id="208"/>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lastRenderedPageBreak/>
        <w:t xml:space="preserve">O </w:t>
      </w:r>
      <w:r>
        <w:rPr>
          <w:rFonts w:eastAsia="SimSun"/>
          <w:b/>
          <w:szCs w:val="22"/>
        </w:rPr>
        <w:t>CAM-CCBC</w:t>
      </w:r>
      <w:r>
        <w:rPr>
          <w:rStyle w:val="TtulodoLivro"/>
        </w:rPr>
        <w:t xml:space="preserve"> (se antes da assinatura do Termo de Arbitragem) e o tribunal arbitral (se após a assinatura do Termo de Arbitragem) poderão, mediante requerimento de uma das partes das arbitragens, consolidar procedimentos arbitrais simultâneos envolvendo quaisquer das partes envolvidas nesta relação contratual e outras correlatas, ainda que nem todas sejam parte de ambos os procedimentos, ou desta Escritura de Emissão 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C963BB" w:rsidRDefault="00C759A0">
      <w:pPr>
        <w:pStyle w:val="Level2"/>
        <w:numPr>
          <w:ilvl w:val="1"/>
          <w:numId w:val="55"/>
        </w:numPr>
        <w:tabs>
          <w:tab w:val="clear" w:pos="680"/>
          <w:tab w:val="num" w:pos="1134"/>
        </w:tabs>
        <w:spacing w:after="240" w:line="320" w:lineRule="exact"/>
        <w:ind w:left="0" w:firstLine="0"/>
        <w:rPr>
          <w:rStyle w:val="TtulodoLivro"/>
        </w:rPr>
      </w:pPr>
      <w:r>
        <w:rPr>
          <w:b/>
          <w:iCs/>
          <w:szCs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r>
        <w:rPr>
          <w:rStyle w:val="TtulodoLivro"/>
        </w:rPr>
        <w:t>.</w:t>
      </w:r>
    </w:p>
    <w:bookmarkEnd w:id="206"/>
    <w:p w:rsidR="00C963BB" w:rsidRDefault="00C759A0">
      <w:pPr>
        <w:suppressAutoHyphens/>
        <w:spacing w:after="240" w:line="320" w:lineRule="exact"/>
        <w:jc w:val="both"/>
      </w:pPr>
      <w:r>
        <w:t xml:space="preserve">E, por estarem justas e contratadas, as Partes e as Intervenientes Anuentes firmam esta Escritura de Emissão em </w:t>
      </w:r>
      <w:r w:rsidR="004D1759">
        <w:t>5</w:t>
      </w:r>
      <w:r>
        <w:t> (</w:t>
      </w:r>
      <w:r w:rsidR="004D1759">
        <w:t>cinco</w:t>
      </w:r>
      <w:r>
        <w:t>) vias de igual teor e forma, na presença das duas testemunhas ao final assinadas e qualificadas.</w:t>
      </w:r>
    </w:p>
    <w:p w:rsidR="00C963BB" w:rsidRDefault="00C759A0">
      <w:pPr>
        <w:suppressAutoHyphens/>
        <w:spacing w:after="240" w:line="320" w:lineRule="exact"/>
        <w:jc w:val="center"/>
      </w:pPr>
      <w:r>
        <w:t xml:space="preserve">São Paulo, </w:t>
      </w:r>
      <w:r w:rsidR="00613013">
        <w:t xml:space="preserve">01 </w:t>
      </w:r>
      <w:r>
        <w:t xml:space="preserve">de </w:t>
      </w:r>
      <w:r w:rsidR="00613013">
        <w:t xml:space="preserve">agosto </w:t>
      </w:r>
      <w:r>
        <w:t>de 2018</w:t>
      </w:r>
      <w:r>
        <w:br/>
        <w:t>[</w:t>
      </w:r>
      <w:r>
        <w:rPr>
          <w:i/>
        </w:rPr>
        <w:t>restante da página intencionalmente deixado em branco</w:t>
      </w:r>
      <w:r>
        <w:t>]</w:t>
      </w:r>
    </w:p>
    <w:p w:rsidR="005D4593" w:rsidRDefault="00C759A0">
      <w:pPr>
        <w:suppressAutoHyphens/>
        <w:spacing w:after="240" w:line="320" w:lineRule="exact"/>
        <w:jc w:val="both"/>
        <w:rPr>
          <w:i/>
        </w:rPr>
      </w:pPr>
      <w:r>
        <w:br w:type="page"/>
      </w:r>
      <w:bookmarkEnd w:id="0"/>
      <w:bookmarkEnd w:id="1"/>
      <w:r>
        <w:rPr>
          <w:i/>
        </w:rPr>
        <w:lastRenderedPageBreak/>
        <w:t>Página de assinatura do “</w:t>
      </w:r>
      <w:r>
        <w:rPr>
          <w:bCs/>
          <w:i/>
        </w:rPr>
        <w:t xml:space="preserve">Instrumento </w:t>
      </w:r>
      <w:r>
        <w:rPr>
          <w:i/>
        </w:rPr>
        <w:t>Particular</w:t>
      </w:r>
      <w:r>
        <w:rPr>
          <w:bCs/>
          <w:i/>
        </w:rPr>
        <w:t xml:space="preserve"> de Escritura da </w:t>
      </w:r>
      <w:r w:rsidR="007E4BA0">
        <w:rPr>
          <w:i/>
        </w:rPr>
        <w:t xml:space="preserve">1ª (primeira) Emissão de Debêntures Simples, Não Conversíveis em Ações, da Espécie </w:t>
      </w:r>
      <w:r w:rsidR="007E4BA0">
        <w:rPr>
          <w:bCs/>
          <w:i/>
        </w:rPr>
        <w:t xml:space="preserve">com Garantia Real, com Garantia Adicional Fidejussória, </w:t>
      </w:r>
      <w:r w:rsidR="007E4BA0">
        <w:rPr>
          <w:i/>
        </w:rPr>
        <w:t>em até Três Séries</w:t>
      </w:r>
      <w:r w:rsidR="007E4BA0">
        <w:rPr>
          <w:bCs/>
          <w:i/>
        </w:rPr>
        <w:t xml:space="preserve">, para Colocação Privada, da </w:t>
      </w:r>
      <w:r w:rsidR="00470AF8">
        <w:rPr>
          <w:bCs/>
          <w:i/>
        </w:rPr>
        <w:t>Goiás Sul Geração de Energia S.A.</w:t>
      </w:r>
      <w:r w:rsidR="007E4BA0">
        <w:rPr>
          <w:bCs/>
          <w:i/>
        </w:rPr>
        <w:t>”</w:t>
      </w:r>
      <w:r w:rsidR="007E4BA0">
        <w:rPr>
          <w:i/>
        </w:rPr>
        <w:t xml:space="preserve"> – Página 1/4.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470AF8">
      <w:pPr>
        <w:suppressAutoHyphens/>
        <w:spacing w:after="240" w:line="320" w:lineRule="exact"/>
        <w:jc w:val="center"/>
        <w:rPr>
          <w:b/>
        </w:rPr>
      </w:pPr>
      <w:r>
        <w:rPr>
          <w:b/>
          <w:bCs/>
        </w:rPr>
        <w:t>GOIÁS SUL GERAÇÃO DE ENERGIA S.A.</w:t>
      </w:r>
    </w:p>
    <w:p w:rsidR="005D4593" w:rsidRDefault="005D4593">
      <w:pPr>
        <w:suppressAutoHyphens/>
        <w:spacing w:after="240" w:line="320" w:lineRule="exact"/>
        <w:jc w:val="both"/>
      </w:pP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5D4593" w:rsidRDefault="007E4BA0">
      <w:pPr>
        <w:suppressAutoHyphens/>
        <w:spacing w:after="240" w:line="320" w:lineRule="exact"/>
        <w:jc w:val="both"/>
        <w:rPr>
          <w:i/>
        </w:rPr>
      </w:pPr>
      <w:r>
        <w:br w:type="page"/>
      </w:r>
      <w:r>
        <w:rPr>
          <w:i/>
        </w:rPr>
        <w:lastRenderedPageBreak/>
        <w:t>Página de assinatura do “</w:t>
      </w:r>
      <w:r>
        <w:rPr>
          <w:bCs/>
          <w:i/>
        </w:rPr>
        <w:t xml:space="preserve">Instrumento </w:t>
      </w:r>
      <w:r>
        <w:rPr>
          <w:i/>
        </w:rPr>
        <w:t>Particular</w:t>
      </w:r>
      <w:r>
        <w:rPr>
          <w:bCs/>
          <w:i/>
        </w:rPr>
        <w:t xml:space="preserve"> de Escritura da </w:t>
      </w:r>
      <w:r>
        <w:rPr>
          <w:i/>
        </w:rPr>
        <w:t xml:space="preserve">1ª (primeira) Emissão de Debêntures Simples, Não Conversíveis em Ações, da Espécie </w:t>
      </w:r>
      <w:r>
        <w:rPr>
          <w:bCs/>
          <w:i/>
        </w:rPr>
        <w:t xml:space="preserve">com Garantia Real, com Garantia Adicional Fidejussória, </w:t>
      </w:r>
      <w:r>
        <w:rPr>
          <w:i/>
        </w:rPr>
        <w:t>em até Três Séries</w:t>
      </w:r>
      <w:r>
        <w:rPr>
          <w:bCs/>
          <w:i/>
        </w:rPr>
        <w:t xml:space="preserve">, para Colocação Privada, da </w:t>
      </w:r>
      <w:r w:rsidR="00470AF8">
        <w:rPr>
          <w:bCs/>
          <w:i/>
        </w:rPr>
        <w:t>Goiás Sul Geração de Energia S.A.</w:t>
      </w:r>
      <w:r>
        <w:rPr>
          <w:bCs/>
          <w:i/>
        </w:rPr>
        <w:t>”</w:t>
      </w:r>
      <w:r>
        <w:rPr>
          <w:i/>
        </w:rPr>
        <w:t xml:space="preserve"> – Página 2/4.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7E4BA0">
      <w:pPr>
        <w:suppressAutoHyphens/>
        <w:spacing w:after="240" w:line="320" w:lineRule="exact"/>
        <w:jc w:val="both"/>
      </w:pPr>
      <w:r>
        <w:rPr>
          <w:b/>
          <w:caps/>
        </w:rPr>
        <w:t>Oliveira Trust Distribuidora de Títulos e Valores Mobiliários S.A.</w:t>
      </w:r>
      <w:r>
        <w:rPr>
          <w:b/>
        </w:rPr>
        <w:t xml:space="preserve"> </w:t>
      </w: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5D4593" w:rsidRDefault="005D4593">
      <w:pPr>
        <w:suppressAutoHyphens/>
        <w:spacing w:after="240" w:line="320" w:lineRule="exact"/>
        <w:jc w:val="both"/>
      </w:pPr>
    </w:p>
    <w:p w:rsidR="005D4593" w:rsidRDefault="007E4BA0">
      <w:r>
        <w:br w:type="page"/>
      </w:r>
    </w:p>
    <w:p w:rsidR="00C963BB" w:rsidRDefault="007E4BA0">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Pr>
          <w:i/>
        </w:rPr>
        <w:t>1ª (primeira)</w:t>
      </w:r>
      <w:r w:rsidR="00C759A0">
        <w:rPr>
          <w:i/>
        </w:rPr>
        <w:t xml:space="preserve"> Emissão de Debêntures Simples, Não Conversíveis em Ações, da Espécie </w:t>
      </w:r>
      <w:r w:rsidR="00C759A0">
        <w:rPr>
          <w:bCs/>
          <w:i/>
        </w:rPr>
        <w:t xml:space="preserve">com Garantia Real, com Garantia Adicional Fidejussória, </w:t>
      </w:r>
      <w:r w:rsidR="00C759A0">
        <w:rPr>
          <w:i/>
        </w:rPr>
        <w:t>em até Três Séries</w:t>
      </w:r>
      <w:r w:rsidR="00C759A0">
        <w:rPr>
          <w:bCs/>
          <w:i/>
        </w:rPr>
        <w:t xml:space="preserve">, para Colocação Privada, da </w:t>
      </w:r>
      <w:r w:rsidR="00470AF8">
        <w:rPr>
          <w:bCs/>
          <w:i/>
        </w:rPr>
        <w:t>Goiás Sul Geração de Energia S.A.</w:t>
      </w:r>
      <w:r>
        <w:rPr>
          <w:bCs/>
          <w:i/>
        </w:rPr>
        <w:t>”</w:t>
      </w:r>
      <w:r w:rsidR="00C759A0">
        <w:rPr>
          <w:i/>
        </w:rPr>
        <w:t xml:space="preserve"> – Página </w:t>
      </w:r>
      <w:r>
        <w:rPr>
          <w:i/>
        </w:rPr>
        <w:t>3</w:t>
      </w:r>
      <w:r w:rsidR="00C759A0">
        <w:rPr>
          <w:i/>
        </w:rPr>
        <w:t>/4.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5D4593" w:rsidRDefault="007E4BA0">
      <w:pPr>
        <w:suppressAutoHyphens/>
        <w:spacing w:after="240" w:line="320" w:lineRule="exact"/>
        <w:jc w:val="center"/>
        <w:rPr>
          <w:b/>
        </w:rPr>
      </w:pPr>
      <w:r>
        <w:rPr>
          <w:b/>
        </w:rPr>
        <w:t>CONTOUR GLOBAL DO BRASIL PARTICIPAÇÕES S.A.</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3A4C3B" w:rsidRDefault="003A4C3B">
      <w:r>
        <w:br w:type="page"/>
      </w:r>
    </w:p>
    <w:p w:rsidR="00C963BB" w:rsidRDefault="00C759A0">
      <w:pPr>
        <w:suppressAutoHyphens/>
        <w:spacing w:after="240" w:line="320" w:lineRule="exact"/>
        <w:jc w:val="both"/>
        <w:rPr>
          <w:i/>
        </w:rPr>
      </w:pPr>
      <w:r>
        <w:rPr>
          <w:i/>
        </w:rPr>
        <w:lastRenderedPageBreak/>
        <w:t xml:space="preserve">Página de assinatura do </w:t>
      </w:r>
      <w:r w:rsidR="008D326A">
        <w:rPr>
          <w:i/>
        </w:rPr>
        <w:t>“</w:t>
      </w:r>
      <w:r w:rsidR="008D326A">
        <w:rPr>
          <w:bCs/>
          <w:i/>
        </w:rPr>
        <w:t xml:space="preserve">Instrumento </w:t>
      </w:r>
      <w:r w:rsidR="008D326A">
        <w:rPr>
          <w:i/>
        </w:rPr>
        <w:t>Particular</w:t>
      </w:r>
      <w:r w:rsidR="008D326A">
        <w:rPr>
          <w:bCs/>
          <w:i/>
        </w:rPr>
        <w:t xml:space="preserve"> de Escritura da </w:t>
      </w:r>
      <w:r w:rsidR="008D326A">
        <w:rPr>
          <w:i/>
        </w:rPr>
        <w:t xml:space="preserve">1ª (primeira) Emissão de Debêntures Simples, Não Conversíveis em Ações, da Espécie </w:t>
      </w:r>
      <w:r w:rsidR="008D326A">
        <w:rPr>
          <w:bCs/>
          <w:i/>
        </w:rPr>
        <w:t xml:space="preserve">com Garantia Real, com Garantia Adicional Fidejussória, </w:t>
      </w:r>
      <w:r w:rsidR="008D326A">
        <w:rPr>
          <w:i/>
        </w:rPr>
        <w:t>em até Três Séries</w:t>
      </w:r>
      <w:r w:rsidR="008D326A">
        <w:rPr>
          <w:bCs/>
          <w:i/>
        </w:rPr>
        <w:t>, para Colocação Privada, da Goiás Sul Geração de Energia S.A.”</w:t>
      </w:r>
      <w:r>
        <w:rPr>
          <w:i/>
        </w:rPr>
        <w:t>– Página 4/4.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pPr>
        <w:suppressAutoHyphens/>
        <w:spacing w:after="240" w:line="320" w:lineRule="exact"/>
        <w:jc w:val="center"/>
        <w:rPr>
          <w:i/>
        </w:rPr>
      </w:pPr>
      <w:r>
        <w:rPr>
          <w:b/>
        </w:rPr>
        <w:t>FUNDO DE INVESTIMENTO EM DIREITOS CREDITÓRIOS CONTOUR GLOBAL BRASIL</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pPr>
        <w:spacing w:after="240" w:line="320" w:lineRule="exact"/>
        <w:jc w:val="both"/>
        <w:rPr>
          <w:b/>
        </w:rPr>
      </w:pPr>
      <w:r>
        <w:rPr>
          <w:b/>
        </w:rPr>
        <w:t>TESTEMUNHAS</w:t>
      </w:r>
    </w:p>
    <w:p w:rsidR="00C963BB" w:rsidRDefault="00C963BB">
      <w:pPr>
        <w:spacing w:after="240" w:line="320" w:lineRule="exact"/>
        <w:jc w:val="both"/>
        <w:rPr>
          <w:b/>
          <w:i/>
        </w:rPr>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r>
    </w:tbl>
    <w:p w:rsidR="00C963BB" w:rsidRDefault="00C963BB">
      <w:pPr>
        <w:spacing w:after="240" w:line="320" w:lineRule="exact"/>
        <w:rPr>
          <w:b/>
          <w:color w:val="000000"/>
        </w:rPr>
      </w:pPr>
    </w:p>
    <w:p w:rsidR="00C963BB" w:rsidRDefault="00C759A0">
      <w:pPr>
        <w:spacing w:after="240" w:line="320" w:lineRule="exact"/>
        <w:rPr>
          <w:b/>
          <w:color w:val="000000"/>
        </w:rPr>
      </w:pPr>
      <w:r>
        <w:rPr>
          <w:b/>
          <w:color w:val="000000"/>
        </w:rPr>
        <w:br w:type="page"/>
      </w:r>
    </w:p>
    <w:p w:rsidR="00C963BB" w:rsidRDefault="00C759A0">
      <w:pPr>
        <w:spacing w:after="240" w:line="320" w:lineRule="exact"/>
        <w:jc w:val="center"/>
        <w:rPr>
          <w:b/>
          <w:color w:val="000000"/>
          <w:u w:val="single"/>
        </w:rPr>
      </w:pPr>
      <w:r>
        <w:rPr>
          <w:b/>
          <w:color w:val="000000"/>
          <w:u w:val="single"/>
        </w:rPr>
        <w:lastRenderedPageBreak/>
        <w:t>ANEXO 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ADITAMENTO À ESCRITURA DE EMISSÃO </w:t>
      </w:r>
    </w:p>
    <w:p w:rsidR="006770AD" w:rsidRPr="00930DE8" w:rsidRDefault="006770AD" w:rsidP="006770AD">
      <w:pPr>
        <w:tabs>
          <w:tab w:val="left" w:pos="709"/>
          <w:tab w:val="left" w:pos="1418"/>
        </w:tabs>
        <w:spacing w:after="240" w:line="320" w:lineRule="exact"/>
        <w:jc w:val="both"/>
        <w:rPr>
          <w:b/>
          <w:bCs/>
          <w:caps/>
          <w:color w:val="000000"/>
        </w:rPr>
      </w:pPr>
      <w:r>
        <w:rPr>
          <w:b/>
          <w:bCs/>
          <w:caps/>
          <w:color w:val="000000"/>
        </w:rPr>
        <w:t>SEGUNDO</w:t>
      </w:r>
      <w:r w:rsidRPr="00930DE8">
        <w:rPr>
          <w:b/>
          <w:bCs/>
          <w:caps/>
          <w:color w:val="000000"/>
        </w:rPr>
        <w:t xml:space="preserve"> ADITAMENTO ao INSTRUMENTO PARTICULAR DE ESCRITURA DA 1ª (PRIMEIRA) EMISSÃO DE DEBÊNTURES SIMPLES, NÃO CONVERSÍVEIS EM AÇÕES, DA ESPÉCIE QUIROGRAFÁRIA A SER CONVOLADA EM DEBÊNTURES</w:t>
      </w:r>
      <w:r>
        <w:rPr>
          <w:b/>
          <w:bCs/>
          <w:caps/>
          <w:color w:val="000000"/>
        </w:rPr>
        <w:t xml:space="preserve"> DA ESPÉCIE COM GARANTIA REAL, </w:t>
      </w:r>
      <w:r w:rsidRPr="00930DE8">
        <w:rPr>
          <w:b/>
          <w:bCs/>
          <w:caps/>
          <w:color w:val="000000"/>
        </w:rPr>
        <w:t>COM GARANTIA ADICIONAL FIDEJUSSÓRIA, EM TRÊS SÉRIES</w:t>
      </w:r>
      <w:r>
        <w:rPr>
          <w:b/>
          <w:bCs/>
          <w:caps/>
          <w:color w:val="000000"/>
        </w:rPr>
        <w:t xml:space="preserve">, </w:t>
      </w:r>
      <w:r w:rsidRPr="00930DE8">
        <w:rPr>
          <w:b/>
          <w:bCs/>
          <w:caps/>
          <w:color w:val="000000"/>
        </w:rPr>
        <w:t xml:space="preserve">PARA COLOCAÇÃO PRIVADA, DA </w:t>
      </w:r>
      <w:r w:rsidRPr="00BF4078">
        <w:rPr>
          <w:b/>
          <w:bCs/>
        </w:rPr>
        <w:t>GOIÁS SUL GERAÇÃO DE ENERGIA S.A</w:t>
      </w:r>
      <w:r>
        <w:rPr>
          <w:b/>
          <w:bCs/>
        </w:rPr>
        <w:t>.</w:t>
      </w:r>
    </w:p>
    <w:p w:rsidR="006770AD" w:rsidRPr="006770AD" w:rsidRDefault="006770AD" w:rsidP="006770AD">
      <w:pPr>
        <w:pStyle w:val="Corpodetexto"/>
        <w:spacing w:after="240" w:line="320" w:lineRule="exact"/>
        <w:jc w:val="both"/>
        <w:rPr>
          <w:rFonts w:ascii="Tahoma" w:hAnsi="Tahoma"/>
          <w:color w:val="000000"/>
          <w:sz w:val="22"/>
          <w:lang w:val="pt-BR"/>
        </w:rPr>
      </w:pPr>
      <w:r w:rsidRPr="006770AD">
        <w:rPr>
          <w:rFonts w:ascii="Tahoma" w:hAnsi="Tahoma"/>
          <w:color w:val="000000"/>
          <w:sz w:val="22"/>
          <w:lang w:val="pt-BR"/>
        </w:rPr>
        <w:t>Pelo presente instrumento particular, na qualidade de emissora:</w:t>
      </w:r>
    </w:p>
    <w:p w:rsidR="006770AD" w:rsidRPr="00930DE8" w:rsidRDefault="006770AD" w:rsidP="006770AD">
      <w:pPr>
        <w:spacing w:after="240" w:line="320" w:lineRule="exact"/>
        <w:jc w:val="both"/>
      </w:pPr>
      <w:r w:rsidRPr="00BF4078">
        <w:rPr>
          <w:b/>
          <w:bCs/>
        </w:rPr>
        <w:t>GOIÁS SUL GERAÇÃO DE ENERGIA S.A.</w:t>
      </w:r>
      <w:r>
        <w:rPr>
          <w:bCs/>
        </w:rPr>
        <w:t>, sociedade por ações sem registro de companhia aberta na Comissão de Valores Mobiliários (“</w:t>
      </w:r>
      <w:r>
        <w:rPr>
          <w:bCs/>
          <w:u w:val="single"/>
        </w:rPr>
        <w:t>CVM</w:t>
      </w:r>
      <w:r>
        <w:rPr>
          <w:bCs/>
        </w:rPr>
        <w:t>”), com sede na cidade de São Paulo, Estado de São Paulo, na Rua Leopoldo Couto Magalhães Júnior, nº 758, conjunto 31, Itaim Bibi, CEP 04542-000, inscrita no Cadastro Nacional da Pessoa Jurídica do Ministério da Fazenda (“</w:t>
      </w:r>
      <w:r>
        <w:rPr>
          <w:bCs/>
          <w:u w:val="single"/>
        </w:rPr>
        <w:t>CNPJ/MF</w:t>
      </w:r>
      <w:r>
        <w:rPr>
          <w:bCs/>
        </w:rPr>
        <w:t>”) sob o nº 07.836.421/0001-04 e na Junta Comercial do Estado de São Paulo (“</w:t>
      </w:r>
      <w:r>
        <w:rPr>
          <w:bCs/>
          <w:u w:val="single"/>
        </w:rPr>
        <w:t>JUCESP</w:t>
      </w:r>
      <w:r>
        <w:rPr>
          <w:bCs/>
        </w:rPr>
        <w:t xml:space="preserve">") sob o NIRE nº 35.300.513.282, </w:t>
      </w:r>
      <w:r>
        <w:t>neste ato representada por seu(s) representante(s) legal(is) devidamente autorizado(s) e identificado(s) nas páginas de assinaturas do presente instrumento </w:t>
      </w:r>
      <w:r>
        <w:rPr>
          <w:bCs/>
        </w:rPr>
        <w:t>(“</w:t>
      </w:r>
      <w:r>
        <w:rPr>
          <w:bCs/>
          <w:u w:val="single"/>
        </w:rPr>
        <w:t>Emissora</w:t>
      </w:r>
      <w:r>
        <w:rPr>
          <w:bCs/>
        </w:rPr>
        <w:t>” ou “</w:t>
      </w:r>
      <w:r w:rsidRPr="00246E8E">
        <w:rPr>
          <w:bCs/>
          <w:u w:val="single"/>
        </w:rPr>
        <w:t>Goiás Sul</w:t>
      </w:r>
      <w:r>
        <w:rPr>
          <w:bCs/>
        </w:rPr>
        <w:t>”);</w:t>
      </w:r>
      <w:r w:rsidRPr="00930DE8">
        <w:rPr>
          <w:bCs/>
        </w:rPr>
        <w:t xml:space="preserve"> </w:t>
      </w:r>
    </w:p>
    <w:p w:rsidR="006770AD" w:rsidRPr="00930DE8" w:rsidRDefault="006770AD" w:rsidP="006770AD">
      <w:pPr>
        <w:spacing w:after="240" w:line="320" w:lineRule="exact"/>
        <w:jc w:val="both"/>
      </w:pPr>
      <w:r w:rsidRPr="00930DE8">
        <w:t>na qualidade de agente fiduciário, representando a comunhão d</w:t>
      </w:r>
      <w:r>
        <w:t xml:space="preserve">os titulares das debêntures da </w:t>
      </w:r>
      <w:r w:rsidRPr="00930DE8">
        <w:t>1ª (primeira) emissão de debêntures da Emissora (“</w:t>
      </w:r>
      <w:r w:rsidRPr="005F5DE3">
        <w:rPr>
          <w:u w:val="single"/>
        </w:rPr>
        <w:t>Debenturistas</w:t>
      </w:r>
      <w:r w:rsidRPr="00930DE8">
        <w:t>” e, individualmente, “</w:t>
      </w:r>
      <w:r w:rsidRPr="005F5DE3">
        <w:rPr>
          <w:u w:val="single"/>
        </w:rPr>
        <w:t>Debenturista</w:t>
      </w:r>
      <w:r w:rsidRPr="00930DE8">
        <w:t xml:space="preserve">”), </w:t>
      </w:r>
    </w:p>
    <w:p w:rsidR="006770AD" w:rsidRPr="00930DE8" w:rsidRDefault="006770AD" w:rsidP="006770AD">
      <w:pPr>
        <w:spacing w:after="240" w:line="320" w:lineRule="exact"/>
        <w:jc w:val="both"/>
      </w:pPr>
      <w:r w:rsidRPr="00930DE8">
        <w:rPr>
          <w:b/>
        </w:rPr>
        <w:t>OLIVEIRA TRUST DISTRIBUIDORA DE TÍTULOS E VALORES MOBILIÁRIOS S.A.</w:t>
      </w:r>
      <w:r w:rsidRPr="00930DE8">
        <w:t>, sociedade, por ações com domicílio na Cidade de São Paulo, Estado de São Paulo, na Rua Joaquim Floriano, 1.052, 13º andar, inscrita no CNPJ/MF sob o nº 36.113.876/0004-34, neste ato representada por seu(s) representante(s) legal(is) devidamente autorizado(s) e identificado(s) nas páginas de assinaturas do presente instrumento (“</w:t>
      </w:r>
      <w:r w:rsidRPr="00930DE8">
        <w:rPr>
          <w:u w:val="single"/>
        </w:rPr>
        <w:t>Agente Fiduciário</w:t>
      </w:r>
      <w:r w:rsidRPr="00930DE8">
        <w:t>”, sendo a Emissora e o Agente Fiduciário doravante designados, em conjunto, como “</w:t>
      </w:r>
      <w:r w:rsidRPr="00930DE8">
        <w:rPr>
          <w:u w:val="single"/>
        </w:rPr>
        <w:t>Partes</w:t>
      </w:r>
      <w:r w:rsidRPr="00930DE8">
        <w:t>” e, individual e indistintamente, como “</w:t>
      </w:r>
      <w:r w:rsidRPr="00930DE8">
        <w:rPr>
          <w:u w:val="single"/>
        </w:rPr>
        <w:t>Parte</w:t>
      </w:r>
      <w:r w:rsidRPr="00930DE8">
        <w:t>”);</w:t>
      </w:r>
    </w:p>
    <w:p w:rsidR="006770AD" w:rsidRPr="00930DE8" w:rsidRDefault="006770AD" w:rsidP="006770AD">
      <w:pPr>
        <w:pStyle w:val="BNDES"/>
        <w:spacing w:after="240" w:line="320" w:lineRule="exact"/>
        <w:rPr>
          <w:rFonts w:ascii="Tahoma" w:hAnsi="Tahoma" w:cs="Tahoma"/>
          <w:sz w:val="22"/>
          <w:szCs w:val="22"/>
        </w:rPr>
      </w:pPr>
      <w:r w:rsidRPr="00930DE8">
        <w:rPr>
          <w:rFonts w:ascii="Tahoma" w:hAnsi="Tahoma" w:cs="Tahoma"/>
          <w:sz w:val="22"/>
          <w:szCs w:val="22"/>
        </w:rPr>
        <w:t>e, na qualidade de intervenientes anuentes:</w:t>
      </w:r>
    </w:p>
    <w:p w:rsidR="006770AD" w:rsidRPr="00930DE8" w:rsidRDefault="006770AD" w:rsidP="006770AD">
      <w:pPr>
        <w:pStyle w:val="BNDES"/>
        <w:spacing w:after="240" w:line="320" w:lineRule="exact"/>
        <w:rPr>
          <w:rFonts w:ascii="Tahoma" w:hAnsi="Tahoma" w:cs="Tahoma"/>
          <w:sz w:val="22"/>
          <w:szCs w:val="22"/>
        </w:rPr>
      </w:pPr>
      <w:r w:rsidRPr="00930DE8">
        <w:rPr>
          <w:rFonts w:ascii="Tahoma" w:hAnsi="Tahoma" w:cs="Tahoma"/>
          <w:b/>
          <w:sz w:val="22"/>
          <w:szCs w:val="22"/>
        </w:rPr>
        <w:t>CONTOUR GLOBAL DO BRASIL PARTICIPAÇÕES S.A.</w:t>
      </w:r>
      <w:r w:rsidRPr="00930DE8">
        <w:rPr>
          <w:rFonts w:ascii="Tahoma" w:hAnsi="Tahoma" w:cs="Tahoma"/>
          <w:sz w:val="22"/>
          <w:szCs w:val="22"/>
        </w:rPr>
        <w:t xml:space="preserve">, sociedade por ações sem registro de companhia aberta na CVM, com sede na cidade de São Paulo, Estado de São Paulo, na Rua Leopoldo Couto de Magalhães Jr., nº 758, conjunto 31, parte A, inscrita no CNPJ/MF sob o nº 07.802.794/0001-56 e na JUCESP sob o NIRE nº 35.300.510.771, neste ato representada por </w:t>
      </w:r>
      <w:r w:rsidRPr="00930DE8">
        <w:rPr>
          <w:rFonts w:ascii="Tahoma" w:hAnsi="Tahoma" w:cs="Tahoma"/>
          <w:sz w:val="22"/>
          <w:szCs w:val="22"/>
        </w:rPr>
        <w:lastRenderedPageBreak/>
        <w:t>seu(s) representante(s) legal(is) devidamente autorizado(s) e identificado(s) nas páginas de assinaturas do presente instrumento (“</w:t>
      </w:r>
      <w:r w:rsidRPr="00930DE8">
        <w:rPr>
          <w:rFonts w:ascii="Tahoma" w:hAnsi="Tahoma" w:cs="Tahoma"/>
          <w:sz w:val="22"/>
          <w:szCs w:val="22"/>
          <w:u w:val="single"/>
        </w:rPr>
        <w:t>Contour</w:t>
      </w:r>
      <w:r>
        <w:rPr>
          <w:rFonts w:ascii="Tahoma" w:hAnsi="Tahoma" w:cs="Tahoma"/>
          <w:sz w:val="22"/>
          <w:szCs w:val="22"/>
        </w:rPr>
        <w:t>”);</w:t>
      </w:r>
    </w:p>
    <w:p w:rsidR="006770AD" w:rsidRPr="00930DE8" w:rsidRDefault="006770AD" w:rsidP="006770AD">
      <w:pPr>
        <w:spacing w:after="240" w:line="320" w:lineRule="exact"/>
        <w:jc w:val="both"/>
      </w:pPr>
      <w:r w:rsidRPr="00930DE8">
        <w:rPr>
          <w:b/>
        </w:rPr>
        <w:t>FUNDO DE INVESTIMENTO EM DIREITOS CREDITÓRIOS CONTOUR GLOBAL BRASIL</w:t>
      </w:r>
      <w:r w:rsidRPr="00930DE8">
        <w:t>, fundo de investimento em direitos creditórios, constituído sob a forma de condomínio fechado, inscrito no CNPJ/MF sob o nº 29.505.630/0001-08 (“</w:t>
      </w:r>
      <w:r w:rsidRPr="00930DE8">
        <w:rPr>
          <w:u w:val="single"/>
        </w:rPr>
        <w:t>FIDC</w:t>
      </w:r>
      <w:r w:rsidRPr="00930DE8">
        <w:t>”, sendo a Contour e o FIDC doravante designados, em conjunto, como “</w:t>
      </w:r>
      <w:r w:rsidRPr="00930DE8">
        <w:rPr>
          <w:u w:val="single"/>
        </w:rPr>
        <w:t>Intervenientes Anuentes</w:t>
      </w:r>
      <w:r w:rsidRPr="00930DE8">
        <w:t>” e, individual e indistintamente, como “</w:t>
      </w:r>
      <w:r w:rsidRPr="00930DE8">
        <w:rPr>
          <w:u w:val="single"/>
        </w:rPr>
        <w:t>Interveniente Anuente</w:t>
      </w:r>
      <w:r w:rsidRPr="00930DE8">
        <w:t>”), devidamente registrado perante a CVM nos termos da Instrução CVM n.º 356, de 17 de dezembro de 2001, conforme alterada (“</w:t>
      </w:r>
      <w:r w:rsidRPr="00930DE8">
        <w:rPr>
          <w:u w:val="single"/>
        </w:rPr>
        <w:t>Instrução CVM 356</w:t>
      </w:r>
      <w:r w:rsidRPr="00930DE8">
        <w:t>”), e regido pelo regulamento datado de [•] de [•] de 2018, registrado sob n.º [•] perante o 2º Ofício de Registro de Títulos e Documentos da cidade do Rio de Janeiro, Estado do Rio de Janeiro, conforme alterado (“</w:t>
      </w:r>
      <w:r w:rsidRPr="00930DE8">
        <w:rPr>
          <w:u w:val="single"/>
        </w:rPr>
        <w:t>Regulamento</w:t>
      </w:r>
      <w:r w:rsidRPr="00930DE8">
        <w:t xml:space="preserve">”), neste ato devidamente representado por seu administrador, </w:t>
      </w:r>
      <w:r w:rsidRPr="00930DE8">
        <w:rPr>
          <w:b/>
        </w:rPr>
        <w:t>OLIVEIRA TRUST DISTRIBUIDORA DE TÍTULOS E VALORES MOBILIÁRIOS S.A.</w:t>
      </w:r>
      <w:r w:rsidRPr="00930DE8">
        <w:t>, instituição financeira com sede na cidade do Rio de Janeiro, no Estado do Rio de Janeiro, na Avenida das Américas, n.º 3.434, 2º andar, bloco 07, sala 201, inscrita no CNPJ/MF sob o nº 36.113.876/0001-91, instituição financeira devidamente autorizada pela CVM para o exercício profissional de administração de carteira de valores mobiliários por meio do Ato Declaratório CVM n.º 6.696, de 21 de fevereiro de 2002, neste ato representado na forma de seu estatuto social;</w:t>
      </w:r>
    </w:p>
    <w:p w:rsidR="006770AD" w:rsidRPr="00930DE8" w:rsidRDefault="006770AD" w:rsidP="006770AD">
      <w:pPr>
        <w:tabs>
          <w:tab w:val="left" w:pos="709"/>
          <w:tab w:val="left" w:pos="1134"/>
          <w:tab w:val="left" w:pos="1418"/>
        </w:tabs>
        <w:spacing w:after="240" w:line="320" w:lineRule="exact"/>
        <w:rPr>
          <w:rFonts w:eastAsia="Batang"/>
        </w:rPr>
      </w:pPr>
      <w:r w:rsidRPr="00930DE8">
        <w:rPr>
          <w:rFonts w:eastAsia="Batang"/>
          <w:b/>
        </w:rPr>
        <w:t>CONSIDERANDO QUE</w:t>
      </w:r>
      <w:r w:rsidRPr="00930DE8">
        <w:rPr>
          <w:rFonts w:eastAsia="Batang"/>
        </w:rPr>
        <w:t>:</w:t>
      </w:r>
    </w:p>
    <w:p w:rsidR="006770AD" w:rsidRPr="00930DE8" w:rsidRDefault="006770AD" w:rsidP="006770AD">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 xml:space="preserve">as Partes celebraram, em </w:t>
      </w:r>
      <w:r>
        <w:rPr>
          <w:rFonts w:ascii="Tahoma" w:hAnsi="Tahoma"/>
          <w:sz w:val="22"/>
        </w:rPr>
        <w:t xml:space="preserve">01 </w:t>
      </w:r>
      <w:r w:rsidRPr="00930DE8">
        <w:rPr>
          <w:rFonts w:ascii="Tahoma" w:hAnsi="Tahoma"/>
          <w:sz w:val="22"/>
        </w:rPr>
        <w:t xml:space="preserve">de </w:t>
      </w:r>
      <w:r>
        <w:rPr>
          <w:rFonts w:ascii="Tahoma" w:hAnsi="Tahoma"/>
          <w:sz w:val="22"/>
        </w:rPr>
        <w:t xml:space="preserve">agosto </w:t>
      </w:r>
      <w:r w:rsidRPr="00930DE8">
        <w:rPr>
          <w:rFonts w:ascii="Tahoma" w:hAnsi="Tahoma"/>
          <w:sz w:val="22"/>
        </w:rPr>
        <w:t>de 2018, o “Instrumento Particular de Escritura da 1ª (Primeira)</w:t>
      </w:r>
      <w:r>
        <w:rPr>
          <w:rFonts w:ascii="Tahoma" w:hAnsi="Tahoma"/>
          <w:sz w:val="22"/>
        </w:rPr>
        <w:t xml:space="preserve"> </w:t>
      </w:r>
      <w:r w:rsidRPr="00930DE8">
        <w:rPr>
          <w:rFonts w:ascii="Tahoma" w:hAnsi="Tahoma"/>
          <w:sz w:val="22"/>
        </w:rPr>
        <w:t>Emissão de Debêntures Simples, Não Conversíveis em Ações, da Espécie Quirografária a Ser Convolada em Debêntures</w:t>
      </w:r>
      <w:r>
        <w:rPr>
          <w:rFonts w:ascii="Tahoma" w:hAnsi="Tahoma"/>
          <w:sz w:val="22"/>
        </w:rPr>
        <w:t xml:space="preserve"> da Espécie com Garantia Real, </w:t>
      </w:r>
      <w:r w:rsidRPr="00930DE8">
        <w:rPr>
          <w:rFonts w:ascii="Tahoma" w:hAnsi="Tahoma"/>
          <w:sz w:val="22"/>
        </w:rPr>
        <w:t>Com Garantia Adicional Fidejussória, em Três Séries, para Colocação Privada, da</w:t>
      </w:r>
      <w:r>
        <w:rPr>
          <w:rFonts w:ascii="Tahoma" w:hAnsi="Tahoma"/>
          <w:sz w:val="22"/>
        </w:rPr>
        <w:t xml:space="preserve"> </w:t>
      </w:r>
      <w:r w:rsidRPr="006770AD">
        <w:rPr>
          <w:rFonts w:ascii="Tahoma" w:hAnsi="Tahoma"/>
          <w:bCs/>
          <w:sz w:val="22"/>
        </w:rPr>
        <w:t>Goiás Sul Geração de Energia</w:t>
      </w:r>
      <w:r w:rsidRPr="006770AD">
        <w:rPr>
          <w:rFonts w:ascii="Tahoma" w:hAnsi="Tahoma"/>
          <w:b/>
          <w:bCs/>
          <w:sz w:val="22"/>
        </w:rPr>
        <w:t xml:space="preserve"> </w:t>
      </w:r>
      <w:r w:rsidRPr="006770AD">
        <w:rPr>
          <w:rFonts w:ascii="Tahoma" w:hAnsi="Tahoma"/>
          <w:bCs/>
          <w:sz w:val="22"/>
        </w:rPr>
        <w:t>S.A.</w:t>
      </w:r>
      <w:r w:rsidRPr="00930DE8">
        <w:rPr>
          <w:rFonts w:ascii="Tahoma" w:hAnsi="Tahoma"/>
          <w:sz w:val="22"/>
        </w:rPr>
        <w:t>”</w:t>
      </w:r>
      <w:r>
        <w:rPr>
          <w:rFonts w:ascii="Tahoma" w:hAnsi="Tahoma"/>
          <w:sz w:val="22"/>
        </w:rPr>
        <w:t>, conforme aditada,</w:t>
      </w:r>
      <w:r w:rsidRPr="008C0B89">
        <w:rPr>
          <w:rFonts w:ascii="Tahoma" w:hAnsi="Tahoma"/>
          <w:sz w:val="22"/>
        </w:rPr>
        <w:t xml:space="preserve"> </w:t>
      </w:r>
      <w:r w:rsidRPr="004E4EDC">
        <w:rPr>
          <w:rFonts w:ascii="Tahoma" w:hAnsi="Tahoma"/>
          <w:sz w:val="22"/>
        </w:rPr>
        <w:t>a qual foi inscrita perante a JUCE</w:t>
      </w:r>
      <w:r>
        <w:rPr>
          <w:rFonts w:ascii="Tahoma" w:hAnsi="Tahoma"/>
          <w:sz w:val="22"/>
        </w:rPr>
        <w:t>SP</w:t>
      </w:r>
      <w:r w:rsidRPr="004E4EDC">
        <w:rPr>
          <w:rFonts w:ascii="Tahoma" w:hAnsi="Tahoma"/>
          <w:sz w:val="22"/>
        </w:rPr>
        <w:t xml:space="preserve"> em </w:t>
      </w:r>
      <w:r w:rsidRPr="00930DE8">
        <w:rPr>
          <w:rFonts w:ascii="Tahoma" w:hAnsi="Tahoma"/>
          <w:sz w:val="22"/>
        </w:rPr>
        <w:t>[●]</w:t>
      </w:r>
      <w:r>
        <w:rPr>
          <w:rFonts w:ascii="Tahoma" w:hAnsi="Tahoma"/>
          <w:sz w:val="22"/>
        </w:rPr>
        <w:t xml:space="preserve"> </w:t>
      </w:r>
      <w:r w:rsidRPr="004E4EDC">
        <w:rPr>
          <w:rFonts w:ascii="Tahoma" w:hAnsi="Tahoma"/>
          <w:sz w:val="22"/>
        </w:rPr>
        <w:t xml:space="preserve">de </w:t>
      </w:r>
      <w:r w:rsidRPr="00930DE8">
        <w:rPr>
          <w:rFonts w:ascii="Tahoma" w:hAnsi="Tahoma"/>
          <w:sz w:val="22"/>
        </w:rPr>
        <w:t>[●]</w:t>
      </w:r>
      <w:r>
        <w:rPr>
          <w:rFonts w:ascii="Tahoma" w:hAnsi="Tahoma"/>
          <w:sz w:val="22"/>
        </w:rPr>
        <w:t xml:space="preserve"> </w:t>
      </w:r>
      <w:r w:rsidRPr="004E4EDC">
        <w:rPr>
          <w:rFonts w:ascii="Tahoma" w:hAnsi="Tahoma"/>
          <w:sz w:val="22"/>
        </w:rPr>
        <w:t>de 2018, sob o nº </w:t>
      </w:r>
      <w:r w:rsidRPr="00930DE8">
        <w:rPr>
          <w:rFonts w:ascii="Tahoma" w:hAnsi="Tahoma"/>
          <w:sz w:val="22"/>
        </w:rPr>
        <w:t>[●]</w:t>
      </w:r>
      <w:r>
        <w:rPr>
          <w:rFonts w:ascii="Tahoma" w:hAnsi="Tahoma"/>
          <w:sz w:val="22"/>
        </w:rPr>
        <w:t xml:space="preserve"> </w:t>
      </w:r>
      <w:r w:rsidRPr="00930DE8">
        <w:rPr>
          <w:rFonts w:ascii="Tahoma" w:hAnsi="Tahoma"/>
          <w:sz w:val="22"/>
        </w:rPr>
        <w:t>(“</w:t>
      </w:r>
      <w:r w:rsidRPr="00930DE8">
        <w:rPr>
          <w:rFonts w:ascii="Tahoma" w:hAnsi="Tahoma"/>
          <w:sz w:val="22"/>
          <w:u w:val="single"/>
        </w:rPr>
        <w:t>Escritura de Emissão</w:t>
      </w:r>
      <w:r w:rsidRPr="00930DE8">
        <w:rPr>
          <w:rFonts w:ascii="Tahoma" w:hAnsi="Tahoma"/>
          <w:sz w:val="22"/>
        </w:rPr>
        <w:t xml:space="preserve">”), estabelecendo </w:t>
      </w:r>
      <w:r>
        <w:rPr>
          <w:rFonts w:ascii="Tahoma" w:hAnsi="Tahoma"/>
          <w:sz w:val="22"/>
        </w:rPr>
        <w:t xml:space="preserve">os termos e condições da </w:t>
      </w:r>
      <w:r w:rsidRPr="00930DE8">
        <w:rPr>
          <w:rFonts w:ascii="Tahoma" w:hAnsi="Tahoma"/>
          <w:sz w:val="22"/>
        </w:rPr>
        <w:t xml:space="preserve">emissão de debêntures simples, não conversíveis em ações, da espécie quirografária, a ser convolada em espécie com garantia real, com garantia adicional fidejussória, em </w:t>
      </w:r>
      <w:r>
        <w:rPr>
          <w:rFonts w:ascii="Tahoma" w:hAnsi="Tahoma"/>
          <w:sz w:val="22"/>
        </w:rPr>
        <w:t xml:space="preserve">até </w:t>
      </w:r>
      <w:r w:rsidRPr="00930DE8">
        <w:rPr>
          <w:rFonts w:ascii="Tahoma" w:hAnsi="Tahoma"/>
          <w:sz w:val="22"/>
        </w:rPr>
        <w:t>3 (três) séries</w:t>
      </w:r>
      <w:r>
        <w:rPr>
          <w:rFonts w:ascii="Tahoma" w:hAnsi="Tahoma"/>
          <w:sz w:val="22"/>
        </w:rPr>
        <w:t xml:space="preserve">, </w:t>
      </w:r>
      <w:r w:rsidRPr="00930DE8">
        <w:rPr>
          <w:rFonts w:ascii="Tahoma" w:hAnsi="Tahoma"/>
          <w:sz w:val="22"/>
        </w:rPr>
        <w:t xml:space="preserve">para </w:t>
      </w:r>
      <w:r w:rsidR="00C27055">
        <w:rPr>
          <w:rFonts w:ascii="Tahoma" w:hAnsi="Tahoma"/>
          <w:sz w:val="22"/>
        </w:rPr>
        <w:t>colocação</w:t>
      </w:r>
      <w:r w:rsidRPr="00930DE8">
        <w:rPr>
          <w:rFonts w:ascii="Tahoma" w:hAnsi="Tahoma"/>
          <w:sz w:val="22"/>
        </w:rPr>
        <w:t xml:space="preserve"> privada, da 1ª (primeira)</w:t>
      </w:r>
      <w:r>
        <w:rPr>
          <w:rFonts w:ascii="Tahoma" w:hAnsi="Tahoma"/>
          <w:sz w:val="22"/>
        </w:rPr>
        <w:t xml:space="preserve"> </w:t>
      </w:r>
      <w:r w:rsidRPr="00930DE8">
        <w:rPr>
          <w:rFonts w:ascii="Tahoma" w:hAnsi="Tahoma"/>
          <w:sz w:val="22"/>
        </w:rPr>
        <w:t>emissão da Emissora</w:t>
      </w:r>
      <w:r>
        <w:rPr>
          <w:rFonts w:ascii="Tahoma" w:hAnsi="Tahoma"/>
          <w:sz w:val="22"/>
        </w:rPr>
        <w:t>,</w:t>
      </w:r>
      <w:r w:rsidRPr="00930DE8">
        <w:rPr>
          <w:rFonts w:ascii="Tahoma" w:hAnsi="Tahoma"/>
          <w:sz w:val="22"/>
        </w:rPr>
        <w:t xml:space="preserve"> conforme aprovado pelos acionistas da Emissora </w:t>
      </w:r>
      <w:r>
        <w:rPr>
          <w:rFonts w:ascii="Tahoma" w:hAnsi="Tahoma"/>
          <w:sz w:val="22"/>
        </w:rPr>
        <w:t xml:space="preserve">por meio da </w:t>
      </w:r>
      <w:r w:rsidRPr="008C0B89">
        <w:rPr>
          <w:rFonts w:ascii="Tahoma" w:hAnsi="Tahoma"/>
          <w:sz w:val="22"/>
        </w:rPr>
        <w:t>AGE da Emissora</w:t>
      </w:r>
      <w:r>
        <w:rPr>
          <w:rFonts w:ascii="Tahoma" w:hAnsi="Tahoma"/>
          <w:sz w:val="22"/>
        </w:rPr>
        <w:t xml:space="preserve"> (conforme definido abaixo)</w:t>
      </w:r>
      <w:r w:rsidRPr="00930DE8">
        <w:rPr>
          <w:rFonts w:ascii="Tahoma" w:hAnsi="Tahoma"/>
          <w:sz w:val="22"/>
        </w:rPr>
        <w:t>;</w:t>
      </w:r>
    </w:p>
    <w:p w:rsidR="006770AD" w:rsidRPr="00ED45C1" w:rsidRDefault="006770AD" w:rsidP="006770AD">
      <w:pPr>
        <w:pStyle w:val="PargrafodaLista"/>
        <w:numPr>
          <w:ilvl w:val="0"/>
          <w:numId w:val="409"/>
        </w:numPr>
        <w:tabs>
          <w:tab w:val="left" w:pos="1134"/>
        </w:tabs>
        <w:spacing w:after="240" w:line="320" w:lineRule="exact"/>
        <w:ind w:left="1134" w:hanging="1134"/>
        <w:rPr>
          <w:rFonts w:ascii="Tahoma" w:hAnsi="Tahoma"/>
          <w:sz w:val="22"/>
          <w:u w:val="single"/>
        </w:rPr>
      </w:pPr>
      <w:r>
        <w:rPr>
          <w:rFonts w:ascii="Tahoma" w:hAnsi="Tahoma"/>
          <w:sz w:val="22"/>
        </w:rPr>
        <w:t xml:space="preserve">a Escritura foi objeto de aditamento para formalizar o cancelamento da integralidade da [segunda/terceira] </w:t>
      </w:r>
      <w:r w:rsidR="00C27055">
        <w:rPr>
          <w:rFonts w:ascii="Tahoma" w:hAnsi="Tahoma"/>
          <w:sz w:val="22"/>
        </w:rPr>
        <w:t xml:space="preserve">série </w:t>
      </w:r>
      <w:r>
        <w:rPr>
          <w:rFonts w:ascii="Tahoma" w:hAnsi="Tahoma"/>
          <w:sz w:val="22"/>
        </w:rPr>
        <w:t>de Debêntures (conforme abaixo definido) em [●];</w:t>
      </w:r>
    </w:p>
    <w:p w:rsidR="006770AD" w:rsidRPr="00996C63" w:rsidRDefault="006770AD" w:rsidP="006770AD">
      <w:pPr>
        <w:pStyle w:val="PargrafodaLista"/>
        <w:numPr>
          <w:ilvl w:val="0"/>
          <w:numId w:val="409"/>
        </w:numPr>
        <w:tabs>
          <w:tab w:val="left" w:pos="1134"/>
        </w:tabs>
        <w:spacing w:after="240" w:line="320" w:lineRule="exact"/>
        <w:ind w:left="1134" w:hanging="1134"/>
        <w:rPr>
          <w:rFonts w:ascii="Tahoma" w:hAnsi="Tahoma"/>
          <w:sz w:val="22"/>
          <w:u w:val="single"/>
        </w:rPr>
      </w:pPr>
      <w:r w:rsidRPr="00930DE8">
        <w:rPr>
          <w:rFonts w:ascii="Tahoma" w:hAnsi="Tahoma"/>
          <w:sz w:val="22"/>
        </w:rPr>
        <w:t>conforme previsto n</w:t>
      </w:r>
      <w:r>
        <w:rPr>
          <w:rFonts w:ascii="Tahoma" w:hAnsi="Tahoma"/>
          <w:sz w:val="22"/>
        </w:rPr>
        <w:t xml:space="preserve">os itens </w:t>
      </w:r>
      <w:r w:rsidRPr="00930DE8">
        <w:rPr>
          <w:rFonts w:ascii="Tahoma" w:hAnsi="Tahoma"/>
          <w:sz w:val="22"/>
        </w:rPr>
        <w:t>5.9 e 6.21.3 da Escritura de Emissão, uma vez verificada</w:t>
      </w:r>
      <w:r>
        <w:rPr>
          <w:rFonts w:ascii="Tahoma" w:hAnsi="Tahoma"/>
          <w:sz w:val="22"/>
        </w:rPr>
        <w:t xml:space="preserve"> pelo Agente Fiduciário</w:t>
      </w:r>
      <w:r w:rsidRPr="00930DE8">
        <w:rPr>
          <w:rFonts w:ascii="Tahoma" w:hAnsi="Tahoma"/>
          <w:sz w:val="22"/>
        </w:rPr>
        <w:t xml:space="preserve"> a constituição das Garantias Reais (conforme definido na </w:t>
      </w:r>
      <w:r w:rsidRPr="00930DE8">
        <w:rPr>
          <w:rFonts w:ascii="Tahoma" w:hAnsi="Tahoma"/>
          <w:sz w:val="22"/>
        </w:rPr>
        <w:lastRenderedPageBreak/>
        <w:t xml:space="preserve">Escritura de Emissão) e da Fiança (conforme definido na Escritura de Emissão), as Debêntures </w:t>
      </w:r>
      <w:r>
        <w:rPr>
          <w:rFonts w:ascii="Tahoma" w:hAnsi="Tahoma"/>
          <w:sz w:val="22"/>
        </w:rPr>
        <w:t xml:space="preserve">serão convoladas de debêntures da </w:t>
      </w:r>
      <w:r w:rsidRPr="00930DE8">
        <w:rPr>
          <w:rFonts w:ascii="Tahoma" w:hAnsi="Tahoma"/>
          <w:sz w:val="22"/>
        </w:rPr>
        <w:t xml:space="preserve">espécie quirografária </w:t>
      </w:r>
      <w:r>
        <w:rPr>
          <w:rFonts w:ascii="Tahoma" w:hAnsi="Tahoma"/>
          <w:sz w:val="22"/>
        </w:rPr>
        <w:t xml:space="preserve">para debêntures da </w:t>
      </w:r>
      <w:r w:rsidRPr="00930DE8">
        <w:rPr>
          <w:rFonts w:ascii="Tahoma" w:hAnsi="Tahoma"/>
          <w:sz w:val="22"/>
        </w:rPr>
        <w:t xml:space="preserve">espécie com garantia real, com garantia adicional fidejussória, </w:t>
      </w:r>
      <w:r>
        <w:rPr>
          <w:rFonts w:ascii="Tahoma" w:hAnsi="Tahoma"/>
          <w:sz w:val="22"/>
        </w:rPr>
        <w:t>devendo a</w:t>
      </w:r>
      <w:r w:rsidRPr="00996C63">
        <w:rPr>
          <w:rFonts w:ascii="Tahoma" w:hAnsi="Tahoma"/>
          <w:sz w:val="22"/>
        </w:rPr>
        <w:t xml:space="preserve"> Emissora, a Contour, o Agente Fiduciário e o FIDC autorizados e obrigados a celebrar aditamento </w:t>
      </w:r>
      <w:r>
        <w:rPr>
          <w:rFonts w:ascii="Tahoma" w:hAnsi="Tahoma"/>
          <w:sz w:val="22"/>
        </w:rPr>
        <w:t xml:space="preserve">à </w:t>
      </w:r>
      <w:r w:rsidRPr="00996C63">
        <w:rPr>
          <w:rFonts w:ascii="Tahoma" w:hAnsi="Tahoma"/>
          <w:sz w:val="22"/>
        </w:rPr>
        <w:t>Escritura</w:t>
      </w:r>
      <w:r>
        <w:rPr>
          <w:rFonts w:ascii="Tahoma" w:hAnsi="Tahoma"/>
          <w:sz w:val="22"/>
        </w:rPr>
        <w:t xml:space="preserve"> de Emissão</w:t>
      </w:r>
      <w:r w:rsidRPr="00996C63">
        <w:rPr>
          <w:rFonts w:ascii="Tahoma" w:hAnsi="Tahoma"/>
          <w:sz w:val="22"/>
        </w:rPr>
        <w:t xml:space="preserve"> para refletir a espécie das Debêntures</w:t>
      </w:r>
      <w:r>
        <w:rPr>
          <w:rFonts w:ascii="Tahoma" w:hAnsi="Tahoma"/>
          <w:sz w:val="22"/>
        </w:rPr>
        <w:t>,</w:t>
      </w:r>
      <w:r w:rsidRPr="00996C63">
        <w:rPr>
          <w:rFonts w:ascii="Tahoma" w:hAnsi="Tahoma"/>
          <w:sz w:val="22"/>
        </w:rPr>
        <w:t xml:space="preserve"> bem como a outorga da Fiança, sem necessidade de realização de Assembleia Geral de Debenturistas e/ou qualquer outro ato societário da Emissora ou da Contour e/ou qualquer aprovação dos cotistas do FIDC</w:t>
      </w:r>
      <w:r>
        <w:rPr>
          <w:rFonts w:ascii="Tahoma" w:hAnsi="Tahoma"/>
          <w:sz w:val="22"/>
        </w:rPr>
        <w:t>;</w:t>
      </w:r>
    </w:p>
    <w:p w:rsidR="006770AD" w:rsidRPr="00930DE8" w:rsidRDefault="006770AD" w:rsidP="006770AD">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as Partes, em conjunto, decidiram alterar determinados termos e condições da Escritura de Emissão para refletir a alteração da espécie das Debêntures</w:t>
      </w:r>
      <w:r>
        <w:rPr>
          <w:rFonts w:ascii="Tahoma" w:hAnsi="Tahoma"/>
          <w:sz w:val="22"/>
        </w:rPr>
        <w:t>, bem como a constituição das Garantias Reais e da Fiança</w:t>
      </w:r>
      <w:r w:rsidRPr="00930DE8">
        <w:rPr>
          <w:rFonts w:ascii="Tahoma" w:hAnsi="Tahoma"/>
          <w:sz w:val="22"/>
        </w:rPr>
        <w:t>, nos termos aqui dispostos</w:t>
      </w:r>
      <w:r>
        <w:rPr>
          <w:rFonts w:ascii="Tahoma" w:hAnsi="Tahoma"/>
          <w:sz w:val="22"/>
        </w:rPr>
        <w:t>.</w:t>
      </w:r>
    </w:p>
    <w:p w:rsidR="006770AD" w:rsidRDefault="006770AD" w:rsidP="006770AD">
      <w:pPr>
        <w:spacing w:after="240" w:line="320" w:lineRule="exact"/>
        <w:jc w:val="both"/>
        <w:rPr>
          <w:color w:val="000000"/>
        </w:rPr>
      </w:pPr>
      <w:r w:rsidRPr="00930DE8">
        <w:t>vêm por esta e na melhor forma de direito, aditar e consolidar a Escritura de Emissão por meio do presente “</w:t>
      </w:r>
      <w:r>
        <w:t>Segundo</w:t>
      </w:r>
      <w:r w:rsidRPr="00930DE8">
        <w:t xml:space="preserve"> Aditamento ao Instrumento Particular de Escritura da 1ª (primeira) Emissão de Debêntures Simples, Não Conversíveis em Ações, da Espécie Quirografária a ser Convolada em Debêntures</w:t>
      </w:r>
      <w:r>
        <w:t xml:space="preserve"> da Espécie com Garantia Real, </w:t>
      </w:r>
      <w:r w:rsidRPr="00930DE8">
        <w:t xml:space="preserve">com Garantia Adicional Fidejussória, em Três Séries, para Colocação Privada, da </w:t>
      </w:r>
      <w:r w:rsidRPr="006770AD">
        <w:rPr>
          <w:bCs/>
        </w:rPr>
        <w:t>Goiás Sul Geração de Energia</w:t>
      </w:r>
      <w:r w:rsidRPr="006770AD">
        <w:rPr>
          <w:b/>
          <w:bCs/>
        </w:rPr>
        <w:t xml:space="preserve"> </w:t>
      </w:r>
      <w:r w:rsidRPr="006770AD">
        <w:rPr>
          <w:bCs/>
        </w:rPr>
        <w:t>S.A.</w:t>
      </w:r>
      <w:r w:rsidRPr="00930DE8">
        <w:t>” (“</w:t>
      </w:r>
      <w:r w:rsidRPr="00930DE8">
        <w:rPr>
          <w:u w:val="single"/>
        </w:rPr>
        <w:t>Aditamento</w:t>
      </w:r>
      <w:r w:rsidRPr="00930DE8">
        <w:t xml:space="preserve">”), </w:t>
      </w:r>
      <w:r w:rsidRPr="00930DE8">
        <w:rPr>
          <w:color w:val="000000"/>
        </w:rPr>
        <w:t>mediante as cláusulas e condições a seguir.</w:t>
      </w:r>
    </w:p>
    <w:p w:rsidR="006770AD"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PRIMEIRA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w:t>
      </w:r>
      <w:r>
        <w:rPr>
          <w:rFonts w:ascii="Tahoma" w:eastAsia="Batang" w:hAnsi="Tahoma"/>
          <w:b/>
          <w:sz w:val="22"/>
        </w:rPr>
        <w:t xml:space="preserve">UTORIZAÇÕES </w:t>
      </w:r>
    </w:p>
    <w:p w:rsidR="006770AD" w:rsidRPr="008C0B89" w:rsidRDefault="006770AD" w:rsidP="006770AD">
      <w:pPr>
        <w:pStyle w:val="PargrafodaLista"/>
        <w:numPr>
          <w:ilvl w:val="1"/>
          <w:numId w:val="410"/>
        </w:numPr>
        <w:tabs>
          <w:tab w:val="left" w:pos="1134"/>
        </w:tabs>
        <w:spacing w:after="240" w:line="320" w:lineRule="exact"/>
        <w:ind w:left="0" w:firstLine="0"/>
        <w:rPr>
          <w:rFonts w:ascii="Tahoma" w:eastAsia="Batang" w:hAnsi="Tahoma"/>
          <w:sz w:val="22"/>
        </w:rPr>
      </w:pPr>
      <w:r>
        <w:rPr>
          <w:rFonts w:ascii="Tahoma" w:eastAsia="Batang" w:hAnsi="Tahoma"/>
          <w:sz w:val="22"/>
        </w:rPr>
        <w:t>A celebração do</w:t>
      </w:r>
      <w:r w:rsidRPr="008C0B89">
        <w:rPr>
          <w:rFonts w:ascii="Tahoma" w:eastAsia="Batang" w:hAnsi="Tahoma"/>
          <w:sz w:val="22"/>
        </w:rPr>
        <w:t xml:space="preserve"> presente Aditamento </w:t>
      </w:r>
      <w:r>
        <w:rPr>
          <w:rFonts w:ascii="Tahoma" w:eastAsia="Batang" w:hAnsi="Tahoma"/>
          <w:sz w:val="22"/>
        </w:rPr>
        <w:t>pela</w:t>
      </w:r>
      <w:r w:rsidRPr="00996C63">
        <w:rPr>
          <w:rFonts w:ascii="Tahoma" w:eastAsia="Batang" w:hAnsi="Tahoma"/>
          <w:sz w:val="22"/>
        </w:rPr>
        <w:t xml:space="preserve"> Emissora, </w:t>
      </w:r>
      <w:r>
        <w:rPr>
          <w:rFonts w:ascii="Tahoma" w:eastAsia="Batang" w:hAnsi="Tahoma"/>
          <w:sz w:val="22"/>
        </w:rPr>
        <w:t>pela</w:t>
      </w:r>
      <w:r w:rsidRPr="00996C63">
        <w:rPr>
          <w:rFonts w:ascii="Tahoma" w:eastAsia="Batang" w:hAnsi="Tahoma"/>
          <w:sz w:val="22"/>
        </w:rPr>
        <w:t xml:space="preserve"> Contour, </w:t>
      </w:r>
      <w:r>
        <w:rPr>
          <w:rFonts w:ascii="Tahoma" w:eastAsia="Batang" w:hAnsi="Tahoma"/>
          <w:sz w:val="22"/>
        </w:rPr>
        <w:t>pel</w:t>
      </w:r>
      <w:r w:rsidRPr="00996C63">
        <w:rPr>
          <w:rFonts w:ascii="Tahoma" w:eastAsia="Batang" w:hAnsi="Tahoma"/>
          <w:sz w:val="22"/>
        </w:rPr>
        <w:t xml:space="preserve">o Agente Fiduciário e </w:t>
      </w:r>
      <w:r>
        <w:rPr>
          <w:rFonts w:ascii="Tahoma" w:eastAsia="Batang" w:hAnsi="Tahoma"/>
          <w:sz w:val="22"/>
        </w:rPr>
        <w:t>pel</w:t>
      </w:r>
      <w:r w:rsidRPr="00996C63">
        <w:rPr>
          <w:rFonts w:ascii="Tahoma" w:eastAsia="Batang" w:hAnsi="Tahoma"/>
          <w:sz w:val="22"/>
        </w:rPr>
        <w:t xml:space="preserve">o FIDC </w:t>
      </w:r>
      <w:r>
        <w:rPr>
          <w:rFonts w:ascii="Tahoma" w:eastAsia="Batang" w:hAnsi="Tahoma"/>
          <w:sz w:val="22"/>
        </w:rPr>
        <w:t xml:space="preserve">está autorizado de acordo com o previsto no item 5.9 da Escritura de Emissão e de </w:t>
      </w:r>
      <w:r w:rsidRPr="008C0B89">
        <w:rPr>
          <w:rFonts w:ascii="Tahoma" w:eastAsia="Batang" w:hAnsi="Tahoma"/>
          <w:sz w:val="22"/>
        </w:rPr>
        <w:t xml:space="preserve">acordo com as aprovações descritas abaixo: </w:t>
      </w:r>
    </w:p>
    <w:p w:rsidR="006770AD" w:rsidRPr="008C0B89" w:rsidRDefault="006770AD" w:rsidP="006770AD">
      <w:pPr>
        <w:pStyle w:val="Level4"/>
        <w:numPr>
          <w:ilvl w:val="3"/>
          <w:numId w:val="411"/>
        </w:numPr>
        <w:spacing w:after="240" w:line="320" w:lineRule="exact"/>
        <w:ind w:left="1134" w:hanging="1134"/>
      </w:pPr>
      <w:r w:rsidRPr="008C0B89">
        <w:t xml:space="preserve">Assembleia Geral Extraordinária de acionistas da Emissora realizada em </w:t>
      </w:r>
      <w:r w:rsidR="00613013">
        <w:t xml:space="preserve">01 </w:t>
      </w:r>
      <w:r w:rsidRPr="008C0B89">
        <w:t xml:space="preserve">de </w:t>
      </w:r>
      <w:r w:rsidR="00613013">
        <w:t xml:space="preserve">agosto </w:t>
      </w:r>
      <w:r w:rsidRPr="008C0B89">
        <w:t>de 2018 (“</w:t>
      </w:r>
      <w:r w:rsidRPr="008C0B89">
        <w:rPr>
          <w:u w:val="single"/>
        </w:rPr>
        <w:t>AGE da Emissora</w:t>
      </w:r>
      <w:r w:rsidRPr="008C0B89">
        <w:t xml:space="preserve">”), na qual foram aprovadas, dentre outras matérias, </w:t>
      </w:r>
      <w:r w:rsidRPr="008C0B89">
        <w:rPr>
          <w:b/>
        </w:rPr>
        <w:t>(a)</w:t>
      </w:r>
      <w:r w:rsidRPr="008C0B89">
        <w:t> os termos e condições da 1ª (primeira) emissão de debêntures simples, não conversíveis em ações, da espécie quirografária, a ser convolada em debêntures da espécie com garantia real, com garantia adicional fidejussória, em três séries, da Emissora (“</w:t>
      </w:r>
      <w:r w:rsidRPr="008C0B89">
        <w:rPr>
          <w:u w:val="single"/>
        </w:rPr>
        <w:t>Debêntures</w:t>
      </w:r>
      <w:r w:rsidRPr="008C0B89">
        <w:t>” e “</w:t>
      </w:r>
      <w:r w:rsidRPr="008C0B89">
        <w:rPr>
          <w:u w:val="single"/>
        </w:rPr>
        <w:t>Emissão</w:t>
      </w:r>
      <w:r w:rsidRPr="008C0B89">
        <w:t>”, respectivamente), conforme o disposto no artigo 59 da Lei nº 6.404, de 15 de dezembro de 1976, conforme alterada (“</w:t>
      </w:r>
      <w:r w:rsidRPr="008C0B89">
        <w:rPr>
          <w:u w:val="single"/>
        </w:rPr>
        <w:t>Lei das Sociedades por Ações</w:t>
      </w:r>
      <w:r w:rsidRPr="008C0B89">
        <w:t xml:space="preserve">”); e </w:t>
      </w:r>
      <w:r w:rsidRPr="008C0B89">
        <w:rPr>
          <w:b/>
        </w:rPr>
        <w:t>(b)</w:t>
      </w:r>
      <w:r w:rsidRPr="008C0B89">
        <w:t xml:space="preserve"> a autorização aos diretores da Emissora para adotarem todas e quaisquer medidas e celebrar todos os documentos necessários à Emissão, podendo, inclusive, celebrar </w:t>
      </w:r>
      <w:r>
        <w:t xml:space="preserve">este Aditamento e demais </w:t>
      </w:r>
      <w:r w:rsidRPr="008C0B89">
        <w:t xml:space="preserve">aditamentos </w:t>
      </w:r>
      <w:r>
        <w:t xml:space="preserve">à </w:t>
      </w:r>
      <w:r w:rsidRPr="008C0B89">
        <w:t xml:space="preserve">Escritura de Emissão e aos Contratos de Garantia; </w:t>
      </w:r>
      <w:r>
        <w:t>e</w:t>
      </w:r>
    </w:p>
    <w:p w:rsidR="006770AD" w:rsidRPr="008C0B89" w:rsidRDefault="006770AD" w:rsidP="006770AD">
      <w:pPr>
        <w:pStyle w:val="Level4"/>
        <w:numPr>
          <w:ilvl w:val="3"/>
          <w:numId w:val="411"/>
        </w:numPr>
        <w:spacing w:after="240" w:line="320" w:lineRule="exact"/>
        <w:ind w:left="1134" w:hanging="1134"/>
      </w:pPr>
      <w:r w:rsidRPr="008C0B89">
        <w:lastRenderedPageBreak/>
        <w:t xml:space="preserve">Assembleia Geral Extraordinária de acionistas da Contour realizada em </w:t>
      </w:r>
      <w:r w:rsidR="00613013">
        <w:t xml:space="preserve">01 </w:t>
      </w:r>
      <w:r w:rsidRPr="008C0B89">
        <w:t xml:space="preserve">de </w:t>
      </w:r>
      <w:r w:rsidR="00613013">
        <w:t xml:space="preserve">agosto </w:t>
      </w:r>
      <w:r w:rsidRPr="008C0B89">
        <w:t>de 2018 (“</w:t>
      </w:r>
      <w:r w:rsidRPr="008C0B89">
        <w:rPr>
          <w:u w:val="single"/>
        </w:rPr>
        <w:t>AGE da Contour</w:t>
      </w:r>
      <w:r w:rsidRPr="008C0B89">
        <w:t xml:space="preserve">”), na qual foram aprovadas, dentre outras matérias, </w:t>
      </w:r>
      <w:r w:rsidRPr="008C0B89">
        <w:rPr>
          <w:b/>
        </w:rPr>
        <w:t>(a)</w:t>
      </w:r>
      <w:r w:rsidRPr="008C0B89">
        <w:t xml:space="preserve"> a outorga da Fiança (conforme definido abaixo); </w:t>
      </w:r>
      <w:r w:rsidRPr="008C0B89">
        <w:rPr>
          <w:b/>
        </w:rPr>
        <w:t>(b)</w:t>
      </w:r>
      <w:r w:rsidRPr="008C0B89">
        <w:t xml:space="preserve"> a constituição das Garantias Reais (conforme definido abaixo) outorgadas pela Contour, nos termos dos Contratos de Garantia; e </w:t>
      </w:r>
      <w:r w:rsidRPr="008C0B89">
        <w:rPr>
          <w:b/>
        </w:rPr>
        <w:t>(c)</w:t>
      </w:r>
      <w:r w:rsidRPr="008C0B89">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w:t>
      </w:r>
      <w:r>
        <w:t xml:space="preserve">este Aditamento e demais </w:t>
      </w:r>
      <w:r w:rsidRPr="008C0B89">
        <w:t xml:space="preserve">aditamentos </w:t>
      </w:r>
      <w:r>
        <w:t xml:space="preserve">à </w:t>
      </w:r>
      <w:r w:rsidRPr="008C0B89">
        <w:t>Escritura de Emissão e aos Contratos d</w:t>
      </w:r>
      <w:r>
        <w:t>e Garantia, conforme aplicável.</w:t>
      </w:r>
    </w:p>
    <w:p w:rsidR="006770AD"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 xml:space="preserve">SEGUNDA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ALTERAÇÕES</w:t>
      </w:r>
    </w:p>
    <w:p w:rsidR="006770AD" w:rsidRPr="00996C63" w:rsidRDefault="006770AD" w:rsidP="006770AD">
      <w:pPr>
        <w:pStyle w:val="PargrafodaLista"/>
        <w:numPr>
          <w:ilvl w:val="1"/>
          <w:numId w:val="410"/>
        </w:numPr>
        <w:tabs>
          <w:tab w:val="left" w:pos="1134"/>
        </w:tabs>
        <w:spacing w:after="240" w:line="320" w:lineRule="exact"/>
        <w:ind w:left="0" w:firstLine="0"/>
        <w:rPr>
          <w:rFonts w:ascii="Tahoma" w:hAnsi="Tahoma"/>
          <w:b/>
          <w:sz w:val="22"/>
        </w:rPr>
      </w:pPr>
      <w:bookmarkStart w:id="209" w:name="_Ref518326924"/>
      <w:r w:rsidRPr="004E4EDC">
        <w:rPr>
          <w:rFonts w:ascii="Tahoma" w:hAnsi="Tahoma"/>
          <w:sz w:val="22"/>
        </w:rPr>
        <w:t xml:space="preserve">Tendo em vista </w:t>
      </w:r>
      <w:r w:rsidRPr="008873DD">
        <w:rPr>
          <w:rFonts w:ascii="Tahoma" w:hAnsi="Tahoma"/>
          <w:b/>
          <w:sz w:val="22"/>
        </w:rPr>
        <w:t xml:space="preserve">(i) </w:t>
      </w:r>
      <w:r w:rsidRPr="004E4EDC">
        <w:rPr>
          <w:rFonts w:ascii="Tahoma" w:hAnsi="Tahoma"/>
          <w:sz w:val="22"/>
        </w:rPr>
        <w:t>a</w:t>
      </w:r>
      <w:r>
        <w:rPr>
          <w:rFonts w:ascii="Tahoma" w:hAnsi="Tahoma"/>
          <w:sz w:val="22"/>
        </w:rPr>
        <w:t xml:space="preserve"> formalização e constituição das Garantias Reais nos termos do item 6.21 da Escritura; e </w:t>
      </w:r>
      <w:r w:rsidRPr="008873DD">
        <w:rPr>
          <w:rFonts w:ascii="Tahoma" w:hAnsi="Tahoma"/>
          <w:b/>
          <w:sz w:val="22"/>
        </w:rPr>
        <w:t>(ii)</w:t>
      </w:r>
      <w:r>
        <w:rPr>
          <w:rFonts w:ascii="Tahoma" w:hAnsi="Tahoma"/>
          <w:sz w:val="22"/>
        </w:rPr>
        <w:t xml:space="preserve"> a assunção da obrigação pela Contour de outorgar garantia fidejussória na forma da Fiança nos termos do item 6.22 da Escritura,</w:t>
      </w:r>
      <w:r w:rsidRPr="004E4EDC">
        <w:rPr>
          <w:rFonts w:ascii="Tahoma" w:hAnsi="Tahoma"/>
          <w:sz w:val="22"/>
        </w:rPr>
        <w:t xml:space="preserve"> as Partes, por meio deste</w:t>
      </w:r>
      <w:r>
        <w:rPr>
          <w:rFonts w:ascii="Tahoma" w:hAnsi="Tahoma"/>
          <w:sz w:val="22"/>
        </w:rPr>
        <w:t xml:space="preserve"> </w:t>
      </w:r>
      <w:r w:rsidRPr="004E4EDC">
        <w:rPr>
          <w:rFonts w:ascii="Tahoma" w:hAnsi="Tahoma"/>
          <w:sz w:val="22"/>
        </w:rPr>
        <w:t>Aditamento, acordam em</w:t>
      </w:r>
      <w:r>
        <w:rPr>
          <w:rFonts w:ascii="Tahoma" w:hAnsi="Tahoma"/>
          <w:sz w:val="22"/>
        </w:rPr>
        <w:t xml:space="preserve"> alterar a Escritura de Emissão para formalizar a convolação da espécie das Debêntures de</w:t>
      </w:r>
      <w:r w:rsidRPr="00930DE8">
        <w:rPr>
          <w:rFonts w:ascii="Tahoma" w:hAnsi="Tahoma"/>
          <w:sz w:val="22"/>
        </w:rPr>
        <w:t xml:space="preserve"> quirografária </w:t>
      </w:r>
      <w:r>
        <w:rPr>
          <w:rFonts w:ascii="Tahoma" w:hAnsi="Tahoma"/>
          <w:sz w:val="22"/>
        </w:rPr>
        <w:t xml:space="preserve">para </w:t>
      </w:r>
      <w:r w:rsidRPr="00930DE8">
        <w:rPr>
          <w:rFonts w:ascii="Tahoma" w:hAnsi="Tahoma"/>
          <w:sz w:val="22"/>
        </w:rPr>
        <w:t xml:space="preserve">espécie com garantia real, </w:t>
      </w:r>
      <w:r>
        <w:rPr>
          <w:rFonts w:ascii="Tahoma" w:hAnsi="Tahoma"/>
          <w:sz w:val="22"/>
        </w:rPr>
        <w:t>bem como constituir a garantia fidejussória, nos termos que seguem.</w:t>
      </w:r>
      <w:bookmarkEnd w:id="209"/>
    </w:p>
    <w:p w:rsidR="006770AD" w:rsidRPr="00930DE8" w:rsidRDefault="006770AD" w:rsidP="006770AD">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t>Em conformidade com o disposto no item 2.1. acima, as Partes concordam em a</w:t>
      </w:r>
      <w:r w:rsidRPr="00930DE8">
        <w:rPr>
          <w:rFonts w:ascii="Tahoma" w:hAnsi="Tahoma"/>
          <w:sz w:val="22"/>
        </w:rPr>
        <w:t>lterar a redação d</w:t>
      </w:r>
      <w:r>
        <w:rPr>
          <w:rFonts w:ascii="Tahoma" w:hAnsi="Tahoma"/>
          <w:sz w:val="22"/>
        </w:rPr>
        <w:t xml:space="preserve">os itens </w:t>
      </w:r>
      <w:r w:rsidRPr="00930DE8">
        <w:rPr>
          <w:rFonts w:ascii="Tahoma" w:hAnsi="Tahoma"/>
          <w:sz w:val="22"/>
        </w:rPr>
        <w:t>2.5, 2.6,</w:t>
      </w:r>
      <w:r>
        <w:rPr>
          <w:rFonts w:ascii="Tahoma" w:hAnsi="Tahoma"/>
          <w:sz w:val="22"/>
        </w:rPr>
        <w:t xml:space="preserve"> </w:t>
      </w:r>
      <w:r w:rsidRPr="00930DE8">
        <w:rPr>
          <w:rFonts w:ascii="Tahoma" w:hAnsi="Tahoma"/>
          <w:sz w:val="22"/>
        </w:rPr>
        <w:t>6.4, 6.21, 6.21.2, 6.22, 6.22.1, 6.22.2, 6.22.3, 6.22.4, 6.22.5, 6.22.6, 6.22.7, 6.22.8</w:t>
      </w:r>
      <w:r>
        <w:rPr>
          <w:rFonts w:ascii="Tahoma" w:hAnsi="Tahoma"/>
          <w:sz w:val="22"/>
        </w:rPr>
        <w:t>, 6.22.9, 6.22.10</w:t>
      </w:r>
      <w:r w:rsidRPr="00930DE8">
        <w:rPr>
          <w:rFonts w:ascii="Tahoma" w:hAnsi="Tahoma"/>
          <w:sz w:val="22"/>
        </w:rPr>
        <w:t xml:space="preserve">, </w:t>
      </w:r>
      <w:r>
        <w:rPr>
          <w:rFonts w:ascii="Tahoma" w:hAnsi="Tahoma"/>
          <w:sz w:val="22"/>
        </w:rPr>
        <w:t xml:space="preserve">6.23, </w:t>
      </w:r>
      <w:r w:rsidRPr="00930DE8">
        <w:rPr>
          <w:rFonts w:ascii="Tahoma" w:hAnsi="Tahoma"/>
          <w:sz w:val="22"/>
        </w:rPr>
        <w:t>6.23.1</w:t>
      </w:r>
      <w:r>
        <w:rPr>
          <w:rFonts w:ascii="Tahoma" w:hAnsi="Tahoma"/>
          <w:sz w:val="22"/>
        </w:rPr>
        <w:t>,</w:t>
      </w:r>
      <w:r w:rsidRPr="00930DE8">
        <w:rPr>
          <w:rFonts w:ascii="Tahoma" w:hAnsi="Tahoma"/>
          <w:sz w:val="22"/>
        </w:rPr>
        <w:t xml:space="preserve"> </w:t>
      </w:r>
      <w:r>
        <w:rPr>
          <w:rFonts w:ascii="Tahoma" w:hAnsi="Tahoma"/>
          <w:sz w:val="22"/>
        </w:rPr>
        <w:t>subitem (xi) do item 9.2 e sub</w:t>
      </w:r>
      <w:r w:rsidRPr="00930DE8">
        <w:rPr>
          <w:rFonts w:ascii="Tahoma" w:hAnsi="Tahoma"/>
          <w:sz w:val="22"/>
        </w:rPr>
        <w:t>item (xiv) d</w:t>
      </w:r>
      <w:r>
        <w:rPr>
          <w:rFonts w:ascii="Tahoma" w:hAnsi="Tahoma"/>
          <w:sz w:val="22"/>
        </w:rPr>
        <w:t xml:space="preserve">o item </w:t>
      </w:r>
      <w:r w:rsidRPr="00930DE8">
        <w:rPr>
          <w:rFonts w:ascii="Tahoma" w:hAnsi="Tahoma"/>
          <w:sz w:val="22"/>
        </w:rPr>
        <w:t>11.1 da Escritura de Emissão que passam a vigorar com as seguintes redações:</w:t>
      </w:r>
      <w:r>
        <w:rPr>
          <w:rFonts w:ascii="Tahoma" w:hAnsi="Tahoma"/>
          <w:sz w:val="22"/>
        </w:rPr>
        <w:t xml:space="preserve"> </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“2.5 Registro da Escritura de Emissão. Nos termos do artigo 129 da Lei nº 6.015, de 31 de dezembro de 1973, conforme alterada (“Lei de Registros Públicos”), esta Escritura de Emissão e quaisquer aditamentos serão protocolados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6770AD" w:rsidRPr="00930DE8" w:rsidRDefault="006770AD" w:rsidP="006770AD">
      <w:pPr>
        <w:pStyle w:val="Level2"/>
        <w:numPr>
          <w:ilvl w:val="0"/>
          <w:numId w:val="0"/>
        </w:numPr>
        <w:spacing w:after="240" w:line="320" w:lineRule="exact"/>
        <w:ind w:left="680" w:firstLine="29"/>
        <w:rPr>
          <w:szCs w:val="22"/>
        </w:rPr>
      </w:pPr>
      <w:r w:rsidRPr="00930DE8">
        <w:rPr>
          <w:szCs w:val="22"/>
        </w:rPr>
        <w:t>“</w:t>
      </w:r>
      <w:r w:rsidRPr="00930DE8">
        <w:rPr>
          <w:i/>
          <w:szCs w:val="22"/>
        </w:rPr>
        <w:t>2.6 Constituição</w:t>
      </w:r>
      <w:r w:rsidRPr="00930DE8">
        <w:rPr>
          <w:bCs/>
          <w:i/>
          <w:szCs w:val="22"/>
        </w:rPr>
        <w:t xml:space="preserve"> das Garantias. Nos termos do item </w:t>
      </w:r>
      <w:r>
        <w:rPr>
          <w:bCs/>
          <w:i/>
          <w:szCs w:val="22"/>
        </w:rPr>
        <w:t>6.21 abaixo</w:t>
      </w:r>
      <w:r w:rsidRPr="00930DE8">
        <w:rPr>
          <w:bCs/>
          <w:i/>
          <w:szCs w:val="22"/>
        </w:rPr>
        <w:t xml:space="preserve">, as Garantias Reais </w:t>
      </w:r>
      <w:r w:rsidRPr="00930DE8">
        <w:rPr>
          <w:i/>
          <w:szCs w:val="22"/>
        </w:rPr>
        <w:t xml:space="preserve">foram formalizadas por meio dos Contratos de Garantia (conforme definido no item </w:t>
      </w:r>
      <w:r>
        <w:rPr>
          <w:bCs/>
          <w:i/>
          <w:szCs w:val="22"/>
        </w:rPr>
        <w:t xml:space="preserve">6.21.2 </w:t>
      </w:r>
      <w:r>
        <w:rPr>
          <w:bCs/>
          <w:i/>
          <w:szCs w:val="22"/>
        </w:rPr>
        <w:lastRenderedPageBreak/>
        <w:t>abaixo</w:t>
      </w:r>
      <w:r w:rsidRPr="00930DE8">
        <w:rPr>
          <w:i/>
          <w:szCs w:val="22"/>
        </w:rPr>
        <w:t xml:space="preserve">) e foram constituídas nos termos dos respectivos instrumentos, nas condições e prazos previstos no item </w:t>
      </w:r>
      <w:r>
        <w:rPr>
          <w:bCs/>
          <w:i/>
          <w:szCs w:val="22"/>
        </w:rPr>
        <w:t>6.21.2 abaixo</w:t>
      </w:r>
      <w:r w:rsidRPr="00AE7C9F">
        <w:rPr>
          <w:i/>
          <w:szCs w:val="22"/>
        </w:rPr>
        <w:t xml:space="preserve"> </w:t>
      </w:r>
      <w:r w:rsidRPr="00930DE8">
        <w:rPr>
          <w:i/>
          <w:szCs w:val="22"/>
        </w:rPr>
        <w:t>e nos respectivos Contratos de Garantia</w:t>
      </w:r>
      <w:r w:rsidRPr="00930DE8">
        <w:rPr>
          <w:szCs w:val="22"/>
        </w:rPr>
        <w:t>.”</w:t>
      </w:r>
    </w:p>
    <w:p w:rsidR="006770AD" w:rsidRPr="00930DE8" w:rsidRDefault="006770AD" w:rsidP="006770AD">
      <w:pPr>
        <w:pStyle w:val="PargrafodaLista"/>
        <w:tabs>
          <w:tab w:val="left" w:pos="0"/>
          <w:tab w:val="left" w:pos="1134"/>
          <w:tab w:val="left" w:pos="1418"/>
          <w:tab w:val="left" w:pos="1985"/>
        </w:tabs>
        <w:spacing w:after="240" w:line="320" w:lineRule="exact"/>
        <w:ind w:left="705"/>
        <w:rPr>
          <w:rFonts w:ascii="Tahoma" w:hAnsi="Tahoma"/>
          <w:i/>
          <w:sz w:val="22"/>
        </w:rPr>
      </w:pPr>
      <w:r w:rsidRPr="00930DE8">
        <w:rPr>
          <w:rFonts w:ascii="Tahoma" w:hAnsi="Tahoma"/>
          <w:i/>
          <w:sz w:val="22"/>
        </w:rPr>
        <w:t>“6.4 Espécie. As Debêntures são da espécie com garantia real</w:t>
      </w:r>
      <w:r w:rsidRPr="00930DE8">
        <w:rPr>
          <w:rFonts w:ascii="Tahoma" w:hAnsi="Tahoma"/>
          <w:sz w:val="22"/>
        </w:rPr>
        <w:t xml:space="preserve">, </w:t>
      </w:r>
      <w:r w:rsidRPr="00930DE8">
        <w:rPr>
          <w:rFonts w:ascii="Tahoma" w:hAnsi="Tahoma"/>
          <w:i/>
          <w:sz w:val="22"/>
        </w:rPr>
        <w:t>nos termos do artigo 58 da Lei das Sociedades por Ações.”</w:t>
      </w:r>
    </w:p>
    <w:p w:rsidR="006770AD" w:rsidRPr="00930DE8" w:rsidRDefault="006770AD" w:rsidP="006770AD">
      <w:pPr>
        <w:pStyle w:val="Level2"/>
        <w:numPr>
          <w:ilvl w:val="0"/>
          <w:numId w:val="0"/>
        </w:numPr>
        <w:spacing w:after="240" w:line="320" w:lineRule="exact"/>
        <w:ind w:left="680" w:firstLine="29"/>
        <w:rPr>
          <w:i/>
          <w:szCs w:val="22"/>
        </w:rPr>
      </w:pPr>
      <w:r w:rsidRPr="00930DE8">
        <w:rPr>
          <w:i/>
          <w:szCs w:val="22"/>
        </w:rPr>
        <w:t xml:space="preserve">“6.21 Garantias Reais. Observado o disposto no item </w:t>
      </w:r>
      <w:r>
        <w:rPr>
          <w:i/>
          <w:szCs w:val="22"/>
        </w:rPr>
        <w:t>6.23 abaixo</w:t>
      </w:r>
      <w:r w:rsidRPr="00930DE8">
        <w:rPr>
          <w:i/>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 tais como honorários advocatícios judiciais ou extrajudiciais e despesas processuais necessárias ao exercício de seu direito (“</w:t>
      </w:r>
      <w:r w:rsidRPr="00930DE8">
        <w:rPr>
          <w:i/>
          <w:szCs w:val="22"/>
          <w:u w:val="single"/>
        </w:rPr>
        <w:t>Obrigações Garantidas</w:t>
      </w:r>
      <w:r w:rsidRPr="00930DE8">
        <w:rPr>
          <w:i/>
          <w:szCs w:val="22"/>
        </w:rPr>
        <w:t>”), foram constituídas as seguintes Garantias Reais:</w:t>
      </w:r>
    </w:p>
    <w:p w:rsidR="006770AD" w:rsidRPr="00930DE8" w:rsidRDefault="006770AD" w:rsidP="006770AD">
      <w:pPr>
        <w:pStyle w:val="Level4"/>
        <w:spacing w:after="240" w:line="320" w:lineRule="exact"/>
        <w:ind w:left="1560" w:hanging="851"/>
        <w:rPr>
          <w:i/>
        </w:rPr>
      </w:pPr>
      <w:r w:rsidRPr="00930DE8">
        <w:rPr>
          <w:i/>
        </w:rPr>
        <w:t>alienação fiduciária da totalidade (a) das ações da Galheiros Geração de Energia S.A. (“</w:t>
      </w:r>
      <w:r w:rsidRPr="00930DE8">
        <w:rPr>
          <w:i/>
          <w:u w:val="single"/>
        </w:rPr>
        <w:t>Galheiros</w:t>
      </w:r>
      <w:r w:rsidRPr="00930DE8">
        <w:rPr>
          <w:i/>
        </w:rPr>
        <w:t>”), Afluente Geração de Energia Elétrica S.A. (“</w:t>
      </w:r>
      <w:r w:rsidRPr="00930DE8">
        <w:rPr>
          <w:i/>
          <w:u w:val="single"/>
        </w:rPr>
        <w:t>Afluente”</w:t>
      </w:r>
      <w:r w:rsidRPr="00930DE8">
        <w:rPr>
          <w:i/>
        </w:rPr>
        <w:t>), Bahia PCH I S.A. (“</w:t>
      </w:r>
      <w:r w:rsidRPr="00930DE8">
        <w:rPr>
          <w:i/>
          <w:u w:val="single"/>
        </w:rPr>
        <w:t>Bahia PCH</w:t>
      </w:r>
      <w:r w:rsidRPr="00930DE8">
        <w:rPr>
          <w:i/>
        </w:rPr>
        <w:t>”), Goiás Sul Geração de Energia S.A. (“</w:t>
      </w:r>
      <w:r w:rsidRPr="00930DE8">
        <w:rPr>
          <w:i/>
          <w:u w:val="single"/>
        </w:rPr>
        <w:t>Goiás Sul”</w:t>
      </w:r>
      <w:r w:rsidRPr="00930DE8">
        <w:rPr>
          <w:i/>
        </w:rPr>
        <w:t>), Rio PCH I S.A. (“</w:t>
      </w:r>
      <w:r w:rsidRPr="00930DE8">
        <w:rPr>
          <w:i/>
          <w:u w:val="single"/>
        </w:rPr>
        <w:t>Rio PCH</w:t>
      </w:r>
      <w:r w:rsidRPr="00930DE8">
        <w:rPr>
          <w:i/>
        </w:rPr>
        <w:t>” e, em conjunto com Galheiros, Afluente, Bahia PCH e Goiás Sul, as “</w:t>
      </w:r>
      <w:r w:rsidRPr="00C62242">
        <w:rPr>
          <w:i/>
          <w:u w:val="single"/>
        </w:rPr>
        <w:t>Subsidiárias</w:t>
      </w:r>
      <w:r w:rsidRPr="00930DE8">
        <w:rPr>
          <w:i/>
        </w:rPr>
        <w:t>” ou “</w:t>
      </w:r>
      <w:r w:rsidRPr="00930DE8">
        <w:rPr>
          <w:i/>
          <w:u w:val="single"/>
        </w:rPr>
        <w:t>SPEs</w:t>
      </w:r>
      <w:r w:rsidRPr="00930DE8">
        <w:rPr>
          <w:i/>
        </w:rPr>
        <w:t xml:space="preserve">”), detidas pela Contour; e (b) das ações da Contour detidas pela Kani (sendo (a) e (b) referidas em conjunto como “Ações Alienadas”), quer existentes ou futuras, bem como (1) quaisquer bens em que as Ações Alienadas sejam convertidas (inclusive quaisquer certificados de depósitos ou valores mobiliários), todas as ações que porventura, a partir da data de assinatura da Escritura de Emissão, sejam atribuídas aos respectivos acionistas garantidores no capital social das Subsidiárias e/ou da Contour, conforme o caso, ou seu eventual sucessor legal por meio de subscrição, por força de desmembramentos, grupamentos ou exercício de direito de preferência das ações </w:t>
      </w:r>
      <w:r w:rsidRPr="00930DE8">
        <w:rPr>
          <w:i/>
        </w:rPr>
        <w:lastRenderedPageBreak/>
        <w:t>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(2)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w:t>
      </w:r>
      <w:r>
        <w:rPr>
          <w:i/>
        </w:rPr>
        <w:t xml:space="preserve"> (</w:t>
      </w:r>
      <w:r w:rsidRPr="00930DE8">
        <w:rPr>
          <w:i/>
        </w:rPr>
        <w:t>“</w:t>
      </w:r>
      <w:r w:rsidRPr="00930DE8">
        <w:rPr>
          <w:i/>
          <w:u w:val="single"/>
        </w:rPr>
        <w:t>Alienação Fiduciária de Ações</w:t>
      </w:r>
      <w:r w:rsidRPr="00930DE8">
        <w:rPr>
          <w:i/>
        </w:rPr>
        <w:t>”</w:t>
      </w:r>
      <w:r>
        <w:rPr>
          <w:i/>
        </w:rPr>
        <w:t>)</w:t>
      </w:r>
      <w:r w:rsidRPr="00930DE8">
        <w:rPr>
          <w:i/>
        </w:rPr>
        <w:t xml:space="preserve">, nos termos </w:t>
      </w:r>
      <w:r>
        <w:rPr>
          <w:i/>
        </w:rPr>
        <w:t xml:space="preserve">(a)  do </w:t>
      </w:r>
      <w:r w:rsidRPr="00C62242">
        <w:rPr>
          <w:i/>
        </w:rPr>
        <w:t xml:space="preserve">“Instrumento Particular de Alienação Fiduciária de Ações e de Cessão Fiduciária de Direitos Creditórios e Outras Avenças (SPEs)”, celebrado </w:t>
      </w:r>
      <w:r>
        <w:rPr>
          <w:i/>
        </w:rPr>
        <w:t xml:space="preserve">em [●] </w:t>
      </w:r>
      <w:r w:rsidRPr="00C62242">
        <w:rPr>
          <w:i/>
        </w:rPr>
        <w:t>entre a Contour e o Agente Fiduciário, com a interveniência e anuência das SPEs</w:t>
      </w:r>
      <w:r>
        <w:rPr>
          <w:i/>
        </w:rPr>
        <w:t xml:space="preserve">, celebrado em </w:t>
      </w:r>
      <w:r w:rsidRPr="00C62242">
        <w:rPr>
          <w:i/>
        </w:rPr>
        <w:t xml:space="preserve"> (“</w:t>
      </w:r>
      <w:r w:rsidRPr="00C62242">
        <w:rPr>
          <w:i/>
          <w:u w:val="single"/>
        </w:rPr>
        <w:t>Contrato de Alienação Fiduciária de Ações SPEs</w:t>
      </w:r>
      <w:r w:rsidRPr="00C62242">
        <w:rPr>
          <w:i/>
        </w:rPr>
        <w:t>”</w:t>
      </w:r>
      <w:r>
        <w:rPr>
          <w:i/>
        </w:rPr>
        <w:t xml:space="preserve">) e (b) do </w:t>
      </w:r>
      <w:r w:rsidRPr="00C62242">
        <w:rPr>
          <w:i/>
        </w:rPr>
        <w:t xml:space="preserve">“Instrumento Particular de Alienação Fiduciária de Ações e de Cessão Fiduciária de Direitos Creditórios e Outras Avenças (Contour)”, celebrado </w:t>
      </w:r>
      <w:r>
        <w:rPr>
          <w:i/>
        </w:rPr>
        <w:t xml:space="preserve">em [●] </w:t>
      </w:r>
      <w:r w:rsidRPr="00C62242">
        <w:rPr>
          <w:i/>
        </w:rPr>
        <w:t>entre a Kani e o Agente Fiduciário, com a interveniência e anuência da Contour (“</w:t>
      </w:r>
      <w:r w:rsidRPr="00C62242">
        <w:rPr>
          <w:i/>
          <w:u w:val="single"/>
        </w:rPr>
        <w:t>Contrato de Alienação Fiduciária de Ações Kani</w:t>
      </w:r>
      <w:r w:rsidRPr="00C62242">
        <w:rPr>
          <w:i/>
        </w:rPr>
        <w:t>”</w:t>
      </w:r>
      <w:r>
        <w:rPr>
          <w:i/>
        </w:rPr>
        <w:t>)</w:t>
      </w:r>
      <w:r w:rsidRPr="00930DE8">
        <w:rPr>
          <w:i/>
        </w:rPr>
        <w:t>;</w:t>
      </w:r>
    </w:p>
    <w:p w:rsidR="006770AD" w:rsidRPr="00930DE8" w:rsidRDefault="006770AD" w:rsidP="006770AD">
      <w:pPr>
        <w:pStyle w:val="Level4"/>
        <w:spacing w:after="240" w:line="320" w:lineRule="exact"/>
        <w:ind w:left="1560" w:hanging="851"/>
        <w:rPr>
          <w:i/>
        </w:rPr>
      </w:pPr>
      <w:r w:rsidRPr="00930DE8">
        <w:rPr>
          <w:i/>
        </w:rPr>
        <w:t>alienação fiduciária da totalidade das quotas da Capuava Energy Ltda. (“</w:t>
      </w:r>
      <w:r w:rsidRPr="00930DE8">
        <w:rPr>
          <w:i/>
          <w:u w:val="single"/>
        </w:rPr>
        <w:t>Capuava</w:t>
      </w:r>
      <w:r w:rsidRPr="00930DE8">
        <w:rPr>
          <w:i/>
        </w:rPr>
        <w:t>”) detidas pela Contour (“</w:t>
      </w:r>
      <w:r w:rsidRPr="00930DE8">
        <w:rPr>
          <w:i/>
          <w:u w:val="single"/>
        </w:rPr>
        <w:t>Quotas Alienadas</w:t>
      </w:r>
      <w:r w:rsidRPr="00930DE8">
        <w:rPr>
          <w:i/>
        </w:rPr>
        <w:t>”), quer existentes ou futuras, bem como todas as quotas que porventura, a partir da data de assinatura da Escritura de Emissão,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w:t>
      </w:r>
      <w:r>
        <w:rPr>
          <w:i/>
        </w:rPr>
        <w:t xml:space="preserve"> </w:t>
      </w:r>
      <w:r w:rsidRPr="00930DE8">
        <w:rPr>
          <w:i/>
        </w:rPr>
        <w:t>(“</w:t>
      </w:r>
      <w:r w:rsidRPr="00930DE8">
        <w:rPr>
          <w:i/>
          <w:u w:val="single"/>
        </w:rPr>
        <w:t>Alienação Fiduciária de Quotas</w:t>
      </w:r>
      <w:r w:rsidRPr="00930DE8">
        <w:rPr>
          <w:i/>
        </w:rPr>
        <w:t xml:space="preserve">”), nos termos do </w:t>
      </w:r>
      <w:r w:rsidRPr="00C62242">
        <w:rPr>
          <w:i/>
        </w:rPr>
        <w:t xml:space="preserve">“Instrumento Particular de Alienação Fiduciária de Quotas e de Cessão Fiduciária de Direitos Creditórios e Outras Avenças (Capuava)”, celebrado </w:t>
      </w:r>
      <w:r>
        <w:rPr>
          <w:i/>
        </w:rPr>
        <w:t xml:space="preserve">em [●] </w:t>
      </w:r>
      <w:r w:rsidRPr="00C62242">
        <w:rPr>
          <w:i/>
        </w:rPr>
        <w:t>entre a Contour e o Agente Fiduciário, com a interveniência e anuência da Capuava (“</w:t>
      </w:r>
      <w:r w:rsidRPr="00C62242">
        <w:rPr>
          <w:i/>
          <w:u w:val="single"/>
        </w:rPr>
        <w:t>Contrato de Alienação Fiduciária de Quotas Capuava</w:t>
      </w:r>
      <w:r w:rsidRPr="00C62242">
        <w:rPr>
          <w:i/>
        </w:rPr>
        <w:t>”</w:t>
      </w:r>
      <w:r>
        <w:rPr>
          <w:i/>
        </w:rPr>
        <w:t xml:space="preserve"> </w:t>
      </w:r>
      <w:r w:rsidRPr="00C62242">
        <w:rPr>
          <w:i/>
        </w:rPr>
        <w:t xml:space="preserve">e, em conjunto com o Contrato de Alienação Fiduciária de Ações SPEs e o Contrato de Alienação Fiduciária de </w:t>
      </w:r>
      <w:r>
        <w:rPr>
          <w:i/>
        </w:rPr>
        <w:t>Ações Kani</w:t>
      </w:r>
      <w:r w:rsidRPr="00C62242">
        <w:rPr>
          <w:i/>
        </w:rPr>
        <w:t>, “</w:t>
      </w:r>
      <w:r w:rsidRPr="00C62242">
        <w:rPr>
          <w:i/>
          <w:u w:val="single"/>
        </w:rPr>
        <w:t>Contratos de Garantia</w:t>
      </w:r>
      <w:r w:rsidRPr="00C62242">
        <w:rPr>
          <w:i/>
        </w:rPr>
        <w:t>”)</w:t>
      </w:r>
      <w:r w:rsidRPr="00930DE8">
        <w:rPr>
          <w:i/>
        </w:rPr>
        <w:t>; e</w:t>
      </w:r>
    </w:p>
    <w:p w:rsidR="006770AD" w:rsidRPr="00930DE8" w:rsidRDefault="006770AD" w:rsidP="006770AD">
      <w:pPr>
        <w:pStyle w:val="Level4"/>
        <w:spacing w:after="240" w:line="320" w:lineRule="exact"/>
        <w:ind w:left="1560" w:hanging="851"/>
        <w:rPr>
          <w:i/>
        </w:rPr>
      </w:pPr>
      <w:r w:rsidRPr="00930DE8">
        <w:rPr>
          <w:i/>
        </w:rPr>
        <w:lastRenderedPageBreak/>
        <w:t>cessão fiduciária sobre: (a)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930DE8">
        <w:rPr>
          <w:i/>
          <w:u w:val="single"/>
        </w:rPr>
        <w:t>Rendimentos das Ações</w:t>
      </w:r>
      <w:r w:rsidRPr="00930DE8">
        <w:rPr>
          <w:i/>
        </w:rPr>
        <w:t>”); (b)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930DE8">
        <w:rPr>
          <w:i/>
          <w:u w:val="single"/>
        </w:rPr>
        <w:t>Rendimentos das Quotas</w:t>
      </w:r>
      <w:r w:rsidRPr="00930DE8">
        <w:rPr>
          <w:i/>
        </w:rPr>
        <w:t>”); (c) todos os direitos creditórios decorrentes ou relacionados à conta vinculada mantida pela Contour junto ao Banco Santander (Brasil) S.A., na qualidade de banco depositário (“</w:t>
      </w:r>
      <w:r w:rsidRPr="00930DE8">
        <w:rPr>
          <w:i/>
          <w:u w:val="single"/>
        </w:rPr>
        <w:t>Banco Depositário</w:t>
      </w:r>
      <w:r w:rsidRPr="00930DE8">
        <w:rPr>
          <w:i/>
        </w:rPr>
        <w:t xml:space="preserve">”), na qual deverão ser depositados os recursos provenientes dos Rendimentos das Ações a serem distribuídos pela Contour, bem como decorrentes de outras formas de distribuição de recursos pela Contour à Kani nos termos do item </w:t>
      </w:r>
      <w:r w:rsidRPr="00930DE8">
        <w:rPr>
          <w:i/>
        </w:rPr>
        <w:fldChar w:fldCharType="begin"/>
      </w:r>
      <w:r w:rsidRPr="00930DE8">
        <w:rPr>
          <w:i/>
        </w:rPr>
        <w:instrText xml:space="preserve"> REF _Ref517730372 \r \h  \* MERGEFORMAT </w:instrText>
      </w:r>
      <w:r w:rsidRPr="00930DE8">
        <w:rPr>
          <w:i/>
        </w:rPr>
      </w:r>
      <w:r w:rsidRPr="00930DE8">
        <w:rPr>
          <w:i/>
        </w:rPr>
        <w:fldChar w:fldCharType="separate"/>
      </w:r>
      <w:r w:rsidR="00281921">
        <w:rPr>
          <w:i/>
        </w:rPr>
        <w:t>7.1.7</w:t>
      </w:r>
      <w:r w:rsidRPr="00930DE8">
        <w:rPr>
          <w:i/>
        </w:rPr>
        <w:fldChar w:fldCharType="end"/>
      </w:r>
      <w:r w:rsidRPr="00930DE8">
        <w:rPr>
          <w:i/>
        </w:rPr>
        <w:t xml:space="preserve">, subitens </w:t>
      </w:r>
      <w:r w:rsidRPr="00930DE8">
        <w:rPr>
          <w:i/>
        </w:rPr>
        <w:fldChar w:fldCharType="begin"/>
      </w:r>
      <w:r w:rsidRPr="00930DE8">
        <w:rPr>
          <w:i/>
        </w:rPr>
        <w:instrText xml:space="preserve"> REF _Ref519774998 \n \h  \* MERGEFORMAT </w:instrText>
      </w:r>
      <w:r w:rsidRPr="00930DE8">
        <w:rPr>
          <w:i/>
        </w:rPr>
      </w:r>
      <w:r w:rsidRPr="00930DE8">
        <w:rPr>
          <w:i/>
        </w:rPr>
        <w:fldChar w:fldCharType="separate"/>
      </w:r>
      <w:r w:rsidR="00281921">
        <w:rPr>
          <w:i/>
        </w:rPr>
        <w:t>(vi)</w:t>
      </w:r>
      <w:r w:rsidRPr="00930DE8">
        <w:rPr>
          <w:i/>
        </w:rPr>
        <w:fldChar w:fldCharType="end"/>
      </w:r>
      <w:r w:rsidRPr="00930DE8">
        <w:rPr>
          <w:i/>
        </w:rPr>
        <w:t xml:space="preserve">, </w:t>
      </w:r>
      <w:r w:rsidRPr="00930DE8">
        <w:rPr>
          <w:i/>
        </w:rPr>
        <w:fldChar w:fldCharType="begin"/>
      </w:r>
      <w:r w:rsidRPr="00930DE8">
        <w:rPr>
          <w:i/>
        </w:rPr>
        <w:instrText xml:space="preserve"> REF _Ref518318489 \n \h  \* MERGEFORMAT </w:instrText>
      </w:r>
      <w:r w:rsidRPr="00930DE8">
        <w:rPr>
          <w:i/>
        </w:rPr>
      </w:r>
      <w:r w:rsidRPr="00930DE8">
        <w:rPr>
          <w:i/>
        </w:rPr>
        <w:fldChar w:fldCharType="separate"/>
      </w:r>
      <w:r w:rsidR="00281921">
        <w:rPr>
          <w:i/>
        </w:rPr>
        <w:t>(vii)</w:t>
      </w:r>
      <w:r w:rsidRPr="00930DE8">
        <w:rPr>
          <w:i/>
        </w:rPr>
        <w:fldChar w:fldCharType="end"/>
      </w:r>
      <w:r w:rsidRPr="00930DE8">
        <w:rPr>
          <w:i/>
        </w:rPr>
        <w:t xml:space="preserve"> e </w:t>
      </w:r>
      <w:r w:rsidRPr="00930DE8">
        <w:rPr>
          <w:i/>
        </w:rPr>
        <w:fldChar w:fldCharType="begin"/>
      </w:r>
      <w:r w:rsidRPr="00930DE8">
        <w:rPr>
          <w:i/>
        </w:rPr>
        <w:instrText xml:space="preserve"> REF _Ref518318492 \n \p \h  \* MERGEFORMAT </w:instrText>
      </w:r>
      <w:r w:rsidRPr="00930DE8">
        <w:rPr>
          <w:i/>
        </w:rPr>
      </w:r>
      <w:r w:rsidRPr="00930DE8">
        <w:rPr>
          <w:i/>
        </w:rPr>
        <w:fldChar w:fldCharType="separate"/>
      </w:r>
      <w:r w:rsidR="00281921">
        <w:rPr>
          <w:i/>
        </w:rPr>
        <w:t>(viii) acima</w:t>
      </w:r>
      <w:r w:rsidRPr="00930DE8">
        <w:rPr>
          <w:i/>
        </w:rPr>
        <w:fldChar w:fldCharType="end"/>
      </w:r>
      <w:r w:rsidRPr="00930DE8">
        <w:rPr>
          <w:i/>
        </w:rPr>
        <w:t>, antes de sua efetiva transferência à Kani (“</w:t>
      </w:r>
      <w:r w:rsidRPr="00930DE8">
        <w:rPr>
          <w:i/>
          <w:u w:val="single"/>
        </w:rPr>
        <w:t>Conta Vinculada Dividendos Contour</w:t>
      </w:r>
      <w:r w:rsidRPr="00930DE8">
        <w:rPr>
          <w:i/>
        </w:rPr>
        <w:t>”); (d) todos os direitos creditórios decorrentes ou relacionados à conta vinculada mantida pela Contour junto ao Banco Depositário, na qual deverão ser depositados os recursos provenientes dos Rendimentos das Ações e dos Rendimentos das Quotas (“Conta Vinculada Dividendos SPEs”); (e)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930DE8">
        <w:rPr>
          <w:i/>
          <w:u w:val="single"/>
        </w:rPr>
        <w:t>Conta Vinculada GSF</w:t>
      </w:r>
      <w:r w:rsidRPr="00930DE8">
        <w:rPr>
          <w:i/>
        </w:rPr>
        <w:t>”); e (f)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930DE8">
        <w:rPr>
          <w:i/>
          <w:u w:val="single"/>
        </w:rPr>
        <w:t>ICSD Individual</w:t>
      </w:r>
      <w:r w:rsidRPr="00930DE8">
        <w:rPr>
          <w:i/>
        </w:rPr>
        <w:t>”) das Subsidiárias e do Índice Financeiro, nos termos do Contrato de Alienação Fiduciária de Ações SPEs (“</w:t>
      </w:r>
      <w:r w:rsidRPr="00930DE8">
        <w:rPr>
          <w:i/>
          <w:u w:val="single"/>
        </w:rPr>
        <w:t>Conta Reserva</w:t>
      </w:r>
      <w:r w:rsidRPr="00930DE8">
        <w:rPr>
          <w:i/>
        </w:rPr>
        <w:t>” e, em conjunto com a Conta Vinculada Dividendos Contour, a Conta Vinculada GSF e a Conta Vinculada Dividendos SPEs, as “</w:t>
      </w:r>
      <w:r w:rsidRPr="00930DE8">
        <w:rPr>
          <w:i/>
          <w:u w:val="single"/>
        </w:rPr>
        <w:t>Contas Vinculadas</w:t>
      </w:r>
      <w:r w:rsidRPr="00930DE8">
        <w:rPr>
          <w:i/>
        </w:rPr>
        <w:t>”), em todos os casos observado o disposto nesta Escritura de Emissão, nas Escrituras de Emissão Subsidiárias, no contrato de depósito celebrado entre a Emissora, a Contour, as Subsidiárias, o Agente Fiduciário e o Banco Depositário (“</w:t>
      </w:r>
      <w:r w:rsidRPr="00930DE8">
        <w:rPr>
          <w:i/>
          <w:u w:val="single"/>
        </w:rPr>
        <w:t>Contrato de Conta Vinculada</w:t>
      </w:r>
      <w:r w:rsidRPr="00930DE8">
        <w:rPr>
          <w:i/>
        </w:rPr>
        <w:t>”) e nos Contratos de Garantia (“</w:t>
      </w:r>
      <w:r w:rsidRPr="00930DE8">
        <w:rPr>
          <w:i/>
          <w:u w:val="single"/>
        </w:rPr>
        <w:t>Cessão Fiduciária</w:t>
      </w:r>
      <w:r w:rsidRPr="00930DE8">
        <w:rPr>
          <w:i/>
        </w:rPr>
        <w:t>”, sendo referida em conjunto com a Alienação Fiduciária de Ações e a Alienação Fiduciária de Quotas como “</w:t>
      </w:r>
      <w:r w:rsidRPr="00930DE8">
        <w:rPr>
          <w:i/>
          <w:u w:val="single"/>
        </w:rPr>
        <w:t>Garantias Reais</w:t>
      </w:r>
      <w:r w:rsidRPr="00930DE8">
        <w:rPr>
          <w:i/>
        </w:rPr>
        <w:t xml:space="preserve">”). </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sz w:val="22"/>
        </w:rPr>
      </w:pPr>
      <w:r w:rsidRPr="00930DE8">
        <w:rPr>
          <w:rFonts w:ascii="Tahoma" w:hAnsi="Tahoma"/>
          <w:i/>
          <w:sz w:val="22"/>
        </w:rPr>
        <w:lastRenderedPageBreak/>
        <w:t>“6.22</w:t>
      </w:r>
      <w:r w:rsidRPr="00930DE8">
        <w:rPr>
          <w:rFonts w:ascii="Tahoma" w:hAnsi="Tahoma"/>
          <w:i/>
          <w:sz w:val="22"/>
        </w:rPr>
        <w:tab/>
        <w:t>Garantia Fidejussória. A Contour, neste ato, outorga garantia fidejussória na forma de fiança em favor dos Debenturistas, representados pelo Agente Fiduciário, obrigando-se, solidariamente com a Emissora, em caráter irrevogável e irretratável, na qualidade de fiadora e principal pagadora, pelo fiel, pontual e integral pagamento da totalidade das Obrigações Garantidas</w:t>
      </w:r>
      <w:r>
        <w:rPr>
          <w:rFonts w:ascii="Tahoma" w:hAnsi="Tahoma"/>
          <w:i/>
          <w:sz w:val="22"/>
        </w:rPr>
        <w:t xml:space="preserve"> </w:t>
      </w:r>
      <w:r w:rsidRPr="00930DE8">
        <w:rPr>
          <w:rFonts w:ascii="Tahoma" w:hAnsi="Tahoma"/>
          <w:i/>
          <w:sz w:val="22"/>
        </w:rPr>
        <w:t>(“</w:t>
      </w:r>
      <w:r w:rsidRPr="00930DE8">
        <w:rPr>
          <w:rFonts w:ascii="Tahoma" w:hAnsi="Tahoma"/>
          <w:i/>
          <w:sz w:val="22"/>
          <w:u w:val="single"/>
        </w:rPr>
        <w:t>Fiança</w:t>
      </w:r>
      <w:r w:rsidRPr="00930DE8">
        <w:rPr>
          <w:rFonts w:ascii="Tahoma" w:hAnsi="Tahoma"/>
          <w:i/>
          <w:sz w:val="22"/>
        </w:rPr>
        <w:t>” e, em conjunto com as Garantias Reais, “</w:t>
      </w:r>
      <w:r w:rsidRPr="00930DE8">
        <w:rPr>
          <w:rFonts w:ascii="Tahoma" w:hAnsi="Tahoma"/>
          <w:i/>
          <w:sz w:val="22"/>
          <w:u w:val="single"/>
        </w:rPr>
        <w:t>Garantias</w:t>
      </w:r>
      <w:r w:rsidRPr="00930DE8">
        <w:rPr>
          <w:rFonts w:ascii="Tahoma" w:hAnsi="Tahoma"/>
          <w:i/>
          <w:sz w:val="22"/>
        </w:rPr>
        <w:t>”).”</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t>“6.22.1 A Contour renuncia expressamente aos benefícios dos artigos 333, parágrafo único, 366, 368, 821, 827, 834, 835, 837, 838 e 839 do Código Civil e dos artigos 130 e 794 da Lei nº 13.105 de 16 de março de 2015, conforme alterada (“</w:t>
      </w:r>
      <w:r w:rsidRPr="00930DE8">
        <w:rPr>
          <w:i/>
          <w:noProof/>
          <w:szCs w:val="22"/>
          <w:u w:val="single"/>
        </w:rPr>
        <w:t>Código de Processo Civil</w:t>
      </w:r>
      <w:r w:rsidRPr="00930DE8">
        <w:rPr>
          <w:i/>
          <w:noProof/>
          <w:szCs w:val="22"/>
        </w:rPr>
        <w:t>”).”</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t>“6.22.2 A Contour se obriga a, independentemente de qualquer pretensão, ação, disputa ou reclamação que a Emissora venha a ter ou exercer em rel</w:t>
      </w:r>
      <w:r>
        <w:rPr>
          <w:i/>
          <w:noProof/>
          <w:szCs w:val="22"/>
        </w:rPr>
        <w:t xml:space="preserve">ação às suas obrigações, pagar </w:t>
      </w:r>
      <w:r w:rsidRPr="00930DE8">
        <w:rPr>
          <w:i/>
          <w:noProof/>
          <w:szCs w:val="22"/>
        </w:rPr>
        <w:t>a totalidade das Obrigações Garantidas,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sidRPr="00930DE8">
        <w:rPr>
          <w:i/>
          <w:szCs w:val="22"/>
        </w:rPr>
        <w:t xml:space="preserve"> Agente Fiduciário</w:t>
      </w:r>
      <w:r w:rsidRPr="00930DE8">
        <w:rPr>
          <w:i/>
          <w:noProof/>
          <w:szCs w:val="22"/>
        </w:rPr>
        <w:t>.”</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“6.22.3 Fica desde já certo e ajustado que a </w:t>
      </w:r>
      <w:r w:rsidRPr="00930DE8">
        <w:rPr>
          <w:i/>
          <w:szCs w:val="22"/>
        </w:rPr>
        <w:t>inobservância</w:t>
      </w:r>
      <w:r w:rsidRPr="00930DE8">
        <w:rPr>
          <w:i/>
          <w:noProof/>
          <w:szCs w:val="22"/>
        </w:rPr>
        <w:t>, pel</w:t>
      </w:r>
      <w:r w:rsidRPr="00930DE8">
        <w:rPr>
          <w:i/>
          <w:szCs w:val="22"/>
        </w:rPr>
        <w:t>o Agente Fiduciário</w:t>
      </w:r>
      <w:r w:rsidRPr="00930DE8">
        <w:rPr>
          <w:i/>
          <w:noProof/>
          <w:szCs w:val="22"/>
        </w:rPr>
        <w:t>, do prazo disposto acima não ensejará, sob hipótese alguma, perda de qualquer direito ou faculdade aqui prevista.”</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“6.22.4 Todos e quaisquer pagamentos realizados pela Contour em relação à Fiança </w:t>
      </w:r>
      <w:r w:rsidRPr="00930DE8">
        <w:rPr>
          <w:i/>
          <w:szCs w:val="22"/>
        </w:rPr>
        <w:t>serão</w:t>
      </w:r>
      <w:r w:rsidRPr="00930DE8">
        <w:rPr>
          <w:i/>
          <w:noProof/>
          <w:szCs w:val="22"/>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obriga-se a pagar as quantias adicionais que sejam necessárias para que os Debenturistas recebam, após tais deduções, recolhimentos ou pagamentos, uma quantia equivalente à que teria sido recebida se tais deduções, recolhimentos ou pagamentos não fossem aplicáveis.”</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lastRenderedPageBreak/>
        <w:t>“6.22.5 A Fiança é devidamente consentida de boa fé pela Contour, nos termos das disposições legais aplicáveis. A Fiança é outorgada pela Contour em caráter irrevogável e irretratável até a liquidação integral das Obrigações Garantidas</w:t>
      </w:r>
      <w:r>
        <w:rPr>
          <w:i/>
          <w:noProof/>
          <w:szCs w:val="22"/>
        </w:rPr>
        <w:t>.</w:t>
      </w:r>
      <w:r w:rsidRPr="00930DE8">
        <w:rPr>
          <w:i/>
          <w:noProof/>
          <w:szCs w:val="22"/>
        </w:rPr>
        <w:t>”</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“6.22.6 Nenhuma objeção ou oposição da </w:t>
      </w:r>
      <w:r w:rsidRPr="00930DE8">
        <w:rPr>
          <w:i/>
          <w:szCs w:val="22"/>
        </w:rPr>
        <w:t>Emissora</w:t>
      </w:r>
      <w:r w:rsidRPr="00930DE8">
        <w:rPr>
          <w:i/>
          <w:noProof/>
          <w:szCs w:val="22"/>
        </w:rPr>
        <w:t xml:space="preserve"> poderá ser admitida ou invocada pela Contour com o fito de escusar-se do cumprimento de suas obrigações perante os Debenturistas.”</w:t>
      </w:r>
    </w:p>
    <w:p w:rsidR="006770AD" w:rsidRPr="00930DE8" w:rsidRDefault="006770AD" w:rsidP="006770AD">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“6.22.7 A </w:t>
      </w:r>
      <w:r w:rsidRPr="00930DE8">
        <w:rPr>
          <w:i/>
          <w:szCs w:val="22"/>
        </w:rPr>
        <w:t>Fiança</w:t>
      </w:r>
      <w:r w:rsidRPr="00930DE8">
        <w:rPr>
          <w:i/>
          <w:noProof/>
          <w:szCs w:val="22"/>
        </w:rPr>
        <w:t xml:space="preserve"> poderá ser excutida e exigida pelo Agente Fiduciário quantas vezes forem necessárias até </w:t>
      </w:r>
      <w:r>
        <w:rPr>
          <w:i/>
          <w:noProof/>
          <w:szCs w:val="22"/>
        </w:rPr>
        <w:t>a integral e efetiva liquidação da integralidade</w:t>
      </w:r>
      <w:r w:rsidRPr="00930DE8">
        <w:rPr>
          <w:i/>
          <w:noProof/>
          <w:szCs w:val="22"/>
        </w:rPr>
        <w:t xml:space="preserve"> das Obrigações Garantidas garantido pela Fiança, nos termos do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281921">
        <w:rPr>
          <w:i/>
          <w:noProof/>
          <w:szCs w:val="22"/>
        </w:rPr>
        <w:t>6.22 acima</w:t>
      </w:r>
      <w:r w:rsidRPr="00930DE8">
        <w:rPr>
          <w:i/>
          <w:noProof/>
          <w:szCs w:val="22"/>
        </w:rPr>
        <w:fldChar w:fldCharType="end"/>
      </w:r>
      <w:r w:rsidRPr="00930DE8">
        <w:rPr>
          <w:i/>
          <w:noProof/>
          <w:szCs w:val="22"/>
        </w:rPr>
        <w:t>.”</w:t>
      </w:r>
    </w:p>
    <w:p w:rsidR="006770AD" w:rsidRDefault="006770AD" w:rsidP="006770AD">
      <w:pPr>
        <w:pStyle w:val="Level3"/>
        <w:numPr>
          <w:ilvl w:val="0"/>
          <w:numId w:val="0"/>
        </w:numPr>
        <w:tabs>
          <w:tab w:val="left" w:pos="709"/>
        </w:tabs>
        <w:spacing w:after="240" w:line="320" w:lineRule="exact"/>
        <w:ind w:left="709"/>
        <w:rPr>
          <w:i/>
          <w:noProof/>
          <w:szCs w:val="22"/>
        </w:rPr>
      </w:pPr>
      <w:r w:rsidRPr="00930DE8">
        <w:rPr>
          <w:i/>
          <w:noProof/>
          <w:szCs w:val="22"/>
        </w:rPr>
        <w:t>“6.22.8 A Fiança permanecerá válida e plenamente eficaz inclusive em caso de aditamentos, alterações e quaisquer outras modificações nos Contratos de Garantia, nesta Escritura de Emissão e nos demais documentos da Emissão,</w:t>
      </w:r>
      <w:r w:rsidRPr="00930DE8">
        <w:rPr>
          <w:i/>
          <w:szCs w:val="22"/>
        </w:rPr>
        <w:t xml:space="preserve"> </w:t>
      </w:r>
      <w:r w:rsidRPr="00930DE8">
        <w:rPr>
          <w:i/>
          <w:noProof/>
          <w:szCs w:val="22"/>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281921">
        <w:rPr>
          <w:i/>
          <w:noProof/>
          <w:szCs w:val="22"/>
        </w:rPr>
        <w:t>6.22 acima</w:t>
      </w:r>
      <w:r w:rsidRPr="00930DE8">
        <w:rPr>
          <w:i/>
          <w:noProof/>
          <w:szCs w:val="22"/>
        </w:rPr>
        <w:fldChar w:fldCharType="end"/>
      </w:r>
      <w:r w:rsidRPr="00930DE8">
        <w:rPr>
          <w:i/>
          <w:noProof/>
          <w:szCs w:val="22"/>
        </w:rPr>
        <w:t>.”</w:t>
      </w:r>
    </w:p>
    <w:p w:rsidR="006770AD" w:rsidRPr="00AA3727" w:rsidRDefault="006770AD" w:rsidP="006770AD">
      <w:pPr>
        <w:pStyle w:val="Level3"/>
        <w:numPr>
          <w:ilvl w:val="0"/>
          <w:numId w:val="0"/>
        </w:numPr>
        <w:tabs>
          <w:tab w:val="left" w:pos="709"/>
        </w:tabs>
        <w:spacing w:after="240" w:line="320" w:lineRule="exact"/>
        <w:ind w:left="709"/>
        <w:rPr>
          <w:i/>
          <w:noProof/>
          <w:szCs w:val="22"/>
        </w:rPr>
      </w:pPr>
      <w:r>
        <w:rPr>
          <w:i/>
          <w:noProof/>
          <w:szCs w:val="22"/>
        </w:rPr>
        <w:t>“6.22.9.</w:t>
      </w:r>
      <w:r>
        <w:rPr>
          <w:i/>
          <w:noProof/>
          <w:szCs w:val="22"/>
        </w:rPr>
        <w:tab/>
      </w:r>
      <w:r w:rsidRPr="00AA3727">
        <w:rPr>
          <w:i/>
          <w:noProof/>
          <w:szCs w:val="22"/>
        </w:rPr>
        <w:t>No âmbito</w:t>
      </w:r>
      <w:r>
        <w:rPr>
          <w:i/>
          <w:noProof/>
          <w:szCs w:val="22"/>
        </w:rPr>
        <w:t xml:space="preserve"> da Fiança, a Contour concorda</w:t>
      </w:r>
      <w:r w:rsidRPr="00AA3727">
        <w:rPr>
          <w:i/>
          <w:noProof/>
          <w:szCs w:val="22"/>
        </w:rPr>
        <w:t xml:space="preserve"> e obriga-se</w:t>
      </w:r>
      <w:r>
        <w:rPr>
          <w:i/>
          <w:noProof/>
          <w:szCs w:val="22"/>
        </w:rPr>
        <w:t xml:space="preserve"> </w:t>
      </w:r>
      <w:r w:rsidRPr="00AA3727">
        <w:rPr>
          <w:i/>
          <w:noProof/>
          <w:szCs w:val="22"/>
        </w:rPr>
        <w:t>a somente exigir e/ou demandar a Emissora por qualquer valor por ela honrado nos termos da Fiança após os Debenturistas terem recebido todos os valores a eles devidos.</w:t>
      </w:r>
      <w:r>
        <w:rPr>
          <w:i/>
          <w:noProof/>
          <w:szCs w:val="22"/>
        </w:rPr>
        <w:t>”</w:t>
      </w:r>
      <w:r w:rsidRPr="00AA3727">
        <w:rPr>
          <w:i/>
          <w:noProof/>
          <w:szCs w:val="22"/>
        </w:rPr>
        <w:t xml:space="preserve"> </w:t>
      </w:r>
    </w:p>
    <w:p w:rsidR="006770AD" w:rsidRPr="00AA3727" w:rsidRDefault="006770AD" w:rsidP="006770AD">
      <w:pPr>
        <w:pStyle w:val="Level3"/>
        <w:numPr>
          <w:ilvl w:val="0"/>
          <w:numId w:val="0"/>
        </w:numPr>
        <w:tabs>
          <w:tab w:val="left" w:pos="709"/>
        </w:tabs>
        <w:spacing w:after="240" w:line="320" w:lineRule="exact"/>
        <w:ind w:left="709"/>
        <w:rPr>
          <w:i/>
          <w:noProof/>
          <w:szCs w:val="22"/>
        </w:rPr>
      </w:pPr>
      <w:r>
        <w:rPr>
          <w:i/>
          <w:noProof/>
          <w:szCs w:val="22"/>
        </w:rPr>
        <w:t>6.22.10.</w:t>
      </w:r>
      <w:r>
        <w:rPr>
          <w:i/>
          <w:noProof/>
          <w:szCs w:val="22"/>
        </w:rPr>
        <w:tab/>
      </w:r>
      <w:r w:rsidRPr="00AA3727">
        <w:rPr>
          <w:i/>
          <w:noProof/>
          <w:szCs w:val="22"/>
        </w:rPr>
        <w:t>A Contour reconhece, para os fins do artigo 835 do Código Civil, como prazo final da Fiança a data em que ocorra o pagamento integral das Obrigações Garantidas.</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sz w:val="22"/>
        </w:rPr>
        <w:t>“</w:t>
      </w:r>
      <w:r w:rsidRPr="00930DE8">
        <w:rPr>
          <w:rFonts w:ascii="Tahoma" w:hAnsi="Tahoma"/>
          <w:i/>
          <w:sz w:val="22"/>
        </w:rPr>
        <w:t>6.23</w:t>
      </w:r>
      <w:r w:rsidRPr="00930DE8">
        <w:rPr>
          <w:rFonts w:ascii="Tahoma" w:hAnsi="Tahoma"/>
          <w:i/>
          <w:sz w:val="22"/>
        </w:rPr>
        <w:tab/>
        <w:t>Compartilhamento das Garantias. As Garantias Reais descritas no item 6.21 acima são compartilhadas com os credores:</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Pr="00930DE8">
        <w:rPr>
          <w:rFonts w:ascii="Tahoma" w:hAnsi="Tahoma"/>
          <w:b/>
          <w:i/>
          <w:sz w:val="22"/>
        </w:rPr>
        <w:tab/>
      </w:r>
      <w:r w:rsidRPr="00930DE8">
        <w:rPr>
          <w:rFonts w:ascii="Tahoma" w:hAnsi="Tahoma"/>
          <w:i/>
          <w:sz w:val="22"/>
        </w:rPr>
        <w:t>das debêntures da 1ª (primeira) emissão da Galheiros, nos termos do “Instrumento Particular de Escritura da 1ª (primeira) Emissão de Debêntures Simples, Não Conversíveis em Ações, da Espécie com Garantia Real, com Garantia Adicional Fidejussória, em Três Séries, para Colocação Privada, da Galheiros Geração de Energia S.A.” (“</w:t>
      </w:r>
      <w:r w:rsidRPr="00930DE8">
        <w:rPr>
          <w:rFonts w:ascii="Tahoma" w:hAnsi="Tahoma"/>
          <w:i/>
          <w:sz w:val="22"/>
          <w:u w:val="single"/>
        </w:rPr>
        <w:t>Escritura de Emissão Galheiros</w:t>
      </w:r>
      <w:r w:rsidRPr="00930DE8">
        <w:rPr>
          <w:rFonts w:ascii="Tahoma" w:hAnsi="Tahoma"/>
          <w:i/>
          <w:sz w:val="22"/>
        </w:rPr>
        <w:t xml:space="preserve">”); </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w:t>
      </w:r>
      <w:r w:rsidRPr="00930DE8">
        <w:rPr>
          <w:rFonts w:ascii="Tahoma" w:hAnsi="Tahoma"/>
          <w:i/>
          <w:sz w:val="22"/>
        </w:rPr>
        <w:tab/>
        <w:t xml:space="preserve">das debêntures da 1ª (primeira) emissão da Afluente, nos termos do “Instrumento Particular de Escritura da 1ª (primeira) Emissão de Debêntures Simples, Não Conversíveis em Ações, da Espécie com Garantia Real, com Garantia Adicional Fidejussória, em Três </w:t>
      </w:r>
      <w:r w:rsidRPr="00930DE8">
        <w:rPr>
          <w:rFonts w:ascii="Tahoma" w:hAnsi="Tahoma"/>
          <w:i/>
          <w:sz w:val="22"/>
        </w:rPr>
        <w:lastRenderedPageBreak/>
        <w:t>Séries, para Colocação Privada, da Afluente Geração de Energia Elétrica S.A.” (“</w:t>
      </w:r>
      <w:r w:rsidRPr="00930DE8">
        <w:rPr>
          <w:rFonts w:ascii="Tahoma" w:hAnsi="Tahoma"/>
          <w:i/>
          <w:sz w:val="22"/>
          <w:u w:val="single"/>
        </w:rPr>
        <w:t>Escritura de Emissão Afluente</w:t>
      </w:r>
      <w:r w:rsidRPr="00930DE8">
        <w:rPr>
          <w:rFonts w:ascii="Tahoma" w:hAnsi="Tahoma"/>
          <w:i/>
          <w:sz w:val="22"/>
        </w:rPr>
        <w:t>”);</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(iii)</w:t>
      </w:r>
      <w:r w:rsidRPr="00930DE8">
        <w:rPr>
          <w:rFonts w:ascii="Tahoma" w:hAnsi="Tahoma"/>
          <w:i/>
          <w:sz w:val="22"/>
        </w:rPr>
        <w:tab/>
        <w:t>das debêntures da 2ª (segunda) emissão da Contour, nos termos do “Instrumento Particular de Escritura da 2ª (segunda) Emissão de Debêntures Simples, Não Conversíveis em Ações, da Espécie com Garantia Real, em Série Única, para Colocação Privada, da Contour Global do Brasil Participações S.A.” (“</w:t>
      </w:r>
      <w:r w:rsidRPr="00930DE8">
        <w:rPr>
          <w:rFonts w:ascii="Tahoma" w:hAnsi="Tahoma"/>
          <w:i/>
          <w:sz w:val="22"/>
          <w:u w:val="single"/>
        </w:rPr>
        <w:t>Escritura de Emissão Contour</w:t>
      </w:r>
      <w:r w:rsidRPr="00930DE8">
        <w:rPr>
          <w:rFonts w:ascii="Tahoma" w:hAnsi="Tahoma"/>
          <w:i/>
          <w:sz w:val="22"/>
        </w:rPr>
        <w:t>”);</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(iv)</w:t>
      </w:r>
      <w:r w:rsidRPr="00930DE8">
        <w:rPr>
          <w:rFonts w:ascii="Tahoma" w:hAnsi="Tahoma"/>
          <w:b/>
          <w:i/>
          <w:sz w:val="22"/>
        </w:rPr>
        <w:tab/>
      </w:r>
      <w:r w:rsidRPr="00930DE8">
        <w:rPr>
          <w:rFonts w:ascii="Tahoma" w:hAnsi="Tahoma"/>
          <w:i/>
          <w:sz w:val="22"/>
        </w:rPr>
        <w:t>das debêntures da 1ª (primeira) emissão da Bahia PCH, nos termos do “Instrumento Particular de Escritura da 1ª (primeira) Emissão de Debêntures Simples, Não Conversíveis em Ações, da Espécie com Garantia Real, com Garantia Adicional Fidejussória, em Três Séries, para Colocação Privada, da Bahia PCH I S.A.” (“</w:t>
      </w:r>
      <w:r w:rsidRPr="00930DE8">
        <w:rPr>
          <w:rFonts w:ascii="Tahoma" w:hAnsi="Tahoma"/>
          <w:i/>
          <w:sz w:val="22"/>
          <w:u w:val="single"/>
        </w:rPr>
        <w:t>Escritura de Emissão Bahia PCH</w:t>
      </w:r>
      <w:r w:rsidRPr="00930DE8">
        <w:rPr>
          <w:rFonts w:ascii="Tahoma" w:hAnsi="Tahoma"/>
          <w:i/>
          <w:sz w:val="22"/>
        </w:rPr>
        <w:t>”);</w:t>
      </w:r>
      <w:r>
        <w:rPr>
          <w:rFonts w:ascii="Tahoma" w:hAnsi="Tahoma"/>
          <w:i/>
          <w:sz w:val="22"/>
        </w:rPr>
        <w:t xml:space="preserve"> e</w:t>
      </w:r>
    </w:p>
    <w:p w:rsidR="006770AD" w:rsidRPr="00930DE8"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Rio PCH, nos termos do “Instrumento Particular de Escritura da 1ª (primeira) Emissão de Debêntures Simples, Não Conversíveis em Ações, da Espécie com Garantia Real, com Garantia Adicional Fidejussória, em Três Séries, para Colocação Privada, da Rio PCH I S.A.” (“</w:t>
      </w:r>
      <w:r w:rsidRPr="00930DE8">
        <w:rPr>
          <w:rFonts w:ascii="Tahoma" w:hAnsi="Tahoma"/>
          <w:i/>
          <w:sz w:val="22"/>
          <w:u w:val="single"/>
        </w:rPr>
        <w:t>Escritura de Emissão Rio PCH</w:t>
      </w:r>
      <w:r w:rsidRPr="00930DE8">
        <w:rPr>
          <w:rFonts w:ascii="Tahoma" w:hAnsi="Tahoma"/>
          <w:i/>
          <w:sz w:val="22"/>
        </w:rPr>
        <w:t>” e, em conjunto com Escritura de Emissão Galheiros, Escritura de Emissão Afluente, Escritura de Emissão Contour</w:t>
      </w:r>
      <w:r>
        <w:rPr>
          <w:rFonts w:ascii="Tahoma" w:hAnsi="Tahoma"/>
          <w:i/>
          <w:sz w:val="22"/>
        </w:rPr>
        <w:t xml:space="preserve"> e</w:t>
      </w:r>
      <w:r w:rsidRPr="00930DE8">
        <w:rPr>
          <w:rFonts w:ascii="Tahoma" w:hAnsi="Tahoma"/>
          <w:i/>
          <w:sz w:val="22"/>
        </w:rPr>
        <w:t xml:space="preserve"> Escritura de Emissão Bahia PCH, “</w:t>
      </w:r>
      <w:r w:rsidRPr="00930DE8">
        <w:rPr>
          <w:rFonts w:ascii="Tahoma" w:hAnsi="Tahoma"/>
          <w:i/>
          <w:sz w:val="22"/>
          <w:u w:val="single"/>
        </w:rPr>
        <w:t>Escrituras de Emissão Subsidiárias</w:t>
      </w:r>
      <w:r w:rsidRPr="00930DE8">
        <w:rPr>
          <w:rFonts w:ascii="Tahoma" w:hAnsi="Tahoma"/>
          <w:i/>
          <w:sz w:val="22"/>
        </w:rPr>
        <w:t>”), compartilhamento esse regido nos termos desta Escritura de Emissão e dos Contratos de Garantia.</w:t>
      </w:r>
    </w:p>
    <w:p w:rsidR="006770AD" w:rsidRDefault="006770AD" w:rsidP="006770AD">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6.23.1</w:t>
      </w:r>
      <w:r w:rsidRPr="00930DE8">
        <w:rPr>
          <w:rFonts w:ascii="Tahoma" w:hAnsi="Tahoma"/>
          <w:i/>
          <w:sz w:val="22"/>
        </w:rPr>
        <w:tab/>
        <w:t>Em função do compartilhamento de que trata o item 6.23 acima, as Garantias Reais foram constituídas em garantia de todas as obrigações assumidas no âmbito desta Escritura de Emissão e das Escrituras de Emissão Subsidiárias,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6770AD" w:rsidRPr="00925B6F" w:rsidRDefault="006770AD" w:rsidP="006770AD">
      <w:pPr>
        <w:pStyle w:val="Level4"/>
        <w:numPr>
          <w:ilvl w:val="0"/>
          <w:numId w:val="0"/>
        </w:numPr>
        <w:tabs>
          <w:tab w:val="left" w:pos="709"/>
        </w:tabs>
        <w:spacing w:after="240" w:line="320" w:lineRule="exact"/>
        <w:ind w:left="709"/>
        <w:rPr>
          <w:i/>
        </w:rPr>
      </w:pPr>
      <w:r>
        <w:rPr>
          <w:i/>
        </w:rPr>
        <w:t xml:space="preserve">“9.2 (...) (xi) </w:t>
      </w:r>
      <w:r w:rsidRPr="00925B6F">
        <w:rPr>
          <w:i/>
        </w:rPr>
        <w:t>verific</w:t>
      </w:r>
      <w:r>
        <w:rPr>
          <w:i/>
        </w:rPr>
        <w:t>ou</w:t>
      </w:r>
      <w:r w:rsidRPr="00ED45C1">
        <w:rPr>
          <w:i/>
        </w:rPr>
        <w:t>, na forma prevista no inciso X do Art. 11 da Instrução CVM 583, a regularidade da constituição das Garantias, bem como sua suficiência e exequibilidade;</w:t>
      </w:r>
      <w:r>
        <w:rPr>
          <w:i/>
        </w:rPr>
        <w:t>”</w:t>
      </w:r>
    </w:p>
    <w:p w:rsidR="006770AD" w:rsidRDefault="006770AD" w:rsidP="006770AD">
      <w:pPr>
        <w:pStyle w:val="Level4"/>
        <w:numPr>
          <w:ilvl w:val="0"/>
          <w:numId w:val="0"/>
        </w:numPr>
        <w:tabs>
          <w:tab w:val="left" w:pos="709"/>
        </w:tabs>
        <w:spacing w:after="240" w:line="320" w:lineRule="exact"/>
        <w:ind w:left="709"/>
        <w:rPr>
          <w:i/>
        </w:rPr>
      </w:pPr>
      <w:r w:rsidRPr="00930DE8">
        <w:t>“</w:t>
      </w:r>
      <w:r w:rsidRPr="00930DE8">
        <w:rPr>
          <w:i/>
        </w:rPr>
        <w:t>11.1 (…) (xiv) possui, nesta data, e possuía, na data em que os Contratos de Garantia foram celebrados, pleno poder, autoridade e capacidade para celebrar os Contratos de Garantia, bem como todas as autorizações societárias e demais autorizações necessárias para a constituição das Garantias;”</w:t>
      </w:r>
    </w:p>
    <w:p w:rsidR="006770AD" w:rsidRDefault="006770AD" w:rsidP="006770AD">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lastRenderedPageBreak/>
        <w:t>Excluir os itens 6.21.2 e</w:t>
      </w:r>
      <w:r w:rsidRPr="00930DE8">
        <w:rPr>
          <w:rFonts w:ascii="Tahoma" w:hAnsi="Tahoma"/>
          <w:sz w:val="22"/>
        </w:rPr>
        <w:t xml:space="preserve"> 6.21.4</w:t>
      </w:r>
      <w:r>
        <w:rPr>
          <w:rFonts w:ascii="Tahoma" w:hAnsi="Tahoma"/>
          <w:sz w:val="22"/>
        </w:rPr>
        <w:t xml:space="preserve"> da Escritura de Emissão, em razão do cumprimento das obrigações previstas nestes itens</w:t>
      </w:r>
      <w:r w:rsidR="007F39BA">
        <w:rPr>
          <w:rFonts w:ascii="Tahoma" w:hAnsi="Tahoma"/>
          <w:sz w:val="22"/>
        </w:rPr>
        <w:t>, bem como excluir o Anexo III – Modelos de Contrato de Garantia, em razão da celebração de tais Contratos de Garantia</w:t>
      </w:r>
      <w:r>
        <w:rPr>
          <w:rFonts w:ascii="Tahoma" w:hAnsi="Tahoma"/>
          <w:sz w:val="22"/>
        </w:rPr>
        <w:t xml:space="preserve">. </w:t>
      </w:r>
    </w:p>
    <w:p w:rsidR="006770AD"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931317">
        <w:rPr>
          <w:rFonts w:ascii="Tahoma" w:hAnsi="Tahoma"/>
          <w:sz w:val="22"/>
        </w:rPr>
        <w:t xml:space="preserve">As </w:t>
      </w:r>
      <w:r w:rsidRPr="00611273">
        <w:rPr>
          <w:rFonts w:ascii="Tahoma" w:hAnsi="Tahoma"/>
          <w:sz w:val="22"/>
        </w:rPr>
        <w:t xml:space="preserve">Partes </w:t>
      </w:r>
      <w:r w:rsidRPr="00931317">
        <w:rPr>
          <w:rFonts w:ascii="Tahoma" w:hAnsi="Tahoma"/>
          <w:sz w:val="22"/>
        </w:rPr>
        <w:t xml:space="preserve">concordam que a Escritura de Emissão será devidamente adequada e, conforme o caso, renumerada, para refletir as alterações deliberadas nesta Cláusula </w:t>
      </w:r>
      <w:r>
        <w:rPr>
          <w:rFonts w:ascii="Tahoma" w:hAnsi="Tahoma"/>
          <w:sz w:val="22"/>
        </w:rPr>
        <w:t>Segunda</w:t>
      </w:r>
      <w:r w:rsidRPr="00931317">
        <w:rPr>
          <w:rFonts w:ascii="Tahoma" w:hAnsi="Tahoma"/>
          <w:sz w:val="22"/>
        </w:rPr>
        <w:t>.</w:t>
      </w:r>
    </w:p>
    <w:p w:rsidR="006770AD"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930DE8">
        <w:rPr>
          <w:rFonts w:ascii="Tahoma" w:hAnsi="Tahoma"/>
          <w:sz w:val="22"/>
        </w:rPr>
        <w:t>Em razão da alteração estabelecida n</w:t>
      </w:r>
      <w:r>
        <w:rPr>
          <w:rFonts w:ascii="Tahoma" w:hAnsi="Tahoma"/>
          <w:sz w:val="22"/>
        </w:rPr>
        <w:t xml:space="preserve">o item </w:t>
      </w:r>
      <w:r>
        <w:rPr>
          <w:rFonts w:ascii="Tahoma" w:hAnsi="Tahoma"/>
          <w:sz w:val="22"/>
        </w:rPr>
        <w:fldChar w:fldCharType="begin"/>
      </w:r>
      <w:r>
        <w:rPr>
          <w:rFonts w:ascii="Tahoma" w:hAnsi="Tahoma"/>
          <w:sz w:val="22"/>
        </w:rPr>
        <w:instrText xml:space="preserve"> REF _Ref518326924 \r \p \h </w:instrText>
      </w:r>
      <w:r>
        <w:rPr>
          <w:rFonts w:ascii="Tahoma" w:hAnsi="Tahoma"/>
          <w:sz w:val="22"/>
        </w:rPr>
      </w:r>
      <w:r>
        <w:rPr>
          <w:rFonts w:ascii="Tahoma" w:hAnsi="Tahoma"/>
          <w:sz w:val="22"/>
        </w:rPr>
        <w:fldChar w:fldCharType="separate"/>
      </w:r>
      <w:r w:rsidR="00281921">
        <w:rPr>
          <w:rFonts w:ascii="Tahoma" w:hAnsi="Tahoma"/>
          <w:sz w:val="22"/>
        </w:rPr>
        <w:t>2.1 acima</w:t>
      </w:r>
      <w:r>
        <w:rPr>
          <w:rFonts w:ascii="Tahoma" w:hAnsi="Tahoma"/>
          <w:sz w:val="22"/>
        </w:rPr>
        <w:fldChar w:fldCharType="end"/>
      </w:r>
      <w:r w:rsidRPr="00930DE8">
        <w:rPr>
          <w:rFonts w:ascii="Tahoma" w:hAnsi="Tahoma"/>
          <w:sz w:val="22"/>
        </w:rPr>
        <w:t xml:space="preserve">, para todos os fins e efeitos, toda e qualquer referência </w:t>
      </w:r>
      <w:r>
        <w:rPr>
          <w:rFonts w:ascii="Tahoma" w:hAnsi="Tahoma"/>
          <w:sz w:val="22"/>
        </w:rPr>
        <w:t>ao termo</w:t>
      </w:r>
      <w:r w:rsidRPr="00930DE8">
        <w:rPr>
          <w:rFonts w:ascii="Tahoma" w:hAnsi="Tahoma"/>
          <w:sz w:val="22"/>
        </w:rPr>
        <w:t xml:space="preserve"> </w:t>
      </w:r>
      <w:r>
        <w:rPr>
          <w:rFonts w:ascii="Tahoma" w:hAnsi="Tahoma"/>
          <w:sz w:val="22"/>
        </w:rPr>
        <w:t>“</w:t>
      </w:r>
      <w:r w:rsidRPr="00930DE8">
        <w:rPr>
          <w:rFonts w:ascii="Tahoma" w:hAnsi="Tahoma"/>
          <w:sz w:val="22"/>
        </w:rPr>
        <w:t>espécie quirografária das Debêntures</w:t>
      </w:r>
      <w:r>
        <w:rPr>
          <w:rFonts w:ascii="Tahoma" w:hAnsi="Tahoma"/>
          <w:sz w:val="22"/>
        </w:rPr>
        <w:t>”</w:t>
      </w:r>
      <w:r w:rsidRPr="00930DE8">
        <w:rPr>
          <w:rFonts w:ascii="Tahoma" w:hAnsi="Tahoma"/>
          <w:sz w:val="22"/>
        </w:rPr>
        <w:t xml:space="preserve"> será considerada como uma referência à espécie com garantia real</w:t>
      </w:r>
      <w:r>
        <w:rPr>
          <w:rFonts w:ascii="Tahoma" w:hAnsi="Tahoma"/>
          <w:sz w:val="22"/>
        </w:rPr>
        <w:t>, com garantia adicional fidejussória</w:t>
      </w:r>
      <w:r w:rsidRPr="00930DE8">
        <w:rPr>
          <w:rFonts w:ascii="Tahoma" w:hAnsi="Tahoma"/>
          <w:sz w:val="22"/>
        </w:rPr>
        <w:t xml:space="preserve"> das Debêntures</w:t>
      </w:r>
      <w:r>
        <w:rPr>
          <w:rFonts w:ascii="Tahoma" w:hAnsi="Tahoma"/>
          <w:sz w:val="22"/>
        </w:rPr>
        <w:t xml:space="preserve">, sendo que a Escritura de Emissão passa a ser denominada </w:t>
      </w:r>
      <w:r w:rsidRPr="00930DE8">
        <w:rPr>
          <w:rFonts w:ascii="Tahoma" w:hAnsi="Tahoma"/>
          <w:sz w:val="22"/>
        </w:rPr>
        <w:t>“Instrumento Particular de Escritura da 1ª (primeira)</w:t>
      </w:r>
      <w:r>
        <w:rPr>
          <w:rFonts w:ascii="Tahoma" w:hAnsi="Tahoma"/>
          <w:sz w:val="22"/>
        </w:rPr>
        <w:t xml:space="preserve"> </w:t>
      </w:r>
      <w:r w:rsidRPr="00930DE8">
        <w:rPr>
          <w:rFonts w:ascii="Tahoma" w:hAnsi="Tahoma"/>
          <w:sz w:val="22"/>
        </w:rPr>
        <w:t xml:space="preserve">Emissão de Debêntures Simples, Não Conversíveis em Ações, da Espécie com Garantia Real, com Garantia Adicional Fidejussória, em </w:t>
      </w:r>
      <w:r>
        <w:rPr>
          <w:rFonts w:ascii="Tahoma" w:hAnsi="Tahoma"/>
          <w:sz w:val="22"/>
        </w:rPr>
        <w:t xml:space="preserve">Duas </w:t>
      </w:r>
      <w:r w:rsidRPr="00930DE8">
        <w:rPr>
          <w:rFonts w:ascii="Tahoma" w:hAnsi="Tahoma"/>
          <w:sz w:val="22"/>
        </w:rPr>
        <w:t xml:space="preserve">Séries, para Colocação Privada, da </w:t>
      </w:r>
      <w:r w:rsidRPr="006770AD">
        <w:rPr>
          <w:rFonts w:ascii="Tahoma" w:hAnsi="Tahoma"/>
          <w:bCs/>
          <w:sz w:val="22"/>
        </w:rPr>
        <w:t>Goiás Sul Geração de Energia</w:t>
      </w:r>
      <w:r w:rsidRPr="006770AD">
        <w:rPr>
          <w:rFonts w:ascii="Tahoma" w:hAnsi="Tahoma"/>
          <w:b/>
          <w:bCs/>
          <w:sz w:val="22"/>
        </w:rPr>
        <w:t xml:space="preserve"> </w:t>
      </w:r>
      <w:r w:rsidRPr="006770AD">
        <w:rPr>
          <w:rFonts w:ascii="Tahoma" w:hAnsi="Tahoma"/>
          <w:bCs/>
          <w:sz w:val="22"/>
        </w:rPr>
        <w:t>S.A.</w:t>
      </w:r>
      <w:r w:rsidRPr="00930DE8">
        <w:rPr>
          <w:rFonts w:ascii="Tahoma" w:hAnsi="Tahoma"/>
          <w:sz w:val="22"/>
        </w:rPr>
        <w:t>”</w:t>
      </w:r>
      <w:r>
        <w:rPr>
          <w:rFonts w:ascii="Tahoma" w:hAnsi="Tahoma"/>
          <w:sz w:val="22"/>
        </w:rPr>
        <w:t>.</w:t>
      </w:r>
    </w:p>
    <w:p w:rsidR="006770AD" w:rsidRPr="00ED45C1"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ED45C1">
        <w:rPr>
          <w:rFonts w:ascii="Tahoma" w:eastAsia="Batang" w:hAnsi="Tahoma"/>
          <w:b/>
          <w:sz w:val="22"/>
        </w:rPr>
        <w:t xml:space="preserve">CLÁUSULA TERCEIRA – DOS REQUISITOS </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Arquivamento d</w:t>
      </w:r>
      <w:r>
        <w:rPr>
          <w:rFonts w:ascii="Tahoma" w:hAnsi="Tahoma"/>
          <w:b/>
          <w:sz w:val="22"/>
        </w:rPr>
        <w:t xml:space="preserve">este Aditamento </w:t>
      </w:r>
      <w:r w:rsidRPr="00255EA0">
        <w:rPr>
          <w:rFonts w:ascii="Tahoma" w:hAnsi="Tahoma"/>
          <w:b/>
          <w:sz w:val="22"/>
        </w:rPr>
        <w:t>na JUCESP</w:t>
      </w:r>
      <w:r w:rsidRPr="00255EA0">
        <w:rPr>
          <w:rFonts w:ascii="Tahoma" w:hAnsi="Tahoma"/>
          <w:sz w:val="22"/>
        </w:rPr>
        <w:t>. Est</w:t>
      </w:r>
      <w:r>
        <w:rPr>
          <w:rFonts w:ascii="Tahoma" w:hAnsi="Tahoma"/>
          <w:sz w:val="22"/>
        </w:rPr>
        <w:t xml:space="preserve">e Aditamento </w:t>
      </w:r>
      <w:r w:rsidRPr="00255EA0">
        <w:rPr>
          <w:rFonts w:ascii="Tahoma" w:hAnsi="Tahoma"/>
          <w:sz w:val="22"/>
        </w:rPr>
        <w:t>ser</w:t>
      </w:r>
      <w:r>
        <w:rPr>
          <w:rFonts w:ascii="Tahoma" w:hAnsi="Tahoma"/>
          <w:sz w:val="22"/>
        </w:rPr>
        <w:t>á protocolado</w:t>
      </w:r>
      <w:r w:rsidRPr="00255EA0">
        <w:rPr>
          <w:rFonts w:ascii="Tahoma" w:hAnsi="Tahoma"/>
          <w:sz w:val="22"/>
        </w:rPr>
        <w:t xml:space="preserve"> para registro na JUCESP, em até 5 (cinco) Dias Úteis contados da data da respectiva assinatura, devendo ser entregues cópias dos protocolos do</w:t>
      </w:r>
      <w:r>
        <w:rPr>
          <w:rFonts w:ascii="Tahoma" w:hAnsi="Tahoma"/>
          <w:sz w:val="22"/>
        </w:rPr>
        <w:t xml:space="preserve"> respectivo pedido</w:t>
      </w:r>
      <w:r w:rsidRPr="00255EA0">
        <w:rPr>
          <w:rFonts w:ascii="Tahoma" w:hAnsi="Tahoma"/>
          <w:sz w:val="22"/>
        </w:rPr>
        <w:t xml:space="preserve">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 xml:space="preserve">este Aditamento </w:t>
      </w:r>
      <w:r w:rsidRPr="00255EA0">
        <w:rPr>
          <w:rFonts w:ascii="Tahoma" w:hAnsi="Tahoma"/>
          <w:sz w:val="22"/>
        </w:rPr>
        <w:t xml:space="preserve">devidamente registrado no prazo de até 5 (cinco) Dias Úteis contados da data do efetivo registro. </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 xml:space="preserve">Registro da Escritura de Emissão. </w:t>
      </w:r>
      <w:r w:rsidRPr="00255EA0">
        <w:rPr>
          <w:rFonts w:ascii="Tahoma" w:hAnsi="Tahoma"/>
          <w:sz w:val="22"/>
        </w:rPr>
        <w:t>Nos termos do artigo 129 da Lei nº 6.015, de 31 de dezembro de 1973, conforme alterada (“</w:t>
      </w:r>
      <w:r w:rsidRPr="00255EA0">
        <w:rPr>
          <w:rFonts w:ascii="Tahoma" w:hAnsi="Tahoma"/>
          <w:sz w:val="22"/>
          <w:u w:val="single"/>
        </w:rPr>
        <w:t>Lei de Registros Públicos</w:t>
      </w:r>
      <w:r w:rsidRPr="00255EA0">
        <w:rPr>
          <w:rFonts w:ascii="Tahoma" w:hAnsi="Tahoma"/>
          <w:sz w:val="22"/>
        </w:rPr>
        <w:t xml:space="preserve">”), </w:t>
      </w:r>
      <w:r>
        <w:rPr>
          <w:rFonts w:ascii="Tahoma" w:hAnsi="Tahoma"/>
          <w:sz w:val="22"/>
        </w:rPr>
        <w:t xml:space="preserve">em razão da </w:t>
      </w:r>
      <w:r w:rsidRPr="00255EA0">
        <w:rPr>
          <w:rFonts w:ascii="Tahoma" w:hAnsi="Tahoma"/>
          <w:sz w:val="22"/>
        </w:rPr>
        <w:t>constituição da Fiança, est</w:t>
      </w:r>
      <w:r>
        <w:rPr>
          <w:rFonts w:ascii="Tahoma" w:hAnsi="Tahoma"/>
          <w:sz w:val="22"/>
        </w:rPr>
        <w:t xml:space="preserve">e Aditamento </w:t>
      </w:r>
      <w:r w:rsidRPr="00255EA0">
        <w:rPr>
          <w:rFonts w:ascii="Tahoma" w:hAnsi="Tahoma"/>
          <w:sz w:val="22"/>
        </w:rPr>
        <w:t>ser</w:t>
      </w:r>
      <w:r>
        <w:rPr>
          <w:rFonts w:ascii="Tahoma" w:hAnsi="Tahoma"/>
          <w:sz w:val="22"/>
        </w:rPr>
        <w:t xml:space="preserve">á </w:t>
      </w:r>
      <w:r w:rsidRPr="00255EA0">
        <w:rPr>
          <w:rFonts w:ascii="Tahoma" w:hAnsi="Tahoma"/>
          <w:sz w:val="22"/>
        </w:rPr>
        <w:t>protoc</w:t>
      </w:r>
      <w:r>
        <w:rPr>
          <w:rFonts w:ascii="Tahoma" w:hAnsi="Tahoma"/>
          <w:sz w:val="22"/>
        </w:rPr>
        <w:t>olado</w:t>
      </w:r>
      <w:r w:rsidRPr="00255EA0">
        <w:rPr>
          <w:rFonts w:ascii="Tahoma" w:hAnsi="Tahoma"/>
          <w:sz w:val="22"/>
        </w:rPr>
        <w:t xml:space="preserve">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este Aditamento</w:t>
      </w:r>
      <w:r w:rsidRPr="00255EA0">
        <w:rPr>
          <w:rFonts w:ascii="Tahoma" w:hAnsi="Tahoma"/>
          <w:sz w:val="22"/>
        </w:rPr>
        <w:t>, devidamente registrado no prazo de até 5 (cinco) Dias Úteis contados da data do efetivo registro.</w:t>
      </w:r>
    </w:p>
    <w:p w:rsidR="006770AD"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lastRenderedPageBreak/>
        <w:t xml:space="preserve">CLÁUSULA </w:t>
      </w:r>
      <w:r>
        <w:rPr>
          <w:rFonts w:ascii="Tahoma" w:eastAsia="Batang" w:hAnsi="Tahoma"/>
          <w:b/>
          <w:sz w:val="22"/>
        </w:rPr>
        <w:t>QUARTA –</w:t>
      </w:r>
      <w:r w:rsidRPr="00930DE8">
        <w:rPr>
          <w:rFonts w:ascii="Tahoma" w:eastAsia="Batang" w:hAnsi="Tahoma"/>
          <w:b/>
          <w:sz w:val="22"/>
        </w:rPr>
        <w:t xml:space="preserve"> </w:t>
      </w:r>
      <w:r>
        <w:rPr>
          <w:rFonts w:ascii="Tahoma" w:eastAsia="Batang" w:hAnsi="Tahoma"/>
          <w:b/>
          <w:sz w:val="22"/>
        </w:rPr>
        <w:t>DECLARAÇÕES DAS PARTES</w:t>
      </w:r>
    </w:p>
    <w:p w:rsidR="006770AD" w:rsidRPr="004E4EDC"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As Partes, neste ato, declaram que todas as obrigações assumidas na Escritura de Emissão</w:t>
      </w:r>
      <w:r>
        <w:rPr>
          <w:rFonts w:ascii="Tahoma" w:hAnsi="Tahoma"/>
          <w:sz w:val="22"/>
        </w:rPr>
        <w:t xml:space="preserve"> que não tenham sido expressamente alterados neste Aditamento,</w:t>
      </w:r>
      <w:r w:rsidRPr="004E4EDC">
        <w:rPr>
          <w:rFonts w:ascii="Tahoma" w:hAnsi="Tahoma"/>
          <w:sz w:val="22"/>
        </w:rPr>
        <w:t xml:space="preserve"> se aplicam a este Aditamento, como se aqui estivessem transcritas.</w:t>
      </w:r>
    </w:p>
    <w:p w:rsidR="006770AD" w:rsidRPr="004E4EDC"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 xml:space="preserve">A Emissora e </w:t>
      </w:r>
      <w:r>
        <w:rPr>
          <w:rFonts w:ascii="Tahoma" w:hAnsi="Tahoma"/>
          <w:sz w:val="22"/>
        </w:rPr>
        <w:t>a Contour</w:t>
      </w:r>
      <w:r w:rsidRPr="008873DD">
        <w:rPr>
          <w:rFonts w:ascii="Tahoma" w:hAnsi="Tahoma"/>
          <w:sz w:val="22"/>
          <w:lang w:eastAsia="en-US"/>
        </w:rPr>
        <w:t xml:space="preserve"> </w:t>
      </w:r>
      <w:r w:rsidRPr="00766D56">
        <w:rPr>
          <w:rFonts w:ascii="Tahoma" w:hAnsi="Tahoma"/>
          <w:sz w:val="22"/>
          <w:lang w:eastAsia="en-US"/>
        </w:rPr>
        <w:t>ratifica</w:t>
      </w:r>
      <w:r>
        <w:rPr>
          <w:rFonts w:ascii="Tahoma" w:hAnsi="Tahoma"/>
          <w:sz w:val="22"/>
          <w:lang w:eastAsia="en-US"/>
        </w:rPr>
        <w:t>m</w:t>
      </w:r>
      <w:r w:rsidRPr="00766D56">
        <w:rPr>
          <w:rFonts w:ascii="Tahoma" w:hAnsi="Tahoma"/>
          <w:sz w:val="22"/>
          <w:lang w:eastAsia="en-US"/>
        </w:rPr>
        <w:t xml:space="preserve"> e renova</w:t>
      </w:r>
      <w:r>
        <w:rPr>
          <w:rFonts w:ascii="Tahoma" w:hAnsi="Tahoma"/>
          <w:sz w:val="22"/>
          <w:lang w:eastAsia="en-US"/>
        </w:rPr>
        <w:t>m</w:t>
      </w:r>
      <w:r w:rsidRPr="00766D56">
        <w:rPr>
          <w:rFonts w:ascii="Tahoma" w:hAnsi="Tahoma"/>
          <w:sz w:val="22"/>
          <w:lang w:eastAsia="en-US"/>
        </w:rPr>
        <w:t xml:space="preserve">, neste ato, </w:t>
      </w:r>
      <w:r w:rsidRPr="004E4EDC">
        <w:rPr>
          <w:rFonts w:ascii="Tahoma" w:hAnsi="Tahoma"/>
          <w:sz w:val="22"/>
        </w:rPr>
        <w:t xml:space="preserve">todas as declarações e garantias previstas na Cláusula </w:t>
      </w:r>
      <w:r>
        <w:rPr>
          <w:rFonts w:ascii="Tahoma" w:hAnsi="Tahoma"/>
          <w:sz w:val="22"/>
        </w:rPr>
        <w:t xml:space="preserve">Décima Primeira </w:t>
      </w:r>
      <w:r w:rsidRPr="004E4EDC">
        <w:rPr>
          <w:rFonts w:ascii="Tahoma" w:hAnsi="Tahoma"/>
          <w:sz w:val="22"/>
        </w:rPr>
        <w:t>da Escritura de Emissão</w:t>
      </w:r>
      <w:r>
        <w:rPr>
          <w:rFonts w:ascii="Tahoma" w:hAnsi="Tahoma"/>
          <w:sz w:val="22"/>
        </w:rPr>
        <w:t xml:space="preserve">, as quais </w:t>
      </w:r>
      <w:r w:rsidRPr="004E4EDC">
        <w:rPr>
          <w:rFonts w:ascii="Tahoma" w:hAnsi="Tahoma"/>
          <w:sz w:val="22"/>
        </w:rPr>
        <w:t xml:space="preserve">permanecem verdadeiras, corretas e plenamente válidas e eficazes, na data de assinatura deste </w:t>
      </w:r>
      <w:r w:rsidRPr="004E4EDC">
        <w:rPr>
          <w:rFonts w:ascii="Tahoma" w:hAnsi="Tahoma"/>
          <w:sz w:val="22"/>
          <w:lang w:eastAsia="en-US"/>
        </w:rPr>
        <w:t>Aditamento</w:t>
      </w:r>
      <w:r w:rsidRPr="004E4EDC">
        <w:rPr>
          <w:rFonts w:ascii="Tahoma" w:hAnsi="Tahoma"/>
          <w:sz w:val="22"/>
        </w:rPr>
        <w:t>.</w:t>
      </w:r>
    </w:p>
    <w:p w:rsidR="006770AD"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QUINTA –</w:t>
      </w:r>
      <w:r w:rsidRPr="00930DE8">
        <w:rPr>
          <w:rFonts w:ascii="Tahoma" w:eastAsia="Batang" w:hAnsi="Tahoma"/>
          <w:b/>
          <w:sz w:val="22"/>
        </w:rPr>
        <w:t xml:space="preserve"> </w:t>
      </w:r>
      <w:r>
        <w:rPr>
          <w:rFonts w:ascii="Tahoma" w:eastAsia="Batang" w:hAnsi="Tahoma"/>
          <w:b/>
          <w:sz w:val="22"/>
        </w:rPr>
        <w:t>RATIFICAÇÕES E CONSOLIDAÇÕES</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As alterações feitas na Escritura de Emissão por meio deste Aditamento não implicam em novação.</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Ficam ratificadas</w:t>
      </w:r>
      <w:r>
        <w:rPr>
          <w:rFonts w:ascii="Tahoma" w:hAnsi="Tahoma"/>
          <w:sz w:val="22"/>
        </w:rPr>
        <w:t xml:space="preserve"> e permanecem em pleno vigor e efeito</w:t>
      </w:r>
      <w:r w:rsidRPr="004E4EDC">
        <w:rPr>
          <w:rFonts w:ascii="Tahoma" w:hAnsi="Tahoma"/>
          <w:sz w:val="22"/>
        </w:rPr>
        <w:t>, nos termos em que se encontram redigidas, todas as demais cláusulas, itens, características e condições estabelecidas na Escritura de Emissão que não tenham sido expressamente alteradas por este Aditamento.</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Em decorrência das alterações previstas neste Aditamento, as Partes decidem que a Escritura de Emissão passa a vigorar, de forma consolidada, conforme disposto no Anexo I deste Aditamento.</w:t>
      </w:r>
    </w:p>
    <w:p w:rsidR="006770AD" w:rsidRPr="00255EA0"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SEXTA </w:t>
      </w:r>
      <w:r w:rsidRPr="00255EA0">
        <w:rPr>
          <w:rFonts w:ascii="Tahoma" w:eastAsia="Batang" w:hAnsi="Tahoma"/>
          <w:b/>
          <w:sz w:val="22"/>
        </w:rPr>
        <w:t>- DAS DISPOSIÇÕES GERAIS</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Não se presume a renúncia a qualquer dos direitos decorrentes d</w:t>
      </w:r>
      <w:r>
        <w:rPr>
          <w:rFonts w:ascii="Tahoma" w:hAnsi="Tahoma"/>
          <w:sz w:val="22"/>
        </w:rPr>
        <w:t xml:space="preserve">o </w:t>
      </w:r>
      <w:r w:rsidRPr="00255EA0">
        <w:rPr>
          <w:rFonts w:ascii="Tahoma" w:hAnsi="Tahoma"/>
          <w:sz w:val="22"/>
        </w:rPr>
        <w:t xml:space="preserve">presente </w:t>
      </w:r>
      <w:r>
        <w:rPr>
          <w:rFonts w:ascii="Tahoma" w:hAnsi="Tahoma"/>
          <w:sz w:val="22"/>
        </w:rPr>
        <w:t>Aditamento</w:t>
      </w:r>
      <w:r w:rsidRPr="00255EA0">
        <w:rPr>
          <w:rFonts w:ascii="Tahoma" w:hAnsi="Tahoma"/>
          <w:sz w:val="22"/>
        </w:rPr>
        <w:t>. Dessa forma, nenhum atraso, omissão ou liberalidade no exercício de qualquer direito, faculdade ou remédio que caiba a qualquer uma das partes d</w:t>
      </w: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prejudicará tais direitos, faculdades ou remédios, ou será interpretado como uma renúncia aos mesmos ou concordância com tal inadimplemento, nem constituirá novação ou modificação de quaisquer outras obrigações assumidas nest</w:t>
      </w:r>
      <w:r>
        <w:rPr>
          <w:rFonts w:ascii="Tahoma" w:hAnsi="Tahoma"/>
          <w:sz w:val="22"/>
        </w:rPr>
        <w:t>e Aditamento</w:t>
      </w:r>
      <w:r w:rsidRPr="00255EA0">
        <w:rPr>
          <w:rFonts w:ascii="Tahoma" w:hAnsi="Tahoma"/>
          <w:sz w:val="22"/>
        </w:rPr>
        <w:t xml:space="preserve"> ou precedente no tocante a qualquer outro inadimplemento ou atraso.</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é firmado</w:t>
      </w:r>
      <w:r w:rsidRPr="00255EA0">
        <w:rPr>
          <w:rFonts w:ascii="Tahoma" w:hAnsi="Tahoma"/>
          <w:sz w:val="22"/>
        </w:rPr>
        <w:t xml:space="preserve"> em caráter irrevogável e irretratável.</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Todos e quaisquer custos incorridos em razão do registro dest</w:t>
      </w:r>
      <w:r>
        <w:rPr>
          <w:rFonts w:ascii="Tahoma" w:hAnsi="Tahoma"/>
          <w:sz w:val="22"/>
        </w:rPr>
        <w:t xml:space="preserve">e Aditamento </w:t>
      </w:r>
      <w:r w:rsidRPr="00255EA0">
        <w:rPr>
          <w:rFonts w:ascii="Tahoma" w:hAnsi="Tahoma"/>
          <w:sz w:val="22"/>
        </w:rPr>
        <w:t>nos registros competentes serão de responsabilidade exclusiva da Emissora.</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lastRenderedPageBreak/>
        <w:t>Caso qualquer das disposições dest</w:t>
      </w:r>
      <w:r>
        <w:rPr>
          <w:rFonts w:ascii="Tahoma" w:hAnsi="Tahoma"/>
          <w:sz w:val="22"/>
        </w:rPr>
        <w:t xml:space="preserve">e Aditamento </w:t>
      </w:r>
      <w:r w:rsidRPr="00255EA0">
        <w:rPr>
          <w:rFonts w:ascii="Tahoma" w:hAnsi="Tahoma"/>
          <w:sz w:val="22"/>
        </w:rPr>
        <w:t>venha a ser julgada ilegal, inválida ou ineficaz, prevalecerão todas as demais disposições não afetadas por tal julgamento, comprometendo-se as Partes e as Intervenientes Anuentes, em boa-fé, a substituir a disposição afetada por outra que, na medida do possível, produza o mesmo efeito.</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constitui título executivo</w:t>
      </w:r>
      <w:r w:rsidRPr="00255EA0">
        <w:rPr>
          <w:rFonts w:ascii="Tahoma" w:hAnsi="Tahoma"/>
          <w:sz w:val="22"/>
        </w:rPr>
        <w:t xml:space="preserve"> extrajudicia</w:t>
      </w:r>
      <w:r>
        <w:rPr>
          <w:rFonts w:ascii="Tahoma" w:hAnsi="Tahoma"/>
          <w:sz w:val="22"/>
        </w:rPr>
        <w:t>l</w:t>
      </w:r>
      <w:r w:rsidRPr="00255EA0">
        <w:rPr>
          <w:rFonts w:ascii="Tahoma" w:hAnsi="Tahoma"/>
          <w:sz w:val="22"/>
        </w:rPr>
        <w:t>, nos termos do artigo 784, incisos I e III, do Código de Processo Civil, e as obrigações nel</w:t>
      </w:r>
      <w:r>
        <w:rPr>
          <w:rFonts w:ascii="Tahoma" w:hAnsi="Tahoma"/>
          <w:sz w:val="22"/>
        </w:rPr>
        <w:t xml:space="preserve">e </w:t>
      </w:r>
      <w:r w:rsidRPr="00255EA0">
        <w:rPr>
          <w:rFonts w:ascii="Tahoma" w:hAnsi="Tahoma"/>
          <w:sz w:val="22"/>
        </w:rPr>
        <w:t xml:space="preserve">encerradas estão sujeitas a execução específica, de acordo com os artigos 536 e seguintes do Código de Processo Civil, sem que isso signifique renúncia a qualquer outra ação ou providência, judicial ou não, que objetive resguardar direitos decorrentes do presente </w:t>
      </w:r>
      <w:r>
        <w:rPr>
          <w:rFonts w:ascii="Tahoma" w:hAnsi="Tahoma"/>
          <w:sz w:val="22"/>
        </w:rPr>
        <w:t>Aditamento</w:t>
      </w:r>
      <w:r w:rsidRPr="00255EA0">
        <w:rPr>
          <w:rFonts w:ascii="Tahoma" w:hAnsi="Tahoma"/>
          <w:sz w:val="22"/>
        </w:rPr>
        <w:t>.</w:t>
      </w:r>
    </w:p>
    <w:p w:rsidR="006770AD" w:rsidRPr="00255EA0"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SÉTIMA </w:t>
      </w:r>
      <w:r w:rsidRPr="00255EA0">
        <w:rPr>
          <w:rFonts w:ascii="Tahoma" w:eastAsia="Batang" w:hAnsi="Tahoma"/>
          <w:b/>
          <w:sz w:val="22"/>
        </w:rPr>
        <w:t>– LEI DE REGÊNCIA</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Esta Escritura de Emissão é regida pelas leis da República Federativa do Brasil.</w:t>
      </w:r>
    </w:p>
    <w:p w:rsidR="006770AD" w:rsidRPr="00255EA0" w:rsidRDefault="006770AD" w:rsidP="006770AD">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CLÁUSULA OITAVA – CLÁUSULA COMPROMISSÓRIA</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signatárias deste instrumento comprometem-se a envidar seus melhores esforços para alcançar um acordo sobre quaisquer disputas, controvérsias ou demandas oriundas, ou relacionadas às Debêntures</w:t>
      </w:r>
      <w:r>
        <w:rPr>
          <w:rFonts w:ascii="Tahoma" w:hAnsi="Tahoma"/>
          <w:b/>
          <w:sz w:val="22"/>
        </w:rPr>
        <w:t xml:space="preserve">, à </w:t>
      </w:r>
      <w:r w:rsidRPr="00255EA0">
        <w:rPr>
          <w:rFonts w:ascii="Tahoma" w:hAnsi="Tahoma"/>
          <w:b/>
          <w:sz w:val="22"/>
        </w:rPr>
        <w:t xml:space="preserve">Escritura de Emissão </w:t>
      </w:r>
      <w:r>
        <w:rPr>
          <w:rFonts w:ascii="Tahoma" w:hAnsi="Tahoma"/>
          <w:b/>
          <w:sz w:val="22"/>
        </w:rPr>
        <w:t xml:space="preserve">e/ou a este Aditamento </w:t>
      </w:r>
      <w:r w:rsidRPr="00255EA0">
        <w:rPr>
          <w:rFonts w:ascii="Tahoma" w:hAnsi="Tahoma"/>
          <w:b/>
          <w:sz w:val="22"/>
        </w:rPr>
        <w:t>(“</w:t>
      </w:r>
      <w:r w:rsidRPr="00255EA0">
        <w:rPr>
          <w:rFonts w:ascii="Tahoma" w:hAnsi="Tahoma"/>
          <w:b/>
          <w:sz w:val="22"/>
          <w:u w:val="single"/>
        </w:rPr>
        <w:t>Controvérsia</w:t>
      </w:r>
      <w:r w:rsidRPr="00255EA0">
        <w:rPr>
          <w:rFonts w:ascii="Tahoma" w:hAnsi="Tahoma"/>
          <w:b/>
          <w:sz w:val="22"/>
        </w:rPr>
        <w:t>”).</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Sem prejuízo à possibilidade de qualquer das partes envolvidas nesta relação contratual promover, no foro da Cidade de São Paulo, Estado de São Paulo: (i) a execução de obrigações líquidas, certas e exigíveis estipuladas nest</w:t>
      </w:r>
      <w:r>
        <w:rPr>
          <w:rFonts w:ascii="Tahoma" w:hAnsi="Tahoma"/>
          <w:b/>
          <w:sz w:val="22"/>
        </w:rPr>
        <w:t>e Aditamento, n</w:t>
      </w:r>
      <w:r w:rsidRPr="00255EA0">
        <w:rPr>
          <w:rFonts w:ascii="Tahoma" w:hAnsi="Tahoma"/>
          <w:b/>
          <w:sz w:val="22"/>
        </w:rPr>
        <w:t>a Escritura de Emissão e/ou nas Debêntures; (ii) a excussão das Garantias; (iii) a propositura da ação judicial de que trata o artigo 7º da Lei Federal nº 9.307/1996 (“</w:t>
      </w:r>
      <w:r w:rsidRPr="00255EA0">
        <w:rPr>
          <w:rFonts w:ascii="Tahoma" w:hAnsi="Tahoma"/>
          <w:b/>
          <w:sz w:val="22"/>
          <w:u w:val="single"/>
        </w:rPr>
        <w:t>Lei de Arbitragem</w:t>
      </w:r>
      <w:r w:rsidRPr="00255EA0">
        <w:rPr>
          <w:rFonts w:ascii="Tahoma" w:hAnsi="Tahoma"/>
          <w:b/>
          <w:sz w:val="22"/>
        </w:rPr>
        <w:t xml:space="preserve">”); (iv) a propositura de ações judiciais voltadas à obtenção de tutelas cautelares e de urgência, nos termos dos artigos 22-A e 22-B da Lei de Arbitragem e dos itens </w:t>
      </w:r>
      <w:r w:rsidRPr="00255EA0">
        <w:rPr>
          <w:rFonts w:ascii="Tahoma" w:hAnsi="Tahoma"/>
          <w:b/>
          <w:sz w:val="22"/>
        </w:rPr>
        <w:fldChar w:fldCharType="begin"/>
      </w:r>
      <w:r w:rsidRPr="00255EA0">
        <w:rPr>
          <w:rFonts w:ascii="Tahoma" w:hAnsi="Tahoma"/>
          <w:b/>
          <w:sz w:val="22"/>
        </w:rPr>
        <w:instrText xml:space="preserve"> REF _Ref507705760 \w \h  \* MERGEFORMAT </w:instrText>
      </w:r>
      <w:r w:rsidRPr="00255EA0">
        <w:rPr>
          <w:rFonts w:ascii="Tahoma" w:hAnsi="Tahoma"/>
          <w:b/>
          <w:sz w:val="22"/>
        </w:rPr>
      </w:r>
      <w:r w:rsidRPr="00255EA0">
        <w:rPr>
          <w:rFonts w:ascii="Tahoma" w:hAnsi="Tahoma"/>
          <w:b/>
          <w:sz w:val="22"/>
        </w:rPr>
        <w:fldChar w:fldCharType="separate"/>
      </w:r>
      <w:r w:rsidR="00281921">
        <w:rPr>
          <w:rFonts w:ascii="Tahoma" w:hAnsi="Tahoma"/>
          <w:b/>
          <w:sz w:val="22"/>
        </w:rPr>
        <w:t>15.8</w:t>
      </w:r>
      <w:r w:rsidRPr="00255EA0">
        <w:rPr>
          <w:rFonts w:ascii="Tahoma" w:hAnsi="Tahoma"/>
          <w:b/>
          <w:sz w:val="22"/>
        </w:rPr>
        <w:fldChar w:fldCharType="end"/>
      </w:r>
      <w:r w:rsidRPr="00255EA0">
        <w:rPr>
          <w:rFonts w:ascii="Tahoma" w:hAnsi="Tahoma"/>
          <w:b/>
          <w:sz w:val="22"/>
        </w:rPr>
        <w:t xml:space="preserve"> e </w:t>
      </w:r>
      <w:r w:rsidRPr="00255EA0">
        <w:rPr>
          <w:rFonts w:ascii="Tahoma" w:hAnsi="Tahoma"/>
          <w:b/>
          <w:sz w:val="22"/>
        </w:rPr>
        <w:fldChar w:fldCharType="begin"/>
      </w:r>
      <w:r w:rsidRPr="00255EA0">
        <w:rPr>
          <w:rFonts w:ascii="Tahoma" w:hAnsi="Tahoma"/>
          <w:b/>
          <w:sz w:val="22"/>
        </w:rPr>
        <w:instrText xml:space="preserve"> REF _Ref507705750 \w \p \h  \* MERGEFORMAT </w:instrText>
      </w:r>
      <w:r w:rsidRPr="00255EA0">
        <w:rPr>
          <w:rFonts w:ascii="Tahoma" w:hAnsi="Tahoma"/>
          <w:b/>
          <w:sz w:val="22"/>
        </w:rPr>
      </w:r>
      <w:r w:rsidRPr="00255EA0">
        <w:rPr>
          <w:rFonts w:ascii="Tahoma" w:hAnsi="Tahoma"/>
          <w:b/>
          <w:sz w:val="22"/>
        </w:rPr>
        <w:fldChar w:fldCharType="separate"/>
      </w:r>
      <w:r w:rsidR="00281921">
        <w:rPr>
          <w:rFonts w:ascii="Tahoma" w:hAnsi="Tahoma"/>
          <w:b/>
          <w:sz w:val="22"/>
        </w:rPr>
        <w:t>15.9 acima</w:t>
      </w:r>
      <w:r w:rsidRPr="00255EA0">
        <w:rPr>
          <w:rFonts w:ascii="Tahoma" w:hAnsi="Tahoma"/>
          <w:b/>
          <w:sz w:val="22"/>
        </w:rPr>
        <w:fldChar w:fldCharType="end"/>
      </w:r>
      <w:r w:rsidRPr="00255EA0">
        <w:rPr>
          <w:rFonts w:ascii="Tahoma" w:hAnsi="Tahoma"/>
          <w:b/>
          <w:sz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sidRPr="00255EA0">
        <w:rPr>
          <w:rFonts w:ascii="Tahoma" w:hAnsi="Tahoma"/>
          <w:b/>
          <w:sz w:val="22"/>
          <w:u w:val="single"/>
        </w:rPr>
        <w:t>CAM-CCBC</w:t>
      </w:r>
      <w:r w:rsidRPr="00255EA0">
        <w:rPr>
          <w:rFonts w:ascii="Tahoma" w:hAnsi="Tahoma"/>
          <w:b/>
          <w:sz w:val="22"/>
        </w:rPr>
        <w:t>”), de acordo com os termos de seu Regulamento de Arbitragem (“</w:t>
      </w:r>
      <w:r w:rsidRPr="00255EA0">
        <w:rPr>
          <w:rFonts w:ascii="Tahoma" w:hAnsi="Tahoma"/>
          <w:b/>
          <w:sz w:val="22"/>
          <w:u w:val="single"/>
        </w:rPr>
        <w:t>Regulamento</w:t>
      </w:r>
      <w:r w:rsidRPr="00255EA0">
        <w:rPr>
          <w:rFonts w:ascii="Tahoma" w:hAnsi="Tahoma"/>
          <w:b/>
          <w:sz w:val="22"/>
        </w:rPr>
        <w:t>”) e, subsidiariamente, com os termos da Lei de Arbitragem.</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Inclui-se no conceito de Controvérsia, sem limitação, os embargos do devedor à execução por quantia certa fundada nas Debêntures, que serão substituídos pela arbitragem.</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Qualquer disposição do Regulamento referente à limitação da escolha de árbitro àqueles que compõem o corpo de árbitros do CAM-CCBC não será aplicável. </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sidRPr="00255EA0">
        <w:rPr>
          <w:rFonts w:ascii="Tahoma" w:hAnsi="Tahoma"/>
          <w:b/>
          <w:i/>
          <w:sz w:val="22"/>
        </w:rPr>
        <w:t>ex aequo et bono</w:t>
      </w:r>
      <w:r w:rsidRPr="00255EA0">
        <w:rPr>
          <w:rFonts w:ascii="Tahoma" w:hAnsi="Tahoma"/>
          <w:b/>
          <w:sz w:val="22"/>
        </w:rPr>
        <w:t xml:space="preserve"> ou atuar como </w:t>
      </w:r>
      <w:r w:rsidRPr="00255EA0">
        <w:rPr>
          <w:rFonts w:ascii="Tahoma" w:hAnsi="Tahoma"/>
          <w:b/>
          <w:i/>
          <w:sz w:val="22"/>
        </w:rPr>
        <w:t>amiable compositeurs</w:t>
      </w:r>
      <w:r w:rsidRPr="00255EA0">
        <w:rPr>
          <w:rFonts w:ascii="Tahoma" w:hAnsi="Tahoma"/>
          <w:b/>
          <w:sz w:val="22"/>
        </w:rPr>
        <w:t>.</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As decisões do tribunal arbitral serão finais e vinculantes às partes da arbitragem e seus sucessores a qualquer título.</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CAM-CCBC (se antes da assinatura do Termo de Arbitragem) e o tribunal arbitral (se após a assinatura do Termo de Arbitragem) poderão, mediante requerimento de uma das partes das arbitragens, consolidar procedimentos arbitrais </w:t>
      </w:r>
      <w:r w:rsidRPr="00255EA0">
        <w:rPr>
          <w:rFonts w:ascii="Tahoma" w:hAnsi="Tahoma"/>
          <w:b/>
          <w:sz w:val="22"/>
        </w:rPr>
        <w:lastRenderedPageBreak/>
        <w:t>simultâneos envolvendo quaisquer das partes envolvidas nesta relação contratual e outras correlatas, ainda que nem todas sejam parte de ambos os procedimentos, ou dest</w:t>
      </w:r>
      <w:r>
        <w:rPr>
          <w:rFonts w:ascii="Tahoma" w:hAnsi="Tahoma"/>
          <w:b/>
          <w:sz w:val="22"/>
        </w:rPr>
        <w:t xml:space="preserve">e Aditamento </w:t>
      </w:r>
      <w:r w:rsidRPr="00255EA0">
        <w:rPr>
          <w:rFonts w:ascii="Tahoma" w:hAnsi="Tahoma"/>
          <w:b/>
          <w:sz w:val="22"/>
        </w:rPr>
        <w:t>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6770AD" w:rsidRPr="00255EA0" w:rsidRDefault="006770AD" w:rsidP="006770AD">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p>
    <w:p w:rsidR="006770AD" w:rsidRPr="00255EA0" w:rsidRDefault="006770AD" w:rsidP="006770AD">
      <w:pPr>
        <w:pStyle w:val="PargrafodaLista"/>
        <w:tabs>
          <w:tab w:val="left" w:pos="1134"/>
        </w:tabs>
        <w:spacing w:after="240" w:line="320" w:lineRule="exact"/>
        <w:ind w:left="0"/>
        <w:rPr>
          <w:rFonts w:ascii="Tahoma" w:hAnsi="Tahoma"/>
          <w:sz w:val="22"/>
        </w:rPr>
      </w:pPr>
      <w:r w:rsidRPr="00255EA0">
        <w:rPr>
          <w:rFonts w:ascii="Tahoma" w:hAnsi="Tahoma"/>
          <w:sz w:val="22"/>
        </w:rPr>
        <w:t>E, por estarem justas e contratadas, as Partes e as Intervenientes Anuentes firmam est</w:t>
      </w:r>
      <w:r>
        <w:rPr>
          <w:rFonts w:ascii="Tahoma" w:hAnsi="Tahoma"/>
          <w:sz w:val="22"/>
        </w:rPr>
        <w:t xml:space="preserve">e Aditamento </w:t>
      </w:r>
      <w:r w:rsidRPr="00255EA0">
        <w:rPr>
          <w:rFonts w:ascii="Tahoma" w:hAnsi="Tahoma"/>
          <w:sz w:val="22"/>
        </w:rPr>
        <w:t xml:space="preserve">em </w:t>
      </w:r>
      <w:r>
        <w:rPr>
          <w:rFonts w:ascii="Tahoma" w:hAnsi="Tahoma"/>
          <w:sz w:val="22"/>
        </w:rPr>
        <w:t>5</w:t>
      </w:r>
      <w:r w:rsidRPr="00255EA0">
        <w:rPr>
          <w:rFonts w:ascii="Tahoma" w:hAnsi="Tahoma"/>
          <w:sz w:val="22"/>
        </w:rPr>
        <w:t> (</w:t>
      </w:r>
      <w:r>
        <w:rPr>
          <w:rFonts w:ascii="Tahoma" w:hAnsi="Tahoma"/>
          <w:sz w:val="22"/>
        </w:rPr>
        <w:t>cinco</w:t>
      </w:r>
      <w:r w:rsidRPr="00255EA0">
        <w:rPr>
          <w:rFonts w:ascii="Tahoma" w:hAnsi="Tahoma"/>
          <w:sz w:val="22"/>
        </w:rPr>
        <w:t>) vias de igual teor e forma, na presença das duas testemunhas ao final assinadas e qualificadas.</w:t>
      </w:r>
    </w:p>
    <w:p w:rsidR="006770AD" w:rsidRPr="00255EA0" w:rsidRDefault="006770AD" w:rsidP="006770AD">
      <w:pPr>
        <w:suppressAutoHyphens/>
        <w:spacing w:after="240" w:line="320" w:lineRule="exact"/>
        <w:jc w:val="center"/>
      </w:pPr>
      <w:r w:rsidRPr="00255EA0">
        <w:t>São Paulo, [●] de [●] de 2018</w:t>
      </w:r>
      <w:r w:rsidRPr="00255EA0">
        <w:br/>
        <w:t>[</w:t>
      </w:r>
      <w:r w:rsidRPr="00255EA0">
        <w:rPr>
          <w:i/>
        </w:rPr>
        <w:t>restante da página intencionalmente deixado em branco</w:t>
      </w:r>
      <w:r w:rsidRPr="00255EA0">
        <w:t>]</w:t>
      </w:r>
    </w:p>
    <w:p w:rsidR="006770AD" w:rsidRPr="00E469ED" w:rsidRDefault="006770AD" w:rsidP="006770AD">
      <w:pPr>
        <w:tabs>
          <w:tab w:val="left" w:pos="709"/>
          <w:tab w:val="left" w:pos="1418"/>
        </w:tabs>
        <w:spacing w:after="240" w:line="320" w:lineRule="exact"/>
        <w:jc w:val="center"/>
        <w:rPr>
          <w:rFonts w:eastAsia="Batang"/>
          <w:i/>
        </w:rPr>
      </w:pPr>
      <w:r w:rsidRPr="00930DE8" w:rsidDel="002156E2">
        <w:rPr>
          <w:rFonts w:eastAsia="Batang"/>
          <w:i/>
        </w:rPr>
        <w:t xml:space="preserve"> </w:t>
      </w:r>
      <w:r w:rsidRPr="00E469ED">
        <w:rPr>
          <w:rFonts w:eastAsia="Batang"/>
          <w:i/>
        </w:rPr>
        <w:t>[Páginas de ASSINATURA a serem inseridas]</w:t>
      </w:r>
    </w:p>
    <w:p w:rsidR="006770AD" w:rsidRPr="00E469ED" w:rsidRDefault="006770AD" w:rsidP="006770AD">
      <w:pPr>
        <w:tabs>
          <w:tab w:val="left" w:pos="709"/>
          <w:tab w:val="left" w:pos="1418"/>
        </w:tabs>
        <w:spacing w:after="240" w:line="320" w:lineRule="exact"/>
        <w:jc w:val="center"/>
        <w:rPr>
          <w:rFonts w:eastAsia="Batang"/>
          <w:i/>
        </w:rPr>
      </w:pPr>
      <w:r w:rsidRPr="00E469ED">
        <w:rPr>
          <w:rFonts w:eastAsia="Batang"/>
          <w:i/>
        </w:rPr>
        <w:t>[ANEXOS a serem inseridos]</w:t>
      </w:r>
    </w:p>
    <w:p w:rsidR="006770AD" w:rsidRDefault="006770AD">
      <w:pPr>
        <w:pStyle w:val="Default"/>
        <w:spacing w:after="240" w:line="320" w:lineRule="exact"/>
        <w:jc w:val="center"/>
        <w:rPr>
          <w:rFonts w:ascii="Tahoma" w:hAnsi="Tahoma" w:cs="Tahoma"/>
          <w:b/>
          <w:bCs/>
          <w:sz w:val="22"/>
          <w:szCs w:val="22"/>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ANEXO II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DATAS DE PAGAMENTO DAS DEBÊNTURES </w:t>
      </w:r>
    </w:p>
    <w:p w:rsidR="00C963BB" w:rsidRDefault="00C963BB">
      <w:pPr>
        <w:rPr>
          <w:b/>
          <w:bCs/>
          <w:color w:val="000000"/>
          <w:u w:val="single"/>
        </w:rPr>
      </w:pPr>
    </w:p>
    <w:p w:rsidR="00C963BB" w:rsidRDefault="00C759A0">
      <w:pPr>
        <w:rPr>
          <w:bCs/>
          <w:i/>
          <w:color w:val="000000"/>
        </w:rPr>
      </w:pPr>
      <w:r>
        <w:rPr>
          <w:bCs/>
          <w:i/>
          <w:color w:val="000000"/>
        </w:rPr>
        <w:t xml:space="preserve">Debêntures da Primeira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das Debêntures da Primeira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Primeira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7,5269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6,3953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6,8323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7,3333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7,9137</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9,7656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10,8225</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12,1359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13,8122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16,0256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19,0840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23,5849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2023</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30,8642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50,0000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24</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Data de Vencimento da Primeira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Segunda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Atualizado das Debêntures da Segunda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lastRenderedPageBreak/>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8D326A">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8D326A">
              <w:rPr>
                <w:sz w:val="18"/>
              </w:rPr>
              <w:lastRenderedPageBreak/>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8D326A" w:rsidRDefault="00C759A0">
            <w:pPr>
              <w:spacing w:after="240" w:line="320" w:lineRule="exact"/>
              <w:jc w:val="center"/>
              <w:rPr>
                <w:sz w:val="18"/>
              </w:rPr>
            </w:pPr>
            <w:r>
              <w:rPr>
                <w:sz w:val="18"/>
                <w:szCs w:val="18"/>
              </w:rPr>
              <w:t>18,6722%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Pr="008D326A"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8D326A"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Pr="008D326A"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8D326A"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Terceira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 xml:space="preserve">Percentual Amortizado do Saldo do Valor Nominal Unitário das Debêntures da </w:t>
            </w:r>
            <w:r w:rsidR="00E35D24">
              <w:rPr>
                <w:b/>
                <w:color w:val="000000"/>
                <w:sz w:val="18"/>
                <w:szCs w:val="18"/>
              </w:rPr>
              <w:t xml:space="preserve">Terceira </w:t>
            </w:r>
            <w:r>
              <w:rPr>
                <w:b/>
                <w:color w:val="000000"/>
                <w:sz w:val="18"/>
                <w:szCs w:val="18"/>
              </w:rPr>
              <w:t>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8D326A">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8D326A">
              <w:rPr>
                <w:sz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8D326A" w:rsidRDefault="00C759A0">
            <w:pPr>
              <w:spacing w:after="240" w:line="320" w:lineRule="exact"/>
              <w:jc w:val="center"/>
              <w:rPr>
                <w:sz w:val="18"/>
              </w:rPr>
            </w:pPr>
            <w:r>
              <w:rPr>
                <w:sz w:val="18"/>
                <w:szCs w:val="18"/>
              </w:rPr>
              <w:t>18,6722</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tcPr>
          <w:p w:rsidR="00C963BB" w:rsidRPr="008D326A"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8D326A"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8D326A">
        <w:trPr>
          <w:trHeight w:val="300"/>
        </w:trPr>
        <w:tc>
          <w:tcPr>
            <w:tcW w:w="1216" w:type="dxa"/>
            <w:shd w:val="clear" w:color="auto" w:fill="auto"/>
            <w:noWrap/>
            <w:vAlign w:val="center"/>
            <w:hideMark/>
          </w:tcPr>
          <w:p w:rsidR="00C963BB" w:rsidRPr="008D326A"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8D326A"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Pr="008D326A" w:rsidRDefault="00C759A0">
            <w:pPr>
              <w:spacing w:after="240" w:line="320" w:lineRule="exact"/>
              <w:jc w:val="center"/>
              <w:rPr>
                <w:sz w:val="18"/>
              </w:rPr>
            </w:pPr>
            <w:r>
              <w:rPr>
                <w:sz w:val="18"/>
                <w:szCs w:val="18"/>
              </w:rPr>
              <w:t>100,0000</w:t>
            </w:r>
            <w:r w:rsidRPr="008D326A">
              <w:rPr>
                <w:sz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 xml:space="preserve">ANEXO III </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MODELOS DE CONTRATO DE GARANTIA</w:t>
      </w:r>
    </w:p>
    <w:p w:rsidR="00C963BB" w:rsidRDefault="00C963BB">
      <w:pPr>
        <w:rPr>
          <w:b/>
          <w:bCs/>
          <w:color w:val="000000"/>
          <w:u w:val="single"/>
        </w:rPr>
      </w:pPr>
    </w:p>
    <w:p w:rsidR="007F39BA" w:rsidRDefault="007F39BA">
      <w:pPr>
        <w:rPr>
          <w:b/>
          <w:bCs/>
          <w:color w:val="000000"/>
          <w:u w:val="single"/>
        </w:rPr>
      </w:pPr>
    </w:p>
    <w:p w:rsidR="007F39BA" w:rsidRDefault="007F39BA" w:rsidP="007F39BA">
      <w:pPr>
        <w:jc w:val="center"/>
      </w:pPr>
      <w:r w:rsidRPr="00255EA0">
        <w:t>[</w:t>
      </w:r>
      <w:r w:rsidRPr="00255EA0">
        <w:rPr>
          <w:i/>
        </w:rPr>
        <w:t>restante da página intencionalmente deixado em branco</w:t>
      </w:r>
      <w:r w:rsidRPr="00255EA0">
        <w:t>]</w:t>
      </w:r>
    </w:p>
    <w:p w:rsidR="007F39BA" w:rsidRDefault="007F39BA">
      <w:pPr>
        <w:rPr>
          <w:b/>
          <w:bCs/>
          <w:color w:val="000000"/>
          <w:u w:val="single"/>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IV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PARTICIPAÇÕES SOCIETÁRIAS</w:t>
      </w:r>
    </w:p>
    <w:tbl>
      <w:tblPr>
        <w:tblStyle w:val="Tabelacomgrade"/>
        <w:tblW w:w="0" w:type="auto"/>
        <w:jc w:val="center"/>
        <w:tblLook w:val="04A0" w:firstRow="1" w:lastRow="0" w:firstColumn="1" w:lastColumn="0" w:noHBand="0" w:noVBand="1"/>
      </w:tblPr>
      <w:tblGrid>
        <w:gridCol w:w="2229"/>
        <w:gridCol w:w="2479"/>
        <w:gridCol w:w="2625"/>
      </w:tblGrid>
      <w:tr w:rsidR="006770AD" w:rsidTr="006770AD">
        <w:trPr>
          <w:jc w:val="center"/>
        </w:trPr>
        <w:tc>
          <w:tcPr>
            <w:tcW w:w="2229" w:type="dxa"/>
          </w:tcPr>
          <w:p w:rsidR="006770AD" w:rsidRPr="00432329" w:rsidRDefault="006770AD" w:rsidP="00432329">
            <w:pPr>
              <w:pStyle w:val="Default"/>
              <w:spacing w:after="240" w:line="320" w:lineRule="exact"/>
              <w:rPr>
                <w:b/>
                <w:sz w:val="22"/>
              </w:rPr>
            </w:pPr>
            <w:r>
              <w:rPr>
                <w:rFonts w:ascii="Tahoma" w:hAnsi="Tahoma" w:cs="Tahoma"/>
                <w:b/>
                <w:sz w:val="22"/>
                <w:szCs w:val="22"/>
              </w:rPr>
              <w:t xml:space="preserve">Acionista </w:t>
            </w:r>
          </w:p>
        </w:tc>
        <w:tc>
          <w:tcPr>
            <w:tcW w:w="2479" w:type="dxa"/>
          </w:tcPr>
          <w:p w:rsidR="006770AD" w:rsidRPr="00432329" w:rsidRDefault="006770AD" w:rsidP="00432329">
            <w:pPr>
              <w:pStyle w:val="Default"/>
              <w:spacing w:after="240" w:line="320" w:lineRule="exact"/>
              <w:rPr>
                <w:b/>
                <w:sz w:val="22"/>
              </w:rPr>
            </w:pPr>
            <w:r>
              <w:rPr>
                <w:rFonts w:ascii="Tahoma" w:hAnsi="Tahoma" w:cs="Tahoma"/>
                <w:b/>
                <w:sz w:val="22"/>
                <w:szCs w:val="22"/>
              </w:rPr>
              <w:t>Sociedade</w:t>
            </w:r>
          </w:p>
        </w:tc>
        <w:tc>
          <w:tcPr>
            <w:tcW w:w="2625" w:type="dxa"/>
          </w:tcPr>
          <w:p w:rsidR="006770AD" w:rsidRPr="00432329" w:rsidRDefault="006770AD" w:rsidP="00432329">
            <w:pPr>
              <w:pStyle w:val="Default"/>
              <w:spacing w:after="240" w:line="320" w:lineRule="exact"/>
              <w:rPr>
                <w:b/>
                <w:sz w:val="22"/>
              </w:rPr>
            </w:pPr>
            <w:r>
              <w:rPr>
                <w:rFonts w:ascii="Tahoma" w:hAnsi="Tahoma" w:cs="Tahoma"/>
                <w:b/>
                <w:sz w:val="22"/>
                <w:szCs w:val="22"/>
              </w:rPr>
              <w:t xml:space="preserve">Participação Societária Mínima no Capital Social </w:t>
            </w:r>
          </w:p>
        </w:tc>
      </w:tr>
      <w:tr w:rsidR="006770AD" w:rsidTr="006770AD">
        <w:trPr>
          <w:jc w:val="center"/>
        </w:trPr>
        <w:tc>
          <w:tcPr>
            <w:tcW w:w="2229" w:type="dxa"/>
          </w:tcPr>
          <w:p w:rsidR="006770AD" w:rsidRPr="00432329" w:rsidRDefault="006770AD" w:rsidP="00432329">
            <w:pPr>
              <w:pStyle w:val="Default"/>
              <w:spacing w:after="240" w:line="320" w:lineRule="exact"/>
              <w:rPr>
                <w:sz w:val="22"/>
              </w:rPr>
            </w:pPr>
            <w:r>
              <w:rPr>
                <w:rFonts w:ascii="Tahoma" w:hAnsi="Tahoma" w:cs="Tahoma"/>
                <w:sz w:val="22"/>
                <w:szCs w:val="22"/>
              </w:rPr>
              <w:t>Kani</w:t>
            </w:r>
          </w:p>
        </w:tc>
        <w:tc>
          <w:tcPr>
            <w:tcW w:w="2479" w:type="dxa"/>
          </w:tcPr>
          <w:p w:rsidR="006770AD" w:rsidRPr="00432329" w:rsidRDefault="006770AD" w:rsidP="00432329">
            <w:pPr>
              <w:pStyle w:val="Default"/>
              <w:spacing w:after="240" w:line="320" w:lineRule="exact"/>
              <w:rPr>
                <w:sz w:val="22"/>
              </w:rPr>
            </w:pPr>
            <w:r>
              <w:rPr>
                <w:rFonts w:ascii="Tahoma" w:hAnsi="Tahoma" w:cs="Tahoma"/>
                <w:sz w:val="22"/>
                <w:szCs w:val="22"/>
              </w:rPr>
              <w:t>Contour</w:t>
            </w:r>
          </w:p>
        </w:tc>
        <w:tc>
          <w:tcPr>
            <w:tcW w:w="2625" w:type="dxa"/>
          </w:tcPr>
          <w:p w:rsidR="006770AD" w:rsidRPr="00432329" w:rsidRDefault="006770AD" w:rsidP="00432329">
            <w:pPr>
              <w:pStyle w:val="Default"/>
              <w:spacing w:after="240" w:line="320" w:lineRule="exact"/>
              <w:rPr>
                <w:sz w:val="22"/>
              </w:rPr>
            </w:pPr>
            <w:r>
              <w:rPr>
                <w:rFonts w:ascii="Tahoma" w:hAnsi="Tahoma" w:cs="Tahoma"/>
                <w:sz w:val="22"/>
                <w:szCs w:val="22"/>
              </w:rPr>
              <w:t>99,99</w:t>
            </w:r>
            <w:r w:rsidRPr="00432329">
              <w:rPr>
                <w:rFonts w:ascii="Tahoma" w:hAnsi="Tahoma"/>
                <w:sz w:val="22"/>
              </w:rPr>
              <w:t>%</w:t>
            </w:r>
          </w:p>
        </w:tc>
      </w:tr>
      <w:tr w:rsidR="006770AD" w:rsidTr="006770AD">
        <w:trPr>
          <w:jc w:val="center"/>
        </w:trPr>
        <w:tc>
          <w:tcPr>
            <w:tcW w:w="2229" w:type="dxa"/>
          </w:tcPr>
          <w:p w:rsidR="006770AD" w:rsidRPr="00432329" w:rsidRDefault="006770AD" w:rsidP="00432329">
            <w:pPr>
              <w:pStyle w:val="Default"/>
              <w:spacing w:after="240" w:line="320" w:lineRule="exact"/>
              <w:rPr>
                <w:sz w:val="22"/>
              </w:rPr>
            </w:pPr>
            <w:r>
              <w:rPr>
                <w:rFonts w:ascii="Tahoma" w:hAnsi="Tahoma" w:cs="Tahoma"/>
                <w:sz w:val="22"/>
                <w:szCs w:val="22"/>
              </w:rPr>
              <w:t>Contour</w:t>
            </w:r>
          </w:p>
        </w:tc>
        <w:tc>
          <w:tcPr>
            <w:tcW w:w="2479" w:type="dxa"/>
          </w:tcPr>
          <w:p w:rsidR="006770AD" w:rsidRPr="00432329" w:rsidRDefault="006770AD" w:rsidP="00432329">
            <w:pPr>
              <w:pStyle w:val="Default"/>
              <w:spacing w:after="240" w:line="320" w:lineRule="exact"/>
              <w:rPr>
                <w:sz w:val="22"/>
              </w:rPr>
            </w:pPr>
            <w:r>
              <w:rPr>
                <w:rFonts w:ascii="Tahoma" w:hAnsi="Tahoma" w:cs="Tahoma"/>
                <w:sz w:val="22"/>
                <w:szCs w:val="22"/>
              </w:rPr>
              <w:t>Galheiros</w:t>
            </w:r>
          </w:p>
        </w:tc>
        <w:tc>
          <w:tcPr>
            <w:tcW w:w="2625" w:type="dxa"/>
          </w:tcPr>
          <w:p w:rsidR="006770AD" w:rsidRPr="00432329" w:rsidRDefault="006770AD" w:rsidP="00432329">
            <w:pPr>
              <w:pStyle w:val="Default"/>
              <w:spacing w:after="240" w:line="320" w:lineRule="exact"/>
              <w:rPr>
                <w:sz w:val="22"/>
              </w:rPr>
            </w:pPr>
            <w:r>
              <w:rPr>
                <w:rFonts w:ascii="Tahoma" w:hAnsi="Tahoma" w:cs="Tahoma"/>
                <w:sz w:val="22"/>
                <w:szCs w:val="22"/>
              </w:rPr>
              <w:t>95,65</w:t>
            </w:r>
            <w:r w:rsidRPr="00432329">
              <w:rPr>
                <w:rFonts w:ascii="Tahoma" w:hAnsi="Tahoma"/>
                <w:sz w:val="22"/>
              </w:rPr>
              <w:t>%</w:t>
            </w:r>
          </w:p>
        </w:tc>
      </w:tr>
      <w:tr w:rsidR="006770AD" w:rsidTr="006770AD">
        <w:trPr>
          <w:jc w:val="center"/>
        </w:trPr>
        <w:tc>
          <w:tcPr>
            <w:tcW w:w="2229" w:type="dxa"/>
          </w:tcPr>
          <w:p w:rsidR="006770AD" w:rsidRPr="00432329" w:rsidRDefault="006770AD" w:rsidP="00432329">
            <w:pPr>
              <w:pStyle w:val="Default"/>
              <w:spacing w:after="240" w:line="320" w:lineRule="exact"/>
              <w:rPr>
                <w:sz w:val="22"/>
              </w:rPr>
            </w:pPr>
            <w:r>
              <w:rPr>
                <w:rFonts w:ascii="Tahoma" w:hAnsi="Tahoma" w:cs="Tahoma"/>
                <w:sz w:val="22"/>
                <w:szCs w:val="22"/>
              </w:rPr>
              <w:t>Contour</w:t>
            </w:r>
          </w:p>
        </w:tc>
        <w:tc>
          <w:tcPr>
            <w:tcW w:w="2479" w:type="dxa"/>
          </w:tcPr>
          <w:p w:rsidR="006770AD" w:rsidRPr="00432329" w:rsidRDefault="006770AD" w:rsidP="00432329">
            <w:pPr>
              <w:pStyle w:val="Default"/>
              <w:spacing w:after="240" w:line="320" w:lineRule="exact"/>
              <w:rPr>
                <w:sz w:val="22"/>
              </w:rPr>
            </w:pPr>
            <w:r>
              <w:rPr>
                <w:rFonts w:ascii="Tahoma" w:hAnsi="Tahoma" w:cs="Tahoma"/>
                <w:sz w:val="22"/>
                <w:szCs w:val="22"/>
              </w:rPr>
              <w:t>Afluente</w:t>
            </w:r>
          </w:p>
        </w:tc>
        <w:tc>
          <w:tcPr>
            <w:tcW w:w="2625" w:type="dxa"/>
          </w:tcPr>
          <w:p w:rsidR="006770AD" w:rsidRPr="00432329" w:rsidRDefault="006770AD" w:rsidP="00432329">
            <w:pPr>
              <w:pStyle w:val="Default"/>
              <w:spacing w:after="240" w:line="320" w:lineRule="exact"/>
              <w:rPr>
                <w:sz w:val="22"/>
              </w:rPr>
            </w:pPr>
            <w:r>
              <w:rPr>
                <w:rFonts w:ascii="Tahoma" w:hAnsi="Tahoma" w:cs="Tahoma"/>
                <w:sz w:val="22"/>
                <w:szCs w:val="22"/>
              </w:rPr>
              <w:t>100,00</w:t>
            </w:r>
            <w:r w:rsidRPr="00432329">
              <w:rPr>
                <w:rFonts w:ascii="Tahoma" w:hAnsi="Tahoma"/>
                <w:sz w:val="22"/>
              </w:rPr>
              <w:t>%</w:t>
            </w:r>
          </w:p>
        </w:tc>
      </w:tr>
      <w:tr w:rsidR="006770AD" w:rsidTr="006770AD">
        <w:trPr>
          <w:jc w:val="center"/>
        </w:trPr>
        <w:tc>
          <w:tcPr>
            <w:tcW w:w="2229" w:type="dxa"/>
          </w:tcPr>
          <w:p w:rsidR="006770AD" w:rsidRPr="00432329" w:rsidRDefault="006770AD" w:rsidP="00432329">
            <w:pPr>
              <w:pStyle w:val="Default"/>
              <w:spacing w:after="240" w:line="320" w:lineRule="exact"/>
              <w:rPr>
                <w:sz w:val="22"/>
              </w:rPr>
            </w:pPr>
            <w:r>
              <w:rPr>
                <w:rFonts w:ascii="Tahoma" w:hAnsi="Tahoma" w:cs="Tahoma"/>
                <w:sz w:val="22"/>
                <w:szCs w:val="22"/>
              </w:rPr>
              <w:t>Contour</w:t>
            </w:r>
          </w:p>
        </w:tc>
        <w:tc>
          <w:tcPr>
            <w:tcW w:w="2479" w:type="dxa"/>
          </w:tcPr>
          <w:p w:rsidR="006770AD" w:rsidRPr="00432329" w:rsidRDefault="006770AD" w:rsidP="00432329">
            <w:pPr>
              <w:pStyle w:val="Default"/>
              <w:spacing w:after="240" w:line="320" w:lineRule="exact"/>
              <w:rPr>
                <w:sz w:val="22"/>
              </w:rPr>
            </w:pPr>
            <w:r>
              <w:rPr>
                <w:rFonts w:ascii="Tahoma" w:hAnsi="Tahoma" w:cs="Tahoma"/>
                <w:sz w:val="22"/>
                <w:szCs w:val="22"/>
              </w:rPr>
              <w:t>Bahia PCH</w:t>
            </w:r>
          </w:p>
        </w:tc>
        <w:tc>
          <w:tcPr>
            <w:tcW w:w="2625" w:type="dxa"/>
          </w:tcPr>
          <w:p w:rsidR="006770AD" w:rsidRPr="00432329" w:rsidRDefault="006770AD" w:rsidP="00432329">
            <w:pPr>
              <w:pStyle w:val="Default"/>
              <w:spacing w:after="240" w:line="320" w:lineRule="exact"/>
              <w:rPr>
                <w:sz w:val="22"/>
              </w:rPr>
            </w:pPr>
            <w:r>
              <w:rPr>
                <w:rFonts w:ascii="Tahoma" w:hAnsi="Tahoma" w:cs="Tahoma"/>
                <w:sz w:val="22"/>
                <w:szCs w:val="22"/>
              </w:rPr>
              <w:t>100,00</w:t>
            </w:r>
            <w:r w:rsidRPr="00432329">
              <w:rPr>
                <w:rFonts w:ascii="Tahoma" w:hAnsi="Tahoma"/>
                <w:sz w:val="22"/>
              </w:rPr>
              <w:t>%</w:t>
            </w:r>
          </w:p>
        </w:tc>
      </w:tr>
      <w:tr w:rsidR="006770AD" w:rsidTr="006770AD">
        <w:trPr>
          <w:jc w:val="center"/>
        </w:trPr>
        <w:tc>
          <w:tcPr>
            <w:tcW w:w="2229" w:type="dxa"/>
          </w:tcPr>
          <w:p w:rsidR="006770AD" w:rsidRPr="00432329" w:rsidRDefault="006770AD" w:rsidP="00432329">
            <w:pPr>
              <w:pStyle w:val="Default"/>
              <w:spacing w:after="240" w:line="320" w:lineRule="exact"/>
              <w:rPr>
                <w:sz w:val="22"/>
              </w:rPr>
            </w:pPr>
            <w:r>
              <w:rPr>
                <w:rFonts w:ascii="Tahoma" w:hAnsi="Tahoma" w:cs="Tahoma"/>
                <w:sz w:val="22"/>
                <w:szCs w:val="22"/>
              </w:rPr>
              <w:t>Contour</w:t>
            </w:r>
          </w:p>
        </w:tc>
        <w:tc>
          <w:tcPr>
            <w:tcW w:w="2479" w:type="dxa"/>
          </w:tcPr>
          <w:p w:rsidR="006770AD" w:rsidRPr="00432329" w:rsidRDefault="006770AD" w:rsidP="00432329">
            <w:pPr>
              <w:pStyle w:val="Default"/>
              <w:spacing w:after="240" w:line="320" w:lineRule="exact"/>
              <w:rPr>
                <w:sz w:val="22"/>
              </w:rPr>
            </w:pPr>
            <w:r>
              <w:rPr>
                <w:rFonts w:ascii="Tahoma" w:hAnsi="Tahoma" w:cs="Tahoma"/>
                <w:sz w:val="22"/>
                <w:szCs w:val="22"/>
              </w:rPr>
              <w:t>Goiás Sul</w:t>
            </w:r>
          </w:p>
        </w:tc>
        <w:tc>
          <w:tcPr>
            <w:tcW w:w="2625" w:type="dxa"/>
          </w:tcPr>
          <w:p w:rsidR="006770AD" w:rsidRPr="00432329" w:rsidRDefault="006770AD" w:rsidP="00432329">
            <w:pPr>
              <w:pStyle w:val="Default"/>
              <w:spacing w:after="240" w:line="320" w:lineRule="exact"/>
              <w:rPr>
                <w:sz w:val="22"/>
              </w:rPr>
            </w:pPr>
            <w:r>
              <w:rPr>
                <w:rFonts w:ascii="Tahoma" w:hAnsi="Tahoma" w:cs="Tahoma"/>
                <w:sz w:val="22"/>
                <w:szCs w:val="22"/>
              </w:rPr>
              <w:t>100,00</w:t>
            </w:r>
            <w:r w:rsidRPr="00432329">
              <w:rPr>
                <w:rFonts w:ascii="Tahoma" w:hAnsi="Tahoma"/>
                <w:sz w:val="22"/>
              </w:rPr>
              <w:t>%</w:t>
            </w:r>
          </w:p>
        </w:tc>
      </w:tr>
      <w:tr w:rsidR="006770AD" w:rsidTr="006770AD">
        <w:trPr>
          <w:jc w:val="center"/>
        </w:trPr>
        <w:tc>
          <w:tcPr>
            <w:tcW w:w="2229" w:type="dxa"/>
          </w:tcPr>
          <w:p w:rsidR="006770AD" w:rsidRPr="00432329" w:rsidRDefault="006770AD" w:rsidP="00432329">
            <w:pPr>
              <w:pStyle w:val="Default"/>
              <w:spacing w:after="240" w:line="320" w:lineRule="exact"/>
              <w:rPr>
                <w:sz w:val="22"/>
              </w:rPr>
            </w:pPr>
            <w:r>
              <w:rPr>
                <w:rFonts w:ascii="Tahoma" w:hAnsi="Tahoma" w:cs="Tahoma"/>
                <w:sz w:val="22"/>
                <w:szCs w:val="22"/>
              </w:rPr>
              <w:t>Contour</w:t>
            </w:r>
          </w:p>
        </w:tc>
        <w:tc>
          <w:tcPr>
            <w:tcW w:w="2479" w:type="dxa"/>
          </w:tcPr>
          <w:p w:rsidR="006770AD" w:rsidRPr="00432329" w:rsidRDefault="006770AD" w:rsidP="00432329">
            <w:pPr>
              <w:pStyle w:val="Default"/>
              <w:spacing w:after="240" w:line="320" w:lineRule="exact"/>
              <w:rPr>
                <w:sz w:val="22"/>
              </w:rPr>
            </w:pPr>
            <w:r>
              <w:rPr>
                <w:rFonts w:ascii="Tahoma" w:hAnsi="Tahoma" w:cs="Tahoma"/>
                <w:sz w:val="22"/>
                <w:szCs w:val="22"/>
              </w:rPr>
              <w:t>Rio PCH</w:t>
            </w:r>
          </w:p>
        </w:tc>
        <w:tc>
          <w:tcPr>
            <w:tcW w:w="2625" w:type="dxa"/>
          </w:tcPr>
          <w:p w:rsidR="006770AD" w:rsidRPr="00432329" w:rsidRDefault="006770AD" w:rsidP="00432329">
            <w:pPr>
              <w:pStyle w:val="Default"/>
              <w:spacing w:after="240" w:line="320" w:lineRule="exact"/>
              <w:rPr>
                <w:sz w:val="22"/>
              </w:rPr>
            </w:pPr>
            <w:r>
              <w:rPr>
                <w:rFonts w:ascii="Tahoma" w:hAnsi="Tahoma" w:cs="Tahoma"/>
                <w:sz w:val="22"/>
                <w:szCs w:val="22"/>
              </w:rPr>
              <w:t>70,00</w:t>
            </w:r>
            <w:r w:rsidRPr="00432329">
              <w:rPr>
                <w:rFonts w:ascii="Tahoma" w:hAnsi="Tahoma"/>
                <w:sz w:val="22"/>
              </w:rPr>
              <w:t>%</w:t>
            </w:r>
          </w:p>
        </w:tc>
      </w:tr>
      <w:tr w:rsidR="006770AD" w:rsidTr="006770AD">
        <w:trPr>
          <w:jc w:val="center"/>
        </w:trPr>
        <w:tc>
          <w:tcPr>
            <w:tcW w:w="2229" w:type="dxa"/>
          </w:tcPr>
          <w:p w:rsidR="006770AD" w:rsidRDefault="006770AD">
            <w:pPr>
              <w:pStyle w:val="Default"/>
              <w:spacing w:after="240" w:line="320" w:lineRule="exact"/>
              <w:rPr>
                <w:sz w:val="18"/>
                <w:szCs w:val="18"/>
              </w:rPr>
            </w:pPr>
            <w:r w:rsidRPr="006770AD">
              <w:rPr>
                <w:rFonts w:ascii="Tahoma" w:hAnsi="Tahoma" w:cs="Tahoma"/>
                <w:sz w:val="22"/>
                <w:szCs w:val="22"/>
              </w:rPr>
              <w:t xml:space="preserve">Contour </w:t>
            </w:r>
          </w:p>
        </w:tc>
        <w:tc>
          <w:tcPr>
            <w:tcW w:w="2479" w:type="dxa"/>
          </w:tcPr>
          <w:p w:rsidR="006770AD" w:rsidRPr="006770AD" w:rsidRDefault="006770AD">
            <w:pPr>
              <w:pStyle w:val="Default"/>
              <w:spacing w:after="240" w:line="320" w:lineRule="exact"/>
              <w:rPr>
                <w:rFonts w:ascii="Tahoma" w:hAnsi="Tahoma" w:cs="Tahoma"/>
                <w:sz w:val="22"/>
                <w:szCs w:val="22"/>
              </w:rPr>
            </w:pPr>
            <w:r w:rsidRPr="006770AD">
              <w:rPr>
                <w:rFonts w:ascii="Tahoma" w:hAnsi="Tahoma" w:cs="Tahoma"/>
                <w:sz w:val="22"/>
                <w:szCs w:val="22"/>
              </w:rPr>
              <w:t>Capuava</w:t>
            </w:r>
          </w:p>
        </w:tc>
        <w:tc>
          <w:tcPr>
            <w:tcW w:w="2625" w:type="dxa"/>
          </w:tcPr>
          <w:p w:rsidR="006770AD" w:rsidRPr="006770AD" w:rsidRDefault="00C27055">
            <w:pPr>
              <w:pStyle w:val="Default"/>
              <w:spacing w:after="240" w:line="320" w:lineRule="exact"/>
              <w:rPr>
                <w:rFonts w:ascii="Tahoma" w:hAnsi="Tahoma" w:cs="Tahoma"/>
                <w:sz w:val="22"/>
                <w:szCs w:val="22"/>
              </w:rPr>
            </w:pPr>
            <w:r>
              <w:rPr>
                <w:rFonts w:ascii="Tahoma" w:hAnsi="Tahoma" w:cs="Tahoma"/>
                <w:sz w:val="22"/>
                <w:szCs w:val="22"/>
              </w:rPr>
              <w:t>99,99</w:t>
            </w:r>
            <w:r w:rsidR="006770AD" w:rsidRPr="006770AD">
              <w:rPr>
                <w:rFonts w:ascii="Tahoma" w:hAnsi="Tahoma" w:cs="Tahoma"/>
                <w:sz w:val="22"/>
                <w:szCs w:val="22"/>
              </w:rPr>
              <w:t>%</w:t>
            </w:r>
          </w:p>
        </w:tc>
      </w:tr>
    </w:tbl>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METODÓLOGIA DE CÁLCULO DO ÍNDICE FINANCEIRO</w:t>
      </w:r>
    </w:p>
    <w:p w:rsidR="00C963BB" w:rsidRDefault="00C759A0">
      <w:pPr>
        <w:pStyle w:val="Level4"/>
        <w:numPr>
          <w:ilvl w:val="0"/>
          <w:numId w:val="0"/>
        </w:numPr>
        <w:tabs>
          <w:tab w:val="left" w:pos="708"/>
        </w:tabs>
        <w:spacing w:after="240" w:line="320" w:lineRule="exact"/>
      </w:pPr>
      <w:r>
        <w:t>O Índice Financeiro será calculado de acordo com a seguinte fórmula:</w:t>
      </w:r>
    </w:p>
    <w:p w:rsidR="00C963BB" w:rsidRDefault="00C759A0">
      <w:pPr>
        <w:pStyle w:val="Level4"/>
        <w:numPr>
          <w:ilvl w:val="0"/>
          <w:numId w:val="0"/>
        </w:numPr>
        <w:tabs>
          <w:tab w:val="left" w:pos="708"/>
        </w:tabs>
        <w:spacing w:after="240" w:line="320" w:lineRule="exact"/>
        <w:jc w:val="center"/>
      </w:pPr>
      <w:r>
        <w:t>Dívida Líquida/EBITDA igual ou inferior a 3,25 vezes</w:t>
      </w:r>
    </w:p>
    <w:p w:rsidR="00C963BB" w:rsidRDefault="00C759A0">
      <w:pPr>
        <w:pStyle w:val="Level4"/>
        <w:numPr>
          <w:ilvl w:val="0"/>
          <w:numId w:val="0"/>
        </w:numPr>
        <w:tabs>
          <w:tab w:val="left" w:pos="708"/>
        </w:tabs>
        <w:spacing w:after="240" w:line="320" w:lineRule="exact"/>
      </w:pPr>
      <w:r>
        <w:t>onde:</w:t>
      </w:r>
    </w:p>
    <w:p w:rsidR="00C963BB" w:rsidRDefault="00C759A0">
      <w:pPr>
        <w:pStyle w:val="Level4"/>
        <w:numPr>
          <w:ilvl w:val="0"/>
          <w:numId w:val="0"/>
        </w:numPr>
        <w:tabs>
          <w:tab w:val="left" w:pos="708"/>
        </w:tabs>
        <w:spacing w:after="240" w:line="320" w:lineRule="exact"/>
      </w:pPr>
      <w:r>
        <w:t>“</w:t>
      </w:r>
      <w:r>
        <w:rPr>
          <w:u w:val="single"/>
        </w:rPr>
        <w:t>Dívida Líquida</w:t>
      </w:r>
      <w:r>
        <w:t xml:space="preserve">” significa a soma algébrica dos empréstimos (excluindo quaisquer empréstimos com partes relacionadas entre as Subsidiárias), financiamentos, instrumentos de mercado de capital local e internacional e do saldo dos derivativos da Emissora, </w:t>
      </w:r>
      <w:r w:rsidR="003A4C3B">
        <w:t>da Contour,</w:t>
      </w:r>
      <w:r>
        <w:t xml:space="preserve"> das Subsidiárias e da Capuava (“</w:t>
      </w:r>
      <w:r>
        <w:rPr>
          <w:u w:val="single"/>
        </w:rPr>
        <w:t>Sociedades Combinadas</w:t>
      </w:r>
      <w:r>
        <w:t>”), bem como avais e fianças prestadas (“</w:t>
      </w:r>
      <w:r>
        <w:rPr>
          <w:u w:val="single"/>
        </w:rPr>
        <w:t>Endividamento</w:t>
      </w:r>
      <w:r>
        <w:t>”), em bases consolidadas das Sociedades Combinadas, menos as disponibilidades em caixa, os recursos depositados na Conta Reserva e na Conta Vinculada Dividendos SPEs, caso existentes, e as aplicações financeiras com liquidez imediata que não estejam onerados a qualquer obrigação (“</w:t>
      </w:r>
      <w:r>
        <w:rPr>
          <w:u w:val="single"/>
        </w:rPr>
        <w:t>Caixa</w:t>
      </w:r>
      <w:r>
        <w:t xml:space="preserve">”), em bases consolidadas das Sociedades Combinadas. Fica desde já certo e ajustado que não serão consideradas para fins de cálculo da Dívida Líquida e/ou Caixa eventuais cartas de fiança que forem obtidas em padrões usuais de mercado pelas Sociedades Combinadas para garantir as obrigações das Sociedades Combinadas referentes a contratos de compra de energia, desde que tais cartas de fiança, simultaneamente: </w:t>
      </w:r>
      <w:r>
        <w:rPr>
          <w:b/>
        </w:rPr>
        <w:t>(i)</w:t>
      </w:r>
      <w:r>
        <w:t xml:space="preserve"> não tenham sido acionadas; e </w:t>
      </w:r>
      <w:r>
        <w:rPr>
          <w:b/>
        </w:rPr>
        <w:t>(ii)</w:t>
      </w:r>
      <w:r>
        <w:t xml:space="preserve"> tenham valor agregado inferior a R$ 20.000.000,00 (vinte milhões de reais) por ano. Adicionalmente, em caso de existência de cartas de fiança que garantam valor superior ao indicado no inciso (ii) acima, somente será computado para fins de cálculo da Dívida Líquida o valor garantido excedente ao referido montante máximo, observado que, na hipótese de acionamento de uma carta de fiança, o montante acionado no âmbito de tal carta de fiança, independentemente do valor (inclusive se inferior ao limite indicado no item (ii) acima), será considerado para fins de cálculo da Dívida Líquida.</w:t>
      </w:r>
    </w:p>
    <w:p w:rsidR="00C963BB" w:rsidRDefault="00C759A0">
      <w:pPr>
        <w:pStyle w:val="Level4"/>
        <w:numPr>
          <w:ilvl w:val="0"/>
          <w:numId w:val="0"/>
        </w:numPr>
        <w:tabs>
          <w:tab w:val="left" w:pos="708"/>
        </w:tabs>
        <w:spacing w:after="240" w:line="320" w:lineRule="exact"/>
      </w:pPr>
      <w:r>
        <w:t xml:space="preserve">Sem prejuízo do disposto acima, em caso de existência de carta de fiança contratada por qualquer Sociedade Combinada, com contra garantia emitida por qualquer outra empresa que não seja uma Sociedade Combinada, tal carta de fiança não será considerada para fins de cálculo da Dívida Líquida, desde que não exista qualquer garantia, direito de regresso ou coobrigação de uma Sociedade Combinada no âmbito de referida carta de fiança. </w:t>
      </w:r>
    </w:p>
    <w:p w:rsidR="00C963BB" w:rsidRDefault="00C759A0">
      <w:pPr>
        <w:pStyle w:val="Level4"/>
        <w:numPr>
          <w:ilvl w:val="0"/>
          <w:numId w:val="0"/>
        </w:numPr>
        <w:tabs>
          <w:tab w:val="left" w:pos="708"/>
        </w:tabs>
        <w:spacing w:after="240" w:line="320" w:lineRule="exact"/>
      </w:pPr>
      <w:r>
        <w:t>Adicionalmente, não serão consideradas no conceito de Dívida Líquida eventuais valores devidos pela Contour para fins de aporte em cotas subordinadas do FIDC nos termos do</w:t>
      </w:r>
      <w:r>
        <w:rPr>
          <w:rFonts w:eastAsia="Arial Unicode MS"/>
          <w:i/>
        </w:rPr>
        <w:t xml:space="preserve"> Instrumento </w:t>
      </w:r>
      <w:r>
        <w:rPr>
          <w:rFonts w:eastAsia="Arial Unicode MS"/>
          <w:i/>
        </w:rPr>
        <w:lastRenderedPageBreak/>
        <w:t>Particular de Compromisso de Subscrição e Integralização de Cotas Subordinadas e Outras Avenças</w:t>
      </w:r>
      <w:r>
        <w:rPr>
          <w:rFonts w:eastAsia="Arial Unicode MS"/>
        </w:rPr>
        <w:t>”, a ser celebrado entre a Contour e o FIDC.</w:t>
      </w:r>
    </w:p>
    <w:p w:rsidR="00C963BB" w:rsidRDefault="00C759A0">
      <w:pPr>
        <w:pStyle w:val="Level4"/>
        <w:numPr>
          <w:ilvl w:val="0"/>
          <w:numId w:val="0"/>
        </w:numPr>
        <w:tabs>
          <w:tab w:val="left" w:pos="708"/>
        </w:tabs>
        <w:spacing w:after="240" w:line="320" w:lineRule="exact"/>
        <w:rPr>
          <w:lang w:val="en-US"/>
        </w:rPr>
      </w:pPr>
      <w:bookmarkStart w:id="210" w:name="_Hlk497946585"/>
      <w:r>
        <w:rPr>
          <w:lang w:val="en-US"/>
        </w:rPr>
        <w:t>“</w:t>
      </w:r>
      <w:r>
        <w:rPr>
          <w:u w:val="single"/>
          <w:lang w:val="en-US"/>
        </w:rPr>
        <w:t>EBITDA</w:t>
      </w:r>
      <w:r>
        <w:rPr>
          <w:lang w:val="en-US"/>
        </w:rPr>
        <w:t>” (</w:t>
      </w:r>
      <w:r>
        <w:rPr>
          <w:i/>
          <w:lang w:val="en-US"/>
        </w:rPr>
        <w:t>Earnings Before Interest, Tax, Depreciation and Amortization</w:t>
      </w:r>
      <w:r>
        <w:rPr>
          <w:lang w:val="en-US"/>
        </w:rPr>
        <w:t>) significa:</w:t>
      </w:r>
    </w:p>
    <w:bookmarkEnd w:id="210"/>
    <w:p w:rsidR="00C963BB" w:rsidRDefault="00C759A0">
      <w:pPr>
        <w:pStyle w:val="Level4"/>
        <w:numPr>
          <w:ilvl w:val="0"/>
          <w:numId w:val="0"/>
        </w:numPr>
        <w:tabs>
          <w:tab w:val="left" w:pos="708"/>
        </w:tabs>
        <w:spacing w:after="240" w:line="320" w:lineRule="exact"/>
      </w:pPr>
      <w:r>
        <w:t>(+) Lucro líquido</w:t>
      </w:r>
    </w:p>
    <w:p w:rsidR="00C963BB" w:rsidRDefault="00C759A0">
      <w:pPr>
        <w:pStyle w:val="Level4"/>
        <w:numPr>
          <w:ilvl w:val="0"/>
          <w:numId w:val="0"/>
        </w:numPr>
        <w:tabs>
          <w:tab w:val="left" w:pos="708"/>
        </w:tabs>
        <w:spacing w:after="240" w:line="320" w:lineRule="exact"/>
      </w:pPr>
      <w:r>
        <w:t>(+/-) Despesa (receita) financeira líquida</w:t>
      </w:r>
    </w:p>
    <w:p w:rsidR="00C963BB" w:rsidRDefault="00C759A0">
      <w:pPr>
        <w:pStyle w:val="Level4"/>
        <w:numPr>
          <w:ilvl w:val="0"/>
          <w:numId w:val="0"/>
        </w:numPr>
        <w:tabs>
          <w:tab w:val="left" w:pos="708"/>
        </w:tabs>
        <w:spacing w:after="240" w:line="320" w:lineRule="exact"/>
      </w:pPr>
      <w:r>
        <w:t>(+) Provisão para o imposto de renda e contribuições sociais</w:t>
      </w:r>
    </w:p>
    <w:p w:rsidR="00C963BB" w:rsidRDefault="00C759A0">
      <w:pPr>
        <w:pStyle w:val="Level4"/>
        <w:numPr>
          <w:ilvl w:val="0"/>
          <w:numId w:val="0"/>
        </w:numPr>
        <w:tabs>
          <w:tab w:val="left" w:pos="708"/>
        </w:tabs>
        <w:spacing w:after="240" w:line="320" w:lineRule="exact"/>
      </w:pPr>
      <w:r>
        <w:t>(+) Depreciações e amortizações</w:t>
      </w:r>
    </w:p>
    <w:p w:rsidR="00C963BB" w:rsidRDefault="00C759A0">
      <w:pPr>
        <w:pStyle w:val="Level4"/>
        <w:numPr>
          <w:ilvl w:val="0"/>
          <w:numId w:val="0"/>
        </w:numPr>
        <w:tabs>
          <w:tab w:val="left" w:pos="708"/>
        </w:tabs>
        <w:spacing w:after="240" w:line="320" w:lineRule="exact"/>
      </w:pPr>
      <w:r>
        <w:t>(+/-) Quaisquer outras (Receitas) ou despesas sem efeito financeiro ou sem efeito no caixa do período</w:t>
      </w:r>
    </w:p>
    <w:p w:rsidR="00C963BB" w:rsidRDefault="00C759A0">
      <w:pPr>
        <w:pStyle w:val="Level4"/>
        <w:numPr>
          <w:ilvl w:val="0"/>
          <w:numId w:val="0"/>
        </w:numPr>
        <w:tabs>
          <w:tab w:val="left" w:pos="708"/>
        </w:tabs>
        <w:spacing w:after="240" w:line="320" w:lineRule="exact"/>
      </w:pPr>
      <w:r>
        <w:t xml:space="preserve">(+) Provisões para as liminares obtidas em processos judiciais em favor da Bahia PCH e da Galheiros para neutralizar o impacto negativo do </w:t>
      </w:r>
      <w:r>
        <w:rPr>
          <w:i/>
        </w:rPr>
        <w:t>Generation Scaling Factor</w:t>
      </w:r>
      <w:r>
        <w:t xml:space="preserve"> – GSF</w:t>
      </w:r>
    </w:p>
    <w:p w:rsidR="00C963BB" w:rsidRDefault="00C759A0">
      <w:pPr>
        <w:pStyle w:val="Level4"/>
        <w:numPr>
          <w:ilvl w:val="0"/>
          <w:numId w:val="0"/>
        </w:numPr>
        <w:tabs>
          <w:tab w:val="left" w:pos="708"/>
        </w:tabs>
        <w:spacing w:after="240" w:line="320" w:lineRule="exact"/>
      </w:pPr>
      <w:r>
        <w:t>(+/-) Perdas (lucros) resultantes de equivalência patrimonial nos resultados dos investimentos em sociedades coligadas/controladas</w:t>
      </w:r>
    </w:p>
    <w:p w:rsidR="00C963BB" w:rsidRDefault="00C759A0">
      <w:pPr>
        <w:pStyle w:val="Level4"/>
        <w:numPr>
          <w:ilvl w:val="0"/>
          <w:numId w:val="0"/>
        </w:numPr>
        <w:tabs>
          <w:tab w:val="left" w:pos="708"/>
        </w:tabs>
        <w:spacing w:after="240" w:line="320" w:lineRule="exact"/>
      </w:pPr>
      <w:r>
        <w:t xml:space="preserve">Fica desde já estabelecido que, a partir da Data de Término do PPA Capuava, a Capuava não mais estará compreendida na definição de Sociedades Combinadas para fins de cálculo do Índice Financeiro. </w:t>
      </w:r>
    </w:p>
    <w:p w:rsidR="00C963BB" w:rsidRDefault="00C759A0">
      <w:pPr>
        <w:pStyle w:val="Level4"/>
        <w:numPr>
          <w:ilvl w:val="0"/>
          <w:numId w:val="0"/>
        </w:numPr>
        <w:spacing w:after="240" w:line="320" w:lineRule="exact"/>
      </w:pPr>
      <w:r>
        <w:t xml:space="preserve">Para fins de verificação da Dívida Líquida e do EBITDA das Sociedades Consolidadas, a Contour se baseará: </w:t>
      </w:r>
      <w:r w:rsidRPr="008D326A">
        <w:rPr>
          <w:b/>
        </w:rPr>
        <w:t>(i)</w:t>
      </w:r>
      <w:r>
        <w:t xml:space="preserve"> nos balanços patrimoniais, demonstrações de fluxo de caixa e demonstrações de resultados (lucros e prejuízos) trimestrais consolidados da Contour, enviados nos termos do item </w:t>
      </w:r>
      <w:r>
        <w:fldChar w:fldCharType="begin"/>
      </w:r>
      <w:r>
        <w:instrText xml:space="preserve"> REF _Ref512706016 \n \h </w:instrText>
      </w:r>
      <w:r>
        <w:fldChar w:fldCharType="separate"/>
      </w:r>
      <w:r w:rsidR="00281921">
        <w:t>8.2</w:t>
      </w:r>
      <w:r>
        <w:fldChar w:fldCharType="end"/>
      </w:r>
      <w:r>
        <w:t xml:space="preserve">, subitem </w:t>
      </w:r>
      <w:r>
        <w:fldChar w:fldCharType="begin"/>
      </w:r>
      <w:r>
        <w:instrText xml:space="preserve"> REF _Ref507708623 \n \h </w:instrText>
      </w:r>
      <w:r>
        <w:fldChar w:fldCharType="separate"/>
      </w:r>
      <w:r w:rsidR="00281921">
        <w:t>(b)</w:t>
      </w:r>
      <w:r>
        <w:fldChar w:fldCharType="end"/>
      </w:r>
      <w:r>
        <w:t xml:space="preserve">(1) da Escritura de Emissão, relativos ao respectivo trimestre; </w:t>
      </w:r>
      <w:r>
        <w:rPr>
          <w:b/>
        </w:rPr>
        <w:t>(ii)</w:t>
      </w:r>
      <w:r>
        <w:t xml:space="preserve"> nas demonstrações financeiras</w:t>
      </w:r>
      <w:r>
        <w:rPr>
          <w:rFonts w:eastAsia="Arial Unicode MS"/>
        </w:rPr>
        <w:t xml:space="preserve"> semestrais consolidadas</w:t>
      </w:r>
      <w:r>
        <w:t xml:space="preserve"> da Contour, enviadas nos termos do item </w:t>
      </w:r>
      <w:r>
        <w:fldChar w:fldCharType="begin"/>
      </w:r>
      <w:r>
        <w:instrText xml:space="preserve"> REF _Ref512706016 \n \h </w:instrText>
      </w:r>
      <w:r>
        <w:fldChar w:fldCharType="separate"/>
      </w:r>
      <w:r w:rsidR="00281921">
        <w:t>8.2</w:t>
      </w:r>
      <w:r>
        <w:fldChar w:fldCharType="end"/>
      </w:r>
      <w:r>
        <w:t xml:space="preserve">, subitem </w:t>
      </w:r>
      <w:r>
        <w:fldChar w:fldCharType="begin"/>
      </w:r>
      <w:r>
        <w:instrText xml:space="preserve"> REF _Ref507708623 \n \h </w:instrText>
      </w:r>
      <w:r>
        <w:fldChar w:fldCharType="separate"/>
      </w:r>
      <w:r w:rsidR="00281921">
        <w:t>(b)</w:t>
      </w:r>
      <w:r>
        <w:fldChar w:fldCharType="end"/>
      </w:r>
      <w:r>
        <w:t xml:space="preserve">(2) da Escritura de Emissão, relativos ao respectivo trimestre; ou </w:t>
      </w:r>
      <w:r>
        <w:rPr>
          <w:b/>
        </w:rPr>
        <w:t>(iii)</w:t>
      </w:r>
      <w:r>
        <w:t xml:space="preserve"> nas demonstrações financeiras anuais consolidadas auditadas da Contour,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Pr>
          <w:rFonts w:eastAsia="Arial Unicode MS"/>
        </w:rPr>
        <w:t xml:space="preserve">trimestrais individuais não auditados </w:t>
      </w:r>
      <w:r>
        <w:t xml:space="preserve">ou das demonstrações financeiras anuais individuais auditadas (conforme o caso) da Santa Cruz, da Tespias e da Capuava (exclusivamente após a Data de Término do PPA Capuava). No caso de Capuava, caso esta seja contabilizada por </w:t>
      </w:r>
      <w:r>
        <w:lastRenderedPageBreak/>
        <w:t>equivalência patrimonial após a Data de Término do PPA Capuava, o ajuste será realizado por meio da exclusão do valor da Capuava contabilizado na Contour.</w:t>
      </w:r>
    </w:p>
    <w:p w:rsidR="00C963BB" w:rsidRDefault="00C759A0">
      <w:pPr>
        <w:pStyle w:val="Level4"/>
        <w:numPr>
          <w:ilvl w:val="0"/>
          <w:numId w:val="0"/>
        </w:numPr>
        <w:spacing w:after="240" w:line="320" w:lineRule="exact"/>
      </w:pPr>
      <w:r>
        <w:t>Para fins de esclarecimento, todos os cálculos acima devem incluir os valores referentes à EnergyWorks do Brasil Ltda. (incorporada pela Contour).</w:t>
      </w:r>
    </w:p>
    <w:p w:rsidR="00C963BB" w:rsidRDefault="00C759A0">
      <w:pPr>
        <w:rPr>
          <w:kern w:val="20"/>
        </w:rPr>
      </w:pPr>
      <w:r>
        <w:rPr>
          <w:kern w:val="20"/>
        </w:rPr>
        <w:br w:type="page"/>
      </w:r>
    </w:p>
    <w:p w:rsidR="00C963BB" w:rsidRDefault="00C759A0">
      <w:pPr>
        <w:spacing w:after="240" w:line="320" w:lineRule="exact"/>
        <w:ind w:hanging="11"/>
        <w:jc w:val="center"/>
        <w:outlineLvl w:val="0"/>
        <w:rPr>
          <w:rFonts w:eastAsia="SimSun"/>
          <w:b/>
          <w:u w:val="single"/>
        </w:rPr>
      </w:pPr>
      <w:r>
        <w:rPr>
          <w:rFonts w:eastAsia="SimSun"/>
          <w:b/>
          <w:u w:val="single"/>
        </w:rPr>
        <w:lastRenderedPageBreak/>
        <w:t>ANEXO VI</w:t>
      </w:r>
    </w:p>
    <w:p w:rsidR="00C963BB" w:rsidRDefault="00C759A0">
      <w:pPr>
        <w:spacing w:after="240" w:line="320" w:lineRule="exact"/>
        <w:ind w:hanging="11"/>
        <w:jc w:val="center"/>
        <w:outlineLvl w:val="0"/>
        <w:rPr>
          <w:rFonts w:eastAsia="SimSun"/>
          <w:b/>
        </w:rPr>
      </w:pPr>
      <w:r>
        <w:rPr>
          <w:rFonts w:eastAsia="SimSun"/>
          <w:b/>
        </w:rPr>
        <w:t xml:space="preserve">METODOLOGIA DE CÁLCULO DO ICSD CONSOLIDADO </w:t>
      </w:r>
    </w:p>
    <w:p w:rsidR="00C963BB" w:rsidRPr="008D326A" w:rsidRDefault="00C759A0" w:rsidP="008D326A">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Sem prejuízo da verificação do ICSD Individual nos termos do Contrato de Alienação Fiduciária de Ações SPEs, o ICSD Consolidado será verificado pelo Agente Fiduciário trimestralmente, com base na memória de cálculo enviada pela Contour, elaborada com base: </w:t>
      </w:r>
      <w:r>
        <w:rPr>
          <w:rFonts w:ascii="Tahoma" w:hAnsi="Tahoma"/>
          <w:b/>
          <w:sz w:val="22"/>
        </w:rPr>
        <w:t>(i)</w:t>
      </w:r>
      <w:r>
        <w:rPr>
          <w:rFonts w:ascii="Tahoma" w:hAnsi="Tahoma"/>
          <w:sz w:val="22"/>
        </w:rPr>
        <w:t xml:space="preserve"> nos balanços patrimoniais, demonstrações de fluxo de caixa e demonstrações de resultados (lucros e prejuízos) trimestrais consolidados da Contour, enviados nos termos do item </w:t>
      </w:r>
      <w:r>
        <w:rPr>
          <w:rFonts w:ascii="Tahoma" w:hAnsi="Tahoma"/>
          <w:sz w:val="22"/>
        </w:rPr>
        <w:fldChar w:fldCharType="begin"/>
      </w:r>
      <w:r>
        <w:rPr>
          <w:rFonts w:ascii="Tahoma" w:hAnsi="Tahoma"/>
          <w:sz w:val="22"/>
        </w:rPr>
        <w:instrText xml:space="preserve"> REF _Ref512706016 \n \h </w:instrText>
      </w:r>
      <w:r>
        <w:rPr>
          <w:rFonts w:ascii="Tahoma" w:hAnsi="Tahoma"/>
          <w:sz w:val="22"/>
        </w:rPr>
      </w:r>
      <w:r>
        <w:rPr>
          <w:rFonts w:ascii="Tahoma" w:hAnsi="Tahoma"/>
          <w:sz w:val="22"/>
        </w:rPr>
        <w:fldChar w:fldCharType="separate"/>
      </w:r>
      <w:r w:rsidR="00281921">
        <w:rPr>
          <w:rFonts w:ascii="Tahoma" w:hAnsi="Tahoma"/>
          <w:sz w:val="22"/>
        </w:rPr>
        <w:t>8.2</w:t>
      </w:r>
      <w:r>
        <w:rPr>
          <w:rFonts w:ascii="Tahoma" w:hAnsi="Tahoma"/>
          <w:sz w:val="22"/>
        </w:rPr>
        <w:fldChar w:fldCharType="end"/>
      </w:r>
      <w:r>
        <w:rPr>
          <w:rFonts w:ascii="Tahoma" w:hAnsi="Tahoma"/>
          <w:sz w:val="22"/>
        </w:rPr>
        <w:t xml:space="preserve">, subitem </w:t>
      </w:r>
      <w:r>
        <w:rPr>
          <w:rFonts w:ascii="Tahoma" w:hAnsi="Tahoma"/>
          <w:sz w:val="22"/>
        </w:rPr>
        <w:fldChar w:fldCharType="begin"/>
      </w:r>
      <w:r>
        <w:rPr>
          <w:rFonts w:ascii="Tahoma" w:hAnsi="Tahoma"/>
          <w:sz w:val="22"/>
        </w:rPr>
        <w:instrText xml:space="preserve"> REF _Ref507708623 \n \h </w:instrText>
      </w:r>
      <w:r>
        <w:rPr>
          <w:rFonts w:ascii="Tahoma" w:hAnsi="Tahoma"/>
          <w:sz w:val="22"/>
        </w:rPr>
      </w:r>
      <w:r>
        <w:rPr>
          <w:rFonts w:ascii="Tahoma" w:hAnsi="Tahoma"/>
          <w:sz w:val="22"/>
        </w:rPr>
        <w:fldChar w:fldCharType="separate"/>
      </w:r>
      <w:r w:rsidR="00281921">
        <w:rPr>
          <w:rFonts w:ascii="Tahoma" w:hAnsi="Tahoma"/>
          <w:sz w:val="22"/>
        </w:rPr>
        <w:t>(b)</w:t>
      </w:r>
      <w:r>
        <w:rPr>
          <w:rFonts w:ascii="Tahoma" w:hAnsi="Tahoma"/>
          <w:sz w:val="22"/>
        </w:rPr>
        <w:fldChar w:fldCharType="end"/>
      </w:r>
      <w:r>
        <w:rPr>
          <w:rFonts w:ascii="Tahoma" w:hAnsi="Tahoma"/>
          <w:sz w:val="22"/>
        </w:rPr>
        <w:t xml:space="preserve">(1) da Escritura de Emissão, relativos ao respectivo trimestre; </w:t>
      </w:r>
      <w:r>
        <w:rPr>
          <w:rFonts w:ascii="Tahoma" w:hAnsi="Tahoma"/>
          <w:b/>
          <w:sz w:val="22"/>
        </w:rPr>
        <w:t>(ii)</w:t>
      </w:r>
      <w:r>
        <w:rPr>
          <w:rFonts w:ascii="Tahoma" w:hAnsi="Tahoma"/>
          <w:sz w:val="22"/>
        </w:rPr>
        <w:t xml:space="preserve"> nas demonstrações financeiras</w:t>
      </w:r>
      <w:r>
        <w:rPr>
          <w:rFonts w:ascii="Tahoma" w:eastAsia="Arial Unicode MS" w:hAnsi="Tahoma"/>
          <w:sz w:val="22"/>
        </w:rPr>
        <w:t xml:space="preserve"> semestrais consolidadas</w:t>
      </w:r>
      <w:r>
        <w:rPr>
          <w:rFonts w:ascii="Tahoma" w:hAnsi="Tahoma"/>
          <w:sz w:val="22"/>
        </w:rPr>
        <w:t xml:space="preserve"> da Contour, enviadas nos termos do item </w:t>
      </w:r>
      <w:r>
        <w:rPr>
          <w:rFonts w:ascii="Tahoma" w:hAnsi="Tahoma"/>
          <w:sz w:val="22"/>
        </w:rPr>
        <w:fldChar w:fldCharType="begin"/>
      </w:r>
      <w:r>
        <w:rPr>
          <w:rFonts w:ascii="Tahoma" w:hAnsi="Tahoma"/>
          <w:sz w:val="22"/>
        </w:rPr>
        <w:instrText xml:space="preserve"> REF _Ref512706016 \n \h </w:instrText>
      </w:r>
      <w:r>
        <w:rPr>
          <w:rFonts w:ascii="Tahoma" w:hAnsi="Tahoma"/>
          <w:sz w:val="22"/>
        </w:rPr>
      </w:r>
      <w:r>
        <w:rPr>
          <w:rFonts w:ascii="Tahoma" w:hAnsi="Tahoma"/>
          <w:sz w:val="22"/>
        </w:rPr>
        <w:fldChar w:fldCharType="separate"/>
      </w:r>
      <w:r w:rsidR="00281921">
        <w:rPr>
          <w:rFonts w:ascii="Tahoma" w:hAnsi="Tahoma"/>
          <w:sz w:val="22"/>
        </w:rPr>
        <w:t>8.2</w:t>
      </w:r>
      <w:r>
        <w:rPr>
          <w:rFonts w:ascii="Tahoma" w:hAnsi="Tahoma"/>
          <w:sz w:val="22"/>
        </w:rPr>
        <w:fldChar w:fldCharType="end"/>
      </w:r>
      <w:r>
        <w:rPr>
          <w:rFonts w:ascii="Tahoma" w:hAnsi="Tahoma"/>
          <w:sz w:val="22"/>
        </w:rPr>
        <w:t xml:space="preserve">, subitem </w:t>
      </w:r>
      <w:r>
        <w:rPr>
          <w:rFonts w:ascii="Tahoma" w:hAnsi="Tahoma"/>
          <w:sz w:val="22"/>
        </w:rPr>
        <w:fldChar w:fldCharType="begin"/>
      </w:r>
      <w:r>
        <w:rPr>
          <w:rFonts w:ascii="Tahoma" w:hAnsi="Tahoma"/>
          <w:sz w:val="22"/>
        </w:rPr>
        <w:instrText xml:space="preserve"> REF _Ref507708623 \n \h </w:instrText>
      </w:r>
      <w:r>
        <w:rPr>
          <w:rFonts w:ascii="Tahoma" w:hAnsi="Tahoma"/>
          <w:sz w:val="22"/>
        </w:rPr>
      </w:r>
      <w:r>
        <w:rPr>
          <w:rFonts w:ascii="Tahoma" w:hAnsi="Tahoma"/>
          <w:sz w:val="22"/>
        </w:rPr>
        <w:fldChar w:fldCharType="separate"/>
      </w:r>
      <w:r w:rsidR="00281921">
        <w:rPr>
          <w:rFonts w:ascii="Tahoma" w:hAnsi="Tahoma"/>
          <w:sz w:val="22"/>
        </w:rPr>
        <w:t>(b)</w:t>
      </w:r>
      <w:r>
        <w:rPr>
          <w:rFonts w:ascii="Tahoma" w:hAnsi="Tahoma"/>
          <w:sz w:val="22"/>
        </w:rPr>
        <w:fldChar w:fldCharType="end"/>
      </w:r>
      <w:r>
        <w:rPr>
          <w:rFonts w:ascii="Tahoma" w:hAnsi="Tahoma"/>
          <w:sz w:val="22"/>
        </w:rPr>
        <w:t xml:space="preserve">(2) da Escritura de Emissão, relativos ao respectivo trimestre; ou </w:t>
      </w:r>
      <w:r>
        <w:rPr>
          <w:rFonts w:ascii="Tahoma" w:hAnsi="Tahoma"/>
          <w:b/>
          <w:sz w:val="22"/>
        </w:rPr>
        <w:t>(iii)</w:t>
      </w:r>
      <w:r>
        <w:rPr>
          <w:rFonts w:ascii="Tahoma" w:hAnsi="Tahoma"/>
          <w:sz w:val="22"/>
        </w:rPr>
        <w:t xml:space="preserve"> nas demonstrações financeiras anuais consolidadas auditadas da Contour, relativos ao trimestre que coincide com o fim do exercício social, em todos os casos ajustados</w:t>
      </w:r>
      <w:r w:rsidRPr="008D326A">
        <w:rPr>
          <w:rFonts w:ascii="Tahoma" w:hAnsi="Tahoma"/>
          <w:sz w:val="22"/>
        </w:rPr>
        <w:t xml:space="preserve"> para excluir a Santa Cruz, a Tespias e a Capuava (exclusivamente após a Data de Término do PPA Capuava), por meio dos </w:t>
      </w:r>
      <w:r>
        <w:rPr>
          <w:rFonts w:ascii="Tahoma" w:hAnsi="Tahoma"/>
          <w:sz w:val="22"/>
        </w:rPr>
        <w:t xml:space="preserve">balanços patrimoniais, demonstrações de fluxo de caixa e demonstrações de resultados (lucros e prejuízos) </w:t>
      </w:r>
      <w:r>
        <w:rPr>
          <w:rFonts w:ascii="Tahoma" w:eastAsia="Arial Unicode MS" w:hAnsi="Tahoma"/>
          <w:sz w:val="22"/>
        </w:rPr>
        <w:t>trimestrais individuais não auditados</w:t>
      </w:r>
      <w:r w:rsidRPr="008D326A">
        <w:rPr>
          <w:rFonts w:ascii="Tahoma" w:eastAsia="Arial Unicode MS" w:hAnsi="Tahoma"/>
          <w:sz w:val="22"/>
        </w:rPr>
        <w:t xml:space="preserve"> </w:t>
      </w:r>
      <w:r w:rsidRPr="008D326A">
        <w:rPr>
          <w:rFonts w:ascii="Tahoma" w:hAnsi="Tahoma"/>
          <w:sz w:val="22"/>
        </w:rPr>
        <w:t xml:space="preserve">ou </w:t>
      </w:r>
      <w:r>
        <w:rPr>
          <w:rFonts w:ascii="Tahoma" w:hAnsi="Tahoma"/>
          <w:sz w:val="22"/>
        </w:rPr>
        <w:t xml:space="preserve">das </w:t>
      </w:r>
      <w:r w:rsidRPr="008D326A">
        <w:rPr>
          <w:rFonts w:ascii="Tahoma" w:hAnsi="Tahoma"/>
          <w:sz w:val="22"/>
        </w:rPr>
        <w:t xml:space="preserve">demonstrações financeiras </w:t>
      </w:r>
      <w:r>
        <w:rPr>
          <w:rFonts w:ascii="Tahoma" w:hAnsi="Tahoma"/>
          <w:sz w:val="22"/>
        </w:rPr>
        <w:t xml:space="preserve">anuais individuais auditadas </w:t>
      </w:r>
      <w:r w:rsidRPr="008D326A">
        <w:rPr>
          <w:rFonts w:ascii="Tahoma" w:hAnsi="Tahoma"/>
          <w:sz w:val="22"/>
        </w:rPr>
        <w:t>(conforme o caso) da Santa Cruz, da Tespias e da Capuava (exclusivamente após a Data de Término do PPA Capuava).</w:t>
      </w:r>
      <w:r>
        <w:rPr>
          <w:rFonts w:ascii="Tahoma" w:hAnsi="Tahoma"/>
          <w:sz w:val="22"/>
        </w:rPr>
        <w:t xml:space="preserve"> No caso de Capuava, caso esta seja contabilizada por equivalência patrimonial após a Data de Término do PPA Capuava, o ajuste será realizado por meio da exclusão do valor da Capuava contabilizado na Contour.</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O ICSD Consolidado será calculado pela divisão entre: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Numerador: </w:t>
      </w:r>
      <w:r w:rsidR="00A83DC5">
        <w:rPr>
          <w:rFonts w:ascii="Tahoma" w:hAnsi="Tahoma"/>
          <w:sz w:val="22"/>
        </w:rPr>
        <w:t xml:space="preserve">Soma do </w:t>
      </w:r>
      <w:r>
        <w:rPr>
          <w:rFonts w:ascii="Tahoma" w:hAnsi="Tahoma"/>
          <w:sz w:val="22"/>
        </w:rPr>
        <w:t>Fluxo de Caixa Gerado da Emissora, da Contour e das demais Subsidiárias nos últimos 12 (doze) meses, anteriores ao mês de referência das demonstrações financeiras ou balanços patrimoniais e demonstrações de fluxo de caixa e demonstrações de resultados (lucros e prejuízos) trimestrais ou semestrais, conforme o caso, enviados nos termos da Escritura de Emissão e das Escrituras de Emissão Subsidiárias; 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Denominador: soma do montante pago </w:t>
      </w:r>
      <w:r>
        <w:rPr>
          <w:rFonts w:ascii="Tahoma" w:hAnsi="Tahoma"/>
          <w:b/>
          <w:sz w:val="22"/>
        </w:rPr>
        <w:t>(a)</w:t>
      </w:r>
      <w:r>
        <w:rPr>
          <w:rFonts w:ascii="Tahoma" w:hAnsi="Tahoma"/>
          <w:sz w:val="22"/>
        </w:rPr>
        <w:t xml:space="preserve"> pela Emissora nas 4 (quatro) últimas Datas de Pagamento das respectivas Debêntures, a título de Remuneração e/ou amortização do Valor Nominal Unitário ou do Valor Nominal Unitário Atualizado, conforme o caso, nos termos previstos na Escritura de Emissão; e </w:t>
      </w:r>
      <w:r>
        <w:rPr>
          <w:rFonts w:ascii="Tahoma" w:hAnsi="Tahoma"/>
          <w:b/>
          <w:sz w:val="22"/>
        </w:rPr>
        <w:t xml:space="preserve">(b) </w:t>
      </w:r>
      <w:r>
        <w:rPr>
          <w:rFonts w:ascii="Tahoma" w:hAnsi="Tahoma"/>
          <w:sz w:val="22"/>
        </w:rPr>
        <w:t xml:space="preserve">pela Contour e pelas demais Subsidiárias nas 4 (quatro) últimas Datas de Pagamento das respectivas debêntures, a título de remuneração e/ou amortização do valor nominal unitário ou </w:t>
      </w:r>
      <w:r>
        <w:rPr>
          <w:rFonts w:ascii="Tahoma" w:hAnsi="Tahoma"/>
          <w:sz w:val="22"/>
        </w:rPr>
        <w:lastRenderedPageBreak/>
        <w:t>do valor nominal unitário atualizado, conforme o caso, nos termos previstos nas respectivas Escrituras de Emissão Subsidiárias.</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Para fins do cálculo o Fluxo de Caixa Gerado nos últimos 12 (doze) meses será considerado </w:t>
      </w:r>
      <w:r>
        <w:rPr>
          <w:rFonts w:ascii="Tahoma" w:hAnsi="Tahoma"/>
          <w:b/>
          <w:sz w:val="22"/>
        </w:rPr>
        <w:t>(i)</w:t>
      </w:r>
      <w:r>
        <w:rPr>
          <w:rFonts w:ascii="Tahoma" w:hAnsi="Tahoma"/>
          <w:sz w:val="22"/>
        </w:rPr>
        <w:t xml:space="preserve"> o EBITDA da Emissora, da Contour ou da respectiva Subsidiária, conforme o caso, calculado conforme definição constante do Anexo V da Escritura de Emissão ou da respectiva Escritura de Emissão Subsidiária; </w:t>
      </w:r>
      <w:r>
        <w:rPr>
          <w:rFonts w:ascii="Tahoma" w:hAnsi="Tahoma"/>
          <w:b/>
          <w:sz w:val="22"/>
        </w:rPr>
        <w:t>(ii)</w:t>
      </w:r>
      <w:r>
        <w:rPr>
          <w:rFonts w:ascii="Tahoma" w:hAnsi="Tahoma"/>
          <w:sz w:val="22"/>
        </w:rPr>
        <w:t xml:space="preserve"> somado à receita de juros; </w:t>
      </w:r>
      <w:r>
        <w:rPr>
          <w:rFonts w:ascii="Tahoma" w:hAnsi="Tahoma"/>
          <w:b/>
          <w:sz w:val="22"/>
        </w:rPr>
        <w:t>(iii)</w:t>
      </w:r>
      <w:r>
        <w:rPr>
          <w:rFonts w:ascii="Tahoma" w:hAnsi="Tahoma"/>
          <w:sz w:val="22"/>
        </w:rPr>
        <w:t xml:space="preserve"> subtraído de CAPEX, conforme indicada na rubrica “Aquisições de bens do ativo imobilizado e intangível” da demonstração dos fluxos de caixa trimestral consolidada ou da demonstração dos fluxos de caixa das demonstrações financeiras anuais consolidadas, conforme o caso; </w:t>
      </w:r>
      <w:r>
        <w:rPr>
          <w:rFonts w:ascii="Tahoma" w:hAnsi="Tahoma"/>
          <w:b/>
          <w:sz w:val="22"/>
        </w:rPr>
        <w:t xml:space="preserve">(iv) </w:t>
      </w:r>
      <w:r>
        <w:rPr>
          <w:rFonts w:ascii="Tahoma" w:hAnsi="Tahoma"/>
          <w:sz w:val="22"/>
        </w:rPr>
        <w:t xml:space="preserve">adicionado de qualquer transferência de recursos dos acionistas da Contour destinados para CAPEX; e </w:t>
      </w:r>
      <w:r>
        <w:rPr>
          <w:rFonts w:ascii="Tahoma" w:hAnsi="Tahoma"/>
          <w:b/>
          <w:sz w:val="22"/>
        </w:rPr>
        <w:t>(v)</w:t>
      </w:r>
      <w:r>
        <w:rPr>
          <w:rFonts w:ascii="Tahoma" w:hAnsi="Tahoma"/>
          <w:sz w:val="22"/>
        </w:rPr>
        <w:t xml:space="preserve"> subtraído de tributos. Para fins de esclarecimento, todos os itens acima do cálculo do Fluxo de Caixa Gerado da Contour devem incluir os valores referentes à EnergyWorks do Brasil Ltda. (incorporada pela Contour). </w:t>
      </w:r>
    </w:p>
    <w:p w:rsidR="00C963BB" w:rsidRDefault="00C963BB" w:rsidP="005C056C">
      <w:pPr>
        <w:pStyle w:val="Default"/>
        <w:spacing w:after="240" w:line="320" w:lineRule="exact"/>
        <w:rPr>
          <w:i/>
        </w:rPr>
      </w:pPr>
    </w:p>
    <w:sectPr w:rsidR="00C963BB">
      <w:headerReference w:type="even" r:id="rId29"/>
      <w:headerReference w:type="default" r:id="rId30"/>
      <w:footerReference w:type="even" r:id="rId31"/>
      <w:footerReference w:type="default" r:id="rId32"/>
      <w:headerReference w:type="first" r:id="rId33"/>
      <w:footerReference w:type="first" r:id="rId34"/>
      <w:pgSz w:w="12240" w:h="15840" w:code="1"/>
      <w:pgMar w:top="1985" w:right="1418" w:bottom="1985" w:left="1418" w:header="680" w:footer="680" w:gutter="0"/>
      <w:paperSrc w:first="7" w:other="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55A" w:rsidRDefault="004A655A">
      <w:r>
        <w:separator/>
      </w:r>
    </w:p>
    <w:p w:rsidR="004A655A" w:rsidRDefault="004A655A"/>
  </w:endnote>
  <w:endnote w:type="continuationSeparator" w:id="0">
    <w:p w:rsidR="004A655A" w:rsidRDefault="004A655A">
      <w:r>
        <w:continuationSeparator/>
      </w:r>
    </w:p>
    <w:p w:rsidR="004A655A" w:rsidRDefault="004A655A"/>
  </w:endnote>
  <w:endnote w:type="continuationNotice" w:id="1">
    <w:p w:rsidR="004A655A" w:rsidRDefault="004A655A"/>
    <w:p w:rsidR="004A655A" w:rsidRDefault="004A6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utiger Light">
    <w:altName w:val="Kartika"/>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pitch w:val="variable"/>
    <w:sig w:usb0="E0002A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T108t00">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5A" w:rsidRDefault="004A655A">
    <w:pPr>
      <w:pStyle w:val="Rodap"/>
    </w:pPr>
  </w:p>
  <w:p w:rsidR="004A655A" w:rsidRDefault="004A65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092662"/>
      <w:docPartObj>
        <w:docPartGallery w:val="Page Numbers (Bottom of Page)"/>
        <w:docPartUnique/>
      </w:docPartObj>
    </w:sdtPr>
    <w:sdtEndPr/>
    <w:sdtContent>
      <w:p w:rsidR="004A655A" w:rsidRDefault="004A655A">
        <w:pPr>
          <w:pStyle w:val="Rodap"/>
          <w:rPr>
            <w:rFonts w:ascii="Verdana" w:hAnsi="Verdana"/>
            <w:sz w:val="14"/>
          </w:rPr>
        </w:pPr>
      </w:p>
      <w:p w:rsidR="004A655A" w:rsidRDefault="004A655A">
        <w:pPr>
          <w:pStyle w:val="Rodap"/>
          <w:jc w:val="right"/>
        </w:pPr>
        <w:r>
          <w:fldChar w:fldCharType="begin"/>
        </w:r>
        <w:r>
          <w:instrText>PAGE   \* MERGEFORMAT</w:instrText>
        </w:r>
        <w:r>
          <w:fldChar w:fldCharType="separate"/>
        </w:r>
        <w:r w:rsidR="00281921">
          <w:rPr>
            <w:noProof/>
          </w:rPr>
          <w:t>1</w:t>
        </w:r>
        <w:r>
          <w:fldChar w:fldCharType="end"/>
        </w:r>
      </w:p>
    </w:sdtContent>
  </w:sdt>
  <w:p w:rsidR="004A655A" w:rsidRDefault="004A655A">
    <w:pPr>
      <w:pStyle w:val="DocExCode"/>
      <w:pBdr>
        <w:top w:val="single" w:sz="4" w:space="5" w:color="auto"/>
      </w:pBdr>
      <w:rPr>
        <w:sz w:val="12"/>
      </w:rPr>
    </w:pPr>
  </w:p>
  <w:p w:rsidR="00281921" w:rsidRDefault="004A655A" w:rsidP="00871BB7">
    <w:pPr>
      <w:rPr>
        <w:color w:val="FFFFFF" w:themeColor="background1"/>
        <w:sz w:val="12"/>
      </w:rPr>
    </w:pPr>
    <w:r>
      <w:rPr>
        <w:color w:val="FFFFFF" w:themeColor="background1"/>
        <w:sz w:val="12"/>
      </w:rPr>
      <w:fldChar w:fldCharType="begin"/>
    </w:r>
    <w:r>
      <w:rPr>
        <w:color w:val="FFFFFF" w:themeColor="background1"/>
        <w:sz w:val="12"/>
      </w:rPr>
      <w:instrText xml:space="preserve"> DOCPROPERTY "iManageFooter"  \* MERGEFORMAT </w:instrText>
    </w:r>
    <w:r>
      <w:rPr>
        <w:color w:val="FFFFFF" w:themeColor="background1"/>
        <w:sz w:val="12"/>
      </w:rPr>
      <w:fldChar w:fldCharType="separate"/>
    </w:r>
  </w:p>
  <w:p w:rsidR="004A655A" w:rsidRPr="00871BB7" w:rsidRDefault="00281921" w:rsidP="00871BB7">
    <w:pPr>
      <w:rPr>
        <w:color w:val="FFFFFF" w:themeColor="background1"/>
        <w:sz w:val="12"/>
      </w:rPr>
    </w:pPr>
    <w:r>
      <w:rPr>
        <w:color w:val="FFFFFF" w:themeColor="background1"/>
        <w:sz w:val="12"/>
      </w:rPr>
      <w:t xml:space="preserve">SP - 23046601v2 </w:t>
    </w:r>
    <w:r w:rsidR="004A655A">
      <w:rPr>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5A" w:rsidRDefault="004A655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55A" w:rsidRDefault="004A655A">
      <w:r>
        <w:separator/>
      </w:r>
    </w:p>
    <w:p w:rsidR="004A655A" w:rsidRDefault="004A655A"/>
  </w:footnote>
  <w:footnote w:type="continuationSeparator" w:id="0">
    <w:p w:rsidR="004A655A" w:rsidRDefault="004A655A">
      <w:r>
        <w:continuationSeparator/>
      </w:r>
    </w:p>
    <w:p w:rsidR="004A655A" w:rsidRDefault="004A655A"/>
  </w:footnote>
  <w:footnote w:type="continuationNotice" w:id="1">
    <w:p w:rsidR="004A655A" w:rsidRDefault="004A655A"/>
    <w:p w:rsidR="004A655A" w:rsidRDefault="004A65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5A" w:rsidRDefault="004A655A">
    <w:pPr>
      <w:pStyle w:val="Cabealho"/>
    </w:pPr>
  </w:p>
  <w:p w:rsidR="004A655A" w:rsidRDefault="004A65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5A" w:rsidRPr="00432329" w:rsidRDefault="004A655A" w:rsidP="0043232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5A" w:rsidRDefault="004A655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70C0E91"/>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 w15:restartNumberingAfterBreak="0">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504A05"/>
    <w:multiLevelType w:val="hybridMultilevel"/>
    <w:tmpl w:val="D8C8346E"/>
    <w:lvl w:ilvl="0" w:tplc="8878FB66">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CDA27A5"/>
    <w:multiLevelType w:val="multilevel"/>
    <w:tmpl w:val="1ABE5B7C"/>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Roman"/>
      <w:lvlText w:val="(%5)"/>
      <w:lvlJc w:val="left"/>
      <w:pPr>
        <w:tabs>
          <w:tab w:val="num" w:pos="2721"/>
        </w:tabs>
        <w:ind w:left="2721" w:hanging="680"/>
      </w:pPr>
      <w:rPr>
        <w:rFonts w:hint="default"/>
        <w:b/>
        <w:i w:val="0"/>
        <w:spacing w:val="0"/>
        <w:sz w:val="22"/>
        <w:szCs w:val="22"/>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21516"/>
    <w:multiLevelType w:val="multilevel"/>
    <w:tmpl w:val="E19A4D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lang w:val="pt-BR"/>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F3382D"/>
    <w:multiLevelType w:val="multilevel"/>
    <w:tmpl w:val="A9524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69458F"/>
    <w:multiLevelType w:val="multilevel"/>
    <w:tmpl w:val="85383AD0"/>
    <w:lvl w:ilvl="0">
      <w:start w:val="1"/>
      <w:numFmt w:val="decimal"/>
      <w:lvlText w:val="%1"/>
      <w:lvlJc w:val="left"/>
      <w:pPr>
        <w:tabs>
          <w:tab w:val="num" w:pos="822"/>
        </w:tabs>
        <w:ind w:left="822" w:hanging="680"/>
      </w:pPr>
      <w:rPr>
        <w:rFonts w:ascii="Tahoma" w:hAnsi="Tahoma" w:hint="default"/>
        <w:b/>
        <w:i w:val="0"/>
        <w:color w:val="FFFFFF" w:themeColor="background1"/>
        <w:sz w:val="22"/>
      </w:rPr>
    </w:lvl>
    <w:lvl w:ilvl="1">
      <w:start w:val="1"/>
      <w:numFmt w:val="decimal"/>
      <w:lvlText w:val="%1.%2"/>
      <w:lvlJc w:val="left"/>
      <w:pPr>
        <w:tabs>
          <w:tab w:val="num" w:pos="680"/>
        </w:tabs>
        <w:ind w:left="680" w:hanging="680"/>
      </w:pPr>
      <w:rPr>
        <w:rFonts w:ascii="Tahoma" w:hAnsi="Tahoma" w:hint="default"/>
        <w:b/>
        <w:i w:val="0"/>
        <w:sz w:val="22"/>
      </w:rPr>
    </w:lvl>
    <w:lvl w:ilvl="2">
      <w:start w:val="1"/>
      <w:numFmt w:val="decimal"/>
      <w:lvlText w:val="6.10.2.%3"/>
      <w:lvlJc w:val="left"/>
      <w:pPr>
        <w:tabs>
          <w:tab w:val="num" w:pos="1361"/>
        </w:tabs>
        <w:ind w:left="1361" w:hanging="681"/>
      </w:pPr>
      <w:rPr>
        <w:rFonts w:hint="default"/>
        <w:b w:val="0"/>
        <w:i w:val="0"/>
        <w:sz w:val="22"/>
      </w:rPr>
    </w:lvl>
    <w:lvl w:ilvl="3">
      <w:start w:val="1"/>
      <w:numFmt w:val="lowerRoman"/>
      <w:lvlText w:val="(%4)"/>
      <w:lvlJc w:val="left"/>
      <w:pPr>
        <w:tabs>
          <w:tab w:val="num" w:pos="2098"/>
        </w:tabs>
        <w:ind w:left="2098" w:hanging="680"/>
      </w:pPr>
      <w:rPr>
        <w:rFonts w:ascii="Tahoma" w:hAnsi="Tahoma" w:cs="Tahoma" w:hint="default"/>
        <w:b/>
        <w:i w:val="0"/>
        <w:sz w:val="22"/>
        <w:szCs w:val="22"/>
      </w:rPr>
    </w:lvl>
    <w:lvl w:ilvl="4">
      <w:start w:val="1"/>
      <w:numFmt w:val="lowerLetter"/>
      <w:lvlText w:val="(%5)"/>
      <w:lvlJc w:val="left"/>
      <w:pPr>
        <w:tabs>
          <w:tab w:val="num" w:pos="2608"/>
        </w:tabs>
        <w:ind w:left="2608" w:hanging="567"/>
      </w:pPr>
      <w:rPr>
        <w:rFonts w:ascii="Tahoma" w:hAnsi="Tahoma" w:hint="default"/>
        <w:b/>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C7F05"/>
    <w:multiLevelType w:val="multilevel"/>
    <w:tmpl w:val="D84A11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hint="default"/>
        <w:b/>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CE17EA"/>
    <w:multiLevelType w:val="hybridMultilevel"/>
    <w:tmpl w:val="98766B90"/>
    <w:lvl w:ilvl="0" w:tplc="EEC6E152">
      <w:start w:val="1"/>
      <w:numFmt w:val="lowerRoman"/>
      <w:lvlText w:val="(%1)"/>
      <w:lvlJc w:val="left"/>
      <w:pPr>
        <w:ind w:left="720" w:hanging="360"/>
      </w:pPr>
      <w:rPr>
        <w:rFonts w:cs="Times New Roman" w:hint="eastAsia"/>
        <w:b/>
        <w:i w:val="0"/>
        <w:color w:val="00000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067144"/>
    <w:multiLevelType w:val="hybridMultilevel"/>
    <w:tmpl w:val="892036D6"/>
    <w:lvl w:ilvl="0" w:tplc="35E4D420">
      <w:start w:val="1"/>
      <w:numFmt w:val="lowerRoman"/>
      <w:lvlText w:val="(%1)"/>
      <w:lvlJc w:val="left"/>
      <w:pPr>
        <w:ind w:left="1860" w:hanging="720"/>
      </w:pPr>
      <w:rPr>
        <w:rFonts w:hint="default"/>
        <w:b/>
      </w:rPr>
    </w:lvl>
    <w:lvl w:ilvl="1" w:tplc="04160019">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3" w15:restartNumberingAfterBreak="0">
    <w:nsid w:val="1ED75A27"/>
    <w:multiLevelType w:val="multilevel"/>
    <w:tmpl w:val="846E1860"/>
    <w:lvl w:ilvl="0">
      <w:start w:val="1"/>
      <w:numFmt w:val="decimal"/>
      <w:lvlText w:val="%1."/>
      <w:lvlJc w:val="left"/>
      <w:pPr>
        <w:ind w:left="360" w:hanging="360"/>
      </w:pPr>
      <w:rPr>
        <w:color w:val="FFFFFF" w:themeColor="background1"/>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F0521B"/>
    <w:multiLevelType w:val="multilevel"/>
    <w:tmpl w:val="88605912"/>
    <w:lvl w:ilvl="0">
      <w:start w:val="1"/>
      <w:numFmt w:val="decimal"/>
      <w:lvlText w:val="%1."/>
      <w:lvlJc w:val="left"/>
      <w:pPr>
        <w:ind w:left="360" w:hanging="360"/>
      </w:pPr>
      <w:rPr>
        <w:color w:val="FFFFFF"/>
      </w:rPr>
    </w:lvl>
    <w:lvl w:ilvl="1">
      <w:start w:val="1"/>
      <w:numFmt w:val="decimal"/>
      <w:lvlText w:val="%1.%2."/>
      <w:lvlJc w:val="left"/>
      <w:pPr>
        <w:ind w:left="792" w:hanging="432"/>
      </w:pPr>
      <w:rPr>
        <w:b w:val="0"/>
        <w:lang w:val="pt-BR"/>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BC5C9F"/>
    <w:multiLevelType w:val="hybridMultilevel"/>
    <w:tmpl w:val="566C049E"/>
    <w:lvl w:ilvl="0" w:tplc="49D02EC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333029A"/>
    <w:multiLevelType w:val="multilevel"/>
    <w:tmpl w:val="A6E88CDC"/>
    <w:lvl w:ilvl="0">
      <w:start w:val="1"/>
      <w:numFmt w:val="decimal"/>
      <w:lvlText w:val="%1."/>
      <w:lvlJc w:val="left"/>
      <w:pPr>
        <w:ind w:left="360" w:hanging="360"/>
      </w:pPr>
      <w:rPr>
        <w:color w:val="FFFFFF"/>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2" w15:restartNumberingAfterBreak="0">
    <w:nsid w:val="293761BA"/>
    <w:multiLevelType w:val="multilevel"/>
    <w:tmpl w:val="D7B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46A22"/>
    <w:multiLevelType w:val="hybridMultilevel"/>
    <w:tmpl w:val="CAAE2C76"/>
    <w:lvl w:ilvl="0" w:tplc="EF9CBE88">
      <w:start w:val="1"/>
      <w:numFmt w:val="lowerLetter"/>
      <w:lvlText w:val="(%1)"/>
      <w:lvlJc w:val="left"/>
      <w:pPr>
        <w:ind w:left="1854"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4B82B6D"/>
    <w:multiLevelType w:val="hybridMultilevel"/>
    <w:tmpl w:val="83C8FF0E"/>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1" w15:restartNumberingAfterBreak="0">
    <w:nsid w:val="3A31176E"/>
    <w:multiLevelType w:val="hybridMultilevel"/>
    <w:tmpl w:val="2C22A334"/>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17171E"/>
    <w:multiLevelType w:val="multilevel"/>
    <w:tmpl w:val="6CE29478"/>
    <w:lvl w:ilvl="0">
      <w:start w:val="1"/>
      <w:numFmt w:val="decimal"/>
      <w:lvlText w:val="%1."/>
      <w:lvlJc w:val="left"/>
      <w:pPr>
        <w:ind w:left="0" w:firstLine="0"/>
      </w:pPr>
      <w:rPr>
        <w:rFonts w:hint="default"/>
        <w:b/>
        <w:color w:val="FFFFFF" w:themeColor="background1"/>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134"/>
        </w:tabs>
        <w:ind w:left="0" w:firstLine="0"/>
      </w:pPr>
      <w:rPr>
        <w:rFonts w:hint="default"/>
        <w:b w:val="0"/>
        <w:i w:val="0"/>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3F794C2A"/>
    <w:multiLevelType w:val="hybridMultilevel"/>
    <w:tmpl w:val="A208A766"/>
    <w:lvl w:ilvl="0" w:tplc="70ACD1EC">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35081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48" w15:restartNumberingAfterBreak="0">
    <w:nsid w:val="45273B62"/>
    <w:multiLevelType w:val="multilevel"/>
    <w:tmpl w:val="A81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50" w15:restartNumberingAfterBreak="0">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77477C8"/>
    <w:multiLevelType w:val="hybridMultilevel"/>
    <w:tmpl w:val="E29E580C"/>
    <w:lvl w:ilvl="0" w:tplc="5F30325C">
      <w:start w:val="1"/>
      <w:numFmt w:val="decimal"/>
      <w:lvlText w:val="6.9.%1."/>
      <w:lvlJc w:val="left"/>
      <w:pPr>
        <w:ind w:left="720" w:hanging="360"/>
      </w:pPr>
      <w:rPr>
        <w:rFonts w:ascii="Tahoma" w:hAnsi="Tahoma" w:cs="Tahoma"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8BB601E"/>
    <w:multiLevelType w:val="hybridMultilevel"/>
    <w:tmpl w:val="5FFCD00A"/>
    <w:lvl w:ilvl="0" w:tplc="99FCE860">
      <w:start w:val="1"/>
      <w:numFmt w:val="lowerRoman"/>
      <w:lvlText w:val="(%1)"/>
      <w:lvlJc w:val="left"/>
      <w:pPr>
        <w:ind w:left="720" w:hanging="360"/>
      </w:pPr>
      <w:rPr>
        <w:rFonts w:ascii="Tahoma" w:hAnsi="Tahoma" w:cs="Tahoma"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9B15E69"/>
    <w:multiLevelType w:val="hybridMultilevel"/>
    <w:tmpl w:val="5FAA8EFA"/>
    <w:lvl w:ilvl="0" w:tplc="F08000A6">
      <w:start w:val="1"/>
      <w:numFmt w:val="lowerRoman"/>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6" w15:restartNumberingAfterBreak="0">
    <w:nsid w:val="4B77508D"/>
    <w:multiLevelType w:val="multilevel"/>
    <w:tmpl w:val="B15461F4"/>
    <w:lvl w:ilvl="0">
      <w:start w:val="1"/>
      <w:numFmt w:val="decimal"/>
      <w:lvlText w:val="%1."/>
      <w:lvlJc w:val="left"/>
      <w:pPr>
        <w:ind w:left="360" w:hanging="360"/>
      </w:pPr>
      <w:rPr>
        <w:color w:val="FFFFFF"/>
      </w:rPr>
    </w:lvl>
    <w:lvl w:ilvl="1">
      <w:start w:val="1"/>
      <w:numFmt w:val="decimal"/>
      <w:lvlText w:val="%1.%2."/>
      <w:lvlJc w:val="left"/>
      <w:pPr>
        <w:ind w:left="574" w:hanging="432"/>
      </w:pPr>
    </w:lvl>
    <w:lvl w:ilvl="2">
      <w:start w:val="1"/>
      <w:numFmt w:val="decimal"/>
      <w:lvlText w:val="%1.%2.%3."/>
      <w:lvlJc w:val="left"/>
      <w:pPr>
        <w:ind w:left="6742" w:hanging="504"/>
      </w:pPr>
      <w:rPr>
        <w:rFonts w:ascii="Tahoma" w:hAnsi="Tahoma" w:cs="Tahoma" w:hint="default"/>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B7758EE"/>
    <w:multiLevelType w:val="multilevel"/>
    <w:tmpl w:val="DBA4B8B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lowerRoman"/>
      <w:lvlText w:val="(%4)"/>
      <w:lvlJc w:val="left"/>
      <w:pPr>
        <w:ind w:left="1728" w:hanging="648"/>
      </w:pPr>
      <w:rPr>
        <w:rFonts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940FA0"/>
    <w:multiLevelType w:val="multilevel"/>
    <w:tmpl w:val="58D0927A"/>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E09692F"/>
    <w:multiLevelType w:val="hybridMultilevel"/>
    <w:tmpl w:val="10F0118A"/>
    <w:lvl w:ilvl="0" w:tplc="4F2481B0">
      <w:start w:val="1"/>
      <w:numFmt w:val="lowerRoman"/>
      <w:lvlText w:val="(%1)"/>
      <w:lvlJc w:val="left"/>
      <w:pPr>
        <w:ind w:left="862" w:hanging="360"/>
      </w:pPr>
      <w:rPr>
        <w:rFonts w:hint="default"/>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0"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61"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4"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3F94719"/>
    <w:multiLevelType w:val="hybridMultilevel"/>
    <w:tmpl w:val="65F4E2E8"/>
    <w:lvl w:ilvl="0" w:tplc="8878FB66">
      <w:start w:val="1"/>
      <w:numFmt w:val="lowerRoman"/>
      <w:lvlText w:val="(%1)"/>
      <w:lvlJc w:val="left"/>
      <w:pPr>
        <w:ind w:left="2136" w:hanging="360"/>
      </w:pPr>
      <w:rPr>
        <w:rFonts w:hint="default"/>
        <w:b/>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66"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1" w15:restartNumberingAfterBreak="0">
    <w:nsid w:val="5D024F68"/>
    <w:multiLevelType w:val="hybridMultilevel"/>
    <w:tmpl w:val="23F621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4"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5" w15:restartNumberingAfterBreak="0">
    <w:nsid w:val="68B47CEA"/>
    <w:multiLevelType w:val="hybridMultilevel"/>
    <w:tmpl w:val="D278D7D8"/>
    <w:lvl w:ilvl="0" w:tplc="2D2663FA">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6AE76882"/>
    <w:multiLevelType w:val="hybridMultilevel"/>
    <w:tmpl w:val="CACEBDC6"/>
    <w:lvl w:ilvl="0" w:tplc="C9EE4D00">
      <w:start w:val="1"/>
      <w:numFmt w:val="upperLetter"/>
      <w:lvlText w:val="(%1)"/>
      <w:lvlJc w:val="left"/>
      <w:pPr>
        <w:tabs>
          <w:tab w:val="num" w:pos="709"/>
        </w:tabs>
        <w:ind w:left="709" w:hanging="709"/>
      </w:pPr>
      <w:rPr>
        <w:rFonts w:hint="default"/>
        <w:b w:val="0"/>
        <w:color w:val="auto"/>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B1D1232"/>
    <w:multiLevelType w:val="multilevel"/>
    <w:tmpl w:val="59405930"/>
    <w:lvl w:ilvl="0">
      <w:start w:val="1"/>
      <w:numFmt w:val="decimal"/>
      <w:pStyle w:val="Level1"/>
      <w:lvlText w:val="%1"/>
      <w:lvlJc w:val="left"/>
      <w:pPr>
        <w:tabs>
          <w:tab w:val="num" w:pos="822"/>
        </w:tabs>
        <w:ind w:left="822" w:hanging="680"/>
      </w:pPr>
      <w:rPr>
        <w:rFonts w:ascii="Tahoma" w:hAnsi="Tahoma" w:hint="default"/>
        <w:b/>
        <w:i w:val="0"/>
        <w:color w:val="FFFFFF" w:themeColor="background1"/>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98"/>
        </w:tabs>
        <w:ind w:left="2098" w:hanging="680"/>
      </w:pPr>
      <w:rPr>
        <w:rFonts w:ascii="Tahoma" w:hAnsi="Tahoma" w:cs="Tahoma" w:hint="default"/>
        <w:b/>
        <w:i w:val="0"/>
        <w:sz w:val="22"/>
        <w:szCs w:val="22"/>
      </w:rPr>
    </w:lvl>
    <w:lvl w:ilvl="4">
      <w:start w:val="1"/>
      <w:numFmt w:val="lowerLetter"/>
      <w:pStyle w:val="Level5"/>
      <w:lvlText w:val="(%5)"/>
      <w:lvlJc w:val="left"/>
      <w:pPr>
        <w:tabs>
          <w:tab w:val="num" w:pos="2608"/>
        </w:tabs>
        <w:ind w:left="2608" w:hanging="567"/>
      </w:pPr>
      <w:rPr>
        <w:rFonts w:ascii="Tahoma" w:hAnsi="Tahoma" w:hint="default"/>
        <w:b/>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2" w15:restartNumberingAfterBreak="0">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83" w15:restartNumberingAfterBreak="0">
    <w:nsid w:val="6D291C57"/>
    <w:multiLevelType w:val="multilevel"/>
    <w:tmpl w:val="E8FA7A96"/>
    <w:lvl w:ilvl="0">
      <w:start w:val="9"/>
      <w:numFmt w:val="decimal"/>
      <w:lvlText w:val="%1."/>
      <w:lvlJc w:val="left"/>
      <w:pPr>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rPr>
    </w:lvl>
    <w:lvl w:ilvl="2">
      <w:start w:val="1"/>
      <w:numFmt w:val="decimal"/>
      <w:lvlText w:val="%1.%2.%3."/>
      <w:lvlJc w:val="left"/>
      <w:pPr>
        <w:tabs>
          <w:tab w:val="num" w:pos="1134"/>
        </w:tabs>
        <w:ind w:left="1224" w:hanging="504"/>
      </w:pPr>
      <w:rPr>
        <w:rFonts w:hint="default"/>
        <w:b/>
        <w:i w:val="0"/>
      </w:rPr>
    </w:lvl>
    <w:lvl w:ilvl="3">
      <w:start w:val="1"/>
      <w:numFmt w:val="decimal"/>
      <w:lvlText w:val="%1.%2.%3.%4."/>
      <w:lvlJc w:val="left"/>
      <w:pPr>
        <w:tabs>
          <w:tab w:val="num" w:pos="1134"/>
        </w:tabs>
        <w:ind w:left="1728" w:hanging="648"/>
      </w:pPr>
      <w:rPr>
        <w:rFonts w:hint="default"/>
        <w:b/>
        <w:i w:val="0"/>
      </w:rPr>
    </w:lvl>
    <w:lvl w:ilvl="4">
      <w:start w:val="1"/>
      <w:numFmt w:val="decimal"/>
      <w:lvlText w:val="%1.%2.%3.%4.%5."/>
      <w:lvlJc w:val="left"/>
      <w:pPr>
        <w:tabs>
          <w:tab w:val="num" w:pos="1134"/>
        </w:tabs>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EB67F9A"/>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FB83D43"/>
    <w:multiLevelType w:val="multilevel"/>
    <w:tmpl w:val="401CED6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7"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88" w15:restartNumberingAfterBreak="0">
    <w:nsid w:val="736945D6"/>
    <w:multiLevelType w:val="multilevel"/>
    <w:tmpl w:val="AB9C062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rPr>
        <w:rFonts w:ascii="Tahoma" w:hAnsi="Tahoma" w:cs="Tahoma" w:hint="default"/>
        <w:b/>
        <w:sz w:val="22"/>
        <w:szCs w:val="22"/>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4CC7A27"/>
    <w:multiLevelType w:val="hybridMultilevel"/>
    <w:tmpl w:val="2B0CC874"/>
    <w:lvl w:ilvl="0" w:tplc="B6D6BC54">
      <w:start w:val="1"/>
      <w:numFmt w:val="upperLetter"/>
      <w:lvlText w:val="(%1)"/>
      <w:lvlJc w:val="left"/>
      <w:pPr>
        <w:tabs>
          <w:tab w:val="num" w:pos="709"/>
        </w:tabs>
        <w:ind w:left="709" w:hanging="709"/>
      </w:pPr>
      <w:rPr>
        <w:rFonts w:hint="default"/>
        <w:b w:val="0"/>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76031086"/>
    <w:multiLevelType w:val="hybridMultilevel"/>
    <w:tmpl w:val="CCAED75A"/>
    <w:lvl w:ilvl="0" w:tplc="23747252">
      <w:start w:val="1"/>
      <w:numFmt w:val="lowerLetter"/>
      <w:lvlText w:val="(%1)"/>
      <w:lvlJc w:val="left"/>
      <w:pPr>
        <w:ind w:left="185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618594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2"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3" w15:restartNumberingAfterBreak="0">
    <w:nsid w:val="7B677544"/>
    <w:multiLevelType w:val="hybridMultilevel"/>
    <w:tmpl w:val="4E2441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4"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6"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E1D7937"/>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8" w15:restartNumberingAfterBreak="0">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6"/>
  </w:num>
  <w:num w:numId="2">
    <w:abstractNumId w:val="60"/>
  </w:num>
  <w:num w:numId="3">
    <w:abstractNumId w:val="86"/>
  </w:num>
  <w:num w:numId="4">
    <w:abstractNumId w:val="35"/>
  </w:num>
  <w:num w:numId="5">
    <w:abstractNumId w:val="16"/>
  </w:num>
  <w:num w:numId="6">
    <w:abstractNumId w:val="40"/>
  </w:num>
  <w:num w:numId="7">
    <w:abstractNumId w:val="17"/>
  </w:num>
  <w:num w:numId="8">
    <w:abstractNumId w:val="34"/>
  </w:num>
  <w:num w:numId="9">
    <w:abstractNumId w:val="30"/>
  </w:num>
  <w:num w:numId="10">
    <w:abstractNumId w:val="69"/>
  </w:num>
  <w:num w:numId="11">
    <w:abstractNumId w:val="94"/>
  </w:num>
  <w:num w:numId="12">
    <w:abstractNumId w:val="18"/>
  </w:num>
  <w:num w:numId="13">
    <w:abstractNumId w:val="42"/>
  </w:num>
  <w:num w:numId="14">
    <w:abstractNumId w:val="64"/>
  </w:num>
  <w:num w:numId="15">
    <w:abstractNumId w:val="46"/>
  </w:num>
  <w:num w:numId="16">
    <w:abstractNumId w:val="62"/>
  </w:num>
  <w:num w:numId="17">
    <w:abstractNumId w:val="61"/>
  </w:num>
  <w:num w:numId="18">
    <w:abstractNumId w:val="19"/>
  </w:num>
  <w:num w:numId="19">
    <w:abstractNumId w:val="79"/>
  </w:num>
  <w:num w:numId="20">
    <w:abstractNumId w:val="98"/>
  </w:num>
  <w:num w:numId="21">
    <w:abstractNumId w:val="8"/>
  </w:num>
  <w:num w:numId="22">
    <w:abstractNumId w:val="72"/>
  </w:num>
  <w:num w:numId="23">
    <w:abstractNumId w:val="70"/>
  </w:num>
  <w:num w:numId="24">
    <w:abstractNumId w:val="92"/>
  </w:num>
  <w:num w:numId="25">
    <w:abstractNumId w:val="73"/>
  </w:num>
  <w:num w:numId="26">
    <w:abstractNumId w:val="67"/>
  </w:num>
  <w:num w:numId="27">
    <w:abstractNumId w:val="87"/>
  </w:num>
  <w:num w:numId="28">
    <w:abstractNumId w:val="81"/>
  </w:num>
  <w:num w:numId="29">
    <w:abstractNumId w:val="12"/>
  </w:num>
  <w:num w:numId="30">
    <w:abstractNumId w:val="39"/>
  </w:num>
  <w:num w:numId="31">
    <w:abstractNumId w:val="13"/>
  </w:num>
  <w:num w:numId="32">
    <w:abstractNumId w:val="31"/>
  </w:num>
  <w:num w:numId="33">
    <w:abstractNumId w:val="10"/>
  </w:num>
  <w:num w:numId="34">
    <w:abstractNumId w:val="74"/>
  </w:num>
  <w:num w:numId="35">
    <w:abstractNumId w:val="4"/>
  </w:num>
  <w:num w:numId="36">
    <w:abstractNumId w:val="36"/>
  </w:num>
  <w:num w:numId="37">
    <w:abstractNumId w:val="76"/>
  </w:num>
  <w:num w:numId="38">
    <w:abstractNumId w:val="29"/>
  </w:num>
  <w:num w:numId="39">
    <w:abstractNumId w:val="45"/>
  </w:num>
  <w:num w:numId="40">
    <w:abstractNumId w:val="80"/>
  </w:num>
  <w:num w:numId="41">
    <w:abstractNumId w:val="27"/>
  </w:num>
  <w:num w:numId="42">
    <w:abstractNumId w:val="66"/>
  </w:num>
  <w:num w:numId="43">
    <w:abstractNumId w:val="0"/>
  </w:num>
  <w:num w:numId="44">
    <w:abstractNumId w:val="2"/>
  </w:num>
  <w:num w:numId="45">
    <w:abstractNumId w:val="1"/>
  </w:num>
  <w:num w:numId="46">
    <w:abstractNumId w:val="3"/>
  </w:num>
  <w:num w:numId="47">
    <w:abstractNumId w:val="78"/>
  </w:num>
  <w:num w:numId="48">
    <w:abstractNumId w:val="49"/>
  </w:num>
  <w:num w:numId="49">
    <w:abstractNumId w:val="54"/>
  </w:num>
  <w:num w:numId="50">
    <w:abstractNumId w:val="68"/>
  </w:num>
  <w:num w:numId="51">
    <w:abstractNumId w:val="84"/>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7"/>
  </w:num>
  <w:num w:numId="59">
    <w:abstractNumId w:val="65"/>
  </w:num>
  <w:num w:numId="60">
    <w:abstractNumId w:val="24"/>
  </w:num>
  <w:num w:numId="61">
    <w:abstractNumId w:val="56"/>
  </w:num>
  <w:num w:numId="62">
    <w:abstractNumId w:val="25"/>
  </w:num>
  <w:num w:numId="63">
    <w:abstractNumId w:val="78"/>
  </w:num>
  <w:num w:numId="64">
    <w:abstractNumId w:val="6"/>
  </w:num>
  <w:num w:numId="65">
    <w:abstractNumId w:val="78"/>
  </w:num>
  <w:num w:numId="66">
    <w:abstractNumId w:val="14"/>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num>
  <w:num w:numId="69">
    <w:abstractNumId w:val="78"/>
  </w:num>
  <w:num w:numId="70">
    <w:abstractNumId w:val="78"/>
  </w:num>
  <w:num w:numId="71">
    <w:abstractNumId w:val="78"/>
  </w:num>
  <w:num w:numId="72">
    <w:abstractNumId w:val="78"/>
  </w:num>
  <w:num w:numId="73">
    <w:abstractNumId w:val="78"/>
  </w:num>
  <w:num w:numId="74">
    <w:abstractNumId w:val="78"/>
  </w:num>
  <w:num w:numId="75">
    <w:abstractNumId w:val="78"/>
  </w:num>
  <w:num w:numId="76">
    <w:abstractNumId w:val="78"/>
  </w:num>
  <w:num w:numId="77">
    <w:abstractNumId w:val="78"/>
  </w:num>
  <w:num w:numId="78">
    <w:abstractNumId w:val="78"/>
  </w:num>
  <w:num w:numId="79">
    <w:abstractNumId w:val="78"/>
  </w:num>
  <w:num w:numId="80">
    <w:abstractNumId w:val="78"/>
  </w:num>
  <w:num w:numId="81">
    <w:abstractNumId w:val="78"/>
  </w:num>
  <w:num w:numId="82">
    <w:abstractNumId w:val="78"/>
  </w:num>
  <w:num w:numId="83">
    <w:abstractNumId w:val="78"/>
  </w:num>
  <w:num w:numId="84">
    <w:abstractNumId w:val="78"/>
  </w:num>
  <w:num w:numId="85">
    <w:abstractNumId w:val="78"/>
  </w:num>
  <w:num w:numId="86">
    <w:abstractNumId w:val="78"/>
  </w:num>
  <w:num w:numId="87">
    <w:abstractNumId w:val="78"/>
  </w:num>
  <w:num w:numId="88">
    <w:abstractNumId w:val="78"/>
  </w:num>
  <w:num w:numId="89">
    <w:abstractNumId w:val="78"/>
  </w:num>
  <w:num w:numId="90">
    <w:abstractNumId w:val="78"/>
  </w:num>
  <w:num w:numId="91">
    <w:abstractNumId w:val="78"/>
  </w:num>
  <w:num w:numId="92">
    <w:abstractNumId w:val="78"/>
  </w:num>
  <w:num w:numId="93">
    <w:abstractNumId w:val="78"/>
  </w:num>
  <w:num w:numId="94">
    <w:abstractNumId w:val="78"/>
  </w:num>
  <w:num w:numId="95">
    <w:abstractNumId w:val="78"/>
  </w:num>
  <w:num w:numId="96">
    <w:abstractNumId w:val="78"/>
  </w:num>
  <w:num w:numId="97">
    <w:abstractNumId w:val="78"/>
  </w:num>
  <w:num w:numId="98">
    <w:abstractNumId w:val="78"/>
  </w:num>
  <w:num w:numId="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8"/>
  </w:num>
  <w:num w:numId="102">
    <w:abstractNumId w:val="78"/>
  </w:num>
  <w:num w:numId="103">
    <w:abstractNumId w:val="78"/>
  </w:num>
  <w:num w:numId="104">
    <w:abstractNumId w:val="50"/>
  </w:num>
  <w:num w:numId="105">
    <w:abstractNumId w:val="78"/>
  </w:num>
  <w:num w:numId="106">
    <w:abstractNumId w:val="78"/>
  </w:num>
  <w:num w:numId="107">
    <w:abstractNumId w:val="83"/>
  </w:num>
  <w:num w:numId="108">
    <w:abstractNumId w:val="78"/>
  </w:num>
  <w:num w:numId="109">
    <w:abstractNumId w:val="78"/>
  </w:num>
  <w:num w:numId="110">
    <w:abstractNumId w:val="78"/>
  </w:num>
  <w:num w:numId="111">
    <w:abstractNumId w:val="78"/>
  </w:num>
  <w:num w:numId="112">
    <w:abstractNumId w:val="78"/>
  </w:num>
  <w:num w:numId="113">
    <w:abstractNumId w:val="11"/>
  </w:num>
  <w:num w:numId="114">
    <w:abstractNumId w:val="78"/>
  </w:num>
  <w:num w:numId="115">
    <w:abstractNumId w:val="78"/>
  </w:num>
  <w:num w:numId="116">
    <w:abstractNumId w:val="78"/>
  </w:num>
  <w:num w:numId="117">
    <w:abstractNumId w:val="82"/>
  </w:num>
  <w:num w:numId="118">
    <w:abstractNumId w:val="78"/>
  </w:num>
  <w:num w:numId="119">
    <w:abstractNumId w:val="78"/>
  </w:num>
  <w:num w:numId="1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8"/>
  </w:num>
  <w:num w:numId="122">
    <w:abstractNumId w:val="78"/>
  </w:num>
  <w:num w:numId="123">
    <w:abstractNumId w:val="78"/>
  </w:num>
  <w:num w:numId="124">
    <w:abstractNumId w:val="78"/>
  </w:num>
  <w:num w:numId="125">
    <w:abstractNumId w:val="78"/>
  </w:num>
  <w:num w:numId="126">
    <w:abstractNumId w:val="78"/>
  </w:num>
  <w:num w:numId="1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8"/>
  </w:num>
  <w:num w:numId="129">
    <w:abstractNumId w:val="78"/>
  </w:num>
  <w:num w:numId="130">
    <w:abstractNumId w:val="78"/>
  </w:num>
  <w:num w:numId="131">
    <w:abstractNumId w:val="78"/>
  </w:num>
  <w:num w:numId="132">
    <w:abstractNumId w:val="78"/>
  </w:num>
  <w:num w:numId="133">
    <w:abstractNumId w:val="78"/>
  </w:num>
  <w:num w:numId="134">
    <w:abstractNumId w:val="78"/>
  </w:num>
  <w:num w:numId="135">
    <w:abstractNumId w:val="78"/>
  </w:num>
  <w:num w:numId="136">
    <w:abstractNumId w:val="78"/>
  </w:num>
  <w:num w:numId="137">
    <w:abstractNumId w:val="78"/>
  </w:num>
  <w:num w:numId="138">
    <w:abstractNumId w:val="78"/>
  </w:num>
  <w:num w:numId="139">
    <w:abstractNumId w:val="78"/>
  </w:num>
  <w:num w:numId="140">
    <w:abstractNumId w:val="78"/>
  </w:num>
  <w:num w:numId="141">
    <w:abstractNumId w:val="78"/>
  </w:num>
  <w:num w:numId="142">
    <w:abstractNumId w:val="78"/>
  </w:num>
  <w:num w:numId="143">
    <w:abstractNumId w:val="78"/>
  </w:num>
  <w:num w:numId="144">
    <w:abstractNumId w:val="78"/>
  </w:num>
  <w:num w:numId="145">
    <w:abstractNumId w:val="55"/>
  </w:num>
  <w:num w:numId="146">
    <w:abstractNumId w:val="15"/>
  </w:num>
  <w:num w:numId="147">
    <w:abstractNumId w:val="51"/>
  </w:num>
  <w:num w:numId="148">
    <w:abstractNumId w:val="78"/>
  </w:num>
  <w:num w:numId="149">
    <w:abstractNumId w:val="78"/>
  </w:num>
  <w:num w:numId="150">
    <w:abstractNumId w:val="78"/>
  </w:num>
  <w:num w:numId="151">
    <w:abstractNumId w:val="43"/>
  </w:num>
  <w:num w:numId="152">
    <w:abstractNumId w:val="78"/>
  </w:num>
  <w:num w:numId="153">
    <w:abstractNumId w:val="78"/>
  </w:num>
  <w:num w:numId="154">
    <w:abstractNumId w:val="78"/>
  </w:num>
  <w:num w:numId="155">
    <w:abstractNumId w:val="78"/>
  </w:num>
  <w:num w:numId="156">
    <w:abstractNumId w:val="78"/>
  </w:num>
  <w:num w:numId="157">
    <w:abstractNumId w:val="78"/>
  </w:num>
  <w:num w:numId="158">
    <w:abstractNumId w:val="78"/>
  </w:num>
  <w:num w:numId="159">
    <w:abstractNumId w:val="78"/>
  </w:num>
  <w:num w:numId="160">
    <w:abstractNumId w:val="78"/>
  </w:num>
  <w:num w:numId="161">
    <w:abstractNumId w:val="78"/>
  </w:num>
  <w:num w:numId="162">
    <w:abstractNumId w:val="78"/>
  </w:num>
  <w:num w:numId="163">
    <w:abstractNumId w:val="78"/>
  </w:num>
  <w:num w:numId="164">
    <w:abstractNumId w:val="78"/>
  </w:num>
  <w:num w:numId="165">
    <w:abstractNumId w:val="78"/>
  </w:num>
  <w:num w:numId="166">
    <w:abstractNumId w:val="78"/>
  </w:num>
  <w:num w:numId="167">
    <w:abstractNumId w:val="78"/>
  </w:num>
  <w:num w:numId="168">
    <w:abstractNumId w:val="78"/>
  </w:num>
  <w:num w:numId="169">
    <w:abstractNumId w:val="78"/>
  </w:num>
  <w:num w:numId="170">
    <w:abstractNumId w:val="78"/>
  </w:num>
  <w:num w:numId="171">
    <w:abstractNumId w:val="78"/>
  </w:num>
  <w:num w:numId="172">
    <w:abstractNumId w:val="78"/>
  </w:num>
  <w:num w:numId="173">
    <w:abstractNumId w:val="58"/>
  </w:num>
  <w:num w:numId="174">
    <w:abstractNumId w:val="88"/>
  </w:num>
  <w:num w:numId="175">
    <w:abstractNumId w:val="78"/>
  </w:num>
  <w:num w:numId="176">
    <w:abstractNumId w:val="78"/>
  </w:num>
  <w:num w:numId="177">
    <w:abstractNumId w:val="78"/>
  </w:num>
  <w:num w:numId="178">
    <w:abstractNumId w:val="78"/>
  </w:num>
  <w:num w:numId="179">
    <w:abstractNumId w:val="78"/>
  </w:num>
  <w:num w:numId="180">
    <w:abstractNumId w:val="78"/>
  </w:num>
  <w:num w:numId="181">
    <w:abstractNumId w:val="78"/>
  </w:num>
  <w:num w:numId="182">
    <w:abstractNumId w:val="78"/>
  </w:num>
  <w:num w:numId="183">
    <w:abstractNumId w:val="78"/>
  </w:num>
  <w:num w:numId="184">
    <w:abstractNumId w:val="78"/>
  </w:num>
  <w:num w:numId="185">
    <w:abstractNumId w:val="78"/>
  </w:num>
  <w:num w:numId="186">
    <w:abstractNumId w:val="78"/>
  </w:num>
  <w:num w:numId="187">
    <w:abstractNumId w:val="78"/>
  </w:num>
  <w:num w:numId="188">
    <w:abstractNumId w:val="78"/>
  </w:num>
  <w:num w:numId="189">
    <w:abstractNumId w:val="78"/>
  </w:num>
  <w:num w:numId="190">
    <w:abstractNumId w:val="78"/>
  </w:num>
  <w:num w:numId="191">
    <w:abstractNumId w:val="28"/>
  </w:num>
  <w:num w:numId="192">
    <w:abstractNumId w:val="78"/>
  </w:num>
  <w:num w:numId="193">
    <w:abstractNumId w:val="78"/>
  </w:num>
  <w:num w:numId="194">
    <w:abstractNumId w:val="78"/>
  </w:num>
  <w:num w:numId="195">
    <w:abstractNumId w:val="78"/>
  </w:num>
  <w:num w:numId="196">
    <w:abstractNumId w:val="44"/>
  </w:num>
  <w:num w:numId="197">
    <w:abstractNumId w:val="78"/>
  </w:num>
  <w:num w:numId="198">
    <w:abstractNumId w:val="78"/>
  </w:num>
  <w:num w:numId="199">
    <w:abstractNumId w:val="78"/>
  </w:num>
  <w:num w:numId="200">
    <w:abstractNumId w:val="23"/>
  </w:num>
  <w:num w:numId="201">
    <w:abstractNumId w:val="78"/>
  </w:num>
  <w:num w:numId="202">
    <w:abstractNumId w:val="53"/>
  </w:num>
  <w:num w:numId="203">
    <w:abstractNumId w:val="37"/>
  </w:num>
  <w:num w:numId="204">
    <w:abstractNumId w:val="41"/>
  </w:num>
  <w:num w:numId="205">
    <w:abstractNumId w:val="59"/>
  </w:num>
  <w:num w:numId="206">
    <w:abstractNumId w:val="78"/>
  </w:num>
  <w:num w:numId="207">
    <w:abstractNumId w:val="78"/>
  </w:num>
  <w:num w:numId="208">
    <w:abstractNumId w:val="78"/>
  </w:num>
  <w:num w:numId="209">
    <w:abstractNumId w:val="78"/>
  </w:num>
  <w:num w:numId="210">
    <w:abstractNumId w:val="78"/>
  </w:num>
  <w:num w:numId="211">
    <w:abstractNumId w:val="78"/>
  </w:num>
  <w:num w:numId="212">
    <w:abstractNumId w:val="78"/>
  </w:num>
  <w:num w:numId="213">
    <w:abstractNumId w:val="20"/>
  </w:num>
  <w:num w:numId="214">
    <w:abstractNumId w:val="33"/>
  </w:num>
  <w:num w:numId="215">
    <w:abstractNumId w:val="78"/>
  </w:num>
  <w:num w:numId="216">
    <w:abstractNumId w:val="78"/>
  </w:num>
  <w:num w:numId="217">
    <w:abstractNumId w:val="78"/>
  </w:num>
  <w:num w:numId="218">
    <w:abstractNumId w:val="52"/>
  </w:num>
  <w:num w:numId="219">
    <w:abstractNumId w:val="78"/>
  </w:num>
  <w:num w:numId="220">
    <w:abstractNumId w:val="78"/>
  </w:num>
  <w:num w:numId="221">
    <w:abstractNumId w:val="78"/>
  </w:num>
  <w:num w:numId="222">
    <w:abstractNumId w:val="78"/>
  </w:num>
  <w:num w:numId="223">
    <w:abstractNumId w:val="78"/>
  </w:num>
  <w:num w:numId="224">
    <w:abstractNumId w:val="78"/>
  </w:num>
  <w:num w:numId="225">
    <w:abstractNumId w:val="78"/>
  </w:num>
  <w:num w:numId="226">
    <w:abstractNumId w:val="78"/>
  </w:num>
  <w:num w:numId="227">
    <w:abstractNumId w:val="78"/>
  </w:num>
  <w:num w:numId="228">
    <w:abstractNumId w:val="78"/>
  </w:num>
  <w:num w:numId="229">
    <w:abstractNumId w:val="78"/>
  </w:num>
  <w:num w:numId="230">
    <w:abstractNumId w:val="78"/>
  </w:num>
  <w:num w:numId="231">
    <w:abstractNumId w:val="78"/>
  </w:num>
  <w:num w:numId="232">
    <w:abstractNumId w:val="78"/>
  </w:num>
  <w:num w:numId="233">
    <w:abstractNumId w:val="78"/>
  </w:num>
  <w:num w:numId="234">
    <w:abstractNumId w:val="78"/>
  </w:num>
  <w:num w:numId="235">
    <w:abstractNumId w:val="78"/>
  </w:num>
  <w:num w:numId="236">
    <w:abstractNumId w:val="78"/>
  </w:num>
  <w:num w:numId="237">
    <w:abstractNumId w:val="78"/>
  </w:num>
  <w:num w:numId="238">
    <w:abstractNumId w:val="78"/>
  </w:num>
  <w:num w:numId="239">
    <w:abstractNumId w:val="78"/>
  </w:num>
  <w:num w:numId="240">
    <w:abstractNumId w:val="78"/>
  </w:num>
  <w:num w:numId="241">
    <w:abstractNumId w:val="78"/>
  </w:num>
  <w:num w:numId="242">
    <w:abstractNumId w:val="78"/>
  </w:num>
  <w:num w:numId="243">
    <w:abstractNumId w:val="78"/>
  </w:num>
  <w:num w:numId="244">
    <w:abstractNumId w:val="78"/>
  </w:num>
  <w:num w:numId="245">
    <w:abstractNumId w:val="78"/>
  </w:num>
  <w:num w:numId="246">
    <w:abstractNumId w:val="78"/>
  </w:num>
  <w:num w:numId="247">
    <w:abstractNumId w:val="78"/>
  </w:num>
  <w:num w:numId="248">
    <w:abstractNumId w:val="78"/>
  </w:num>
  <w:num w:numId="249">
    <w:abstractNumId w:val="78"/>
  </w:num>
  <w:num w:numId="250">
    <w:abstractNumId w:val="78"/>
  </w:num>
  <w:num w:numId="251">
    <w:abstractNumId w:val="78"/>
  </w:num>
  <w:num w:numId="252">
    <w:abstractNumId w:val="78"/>
  </w:num>
  <w:num w:numId="253">
    <w:abstractNumId w:val="78"/>
    <w:lvlOverride w:ilvl="0">
      <w:startOverride w:val="6"/>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8"/>
  </w:num>
  <w:num w:numId="255">
    <w:abstractNumId w:val="78"/>
  </w:num>
  <w:num w:numId="256">
    <w:abstractNumId w:val="78"/>
  </w:num>
  <w:num w:numId="257">
    <w:abstractNumId w:val="9"/>
  </w:num>
  <w:num w:numId="258">
    <w:abstractNumId w:val="78"/>
  </w:num>
  <w:num w:numId="259">
    <w:abstractNumId w:val="26"/>
  </w:num>
  <w:num w:numId="260">
    <w:abstractNumId w:val="78"/>
  </w:num>
  <w:num w:numId="261">
    <w:abstractNumId w:val="78"/>
  </w:num>
  <w:num w:numId="262">
    <w:abstractNumId w:val="78"/>
  </w:num>
  <w:num w:numId="263">
    <w:abstractNumId w:val="78"/>
  </w:num>
  <w:num w:numId="264">
    <w:abstractNumId w:val="63"/>
  </w:num>
  <w:num w:numId="265">
    <w:abstractNumId w:val="38"/>
  </w:num>
  <w:num w:numId="266">
    <w:abstractNumId w:val="78"/>
  </w:num>
  <w:num w:numId="267">
    <w:abstractNumId w:val="78"/>
  </w:num>
  <w:num w:numId="268">
    <w:abstractNumId w:val="78"/>
  </w:num>
  <w:num w:numId="269">
    <w:abstractNumId w:val="78"/>
  </w:num>
  <w:num w:numId="270">
    <w:abstractNumId w:val="78"/>
  </w:num>
  <w:num w:numId="271">
    <w:abstractNumId w:val="78"/>
  </w:num>
  <w:num w:numId="272">
    <w:abstractNumId w:val="78"/>
  </w:num>
  <w:num w:numId="273">
    <w:abstractNumId w:val="78"/>
  </w:num>
  <w:num w:numId="274">
    <w:abstractNumId w:val="78"/>
  </w:num>
  <w:num w:numId="275">
    <w:abstractNumId w:val="78"/>
  </w:num>
  <w:num w:numId="276">
    <w:abstractNumId w:val="78"/>
  </w:num>
  <w:num w:numId="277">
    <w:abstractNumId w:val="78"/>
  </w:num>
  <w:num w:numId="278">
    <w:abstractNumId w:val="78"/>
  </w:num>
  <w:num w:numId="279">
    <w:abstractNumId w:val="78"/>
  </w:num>
  <w:num w:numId="280">
    <w:abstractNumId w:val="78"/>
  </w:num>
  <w:num w:numId="281">
    <w:abstractNumId w:val="78"/>
  </w:num>
  <w:num w:numId="282">
    <w:abstractNumId w:val="78"/>
  </w:num>
  <w:num w:numId="283">
    <w:abstractNumId w:val="78"/>
  </w:num>
  <w:num w:numId="284">
    <w:abstractNumId w:val="78"/>
  </w:num>
  <w:num w:numId="285">
    <w:abstractNumId w:val="78"/>
  </w:num>
  <w:num w:numId="286">
    <w:abstractNumId w:val="78"/>
  </w:num>
  <w:num w:numId="287">
    <w:abstractNumId w:val="78"/>
  </w:num>
  <w:num w:numId="288">
    <w:abstractNumId w:val="78"/>
  </w:num>
  <w:num w:numId="289">
    <w:abstractNumId w:val="78"/>
  </w:num>
  <w:num w:numId="290">
    <w:abstractNumId w:val="78"/>
  </w:num>
  <w:num w:numId="291">
    <w:abstractNumId w:val="78"/>
  </w:num>
  <w:num w:numId="292">
    <w:abstractNumId w:val="78"/>
  </w:num>
  <w:num w:numId="293">
    <w:abstractNumId w:val="78"/>
  </w:num>
  <w:num w:numId="294">
    <w:abstractNumId w:val="78"/>
  </w:num>
  <w:num w:numId="295">
    <w:abstractNumId w:val="78"/>
  </w:num>
  <w:num w:numId="296">
    <w:abstractNumId w:val="78"/>
  </w:num>
  <w:num w:numId="297">
    <w:abstractNumId w:val="78"/>
  </w:num>
  <w:num w:numId="298">
    <w:abstractNumId w:val="78"/>
  </w:num>
  <w:num w:numId="299">
    <w:abstractNumId w:val="78"/>
  </w:num>
  <w:num w:numId="300">
    <w:abstractNumId w:val="78"/>
  </w:num>
  <w:num w:numId="301">
    <w:abstractNumId w:val="78"/>
  </w:num>
  <w:num w:numId="302">
    <w:abstractNumId w:val="78"/>
  </w:num>
  <w:num w:numId="303">
    <w:abstractNumId w:val="78"/>
  </w:num>
  <w:num w:numId="304">
    <w:abstractNumId w:val="78"/>
  </w:num>
  <w:num w:numId="305">
    <w:abstractNumId w:val="78"/>
  </w:num>
  <w:num w:numId="306">
    <w:abstractNumId w:val="78"/>
  </w:num>
  <w:num w:numId="307">
    <w:abstractNumId w:val="78"/>
  </w:num>
  <w:num w:numId="308">
    <w:abstractNumId w:val="78"/>
  </w:num>
  <w:num w:numId="309">
    <w:abstractNumId w:val="78"/>
  </w:num>
  <w:num w:numId="310">
    <w:abstractNumId w:val="78"/>
  </w:num>
  <w:num w:numId="311">
    <w:abstractNumId w:val="78"/>
  </w:num>
  <w:num w:numId="312">
    <w:abstractNumId w:val="78"/>
  </w:num>
  <w:num w:numId="313">
    <w:abstractNumId w:val="78"/>
  </w:num>
  <w:num w:numId="314">
    <w:abstractNumId w:val="78"/>
  </w:num>
  <w:num w:numId="315">
    <w:abstractNumId w:val="78"/>
  </w:num>
  <w:num w:numId="316">
    <w:abstractNumId w:val="78"/>
  </w:num>
  <w:num w:numId="317">
    <w:abstractNumId w:val="47"/>
  </w:num>
  <w:num w:numId="318">
    <w:abstractNumId w:val="78"/>
  </w:num>
  <w:num w:numId="319">
    <w:abstractNumId w:val="78"/>
  </w:num>
  <w:num w:numId="320">
    <w:abstractNumId w:val="91"/>
  </w:num>
  <w:num w:numId="321">
    <w:abstractNumId w:val="78"/>
  </w:num>
  <w:num w:numId="322">
    <w:abstractNumId w:val="78"/>
  </w:num>
  <w:num w:numId="323">
    <w:abstractNumId w:val="78"/>
  </w:num>
  <w:num w:numId="324">
    <w:abstractNumId w:val="97"/>
  </w:num>
  <w:num w:numId="325">
    <w:abstractNumId w:val="78"/>
  </w:num>
  <w:num w:numId="326">
    <w:abstractNumId w:val="78"/>
  </w:num>
  <w:num w:numId="327">
    <w:abstractNumId w:val="78"/>
  </w:num>
  <w:num w:numId="328">
    <w:abstractNumId w:val="78"/>
  </w:num>
  <w:num w:numId="329">
    <w:abstractNumId w:val="78"/>
  </w:num>
  <w:num w:numId="330">
    <w:abstractNumId w:val="78"/>
  </w:num>
  <w:num w:numId="331">
    <w:abstractNumId w:val="78"/>
  </w:num>
  <w:num w:numId="332">
    <w:abstractNumId w:val="78"/>
  </w:num>
  <w:num w:numId="333">
    <w:abstractNumId w:val="95"/>
  </w:num>
  <w:num w:numId="334">
    <w:abstractNumId w:val="78"/>
  </w:num>
  <w:num w:numId="335">
    <w:abstractNumId w:val="78"/>
  </w:num>
  <w:num w:numId="336">
    <w:abstractNumId w:val="78"/>
  </w:num>
  <w:num w:numId="337">
    <w:abstractNumId w:val="78"/>
  </w:num>
  <w:num w:numId="338">
    <w:abstractNumId w:val="5"/>
  </w:num>
  <w:num w:numId="339">
    <w:abstractNumId w:val="78"/>
  </w:num>
  <w:num w:numId="340">
    <w:abstractNumId w:val="7"/>
  </w:num>
  <w:num w:numId="341">
    <w:abstractNumId w:val="78"/>
  </w:num>
  <w:num w:numId="342">
    <w:abstractNumId w:val="78"/>
  </w:num>
  <w:num w:numId="343">
    <w:abstractNumId w:val="78"/>
  </w:num>
  <w:num w:numId="344">
    <w:abstractNumId w:val="78"/>
  </w:num>
  <w:num w:numId="345">
    <w:abstractNumId w:val="78"/>
  </w:num>
  <w:num w:numId="346">
    <w:abstractNumId w:val="78"/>
  </w:num>
  <w:num w:numId="347">
    <w:abstractNumId w:val="78"/>
  </w:num>
  <w:num w:numId="348">
    <w:abstractNumId w:val="78"/>
  </w:num>
  <w:num w:numId="349">
    <w:abstractNumId w:val="78"/>
  </w:num>
  <w:num w:numId="350">
    <w:abstractNumId w:val="78"/>
  </w:num>
  <w:num w:numId="351">
    <w:abstractNumId w:val="78"/>
  </w:num>
  <w:num w:numId="352">
    <w:abstractNumId w:val="78"/>
  </w:num>
  <w:num w:numId="353">
    <w:abstractNumId w:val="78"/>
  </w:num>
  <w:num w:numId="354">
    <w:abstractNumId w:val="75"/>
  </w:num>
  <w:num w:numId="355">
    <w:abstractNumId w:val="78"/>
  </w:num>
  <w:num w:numId="356">
    <w:abstractNumId w:val="78"/>
  </w:num>
  <w:num w:numId="357">
    <w:abstractNumId w:val="78"/>
  </w:num>
  <w:num w:numId="358">
    <w:abstractNumId w:val="32"/>
  </w:num>
  <w:num w:numId="359">
    <w:abstractNumId w:val="48"/>
  </w:num>
  <w:num w:numId="360">
    <w:abstractNumId w:val="78"/>
  </w:num>
  <w:num w:numId="361">
    <w:abstractNumId w:val="78"/>
  </w:num>
  <w:num w:numId="362">
    <w:abstractNumId w:val="78"/>
  </w:num>
  <w:num w:numId="363">
    <w:abstractNumId w:val="78"/>
  </w:num>
  <w:num w:numId="364">
    <w:abstractNumId w:val="78"/>
  </w:num>
  <w:num w:numId="365">
    <w:abstractNumId w:val="78"/>
  </w:num>
  <w:num w:numId="366">
    <w:abstractNumId w:val="78"/>
  </w:num>
  <w:num w:numId="367">
    <w:abstractNumId w:val="78"/>
  </w:num>
  <w:num w:numId="368">
    <w:abstractNumId w:val="78"/>
  </w:num>
  <w:num w:numId="369">
    <w:abstractNumId w:val="78"/>
  </w:num>
  <w:num w:numId="370">
    <w:abstractNumId w:val="78"/>
  </w:num>
  <w:num w:numId="371">
    <w:abstractNumId w:val="78"/>
  </w:num>
  <w:num w:numId="372">
    <w:abstractNumId w:val="78"/>
  </w:num>
  <w:num w:numId="373">
    <w:abstractNumId w:val="78"/>
  </w:num>
  <w:num w:numId="374">
    <w:abstractNumId w:val="78"/>
  </w:num>
  <w:num w:numId="375">
    <w:abstractNumId w:val="78"/>
  </w:num>
  <w:num w:numId="376">
    <w:abstractNumId w:val="78"/>
  </w:num>
  <w:num w:numId="377">
    <w:abstractNumId w:val="78"/>
  </w:num>
  <w:num w:numId="378">
    <w:abstractNumId w:val="78"/>
  </w:num>
  <w:num w:numId="379">
    <w:abstractNumId w:val="78"/>
  </w:num>
  <w:num w:numId="380">
    <w:abstractNumId w:val="78"/>
  </w:num>
  <w:num w:numId="381">
    <w:abstractNumId w:val="78"/>
  </w:num>
  <w:num w:numId="382">
    <w:abstractNumId w:val="78"/>
  </w:num>
  <w:num w:numId="383">
    <w:abstractNumId w:val="78"/>
  </w:num>
  <w:num w:numId="384">
    <w:abstractNumId w:val="78"/>
  </w:num>
  <w:num w:numId="385">
    <w:abstractNumId w:val="78"/>
  </w:num>
  <w:num w:numId="386">
    <w:abstractNumId w:val="78"/>
  </w:num>
  <w:num w:numId="387">
    <w:abstractNumId w:val="78"/>
  </w:num>
  <w:num w:numId="388">
    <w:abstractNumId w:val="78"/>
  </w:num>
  <w:num w:numId="389">
    <w:abstractNumId w:val="78"/>
  </w:num>
  <w:num w:numId="390">
    <w:abstractNumId w:val="78"/>
  </w:num>
  <w:num w:numId="391">
    <w:abstractNumId w:val="78"/>
  </w:num>
  <w:num w:numId="392">
    <w:abstractNumId w:val="78"/>
  </w:num>
  <w:num w:numId="393">
    <w:abstractNumId w:val="78"/>
  </w:num>
  <w:num w:numId="394">
    <w:abstractNumId w:val="78"/>
  </w:num>
  <w:num w:numId="395">
    <w:abstractNumId w:val="78"/>
  </w:num>
  <w:num w:numId="396">
    <w:abstractNumId w:val="78"/>
  </w:num>
  <w:num w:numId="397">
    <w:abstractNumId w:val="78"/>
  </w:num>
  <w:num w:numId="398">
    <w:abstractNumId w:val="78"/>
  </w:num>
  <w:num w:numId="399">
    <w:abstractNumId w:val="78"/>
  </w:num>
  <w:num w:numId="400">
    <w:abstractNumId w:val="78"/>
  </w:num>
  <w:num w:numId="401">
    <w:abstractNumId w:val="22"/>
  </w:num>
  <w:num w:numId="402">
    <w:abstractNumId w:val="71"/>
  </w:num>
  <w:num w:numId="403">
    <w:abstractNumId w:val="90"/>
  </w:num>
  <w:num w:numId="404">
    <w:abstractNumId w:val="78"/>
  </w:num>
  <w:num w:numId="405">
    <w:abstractNumId w:val="78"/>
  </w:num>
  <w:num w:numId="40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78"/>
  </w:num>
  <w:num w:numId="408">
    <w:abstractNumId w:val="78"/>
  </w:num>
  <w:num w:numId="409">
    <w:abstractNumId w:val="21"/>
  </w:num>
  <w:num w:numId="410">
    <w:abstractNumId w:val="85"/>
  </w:num>
  <w:num w:numId="411">
    <w:abstractNumId w:val="57"/>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B"/>
    <w:rsid w:val="00002674"/>
    <w:rsid w:val="00011510"/>
    <w:rsid w:val="0001220E"/>
    <w:rsid w:val="000302C8"/>
    <w:rsid w:val="00030B60"/>
    <w:rsid w:val="000376E2"/>
    <w:rsid w:val="00040586"/>
    <w:rsid w:val="00070DD8"/>
    <w:rsid w:val="00081AB7"/>
    <w:rsid w:val="00084EB9"/>
    <w:rsid w:val="00091658"/>
    <w:rsid w:val="000A383B"/>
    <w:rsid w:val="000C0EB5"/>
    <w:rsid w:val="000D5499"/>
    <w:rsid w:val="000F39D5"/>
    <w:rsid w:val="001046BB"/>
    <w:rsid w:val="0010674E"/>
    <w:rsid w:val="00111DEF"/>
    <w:rsid w:val="00122C07"/>
    <w:rsid w:val="00137210"/>
    <w:rsid w:val="001438D9"/>
    <w:rsid w:val="00152DF4"/>
    <w:rsid w:val="00190E57"/>
    <w:rsid w:val="001B404F"/>
    <w:rsid w:val="001C2EAC"/>
    <w:rsid w:val="001C5EB0"/>
    <w:rsid w:val="001D6290"/>
    <w:rsid w:val="002012CE"/>
    <w:rsid w:val="002361E9"/>
    <w:rsid w:val="0024544F"/>
    <w:rsid w:val="00246E8E"/>
    <w:rsid w:val="00277834"/>
    <w:rsid w:val="00277DAE"/>
    <w:rsid w:val="00281921"/>
    <w:rsid w:val="002D2EA8"/>
    <w:rsid w:val="002E7F84"/>
    <w:rsid w:val="003012C0"/>
    <w:rsid w:val="003032DE"/>
    <w:rsid w:val="0033465E"/>
    <w:rsid w:val="00350EED"/>
    <w:rsid w:val="00372C1E"/>
    <w:rsid w:val="00374B10"/>
    <w:rsid w:val="0038354D"/>
    <w:rsid w:val="00393400"/>
    <w:rsid w:val="003A4C3B"/>
    <w:rsid w:val="003B37C0"/>
    <w:rsid w:val="003B6BD8"/>
    <w:rsid w:val="00401514"/>
    <w:rsid w:val="00401ADA"/>
    <w:rsid w:val="00406981"/>
    <w:rsid w:val="00417C40"/>
    <w:rsid w:val="00430C62"/>
    <w:rsid w:val="00432329"/>
    <w:rsid w:val="00435376"/>
    <w:rsid w:val="004603E6"/>
    <w:rsid w:val="00470AF8"/>
    <w:rsid w:val="00477051"/>
    <w:rsid w:val="00492A86"/>
    <w:rsid w:val="004A655A"/>
    <w:rsid w:val="004B0651"/>
    <w:rsid w:val="004D1759"/>
    <w:rsid w:val="004F00DD"/>
    <w:rsid w:val="00502DA2"/>
    <w:rsid w:val="00511691"/>
    <w:rsid w:val="0051307A"/>
    <w:rsid w:val="0051601D"/>
    <w:rsid w:val="0053518B"/>
    <w:rsid w:val="005526F9"/>
    <w:rsid w:val="005937C2"/>
    <w:rsid w:val="005975F8"/>
    <w:rsid w:val="005A2158"/>
    <w:rsid w:val="005C056C"/>
    <w:rsid w:val="005D4593"/>
    <w:rsid w:val="005E14FD"/>
    <w:rsid w:val="005E5AE2"/>
    <w:rsid w:val="00611082"/>
    <w:rsid w:val="00613013"/>
    <w:rsid w:val="0066096E"/>
    <w:rsid w:val="006770AD"/>
    <w:rsid w:val="006803BF"/>
    <w:rsid w:val="00685C6D"/>
    <w:rsid w:val="0069017B"/>
    <w:rsid w:val="006974D3"/>
    <w:rsid w:val="006B19EA"/>
    <w:rsid w:val="006E5BA8"/>
    <w:rsid w:val="00706A00"/>
    <w:rsid w:val="00712662"/>
    <w:rsid w:val="007237AA"/>
    <w:rsid w:val="00732936"/>
    <w:rsid w:val="00737C74"/>
    <w:rsid w:val="007402CC"/>
    <w:rsid w:val="00743100"/>
    <w:rsid w:val="00743774"/>
    <w:rsid w:val="007439FF"/>
    <w:rsid w:val="00744568"/>
    <w:rsid w:val="00750841"/>
    <w:rsid w:val="007A3A7C"/>
    <w:rsid w:val="007C5654"/>
    <w:rsid w:val="007D011C"/>
    <w:rsid w:val="007E4BA0"/>
    <w:rsid w:val="007F39BA"/>
    <w:rsid w:val="00837990"/>
    <w:rsid w:val="0086055C"/>
    <w:rsid w:val="00871BB7"/>
    <w:rsid w:val="00874854"/>
    <w:rsid w:val="008C1600"/>
    <w:rsid w:val="008D12D9"/>
    <w:rsid w:val="008D326A"/>
    <w:rsid w:val="008E12F6"/>
    <w:rsid w:val="008E17C9"/>
    <w:rsid w:val="008E20A0"/>
    <w:rsid w:val="008F415F"/>
    <w:rsid w:val="00907ED8"/>
    <w:rsid w:val="00936A97"/>
    <w:rsid w:val="00941BF0"/>
    <w:rsid w:val="00957B28"/>
    <w:rsid w:val="009724D9"/>
    <w:rsid w:val="009901E0"/>
    <w:rsid w:val="009A068B"/>
    <w:rsid w:val="009A377B"/>
    <w:rsid w:val="009A5C56"/>
    <w:rsid w:val="009D3D11"/>
    <w:rsid w:val="009F0FDA"/>
    <w:rsid w:val="00A022C9"/>
    <w:rsid w:val="00A04DC7"/>
    <w:rsid w:val="00A26C4D"/>
    <w:rsid w:val="00A338A2"/>
    <w:rsid w:val="00A4539B"/>
    <w:rsid w:val="00A46E52"/>
    <w:rsid w:val="00A83DC5"/>
    <w:rsid w:val="00A94F7D"/>
    <w:rsid w:val="00AC4EB8"/>
    <w:rsid w:val="00AD2150"/>
    <w:rsid w:val="00AD517E"/>
    <w:rsid w:val="00AE7691"/>
    <w:rsid w:val="00AF517D"/>
    <w:rsid w:val="00AF6F33"/>
    <w:rsid w:val="00B04420"/>
    <w:rsid w:val="00B26DB6"/>
    <w:rsid w:val="00B31FB0"/>
    <w:rsid w:val="00B61060"/>
    <w:rsid w:val="00B83C08"/>
    <w:rsid w:val="00B85351"/>
    <w:rsid w:val="00BC40A1"/>
    <w:rsid w:val="00BC5B7B"/>
    <w:rsid w:val="00BE10C4"/>
    <w:rsid w:val="00BE7344"/>
    <w:rsid w:val="00BF4078"/>
    <w:rsid w:val="00C1500A"/>
    <w:rsid w:val="00C20C16"/>
    <w:rsid w:val="00C21E7E"/>
    <w:rsid w:val="00C27055"/>
    <w:rsid w:val="00C759A0"/>
    <w:rsid w:val="00C77319"/>
    <w:rsid w:val="00C963BB"/>
    <w:rsid w:val="00CA2957"/>
    <w:rsid w:val="00CC35C9"/>
    <w:rsid w:val="00CE48CE"/>
    <w:rsid w:val="00D21769"/>
    <w:rsid w:val="00D24061"/>
    <w:rsid w:val="00D42BD0"/>
    <w:rsid w:val="00D51CC8"/>
    <w:rsid w:val="00D71244"/>
    <w:rsid w:val="00D83494"/>
    <w:rsid w:val="00DA402A"/>
    <w:rsid w:val="00DB1812"/>
    <w:rsid w:val="00DC318B"/>
    <w:rsid w:val="00DF3AEA"/>
    <w:rsid w:val="00E015CF"/>
    <w:rsid w:val="00E135E0"/>
    <w:rsid w:val="00E21B7F"/>
    <w:rsid w:val="00E233B0"/>
    <w:rsid w:val="00E35D24"/>
    <w:rsid w:val="00E50671"/>
    <w:rsid w:val="00E71EE5"/>
    <w:rsid w:val="00E7705E"/>
    <w:rsid w:val="00E80958"/>
    <w:rsid w:val="00E91E53"/>
    <w:rsid w:val="00E92836"/>
    <w:rsid w:val="00EC09EB"/>
    <w:rsid w:val="00EC1E90"/>
    <w:rsid w:val="00EC3DA0"/>
    <w:rsid w:val="00EE4DB9"/>
    <w:rsid w:val="00EE72D8"/>
    <w:rsid w:val="00F21761"/>
    <w:rsid w:val="00F26C11"/>
    <w:rsid w:val="00F3175E"/>
    <w:rsid w:val="00F338CE"/>
    <w:rsid w:val="00F60E28"/>
    <w:rsid w:val="00F656A6"/>
    <w:rsid w:val="00F75043"/>
    <w:rsid w:val="00F81CD9"/>
    <w:rsid w:val="00F81DEC"/>
    <w:rsid w:val="00F93CA3"/>
    <w:rsid w:val="00FB162D"/>
    <w:rsid w:val="00FE4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327003A3-FF4B-4710-8F54-B4CD485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imes New Roman" w:hAnsi="Tahoma" w:cs="Tahoma"/>
        <w:sz w:val="22"/>
        <w:szCs w:val="22"/>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Normal"/>
    <w:next w:val="Normal"/>
    <w:link w:val="Ttulo1Char"/>
    <w:uiPriority w:val="99"/>
    <w:qFormat/>
    <w:pPr>
      <w:outlineLvl w:val="0"/>
    </w:pPr>
    <w:rPr>
      <w:rFonts w:cs="Arial"/>
      <w:bCs/>
      <w:szCs w:val="32"/>
    </w:rPr>
  </w:style>
  <w:style w:type="paragraph" w:styleId="Ttulo2">
    <w:name w:val="heading 2"/>
    <w:aliases w:val="Heading 2 Char,H2 Char"/>
    <w:basedOn w:val="Normal"/>
    <w:next w:val="Normal"/>
    <w:link w:val="Ttulo2Char"/>
    <w:uiPriority w:val="99"/>
    <w:qFormat/>
    <w:pPr>
      <w:outlineLvl w:val="1"/>
    </w:pPr>
    <w:rPr>
      <w:rFonts w:cs="Arial"/>
      <w:bCs/>
      <w:iCs/>
      <w:szCs w:val="28"/>
    </w:rPr>
  </w:style>
  <w:style w:type="paragraph" w:styleId="Ttulo3">
    <w:name w:val="heading 3"/>
    <w:aliases w:val="H3,ot"/>
    <w:basedOn w:val="Normal"/>
    <w:next w:val="Normal"/>
    <w:link w:val="Ttulo3Char"/>
    <w:uiPriority w:val="99"/>
    <w:qFormat/>
    <w:pPr>
      <w:outlineLvl w:val="2"/>
    </w:pPr>
    <w:rPr>
      <w:rFonts w:cs="Arial"/>
      <w:bCs/>
      <w:szCs w:val="26"/>
    </w:rPr>
  </w:style>
  <w:style w:type="paragraph" w:styleId="Ttulo4">
    <w:name w:val="heading 4"/>
    <w:aliases w:val="H4"/>
    <w:basedOn w:val="Normal"/>
    <w:next w:val="Normal"/>
    <w:link w:val="Ttulo4Char"/>
    <w:uiPriority w:val="99"/>
    <w:qFormat/>
    <w:pPr>
      <w:outlineLvl w:val="3"/>
    </w:pPr>
    <w:rPr>
      <w:bCs/>
      <w:szCs w:val="28"/>
    </w:rPr>
  </w:style>
  <w:style w:type="paragraph" w:styleId="Ttulo5">
    <w:name w:val="heading 5"/>
    <w:aliases w:val="H5"/>
    <w:basedOn w:val="Normal"/>
    <w:next w:val="Normal"/>
    <w:link w:val="Ttulo5Char"/>
    <w:uiPriority w:val="99"/>
    <w:qFormat/>
    <w:pPr>
      <w:outlineLvl w:val="4"/>
    </w:pPr>
    <w:rPr>
      <w:bCs/>
      <w:iCs/>
      <w:szCs w:val="26"/>
    </w:rPr>
  </w:style>
  <w:style w:type="paragraph" w:styleId="Ttulo6">
    <w:name w:val="heading 6"/>
    <w:aliases w:val="H6"/>
    <w:basedOn w:val="Normal"/>
    <w:next w:val="Normal"/>
    <w:link w:val="Ttulo6Char"/>
    <w:uiPriority w:val="99"/>
    <w:qFormat/>
    <w:pPr>
      <w:outlineLvl w:val="5"/>
    </w:pPr>
    <w:rPr>
      <w:bCs/>
    </w:rPr>
  </w:style>
  <w:style w:type="paragraph" w:styleId="Ttulo7">
    <w:name w:val="heading 7"/>
    <w:aliases w:val="H7"/>
    <w:basedOn w:val="Normal"/>
    <w:next w:val="Normal"/>
    <w:link w:val="Ttulo7Char"/>
    <w:uiPriority w:val="99"/>
    <w:qFormat/>
    <w:pPr>
      <w:outlineLvl w:val="6"/>
    </w:pPr>
  </w:style>
  <w:style w:type="paragraph" w:styleId="Ttulo8">
    <w:name w:val="heading 8"/>
    <w:aliases w:val="H8"/>
    <w:basedOn w:val="Normal"/>
    <w:next w:val="Normal"/>
    <w:link w:val="Ttulo8Char"/>
    <w:uiPriority w:val="99"/>
    <w:qFormat/>
    <w:pPr>
      <w:outlineLvl w:val="7"/>
    </w:pPr>
    <w:rPr>
      <w:iCs/>
    </w:rPr>
  </w:style>
  <w:style w:type="paragraph" w:styleId="Ttulo9">
    <w:name w:val="heading 9"/>
    <w:aliases w:val="H9"/>
    <w:basedOn w:val="Normal"/>
    <w:next w:val="Normal"/>
    <w:link w:val="Ttulo9Char"/>
    <w:uiPriority w:val="99"/>
    <w:qFormat/>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style>
  <w:style w:type="paragraph" w:styleId="Cabealho">
    <w:name w:val="header"/>
    <w:aliases w:val="Cabeçalho1,Header Cha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uiPriority w:val="99"/>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1"/>
      </w:numPr>
    </w:pPr>
    <w:rPr>
      <w:rFonts w:ascii="Arial" w:hAnsi="Arial" w:cs="Arial"/>
      <w:b/>
      <w:bCs/>
      <w:sz w:val="24"/>
    </w:rPr>
  </w:style>
  <w:style w:type="character" w:customStyle="1" w:styleId="EscopoNTISubTituloChar">
    <w:name w:val="EscopoNTISubTitulo Char"/>
    <w:link w:val="EscopoNTISubTitulo"/>
    <w:rPr>
      <w:rFonts w:ascii="Arial" w:hAnsi="Arial" w:cs="Arial"/>
      <w:b/>
      <w:bCs/>
      <w:sz w:val="24"/>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character" w:customStyle="1" w:styleId="Ttulo1Char">
    <w:name w:val="Título 1 Char"/>
    <w:aliases w:val="H1 Char"/>
    <w:basedOn w:val="Fontepargpadro"/>
    <w:link w:val="Ttulo1"/>
    <w:uiPriority w:val="99"/>
    <w:rPr>
      <w:rFonts w:ascii="Arial" w:hAnsi="Arial" w:cs="Arial"/>
      <w:bCs/>
      <w:szCs w:val="32"/>
      <w:lang w:val="en-GB" w:eastAsia="en-GB"/>
    </w:rPr>
  </w:style>
  <w:style w:type="character" w:customStyle="1" w:styleId="Ttulo2Char">
    <w:name w:val="Título 2 Char"/>
    <w:aliases w:val="Heading 2 Char Char1,H2 Char Char"/>
    <w:basedOn w:val="Fontepargpadro"/>
    <w:link w:val="Ttulo2"/>
    <w:uiPriority w:val="99"/>
    <w:rPr>
      <w:rFonts w:ascii="Arial" w:hAnsi="Arial" w:cs="Arial"/>
      <w:bCs/>
      <w:iCs/>
      <w:szCs w:val="28"/>
      <w:lang w:val="en-GB" w:eastAsia="en-GB"/>
    </w:rPr>
  </w:style>
  <w:style w:type="character" w:customStyle="1" w:styleId="Ttulo3Char">
    <w:name w:val="Título 3 Char"/>
    <w:aliases w:val="H3 Char,ot Char"/>
    <w:basedOn w:val="Fontepargpadro"/>
    <w:link w:val="Ttulo3"/>
    <w:uiPriority w:val="99"/>
    <w:rPr>
      <w:rFonts w:ascii="Arial" w:hAnsi="Arial" w:cs="Arial"/>
      <w:bCs/>
      <w:szCs w:val="26"/>
      <w:lang w:val="en-GB" w:eastAsia="en-GB"/>
    </w:rPr>
  </w:style>
  <w:style w:type="character" w:customStyle="1" w:styleId="Ttulo4Char">
    <w:name w:val="Título 4 Char"/>
    <w:aliases w:val="H4 Char"/>
    <w:basedOn w:val="Fontepargpadro"/>
    <w:link w:val="Ttulo4"/>
    <w:uiPriority w:val="99"/>
    <w:rPr>
      <w:rFonts w:ascii="Arial" w:hAnsi="Arial"/>
      <w:bCs/>
      <w:szCs w:val="28"/>
      <w:lang w:val="en-GB" w:eastAsia="en-GB"/>
    </w:rPr>
  </w:style>
  <w:style w:type="character" w:customStyle="1" w:styleId="Ttulo5Char">
    <w:name w:val="Título 5 Char"/>
    <w:aliases w:val="H5 Char"/>
    <w:basedOn w:val="Fontepargpadro"/>
    <w:link w:val="Ttulo5"/>
    <w:uiPriority w:val="99"/>
    <w:rPr>
      <w:rFonts w:ascii="Arial" w:hAnsi="Arial"/>
      <w:bCs/>
      <w:iCs/>
      <w:szCs w:val="26"/>
      <w:lang w:val="en-GB" w:eastAsia="en-GB"/>
    </w:rPr>
  </w:style>
  <w:style w:type="character" w:customStyle="1" w:styleId="Ttulo6Char">
    <w:name w:val="Título 6 Char"/>
    <w:aliases w:val="H6 Char"/>
    <w:basedOn w:val="Fontepargpadro"/>
    <w:link w:val="Ttulo6"/>
    <w:uiPriority w:val="99"/>
    <w:rPr>
      <w:rFonts w:ascii="Arial" w:hAnsi="Arial"/>
      <w:bCs/>
      <w:szCs w:val="22"/>
      <w:lang w:val="en-GB" w:eastAsia="en-GB"/>
    </w:rPr>
  </w:style>
  <w:style w:type="character" w:customStyle="1" w:styleId="Ttulo7Char">
    <w:name w:val="Título 7 Char"/>
    <w:aliases w:val="H7 Char"/>
    <w:basedOn w:val="Fontepargpadro"/>
    <w:link w:val="Ttulo7"/>
    <w:rPr>
      <w:rFonts w:ascii="Arial" w:hAnsi="Arial"/>
      <w:szCs w:val="24"/>
      <w:lang w:val="en-GB" w:eastAsia="en-GB"/>
    </w:rPr>
  </w:style>
  <w:style w:type="character" w:customStyle="1" w:styleId="Ttulo8Char">
    <w:name w:val="Título 8 Char"/>
    <w:aliases w:val="H8 Char"/>
    <w:basedOn w:val="Fontepargpadro"/>
    <w:link w:val="Ttulo8"/>
    <w:uiPriority w:val="99"/>
    <w:rPr>
      <w:rFonts w:ascii="Arial" w:hAnsi="Arial"/>
      <w:iCs/>
      <w:szCs w:val="24"/>
      <w:lang w:val="en-GB" w:eastAsia="en-GB"/>
    </w:rPr>
  </w:style>
  <w:style w:type="character" w:customStyle="1" w:styleId="Ttulo9Char">
    <w:name w:val="Título 9 Char"/>
    <w:aliases w:val="H9 Char"/>
    <w:basedOn w:val="Fontepargpadro"/>
    <w:link w:val="Ttulo9"/>
    <w:uiPriority w:val="99"/>
    <w:rPr>
      <w:rFonts w:ascii="Arial" w:hAnsi="Arial" w:cs="Arial"/>
      <w:szCs w:val="22"/>
      <w:lang w:val="en-GB" w:eastAsia="en-GB"/>
    </w:rPr>
  </w:style>
  <w:style w:type="paragraph" w:styleId="Sumrio1">
    <w:name w:val="toc 1"/>
    <w:basedOn w:val="Normal"/>
    <w:next w:val="Body"/>
    <w:pPr>
      <w:spacing w:before="280" w:after="140" w:line="290" w:lineRule="auto"/>
    </w:pPr>
    <w:rPr>
      <w:kern w:val="20"/>
    </w:rPr>
  </w:style>
  <w:style w:type="paragraph" w:customStyle="1" w:styleId="Body">
    <w:name w:val="Body"/>
    <w:basedOn w:val="Normal"/>
    <w:pPr>
      <w:spacing w:after="140" w:line="290" w:lineRule="auto"/>
      <w:jc w:val="both"/>
    </w:pPr>
    <w:rPr>
      <w:kern w:val="20"/>
    </w:rPr>
  </w:style>
  <w:style w:type="paragraph" w:customStyle="1" w:styleId="Body1">
    <w:name w:val="Body 1"/>
    <w:basedOn w:val="Normal"/>
    <w:pPr>
      <w:spacing w:after="140" w:line="290" w:lineRule="auto"/>
      <w:ind w:left="680"/>
      <w:jc w:val="both"/>
    </w:pPr>
    <w:rPr>
      <w:kern w:val="20"/>
    </w:rPr>
  </w:style>
  <w:style w:type="paragraph" w:customStyle="1" w:styleId="Body2">
    <w:name w:val="Body 2"/>
    <w:basedOn w:val="Normal"/>
    <w:pPr>
      <w:spacing w:after="140" w:line="290" w:lineRule="auto"/>
      <w:ind w:left="680"/>
      <w:jc w:val="both"/>
    </w:pPr>
    <w:rPr>
      <w:kern w:val="20"/>
    </w:rPr>
  </w:style>
  <w:style w:type="paragraph" w:customStyle="1" w:styleId="Body3">
    <w:name w:val="Body 3"/>
    <w:basedOn w:val="Normal"/>
    <w:pPr>
      <w:spacing w:after="140" w:line="290" w:lineRule="auto"/>
      <w:ind w:left="1361"/>
      <w:jc w:val="both"/>
    </w:pPr>
    <w:rPr>
      <w:kern w:val="20"/>
    </w:rPr>
  </w:style>
  <w:style w:type="paragraph" w:customStyle="1" w:styleId="Body4">
    <w:name w:val="Body 4"/>
    <w:basedOn w:val="Normal"/>
    <w:pPr>
      <w:spacing w:after="140" w:line="290" w:lineRule="auto"/>
      <w:ind w:left="2041"/>
      <w:jc w:val="both"/>
    </w:pPr>
    <w:rPr>
      <w:kern w:val="20"/>
    </w:rPr>
  </w:style>
  <w:style w:type="paragraph" w:customStyle="1" w:styleId="Body5">
    <w:name w:val="Body 5"/>
    <w:basedOn w:val="Normal"/>
    <w:pPr>
      <w:spacing w:after="140" w:line="290" w:lineRule="auto"/>
      <w:ind w:left="2608"/>
      <w:jc w:val="both"/>
    </w:pPr>
    <w:rPr>
      <w:kern w:val="20"/>
    </w:rPr>
  </w:style>
  <w:style w:type="paragraph" w:customStyle="1" w:styleId="Body6">
    <w:name w:val="Body 6"/>
    <w:basedOn w:val="Normal"/>
    <w:pPr>
      <w:spacing w:after="140" w:line="290" w:lineRule="auto"/>
      <w:ind w:left="3288"/>
      <w:jc w:val="both"/>
    </w:pPr>
    <w:rPr>
      <w:kern w:val="20"/>
    </w:rPr>
  </w:style>
  <w:style w:type="paragraph" w:customStyle="1" w:styleId="Level1">
    <w:name w:val="Level 1"/>
    <w:basedOn w:val="Normal"/>
    <w:next w:val="Body1"/>
    <w:pPr>
      <w:keepNext/>
      <w:numPr>
        <w:numId w:val="47"/>
      </w:numPr>
      <w:spacing w:before="280" w:after="140" w:line="290" w:lineRule="auto"/>
      <w:jc w:val="both"/>
      <w:outlineLvl w:val="0"/>
    </w:pPr>
    <w:rPr>
      <w:b/>
      <w:bCs/>
      <w:kern w:val="20"/>
      <w:szCs w:val="32"/>
    </w:rPr>
  </w:style>
  <w:style w:type="paragraph" w:customStyle="1" w:styleId="Level2">
    <w:name w:val="Level 2"/>
    <w:basedOn w:val="Normal"/>
    <w:pPr>
      <w:numPr>
        <w:ilvl w:val="1"/>
        <w:numId w:val="47"/>
      </w:numPr>
      <w:spacing w:after="140" w:line="290" w:lineRule="auto"/>
      <w:jc w:val="both"/>
    </w:pPr>
    <w:rPr>
      <w:kern w:val="20"/>
      <w:szCs w:val="28"/>
    </w:rPr>
  </w:style>
  <w:style w:type="paragraph" w:customStyle="1" w:styleId="Level3">
    <w:name w:val="Level 3"/>
    <w:basedOn w:val="Normal"/>
    <w:link w:val="Level3Char"/>
    <w:pPr>
      <w:numPr>
        <w:ilvl w:val="2"/>
        <w:numId w:val="47"/>
      </w:numPr>
      <w:spacing w:after="140" w:line="290" w:lineRule="auto"/>
      <w:jc w:val="both"/>
    </w:pPr>
    <w:rPr>
      <w:kern w:val="20"/>
      <w:szCs w:val="28"/>
    </w:rPr>
  </w:style>
  <w:style w:type="paragraph" w:customStyle="1" w:styleId="Level4">
    <w:name w:val="Level 4"/>
    <w:basedOn w:val="Normal"/>
    <w:pPr>
      <w:numPr>
        <w:ilvl w:val="3"/>
        <w:numId w:val="47"/>
      </w:numPr>
      <w:spacing w:after="140" w:line="290" w:lineRule="auto"/>
      <w:jc w:val="both"/>
    </w:pPr>
    <w:rPr>
      <w:kern w:val="20"/>
    </w:rPr>
  </w:style>
  <w:style w:type="paragraph" w:customStyle="1" w:styleId="Level5">
    <w:name w:val="Level 5"/>
    <w:basedOn w:val="Normal"/>
    <w:pPr>
      <w:numPr>
        <w:ilvl w:val="4"/>
        <w:numId w:val="47"/>
      </w:numPr>
      <w:spacing w:after="140" w:line="290" w:lineRule="auto"/>
      <w:jc w:val="both"/>
    </w:pPr>
    <w:rPr>
      <w:kern w:val="20"/>
    </w:rPr>
  </w:style>
  <w:style w:type="paragraph" w:customStyle="1" w:styleId="Level6">
    <w:name w:val="Level 6"/>
    <w:basedOn w:val="Normal"/>
    <w:pPr>
      <w:numPr>
        <w:ilvl w:val="5"/>
        <w:numId w:val="47"/>
      </w:numPr>
      <w:spacing w:after="140" w:line="290" w:lineRule="auto"/>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2"/>
      </w:numPr>
      <w:spacing w:after="140" w:line="290" w:lineRule="auto"/>
      <w:jc w:val="both"/>
    </w:pPr>
    <w:rPr>
      <w:kern w:val="20"/>
      <w:szCs w:val="20"/>
    </w:rPr>
  </w:style>
  <w:style w:type="paragraph" w:customStyle="1" w:styleId="alpha2">
    <w:name w:val="alpha 2"/>
    <w:basedOn w:val="Normal"/>
    <w:pPr>
      <w:numPr>
        <w:numId w:val="3"/>
      </w:numPr>
      <w:spacing w:after="140" w:line="290" w:lineRule="auto"/>
      <w:jc w:val="both"/>
    </w:pPr>
    <w:rPr>
      <w:kern w:val="20"/>
      <w:szCs w:val="20"/>
    </w:rPr>
  </w:style>
  <w:style w:type="paragraph" w:customStyle="1" w:styleId="alpha3">
    <w:name w:val="alpha 3"/>
    <w:basedOn w:val="Normal"/>
    <w:pPr>
      <w:numPr>
        <w:numId w:val="4"/>
      </w:numPr>
      <w:spacing w:after="140" w:line="290" w:lineRule="auto"/>
      <w:jc w:val="both"/>
    </w:pPr>
    <w:rPr>
      <w:kern w:val="20"/>
      <w:szCs w:val="20"/>
    </w:rPr>
  </w:style>
  <w:style w:type="paragraph" w:customStyle="1" w:styleId="alpha4">
    <w:name w:val="alpha 4"/>
    <w:basedOn w:val="Normal"/>
    <w:pPr>
      <w:numPr>
        <w:numId w:val="5"/>
      </w:numPr>
      <w:spacing w:after="140" w:line="290" w:lineRule="auto"/>
      <w:jc w:val="both"/>
    </w:pPr>
    <w:rPr>
      <w:kern w:val="20"/>
      <w:szCs w:val="20"/>
    </w:rPr>
  </w:style>
  <w:style w:type="paragraph" w:customStyle="1" w:styleId="alpha5">
    <w:name w:val="alpha 5"/>
    <w:basedOn w:val="Normal"/>
    <w:pPr>
      <w:tabs>
        <w:tab w:val="num" w:pos="3288"/>
      </w:tabs>
      <w:spacing w:after="140" w:line="290" w:lineRule="auto"/>
      <w:ind w:left="3288" w:hanging="680"/>
      <w:jc w:val="both"/>
    </w:pPr>
    <w:rPr>
      <w:kern w:val="20"/>
      <w:szCs w:val="20"/>
    </w:rPr>
  </w:style>
  <w:style w:type="paragraph" w:customStyle="1" w:styleId="alpha6">
    <w:name w:val="alpha 6"/>
    <w:basedOn w:val="Normal"/>
    <w:uiPriority w:val="99"/>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59" w:lineRule="auto"/>
    </w:pPr>
    <w:rPr>
      <w:b/>
      <w:kern w:val="20"/>
    </w:rPr>
  </w:style>
  <w:style w:type="paragraph" w:styleId="Textodecomentrio">
    <w:name w:val="annotation text"/>
    <w:basedOn w:val="Normal"/>
    <w:link w:val="TextodecomentrioChar"/>
    <w:rPr>
      <w:szCs w:val="20"/>
    </w:rPr>
  </w:style>
  <w:style w:type="character" w:customStyle="1" w:styleId="TextodecomentrioChar">
    <w:name w:val="Texto de comentário Char"/>
    <w:basedOn w:val="Fontepargpadro"/>
    <w:link w:val="Textodecomentrio"/>
    <w:rPr>
      <w:rFonts w:ascii="Arial" w:hAnsi="Arial"/>
    </w:rPr>
  </w:style>
  <w:style w:type="paragraph" w:customStyle="1" w:styleId="Head1">
    <w:name w:val="Head 1"/>
    <w:basedOn w:val="Normal"/>
    <w:next w:val="Body1"/>
    <w:pPr>
      <w:keepNext/>
      <w:spacing w:before="280" w:after="140" w:line="290" w:lineRule="auto"/>
      <w:ind w:left="680"/>
      <w:jc w:val="both"/>
      <w:outlineLvl w:val="0"/>
    </w:pPr>
    <w:rPr>
      <w:b/>
      <w:kern w:val="22"/>
    </w:rPr>
  </w:style>
  <w:style w:type="paragraph" w:customStyle="1" w:styleId="Head2">
    <w:name w:val="Head 2"/>
    <w:basedOn w:val="Normal"/>
    <w:next w:val="Body3"/>
    <w:pPr>
      <w:keepNext/>
      <w:spacing w:before="280" w:after="60" w:line="290" w:lineRule="auto"/>
      <w:ind w:left="1361"/>
      <w:jc w:val="both"/>
      <w:outlineLvl w:val="1"/>
    </w:pPr>
    <w:rPr>
      <w:b/>
      <w:kern w:val="21"/>
      <w:sz w:val="21"/>
    </w:rPr>
  </w:style>
  <w:style w:type="paragraph" w:customStyle="1" w:styleId="Head3">
    <w:name w:val="Head 3"/>
    <w:basedOn w:val="Normal"/>
    <w:next w:val="Body4"/>
    <w:pPr>
      <w:keepNext/>
      <w:spacing w:before="280" w:after="40" w:line="290" w:lineRule="auto"/>
      <w:ind w:left="2041"/>
      <w:jc w:val="both"/>
      <w:outlineLvl w:val="2"/>
    </w:pPr>
    <w:rPr>
      <w:b/>
      <w:kern w:val="20"/>
    </w:rPr>
  </w:style>
  <w:style w:type="paragraph" w:customStyle="1" w:styleId="SubHead">
    <w:name w:val="SubHead"/>
    <w:basedOn w:val="Normal"/>
    <w:next w:val="Body"/>
    <w:pPr>
      <w:keepNext/>
      <w:spacing w:before="120" w:after="60" w:line="290" w:lineRule="auto"/>
      <w:jc w:val="both"/>
      <w:outlineLvl w:val="0"/>
    </w:pPr>
    <w:rPr>
      <w:b/>
      <w:kern w:val="21"/>
      <w:sz w:val="21"/>
    </w:rPr>
  </w:style>
  <w:style w:type="paragraph" w:customStyle="1" w:styleId="SchedApps">
    <w:name w:val="Sched/Apps"/>
    <w:basedOn w:val="Normal"/>
    <w:next w:val="Body"/>
    <w:pPr>
      <w:keepNext/>
      <w:pageBreakBefore/>
      <w:spacing w:after="240" w:line="290" w:lineRule="auto"/>
      <w:jc w:val="center"/>
      <w:outlineLvl w:val="3"/>
    </w:pPr>
    <w:rPr>
      <w:b/>
      <w:kern w:val="23"/>
      <w:sz w:val="23"/>
    </w:rPr>
  </w:style>
  <w:style w:type="paragraph" w:customStyle="1" w:styleId="Schedule1">
    <w:name w:val="Schedule 1"/>
    <w:basedOn w:val="Normal"/>
    <w:pPr>
      <w:numPr>
        <w:numId w:val="29"/>
      </w:numPr>
      <w:spacing w:after="140" w:line="290" w:lineRule="auto"/>
      <w:jc w:val="both"/>
    </w:pPr>
    <w:rPr>
      <w:kern w:val="20"/>
    </w:rPr>
  </w:style>
  <w:style w:type="paragraph" w:customStyle="1" w:styleId="Schedule2">
    <w:name w:val="Schedule 2"/>
    <w:basedOn w:val="Normal"/>
    <w:pPr>
      <w:numPr>
        <w:ilvl w:val="1"/>
        <w:numId w:val="29"/>
      </w:numPr>
      <w:spacing w:after="140" w:line="290" w:lineRule="auto"/>
      <w:jc w:val="both"/>
    </w:pPr>
    <w:rPr>
      <w:kern w:val="20"/>
    </w:rPr>
  </w:style>
  <w:style w:type="paragraph" w:customStyle="1" w:styleId="Schedule3">
    <w:name w:val="Schedule 3"/>
    <w:basedOn w:val="Normal"/>
    <w:pPr>
      <w:numPr>
        <w:ilvl w:val="2"/>
        <w:numId w:val="29"/>
      </w:numPr>
      <w:spacing w:after="140" w:line="290" w:lineRule="auto"/>
      <w:jc w:val="both"/>
    </w:pPr>
    <w:rPr>
      <w:kern w:val="20"/>
    </w:rPr>
  </w:style>
  <w:style w:type="paragraph" w:customStyle="1" w:styleId="Schedule4">
    <w:name w:val="Schedule 4"/>
    <w:basedOn w:val="Normal"/>
    <w:pPr>
      <w:numPr>
        <w:ilvl w:val="3"/>
        <w:numId w:val="29"/>
      </w:numPr>
      <w:spacing w:after="140" w:line="290" w:lineRule="auto"/>
      <w:jc w:val="both"/>
    </w:pPr>
    <w:rPr>
      <w:kern w:val="20"/>
    </w:rPr>
  </w:style>
  <w:style w:type="paragraph" w:customStyle="1" w:styleId="Schedule5">
    <w:name w:val="Schedule 5"/>
    <w:basedOn w:val="Normal"/>
    <w:pPr>
      <w:numPr>
        <w:ilvl w:val="4"/>
        <w:numId w:val="29"/>
      </w:numPr>
      <w:spacing w:after="140" w:line="290" w:lineRule="auto"/>
      <w:jc w:val="both"/>
    </w:pPr>
    <w:rPr>
      <w:kern w:val="20"/>
    </w:rPr>
  </w:style>
  <w:style w:type="paragraph" w:customStyle="1" w:styleId="Schedule6">
    <w:name w:val="Schedule 6"/>
    <w:basedOn w:val="Normal"/>
    <w:pPr>
      <w:numPr>
        <w:ilvl w:val="5"/>
        <w:numId w:val="29"/>
      </w:numPr>
      <w:spacing w:after="140" w:line="290" w:lineRule="auto"/>
      <w:jc w:val="both"/>
    </w:pPr>
    <w:rPr>
      <w:kern w:val="20"/>
    </w:rPr>
  </w:style>
  <w:style w:type="paragraph" w:customStyle="1" w:styleId="TCLevel1">
    <w:name w:val="T+C Level 1"/>
    <w:basedOn w:val="Normal"/>
    <w:next w:val="TCLevel2"/>
    <w:pPr>
      <w:keepNext/>
      <w:numPr>
        <w:numId w:val="30"/>
      </w:numPr>
      <w:spacing w:before="140" w:line="290" w:lineRule="auto"/>
      <w:jc w:val="both"/>
      <w:outlineLvl w:val="0"/>
    </w:pPr>
    <w:rPr>
      <w:b/>
      <w:kern w:val="20"/>
    </w:rPr>
  </w:style>
  <w:style w:type="paragraph" w:customStyle="1" w:styleId="TCLevel2">
    <w:name w:val="T+C Level 2"/>
    <w:basedOn w:val="Normal"/>
    <w:pPr>
      <w:numPr>
        <w:ilvl w:val="1"/>
        <w:numId w:val="30"/>
      </w:numPr>
      <w:spacing w:after="140" w:line="290" w:lineRule="auto"/>
      <w:jc w:val="both"/>
      <w:outlineLvl w:val="1"/>
    </w:pPr>
    <w:rPr>
      <w:kern w:val="20"/>
    </w:rPr>
  </w:style>
  <w:style w:type="paragraph" w:customStyle="1" w:styleId="TCLevel3">
    <w:name w:val="T+C Level 3"/>
    <w:basedOn w:val="Normal"/>
    <w:pPr>
      <w:numPr>
        <w:ilvl w:val="2"/>
        <w:numId w:val="30"/>
      </w:numPr>
      <w:spacing w:after="140" w:line="290" w:lineRule="auto"/>
      <w:jc w:val="both"/>
      <w:outlineLvl w:val="2"/>
    </w:pPr>
    <w:rPr>
      <w:kern w:val="20"/>
    </w:rPr>
  </w:style>
  <w:style w:type="paragraph" w:customStyle="1" w:styleId="TCLevel4">
    <w:name w:val="T+C Level 4"/>
    <w:basedOn w:val="Normal"/>
    <w:pPr>
      <w:numPr>
        <w:ilvl w:val="3"/>
        <w:numId w:val="30"/>
      </w:numPr>
      <w:spacing w:after="140" w:line="290" w:lineRule="auto"/>
      <w:jc w:val="both"/>
      <w:outlineLvl w:val="3"/>
    </w:pPr>
    <w:rPr>
      <w:kern w:val="20"/>
    </w:rPr>
  </w:style>
  <w:style w:type="paragraph" w:styleId="Data">
    <w:name w:val="Date"/>
    <w:basedOn w:val="Normal"/>
    <w:next w:val="Normal"/>
    <w:link w:val="DataChar"/>
  </w:style>
  <w:style w:type="character" w:customStyle="1" w:styleId="DataChar">
    <w:name w:val="Data Char"/>
    <w:basedOn w:val="Fontepargpadro"/>
    <w:link w:val="Data"/>
    <w:rPr>
      <w:rFonts w:ascii="Arial" w:hAnsi="Arial"/>
      <w:szCs w:val="24"/>
      <w:lang w:val="en-GB" w:eastAsia="en-GB"/>
    </w:rPr>
  </w:style>
  <w:style w:type="paragraph" w:customStyle="1" w:styleId="DocExCode">
    <w:name w:val="DocExCode"/>
    <w:basedOn w:val="Normal"/>
    <w:pPr>
      <w:pBdr>
        <w:top w:val="single" w:sz="4" w:space="1" w:color="auto"/>
      </w:pBdr>
    </w:pPr>
    <w:rPr>
      <w:kern w:val="20"/>
      <w:sz w:val="16"/>
    </w:rPr>
  </w:style>
  <w:style w:type="paragraph" w:customStyle="1" w:styleId="DocExCode-NoLine">
    <w:name w:val="DocExCode - No Line"/>
    <w:basedOn w:val="DocExCode"/>
    <w:pPr>
      <w:pBdr>
        <w:top w:val="none" w:sz="0" w:space="0" w:color="auto"/>
      </w:pBdr>
    </w:pPr>
  </w:style>
  <w:style w:type="paragraph" w:customStyle="1" w:styleId="DocumentMap">
    <w:name w:val="DocumentMap"/>
    <w:basedOn w:val="Normal"/>
  </w:style>
  <w:style w:type="character" w:customStyle="1" w:styleId="RodapChar">
    <w:name w:val="Rodapé Char"/>
    <w:basedOn w:val="Fontepargpadro"/>
    <w:link w:val="Rodap"/>
    <w:uiPriority w:val="99"/>
    <w:rPr>
      <w:rFonts w:ascii="Arial" w:hAnsi="Arial"/>
      <w:sz w:val="24"/>
      <w:szCs w:val="24"/>
    </w:rPr>
  </w:style>
  <w:style w:type="character" w:styleId="Refdenotaderodap">
    <w:name w:val="footnote reference"/>
    <w:rPr>
      <w:rFonts w:ascii="Arial" w:hAnsi="Arial"/>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Pr>
      <w:rFonts w:ascii="Arial" w:hAnsi="Arial"/>
      <w:kern w:val="20"/>
      <w:sz w:val="16"/>
      <w:lang w:val="en-GB" w:eastAsia="en-GB"/>
    </w:rPr>
  </w:style>
  <w:style w:type="character" w:customStyle="1" w:styleId="CabealhoChar">
    <w:name w:val="Cabeçalho Char"/>
    <w:aliases w:val="Cabeçalho1 Char,Header Char Char"/>
    <w:basedOn w:val="Fontepargpadro"/>
    <w:link w:val="Cabealho"/>
    <w:uiPriority w:val="99"/>
    <w:rPr>
      <w:rFonts w:ascii="Arial" w:hAnsi="Arial"/>
      <w:sz w:val="24"/>
      <w:szCs w:val="24"/>
    </w:rPr>
  </w:style>
  <w:style w:type="paragraph" w:customStyle="1" w:styleId="Level7">
    <w:name w:val="Level 7"/>
    <w:basedOn w:val="Normal"/>
    <w:pPr>
      <w:numPr>
        <w:ilvl w:val="6"/>
        <w:numId w:val="47"/>
      </w:numPr>
      <w:spacing w:after="140" w:line="290" w:lineRule="auto"/>
      <w:jc w:val="both"/>
      <w:outlineLvl w:val="6"/>
    </w:pPr>
    <w:rPr>
      <w:kern w:val="20"/>
    </w:rPr>
  </w:style>
  <w:style w:type="paragraph" w:customStyle="1" w:styleId="Level8">
    <w:name w:val="Level 8"/>
    <w:basedOn w:val="Normal"/>
    <w:pPr>
      <w:numPr>
        <w:ilvl w:val="7"/>
        <w:numId w:val="47"/>
      </w:numPr>
      <w:spacing w:after="140" w:line="290" w:lineRule="auto"/>
      <w:jc w:val="both"/>
      <w:outlineLvl w:val="7"/>
    </w:pPr>
    <w:rPr>
      <w:kern w:val="20"/>
    </w:rPr>
  </w:style>
  <w:style w:type="paragraph" w:customStyle="1" w:styleId="Level9">
    <w:name w:val="Level 9"/>
    <w:basedOn w:val="Normal"/>
    <w:pPr>
      <w:numPr>
        <w:ilvl w:val="8"/>
        <w:numId w:val="47"/>
      </w:numPr>
      <w:spacing w:after="140" w:line="290" w:lineRule="auto"/>
      <w:jc w:val="both"/>
      <w:outlineLvl w:val="8"/>
    </w:pPr>
    <w:rPr>
      <w:kern w:val="20"/>
    </w:rPr>
  </w:style>
  <w:style w:type="character" w:styleId="Nmerodepgina">
    <w:name w:val="page number"/>
    <w:rPr>
      <w:rFonts w:ascii="Arial" w:hAnsi="Arial"/>
      <w:sz w:val="20"/>
    </w:rPr>
  </w:style>
  <w:style w:type="paragraph" w:customStyle="1" w:styleId="Table1">
    <w:name w:val="Table 1"/>
    <w:basedOn w:val="Normal"/>
    <w:pPr>
      <w:numPr>
        <w:numId w:val="31"/>
      </w:numPr>
      <w:spacing w:before="60" w:after="60" w:line="290" w:lineRule="auto"/>
      <w:outlineLvl w:val="0"/>
    </w:pPr>
    <w:rPr>
      <w:kern w:val="20"/>
    </w:rPr>
  </w:style>
  <w:style w:type="paragraph" w:customStyle="1" w:styleId="Table2">
    <w:name w:val="Table 2"/>
    <w:basedOn w:val="Normal"/>
    <w:pPr>
      <w:numPr>
        <w:ilvl w:val="1"/>
        <w:numId w:val="31"/>
      </w:numPr>
      <w:spacing w:before="60" w:after="60" w:line="290" w:lineRule="auto"/>
      <w:outlineLvl w:val="1"/>
    </w:pPr>
    <w:rPr>
      <w:kern w:val="20"/>
    </w:rPr>
  </w:style>
  <w:style w:type="paragraph" w:customStyle="1" w:styleId="Table3">
    <w:name w:val="Table 3"/>
    <w:basedOn w:val="Normal"/>
    <w:pPr>
      <w:numPr>
        <w:ilvl w:val="2"/>
        <w:numId w:val="31"/>
      </w:numPr>
      <w:spacing w:before="60" w:after="60" w:line="290" w:lineRule="auto"/>
      <w:outlineLvl w:val="2"/>
    </w:pPr>
    <w:rPr>
      <w:kern w:val="20"/>
    </w:rPr>
  </w:style>
  <w:style w:type="paragraph" w:customStyle="1" w:styleId="Table4">
    <w:name w:val="Table 4"/>
    <w:basedOn w:val="Normal"/>
    <w:pPr>
      <w:numPr>
        <w:ilvl w:val="3"/>
        <w:numId w:val="31"/>
      </w:numPr>
      <w:spacing w:before="60" w:after="60" w:line="290" w:lineRule="auto"/>
      <w:outlineLvl w:val="3"/>
    </w:pPr>
    <w:rPr>
      <w:kern w:val="20"/>
    </w:rPr>
  </w:style>
  <w:style w:type="paragraph" w:customStyle="1" w:styleId="Table5">
    <w:name w:val="Table 5"/>
    <w:basedOn w:val="Normal"/>
    <w:pPr>
      <w:numPr>
        <w:ilvl w:val="4"/>
        <w:numId w:val="31"/>
      </w:numPr>
      <w:spacing w:before="60" w:after="60" w:line="290" w:lineRule="auto"/>
      <w:outlineLvl w:val="4"/>
    </w:pPr>
    <w:rPr>
      <w:kern w:val="20"/>
    </w:rPr>
  </w:style>
  <w:style w:type="paragraph" w:customStyle="1" w:styleId="Table6">
    <w:name w:val="Table 6"/>
    <w:basedOn w:val="Normal"/>
    <w:pPr>
      <w:numPr>
        <w:ilvl w:val="5"/>
        <w:numId w:val="31"/>
      </w:numPr>
      <w:spacing w:before="60" w:after="60" w:line="290" w:lineRule="auto"/>
      <w:outlineLvl w:val="5"/>
    </w:pPr>
    <w:rPr>
      <w:kern w:val="20"/>
    </w:rPr>
  </w:style>
  <w:style w:type="paragraph" w:customStyle="1" w:styleId="Tablealpha">
    <w:name w:val="Table alpha"/>
    <w:basedOn w:val="CellBody"/>
    <w:pPr>
      <w:numPr>
        <w:numId w:val="32"/>
      </w:numPr>
    </w:pPr>
  </w:style>
  <w:style w:type="paragraph" w:customStyle="1" w:styleId="Tablebullet">
    <w:name w:val="Table bullet"/>
    <w:basedOn w:val="Normal"/>
    <w:pPr>
      <w:numPr>
        <w:numId w:val="33"/>
      </w:numPr>
      <w:spacing w:before="60" w:after="60" w:line="290" w:lineRule="auto"/>
    </w:pPr>
    <w:rPr>
      <w:kern w:val="20"/>
    </w:rPr>
  </w:style>
  <w:style w:type="paragraph" w:customStyle="1" w:styleId="Tableroman">
    <w:name w:val="Table roman"/>
    <w:basedOn w:val="CellBody"/>
    <w:pPr>
      <w:numPr>
        <w:numId w:val="34"/>
      </w:numPr>
    </w:pPr>
  </w:style>
  <w:style w:type="paragraph" w:styleId="Sumrio2">
    <w:name w:val="toc 2"/>
    <w:basedOn w:val="Normal"/>
    <w:next w:val="Body"/>
    <w:pPr>
      <w:spacing w:before="280" w:after="140" w:line="290" w:lineRule="auto"/>
    </w:pPr>
    <w:rPr>
      <w:kern w:val="20"/>
    </w:rPr>
  </w:style>
  <w:style w:type="paragraph" w:styleId="Sumrio3">
    <w:name w:val="toc 3"/>
    <w:basedOn w:val="Normal"/>
    <w:next w:val="Body"/>
    <w:pPr>
      <w:spacing w:before="280" w:after="140" w:line="290" w:lineRule="auto"/>
      <w:ind w:left="680"/>
    </w:pPr>
    <w:rPr>
      <w:kern w:val="20"/>
    </w:rPr>
  </w:style>
  <w:style w:type="paragraph" w:styleId="Sumrio4">
    <w:name w:val="toc 4"/>
    <w:basedOn w:val="Normal"/>
    <w:next w:val="Body"/>
    <w:pPr>
      <w:spacing w:before="280" w:after="140" w:line="290" w:lineRule="auto"/>
      <w:ind w:left="680"/>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paragraph" w:customStyle="1" w:styleId="zFSand">
    <w:name w:val="zFSand"/>
    <w:basedOn w:val="Normal"/>
    <w:next w:val="zFSco-names"/>
    <w:pPr>
      <w:spacing w:line="290" w:lineRule="auto"/>
      <w:jc w:val="center"/>
    </w:pPr>
    <w:rPr>
      <w:rFonts w:eastAsia="SimSun"/>
      <w:kern w:val="20"/>
      <w:szCs w:val="20"/>
    </w:rPr>
  </w:style>
  <w:style w:type="paragraph" w:customStyle="1" w:styleId="zFSco-names">
    <w:name w:val="zFSco-names"/>
    <w:basedOn w:val="Normal"/>
    <w:next w:val="zFSand"/>
    <w:pPr>
      <w:spacing w:before="120" w:after="120" w:line="290" w:lineRule="auto"/>
      <w:jc w:val="center"/>
    </w:pPr>
    <w:rPr>
      <w:rFonts w:eastAsia="SimSun"/>
      <w:kern w:val="24"/>
      <w:sz w:val="24"/>
    </w:rPr>
  </w:style>
  <w:style w:type="paragraph" w:customStyle="1" w:styleId="zFSDate">
    <w:name w:val="zFSDate"/>
    <w:basedOn w:val="Normal"/>
    <w:pPr>
      <w:spacing w:line="290" w:lineRule="auto"/>
      <w:jc w:val="center"/>
    </w:pPr>
    <w:rPr>
      <w:kern w:val="20"/>
    </w:rPr>
  </w:style>
  <w:style w:type="character" w:styleId="Hyperlink">
    <w:name w:val="Hyperlink"/>
    <w:rPr>
      <w:color w:val="AF005F"/>
      <w:u w:val="none"/>
    </w:rPr>
  </w:style>
  <w:style w:type="paragraph" w:customStyle="1" w:styleId="zFSFooter">
    <w:name w:val="zFSFooter"/>
    <w:basedOn w:val="Normal"/>
    <w:pPr>
      <w:tabs>
        <w:tab w:val="left" w:pos="6521"/>
      </w:tabs>
      <w:spacing w:after="40"/>
      <w:ind w:left="-108"/>
    </w:pPr>
    <w:rPr>
      <w:sz w:val="16"/>
    </w:rPr>
  </w:style>
  <w:style w:type="paragraph" w:customStyle="1" w:styleId="zFSNarrative">
    <w:name w:val="zFSNarrative"/>
    <w:basedOn w:val="Normal"/>
    <w:pPr>
      <w:spacing w:before="120" w:after="120" w:line="290" w:lineRule="auto"/>
      <w:jc w:val="center"/>
    </w:pPr>
    <w:rPr>
      <w:rFonts w:eastAsia="SimSun"/>
      <w:kern w:val="20"/>
      <w:szCs w:val="20"/>
    </w:rPr>
  </w:style>
  <w:style w:type="paragraph" w:customStyle="1" w:styleId="zFSTitle">
    <w:name w:val="zFSTitle"/>
    <w:basedOn w:val="Normal"/>
    <w:next w:val="zFSNarrative"/>
    <w:pPr>
      <w:keepNext/>
      <w:spacing w:before="240" w:after="120" w:line="290" w:lineRule="auto"/>
      <w:jc w:val="center"/>
    </w:pPr>
    <w:rPr>
      <w:rFonts w:eastAsia="SimSun"/>
      <w:sz w:val="28"/>
      <w:szCs w:val="28"/>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Pr>
      <w:rFonts w:ascii="Arial" w:hAnsi="Arial"/>
      <w:lang w:val="en-GB" w:eastAsia="en-GB"/>
    </w:rPr>
  </w:style>
  <w:style w:type="paragraph" w:customStyle="1" w:styleId="Head">
    <w:name w:val="Head"/>
    <w:basedOn w:val="Normal"/>
    <w:next w:val="Body"/>
    <w:pPr>
      <w:keepNext/>
      <w:spacing w:before="280" w:after="140" w:line="290" w:lineRule="auto"/>
      <w:jc w:val="both"/>
      <w:outlineLvl w:val="0"/>
    </w:pPr>
    <w:rPr>
      <w:b/>
      <w:kern w:val="23"/>
      <w:sz w:val="23"/>
    </w:rPr>
  </w:style>
  <w:style w:type="paragraph" w:styleId="ndicedeautoridades">
    <w:name w:val="table of authorities"/>
    <w:basedOn w:val="Normal"/>
    <w:next w:val="Normal"/>
    <w:pPr>
      <w:ind w:left="200" w:hanging="200"/>
    </w:pPr>
  </w:style>
  <w:style w:type="paragraph" w:customStyle="1" w:styleId="CellBody">
    <w:name w:val="CellBody"/>
    <w:basedOn w:val="Normal"/>
    <w:pPr>
      <w:spacing w:before="60" w:after="60" w:line="290" w:lineRule="auto"/>
    </w:pPr>
    <w:rPr>
      <w:kern w:val="20"/>
      <w:szCs w:val="20"/>
    </w:rPr>
  </w:style>
  <w:style w:type="paragraph" w:customStyle="1" w:styleId="zSFRef">
    <w:name w:val="zSFRef"/>
    <w:basedOn w:val="Normal"/>
    <w:rPr>
      <w:rFonts w:eastAsia="SimSun"/>
      <w:kern w:val="16"/>
      <w:sz w:val="16"/>
      <w:szCs w:val="16"/>
    </w:rPr>
  </w:style>
  <w:style w:type="paragraph" w:customStyle="1" w:styleId="UCAlpha1">
    <w:name w:val="UCAlpha 1"/>
    <w:basedOn w:val="Normal"/>
    <w:pPr>
      <w:numPr>
        <w:numId w:val="35"/>
      </w:numPr>
      <w:spacing w:after="140" w:line="290" w:lineRule="auto"/>
      <w:jc w:val="both"/>
    </w:pPr>
    <w:rPr>
      <w:kern w:val="20"/>
    </w:rPr>
  </w:style>
  <w:style w:type="paragraph" w:customStyle="1" w:styleId="UCAlpha2">
    <w:name w:val="UCAlpha 2"/>
    <w:basedOn w:val="Normal"/>
    <w:pPr>
      <w:numPr>
        <w:numId w:val="36"/>
      </w:numPr>
      <w:spacing w:after="140" w:line="290" w:lineRule="auto"/>
      <w:jc w:val="both"/>
    </w:pPr>
    <w:rPr>
      <w:kern w:val="20"/>
    </w:rPr>
  </w:style>
  <w:style w:type="paragraph" w:customStyle="1" w:styleId="UCAlpha3">
    <w:name w:val="UCAlpha 3"/>
    <w:basedOn w:val="Normal"/>
    <w:pPr>
      <w:numPr>
        <w:numId w:val="37"/>
      </w:numPr>
      <w:spacing w:after="140" w:line="290" w:lineRule="auto"/>
      <w:jc w:val="both"/>
    </w:pPr>
    <w:rPr>
      <w:kern w:val="20"/>
    </w:rPr>
  </w:style>
  <w:style w:type="paragraph" w:customStyle="1" w:styleId="UCAlpha4">
    <w:name w:val="UCAlpha 4"/>
    <w:basedOn w:val="Normal"/>
    <w:pPr>
      <w:numPr>
        <w:numId w:val="38"/>
      </w:numPr>
      <w:spacing w:after="140" w:line="290" w:lineRule="auto"/>
      <w:jc w:val="both"/>
    </w:pPr>
    <w:rPr>
      <w:kern w:val="20"/>
    </w:rPr>
  </w:style>
  <w:style w:type="paragraph" w:customStyle="1" w:styleId="UCAlpha5">
    <w:name w:val="UCAlpha 5"/>
    <w:basedOn w:val="Normal"/>
    <w:pPr>
      <w:numPr>
        <w:numId w:val="39"/>
      </w:numPr>
      <w:spacing w:after="140" w:line="290" w:lineRule="auto"/>
      <w:jc w:val="both"/>
    </w:pPr>
    <w:rPr>
      <w:kern w:val="20"/>
    </w:rPr>
  </w:style>
  <w:style w:type="paragraph" w:customStyle="1" w:styleId="UCAlpha6">
    <w:name w:val="UCAlpha 6"/>
    <w:basedOn w:val="Normal"/>
    <w:pPr>
      <w:numPr>
        <w:numId w:val="40"/>
      </w:numPr>
      <w:spacing w:after="140" w:line="290" w:lineRule="auto"/>
      <w:jc w:val="both"/>
    </w:pPr>
    <w:rPr>
      <w:kern w:val="20"/>
    </w:rPr>
  </w:style>
  <w:style w:type="paragraph" w:customStyle="1" w:styleId="UCRoman1">
    <w:name w:val="UCRoman 1"/>
    <w:basedOn w:val="Normal"/>
    <w:pPr>
      <w:numPr>
        <w:numId w:val="41"/>
      </w:numPr>
      <w:spacing w:after="140" w:line="290" w:lineRule="auto"/>
      <w:jc w:val="both"/>
    </w:pPr>
    <w:rPr>
      <w:kern w:val="20"/>
    </w:rPr>
  </w:style>
  <w:style w:type="paragraph" w:customStyle="1" w:styleId="UCRoman2">
    <w:name w:val="UCRoman 2"/>
    <w:basedOn w:val="Normal"/>
    <w:pPr>
      <w:numPr>
        <w:numId w:val="42"/>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ListNumbers">
    <w:name w:val="List Numbers"/>
    <w:basedOn w:val="Normal"/>
    <w:pPr>
      <w:numPr>
        <w:numId w:val="20"/>
      </w:numPr>
      <w:spacing w:after="140" w:line="290" w:lineRule="auto"/>
      <w:jc w:val="both"/>
      <w:outlineLvl w:val="0"/>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paragraph" w:customStyle="1" w:styleId="zFSAddress">
    <w:name w:val="zFSAddress"/>
    <w:basedOn w:val="Normal"/>
    <w:pPr>
      <w:spacing w:line="290" w:lineRule="auto"/>
    </w:pPr>
    <w:rPr>
      <w:kern w:val="16"/>
      <w:sz w:val="16"/>
    </w:rPr>
  </w:style>
  <w:style w:type="paragraph" w:customStyle="1" w:styleId="zFSDescription">
    <w:name w:val="zFSDescription"/>
    <w:basedOn w:val="zFSDate"/>
    <w:rPr>
      <w:rFonts w:eastAsia="SimSun"/>
      <w:i/>
      <w:caps/>
      <w:szCs w:val="20"/>
    </w:rPr>
  </w:style>
  <w:style w:type="paragraph" w:customStyle="1" w:styleId="zFSDraft">
    <w:name w:val="zFSDraft"/>
    <w:basedOn w:val="Normal"/>
    <w:pPr>
      <w:spacing w:line="290" w:lineRule="auto"/>
    </w:pPr>
    <w:rPr>
      <w:kern w:val="20"/>
    </w:rPr>
  </w:style>
  <w:style w:type="paragraph" w:customStyle="1" w:styleId="zFSFax">
    <w:name w:val="zFSFax"/>
    <w:basedOn w:val="Normal"/>
    <w:rPr>
      <w:kern w:val="16"/>
      <w:sz w:val="16"/>
    </w:rPr>
  </w:style>
  <w:style w:type="paragraph" w:customStyle="1" w:styleId="zFSNameofDoc">
    <w:name w:val="zFSNameofDoc"/>
    <w:basedOn w:val="Normal"/>
    <w:pPr>
      <w:spacing w:before="300" w:after="400" w:line="290" w:lineRule="auto"/>
      <w:jc w:val="center"/>
    </w:pPr>
    <w:rPr>
      <w:rFonts w:eastAsia="SimSun"/>
      <w:caps/>
      <w:szCs w:val="20"/>
    </w:rPr>
  </w:style>
  <w:style w:type="paragraph" w:customStyle="1" w:styleId="zFSTel">
    <w:name w:val="zFSTel"/>
    <w:basedOn w:val="Normal"/>
    <w:pPr>
      <w:spacing w:before="120"/>
    </w:pPr>
    <w:rPr>
      <w:kern w:val="16"/>
      <w:sz w:val="16"/>
    </w:rPr>
  </w:style>
  <w:style w:type="paragraph" w:customStyle="1" w:styleId="zFSAmount">
    <w:name w:val="zFSAmount"/>
    <w:basedOn w:val="Normal"/>
    <w:pPr>
      <w:spacing w:before="800" w:line="290" w:lineRule="auto"/>
      <w:jc w:val="center"/>
    </w:pPr>
    <w:rPr>
      <w:i/>
    </w:rPr>
  </w:style>
  <w:style w:type="character" w:styleId="HiperlinkVisitado">
    <w:name w:val="FollowedHyperlink"/>
    <w:rPr>
      <w:color w:val="AF005F"/>
      <w:u w:val="none"/>
    </w:rPr>
  </w:style>
  <w:style w:type="character" w:customStyle="1" w:styleId="zTokyoLogoCaption">
    <w:name w:val="zTokyoLogoCaption"/>
    <w:rPr>
      <w:rFonts w:ascii="MS Mincho" w:eastAsia="MS Mincho"/>
      <w:noProof/>
      <w:sz w:val="13"/>
    </w:rPr>
  </w:style>
  <w:style w:type="paragraph" w:customStyle="1" w:styleId="zFSAddress2">
    <w:name w:val="zFSAddress2"/>
    <w:basedOn w:val="Normal"/>
    <w:pPr>
      <w:spacing w:line="290" w:lineRule="auto"/>
    </w:pPr>
    <w:rPr>
      <w:kern w:val="16"/>
      <w:sz w:val="16"/>
    </w:rPr>
  </w:style>
  <w:style w:type="character" w:customStyle="1" w:styleId="zTokyoLogoCaption2">
    <w:name w:val="zTokyoLogoCaption2"/>
    <w:rPr>
      <w:rFonts w:ascii="MS Mincho" w:eastAsia="MS Mincho"/>
      <w:noProof/>
      <w:sz w:val="16"/>
    </w:rPr>
  </w:style>
  <w:style w:type="numbering" w:customStyle="1" w:styleId="NoList1">
    <w:name w:val="No List1"/>
    <w:next w:val="Semlista"/>
    <w:uiPriority w:val="99"/>
    <w:semiHidden/>
    <w:unhideWhenUsed/>
  </w:style>
  <w:style w:type="character" w:customStyle="1" w:styleId="EstiloDeEmail21">
    <w:name w:val="EstiloDeEmail21"/>
    <w:semiHidden/>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Pr>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link w:val="PargrafodaListaChar"/>
    <w:uiPriority w:val="99"/>
    <w:qFormat/>
    <w:pPr>
      <w:spacing w:after="140"/>
      <w:ind w:left="708"/>
      <w:jc w:val="both"/>
    </w:pPr>
    <w:rPr>
      <w:rFonts w:ascii="Times New Roman" w:hAnsi="Times New Roman"/>
      <w:sz w:val="26"/>
    </w:rPr>
  </w:style>
  <w:style w:type="paragraph" w:styleId="Textodebalo">
    <w:name w:val="Balloon Text"/>
    <w:basedOn w:val="Normal"/>
    <w:link w:val="TextodebaloChar"/>
    <w:uiPriority w:val="99"/>
    <w:pPr>
      <w:jc w:val="both"/>
    </w:pPr>
    <w:rPr>
      <w:sz w:val="16"/>
      <w:szCs w:val="16"/>
    </w:rPr>
  </w:style>
  <w:style w:type="character" w:customStyle="1" w:styleId="TextodebaloChar">
    <w:name w:val="Texto de balão Char"/>
    <w:basedOn w:val="Fontepargpadro"/>
    <w:link w:val="Textodebalo"/>
    <w:uiPriority w:val="99"/>
    <w:rPr>
      <w:rFonts w:ascii="Tahoma" w:hAnsi="Tahoma"/>
      <w:sz w:val="16"/>
      <w:szCs w:val="16"/>
    </w:rPr>
  </w:style>
  <w:style w:type="paragraph" w:customStyle="1" w:styleId="5">
    <w:name w:val="5"/>
    <w:uiPriority w:val="99"/>
    <w:pPr>
      <w:tabs>
        <w:tab w:val="left" w:pos="5103"/>
      </w:tabs>
      <w:spacing w:line="360" w:lineRule="auto"/>
      <w:jc w:val="both"/>
    </w:pPr>
    <w:rPr>
      <w:rFonts w:ascii="Arial" w:hAnsi="Arial"/>
    </w:rPr>
  </w:style>
  <w:style w:type="paragraph" w:customStyle="1" w:styleId="A">
    <w:name w:val="A"/>
    <w:basedOn w:val="Normal"/>
    <w:autoRedefine/>
    <w:uiPriority w:val="99"/>
    <w:pPr>
      <w:spacing w:line="280" w:lineRule="exact"/>
      <w:jc w:val="both"/>
    </w:pPr>
    <w:rPr>
      <w:rFonts w:ascii="Times New Roman" w:hAnsi="Times New Roman"/>
      <w:color w:val="000000"/>
      <w:sz w:val="24"/>
    </w:rPr>
  </w:style>
  <w:style w:type="paragraph" w:customStyle="1" w:styleId="Centrado">
    <w:name w:val="Centrado"/>
    <w:basedOn w:val="Normal"/>
    <w:pPr>
      <w:ind w:right="4"/>
      <w:jc w:val="center"/>
    </w:pPr>
    <w:rPr>
      <w:rFonts w:ascii="Times New Roman" w:hAnsi="Times New Roman"/>
      <w:b/>
      <w:szCs w:val="20"/>
    </w:rPr>
  </w:style>
  <w:style w:type="paragraph" w:styleId="Recuodecorpodetexto2">
    <w:name w:val="Body Text Indent 2"/>
    <w:basedOn w:val="Normal"/>
    <w:link w:val="Recuodecorpodetexto2Char"/>
    <w:uiPriority w:val="99"/>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rPr>
  </w:style>
  <w:style w:type="character" w:customStyle="1" w:styleId="Recuodecorpodetexto2Char">
    <w:name w:val="Recuo de corpo de texto 2 Char"/>
    <w:basedOn w:val="Fontepargpadro"/>
    <w:link w:val="Recuodecorpodetexto2"/>
    <w:uiPriority w:val="99"/>
    <w:rPr>
      <w:sz w:val="24"/>
    </w:rPr>
  </w:style>
  <w:style w:type="paragraph" w:styleId="Recuodecorpodetexto3">
    <w:name w:val="Body Text Indent 3"/>
    <w:basedOn w:val="Normal"/>
    <w:link w:val="Recuodecorpodetexto3Char"/>
    <w:uiPriority w:val="99"/>
    <w:unhideWhenUsed/>
    <w:pPr>
      <w:spacing w:after="120"/>
      <w:ind w:left="283"/>
      <w:jc w:val="both"/>
    </w:pPr>
    <w:rPr>
      <w:rFonts w:ascii="Times New Roman" w:hAnsi="Times New Roman"/>
      <w:sz w:val="16"/>
      <w:szCs w:val="16"/>
    </w:rPr>
  </w:style>
  <w:style w:type="character" w:customStyle="1" w:styleId="Recuodecorpodetexto3Char">
    <w:name w:val="Recuo de corpo de texto 3 Char"/>
    <w:basedOn w:val="Fontepargpadro"/>
    <w:link w:val="Recuodecorpodetexto3"/>
    <w:uiPriority w:val="99"/>
    <w:rPr>
      <w:sz w:val="16"/>
      <w:szCs w:val="16"/>
    </w:rPr>
  </w:style>
  <w:style w:type="paragraph" w:customStyle="1" w:styleId="Societrio">
    <w:name w:val="Societário"/>
    <w:basedOn w:val="Normal"/>
    <w:uiPriority w:val="99"/>
    <w:pPr>
      <w:jc w:val="both"/>
    </w:pPr>
    <w:rPr>
      <w:rFonts w:ascii="Courier" w:hAnsi="Courier"/>
      <w:sz w:val="24"/>
      <w:szCs w:val="20"/>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unhideWhenUsed/>
    <w:pPr>
      <w:spacing w:before="100" w:beforeAutospacing="1" w:after="100" w:afterAutospacing="1"/>
    </w:pPr>
    <w:rPr>
      <w:rFonts w:ascii="Times New Roman" w:eastAsia="Calibri" w:hAnsi="Times New Roman"/>
      <w:sz w:val="24"/>
    </w:rPr>
  </w:style>
  <w:style w:type="character" w:styleId="Refdecomentrio">
    <w:name w:val="annotation reference"/>
    <w:rPr>
      <w:sz w:val="16"/>
      <w:szCs w:val="16"/>
    </w:rPr>
  </w:style>
  <w:style w:type="character" w:customStyle="1" w:styleId="CommentTextChar">
    <w:name w:val="Comment Text Char"/>
    <w:basedOn w:val="Fontepargpadro"/>
  </w:style>
  <w:style w:type="paragraph" w:styleId="Assuntodocomentrio">
    <w:name w:val="annotation subject"/>
    <w:basedOn w:val="Textodecomentrio"/>
    <w:next w:val="Textodecomentrio"/>
    <w:link w:val="AssuntodocomentrioChar"/>
    <w:pPr>
      <w:spacing w:after="140"/>
      <w:jc w:val="both"/>
    </w:pPr>
    <w:rPr>
      <w:b/>
      <w:bCs/>
    </w:rPr>
  </w:style>
  <w:style w:type="character" w:customStyle="1" w:styleId="AssuntodocomentrioChar">
    <w:name w:val="Assunto do comentário Char"/>
    <w:basedOn w:val="TextodecomentrioChar"/>
    <w:link w:val="Assuntodocomentrio"/>
    <w:rPr>
      <w:rFonts w:ascii="Arial" w:hAnsi="Arial"/>
      <w:b/>
      <w:bCs/>
    </w:rPr>
  </w:style>
  <w:style w:type="paragraph" w:styleId="TextosemFormatao">
    <w:name w:val="Plain Text"/>
    <w:aliases w:val="(WGM)"/>
    <w:basedOn w:val="Normal"/>
    <w:link w:val="TextosemFormataoChar"/>
    <w:uiPriority w:val="99"/>
    <w:unhideWhenUsed/>
    <w:rPr>
      <w:rFonts w:eastAsia="Calibri"/>
      <w:color w:val="1F497D"/>
      <w:szCs w:val="21"/>
      <w:lang w:eastAsia="en-US"/>
    </w:rPr>
  </w:style>
  <w:style w:type="character" w:customStyle="1" w:styleId="TextosemFormataoChar">
    <w:name w:val="Texto sem Formatação Char"/>
    <w:aliases w:val="(WGM) Char"/>
    <w:basedOn w:val="Fontepargpadro"/>
    <w:link w:val="TextosemFormatao"/>
    <w:uiPriority w:val="99"/>
    <w:rPr>
      <w:rFonts w:ascii="Arial" w:eastAsia="Calibri" w:hAnsi="Arial"/>
      <w:color w:val="1F497D"/>
      <w:szCs w:val="21"/>
      <w:lang w:eastAsia="en-US"/>
    </w:rPr>
  </w:style>
  <w:style w:type="character" w:customStyle="1" w:styleId="DeltaViewDeletion">
    <w:name w:val="DeltaView Deletion"/>
    <w:rPr>
      <w:strike/>
      <w:color w:val="FF0000"/>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Arial" w:hAnsi="Arial"/>
      <w:szCs w:val="24"/>
      <w:lang w:val="en-GB" w:eastAsia="en-GB"/>
    </w:rPr>
  </w:style>
  <w:style w:type="paragraph" w:customStyle="1" w:styleId="MF2">
    <w:name w:val="MF2"/>
    <w:basedOn w:val="Normal"/>
    <w:autoRedefine/>
    <w:pPr>
      <w:tabs>
        <w:tab w:val="num" w:pos="360"/>
      </w:tabs>
      <w:spacing w:line="320" w:lineRule="exact"/>
      <w:ind w:left="360" w:hanging="360"/>
      <w:jc w:val="both"/>
    </w:pPr>
    <w:rPr>
      <w:rFonts w:ascii="Times New Roman" w:hAnsi="Times New Roman"/>
      <w:b/>
      <w:bCs/>
      <w:szCs w:val="20"/>
    </w:rPr>
  </w:style>
  <w:style w:type="character" w:styleId="Forte">
    <w:name w:val="Strong"/>
    <w:qFormat/>
    <w:rPr>
      <w:b/>
      <w:bCs/>
    </w:rPr>
  </w:style>
  <w:style w:type="paragraph" w:styleId="Recuodecorpodetexto">
    <w:name w:val="Body Text Indent"/>
    <w:aliases w:val="Body Text Bold Indent,bti,Texto Prospecto Grifado,BodyTextInd"/>
    <w:basedOn w:val="Normal"/>
    <w:link w:val="RecuodecorpodetextoChar"/>
    <w:pPr>
      <w:spacing w:after="120"/>
      <w:ind w:left="283"/>
    </w:pPr>
  </w:style>
  <w:style w:type="character" w:customStyle="1" w:styleId="RecuodecorpodetextoChar">
    <w:name w:val="Recuo de corpo de texto Char"/>
    <w:aliases w:val="Body Text Bold Indent Char,bti Char,Texto Prospecto Grifado Char,BodyTextInd Char"/>
    <w:basedOn w:val="Fontepargpadro"/>
    <w:link w:val="Recuodecorpodetexto"/>
    <w:rPr>
      <w:rFonts w:ascii="Arial" w:hAnsi="Arial"/>
      <w:szCs w:val="24"/>
      <w:lang w:val="en-GB" w:eastAsia="en-GB"/>
    </w:rPr>
  </w:style>
  <w:style w:type="paragraph" w:styleId="Corpodetexto3">
    <w:name w:val="Body Text 3"/>
    <w:basedOn w:val="Normal"/>
    <w:link w:val="Corpodetexto3Char"/>
    <w:uiPriority w:val="99"/>
    <w:pPr>
      <w:spacing w:after="120"/>
    </w:pPr>
    <w:rPr>
      <w:sz w:val="16"/>
      <w:szCs w:val="16"/>
    </w:rPr>
  </w:style>
  <w:style w:type="character" w:customStyle="1" w:styleId="Corpodetexto3Char">
    <w:name w:val="Corpo de texto 3 Char"/>
    <w:basedOn w:val="Fontepargpadro"/>
    <w:link w:val="Corpodetexto3"/>
    <w:uiPriority w:val="99"/>
    <w:rPr>
      <w:rFonts w:ascii="Arial" w:hAnsi="Arial"/>
      <w:sz w:val="16"/>
      <w:szCs w:val="16"/>
      <w:lang w:val="en-GB" w:eastAsia="en-GB"/>
    </w:rPr>
  </w:style>
  <w:style w:type="paragraph" w:styleId="Corpodetexto">
    <w:name w:val="Body Text"/>
    <w:aliases w:val="jfp_standard,Body text for papers,bt,body text,book,BT"/>
    <w:basedOn w:val="Normal"/>
    <w:link w:val="CorpodetextoChar"/>
    <w:uiPriority w:val="99"/>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basedOn w:val="Fontepargpadro"/>
    <w:link w:val="Corpodetexto"/>
    <w:uiPriority w:val="99"/>
    <w:rPr>
      <w:sz w:val="18"/>
      <w:szCs w:val="24"/>
      <w:lang w:val="en-US"/>
    </w:rPr>
  </w:style>
  <w:style w:type="paragraph" w:customStyle="1" w:styleId="NormalNormalDOT">
    <w:name w:val="Normal.Normal.DOT"/>
    <w:uiPriority w:val="99"/>
    <w:pPr>
      <w:autoSpaceDE w:val="0"/>
      <w:autoSpaceDN w:val="0"/>
      <w:adjustRightInd w:val="0"/>
    </w:pPr>
    <w:rPr>
      <w:sz w:val="24"/>
      <w:szCs w:val="24"/>
    </w:rPr>
  </w:style>
  <w:style w:type="paragraph" w:customStyle="1" w:styleId="cb2">
    <w:name w:val="cb2"/>
    <w:basedOn w:val="Normal"/>
    <w:next w:val="Normal"/>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pPr>
      <w:spacing w:after="240"/>
      <w:jc w:val="both"/>
    </w:pPr>
    <w:rPr>
      <w:sz w:val="22"/>
      <w:lang w:val="pt-BR"/>
    </w:rPr>
  </w:style>
  <w:style w:type="paragraph" w:customStyle="1" w:styleId="bodytextindent1a">
    <w:name w:val="bodytextindent1a"/>
    <w:basedOn w:val="Normal"/>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uiPriority w:val="99"/>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pPr>
      <w:autoSpaceDE w:val="0"/>
      <w:autoSpaceDN w:val="0"/>
      <w:adjustRightInd w:val="0"/>
      <w:ind w:left="708"/>
      <w:jc w:val="both"/>
    </w:pPr>
    <w:rPr>
      <w:rFonts w:ascii="Univers" w:hAnsi="Univers" w:cs="Univers"/>
      <w:sz w:val="24"/>
    </w:rPr>
  </w:style>
  <w:style w:type="character" w:customStyle="1" w:styleId="deltaviewinsertion0">
    <w:name w:val="deltaviewinsertion"/>
    <w:rPr>
      <w:rFonts w:cs="Times New Roman"/>
      <w:spacing w:val="0"/>
    </w:rPr>
  </w:style>
  <w:style w:type="paragraph" w:customStyle="1" w:styleId="Rodap0">
    <w:name w:val="Rodap"/>
    <w:basedOn w:val="Normal"/>
    <w:next w:val="Normal"/>
    <w:pPr>
      <w:autoSpaceDE w:val="0"/>
      <w:autoSpaceDN w:val="0"/>
      <w:adjustRightInd w:val="0"/>
      <w:jc w:val="both"/>
    </w:pPr>
    <w:rPr>
      <w:rFonts w:cs="Arial"/>
      <w:sz w:val="24"/>
    </w:rPr>
  </w:style>
  <w:style w:type="paragraph" w:styleId="MapadoDocumento">
    <w:name w:val="Document Map"/>
    <w:basedOn w:val="Normal"/>
    <w:link w:val="MapadoDocumentoChar"/>
    <w:pPr>
      <w:shd w:val="clear" w:color="auto" w:fill="000080"/>
      <w:autoSpaceDE w:val="0"/>
      <w:autoSpaceDN w:val="0"/>
      <w:adjustRightInd w:val="0"/>
      <w:jc w:val="both"/>
    </w:pPr>
    <w:rPr>
      <w:sz w:val="24"/>
    </w:rPr>
  </w:style>
  <w:style w:type="character" w:customStyle="1" w:styleId="MapadoDocumentoChar">
    <w:name w:val="Mapa do Documento Char"/>
    <w:basedOn w:val="Fontepargpadro"/>
    <w:link w:val="MapadoDocumento"/>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pPr>
      <w:autoSpaceDE w:val="0"/>
      <w:autoSpaceDN w:val="0"/>
      <w:adjustRightInd w:val="0"/>
      <w:jc w:val="both"/>
    </w:pPr>
    <w:rPr>
      <w:rFonts w:ascii="Arial" w:hAnsi="Arial" w:cs="Arial"/>
      <w:sz w:val="24"/>
      <w:szCs w:val="24"/>
    </w:rPr>
  </w:style>
  <w:style w:type="paragraph" w:customStyle="1" w:styleId="Pargrafo1">
    <w:name w:val="Parágrafo 1"/>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pPr>
      <w:autoSpaceDE w:val="0"/>
      <w:autoSpaceDN w:val="0"/>
      <w:adjustRightInd w:val="0"/>
      <w:spacing w:after="120"/>
    </w:pPr>
    <w:rPr>
      <w:rFonts w:cs="Arial"/>
      <w:b/>
      <w:sz w:val="24"/>
      <w:lang w:val="en-US"/>
    </w:rPr>
  </w:style>
  <w:style w:type="paragraph" w:customStyle="1" w:styleId="DeltaViewTableBody">
    <w:name w:val="DeltaView Table Body"/>
    <w:basedOn w:val="Normal"/>
    <w:pPr>
      <w:autoSpaceDE w:val="0"/>
      <w:autoSpaceDN w:val="0"/>
      <w:adjustRightInd w:val="0"/>
    </w:pPr>
    <w:rPr>
      <w:rFonts w:cs="Arial"/>
      <w:sz w:val="24"/>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character" w:customStyle="1" w:styleId="DeltaViewStyleChangeText">
    <w:name w:val="DeltaView Style Change Text"/>
    <w:rPr>
      <w:color w:val="000000"/>
      <w:spacing w:val="0"/>
    </w:rPr>
  </w:style>
  <w:style w:type="character" w:customStyle="1" w:styleId="DeltaViewStyleChangeLabel">
    <w:name w:val="DeltaView Style Change Label"/>
    <w:rPr>
      <w:color w:val="000000"/>
      <w:spacing w:val="0"/>
    </w:rPr>
  </w:style>
  <w:style w:type="paragraph" w:customStyle="1" w:styleId="CharCharCharCharCharChar1CharCharChar1CharCharChar">
    <w:name w:val="Char Char Char Char Char Char1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Pr>
      <w:rFonts w:cs="Times New Roman"/>
      <w:i/>
      <w:spacing w:val="0"/>
    </w:rPr>
  </w:style>
  <w:style w:type="character" w:customStyle="1" w:styleId="CharChar3">
    <w:name w:val="Char Char3"/>
    <w:rPr>
      <w:rFonts w:ascii="Univers" w:hAnsi="Univers" w:cs="Univers"/>
      <w:spacing w:val="0"/>
      <w:sz w:val="24"/>
      <w:szCs w:val="24"/>
      <w:lang w:val="pt-BR" w:bidi="ar-SA"/>
    </w:rPr>
  </w:style>
  <w:style w:type="paragraph" w:customStyle="1" w:styleId="CPNormal">
    <w:name w:val="CPNormal"/>
    <w:basedOn w:val="Normal"/>
    <w:pPr>
      <w:autoSpaceDE w:val="0"/>
      <w:autoSpaceDN w:val="0"/>
      <w:adjustRightInd w:val="0"/>
      <w:spacing w:after="240"/>
      <w:ind w:firstLine="1440"/>
    </w:pPr>
    <w:rPr>
      <w:rFonts w:ascii="Univers" w:hAnsi="Univers" w:cs="Univers"/>
      <w:sz w:val="24"/>
    </w:rPr>
  </w:style>
  <w:style w:type="paragraph" w:customStyle="1" w:styleId="Text2">
    <w:name w:val="Text2"/>
    <w:basedOn w:val="Normal"/>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pPr>
      <w:tabs>
        <w:tab w:val="clear" w:pos="2160"/>
        <w:tab w:val="num" w:pos="1800"/>
      </w:tabs>
      <w:ind w:firstLine="1440"/>
      <w:outlineLvl w:val="2"/>
    </w:pPr>
  </w:style>
  <w:style w:type="paragraph" w:customStyle="1" w:styleId="Legal5L4">
    <w:name w:val="Legal5_L4"/>
    <w:basedOn w:val="Legal5L3"/>
    <w:next w:val="Normal"/>
    <w:pPr>
      <w:tabs>
        <w:tab w:val="clear" w:pos="1800"/>
        <w:tab w:val="num" w:pos="3240"/>
      </w:tabs>
      <w:ind w:left="2160" w:firstLine="720"/>
      <w:outlineLvl w:val="3"/>
    </w:pPr>
  </w:style>
  <w:style w:type="paragraph" w:customStyle="1" w:styleId="Legal5L5">
    <w:name w:val="Legal5_L5"/>
    <w:basedOn w:val="Legal5L4"/>
    <w:next w:val="Normal"/>
    <w:pPr>
      <w:tabs>
        <w:tab w:val="clear" w:pos="3240"/>
        <w:tab w:val="num" w:pos="1080"/>
        <w:tab w:val="num" w:pos="2160"/>
      </w:tabs>
      <w:ind w:left="1080" w:hanging="1080"/>
      <w:outlineLvl w:val="4"/>
    </w:pPr>
  </w:style>
  <w:style w:type="paragraph" w:customStyle="1" w:styleId="Legal5L6">
    <w:name w:val="Legal5_L6"/>
    <w:basedOn w:val="Legal5L5"/>
    <w:next w:val="Normal"/>
    <w:pPr>
      <w:tabs>
        <w:tab w:val="clear" w:pos="1080"/>
      </w:tabs>
      <w:ind w:left="2160" w:hanging="720"/>
      <w:outlineLvl w:val="5"/>
    </w:pPr>
  </w:style>
  <w:style w:type="paragraph" w:customStyle="1" w:styleId="Legal5L7">
    <w:name w:val="Legal5_L7"/>
    <w:basedOn w:val="Legal5L6"/>
    <w:next w:val="Normal"/>
    <w:pPr>
      <w:ind w:hanging="1440"/>
      <w:outlineLvl w:val="6"/>
    </w:pPr>
  </w:style>
  <w:style w:type="paragraph" w:customStyle="1" w:styleId="Legal5L8">
    <w:name w:val="Legal5_L8"/>
    <w:basedOn w:val="Legal5L7"/>
    <w:next w:val="Normal"/>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pPr>
      <w:numPr>
        <w:numId w:val="43"/>
      </w:numPr>
      <w:autoSpaceDE w:val="0"/>
      <w:autoSpaceDN w:val="0"/>
      <w:adjustRightInd w:val="0"/>
      <w:jc w:val="both"/>
    </w:pPr>
    <w:rPr>
      <w:rFonts w:ascii="Univers" w:hAnsi="Univers" w:cs="Univers"/>
      <w:sz w:val="24"/>
    </w:rPr>
  </w:style>
  <w:style w:type="paragraph" w:customStyle="1" w:styleId="a0">
    <w:name w:val="a)"/>
    <w:next w:val="Normal"/>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Pr>
      <w:rFonts w:ascii="Arial" w:hAnsi="Arial" w:cs="Arial"/>
      <w:spacing w:val="0"/>
      <w:sz w:val="24"/>
      <w:szCs w:val="24"/>
      <w:lang w:val="pt-BR" w:bidi="ar-SA"/>
    </w:rPr>
  </w:style>
  <w:style w:type="paragraph" w:customStyle="1" w:styleId="Corpo">
    <w:name w:val="Corpo"/>
    <w:pPr>
      <w:autoSpaceDE w:val="0"/>
      <w:autoSpaceDN w:val="0"/>
      <w:adjustRightInd w:val="0"/>
    </w:pPr>
    <w:rPr>
      <w:color w:val="000000"/>
      <w:sz w:val="24"/>
      <w:szCs w:val="24"/>
    </w:rPr>
  </w:style>
  <w:style w:type="character" w:customStyle="1" w:styleId="DeltaViewComment">
    <w:name w:val="DeltaView Comment"/>
    <w:rPr>
      <w:rFonts w:cs="Times New Roman"/>
      <w:color w:val="000000"/>
      <w:spacing w:val="0"/>
    </w:rPr>
  </w:style>
  <w:style w:type="character" w:customStyle="1" w:styleId="DeltaViewInsertedComment">
    <w:name w:val="DeltaView Inserted Comment"/>
    <w:rPr>
      <w:rFonts w:cs="Times New Roman"/>
      <w:color w:val="0000FF"/>
      <w:spacing w:val="0"/>
      <w:u w:val="double"/>
    </w:rPr>
  </w:style>
  <w:style w:type="character" w:customStyle="1" w:styleId="DeltaViewDeletedComment">
    <w:name w:val="DeltaView Deleted Comment"/>
    <w:rPr>
      <w:rFonts w:cs="Times New Roman"/>
      <w:strike/>
      <w:color w:val="FF0000"/>
      <w:spacing w:val="0"/>
    </w:rPr>
  </w:style>
  <w:style w:type="character" w:customStyle="1" w:styleId="msoins0">
    <w:name w:val="msoins"/>
    <w:uiPriority w:val="99"/>
    <w:rPr>
      <w:rFonts w:cs="Times New Roman"/>
      <w:spacing w:val="0"/>
    </w:rPr>
  </w:style>
  <w:style w:type="paragraph" w:customStyle="1" w:styleId="CharCharCharCharCharChar1CharCharCharCharCharChar">
    <w:name w:val="Char Char Char Char Char Char1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Pr>
      <w:rFonts w:ascii="Cambria" w:hAnsi="Cambria" w:cs="Cambria"/>
      <w:b/>
      <w:spacing w:val="0"/>
      <w:kern w:val="32"/>
      <w:sz w:val="32"/>
      <w:szCs w:val="32"/>
    </w:rPr>
  </w:style>
  <w:style w:type="character" w:customStyle="1" w:styleId="CharChar13">
    <w:name w:val="Char Char13"/>
    <w:rPr>
      <w:rFonts w:ascii="Cambria" w:hAnsi="Cambria" w:cs="Cambria"/>
      <w:b/>
      <w:i/>
      <w:spacing w:val="0"/>
      <w:sz w:val="28"/>
      <w:szCs w:val="28"/>
    </w:rPr>
  </w:style>
  <w:style w:type="character" w:customStyle="1" w:styleId="CharChar12">
    <w:name w:val="Char Char12"/>
    <w:rPr>
      <w:rFonts w:ascii="Cambria" w:hAnsi="Cambria" w:cs="Cambria"/>
      <w:b/>
      <w:spacing w:val="0"/>
      <w:sz w:val="26"/>
      <w:szCs w:val="26"/>
    </w:rPr>
  </w:style>
  <w:style w:type="character" w:customStyle="1" w:styleId="CharChar11">
    <w:name w:val="Char Char11"/>
    <w:rPr>
      <w:rFonts w:ascii="Calibri" w:hAnsi="Calibri" w:cs="Calibri"/>
      <w:b/>
      <w:spacing w:val="0"/>
      <w:sz w:val="28"/>
      <w:szCs w:val="28"/>
    </w:rPr>
  </w:style>
  <w:style w:type="character" w:customStyle="1" w:styleId="CharChar10">
    <w:name w:val="Char Char10"/>
    <w:rPr>
      <w:rFonts w:ascii="Calibri" w:hAnsi="Calibri" w:cs="Calibri"/>
      <w:b/>
      <w:spacing w:val="0"/>
      <w:sz w:val="22"/>
      <w:szCs w:val="22"/>
    </w:rPr>
  </w:style>
  <w:style w:type="paragraph" w:customStyle="1" w:styleId="Titulodaon">
    <w:name w:val="Titulo da on"/>
    <w:basedOn w:val="BNDES"/>
    <w:pPr>
      <w:tabs>
        <w:tab w:val="left" w:pos="1134"/>
        <w:tab w:val="left" w:pos="1701"/>
        <w:tab w:val="left" w:pos="4820"/>
        <w:tab w:val="right" w:pos="9072"/>
      </w:tabs>
      <w:spacing w:before="480" w:after="240"/>
    </w:pPr>
    <w:rPr>
      <w:b/>
      <w:caps/>
    </w:rPr>
  </w:style>
  <w:style w:type="paragraph" w:customStyle="1" w:styleId="numeroON">
    <w:name w:val="numero ON"/>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pPr>
      <w:spacing w:before="120"/>
      <w:ind w:left="2268" w:hanging="992"/>
    </w:pPr>
  </w:style>
  <w:style w:type="paragraph" w:customStyle="1" w:styleId="axxx">
    <w:name w:val="a.x.x.x)"/>
    <w:basedOn w:val="BNDES"/>
    <w:pPr>
      <w:tabs>
        <w:tab w:val="right" w:pos="9072"/>
      </w:tabs>
      <w:spacing w:before="120" w:after="120"/>
      <w:ind w:left="2836" w:hanging="851"/>
    </w:pPr>
  </w:style>
  <w:style w:type="character" w:customStyle="1" w:styleId="CharChar9">
    <w:name w:val="Char Char9"/>
    <w:rPr>
      <w:rFonts w:ascii="Arial" w:hAnsi="Arial" w:cs="Arial"/>
      <w:spacing w:val="0"/>
      <w:sz w:val="24"/>
      <w:szCs w:val="24"/>
    </w:rPr>
  </w:style>
  <w:style w:type="character" w:customStyle="1" w:styleId="CharChar8">
    <w:name w:val="Char Char8"/>
    <w:rPr>
      <w:rFonts w:ascii="Arial" w:hAnsi="Arial" w:cs="Arial"/>
      <w:spacing w:val="0"/>
      <w:sz w:val="24"/>
      <w:szCs w:val="24"/>
    </w:rPr>
  </w:style>
  <w:style w:type="character" w:customStyle="1" w:styleId="BodyTextIndentChar">
    <w:name w:val="Body Text Indent Char"/>
    <w:rPr>
      <w:rFonts w:ascii="Arial" w:hAnsi="Arial" w:cs="Arial"/>
      <w:spacing w:val="0"/>
      <w:sz w:val="24"/>
      <w:szCs w:val="24"/>
    </w:rPr>
  </w:style>
  <w:style w:type="character" w:customStyle="1" w:styleId="CharChar7">
    <w:name w:val="Char Char7"/>
    <w:rPr>
      <w:rFonts w:ascii="Arial" w:hAnsi="Arial" w:cs="Arial"/>
      <w:spacing w:val="0"/>
      <w:sz w:val="24"/>
      <w:szCs w:val="24"/>
    </w:rPr>
  </w:style>
  <w:style w:type="character" w:customStyle="1" w:styleId="CharChar6">
    <w:name w:val="Char Char6"/>
    <w:rPr>
      <w:rFonts w:ascii="Arial" w:hAnsi="Arial" w:cs="Arial"/>
      <w:spacing w:val="0"/>
      <w:sz w:val="16"/>
      <w:szCs w:val="16"/>
    </w:rPr>
  </w:style>
  <w:style w:type="paragraph" w:customStyle="1" w:styleId="CharChar1CharCharCharCharCharChar">
    <w:name w:val="Char Char1 Char Char Char Char Char Char"/>
    <w:basedOn w:val="Normal"/>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Pr>
      <w:rFonts w:ascii="Optimum" w:hAnsi="Optimum" w:cs="Optimum"/>
      <w:spacing w:val="0"/>
      <w:sz w:val="24"/>
      <w:szCs w:val="24"/>
      <w:lang w:val="pt-BR"/>
    </w:rPr>
  </w:style>
  <w:style w:type="character" w:customStyle="1" w:styleId="CharChar5">
    <w:name w:val="Char Char5"/>
    <w:rPr>
      <w:rFonts w:cs="Times New Roman"/>
      <w:spacing w:val="0"/>
      <w:sz w:val="2"/>
      <w:szCs w:val="2"/>
    </w:rPr>
  </w:style>
  <w:style w:type="paragraph" w:customStyle="1" w:styleId="CharCharCharCharCharChar1">
    <w:name w:val="Char Char Char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Pr>
      <w:rFonts w:ascii="Arial" w:hAnsi="Arial" w:cs="Arial"/>
      <w:spacing w:val="0"/>
    </w:rPr>
  </w:style>
  <w:style w:type="character" w:customStyle="1" w:styleId="CharChar31">
    <w:name w:val="Char Char31"/>
    <w:rPr>
      <w:rFonts w:ascii="Arial" w:hAnsi="Arial" w:cs="Arial"/>
      <w:spacing w:val="0"/>
      <w:sz w:val="24"/>
      <w:szCs w:val="24"/>
    </w:rPr>
  </w:style>
  <w:style w:type="character" w:customStyle="1" w:styleId="CharChar2">
    <w:name w:val="Char Char2"/>
    <w:rPr>
      <w:rFonts w:ascii="Arial" w:hAnsi="Arial" w:cs="Arial"/>
      <w:spacing w:val="0"/>
    </w:rPr>
  </w:style>
  <w:style w:type="character" w:customStyle="1" w:styleId="CharChar1">
    <w:name w:val="Char Char1"/>
    <w:rPr>
      <w:rFonts w:cs="Times New Roman"/>
      <w:spacing w:val="0"/>
      <w:sz w:val="2"/>
      <w:szCs w:val="2"/>
    </w:rPr>
  </w:style>
  <w:style w:type="character" w:customStyle="1" w:styleId="CharChar">
    <w:name w:val="Char Char"/>
    <w:rPr>
      <w:rFonts w:ascii="Arial" w:hAnsi="Arial" w:cs="Arial"/>
      <w:b/>
      <w:spacing w:val="0"/>
    </w:rPr>
  </w:style>
  <w:style w:type="character" w:customStyle="1" w:styleId="EstiloDeEmail119">
    <w:name w:val="EstiloDeEmail119"/>
    <w:rPr>
      <w:rFonts w:ascii="Arial" w:hAnsi="Arial" w:cs="Arial"/>
      <w:color w:val="000080"/>
      <w:spacing w:val="0"/>
      <w:sz w:val="20"/>
      <w:szCs w:val="20"/>
    </w:rPr>
  </w:style>
  <w:style w:type="paragraph" w:customStyle="1" w:styleId="AODocTxt">
    <w:name w:val="AODocTxt"/>
    <w:basedOn w:val="Normal"/>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pPr>
      <w:numPr>
        <w:ilvl w:val="3"/>
      </w:numPr>
      <w:tabs>
        <w:tab w:val="num" w:pos="3229"/>
      </w:tabs>
      <w:ind w:left="720" w:hanging="360"/>
    </w:pPr>
  </w:style>
  <w:style w:type="paragraph" w:customStyle="1" w:styleId="AODocTxtL2">
    <w:name w:val="AODocTxtL2"/>
    <w:basedOn w:val="AODocTxt"/>
    <w:pPr>
      <w:numPr>
        <w:ilvl w:val="4"/>
      </w:numPr>
      <w:tabs>
        <w:tab w:val="num" w:pos="3949"/>
      </w:tabs>
      <w:ind w:left="1440" w:hanging="360"/>
    </w:pPr>
  </w:style>
  <w:style w:type="paragraph" w:customStyle="1" w:styleId="AODocTxtL3">
    <w:name w:val="AODocTxtL3"/>
    <w:basedOn w:val="AODocTxt"/>
    <w:pPr>
      <w:numPr>
        <w:ilvl w:val="5"/>
      </w:numPr>
      <w:tabs>
        <w:tab w:val="num" w:pos="4669"/>
      </w:tabs>
      <w:ind w:left="2160" w:hanging="180"/>
    </w:pPr>
  </w:style>
  <w:style w:type="paragraph" w:customStyle="1" w:styleId="AODocTxtL4">
    <w:name w:val="AODocTxtL4"/>
    <w:basedOn w:val="AODocTxt"/>
    <w:pPr>
      <w:numPr>
        <w:ilvl w:val="6"/>
      </w:numPr>
      <w:tabs>
        <w:tab w:val="num" w:pos="5389"/>
      </w:tabs>
      <w:ind w:left="2880" w:hanging="360"/>
    </w:pPr>
  </w:style>
  <w:style w:type="paragraph" w:customStyle="1" w:styleId="AODocTxtL5">
    <w:name w:val="AODocTxtL5"/>
    <w:basedOn w:val="AODocTxt"/>
    <w:pPr>
      <w:numPr>
        <w:ilvl w:val="7"/>
      </w:numPr>
      <w:tabs>
        <w:tab w:val="num" w:pos="6109"/>
      </w:tabs>
      <w:ind w:left="3600" w:hanging="360"/>
    </w:pPr>
  </w:style>
  <w:style w:type="paragraph" w:customStyle="1" w:styleId="AODocTxtL6">
    <w:name w:val="AODocTxtL6"/>
    <w:basedOn w:val="AODocTxt"/>
    <w:pPr>
      <w:numPr>
        <w:ilvl w:val="8"/>
      </w:numPr>
      <w:tabs>
        <w:tab w:val="num" w:pos="6829"/>
      </w:tabs>
      <w:ind w:left="4320" w:hanging="180"/>
    </w:pPr>
  </w:style>
  <w:style w:type="paragraph" w:customStyle="1" w:styleId="AODocTxtL7">
    <w:name w:val="AODocTxtL7"/>
    <w:basedOn w:val="AODocTxt"/>
    <w:pPr>
      <w:numPr>
        <w:ilvl w:val="0"/>
        <w:numId w:val="0"/>
      </w:numPr>
      <w:tabs>
        <w:tab w:val="num" w:pos="1800"/>
        <w:tab w:val="num" w:pos="3288"/>
      </w:tabs>
      <w:ind w:left="5040" w:hanging="1800"/>
    </w:pPr>
  </w:style>
  <w:style w:type="paragraph" w:customStyle="1" w:styleId="AODocTxtL8">
    <w:name w:val="AODocTxtL8"/>
    <w:basedOn w:val="AODocTxt"/>
    <w:pPr>
      <w:tabs>
        <w:tab w:val="num" w:pos="1413"/>
      </w:tabs>
      <w:ind w:left="1413" w:hanging="705"/>
    </w:pPr>
  </w:style>
  <w:style w:type="paragraph" w:customStyle="1" w:styleId="CharChar1CharCharCharCharCharChar1">
    <w:name w:val="Char Char1 Char Char Char Char Char Char1"/>
    <w:basedOn w:val="Normal"/>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pPr>
      <w:outlineLvl w:val="3"/>
    </w:pPr>
  </w:style>
  <w:style w:type="character" w:customStyle="1" w:styleId="CLEDSectionNo">
    <w:name w:val="CLED Section No."/>
    <w:rPr>
      <w:rFonts w:ascii="Times New Roman" w:hAnsi="Times New Roman" w:cs="Times New Roman"/>
      <w:spacing w:val="0"/>
      <w:sz w:val="24"/>
    </w:rPr>
  </w:style>
  <w:style w:type="paragraph" w:customStyle="1" w:styleId="Legal2L2">
    <w:name w:val="Legal2_L2"/>
    <w:basedOn w:val="Normal"/>
    <w:next w:val="Corpodetexto"/>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Pr>
      <w:rFonts w:ascii="Arial" w:eastAsia="SimSun" w:hAnsi="Arial" w:cs="Arial"/>
      <w:spacing w:val="0"/>
      <w:sz w:val="24"/>
      <w:szCs w:val="24"/>
      <w:lang w:val="en-US" w:bidi="ar-SA"/>
    </w:rPr>
  </w:style>
  <w:style w:type="paragraph" w:customStyle="1" w:styleId="CharCharCharCharCharChar11">
    <w:name w:val="Char Char Char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Pr>
      <w:rFonts w:cs="Times New Roman"/>
      <w:spacing w:val="0"/>
      <w:sz w:val="18"/>
      <w:szCs w:val="18"/>
      <w:lang w:val="en-US"/>
    </w:rPr>
  </w:style>
  <w:style w:type="character" w:customStyle="1" w:styleId="CharChar16">
    <w:name w:val="Char Char16"/>
    <w:rPr>
      <w:rFonts w:ascii="Univers" w:hAnsi="Univers" w:cs="Univers"/>
      <w:spacing w:val="0"/>
    </w:rPr>
  </w:style>
  <w:style w:type="character" w:customStyle="1" w:styleId="H1CharChar">
    <w:name w:val="H1 Char Char"/>
    <w:rPr>
      <w:rFonts w:ascii="Univers" w:hAnsi="Univers" w:cs="Univers"/>
      <w:b/>
      <w:spacing w:val="0"/>
      <w:sz w:val="24"/>
      <w:szCs w:val="24"/>
    </w:rPr>
  </w:style>
  <w:style w:type="character" w:customStyle="1" w:styleId="Heading2CharChar">
    <w:name w:val="Heading 2 Char Char"/>
    <w:aliases w:val="H2 Char Char Char"/>
    <w:rPr>
      <w:rFonts w:ascii="Univers" w:hAnsi="Univers" w:cs="Univers"/>
      <w:b/>
      <w:spacing w:val="0"/>
      <w:sz w:val="24"/>
      <w:szCs w:val="24"/>
    </w:rPr>
  </w:style>
  <w:style w:type="character" w:customStyle="1" w:styleId="H3CharChar">
    <w:name w:val="H3 Char Char"/>
    <w:rPr>
      <w:rFonts w:ascii="Arial" w:hAnsi="Arial" w:cs="Arial"/>
      <w:b/>
      <w:spacing w:val="0"/>
      <w:sz w:val="26"/>
      <w:szCs w:val="26"/>
    </w:rPr>
  </w:style>
  <w:style w:type="character" w:customStyle="1" w:styleId="H4CharChar">
    <w:name w:val="H4 Char Char"/>
    <w:rPr>
      <w:rFonts w:cs="Times New Roman"/>
      <w:spacing w:val="0"/>
      <w:sz w:val="24"/>
      <w:szCs w:val="24"/>
    </w:rPr>
  </w:style>
  <w:style w:type="character" w:customStyle="1" w:styleId="H5CharChar">
    <w:name w:val="H5 Char Char"/>
    <w:rPr>
      <w:rFonts w:ascii="Univers (WN)" w:hAnsi="Univers (WN)" w:cs="Univers (WN)"/>
      <w:b/>
      <w:spacing w:val="0"/>
      <w:sz w:val="22"/>
      <w:szCs w:val="22"/>
      <w:u w:val="single"/>
    </w:rPr>
  </w:style>
  <w:style w:type="character" w:customStyle="1" w:styleId="H6CharChar">
    <w:name w:val="H6 Char Char"/>
    <w:rPr>
      <w:rFonts w:cs="Times New Roman"/>
      <w:b/>
      <w:caps/>
      <w:spacing w:val="0"/>
      <w:sz w:val="22"/>
      <w:szCs w:val="22"/>
    </w:rPr>
  </w:style>
  <w:style w:type="character" w:customStyle="1" w:styleId="H7CharChar">
    <w:name w:val="H7 Char Char"/>
    <w:rPr>
      <w:rFonts w:ascii="Arial Narrow" w:hAnsi="Arial Narrow" w:cs="Arial Narrow"/>
      <w:b/>
      <w:spacing w:val="0"/>
      <w:sz w:val="22"/>
      <w:szCs w:val="22"/>
    </w:rPr>
  </w:style>
  <w:style w:type="character" w:customStyle="1" w:styleId="H8CharChar">
    <w:name w:val="H8 Char Char"/>
    <w:rPr>
      <w:rFonts w:cs="Times New Roman"/>
      <w:spacing w:val="0"/>
      <w:sz w:val="24"/>
      <w:szCs w:val="24"/>
      <w:lang w:val="en-US"/>
    </w:rPr>
  </w:style>
  <w:style w:type="character" w:customStyle="1" w:styleId="H9CharChar">
    <w:name w:val="H9 Char Char"/>
    <w:rPr>
      <w:rFonts w:cs="Times New Roman"/>
      <w:spacing w:val="0"/>
      <w:sz w:val="24"/>
      <w:szCs w:val="24"/>
      <w:lang w:val="en-US"/>
    </w:rPr>
  </w:style>
  <w:style w:type="paragraph" w:customStyle="1" w:styleId="BodyTextContinued">
    <w:name w:val="Body Text Continued"/>
    <w:basedOn w:val="Normal"/>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Pr>
      <w:rFonts w:cs="Times New Roman"/>
      <w:spacing w:val="0"/>
      <w:sz w:val="24"/>
      <w:szCs w:val="24"/>
      <w:lang w:val="en-US"/>
    </w:rPr>
  </w:style>
  <w:style w:type="character" w:customStyle="1" w:styleId="CharChar21">
    <w:name w:val="Char Char21"/>
    <w:rPr>
      <w:rFonts w:cs="Times New Roman"/>
      <w:b/>
      <w:spacing w:val="0"/>
      <w:sz w:val="24"/>
      <w:szCs w:val="24"/>
    </w:rPr>
  </w:style>
  <w:style w:type="paragraph" w:customStyle="1" w:styleId="Ttulo31">
    <w:name w:val="Título 31"/>
    <w:aliases w:val="h3"/>
    <w:basedOn w:val="Normal"/>
    <w:next w:val="Normal"/>
    <w:autoRedefine/>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Pr>
      <w:sz w:val="24"/>
      <w:szCs w:val="24"/>
      <w:lang w:val="en-US"/>
    </w:rPr>
  </w:style>
  <w:style w:type="paragraph" w:customStyle="1" w:styleId="NOTES">
    <w:name w:val="NOTES"/>
    <w:uiPriority w:val="9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lang w:val="en-US" w:eastAsia="en-US"/>
    </w:rPr>
  </w:style>
  <w:style w:type="paragraph" w:customStyle="1" w:styleId="Legal3L1">
    <w:name w:val="Legal3_L1"/>
    <w:basedOn w:val="Normal"/>
    <w:next w:val="Normal"/>
    <w:uiPriority w:val="99"/>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pPr>
      <w:numPr>
        <w:ilvl w:val="3"/>
      </w:numPr>
      <w:tabs>
        <w:tab w:val="clear" w:pos="1440"/>
        <w:tab w:val="num" w:pos="360"/>
      </w:tabs>
      <w:outlineLvl w:val="3"/>
    </w:pPr>
  </w:style>
  <w:style w:type="paragraph" w:customStyle="1" w:styleId="Legal3L3">
    <w:name w:val="Legal3_L3"/>
    <w:basedOn w:val="Legal3L2"/>
    <w:next w:val="Normal"/>
    <w:uiPriority w:val="99"/>
    <w:pPr>
      <w:numPr>
        <w:ilvl w:val="2"/>
      </w:numPr>
      <w:tabs>
        <w:tab w:val="clear" w:pos="1440"/>
        <w:tab w:val="num" w:pos="360"/>
      </w:tabs>
      <w:outlineLvl w:val="2"/>
    </w:pPr>
  </w:style>
  <w:style w:type="paragraph" w:customStyle="1" w:styleId="Legal3L6">
    <w:name w:val="Legal3_L6"/>
    <w:basedOn w:val="Normal"/>
    <w:next w:val="Normal"/>
    <w:uiPriority w:val="99"/>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pPr>
      <w:numPr>
        <w:ilvl w:val="7"/>
      </w:numPr>
      <w:tabs>
        <w:tab w:val="clear" w:pos="5760"/>
        <w:tab w:val="num" w:pos="360"/>
      </w:tabs>
      <w:outlineLvl w:val="7"/>
    </w:pPr>
  </w:style>
  <w:style w:type="paragraph" w:customStyle="1" w:styleId="Legal3L9">
    <w:name w:val="Legal3_L9"/>
    <w:basedOn w:val="Legal3L8"/>
    <w:next w:val="Normal"/>
    <w:uiPriority w:val="99"/>
    <w:pPr>
      <w:numPr>
        <w:ilvl w:val="8"/>
      </w:numPr>
      <w:tabs>
        <w:tab w:val="clear" w:pos="6480"/>
        <w:tab w:val="num" w:pos="360"/>
      </w:tabs>
      <w:outlineLvl w:val="8"/>
    </w:pPr>
  </w:style>
  <w:style w:type="paragraph" w:styleId="Saudao">
    <w:name w:val="Salutation"/>
    <w:basedOn w:val="Normal"/>
    <w:next w:val="Normal"/>
    <w:link w:val="SaudaoChar"/>
    <w:uiPriority w:val="99"/>
    <w:pPr>
      <w:ind w:firstLine="1440"/>
      <w:jc w:val="both"/>
    </w:pPr>
    <w:rPr>
      <w:rFonts w:ascii="Times New Roman" w:hAnsi="Times New Roman"/>
      <w:sz w:val="24"/>
      <w:szCs w:val="20"/>
    </w:rPr>
  </w:style>
  <w:style w:type="character" w:customStyle="1" w:styleId="SaudaoChar">
    <w:name w:val="Saudação Char"/>
    <w:basedOn w:val="Fontepargpadro"/>
    <w:link w:val="Saudao"/>
    <w:uiPriority w:val="99"/>
    <w:rPr>
      <w:sz w:val="24"/>
    </w:rPr>
  </w:style>
  <w:style w:type="paragraph" w:customStyle="1" w:styleId="Normala">
    <w:name w:val="Normal(a)"/>
    <w:basedOn w:val="Normal"/>
    <w:uiPriority w:val="99"/>
    <w:pPr>
      <w:spacing w:before="240"/>
      <w:ind w:firstLine="1440"/>
      <w:jc w:val="both"/>
    </w:pPr>
    <w:rPr>
      <w:rFonts w:ascii="Times New Roman" w:hAnsi="Times New Roman"/>
      <w:sz w:val="24"/>
      <w:szCs w:val="20"/>
      <w:lang w:val="en-US"/>
    </w:rPr>
  </w:style>
  <w:style w:type="paragraph" w:customStyle="1" w:styleId="InitialCodes">
    <w:name w:val="InitialCodes"/>
    <w:uiPriority w:val="99"/>
    <w:pPr>
      <w:tabs>
        <w:tab w:val="left" w:pos="-720"/>
      </w:tabs>
      <w:suppressAutoHyphens/>
    </w:pPr>
    <w:rPr>
      <w:rFonts w:ascii="Courier" w:hAnsi="Courier"/>
      <w:sz w:val="24"/>
      <w:lang w:val="en-US"/>
    </w:rPr>
  </w:style>
  <w:style w:type="paragraph" w:styleId="Lista">
    <w:name w:val="List"/>
    <w:basedOn w:val="Normal"/>
    <w:uiPriority w:val="99"/>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pPr>
      <w:tabs>
        <w:tab w:val="left" w:pos="540"/>
      </w:tabs>
      <w:spacing w:before="360" w:after="240" w:line="300" w:lineRule="atLeast"/>
      <w:jc w:val="both"/>
    </w:pPr>
    <w:rPr>
      <w:rFonts w:ascii="Times New Roman" w:hAnsi="Times New Roman"/>
      <w:sz w:val="24"/>
    </w:rPr>
  </w:style>
  <w:style w:type="paragraph" w:customStyle="1" w:styleId="TEXTO">
    <w:name w:val="TEXTO"/>
    <w:autoRedefine/>
    <w:pPr>
      <w:keepNext/>
      <w:keepLines/>
      <w:widowControl w:val="0"/>
      <w:numPr>
        <w:ilvl w:val="1"/>
        <w:numId w:val="49"/>
      </w:numPr>
      <w:tabs>
        <w:tab w:val="clear" w:pos="450"/>
      </w:tabs>
      <w:spacing w:line="300" w:lineRule="exact"/>
      <w:ind w:left="707" w:hanging="707"/>
      <w:jc w:val="both"/>
    </w:pPr>
    <w:rPr>
      <w:rFonts w:ascii="Frutiger Light" w:hAnsi="Frutiger Light"/>
      <w:color w:val="000000"/>
      <w:sz w:val="26"/>
      <w:lang w:eastAsia="en-US"/>
    </w:rPr>
  </w:style>
  <w:style w:type="paragraph" w:customStyle="1" w:styleId="LogoBasPage0">
    <w:name w:val="Logo_BasPage0"/>
    <w:basedOn w:val="Normal"/>
    <w:uiPriority w:val="9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Pr>
      <w:rFonts w:eastAsia="MS Mincho" w:cs="Arial"/>
      <w:b/>
      <w:bCs/>
      <w:sz w:val="18"/>
    </w:rPr>
  </w:style>
  <w:style w:type="paragraph" w:styleId="Legenda">
    <w:name w:val="caption"/>
    <w:basedOn w:val="Normal"/>
    <w:next w:val="Normal"/>
    <w:uiPriority w:val="99"/>
    <w:qFormat/>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pPr>
      <w:spacing w:after="160" w:line="240" w:lineRule="exact"/>
    </w:pPr>
    <w:rPr>
      <w:rFonts w:ascii="Verdana" w:eastAsia="MS Mincho" w:hAnsi="Verdana" w:cs="Verdana"/>
      <w:szCs w:val="20"/>
      <w:lang w:val="en-US" w:eastAsia="en-US"/>
    </w:rPr>
  </w:style>
  <w:style w:type="paragraph" w:customStyle="1" w:styleId="0B">
    <w:name w:val="0B"/>
    <w:uiPriority w:val="99"/>
    <w:pPr>
      <w:widowControl w:val="0"/>
      <w:tabs>
        <w:tab w:val="left" w:pos="7655"/>
      </w:tabs>
      <w:spacing w:line="360" w:lineRule="auto"/>
      <w:jc w:val="both"/>
    </w:pPr>
    <w:rPr>
      <w:rFonts w:ascii="Arial" w:eastAsia="MS Mincho" w:hAnsi="Arial"/>
    </w:rPr>
  </w:style>
  <w:style w:type="paragraph" w:customStyle="1" w:styleId="DefaultParagraphFont1">
    <w:name w:val="Default Paragraph Font1"/>
    <w:next w:val="Normal"/>
    <w:uiPriority w:val="99"/>
    <w:rPr>
      <w:rFonts w:ascii="CG Times (W1)" w:eastAsia="MS Mincho" w:hAnsi="CG Times (W1)"/>
      <w:noProof/>
    </w:rPr>
  </w:style>
  <w:style w:type="paragraph" w:customStyle="1" w:styleId="CharChar1CharCharCharChar1CharCharCharCharCharCharCharCharCharCharCharChar">
    <w:name w:val="Char Char1 Char Char Char Char1 Char Char Char Char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eext0Normal">
    <w:name w:val="eext0 Normal"/>
    <w:uiPriority w:val="99"/>
    <w:pPr>
      <w:widowControl w:val="0"/>
    </w:pPr>
    <w:rPr>
      <w:rFonts w:ascii="Pica" w:eastAsia="MS Mincho" w:hAnsi="Pica" w:cs="Pica"/>
    </w:rPr>
  </w:style>
  <w:style w:type="paragraph" w:customStyle="1" w:styleId="par2">
    <w:name w:val="par2"/>
    <w:basedOn w:val="Normal"/>
    <w:uiPriority w:val="9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Pr>
      <w:rFonts w:ascii="CG Times (W1)" w:eastAsia="MS Mincho" w:hAnsi="CG Times (W1)"/>
    </w:rPr>
  </w:style>
  <w:style w:type="paragraph" w:customStyle="1" w:styleId="CharChar1CharCharCharChar">
    <w:name w:val="Char Char1 Char Char Char Char"/>
    <w:basedOn w:val="Normal"/>
    <w:uiPriority w:val="99"/>
    <w:pPr>
      <w:spacing w:after="160" w:line="240" w:lineRule="exact"/>
    </w:pPr>
    <w:rPr>
      <w:rFonts w:ascii="Verdana" w:eastAsia="MS Mincho" w:hAnsi="Verdana" w:cs="Verdana"/>
      <w:lang w:eastAsia="en-US"/>
    </w:rPr>
  </w:style>
  <w:style w:type="paragraph" w:customStyle="1" w:styleId="Char">
    <w:name w:val="Char"/>
    <w:basedOn w:val="Normal"/>
    <w:uiPriority w:val="9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pPr>
      <w:spacing w:after="160" w:line="240" w:lineRule="exact"/>
    </w:pPr>
    <w:rPr>
      <w:rFonts w:ascii="Verdana" w:eastAsia="MS Mincho" w:hAnsi="Verdana" w:cs="Verdana"/>
      <w:lang w:eastAsia="en-US"/>
    </w:rPr>
  </w:style>
  <w:style w:type="paragraph" w:styleId="Listadecontinuao3">
    <w:name w:val="List Continue 3"/>
    <w:basedOn w:val="Normal"/>
    <w:uiPriority w:val="9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Nome">
    <w:name w:val="Nome"/>
    <w:basedOn w:val="Normal"/>
    <w:pPr>
      <w:spacing w:before="120" w:line="288" w:lineRule="auto"/>
      <w:jc w:val="both"/>
    </w:pPr>
    <w:rPr>
      <w:rFonts w:cs="Arial"/>
    </w:rPr>
  </w:style>
  <w:style w:type="paragraph" w:customStyle="1" w:styleId="MF1">
    <w:name w:val="MF1"/>
    <w:basedOn w:val="Normal"/>
    <w:autoRedefine/>
    <w:pPr>
      <w:spacing w:line="320" w:lineRule="exact"/>
      <w:jc w:val="center"/>
    </w:pPr>
    <w:rPr>
      <w:rFonts w:ascii="Times New Roman" w:hAnsi="Times New Roman"/>
      <w:b/>
      <w:smallCaps/>
      <w:sz w:val="24"/>
      <w:szCs w:val="20"/>
    </w:rPr>
  </w:style>
  <w:style w:type="paragraph" w:customStyle="1" w:styleId="p0">
    <w:name w:val="p0"/>
    <w:basedOn w:val="Normal"/>
    <w:pPr>
      <w:tabs>
        <w:tab w:val="left" w:pos="720"/>
      </w:tabs>
      <w:spacing w:line="240" w:lineRule="atLeast"/>
      <w:jc w:val="both"/>
    </w:pPr>
    <w:rPr>
      <w:rFonts w:ascii="Times" w:hAnsi="Times"/>
      <w:sz w:val="24"/>
      <w:szCs w:val="20"/>
    </w:rPr>
  </w:style>
  <w:style w:type="paragraph" w:customStyle="1" w:styleId="Corpodetexto31">
    <w:name w:val="Corpo de texto 31"/>
    <w:basedOn w:val="Normal"/>
    <w:pPr>
      <w:spacing w:line="320" w:lineRule="atLeast"/>
      <w:jc w:val="both"/>
    </w:pPr>
    <w:rPr>
      <w:rFonts w:ascii="Times New Roman" w:hAnsi="Times New Roman"/>
      <w:sz w:val="26"/>
      <w:szCs w:val="20"/>
    </w:rPr>
  </w:style>
  <w:style w:type="paragraph" w:customStyle="1" w:styleId="c3">
    <w:name w:val="c3"/>
    <w:basedOn w:val="Normal"/>
    <w:pPr>
      <w:spacing w:line="240" w:lineRule="atLeast"/>
      <w:jc w:val="center"/>
    </w:pPr>
    <w:rPr>
      <w:rFonts w:ascii="Times" w:hAnsi="Times"/>
      <w:sz w:val="24"/>
      <w:szCs w:val="20"/>
    </w:rPr>
  </w:style>
  <w:style w:type="paragraph" w:customStyle="1" w:styleId="Recuodecorpodetexto21">
    <w:name w:val="Recuo de corpo de texto 21"/>
    <w:basedOn w:val="Normal"/>
    <w:pPr>
      <w:spacing w:line="360" w:lineRule="exact"/>
      <w:ind w:left="720"/>
      <w:jc w:val="both"/>
    </w:pPr>
    <w:rPr>
      <w:rFonts w:ascii="Times New Roman" w:hAnsi="Times New Roman"/>
      <w:sz w:val="24"/>
      <w:szCs w:val="20"/>
    </w:rPr>
  </w:style>
  <w:style w:type="paragraph" w:customStyle="1" w:styleId="t7">
    <w:name w:val="t7"/>
    <w:basedOn w:val="Normal"/>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pPr>
      <w:tabs>
        <w:tab w:val="left" w:pos="2835"/>
      </w:tabs>
      <w:spacing w:after="120"/>
      <w:ind w:left="2977" w:hanging="853"/>
    </w:pPr>
    <w:rPr>
      <w:szCs w:val="20"/>
    </w:rPr>
  </w:style>
  <w:style w:type="paragraph" w:customStyle="1" w:styleId="BalloonText1">
    <w:name w:val="Balloon Text1"/>
    <w:basedOn w:val="Normal"/>
    <w:semiHidden/>
    <w:pPr>
      <w:jc w:val="both"/>
    </w:pPr>
    <w:rPr>
      <w:rFonts w:cs="MS Sans Serif"/>
      <w:sz w:val="16"/>
      <w:szCs w:val="16"/>
    </w:rPr>
  </w:style>
  <w:style w:type="paragraph" w:customStyle="1" w:styleId="CommentSubject1">
    <w:name w:val="Comment Subject1"/>
    <w:basedOn w:val="Textodecomentrio"/>
    <w:next w:val="Textodecomentrio"/>
    <w:semiHidden/>
    <w:pPr>
      <w:jc w:val="both"/>
    </w:pPr>
    <w:rPr>
      <w:rFonts w:ascii="Times New Roman" w:hAnsi="Times New Roman" w:cs="Times New Roman"/>
      <w:b/>
      <w:bCs/>
      <w:sz w:val="20"/>
    </w:rPr>
  </w:style>
  <w:style w:type="paragraph" w:customStyle="1" w:styleId="para10">
    <w:name w:val="para10"/>
    <w:uiPriority w:val="99"/>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styleId="Subttulo">
    <w:name w:val="Subtitle"/>
    <w:basedOn w:val="Normal"/>
    <w:next w:val="Corpodetexto"/>
    <w:link w:val="SubttuloChar"/>
    <w:qFormat/>
    <w:pPr>
      <w:widowControl w:val="0"/>
      <w:suppressAutoHyphens/>
      <w:jc w:val="center"/>
    </w:pPr>
    <w:rPr>
      <w:rFonts w:eastAsia="HG Mincho Light J" w:cs="Times New Roman"/>
      <w:b/>
      <w:color w:val="000000"/>
      <w:sz w:val="24"/>
      <w:szCs w:val="20"/>
    </w:rPr>
  </w:style>
  <w:style w:type="character" w:customStyle="1" w:styleId="SubttuloChar">
    <w:name w:val="Subtítulo Char"/>
    <w:basedOn w:val="Fontepargpadro"/>
    <w:link w:val="Subttulo"/>
    <w:rPr>
      <w:rFonts w:eastAsia="HG Mincho Light J" w:cs="Times New Roman"/>
      <w:b/>
      <w:color w:val="000000"/>
      <w:sz w:val="24"/>
      <w:szCs w:val="20"/>
    </w:rPr>
  </w:style>
  <w:style w:type="paragraph" w:customStyle="1" w:styleId="BodyText21">
    <w:name w:val="Body Text 21"/>
    <w:basedOn w:val="Normal"/>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pPr>
      <w:keepNext/>
      <w:outlineLvl w:val="0"/>
    </w:pPr>
    <w:rPr>
      <w:rFonts w:ascii="Times New Roman" w:hAnsi="Times New Roman"/>
      <w:b/>
      <w:sz w:val="18"/>
      <w:szCs w:val="20"/>
    </w:rPr>
  </w:style>
  <w:style w:type="character" w:customStyle="1" w:styleId="Normal1">
    <w:name w:val="Normal1"/>
    <w:rPr>
      <w:rFonts w:ascii="Helvetica" w:hAnsi="Helvetica"/>
      <w:sz w:val="24"/>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rPr>
  </w:style>
  <w:style w:type="paragraph" w:customStyle="1" w:styleId="CharCharCharCharCharCharCharCharCharCharChar">
    <w:name w:val="Char Char Char Char Char Char Char Char Char Char Char"/>
    <w:basedOn w:val="Normal"/>
    <w:pPr>
      <w:spacing w:after="160" w:line="240" w:lineRule="exact"/>
    </w:pPr>
    <w:rPr>
      <w:rFonts w:ascii="Verdana" w:hAnsi="Verdana"/>
      <w:szCs w:val="20"/>
      <w:lang w:val="en-US" w:eastAsia="en-US"/>
    </w:rPr>
  </w:style>
  <w:style w:type="character" w:styleId="MquinadeescreverHTML">
    <w:name w:val="HTML Typewriter"/>
    <w:rPr>
      <w:rFonts w:ascii="Courier New" w:eastAsia="Times New Roman" w:hAnsi="Courier New" w:cs="Courier New"/>
      <w:sz w:val="20"/>
      <w:szCs w:val="20"/>
    </w:rPr>
  </w:style>
  <w:style w:type="paragraph" w:customStyle="1" w:styleId="CharChar1Char">
    <w:name w:val="Char Char1 Char"/>
    <w:basedOn w:val="Normal"/>
    <w:pPr>
      <w:spacing w:after="160" w:line="240" w:lineRule="exact"/>
    </w:pPr>
    <w:rPr>
      <w:rFonts w:ascii="Verdana" w:eastAsia="MS Mincho" w:hAnsi="Verdana"/>
      <w:szCs w:val="20"/>
      <w:lang w:val="en-US" w:eastAsia="en-US"/>
    </w:rPr>
  </w:style>
  <w:style w:type="paragraph" w:customStyle="1" w:styleId="CharChar2Char">
    <w:name w:val="Char Char2 Char"/>
    <w:basedOn w:val="Normal"/>
    <w:pPr>
      <w:spacing w:after="160" w:line="240" w:lineRule="exact"/>
    </w:pPr>
    <w:rPr>
      <w:rFonts w:ascii="Verdana" w:hAnsi="Verdana"/>
      <w:szCs w:val="20"/>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Cs w:val="20"/>
      <w:lang w:val="en-US" w:eastAsia="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Pr>
      <w:rFonts w:ascii="Univers" w:hAnsi="Univers" w:cs="Univers"/>
      <w:sz w:val="24"/>
    </w:rPr>
  </w:style>
  <w:style w:type="paragraph" w:customStyle="1" w:styleId="Char2CharCharCharCharChar1Char">
    <w:name w:val="Char2 Char Char Char Char Char1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Pr>
      <w:rFonts w:ascii="Times New Roman" w:hAnsi="Times New Roman"/>
      <w:spacing w:val="0"/>
      <w:sz w:val="24"/>
      <w:lang w:val="en-US"/>
    </w:rPr>
  </w:style>
  <w:style w:type="paragraph" w:customStyle="1" w:styleId="leafNormal">
    <w:name w:val="leafNormal"/>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pPr>
      <w:ind w:left="708"/>
      <w:jc w:val="both"/>
    </w:pPr>
    <w:rPr>
      <w:rFonts w:ascii="Times New Roman" w:hAnsi="Times New Roman"/>
      <w:sz w:val="26"/>
      <w:szCs w:val="20"/>
    </w:rPr>
  </w:style>
  <w:style w:type="character" w:customStyle="1" w:styleId="apple-converted-space">
    <w:name w:val="apple-converted-space"/>
  </w:style>
  <w:style w:type="paragraph" w:customStyle="1" w:styleId="p3">
    <w:name w:val="p3"/>
    <w:basedOn w:val="Normal"/>
    <w:pPr>
      <w:tabs>
        <w:tab w:val="left" w:pos="720"/>
      </w:tabs>
      <w:spacing w:line="240" w:lineRule="atLeast"/>
      <w:jc w:val="both"/>
    </w:pPr>
    <w:rPr>
      <w:rFonts w:ascii="Times" w:hAnsi="Times" w:cs="Times New Roman"/>
      <w:sz w:val="24"/>
      <w:szCs w:val="20"/>
      <w:lang w:eastAsia="en-US"/>
    </w:rPr>
  </w:style>
  <w:style w:type="character" w:styleId="TtulodoLivro">
    <w:name w:val="Book Title"/>
    <w:uiPriority w:val="33"/>
    <w:qFormat/>
    <w:rPr>
      <w:rFonts w:ascii="Tahoma" w:hAnsi="Tahoma" w:cs="Tahoma"/>
      <w:b/>
      <w:sz w:val="22"/>
      <w:szCs w:val="22"/>
    </w:rPr>
  </w:style>
  <w:style w:type="character" w:customStyle="1" w:styleId="Nenhum">
    <w:name w:val="Nenhum"/>
  </w:style>
  <w:style w:type="character" w:customStyle="1" w:styleId="Level3Char">
    <w:name w:val="Level 3 Char"/>
    <w:link w:val="Level3"/>
    <w:locked/>
    <w:rPr>
      <w:kern w:val="20"/>
      <w:szCs w:val="28"/>
    </w:rPr>
  </w:style>
  <w:style w:type="character" w:styleId="TextodoEspaoReservado">
    <w:name w:val="Placeholder Text"/>
    <w:basedOn w:val="Fontepargpadro"/>
    <w:uiPriority w:val="99"/>
    <w:semiHidden/>
    <w:rPr>
      <w:color w:val="808080"/>
    </w:rPr>
  </w:style>
  <w:style w:type="paragraph" w:customStyle="1" w:styleId="Nivel1">
    <w:name w:val="Nivel 1"/>
    <w:basedOn w:val="Normal"/>
    <w:qFormat/>
    <w:pPr>
      <w:widowControl w:val="0"/>
      <w:numPr>
        <w:numId w:val="259"/>
      </w:numPr>
      <w:autoSpaceDE w:val="0"/>
      <w:autoSpaceDN w:val="0"/>
      <w:adjustRightInd w:val="0"/>
      <w:spacing w:line="300" w:lineRule="atLeast"/>
    </w:pPr>
    <w:rPr>
      <w:rFonts w:ascii="Times New Roman" w:hAnsi="Times New Roman" w:cs="Times New Roman"/>
      <w:b/>
      <w:bCs/>
      <w:color w:val="000000"/>
    </w:rPr>
  </w:style>
  <w:style w:type="paragraph" w:customStyle="1" w:styleId="Nivel2">
    <w:name w:val="Nivel 2"/>
    <w:basedOn w:val="Normal"/>
    <w:qFormat/>
    <w:pPr>
      <w:widowControl w:val="0"/>
      <w:numPr>
        <w:ilvl w:val="1"/>
        <w:numId w:val="259"/>
      </w:numPr>
      <w:autoSpaceDE w:val="0"/>
      <w:autoSpaceDN w:val="0"/>
      <w:adjustRightInd w:val="0"/>
      <w:spacing w:line="300" w:lineRule="atLeast"/>
    </w:pPr>
    <w:rPr>
      <w:rFonts w:ascii="Times New Roman" w:hAnsi="Times New Roman" w:cs="Times New Roman"/>
      <w:bCs/>
      <w:color w:val="000000"/>
    </w:rPr>
  </w:style>
  <w:style w:type="paragraph" w:customStyle="1" w:styleId="Nivel3">
    <w:name w:val="Nivel 3"/>
    <w:basedOn w:val="Corpodetexto"/>
    <w:qFormat/>
    <w:pPr>
      <w:numPr>
        <w:ilvl w:val="2"/>
        <w:numId w:val="259"/>
      </w:numPr>
      <w:autoSpaceDE/>
      <w:autoSpaceDN/>
      <w:adjustRightInd/>
      <w:spacing w:line="320" w:lineRule="exact"/>
      <w:jc w:val="both"/>
    </w:pPr>
    <w:rPr>
      <w:rFonts w:eastAsia="MS Mincho" w:cs="Times New Roman"/>
      <w:color w:val="000000"/>
      <w:sz w:val="22"/>
      <w:lang w:val="pt-BR"/>
    </w:rPr>
  </w:style>
  <w:style w:type="paragraph" w:customStyle="1" w:styleId="Nivel4">
    <w:name w:val="Nivel 4"/>
    <w:basedOn w:val="Default"/>
    <w:qFormat/>
    <w:pPr>
      <w:widowControl w:val="0"/>
      <w:numPr>
        <w:ilvl w:val="3"/>
        <w:numId w:val="259"/>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259"/>
      </w:numPr>
      <w:spacing w:line="300" w:lineRule="atLeast"/>
      <w:jc w:val="both"/>
    </w:pPr>
    <w:rPr>
      <w:rFonts w:ascii="Times New Roman" w:hAnsi="Times New Roman" w:cs="Times New Roman"/>
      <w:sz w:val="22"/>
      <w:szCs w:val="22"/>
    </w:rPr>
  </w:style>
  <w:style w:type="paragraph" w:customStyle="1" w:styleId="Nivel6">
    <w:name w:val="Nivel 6"/>
    <w:basedOn w:val="Normal"/>
    <w:qFormat/>
    <w:pPr>
      <w:widowControl w:val="0"/>
      <w:numPr>
        <w:ilvl w:val="5"/>
        <w:numId w:val="259"/>
      </w:numPr>
      <w:autoSpaceDE w:val="0"/>
      <w:autoSpaceDN w:val="0"/>
      <w:adjustRightInd w:val="0"/>
      <w:spacing w:line="300" w:lineRule="atLeast"/>
      <w:jc w:val="both"/>
    </w:pPr>
    <w:rPr>
      <w:rFonts w:ascii="Times New Roman" w:eastAsia="TT108t00" w:hAnsi="Times New Roman" w:cs="Times New Roman"/>
    </w:rPr>
  </w:style>
  <w:style w:type="character" w:customStyle="1" w:styleId="PargrafodaListaChar">
    <w:name w:val="Parágrafo da Lista Char"/>
    <w:link w:val="PargrafodaLista"/>
    <w:uiPriority w:val="34"/>
    <w:lock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0797">
      <w:bodyDiv w:val="1"/>
      <w:marLeft w:val="0"/>
      <w:marRight w:val="0"/>
      <w:marTop w:val="0"/>
      <w:marBottom w:val="0"/>
      <w:divBdr>
        <w:top w:val="none" w:sz="0" w:space="0" w:color="auto"/>
        <w:left w:val="none" w:sz="0" w:space="0" w:color="auto"/>
        <w:bottom w:val="none" w:sz="0" w:space="0" w:color="auto"/>
        <w:right w:val="none" w:sz="0" w:space="0" w:color="auto"/>
      </w:divBdr>
    </w:div>
    <w:div w:id="93984257">
      <w:bodyDiv w:val="1"/>
      <w:marLeft w:val="0"/>
      <w:marRight w:val="0"/>
      <w:marTop w:val="0"/>
      <w:marBottom w:val="0"/>
      <w:divBdr>
        <w:top w:val="none" w:sz="0" w:space="0" w:color="auto"/>
        <w:left w:val="none" w:sz="0" w:space="0" w:color="auto"/>
        <w:bottom w:val="none" w:sz="0" w:space="0" w:color="auto"/>
        <w:right w:val="none" w:sz="0" w:space="0" w:color="auto"/>
      </w:divBdr>
    </w:div>
    <w:div w:id="105345671">
      <w:bodyDiv w:val="1"/>
      <w:marLeft w:val="0"/>
      <w:marRight w:val="0"/>
      <w:marTop w:val="0"/>
      <w:marBottom w:val="0"/>
      <w:divBdr>
        <w:top w:val="none" w:sz="0" w:space="0" w:color="auto"/>
        <w:left w:val="none" w:sz="0" w:space="0" w:color="auto"/>
        <w:bottom w:val="none" w:sz="0" w:space="0" w:color="auto"/>
        <w:right w:val="none" w:sz="0" w:space="0" w:color="auto"/>
      </w:divBdr>
    </w:div>
    <w:div w:id="130052271">
      <w:bodyDiv w:val="1"/>
      <w:marLeft w:val="0"/>
      <w:marRight w:val="0"/>
      <w:marTop w:val="0"/>
      <w:marBottom w:val="0"/>
      <w:divBdr>
        <w:top w:val="none" w:sz="0" w:space="0" w:color="auto"/>
        <w:left w:val="none" w:sz="0" w:space="0" w:color="auto"/>
        <w:bottom w:val="none" w:sz="0" w:space="0" w:color="auto"/>
        <w:right w:val="none" w:sz="0" w:space="0" w:color="auto"/>
      </w:divBdr>
    </w:div>
    <w:div w:id="259680417">
      <w:bodyDiv w:val="1"/>
      <w:marLeft w:val="0"/>
      <w:marRight w:val="0"/>
      <w:marTop w:val="0"/>
      <w:marBottom w:val="0"/>
      <w:divBdr>
        <w:top w:val="none" w:sz="0" w:space="0" w:color="auto"/>
        <w:left w:val="none" w:sz="0" w:space="0" w:color="auto"/>
        <w:bottom w:val="none" w:sz="0" w:space="0" w:color="auto"/>
        <w:right w:val="none" w:sz="0" w:space="0" w:color="auto"/>
      </w:divBdr>
    </w:div>
    <w:div w:id="325591058">
      <w:bodyDiv w:val="1"/>
      <w:marLeft w:val="0"/>
      <w:marRight w:val="0"/>
      <w:marTop w:val="0"/>
      <w:marBottom w:val="0"/>
      <w:divBdr>
        <w:top w:val="none" w:sz="0" w:space="0" w:color="auto"/>
        <w:left w:val="none" w:sz="0" w:space="0" w:color="auto"/>
        <w:bottom w:val="none" w:sz="0" w:space="0" w:color="auto"/>
        <w:right w:val="none" w:sz="0" w:space="0" w:color="auto"/>
      </w:divBdr>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39570561">
      <w:bodyDiv w:val="1"/>
      <w:marLeft w:val="0"/>
      <w:marRight w:val="0"/>
      <w:marTop w:val="0"/>
      <w:marBottom w:val="0"/>
      <w:divBdr>
        <w:top w:val="none" w:sz="0" w:space="0" w:color="auto"/>
        <w:left w:val="none" w:sz="0" w:space="0" w:color="auto"/>
        <w:bottom w:val="none" w:sz="0" w:space="0" w:color="auto"/>
        <w:right w:val="none" w:sz="0" w:space="0" w:color="auto"/>
      </w:divBdr>
    </w:div>
    <w:div w:id="519126354">
      <w:bodyDiv w:val="1"/>
      <w:marLeft w:val="0"/>
      <w:marRight w:val="0"/>
      <w:marTop w:val="0"/>
      <w:marBottom w:val="0"/>
      <w:divBdr>
        <w:top w:val="none" w:sz="0" w:space="0" w:color="auto"/>
        <w:left w:val="none" w:sz="0" w:space="0" w:color="auto"/>
        <w:bottom w:val="none" w:sz="0" w:space="0" w:color="auto"/>
        <w:right w:val="none" w:sz="0" w:space="0" w:color="auto"/>
      </w:divBdr>
    </w:div>
    <w:div w:id="530842991">
      <w:bodyDiv w:val="1"/>
      <w:marLeft w:val="0"/>
      <w:marRight w:val="0"/>
      <w:marTop w:val="0"/>
      <w:marBottom w:val="0"/>
      <w:divBdr>
        <w:top w:val="none" w:sz="0" w:space="0" w:color="auto"/>
        <w:left w:val="none" w:sz="0" w:space="0" w:color="auto"/>
        <w:bottom w:val="none" w:sz="0" w:space="0" w:color="auto"/>
        <w:right w:val="none" w:sz="0" w:space="0" w:color="auto"/>
      </w:divBdr>
    </w:div>
    <w:div w:id="586579116">
      <w:bodyDiv w:val="1"/>
      <w:marLeft w:val="0"/>
      <w:marRight w:val="0"/>
      <w:marTop w:val="0"/>
      <w:marBottom w:val="0"/>
      <w:divBdr>
        <w:top w:val="none" w:sz="0" w:space="0" w:color="auto"/>
        <w:left w:val="none" w:sz="0" w:space="0" w:color="auto"/>
        <w:bottom w:val="none" w:sz="0" w:space="0" w:color="auto"/>
        <w:right w:val="none" w:sz="0" w:space="0" w:color="auto"/>
      </w:divBdr>
    </w:div>
    <w:div w:id="691345109">
      <w:bodyDiv w:val="1"/>
      <w:marLeft w:val="0"/>
      <w:marRight w:val="0"/>
      <w:marTop w:val="0"/>
      <w:marBottom w:val="0"/>
      <w:divBdr>
        <w:top w:val="none" w:sz="0" w:space="0" w:color="auto"/>
        <w:left w:val="none" w:sz="0" w:space="0" w:color="auto"/>
        <w:bottom w:val="none" w:sz="0" w:space="0" w:color="auto"/>
        <w:right w:val="none" w:sz="0" w:space="0" w:color="auto"/>
      </w:divBdr>
    </w:div>
    <w:div w:id="729155015">
      <w:bodyDiv w:val="1"/>
      <w:marLeft w:val="0"/>
      <w:marRight w:val="0"/>
      <w:marTop w:val="0"/>
      <w:marBottom w:val="0"/>
      <w:divBdr>
        <w:top w:val="none" w:sz="0" w:space="0" w:color="auto"/>
        <w:left w:val="none" w:sz="0" w:space="0" w:color="auto"/>
        <w:bottom w:val="none" w:sz="0" w:space="0" w:color="auto"/>
        <w:right w:val="none" w:sz="0" w:space="0" w:color="auto"/>
      </w:divBdr>
    </w:div>
    <w:div w:id="729575534">
      <w:bodyDiv w:val="1"/>
      <w:marLeft w:val="0"/>
      <w:marRight w:val="0"/>
      <w:marTop w:val="0"/>
      <w:marBottom w:val="0"/>
      <w:divBdr>
        <w:top w:val="none" w:sz="0" w:space="0" w:color="auto"/>
        <w:left w:val="none" w:sz="0" w:space="0" w:color="auto"/>
        <w:bottom w:val="none" w:sz="0" w:space="0" w:color="auto"/>
        <w:right w:val="none" w:sz="0" w:space="0" w:color="auto"/>
      </w:divBdr>
    </w:div>
    <w:div w:id="752703248">
      <w:bodyDiv w:val="1"/>
      <w:marLeft w:val="0"/>
      <w:marRight w:val="0"/>
      <w:marTop w:val="0"/>
      <w:marBottom w:val="0"/>
      <w:divBdr>
        <w:top w:val="none" w:sz="0" w:space="0" w:color="auto"/>
        <w:left w:val="none" w:sz="0" w:space="0" w:color="auto"/>
        <w:bottom w:val="none" w:sz="0" w:space="0" w:color="auto"/>
        <w:right w:val="none" w:sz="0" w:space="0" w:color="auto"/>
      </w:divBdr>
    </w:div>
    <w:div w:id="781652098">
      <w:bodyDiv w:val="1"/>
      <w:marLeft w:val="0"/>
      <w:marRight w:val="0"/>
      <w:marTop w:val="0"/>
      <w:marBottom w:val="0"/>
      <w:divBdr>
        <w:top w:val="none" w:sz="0" w:space="0" w:color="auto"/>
        <w:left w:val="none" w:sz="0" w:space="0" w:color="auto"/>
        <w:bottom w:val="none" w:sz="0" w:space="0" w:color="auto"/>
        <w:right w:val="none" w:sz="0" w:space="0" w:color="auto"/>
      </w:divBdr>
    </w:div>
    <w:div w:id="873153877">
      <w:bodyDiv w:val="1"/>
      <w:marLeft w:val="0"/>
      <w:marRight w:val="0"/>
      <w:marTop w:val="0"/>
      <w:marBottom w:val="0"/>
      <w:divBdr>
        <w:top w:val="none" w:sz="0" w:space="0" w:color="auto"/>
        <w:left w:val="none" w:sz="0" w:space="0" w:color="auto"/>
        <w:bottom w:val="none" w:sz="0" w:space="0" w:color="auto"/>
        <w:right w:val="none" w:sz="0" w:space="0" w:color="auto"/>
      </w:divBdr>
    </w:div>
    <w:div w:id="1081830698">
      <w:bodyDiv w:val="1"/>
      <w:marLeft w:val="0"/>
      <w:marRight w:val="0"/>
      <w:marTop w:val="0"/>
      <w:marBottom w:val="0"/>
      <w:divBdr>
        <w:top w:val="none" w:sz="0" w:space="0" w:color="auto"/>
        <w:left w:val="none" w:sz="0" w:space="0" w:color="auto"/>
        <w:bottom w:val="none" w:sz="0" w:space="0" w:color="auto"/>
        <w:right w:val="none" w:sz="0" w:space="0" w:color="auto"/>
      </w:divBdr>
    </w:div>
    <w:div w:id="1118916869">
      <w:bodyDiv w:val="1"/>
      <w:marLeft w:val="0"/>
      <w:marRight w:val="0"/>
      <w:marTop w:val="0"/>
      <w:marBottom w:val="0"/>
      <w:divBdr>
        <w:top w:val="none" w:sz="0" w:space="0" w:color="auto"/>
        <w:left w:val="none" w:sz="0" w:space="0" w:color="auto"/>
        <w:bottom w:val="none" w:sz="0" w:space="0" w:color="auto"/>
        <w:right w:val="none" w:sz="0" w:space="0" w:color="auto"/>
      </w:divBdr>
    </w:div>
    <w:div w:id="1183086040">
      <w:bodyDiv w:val="1"/>
      <w:marLeft w:val="0"/>
      <w:marRight w:val="0"/>
      <w:marTop w:val="0"/>
      <w:marBottom w:val="0"/>
      <w:divBdr>
        <w:top w:val="none" w:sz="0" w:space="0" w:color="auto"/>
        <w:left w:val="none" w:sz="0" w:space="0" w:color="auto"/>
        <w:bottom w:val="none" w:sz="0" w:space="0" w:color="auto"/>
        <w:right w:val="none" w:sz="0" w:space="0" w:color="auto"/>
      </w:divBdr>
    </w:div>
    <w:div w:id="1283346757">
      <w:bodyDiv w:val="1"/>
      <w:marLeft w:val="0"/>
      <w:marRight w:val="0"/>
      <w:marTop w:val="0"/>
      <w:marBottom w:val="0"/>
      <w:divBdr>
        <w:top w:val="none" w:sz="0" w:space="0" w:color="auto"/>
        <w:left w:val="none" w:sz="0" w:space="0" w:color="auto"/>
        <w:bottom w:val="none" w:sz="0" w:space="0" w:color="auto"/>
        <w:right w:val="none" w:sz="0" w:space="0" w:color="auto"/>
      </w:divBdr>
    </w:div>
    <w:div w:id="1340307612">
      <w:bodyDiv w:val="1"/>
      <w:marLeft w:val="0"/>
      <w:marRight w:val="0"/>
      <w:marTop w:val="0"/>
      <w:marBottom w:val="0"/>
      <w:divBdr>
        <w:top w:val="none" w:sz="0" w:space="0" w:color="auto"/>
        <w:left w:val="none" w:sz="0" w:space="0" w:color="auto"/>
        <w:bottom w:val="none" w:sz="0" w:space="0" w:color="auto"/>
        <w:right w:val="none" w:sz="0" w:space="0" w:color="auto"/>
      </w:divBdr>
    </w:div>
    <w:div w:id="1352798883">
      <w:bodyDiv w:val="1"/>
      <w:marLeft w:val="0"/>
      <w:marRight w:val="0"/>
      <w:marTop w:val="0"/>
      <w:marBottom w:val="0"/>
      <w:divBdr>
        <w:top w:val="none" w:sz="0" w:space="0" w:color="auto"/>
        <w:left w:val="none" w:sz="0" w:space="0" w:color="auto"/>
        <w:bottom w:val="none" w:sz="0" w:space="0" w:color="auto"/>
        <w:right w:val="none" w:sz="0" w:space="0" w:color="auto"/>
      </w:divBdr>
    </w:div>
    <w:div w:id="1356077461">
      <w:bodyDiv w:val="1"/>
      <w:marLeft w:val="0"/>
      <w:marRight w:val="0"/>
      <w:marTop w:val="0"/>
      <w:marBottom w:val="0"/>
      <w:divBdr>
        <w:top w:val="none" w:sz="0" w:space="0" w:color="auto"/>
        <w:left w:val="none" w:sz="0" w:space="0" w:color="auto"/>
        <w:bottom w:val="none" w:sz="0" w:space="0" w:color="auto"/>
        <w:right w:val="none" w:sz="0" w:space="0" w:color="auto"/>
      </w:divBdr>
    </w:div>
    <w:div w:id="1479417888">
      <w:bodyDiv w:val="1"/>
      <w:marLeft w:val="0"/>
      <w:marRight w:val="0"/>
      <w:marTop w:val="0"/>
      <w:marBottom w:val="0"/>
      <w:divBdr>
        <w:top w:val="none" w:sz="0" w:space="0" w:color="auto"/>
        <w:left w:val="none" w:sz="0" w:space="0" w:color="auto"/>
        <w:bottom w:val="none" w:sz="0" w:space="0" w:color="auto"/>
        <w:right w:val="none" w:sz="0" w:space="0" w:color="auto"/>
      </w:divBdr>
    </w:div>
    <w:div w:id="1535386247">
      <w:bodyDiv w:val="1"/>
      <w:marLeft w:val="0"/>
      <w:marRight w:val="0"/>
      <w:marTop w:val="0"/>
      <w:marBottom w:val="0"/>
      <w:divBdr>
        <w:top w:val="none" w:sz="0" w:space="0" w:color="auto"/>
        <w:left w:val="none" w:sz="0" w:space="0" w:color="auto"/>
        <w:bottom w:val="none" w:sz="0" w:space="0" w:color="auto"/>
        <w:right w:val="none" w:sz="0" w:space="0" w:color="auto"/>
      </w:divBdr>
    </w:div>
    <w:div w:id="1536653070">
      <w:bodyDiv w:val="1"/>
      <w:marLeft w:val="0"/>
      <w:marRight w:val="0"/>
      <w:marTop w:val="0"/>
      <w:marBottom w:val="0"/>
      <w:divBdr>
        <w:top w:val="none" w:sz="0" w:space="0" w:color="auto"/>
        <w:left w:val="none" w:sz="0" w:space="0" w:color="auto"/>
        <w:bottom w:val="none" w:sz="0" w:space="0" w:color="auto"/>
        <w:right w:val="none" w:sz="0" w:space="0" w:color="auto"/>
      </w:divBdr>
    </w:div>
    <w:div w:id="1640768547">
      <w:bodyDiv w:val="1"/>
      <w:marLeft w:val="0"/>
      <w:marRight w:val="0"/>
      <w:marTop w:val="0"/>
      <w:marBottom w:val="0"/>
      <w:divBdr>
        <w:top w:val="none" w:sz="0" w:space="0" w:color="auto"/>
        <w:left w:val="none" w:sz="0" w:space="0" w:color="auto"/>
        <w:bottom w:val="none" w:sz="0" w:space="0" w:color="auto"/>
        <w:right w:val="none" w:sz="0" w:space="0" w:color="auto"/>
      </w:divBdr>
    </w:div>
    <w:div w:id="1661230635">
      <w:bodyDiv w:val="1"/>
      <w:marLeft w:val="0"/>
      <w:marRight w:val="0"/>
      <w:marTop w:val="0"/>
      <w:marBottom w:val="0"/>
      <w:divBdr>
        <w:top w:val="none" w:sz="0" w:space="0" w:color="auto"/>
        <w:left w:val="none" w:sz="0" w:space="0" w:color="auto"/>
        <w:bottom w:val="none" w:sz="0" w:space="0" w:color="auto"/>
        <w:right w:val="none" w:sz="0" w:space="0" w:color="auto"/>
      </w:divBdr>
    </w:div>
    <w:div w:id="1710493017">
      <w:bodyDiv w:val="1"/>
      <w:marLeft w:val="0"/>
      <w:marRight w:val="0"/>
      <w:marTop w:val="0"/>
      <w:marBottom w:val="0"/>
      <w:divBdr>
        <w:top w:val="none" w:sz="0" w:space="0" w:color="auto"/>
        <w:left w:val="none" w:sz="0" w:space="0" w:color="auto"/>
        <w:bottom w:val="none" w:sz="0" w:space="0" w:color="auto"/>
        <w:right w:val="none" w:sz="0" w:space="0" w:color="auto"/>
      </w:divBdr>
    </w:div>
    <w:div w:id="1722746842">
      <w:bodyDiv w:val="1"/>
      <w:marLeft w:val="0"/>
      <w:marRight w:val="0"/>
      <w:marTop w:val="0"/>
      <w:marBottom w:val="0"/>
      <w:divBdr>
        <w:top w:val="none" w:sz="0" w:space="0" w:color="auto"/>
        <w:left w:val="none" w:sz="0" w:space="0" w:color="auto"/>
        <w:bottom w:val="none" w:sz="0" w:space="0" w:color="auto"/>
        <w:right w:val="none" w:sz="0" w:space="0" w:color="auto"/>
      </w:divBdr>
    </w:div>
    <w:div w:id="1792164551">
      <w:bodyDiv w:val="1"/>
      <w:marLeft w:val="0"/>
      <w:marRight w:val="0"/>
      <w:marTop w:val="0"/>
      <w:marBottom w:val="0"/>
      <w:divBdr>
        <w:top w:val="none" w:sz="0" w:space="0" w:color="auto"/>
        <w:left w:val="none" w:sz="0" w:space="0" w:color="auto"/>
        <w:bottom w:val="none" w:sz="0" w:space="0" w:color="auto"/>
        <w:right w:val="none" w:sz="0" w:space="0" w:color="auto"/>
      </w:divBdr>
    </w:div>
    <w:div w:id="1802191906">
      <w:bodyDiv w:val="1"/>
      <w:marLeft w:val="0"/>
      <w:marRight w:val="0"/>
      <w:marTop w:val="0"/>
      <w:marBottom w:val="0"/>
      <w:divBdr>
        <w:top w:val="none" w:sz="0" w:space="0" w:color="auto"/>
        <w:left w:val="none" w:sz="0" w:space="0" w:color="auto"/>
        <w:bottom w:val="none" w:sz="0" w:space="0" w:color="auto"/>
        <w:right w:val="none" w:sz="0" w:space="0" w:color="auto"/>
      </w:divBdr>
    </w:div>
    <w:div w:id="1832527605">
      <w:bodyDiv w:val="1"/>
      <w:marLeft w:val="0"/>
      <w:marRight w:val="0"/>
      <w:marTop w:val="0"/>
      <w:marBottom w:val="0"/>
      <w:divBdr>
        <w:top w:val="none" w:sz="0" w:space="0" w:color="auto"/>
        <w:left w:val="none" w:sz="0" w:space="0" w:color="auto"/>
        <w:bottom w:val="none" w:sz="0" w:space="0" w:color="auto"/>
        <w:right w:val="none" w:sz="0" w:space="0" w:color="auto"/>
      </w:divBdr>
    </w:div>
    <w:div w:id="1839151591">
      <w:bodyDiv w:val="1"/>
      <w:marLeft w:val="0"/>
      <w:marRight w:val="0"/>
      <w:marTop w:val="0"/>
      <w:marBottom w:val="0"/>
      <w:divBdr>
        <w:top w:val="none" w:sz="0" w:space="0" w:color="auto"/>
        <w:left w:val="none" w:sz="0" w:space="0" w:color="auto"/>
        <w:bottom w:val="none" w:sz="0" w:space="0" w:color="auto"/>
        <w:right w:val="none" w:sz="0" w:space="0" w:color="auto"/>
      </w:divBdr>
    </w:div>
    <w:div w:id="1894848826">
      <w:bodyDiv w:val="1"/>
      <w:marLeft w:val="0"/>
      <w:marRight w:val="0"/>
      <w:marTop w:val="0"/>
      <w:marBottom w:val="0"/>
      <w:divBdr>
        <w:top w:val="none" w:sz="0" w:space="0" w:color="auto"/>
        <w:left w:val="none" w:sz="0" w:space="0" w:color="auto"/>
        <w:bottom w:val="none" w:sz="0" w:space="0" w:color="auto"/>
        <w:right w:val="none" w:sz="0" w:space="0" w:color="auto"/>
      </w:divBdr>
    </w:div>
    <w:div w:id="1903175458">
      <w:bodyDiv w:val="1"/>
      <w:marLeft w:val="0"/>
      <w:marRight w:val="0"/>
      <w:marTop w:val="0"/>
      <w:marBottom w:val="0"/>
      <w:divBdr>
        <w:top w:val="none" w:sz="0" w:space="0" w:color="auto"/>
        <w:left w:val="none" w:sz="0" w:space="0" w:color="auto"/>
        <w:bottom w:val="none" w:sz="0" w:space="0" w:color="auto"/>
        <w:right w:val="none" w:sz="0" w:space="0" w:color="auto"/>
      </w:divBdr>
    </w:div>
    <w:div w:id="20905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www.bmfbovespa.com.br/pt_br/servicos/market-data/consultas/mercado-de-derivativos/precos-referenciais/taxas-referenciais-bm-fbovespa/" TargetMode="External"/><Relationship Id="rId26" Type="http://schemas.openxmlformats.org/officeDocument/2006/relationships/hyperlink" Target="mailto:thiago.oliveira@contourglobal.com" TargetMode="External"/><Relationship Id="rId3" Type="http://schemas.openxmlformats.org/officeDocument/2006/relationships/customXml" Target="../customXml/item3.xml"/><Relationship Id="rId21" Type="http://schemas.openxmlformats.org/officeDocument/2006/relationships/hyperlink" Target="mailto:priscilla.cagelli@contourglobal.com"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mailto:priscilla.cagelli@contourglobal.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mailto:ludovic.pasqualinotto@contourgloba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mailto:ludovic.pasqualinotto@contourglobal.com"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hyperlink" Target="mailto:juridico@contourglobal.com" TargetMode="External"/><Relationship Id="rId28" Type="http://schemas.openxmlformats.org/officeDocument/2006/relationships/hyperlink" Target="mailto:antonio.amaro@oliveiratrust.com.br/ger2.agente@oliveira" TargetMode="External"/><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www.bmfbovespa.com.br/pt_br/servicos/market-data/consultas/mercado-de-derivativos/precos-referenciais/taxas-referenciais-bm-fbovespa/"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hyperlink" Target="mailto:thiago.oliveira@contourglobal.com" TargetMode="External"/><Relationship Id="rId27" Type="http://schemas.openxmlformats.org/officeDocument/2006/relationships/hyperlink" Target="mailto:juridico@contourglobal.com"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 J U R _ S P ! 3 0 1 6 5 0 9 3 . 4 < / d o c u m e n t i d >  
     < s e n d e r i d > G A C < / s e n d e r i d >  
     < s e n d e r e m a i l > R M A R T I N S @ P N . C O M . B R < / s e n d e r e m a i l >  
     < l a s t m o d i f i e d > 2 0 1 8 - 0 6 - 2 1 T 0 0 : 3 5 : 0 0 . 0 0 0 0 0 0 0 - 0 3 : 0 0 < / l a s t m o d i f i e d > 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7554-7A82-4AE6-9DEB-D158350B285F}">
  <ds:schemaRefs>
    <ds:schemaRef ds:uri="http://www.imanage.com/work/xmlschema"/>
  </ds:schemaRefs>
</ds:datastoreItem>
</file>

<file path=customXml/itemProps2.xml><?xml version="1.0" encoding="utf-8"?>
<ds:datastoreItem xmlns:ds="http://schemas.openxmlformats.org/officeDocument/2006/customXml" ds:itemID="{811AA18F-3FC1-4FBC-A428-4110272C37F1}">
  <ds:schemaRefs>
    <ds:schemaRef ds:uri="http://schemas.openxmlformats.org/officeDocument/2006/bibliography"/>
  </ds:schemaRefs>
</ds:datastoreItem>
</file>

<file path=customXml/itemProps3.xml><?xml version="1.0" encoding="utf-8"?>
<ds:datastoreItem xmlns:ds="http://schemas.openxmlformats.org/officeDocument/2006/customXml" ds:itemID="{F49EB255-305A-4B3D-BE52-63D252E6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134</Pages>
  <Words>43418</Words>
  <Characters>252816</Characters>
  <Application>Microsoft Office Word</Application>
  <DocSecurity>0</DocSecurity>
  <Lines>4144</Lines>
  <Paragraphs>937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295297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Arthur Rojo Elean</cp:lastModifiedBy>
  <cp:revision>5</cp:revision>
  <cp:lastPrinted>2018-08-01T17:23:00Z</cp:lastPrinted>
  <dcterms:created xsi:type="dcterms:W3CDTF">2018-08-01T05:03:00Z</dcterms:created>
  <dcterms:modified xsi:type="dcterms:W3CDTF">2018-08-01T17:49:00Z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kristian.orberg@xpi.com.br</vt:lpwstr>
  </property>
  <property fmtid="{D5CDD505-2E9C-101B-9397-08002B2CF9AE}" pid="6" name="MSIP_Label_32b1616c-cf2a-4802-8439-7c44bba93692_SetDate">
    <vt:lpwstr>2017-11-16T16:02:16.7509550-02:00</vt:lpwstr>
  </property>
  <property fmtid="{D5CDD505-2E9C-101B-9397-08002B2CF9AE}" pid="7" name="MSIP_Label_32b1616c-cf2a-4802-8439-7c44bba93692_Name">
    <vt:lpwstr>Public</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Sensitivity">
    <vt:lpwstr>Public</vt:lpwstr>
  </property>
  <property fmtid="{D5CDD505-2E9C-101B-9397-08002B2CF9AE}" pid="11" name="iManageFooter">
    <vt:lpwstr>_x000d_SP - 23046601v2 </vt:lpwstr>
  </property>
</Properties>
</file>