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9C8" w:rsidRDefault="00DE19C8">
      <w:pPr>
        <w:spacing w:line="318" w:lineRule="exact"/>
        <w:contextualSpacing/>
        <w:rPr>
          <w:rFonts w:ascii="Verdana" w:hAnsi="Verdana"/>
          <w:sz w:val="20"/>
        </w:rPr>
      </w:pPr>
    </w:p>
    <w:p w:rsidR="00DE19C8" w:rsidRDefault="00DE19C8">
      <w:pPr>
        <w:pBdr>
          <w:top w:val="double" w:sz="4" w:space="1" w:color="auto"/>
        </w:pBdr>
        <w:spacing w:line="318" w:lineRule="exact"/>
        <w:contextualSpacing/>
        <w:rPr>
          <w:rFonts w:ascii="Verdana" w:hAnsi="Verdana"/>
          <w:sz w:val="20"/>
        </w:rPr>
      </w:pPr>
    </w:p>
    <w:p w:rsidR="00DE19C8" w:rsidRDefault="00626B63">
      <w:pPr>
        <w:spacing w:line="318" w:lineRule="exact"/>
        <w:contextualSpacing/>
        <w:rPr>
          <w:rFonts w:ascii="Verdana" w:hAnsi="Verdana"/>
          <w:b/>
          <w:sz w:val="20"/>
        </w:rPr>
      </w:pPr>
      <w:r>
        <w:rPr>
          <w:rFonts w:ascii="Verdana" w:hAnsi="Verdana"/>
          <w:b/>
          <w:sz w:val="20"/>
        </w:rPr>
        <w:t xml:space="preserve">INSTRUMENTO PARTICULAR DE ESCRITURA DA 6ª (SEXTA) EMISSÃO DE DEBÊNTURES SIMPLES, NÃO CONVERSÍVEIS EM AÇÕES, DA ESPÉCIE QUIROGRAFÁRIA, EM ATÉ DUAS SÉRIES, PARA DISTRIBUIÇÃO PÚBLICA, </w:t>
      </w:r>
      <w:r>
        <w:rPr>
          <w:rFonts w:ascii="Verdana" w:hAnsi="Verdana"/>
          <w:b/>
          <w:sz w:val="20"/>
        </w:rPr>
        <w:t>COM ESFORÇOS RESTRITOS DE DISTRIBUIÇÃO, DA MINERVA S.A.</w:t>
      </w:r>
      <w:bookmarkStart w:id="0" w:name="_GoBack"/>
      <w:bookmarkEnd w:id="0"/>
    </w:p>
    <w:p w:rsidR="00DE19C8" w:rsidRDefault="00DE19C8">
      <w:pPr>
        <w:spacing w:line="318" w:lineRule="exact"/>
        <w:contextualSpacing/>
        <w:jc w:val="center"/>
        <w:rPr>
          <w:rFonts w:ascii="Verdana" w:hAnsi="Verdana"/>
          <w:sz w:val="20"/>
        </w:rPr>
      </w:pPr>
    </w:p>
    <w:p w:rsidR="00DE19C8" w:rsidRDefault="00DE19C8">
      <w:pPr>
        <w:spacing w:line="318" w:lineRule="exact"/>
        <w:contextualSpacing/>
        <w:jc w:val="center"/>
        <w:rPr>
          <w:rFonts w:ascii="Verdana" w:hAnsi="Verdana"/>
          <w:sz w:val="20"/>
        </w:rPr>
      </w:pPr>
    </w:p>
    <w:p w:rsidR="00DE19C8" w:rsidRDefault="00DE19C8">
      <w:pPr>
        <w:spacing w:line="318" w:lineRule="exact"/>
        <w:contextualSpacing/>
        <w:jc w:val="center"/>
        <w:rPr>
          <w:rFonts w:ascii="Verdana" w:hAnsi="Verdana"/>
          <w:sz w:val="20"/>
        </w:rPr>
      </w:pPr>
    </w:p>
    <w:p w:rsidR="00DE19C8" w:rsidRDefault="00626B63">
      <w:pPr>
        <w:spacing w:line="318" w:lineRule="exact"/>
        <w:contextualSpacing/>
        <w:jc w:val="center"/>
        <w:rPr>
          <w:rFonts w:ascii="Verdana" w:hAnsi="Verdana"/>
          <w:sz w:val="20"/>
        </w:rPr>
      </w:pPr>
      <w:r>
        <w:rPr>
          <w:rFonts w:ascii="Verdana" w:hAnsi="Verdana"/>
          <w:sz w:val="20"/>
        </w:rPr>
        <w:t>entre</w:t>
      </w:r>
    </w:p>
    <w:p w:rsidR="00DE19C8" w:rsidRDefault="00DE19C8">
      <w:pPr>
        <w:spacing w:line="318" w:lineRule="exact"/>
        <w:contextualSpacing/>
        <w:jc w:val="center"/>
        <w:rPr>
          <w:rFonts w:ascii="Verdana" w:hAnsi="Verdana"/>
          <w:sz w:val="20"/>
        </w:rPr>
      </w:pPr>
    </w:p>
    <w:p w:rsidR="00DE19C8" w:rsidRDefault="00DE19C8">
      <w:pPr>
        <w:spacing w:line="318" w:lineRule="exact"/>
        <w:contextualSpacing/>
        <w:jc w:val="center"/>
        <w:rPr>
          <w:rFonts w:ascii="Verdana" w:hAnsi="Verdana"/>
          <w:sz w:val="20"/>
        </w:rPr>
      </w:pPr>
    </w:p>
    <w:p w:rsidR="00DE19C8" w:rsidRDefault="00DE19C8">
      <w:pPr>
        <w:spacing w:line="318" w:lineRule="exact"/>
        <w:contextualSpacing/>
        <w:jc w:val="center"/>
        <w:rPr>
          <w:rFonts w:ascii="Verdana" w:hAnsi="Verdana"/>
          <w:sz w:val="20"/>
        </w:rPr>
      </w:pPr>
    </w:p>
    <w:p w:rsidR="00DE19C8" w:rsidRDefault="00DE19C8">
      <w:pPr>
        <w:spacing w:line="318" w:lineRule="exact"/>
        <w:contextualSpacing/>
        <w:jc w:val="center"/>
        <w:rPr>
          <w:rFonts w:ascii="Verdana" w:hAnsi="Verdana"/>
          <w:sz w:val="20"/>
        </w:rPr>
      </w:pPr>
    </w:p>
    <w:p w:rsidR="00DE19C8" w:rsidRDefault="00626B63">
      <w:pPr>
        <w:spacing w:line="318" w:lineRule="exact"/>
        <w:contextualSpacing/>
        <w:jc w:val="center"/>
        <w:rPr>
          <w:rFonts w:ascii="Verdana" w:hAnsi="Verdana" w:cs="Tahoma"/>
          <w:b/>
          <w:sz w:val="20"/>
        </w:rPr>
      </w:pPr>
      <w:r>
        <w:rPr>
          <w:rFonts w:ascii="Verdana" w:hAnsi="Verdana" w:cs="Tahoma"/>
          <w:b/>
          <w:sz w:val="20"/>
        </w:rPr>
        <w:t>MINERVA S.A.</w:t>
      </w:r>
    </w:p>
    <w:p w:rsidR="00DE19C8" w:rsidRDefault="00626B63">
      <w:pPr>
        <w:spacing w:line="318" w:lineRule="exact"/>
        <w:contextualSpacing/>
        <w:jc w:val="center"/>
        <w:rPr>
          <w:rFonts w:ascii="Verdana" w:hAnsi="Verdana"/>
          <w:i/>
          <w:sz w:val="20"/>
        </w:rPr>
      </w:pPr>
      <w:r>
        <w:rPr>
          <w:rFonts w:ascii="Verdana" w:hAnsi="Verdana"/>
          <w:i/>
          <w:sz w:val="20"/>
        </w:rPr>
        <w:t>como Emissora</w:t>
      </w:r>
    </w:p>
    <w:p w:rsidR="00DE19C8" w:rsidRDefault="00DE19C8">
      <w:pPr>
        <w:spacing w:line="318" w:lineRule="exact"/>
        <w:contextualSpacing/>
        <w:jc w:val="center"/>
        <w:rPr>
          <w:rFonts w:ascii="Verdana" w:hAnsi="Verdana"/>
          <w:sz w:val="20"/>
        </w:rPr>
      </w:pPr>
    </w:p>
    <w:p w:rsidR="00DE19C8" w:rsidRDefault="00DE19C8">
      <w:pPr>
        <w:spacing w:line="318" w:lineRule="exact"/>
        <w:contextualSpacing/>
        <w:jc w:val="center"/>
        <w:rPr>
          <w:rFonts w:ascii="Verdana" w:hAnsi="Verdana"/>
          <w:sz w:val="20"/>
        </w:rPr>
      </w:pPr>
    </w:p>
    <w:p w:rsidR="00DE19C8" w:rsidRDefault="00626B63">
      <w:pPr>
        <w:spacing w:line="318" w:lineRule="exact"/>
        <w:contextualSpacing/>
        <w:jc w:val="center"/>
        <w:rPr>
          <w:rFonts w:ascii="Verdana" w:hAnsi="Verdana"/>
          <w:sz w:val="20"/>
        </w:rPr>
      </w:pPr>
      <w:r>
        <w:rPr>
          <w:rFonts w:ascii="Verdana" w:hAnsi="Verdana"/>
          <w:sz w:val="20"/>
        </w:rPr>
        <w:t>e</w:t>
      </w:r>
    </w:p>
    <w:p w:rsidR="00DE19C8" w:rsidRDefault="00DE19C8">
      <w:pPr>
        <w:spacing w:line="318" w:lineRule="exact"/>
        <w:contextualSpacing/>
        <w:jc w:val="center"/>
        <w:rPr>
          <w:rFonts w:ascii="Verdana" w:hAnsi="Verdana"/>
          <w:sz w:val="20"/>
        </w:rPr>
      </w:pPr>
    </w:p>
    <w:p w:rsidR="00DE19C8" w:rsidRDefault="00DE19C8">
      <w:pPr>
        <w:spacing w:line="318" w:lineRule="exact"/>
        <w:contextualSpacing/>
        <w:jc w:val="center"/>
        <w:rPr>
          <w:rFonts w:ascii="Verdana" w:hAnsi="Verdana"/>
          <w:sz w:val="20"/>
        </w:rPr>
      </w:pPr>
    </w:p>
    <w:p w:rsidR="00DE19C8" w:rsidRDefault="00626B63">
      <w:pPr>
        <w:spacing w:line="318" w:lineRule="exact"/>
        <w:contextualSpacing/>
        <w:jc w:val="center"/>
        <w:rPr>
          <w:rFonts w:ascii="Verdana" w:hAnsi="Verdana" w:cs="Tahoma"/>
          <w:b/>
          <w:bCs/>
          <w:sz w:val="20"/>
        </w:rPr>
      </w:pPr>
      <w:r>
        <w:rPr>
          <w:rFonts w:ascii="Verdana" w:hAnsi="Verdana" w:cs="Arial"/>
          <w:b/>
          <w:bCs/>
          <w:caps/>
          <w:sz w:val="20"/>
          <w:lang w:eastAsia="x-none"/>
        </w:rPr>
        <w:t>OLIVEIRA TRUST DISTRIBUIDORA DE TÍTULOS E VALORES MOBILIÁRIOS S.A.</w:t>
      </w:r>
      <w:r>
        <w:rPr>
          <w:rFonts w:ascii="Verdana" w:hAnsi="Verdana" w:cs="Tahoma"/>
          <w:b/>
          <w:bCs/>
          <w:sz w:val="20"/>
          <w:highlight w:val="yellow"/>
        </w:rPr>
        <w:t xml:space="preserve"> </w:t>
      </w:r>
    </w:p>
    <w:p w:rsidR="00DE19C8" w:rsidRDefault="00626B63">
      <w:pPr>
        <w:spacing w:line="318" w:lineRule="exact"/>
        <w:contextualSpacing/>
        <w:jc w:val="center"/>
        <w:rPr>
          <w:rFonts w:ascii="Verdana" w:hAnsi="Verdana"/>
          <w:i/>
          <w:sz w:val="20"/>
        </w:rPr>
      </w:pPr>
      <w:r>
        <w:rPr>
          <w:rFonts w:ascii="Verdana" w:hAnsi="Verdana"/>
          <w:i/>
          <w:sz w:val="20"/>
        </w:rPr>
        <w:t>como Agente Fiduciário, representando a comunhão de Debenturistas</w:t>
      </w:r>
    </w:p>
    <w:p w:rsidR="00DE19C8" w:rsidRDefault="00DE19C8">
      <w:pPr>
        <w:spacing w:line="318" w:lineRule="exact"/>
        <w:contextualSpacing/>
        <w:jc w:val="center"/>
        <w:rPr>
          <w:rFonts w:ascii="Verdana" w:hAnsi="Verdana"/>
          <w:i/>
          <w:sz w:val="20"/>
        </w:rPr>
      </w:pPr>
    </w:p>
    <w:p w:rsidR="00DE19C8" w:rsidRDefault="00DE19C8">
      <w:pPr>
        <w:spacing w:line="318" w:lineRule="exact"/>
        <w:contextualSpacing/>
        <w:jc w:val="center"/>
        <w:rPr>
          <w:rFonts w:ascii="Verdana" w:hAnsi="Verdana"/>
          <w:sz w:val="20"/>
        </w:rPr>
      </w:pPr>
    </w:p>
    <w:p w:rsidR="00DE19C8" w:rsidRDefault="00DE19C8">
      <w:pPr>
        <w:spacing w:line="318" w:lineRule="exact"/>
        <w:contextualSpacing/>
        <w:jc w:val="center"/>
        <w:rPr>
          <w:rFonts w:ascii="Verdana" w:hAnsi="Verdana"/>
          <w:sz w:val="20"/>
        </w:rPr>
      </w:pPr>
    </w:p>
    <w:p w:rsidR="00DE19C8" w:rsidRDefault="00DE19C8">
      <w:pPr>
        <w:spacing w:line="318" w:lineRule="exact"/>
        <w:contextualSpacing/>
        <w:jc w:val="center"/>
        <w:rPr>
          <w:rFonts w:ascii="Verdana" w:hAnsi="Verdana"/>
          <w:sz w:val="20"/>
        </w:rPr>
      </w:pPr>
    </w:p>
    <w:p w:rsidR="00DE19C8" w:rsidRDefault="00DE19C8">
      <w:pPr>
        <w:spacing w:line="318" w:lineRule="exact"/>
        <w:contextualSpacing/>
        <w:jc w:val="center"/>
        <w:rPr>
          <w:rFonts w:ascii="Verdana" w:hAnsi="Verdana"/>
          <w:sz w:val="20"/>
        </w:rPr>
      </w:pPr>
    </w:p>
    <w:p w:rsidR="00DE19C8" w:rsidRDefault="00626B63">
      <w:pPr>
        <w:spacing w:line="318" w:lineRule="exact"/>
        <w:contextualSpacing/>
        <w:jc w:val="center"/>
        <w:rPr>
          <w:rFonts w:ascii="Verdana" w:hAnsi="Verdana"/>
          <w:sz w:val="20"/>
        </w:rPr>
      </w:pPr>
      <w:r>
        <w:rPr>
          <w:rFonts w:ascii="Verdana" w:hAnsi="Verdana"/>
          <w:sz w:val="20"/>
        </w:rPr>
        <w:t>___________________</w:t>
      </w:r>
    </w:p>
    <w:p w:rsidR="00DE19C8" w:rsidRDefault="00DE19C8">
      <w:pPr>
        <w:spacing w:line="318" w:lineRule="exact"/>
        <w:contextualSpacing/>
        <w:jc w:val="center"/>
        <w:rPr>
          <w:rFonts w:ascii="Verdana" w:hAnsi="Verdana"/>
          <w:sz w:val="20"/>
        </w:rPr>
      </w:pPr>
    </w:p>
    <w:p w:rsidR="00DE19C8" w:rsidRDefault="00626B63">
      <w:pPr>
        <w:spacing w:line="318" w:lineRule="exact"/>
        <w:contextualSpacing/>
        <w:jc w:val="center"/>
        <w:rPr>
          <w:rFonts w:ascii="Verdana" w:hAnsi="Verdana"/>
          <w:sz w:val="20"/>
        </w:rPr>
      </w:pPr>
      <w:r>
        <w:rPr>
          <w:rFonts w:ascii="Verdana" w:hAnsi="Verdana"/>
          <w:sz w:val="20"/>
        </w:rPr>
        <w:t>Datado de</w:t>
      </w:r>
    </w:p>
    <w:p w:rsidR="00DE19C8" w:rsidRDefault="00626B63">
      <w:pPr>
        <w:spacing w:line="318" w:lineRule="exact"/>
        <w:contextualSpacing/>
        <w:jc w:val="center"/>
        <w:rPr>
          <w:rFonts w:ascii="Verdana" w:hAnsi="Verdana"/>
          <w:sz w:val="20"/>
        </w:rPr>
      </w:pPr>
      <w:r>
        <w:rPr>
          <w:rFonts w:ascii="Verdana" w:hAnsi="Verdana" w:cs="Tahoma"/>
          <w:bCs/>
          <w:sz w:val="20"/>
        </w:rPr>
        <w:t>[</w:t>
      </w:r>
      <w:r>
        <w:rPr>
          <w:rFonts w:ascii="Verdana" w:hAnsi="Verdana" w:cs="Tahoma"/>
          <w:bCs/>
          <w:sz w:val="20"/>
        </w:rPr>
        <w:sym w:font="Symbol" w:char="F0B7"/>
      </w:r>
      <w:r>
        <w:rPr>
          <w:rFonts w:ascii="Verdana" w:hAnsi="Verdana" w:cs="Tahoma"/>
          <w:bCs/>
          <w:sz w:val="20"/>
        </w:rPr>
        <w:t xml:space="preserve">] de abril </w:t>
      </w:r>
      <w:r>
        <w:rPr>
          <w:rFonts w:ascii="Verdana" w:hAnsi="Verdana"/>
          <w:sz w:val="20"/>
        </w:rPr>
        <w:t>de 2019</w:t>
      </w:r>
    </w:p>
    <w:p w:rsidR="00DE19C8" w:rsidRDefault="00626B63">
      <w:pPr>
        <w:spacing w:line="318" w:lineRule="exact"/>
        <w:contextualSpacing/>
        <w:jc w:val="center"/>
        <w:rPr>
          <w:rFonts w:ascii="Verdana" w:hAnsi="Verdana"/>
          <w:sz w:val="20"/>
        </w:rPr>
      </w:pPr>
      <w:r>
        <w:rPr>
          <w:rFonts w:ascii="Verdana" w:hAnsi="Verdana"/>
          <w:sz w:val="20"/>
        </w:rPr>
        <w:t>___________________</w:t>
      </w:r>
    </w:p>
    <w:p w:rsidR="00DE19C8" w:rsidRDefault="00DE19C8">
      <w:pPr>
        <w:spacing w:line="318" w:lineRule="exact"/>
        <w:contextualSpacing/>
        <w:jc w:val="center"/>
        <w:rPr>
          <w:rFonts w:ascii="Verdana" w:hAnsi="Verdana"/>
          <w:sz w:val="20"/>
        </w:rPr>
      </w:pPr>
    </w:p>
    <w:p w:rsidR="00DE19C8" w:rsidRDefault="00DE19C8">
      <w:pPr>
        <w:pBdr>
          <w:bottom w:val="double" w:sz="4" w:space="1" w:color="auto"/>
        </w:pBdr>
        <w:spacing w:line="318" w:lineRule="exact"/>
        <w:contextualSpacing/>
        <w:jc w:val="center"/>
        <w:rPr>
          <w:rFonts w:ascii="Verdana" w:hAnsi="Verdana"/>
          <w:sz w:val="20"/>
        </w:rPr>
      </w:pPr>
    </w:p>
    <w:p w:rsidR="00DE19C8" w:rsidRDefault="00626B63">
      <w:pPr>
        <w:spacing w:line="318" w:lineRule="exact"/>
        <w:contextualSpacing/>
        <w:jc w:val="center"/>
        <w:rPr>
          <w:rFonts w:ascii="Verdana" w:hAnsi="Verdana"/>
          <w:sz w:val="20"/>
        </w:rPr>
      </w:pPr>
      <w:bookmarkStart w:id="1" w:name="_DV_M51"/>
      <w:bookmarkStart w:id="2" w:name="_DV_M243"/>
      <w:bookmarkStart w:id="3" w:name="_DV_M9"/>
      <w:bookmarkStart w:id="4" w:name="_DV_M10"/>
      <w:bookmarkStart w:id="5" w:name="_DV_M11"/>
      <w:bookmarkStart w:id="6" w:name="_DV_M13"/>
      <w:bookmarkStart w:id="7" w:name="_DV_M14"/>
      <w:bookmarkStart w:id="8" w:name="_DV_M15"/>
      <w:bookmarkStart w:id="9" w:name="_DV_M24"/>
      <w:bookmarkStart w:id="10" w:name="_DV_M25"/>
      <w:bookmarkStart w:id="11" w:name="_DV_M22"/>
      <w:bookmarkStart w:id="12" w:name="_DV_M33"/>
      <w:bookmarkStart w:id="13" w:name="_DV_M37"/>
      <w:bookmarkStart w:id="14" w:name="_DV_M36"/>
      <w:bookmarkStart w:id="15" w:name="_DV_M39"/>
      <w:bookmarkStart w:id="16" w:name="_DV_M40"/>
      <w:bookmarkStart w:id="17" w:name="_DV_M41"/>
      <w:bookmarkStart w:id="18" w:name="_DV_M44"/>
      <w:bookmarkStart w:id="19" w:name="_DV_M46"/>
      <w:bookmarkStart w:id="20" w:name="_DV_M47"/>
      <w:bookmarkStart w:id="21" w:name="_DV_M48"/>
      <w:bookmarkStart w:id="22" w:name="_DV_M49"/>
      <w:bookmarkStart w:id="23" w:name="_DV_M50"/>
      <w:bookmarkStart w:id="24" w:name="_DV_M52"/>
      <w:bookmarkStart w:id="25" w:name="_DV_M53"/>
      <w:bookmarkStart w:id="26" w:name="_DV_M61"/>
      <w:bookmarkStart w:id="27" w:name="_DV_M67"/>
      <w:bookmarkStart w:id="28" w:name="_DV_M79"/>
      <w:bookmarkStart w:id="29" w:name="_DV_M80"/>
      <w:bookmarkStart w:id="30" w:name="_DV_M82"/>
      <w:bookmarkStart w:id="31" w:name="_DV_M83"/>
      <w:bookmarkStart w:id="32" w:name="_DV_M84"/>
      <w:bookmarkStart w:id="33" w:name="_DV_M85"/>
      <w:bookmarkStart w:id="34" w:name="_DV_M92"/>
      <w:bookmarkStart w:id="35" w:name="_DV_M93"/>
      <w:bookmarkStart w:id="36" w:name="_DV_M98"/>
      <w:bookmarkStart w:id="37" w:name="_DV_M216"/>
      <w:bookmarkStart w:id="38" w:name="_DV_M224"/>
      <w:bookmarkStart w:id="39" w:name="_DV_M225"/>
      <w:bookmarkStart w:id="40" w:name="_DV_M194"/>
      <w:bookmarkStart w:id="41" w:name="_DV_M204"/>
      <w:bookmarkStart w:id="42" w:name="_DV_M205"/>
      <w:bookmarkStart w:id="43" w:name="_DV_M206"/>
      <w:bookmarkStart w:id="44" w:name="_DV_M207"/>
      <w:bookmarkStart w:id="45" w:name="_DV_M210"/>
      <w:bookmarkStart w:id="46" w:name="_DV_M212"/>
      <w:bookmarkStart w:id="47" w:name="_DV_M213"/>
      <w:bookmarkStart w:id="48" w:name="_DV_M214"/>
      <w:bookmarkStart w:id="49" w:name="_DV_M215"/>
      <w:bookmarkStart w:id="50" w:name="_DV_M226"/>
      <w:bookmarkStart w:id="51" w:name="_DV_M231"/>
      <w:bookmarkStart w:id="52" w:name="_DV_M227"/>
      <w:bookmarkStart w:id="53" w:name="_DV_M228"/>
      <w:bookmarkStart w:id="54" w:name="_DV_M229"/>
      <w:bookmarkStart w:id="55" w:name="_DV_M233"/>
      <w:bookmarkStart w:id="56" w:name="_DV_M236"/>
      <w:bookmarkStart w:id="57" w:name="_DV_M238"/>
      <w:bookmarkStart w:id="58" w:name="_DV_M239"/>
      <w:bookmarkStart w:id="59" w:name="_DV_M241"/>
      <w:bookmarkStart w:id="60" w:name="_DV_M242"/>
      <w:bookmarkStart w:id="61" w:name="_DV_M254"/>
      <w:bookmarkStart w:id="62" w:name="_DV_M255"/>
      <w:bookmarkStart w:id="63" w:name="_DV_M256"/>
      <w:bookmarkStart w:id="64" w:name="_DV_M257"/>
      <w:bookmarkStart w:id="65" w:name="_DV_M258"/>
      <w:bookmarkStart w:id="66" w:name="_DV_M260"/>
      <w:bookmarkStart w:id="67" w:name="_DV_M261"/>
      <w:bookmarkStart w:id="68" w:name="_DV_M263"/>
      <w:bookmarkStart w:id="69" w:name="_DV_M266"/>
      <w:bookmarkStart w:id="70" w:name="_DV_M267"/>
      <w:bookmarkStart w:id="71" w:name="_DV_M269"/>
      <w:bookmarkStart w:id="72" w:name="_DV_M270"/>
      <w:bookmarkStart w:id="73" w:name="_DV_M271"/>
      <w:bookmarkStart w:id="74" w:name="_DV_M273"/>
      <w:bookmarkStart w:id="75" w:name="_DV_M275"/>
      <w:bookmarkStart w:id="76" w:name="_DV_M276"/>
      <w:bookmarkStart w:id="77" w:name="_DV_M277"/>
      <w:bookmarkStart w:id="78" w:name="_DV_M278"/>
      <w:bookmarkStart w:id="79" w:name="_DV_M279"/>
      <w:bookmarkStart w:id="80" w:name="_DV_M280"/>
      <w:bookmarkStart w:id="81" w:name="_DV_M284"/>
      <w:bookmarkStart w:id="82" w:name="_DV_M285"/>
      <w:bookmarkStart w:id="83" w:name="_DV_M436"/>
      <w:bookmarkStart w:id="84" w:name="_DV_M437"/>
      <w:bookmarkStart w:id="85" w:name="_DV_M441"/>
      <w:bookmarkStart w:id="86" w:name="_DV_M44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ascii="Verdana" w:hAnsi="Verdana" w:cs="Tahoma"/>
          <w:sz w:val="20"/>
        </w:rPr>
        <w:br w:type="page"/>
      </w:r>
    </w:p>
    <w:p w:rsidR="00DE19C8" w:rsidRDefault="00DE19C8">
      <w:pPr>
        <w:spacing w:line="318" w:lineRule="exact"/>
        <w:contextualSpacing/>
        <w:rPr>
          <w:rFonts w:ascii="Verdana" w:hAnsi="Verdana"/>
          <w:b/>
          <w:sz w:val="20"/>
        </w:rPr>
      </w:pPr>
    </w:p>
    <w:p w:rsidR="00DE19C8" w:rsidRDefault="00626B63">
      <w:pPr>
        <w:pStyle w:val="Corpodetexto2"/>
        <w:suppressAutoHyphens/>
        <w:spacing w:line="318" w:lineRule="exact"/>
        <w:contextualSpacing/>
        <w:jc w:val="both"/>
        <w:rPr>
          <w:rFonts w:ascii="Verdana" w:hAnsi="Verdana" w:cs="Tahoma"/>
          <w:sz w:val="20"/>
        </w:rPr>
      </w:pPr>
      <w:r>
        <w:rPr>
          <w:rFonts w:ascii="Verdana" w:hAnsi="Verdana"/>
          <w:sz w:val="20"/>
        </w:rPr>
        <w:t xml:space="preserve">INSTRUMENTO PARTICULAR DE ESCRITURA DA 6ª (SEXTA) EMISSÃO DE DEBÊNTURES </w:t>
      </w:r>
      <w:bookmarkStart w:id="87" w:name="_DV_C5"/>
      <w:r>
        <w:rPr>
          <w:rFonts w:ascii="Verdana" w:hAnsi="Verdana"/>
          <w:sz w:val="20"/>
        </w:rPr>
        <w:t xml:space="preserve">SIMPLES, </w:t>
      </w:r>
      <w:bookmarkStart w:id="88" w:name="_DV_M1"/>
      <w:bookmarkEnd w:id="87"/>
      <w:bookmarkEnd w:id="88"/>
      <w:r>
        <w:rPr>
          <w:rFonts w:ascii="Verdana" w:hAnsi="Verdana"/>
          <w:sz w:val="20"/>
        </w:rPr>
        <w:t xml:space="preserve">NÃO CONVERSÍVEIS EM AÇÕES, </w:t>
      </w:r>
      <w:bookmarkStart w:id="89" w:name="_DV_C6"/>
      <w:r>
        <w:rPr>
          <w:rFonts w:ascii="Verdana" w:hAnsi="Verdana"/>
          <w:sz w:val="20"/>
        </w:rPr>
        <w:t>DA ESPÉCIE QUIROGRAFÁRIA, EM ATÉ</w:t>
      </w:r>
      <w:r>
        <w:rPr>
          <w:rFonts w:ascii="Verdana" w:hAnsi="Verdana"/>
          <w:b w:val="0"/>
          <w:sz w:val="20"/>
        </w:rPr>
        <w:t xml:space="preserve"> </w:t>
      </w:r>
      <w:r>
        <w:rPr>
          <w:rFonts w:ascii="Verdana" w:hAnsi="Verdana"/>
          <w:sz w:val="20"/>
        </w:rPr>
        <w:t xml:space="preserve">DUAS SÉRIES, </w:t>
      </w:r>
      <w:bookmarkStart w:id="90" w:name="_DV_M2"/>
      <w:bookmarkEnd w:id="89"/>
      <w:bookmarkEnd w:id="90"/>
      <w:r>
        <w:rPr>
          <w:rFonts w:ascii="Verdana" w:hAnsi="Verdana"/>
          <w:sz w:val="20"/>
        </w:rPr>
        <w:t xml:space="preserve">PARA DISTRIBUIÇÃO </w:t>
      </w:r>
      <w:r>
        <w:rPr>
          <w:rFonts w:ascii="Verdana" w:hAnsi="Verdana"/>
          <w:sz w:val="20"/>
        </w:rPr>
        <w:t>PÚBLICA, COM ESFORÇOS RESTRITOS DE DISTRIBUIÇÃO, DA MINERVA S.A.</w:t>
      </w:r>
    </w:p>
    <w:p w:rsidR="00DE19C8" w:rsidRDefault="00DE19C8">
      <w:pPr>
        <w:pStyle w:val="p0"/>
        <w:tabs>
          <w:tab w:val="clear" w:pos="720"/>
        </w:tabs>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 xml:space="preserve">Pelo presente instrumento particular, como emissora,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 xml:space="preserve">(a) </w:t>
      </w:r>
      <w:r>
        <w:rPr>
          <w:rFonts w:ascii="Verdana" w:hAnsi="Verdana" w:cs="Tahoma"/>
          <w:b/>
          <w:sz w:val="20"/>
        </w:rPr>
        <w:t>MINERVA S.A.</w:t>
      </w:r>
      <w:r>
        <w:rPr>
          <w:rFonts w:ascii="Verdana" w:hAnsi="Verdana" w:cs="Tahoma"/>
          <w:sz w:val="20"/>
        </w:rPr>
        <w:t xml:space="preserve">, companhia aberta, com sede na Cidade de Barretos, Estado de São Paulo, no prolongamento </w:t>
      </w:r>
      <w:r>
        <w:rPr>
          <w:rFonts w:ascii="Verdana" w:hAnsi="Verdana" w:cs="Georgia"/>
          <w:sz w:val="20"/>
        </w:rPr>
        <w:t xml:space="preserve">da Avenida </w:t>
      </w:r>
      <w:proofErr w:type="spellStart"/>
      <w:r>
        <w:rPr>
          <w:rFonts w:ascii="Verdana" w:hAnsi="Verdana" w:cs="Georgia"/>
          <w:sz w:val="20"/>
        </w:rPr>
        <w:t>Antonio</w:t>
      </w:r>
      <w:proofErr w:type="spellEnd"/>
      <w:r>
        <w:rPr>
          <w:rFonts w:ascii="Verdana" w:hAnsi="Verdana" w:cs="Georgia"/>
          <w:sz w:val="20"/>
        </w:rPr>
        <w:t xml:space="preserve"> </w:t>
      </w:r>
      <w:proofErr w:type="spellStart"/>
      <w:r>
        <w:rPr>
          <w:rFonts w:ascii="Verdana" w:hAnsi="Verdana" w:cs="Georgia"/>
          <w:sz w:val="20"/>
        </w:rPr>
        <w:t>Manço</w:t>
      </w:r>
      <w:proofErr w:type="spellEnd"/>
      <w:r>
        <w:rPr>
          <w:rFonts w:ascii="Verdana" w:hAnsi="Verdana" w:cs="Georgia"/>
          <w:sz w:val="20"/>
        </w:rPr>
        <w:t xml:space="preserve"> Bern</w:t>
      </w:r>
      <w:r>
        <w:rPr>
          <w:rFonts w:ascii="Verdana" w:hAnsi="Verdana" w:cs="Georgia"/>
          <w:sz w:val="20"/>
        </w:rPr>
        <w:t>ardes, s/n°, Rotatória Família Vilela de Queiroz, Chácara Minerva - CEP 14781-545</w:t>
      </w:r>
      <w:r>
        <w:rPr>
          <w:rFonts w:ascii="Verdana" w:hAnsi="Verdana" w:cs="Tahoma"/>
          <w:sz w:val="20"/>
        </w:rPr>
        <w:t>, inscrita no Cadastro Nacional da Pessoa Jurídica do Ministério da Economia (“</w:t>
      </w:r>
      <w:r>
        <w:rPr>
          <w:rFonts w:ascii="Verdana" w:hAnsi="Verdana" w:cs="Tahoma"/>
          <w:sz w:val="20"/>
          <w:u w:val="single"/>
        </w:rPr>
        <w:t>CNPJ/ME</w:t>
      </w:r>
      <w:r>
        <w:rPr>
          <w:rFonts w:ascii="Verdana" w:hAnsi="Verdana" w:cs="Tahoma"/>
          <w:sz w:val="20"/>
        </w:rPr>
        <w:t xml:space="preserve">”) sob o nº </w:t>
      </w:r>
      <w:r>
        <w:rPr>
          <w:rFonts w:ascii="Verdana" w:hAnsi="Verdana" w:cs="Georgia"/>
          <w:sz w:val="20"/>
        </w:rPr>
        <w:t>67.620.377/0001-14</w:t>
      </w:r>
      <w:r>
        <w:rPr>
          <w:rFonts w:ascii="Verdana" w:hAnsi="Verdana" w:cs="Tahoma"/>
          <w:sz w:val="20"/>
        </w:rPr>
        <w:t>, com seus atos constitutivos arquivados na Junta Comercial</w:t>
      </w:r>
      <w:r>
        <w:rPr>
          <w:rFonts w:ascii="Verdana" w:hAnsi="Verdana" w:cs="Tahoma"/>
          <w:sz w:val="20"/>
        </w:rPr>
        <w:t xml:space="preserve"> do Estado de São Paulo (“</w:t>
      </w:r>
      <w:r>
        <w:rPr>
          <w:rFonts w:ascii="Verdana" w:hAnsi="Verdana" w:cs="Tahoma"/>
          <w:sz w:val="20"/>
          <w:u w:val="single"/>
        </w:rPr>
        <w:t>JUCESP</w:t>
      </w:r>
      <w:r>
        <w:rPr>
          <w:rFonts w:ascii="Verdana" w:hAnsi="Verdana" w:cs="Tahoma"/>
          <w:sz w:val="20"/>
        </w:rPr>
        <w:t xml:space="preserve">”) sob o NIRE </w:t>
      </w:r>
      <w:r>
        <w:rPr>
          <w:rFonts w:ascii="Verdana" w:hAnsi="Verdana" w:cs="Georgia"/>
          <w:sz w:val="20"/>
        </w:rPr>
        <w:t>35.300.344.022</w:t>
      </w:r>
      <w:r>
        <w:rPr>
          <w:rFonts w:ascii="Verdana" w:hAnsi="Verdana" w:cs="Tahoma"/>
          <w:sz w:val="20"/>
        </w:rPr>
        <w:t>, neste ato representada na forma de seu estatuto social (“</w:t>
      </w:r>
      <w:r>
        <w:rPr>
          <w:rFonts w:ascii="Verdana" w:hAnsi="Verdana" w:cs="Tahoma"/>
          <w:sz w:val="20"/>
          <w:u w:val="single"/>
        </w:rPr>
        <w:t>Emissora</w:t>
      </w:r>
      <w:r>
        <w:rPr>
          <w:rFonts w:ascii="Verdana" w:hAnsi="Verdana" w:cs="Tahoma"/>
          <w:sz w:val="20"/>
        </w:rPr>
        <w:t>”);</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 xml:space="preserve">e, como agente fiduciário representando a comunhão dos titulares das debêntures da 6ª (sexta) emissão pública de debêntures </w:t>
      </w:r>
      <w:r>
        <w:rPr>
          <w:rFonts w:ascii="Verdana" w:hAnsi="Verdana" w:cs="Tahoma"/>
          <w:sz w:val="20"/>
        </w:rPr>
        <w:t>da Emissora (“</w:t>
      </w:r>
      <w:r>
        <w:rPr>
          <w:rFonts w:ascii="Verdana" w:hAnsi="Verdana" w:cs="Tahoma"/>
          <w:sz w:val="20"/>
          <w:u w:val="single"/>
        </w:rPr>
        <w:t>Debenturistas</w:t>
      </w:r>
      <w:r>
        <w:rPr>
          <w:rFonts w:ascii="Verdana" w:hAnsi="Verdana" w:cs="Tahoma"/>
          <w:sz w:val="20"/>
        </w:rPr>
        <w:t>” e, individualmente, “</w:t>
      </w:r>
      <w:r>
        <w:rPr>
          <w:rFonts w:ascii="Verdana" w:hAnsi="Verdana" w:cs="Tahoma"/>
          <w:sz w:val="20"/>
          <w:u w:val="single"/>
        </w:rPr>
        <w:t>Debenturista</w:t>
      </w:r>
      <w:r>
        <w:rPr>
          <w:rFonts w:ascii="Verdana" w:hAnsi="Verdana" w:cs="Tahoma"/>
          <w:sz w:val="20"/>
        </w:rPr>
        <w:t xml:space="preserve">”), </w:t>
      </w:r>
    </w:p>
    <w:p w:rsidR="00DE19C8" w:rsidRDefault="00DE19C8">
      <w:pPr>
        <w:suppressAutoHyphens/>
        <w:spacing w:line="318" w:lineRule="exact"/>
        <w:contextualSpacing/>
        <w:rPr>
          <w:rFonts w:ascii="Verdana" w:hAnsi="Verdana" w:cs="Tahoma"/>
          <w:sz w:val="20"/>
        </w:rPr>
      </w:pPr>
    </w:p>
    <w:p w:rsidR="00DE19C8" w:rsidRDefault="00626B63">
      <w:pPr>
        <w:spacing w:line="318" w:lineRule="exact"/>
        <w:contextualSpacing/>
        <w:rPr>
          <w:rFonts w:ascii="Verdana" w:hAnsi="Verdana" w:cs="Arial"/>
          <w:sz w:val="20"/>
          <w:lang w:eastAsia="x-none"/>
        </w:rPr>
      </w:pPr>
      <w:r>
        <w:rPr>
          <w:rFonts w:ascii="Verdana" w:hAnsi="Verdana" w:cs="Tahoma"/>
          <w:bCs/>
          <w:sz w:val="20"/>
        </w:rPr>
        <w:t xml:space="preserve">(b) </w:t>
      </w:r>
      <w:r>
        <w:rPr>
          <w:rFonts w:ascii="Verdana" w:hAnsi="Verdana" w:cs="Arial"/>
          <w:b/>
          <w:bCs/>
          <w:caps/>
          <w:sz w:val="20"/>
          <w:lang w:eastAsia="x-none"/>
        </w:rPr>
        <w:t>OLIVEIRA TRUST DISTRIBUIDORA DE TÍTULOS E VALORES MOBILIÁRIOS S.A.</w:t>
      </w:r>
      <w:r>
        <w:rPr>
          <w:rFonts w:ascii="Verdana" w:hAnsi="Verdana" w:cs="Arial"/>
          <w:sz w:val="20"/>
          <w:lang w:eastAsia="x-none"/>
        </w:rPr>
        <w:t xml:space="preserve">, instituição financeira, com sede na Cidade do Rio de Janeiro, Estado do Rio de Janeiro, na Avenida das Américas, nº </w:t>
      </w:r>
      <w:r>
        <w:rPr>
          <w:rFonts w:ascii="Verdana" w:hAnsi="Verdana" w:cs="Arial"/>
          <w:sz w:val="20"/>
          <w:lang w:eastAsia="x-none"/>
        </w:rPr>
        <w:t>3434, Bloco 07, sala 201, Barra da Tijuca, CEP 22640-102, inscrita no CNPJ/ME sob o nº 36.113.876/0001-91</w:t>
      </w:r>
      <w:r>
        <w:rPr>
          <w:rFonts w:ascii="Verdana" w:hAnsi="Verdana" w:cs="Tahoma"/>
          <w:bCs/>
          <w:sz w:val="20"/>
        </w:rPr>
        <w:t xml:space="preserve">, neste ato representada </w:t>
      </w:r>
      <w:r>
        <w:rPr>
          <w:rFonts w:ascii="Verdana" w:hAnsi="Verdana" w:cs="Tahoma"/>
          <w:sz w:val="20"/>
        </w:rPr>
        <w:t>na forma de</w:t>
      </w:r>
      <w:r>
        <w:rPr>
          <w:rFonts w:ascii="Verdana" w:hAnsi="Verdana" w:cs="Tahoma"/>
          <w:bCs/>
          <w:sz w:val="20"/>
        </w:rPr>
        <w:t xml:space="preserve"> seu estatuto social, por seus representantes legais ao final assinados (“</w:t>
      </w:r>
      <w:r>
        <w:rPr>
          <w:rFonts w:ascii="Verdana" w:hAnsi="Verdana" w:cs="Tahoma"/>
          <w:bCs/>
          <w:sz w:val="20"/>
          <w:u w:val="single"/>
        </w:rPr>
        <w:t>Agente Fiduciário</w:t>
      </w:r>
      <w:r>
        <w:rPr>
          <w:rFonts w:ascii="Verdana" w:hAnsi="Verdana" w:cs="Tahoma"/>
          <w:bCs/>
          <w:sz w:val="20"/>
        </w:rPr>
        <w:t xml:space="preserve">”); e </w:t>
      </w:r>
    </w:p>
    <w:p w:rsidR="00DE19C8" w:rsidRDefault="00DE19C8">
      <w:pPr>
        <w:suppressAutoHyphens/>
        <w:spacing w:line="318" w:lineRule="exact"/>
        <w:contextualSpacing/>
        <w:rPr>
          <w:rFonts w:ascii="Verdana" w:hAnsi="Verdana" w:cs="Tahoma"/>
          <w:bCs/>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vêm por esta e n</w:t>
      </w:r>
      <w:r>
        <w:rPr>
          <w:rFonts w:ascii="Verdana" w:hAnsi="Verdana" w:cs="Tahoma"/>
          <w:sz w:val="20"/>
        </w:rPr>
        <w:t>a melhor forma de direito firmar o presente “</w:t>
      </w:r>
      <w:r>
        <w:rPr>
          <w:rFonts w:ascii="Verdana" w:hAnsi="Verdana"/>
          <w:sz w:val="20"/>
        </w:rPr>
        <w:t>Instrumento Particular de Escritura da 6ª (Sexta) Emissão de Debêntures Simples, Não Conversíveis em Ações, da Espécie Quirografária, em até Duas Séries, para Distribuição Pública, com Esforços Restritos de Dist</w:t>
      </w:r>
      <w:r>
        <w:rPr>
          <w:rFonts w:ascii="Verdana" w:hAnsi="Verdana"/>
          <w:sz w:val="20"/>
        </w:rPr>
        <w:t>ribuição, da Minerva S.A.</w:t>
      </w:r>
      <w:r>
        <w:rPr>
          <w:rFonts w:ascii="Verdana" w:hAnsi="Verdana" w:cs="Tahoma"/>
          <w:sz w:val="20"/>
        </w:rPr>
        <w:t>” (“</w:t>
      </w:r>
      <w:r>
        <w:rPr>
          <w:rFonts w:ascii="Verdana" w:hAnsi="Verdana" w:cs="Tahoma"/>
          <w:sz w:val="20"/>
          <w:u w:val="single"/>
        </w:rPr>
        <w:t>Escritura de Emissão</w:t>
      </w:r>
      <w:r>
        <w:rPr>
          <w:rFonts w:ascii="Verdana" w:hAnsi="Verdana" w:cs="Tahoma"/>
          <w:sz w:val="20"/>
        </w:rPr>
        <w:t>”), que será regido pelas cláusulas e condições a seguir.</w:t>
      </w:r>
    </w:p>
    <w:p w:rsidR="00DE19C8" w:rsidRDefault="00DE19C8">
      <w:pPr>
        <w:suppressAutoHyphens/>
        <w:spacing w:line="318" w:lineRule="exact"/>
        <w:contextualSpacing/>
        <w:rPr>
          <w:rFonts w:ascii="Verdana" w:hAnsi="Verdana" w:cs="Tahoma"/>
          <w:sz w:val="20"/>
        </w:rPr>
      </w:pPr>
    </w:p>
    <w:p w:rsidR="00DE19C8" w:rsidRDefault="00626B63">
      <w:pPr>
        <w:tabs>
          <w:tab w:val="left" w:pos="2366"/>
        </w:tabs>
        <w:spacing w:line="318" w:lineRule="exact"/>
        <w:contextualSpacing/>
        <w:rPr>
          <w:rFonts w:ascii="Verdana" w:hAnsi="Verdana" w:cs="Garamond"/>
          <w:color w:val="000000"/>
          <w:sz w:val="20"/>
        </w:rPr>
      </w:pPr>
      <w:r>
        <w:rPr>
          <w:rFonts w:ascii="Verdana" w:hAnsi="Verdana" w:cs="Garamond"/>
          <w:color w:val="000000"/>
          <w:sz w:val="20"/>
        </w:rPr>
        <w:t xml:space="preserve">Os termos aqui iniciados em letra maiúscula, estejam no singular ou no plural, terão o significado a eles atribuído nesta Escritura de Emissão, </w:t>
      </w:r>
      <w:r>
        <w:rPr>
          <w:rFonts w:ascii="Verdana" w:hAnsi="Verdana" w:cs="Garamond"/>
          <w:color w:val="000000"/>
          <w:sz w:val="20"/>
        </w:rPr>
        <w:t>ainda que posteriormente ao seu uso.</w:t>
      </w:r>
    </w:p>
    <w:p w:rsidR="00DE19C8" w:rsidRDefault="00DE19C8">
      <w:pPr>
        <w:suppressAutoHyphens/>
        <w:spacing w:line="318" w:lineRule="exact"/>
        <w:contextualSpacing/>
        <w:rPr>
          <w:rFonts w:ascii="Verdana" w:hAnsi="Verdana" w:cs="Tahoma"/>
          <w:sz w:val="20"/>
        </w:rPr>
      </w:pPr>
    </w:p>
    <w:p w:rsidR="00DE19C8" w:rsidRDefault="00626B63">
      <w:pPr>
        <w:pStyle w:val="Ttulo2"/>
        <w:suppressAutoHyphens/>
        <w:spacing w:line="318" w:lineRule="exact"/>
        <w:contextualSpacing/>
        <w:rPr>
          <w:rFonts w:ascii="Verdana" w:hAnsi="Verdana" w:cs="Tahoma"/>
          <w:sz w:val="20"/>
        </w:rPr>
      </w:pPr>
      <w:bookmarkStart w:id="91" w:name="_Toc514873569"/>
      <w:r>
        <w:rPr>
          <w:rFonts w:ascii="Verdana" w:hAnsi="Verdana" w:cs="Tahoma"/>
          <w:sz w:val="20"/>
        </w:rPr>
        <w:t>CLÁUSULA PRIMEIRA – DA AUTORIZAÇÃO</w:t>
      </w:r>
      <w:bookmarkEnd w:id="91"/>
    </w:p>
    <w:p w:rsidR="00DE19C8" w:rsidRDefault="00DE19C8">
      <w:pPr>
        <w:suppressAutoHyphens/>
        <w:spacing w:line="318" w:lineRule="exact"/>
        <w:contextualSpacing/>
        <w:rPr>
          <w:rFonts w:ascii="Verdana" w:hAnsi="Verdana" w:cs="Tahoma"/>
          <w:sz w:val="20"/>
        </w:rPr>
      </w:pPr>
    </w:p>
    <w:p w:rsidR="00DE19C8" w:rsidRDefault="00626B63">
      <w:pPr>
        <w:widowControl w:val="0"/>
        <w:numPr>
          <w:ilvl w:val="1"/>
          <w:numId w:val="53"/>
        </w:numPr>
        <w:tabs>
          <w:tab w:val="left" w:pos="709"/>
        </w:tabs>
        <w:spacing w:line="318" w:lineRule="exact"/>
        <w:ind w:left="0" w:firstLine="0"/>
        <w:contextualSpacing/>
        <w:rPr>
          <w:rFonts w:ascii="Verdana" w:hAnsi="Verdana"/>
          <w:b/>
          <w:color w:val="000000"/>
          <w:sz w:val="20"/>
        </w:rPr>
      </w:pPr>
      <w:bookmarkStart w:id="92" w:name="_Ref182048201"/>
      <w:r>
        <w:rPr>
          <w:rFonts w:ascii="Verdana" w:hAnsi="Verdana"/>
          <w:b/>
          <w:color w:val="000000"/>
          <w:sz w:val="20"/>
        </w:rPr>
        <w:t xml:space="preserve">Autorização da Emissora </w:t>
      </w:r>
    </w:p>
    <w:p w:rsidR="00DE19C8" w:rsidRDefault="00DE19C8">
      <w:pPr>
        <w:widowControl w:val="0"/>
        <w:spacing w:line="318" w:lineRule="exact"/>
        <w:contextualSpacing/>
        <w:rPr>
          <w:rFonts w:ascii="Verdana" w:hAnsi="Verdana"/>
          <w:b/>
          <w:color w:val="000000"/>
          <w:sz w:val="20"/>
        </w:rPr>
      </w:pPr>
    </w:p>
    <w:p w:rsidR="00DE19C8" w:rsidRDefault="00626B63">
      <w:pPr>
        <w:widowControl w:val="0"/>
        <w:numPr>
          <w:ilvl w:val="2"/>
          <w:numId w:val="63"/>
        </w:numPr>
        <w:spacing w:line="318" w:lineRule="exact"/>
        <w:ind w:left="0" w:firstLine="0"/>
        <w:contextualSpacing/>
        <w:rPr>
          <w:rFonts w:ascii="Verdana" w:hAnsi="Verdana"/>
          <w:color w:val="000000"/>
          <w:sz w:val="20"/>
        </w:rPr>
      </w:pPr>
      <w:r>
        <w:rPr>
          <w:rFonts w:ascii="Verdana" w:hAnsi="Verdana"/>
          <w:color w:val="000000"/>
          <w:sz w:val="20"/>
        </w:rPr>
        <w:t xml:space="preserve">A 6ª (sexta) emissão de debêntures simples, não conversíveis em ações, da espécie </w:t>
      </w:r>
      <w:r>
        <w:rPr>
          <w:rFonts w:ascii="Verdana" w:hAnsi="Verdana"/>
          <w:color w:val="000000"/>
          <w:sz w:val="20"/>
        </w:rPr>
        <w:lastRenderedPageBreak/>
        <w:t>quirografária, em até duas séries, para distribuição pública, com esforços</w:t>
      </w:r>
      <w:r>
        <w:rPr>
          <w:rFonts w:ascii="Verdana" w:hAnsi="Verdana"/>
          <w:color w:val="000000"/>
          <w:sz w:val="20"/>
        </w:rPr>
        <w:t xml:space="preserve"> restritos de distribuição, da Emissora (“</w:t>
      </w:r>
      <w:r>
        <w:rPr>
          <w:rFonts w:ascii="Verdana" w:hAnsi="Verdana"/>
          <w:color w:val="000000"/>
          <w:sz w:val="20"/>
          <w:u w:val="single"/>
        </w:rPr>
        <w:t>Emissão</w:t>
      </w:r>
      <w:r>
        <w:rPr>
          <w:rFonts w:ascii="Verdana" w:hAnsi="Verdana"/>
          <w:color w:val="000000"/>
          <w:sz w:val="20"/>
        </w:rPr>
        <w:t>”, “</w:t>
      </w:r>
      <w:r>
        <w:rPr>
          <w:rFonts w:ascii="Verdana" w:hAnsi="Verdana"/>
          <w:color w:val="000000"/>
          <w:sz w:val="20"/>
          <w:u w:val="single"/>
        </w:rPr>
        <w:t>Debêntures</w:t>
      </w:r>
      <w:r>
        <w:rPr>
          <w:rFonts w:ascii="Verdana" w:hAnsi="Verdana"/>
          <w:sz w:val="20"/>
        </w:rPr>
        <w:t xml:space="preserve">” e </w:t>
      </w:r>
      <w:r>
        <w:rPr>
          <w:rFonts w:ascii="Verdana" w:hAnsi="Verdana"/>
          <w:color w:val="000000"/>
          <w:sz w:val="20"/>
        </w:rPr>
        <w:t>“</w:t>
      </w:r>
      <w:r>
        <w:rPr>
          <w:rFonts w:ascii="Verdana" w:hAnsi="Verdana"/>
          <w:color w:val="000000"/>
          <w:sz w:val="20"/>
          <w:u w:val="single"/>
        </w:rPr>
        <w:t>Oferta Restrita</w:t>
      </w:r>
      <w:r>
        <w:rPr>
          <w:rFonts w:ascii="Verdana" w:hAnsi="Verdana"/>
          <w:color w:val="000000"/>
          <w:sz w:val="20"/>
        </w:rPr>
        <w:t>”, respectivamente), nos termos da Instrução da Comissão de Valores Mobiliários (“</w:t>
      </w:r>
      <w:r>
        <w:rPr>
          <w:rFonts w:ascii="Verdana" w:hAnsi="Verdana"/>
          <w:color w:val="000000"/>
          <w:sz w:val="20"/>
          <w:u w:val="single"/>
        </w:rPr>
        <w:t>CVM</w:t>
      </w:r>
      <w:r>
        <w:rPr>
          <w:rFonts w:ascii="Verdana" w:hAnsi="Verdana"/>
          <w:color w:val="000000"/>
          <w:sz w:val="20"/>
        </w:rPr>
        <w:t xml:space="preserve">”) nº 476, </w:t>
      </w:r>
      <w:r>
        <w:rPr>
          <w:rFonts w:ascii="Verdana" w:hAnsi="Verdana"/>
          <w:sz w:val="20"/>
        </w:rPr>
        <w:t>de 16 de janeiro de 2009, conforme alterada (“</w:t>
      </w:r>
      <w:r>
        <w:rPr>
          <w:rFonts w:ascii="Verdana" w:hAnsi="Verdana"/>
          <w:sz w:val="20"/>
          <w:u w:val="single"/>
        </w:rPr>
        <w:t>Instrução CVM 476</w:t>
      </w:r>
      <w:r>
        <w:rPr>
          <w:rFonts w:ascii="Verdana" w:hAnsi="Verdana"/>
          <w:sz w:val="20"/>
        </w:rPr>
        <w:t xml:space="preserve">”), </w:t>
      </w:r>
      <w:r>
        <w:rPr>
          <w:rFonts w:ascii="Verdana" w:hAnsi="Verdana"/>
          <w:color w:val="000000"/>
          <w:sz w:val="20"/>
        </w:rPr>
        <w:t>é realizad</w:t>
      </w:r>
      <w:r>
        <w:rPr>
          <w:rFonts w:ascii="Verdana" w:hAnsi="Verdana"/>
          <w:color w:val="000000"/>
          <w:sz w:val="20"/>
        </w:rPr>
        <w:t>a com base nas deliberações</w:t>
      </w:r>
      <w:bookmarkEnd w:id="92"/>
      <w:r>
        <w:rPr>
          <w:rFonts w:ascii="Verdana" w:hAnsi="Verdana"/>
          <w:color w:val="000000"/>
          <w:sz w:val="20"/>
        </w:rPr>
        <w:t xml:space="preserve"> do Conselho de Administração da Emissora realizada em 23 de abril de 2019 (“</w:t>
      </w:r>
      <w:r>
        <w:rPr>
          <w:rFonts w:ascii="Verdana" w:hAnsi="Verdana"/>
          <w:color w:val="000000"/>
          <w:sz w:val="20"/>
          <w:u w:val="single"/>
        </w:rPr>
        <w:t>RCA da Emissão</w:t>
      </w:r>
      <w:r>
        <w:rPr>
          <w:rFonts w:ascii="Verdana" w:hAnsi="Verdana"/>
          <w:color w:val="000000"/>
          <w:sz w:val="20"/>
        </w:rPr>
        <w:t>”), nos termos do artigo 59, §1º, da Lei nº 6.404, de 15 de dezembro de 1976, conforme alterada (“</w:t>
      </w:r>
      <w:r>
        <w:rPr>
          <w:rFonts w:ascii="Verdana" w:hAnsi="Verdana"/>
          <w:color w:val="000000"/>
          <w:sz w:val="20"/>
          <w:u w:val="single"/>
        </w:rPr>
        <w:t>Lei das Sociedades por Ações</w:t>
      </w:r>
      <w:r>
        <w:rPr>
          <w:rFonts w:ascii="Verdana" w:hAnsi="Verdana"/>
          <w:color w:val="000000"/>
          <w:sz w:val="20"/>
        </w:rPr>
        <w:t xml:space="preserve">”), que (i) </w:t>
      </w:r>
      <w:r>
        <w:rPr>
          <w:rFonts w:ascii="Verdana" w:hAnsi="Verdana"/>
          <w:color w:val="000000"/>
          <w:sz w:val="20"/>
        </w:rPr>
        <w:t>aprovou os termos e condições da Emissão</w:t>
      </w:r>
      <w:r>
        <w:rPr>
          <w:rFonts w:ascii="Verdana" w:hAnsi="Verdana"/>
          <w:sz w:val="20"/>
        </w:rPr>
        <w:t xml:space="preserve"> e da Oferta Restrita, e (</w:t>
      </w:r>
      <w:proofErr w:type="spellStart"/>
      <w:r>
        <w:rPr>
          <w:rFonts w:ascii="Verdana" w:hAnsi="Verdana"/>
          <w:sz w:val="20"/>
        </w:rPr>
        <w:t>ii</w:t>
      </w:r>
      <w:proofErr w:type="spellEnd"/>
      <w:r>
        <w:rPr>
          <w:rFonts w:ascii="Verdana" w:hAnsi="Verdana"/>
          <w:sz w:val="20"/>
        </w:rPr>
        <w:t>) autorizou a Diretoria da Emissora a adotar todas e quaisquer medidas e celebrar todos os documentos necessários à realização da Emissão, podendo, inclusive, celebrar aditamentos a esta E</w:t>
      </w:r>
      <w:r>
        <w:rPr>
          <w:rFonts w:ascii="Verdana" w:hAnsi="Verdana"/>
          <w:sz w:val="20"/>
        </w:rPr>
        <w:t>scritura da Emissão</w:t>
      </w:r>
      <w:r>
        <w:rPr>
          <w:rFonts w:ascii="Verdana" w:hAnsi="Verdana"/>
          <w:color w:val="000000"/>
          <w:sz w:val="20"/>
        </w:rPr>
        <w:t xml:space="preserve">. </w:t>
      </w:r>
    </w:p>
    <w:p w:rsidR="00DE19C8" w:rsidRDefault="00DE19C8">
      <w:pPr>
        <w:widowControl w:val="0"/>
        <w:spacing w:line="318" w:lineRule="exact"/>
        <w:contextualSpacing/>
        <w:rPr>
          <w:rFonts w:ascii="Verdana" w:hAnsi="Verdana"/>
          <w:color w:val="000000"/>
          <w:sz w:val="20"/>
        </w:rPr>
      </w:pPr>
    </w:p>
    <w:p w:rsidR="00DE19C8" w:rsidRDefault="00626B63">
      <w:pPr>
        <w:widowControl w:val="0"/>
        <w:numPr>
          <w:ilvl w:val="2"/>
          <w:numId w:val="63"/>
        </w:numPr>
        <w:spacing w:line="318" w:lineRule="exact"/>
        <w:ind w:left="0" w:firstLine="0"/>
        <w:contextualSpacing/>
        <w:rPr>
          <w:rFonts w:ascii="Verdana" w:hAnsi="Verdana" w:cs="Tahoma"/>
          <w:sz w:val="20"/>
        </w:rPr>
      </w:pPr>
      <w:r>
        <w:rPr>
          <w:rFonts w:ascii="Verdana" w:hAnsi="Verdana" w:cs="Tahoma"/>
          <w:sz w:val="20"/>
        </w:rPr>
        <w:t xml:space="preserve">Nos termos do artigo 19, inciso XVII, do Estatuto Social da Emissora, compete ao Conselho de Administração deliberar sobre a emissão de debêntures simples, não conversíveis em ações e sem garantia real. </w:t>
      </w:r>
    </w:p>
    <w:p w:rsidR="00DE19C8" w:rsidRDefault="00DE19C8">
      <w:pPr>
        <w:suppressAutoHyphens/>
        <w:spacing w:line="318" w:lineRule="exact"/>
        <w:contextualSpacing/>
        <w:rPr>
          <w:rFonts w:ascii="Verdana" w:hAnsi="Verdana" w:cs="Tahoma"/>
          <w:sz w:val="20"/>
        </w:rPr>
      </w:pPr>
    </w:p>
    <w:p w:rsidR="00DE19C8" w:rsidRDefault="00626B63">
      <w:pPr>
        <w:pStyle w:val="Ttulo2"/>
        <w:suppressAutoHyphens/>
        <w:spacing w:line="318" w:lineRule="exact"/>
        <w:contextualSpacing/>
        <w:rPr>
          <w:rFonts w:ascii="Verdana" w:hAnsi="Verdana" w:cs="Tahoma"/>
          <w:sz w:val="20"/>
        </w:rPr>
      </w:pPr>
      <w:bookmarkStart w:id="93" w:name="_Toc514873570"/>
      <w:r>
        <w:rPr>
          <w:rFonts w:ascii="Verdana" w:hAnsi="Verdana" w:cs="Tahoma"/>
          <w:sz w:val="20"/>
        </w:rPr>
        <w:t>CLÁUSULA SEGUNDA – DOS REQUI</w:t>
      </w:r>
      <w:r>
        <w:rPr>
          <w:rFonts w:ascii="Verdana" w:hAnsi="Verdana" w:cs="Tahoma"/>
          <w:sz w:val="20"/>
        </w:rPr>
        <w:t>SITOS</w:t>
      </w:r>
      <w:bookmarkEnd w:id="93"/>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A Emissão das Debêntures será feita com observância dos seguintes requisitos:</w:t>
      </w:r>
    </w:p>
    <w:p w:rsidR="00DE19C8" w:rsidRDefault="00DE19C8">
      <w:pPr>
        <w:suppressAutoHyphens/>
        <w:spacing w:line="318" w:lineRule="exact"/>
        <w:contextualSpacing/>
        <w:rPr>
          <w:rFonts w:ascii="Verdana" w:hAnsi="Verdana" w:cs="Tahoma"/>
          <w:b/>
          <w:sz w:val="20"/>
        </w:rPr>
      </w:pPr>
    </w:p>
    <w:p w:rsidR="00DE19C8" w:rsidRDefault="00626B63">
      <w:pPr>
        <w:suppressAutoHyphens/>
        <w:spacing w:line="318" w:lineRule="exact"/>
        <w:contextualSpacing/>
        <w:rPr>
          <w:rFonts w:ascii="Verdana" w:hAnsi="Verdana" w:cs="Tahoma"/>
          <w:b/>
          <w:sz w:val="20"/>
        </w:rPr>
      </w:pPr>
      <w:r>
        <w:rPr>
          <w:rFonts w:ascii="Verdana" w:hAnsi="Verdana" w:cs="Tahoma"/>
          <w:b/>
          <w:sz w:val="20"/>
        </w:rPr>
        <w:t>2.1.</w:t>
      </w:r>
      <w:r>
        <w:rPr>
          <w:rFonts w:ascii="Verdana" w:hAnsi="Verdana" w:cs="Tahoma"/>
          <w:b/>
          <w:sz w:val="20"/>
        </w:rPr>
        <w:tab/>
        <w:t>Registro dispensado na Comissão de Valores Mobiliários e efetivação de Registro na ANBIMA – Associação Brasileira das Entidades dos Mercados Financeiro e de Capitais</w:t>
      </w:r>
      <w:r>
        <w:rPr>
          <w:rFonts w:ascii="Verdana" w:hAnsi="Verdana" w:cs="Tahoma"/>
          <w:b/>
          <w:sz w:val="20"/>
        </w:rPr>
        <w:t xml:space="preserve"> (“</w:t>
      </w:r>
      <w:r>
        <w:rPr>
          <w:rFonts w:ascii="Verdana" w:hAnsi="Verdana" w:cs="Tahoma"/>
          <w:b/>
          <w:sz w:val="20"/>
          <w:u w:val="single"/>
        </w:rPr>
        <w:t>ANBIMA</w:t>
      </w:r>
      <w:r>
        <w:rPr>
          <w:rFonts w:ascii="Verdana" w:hAnsi="Verdana" w:cs="Tahoma"/>
          <w:b/>
          <w:sz w:val="20"/>
        </w:rPr>
        <w:t>”)</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2.1.1.</w:t>
      </w:r>
      <w:r>
        <w:rPr>
          <w:rFonts w:ascii="Verdana" w:hAnsi="Verdana" w:cs="Tahoma"/>
          <w:sz w:val="20"/>
        </w:rPr>
        <w:tab/>
        <w:t>A Emissão será realizada nos termos da Instrução CVM 476 e</w:t>
      </w:r>
      <w:bookmarkStart w:id="94" w:name="_DV_C27"/>
      <w:r>
        <w:rPr>
          <w:rFonts w:ascii="Verdana" w:hAnsi="Verdana" w:cs="Tahoma"/>
          <w:sz w:val="20"/>
        </w:rPr>
        <w:t xml:space="preserve"> das</w:t>
      </w:r>
      <w:bookmarkStart w:id="95" w:name="_DV_M27"/>
      <w:bookmarkEnd w:id="94"/>
      <w:bookmarkEnd w:id="95"/>
      <w:r>
        <w:rPr>
          <w:rFonts w:ascii="Verdana" w:hAnsi="Verdana" w:cs="Tahoma"/>
          <w:sz w:val="20"/>
        </w:rPr>
        <w:t xml:space="preserve"> demais disposições legais e regulamentares aplicáveis, estando, portanto, automaticamente dispensada do registro de distribuição perante a CVM de que trata o artigo 19 da Lei nº 6.385, de 7 de dezembro de 1976, conforme alterada.</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2.1.2.</w:t>
      </w:r>
      <w:r>
        <w:rPr>
          <w:rFonts w:ascii="Verdana" w:hAnsi="Verdana" w:cs="Tahoma"/>
          <w:sz w:val="20"/>
        </w:rPr>
        <w:tab/>
      </w:r>
      <w:r>
        <w:rPr>
          <w:rFonts w:ascii="Verdana" w:hAnsi="Verdana"/>
          <w:sz w:val="20"/>
        </w:rPr>
        <w:t xml:space="preserve">Por se tratar de </w:t>
      </w:r>
      <w:r>
        <w:rPr>
          <w:rFonts w:ascii="Verdana" w:hAnsi="Verdana"/>
          <w:sz w:val="20"/>
        </w:rPr>
        <w:t>distribuição pública, com esforços restritos, a Oferta Restrita será registrada na ANBIMA, nos termos do parágrafo 2º do artigo 1° do “Código ANBIMA de Regulação e Melhores Práticas para as Ofertas Públicas de Distribuição e Aquisição de Valores Mobiliário</w:t>
      </w:r>
      <w:r>
        <w:rPr>
          <w:rFonts w:ascii="Verdana" w:hAnsi="Verdana"/>
          <w:sz w:val="20"/>
        </w:rPr>
        <w:t>s” atualmente em vigor (“</w:t>
      </w:r>
      <w:r>
        <w:rPr>
          <w:rFonts w:ascii="Verdana" w:hAnsi="Verdana"/>
          <w:sz w:val="20"/>
          <w:u w:val="single"/>
        </w:rPr>
        <w:t>Código ANBIMA</w:t>
      </w:r>
      <w:r>
        <w:rPr>
          <w:rFonts w:ascii="Verdana" w:hAnsi="Verdana"/>
          <w:sz w:val="20"/>
        </w:rPr>
        <w:t>”), exclusivamente para fins de envio de informações para a base de dados da ANBIMA, desde que expedidas, até a data de protocolo do comunicado de encerramento da Oferta Restrita, diretrizes específicas nesse sentido p</w:t>
      </w:r>
      <w:r>
        <w:rPr>
          <w:rFonts w:ascii="Verdana" w:hAnsi="Verdana"/>
          <w:sz w:val="20"/>
        </w:rPr>
        <w:t>elo Conselho de Regulação e Melhores Práticas da ANBIMA, nos termos do artigo 9º, parágrafo 1º, do Código ANBIMA</w:t>
      </w:r>
      <w:r>
        <w:rPr>
          <w:rFonts w:ascii="Verdana" w:hAnsi="Verdana" w:cs="Tahoma"/>
          <w:sz w:val="20"/>
        </w:rPr>
        <w:t>.</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b/>
          <w:sz w:val="20"/>
        </w:rPr>
      </w:pPr>
      <w:r>
        <w:rPr>
          <w:rFonts w:ascii="Verdana" w:hAnsi="Verdana" w:cs="Tahoma"/>
          <w:b/>
          <w:sz w:val="20"/>
        </w:rPr>
        <w:t>2.2.</w:t>
      </w:r>
      <w:r>
        <w:rPr>
          <w:rFonts w:ascii="Verdana" w:hAnsi="Verdana" w:cs="Tahoma"/>
          <w:b/>
          <w:sz w:val="20"/>
        </w:rPr>
        <w:tab/>
        <w:t>Arquivamento na JUCESP e Publicação da ata de RCA da Emissão</w:t>
      </w:r>
    </w:p>
    <w:p w:rsidR="00DE19C8" w:rsidRDefault="00DE19C8">
      <w:pPr>
        <w:suppressAutoHyphens/>
        <w:spacing w:line="318" w:lineRule="exact"/>
        <w:contextualSpacing/>
        <w:rPr>
          <w:rFonts w:ascii="Verdana" w:hAnsi="Verdana" w:cs="Tahoma"/>
          <w:b/>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lastRenderedPageBreak/>
        <w:t>2.2.1.</w:t>
      </w:r>
      <w:r>
        <w:rPr>
          <w:rFonts w:ascii="Verdana" w:hAnsi="Verdana" w:cs="Tahoma"/>
          <w:sz w:val="20"/>
        </w:rPr>
        <w:tab/>
        <w:t>A ata da RCA da Emissão que deliberou a Emissão será arquivada na J</w:t>
      </w:r>
      <w:r>
        <w:rPr>
          <w:rFonts w:ascii="Verdana" w:hAnsi="Verdana" w:cs="Tahoma"/>
          <w:sz w:val="20"/>
        </w:rPr>
        <w:t>UCESP e será publicada no (i) Diário Oficial do Estado de São Paulo; e (</w:t>
      </w:r>
      <w:proofErr w:type="spellStart"/>
      <w:r>
        <w:rPr>
          <w:rFonts w:ascii="Verdana" w:hAnsi="Verdana" w:cs="Tahoma"/>
          <w:sz w:val="20"/>
        </w:rPr>
        <w:t>ii</w:t>
      </w:r>
      <w:proofErr w:type="spellEnd"/>
      <w:r>
        <w:rPr>
          <w:rFonts w:ascii="Verdana" w:hAnsi="Verdana" w:cs="Tahoma"/>
          <w:sz w:val="20"/>
        </w:rPr>
        <w:t xml:space="preserve">) no jornal </w:t>
      </w:r>
      <w:r>
        <w:rPr>
          <w:rFonts w:ascii="Verdana" w:hAnsi="Verdana"/>
          <w:sz w:val="20"/>
        </w:rPr>
        <w:t>“Diário de Barretos</w:t>
      </w:r>
      <w:r>
        <w:rPr>
          <w:rFonts w:ascii="Verdana" w:hAnsi="Verdana" w:cs="Tahoma"/>
          <w:sz w:val="20"/>
        </w:rPr>
        <w:t>” (“</w:t>
      </w:r>
      <w:r>
        <w:rPr>
          <w:rFonts w:ascii="Verdana" w:hAnsi="Verdana" w:cs="Tahoma"/>
          <w:sz w:val="20"/>
          <w:u w:val="single"/>
        </w:rPr>
        <w:t>Jornais de Publicação</w:t>
      </w:r>
      <w:r>
        <w:rPr>
          <w:rFonts w:ascii="Verdana" w:hAnsi="Verdana" w:cs="Tahoma"/>
          <w:sz w:val="20"/>
        </w:rPr>
        <w:t xml:space="preserve">”). </w:t>
      </w:r>
    </w:p>
    <w:p w:rsidR="00DE19C8" w:rsidRDefault="00DE19C8">
      <w:pPr>
        <w:tabs>
          <w:tab w:val="left" w:pos="3567"/>
        </w:tabs>
        <w:suppressAutoHyphens/>
        <w:spacing w:line="318" w:lineRule="exact"/>
        <w:contextualSpacing/>
        <w:rPr>
          <w:rFonts w:ascii="Verdana" w:hAnsi="Verdana" w:cs="Tahoma"/>
          <w:sz w:val="20"/>
        </w:rPr>
      </w:pPr>
    </w:p>
    <w:p w:rsidR="00DE19C8" w:rsidRDefault="00626B63">
      <w:pPr>
        <w:keepNext/>
        <w:suppressAutoHyphens/>
        <w:spacing w:line="318" w:lineRule="exact"/>
        <w:contextualSpacing/>
        <w:rPr>
          <w:rFonts w:ascii="Verdana" w:hAnsi="Verdana" w:cs="Tahoma"/>
          <w:b/>
          <w:sz w:val="20"/>
        </w:rPr>
      </w:pPr>
      <w:r>
        <w:rPr>
          <w:rFonts w:ascii="Verdana" w:hAnsi="Verdana" w:cs="Tahoma"/>
          <w:b/>
          <w:sz w:val="20"/>
        </w:rPr>
        <w:t>2.3.</w:t>
      </w:r>
      <w:r>
        <w:rPr>
          <w:rFonts w:ascii="Verdana" w:hAnsi="Verdana" w:cs="Tahoma"/>
          <w:b/>
          <w:sz w:val="20"/>
        </w:rPr>
        <w:tab/>
        <w:t>Registro da Escritura de Emissão</w:t>
      </w:r>
    </w:p>
    <w:p w:rsidR="00DE19C8" w:rsidRDefault="00DE19C8">
      <w:pPr>
        <w:keepNext/>
        <w:suppressAutoHyphens/>
        <w:spacing w:line="318" w:lineRule="exact"/>
        <w:contextualSpacing/>
        <w:rPr>
          <w:rFonts w:ascii="Verdana" w:hAnsi="Verdana" w:cs="Tahoma"/>
          <w:b/>
          <w:sz w:val="20"/>
        </w:rPr>
      </w:pPr>
    </w:p>
    <w:p w:rsidR="00DE19C8" w:rsidRDefault="00626B63">
      <w:pPr>
        <w:keepNext/>
        <w:suppressAutoHyphens/>
        <w:spacing w:line="318" w:lineRule="exact"/>
        <w:contextualSpacing/>
        <w:rPr>
          <w:rFonts w:ascii="Verdana" w:hAnsi="Verdana" w:cs="Tahoma"/>
          <w:b/>
          <w:sz w:val="20"/>
        </w:rPr>
      </w:pPr>
      <w:r>
        <w:rPr>
          <w:rFonts w:ascii="Verdana" w:hAnsi="Verdana" w:cs="Tahoma"/>
          <w:sz w:val="20"/>
        </w:rPr>
        <w:t>2.3.1.</w:t>
      </w:r>
      <w:r>
        <w:rPr>
          <w:rFonts w:ascii="Verdana" w:hAnsi="Verdana" w:cs="Tahoma"/>
          <w:sz w:val="20"/>
        </w:rPr>
        <w:tab/>
        <w:t>A presente Escritura de Emissão e seus eventuais aditamentos serão registr</w:t>
      </w:r>
      <w:r>
        <w:rPr>
          <w:rFonts w:ascii="Verdana" w:hAnsi="Verdana" w:cs="Tahoma"/>
          <w:sz w:val="20"/>
        </w:rPr>
        <w:t>ados na JUCESP, de acordo com o artigo 62, inciso II</w:t>
      </w:r>
      <w:r>
        <w:rPr>
          <w:rFonts w:ascii="Verdana" w:hAnsi="Verdana"/>
          <w:sz w:val="22"/>
        </w:rPr>
        <w:t xml:space="preserve"> </w:t>
      </w:r>
      <w:r>
        <w:rPr>
          <w:rFonts w:ascii="Verdana" w:hAnsi="Verdana" w:cs="Tahoma"/>
          <w:sz w:val="20"/>
        </w:rPr>
        <w:t>e parágrafo 3º, da Lei das Sociedades por Ações.</w:t>
      </w:r>
      <w:r>
        <w:rPr>
          <w:rFonts w:ascii="Verdana" w:hAnsi="Verdana" w:cs="Tahoma"/>
          <w:b/>
          <w:sz w:val="20"/>
        </w:rPr>
        <w:t xml:space="preserve"> </w:t>
      </w:r>
    </w:p>
    <w:p w:rsidR="00DE19C8" w:rsidRDefault="00DE19C8">
      <w:pPr>
        <w:keepNext/>
        <w:suppressAutoHyphens/>
        <w:spacing w:line="318" w:lineRule="exact"/>
        <w:contextualSpacing/>
        <w:rPr>
          <w:rFonts w:ascii="Verdana" w:hAnsi="Verdana" w:cs="Tahoma"/>
          <w:b/>
          <w:sz w:val="20"/>
        </w:rPr>
      </w:pPr>
    </w:p>
    <w:p w:rsidR="00DE19C8" w:rsidRDefault="00626B63">
      <w:pPr>
        <w:keepNext/>
        <w:suppressAutoHyphens/>
        <w:spacing w:line="318" w:lineRule="exact"/>
        <w:contextualSpacing/>
        <w:rPr>
          <w:rFonts w:ascii="Verdana" w:hAnsi="Verdana" w:cs="Tahoma"/>
          <w:b/>
          <w:sz w:val="20"/>
        </w:rPr>
      </w:pPr>
      <w:r>
        <w:rPr>
          <w:rFonts w:ascii="Verdana" w:hAnsi="Verdana" w:cs="Tahoma"/>
          <w:b/>
          <w:sz w:val="20"/>
        </w:rPr>
        <w:t xml:space="preserve">2.3.2. </w:t>
      </w:r>
      <w:r>
        <w:rPr>
          <w:rFonts w:ascii="Verdana" w:hAnsi="Verdana" w:cs="Tahoma"/>
          <w:sz w:val="20"/>
        </w:rPr>
        <w:t xml:space="preserve">Nos termos da Cláusula 4.1.4 abaixo, esta Escritura de Emissão será objeto de aditamento para refletir o resultado do Procedimento de </w:t>
      </w:r>
      <w:proofErr w:type="spellStart"/>
      <w:r>
        <w:rPr>
          <w:rFonts w:ascii="Verdana" w:hAnsi="Verdana" w:cs="Tahoma"/>
          <w:i/>
          <w:sz w:val="20"/>
        </w:rPr>
        <w:t>Bookbuildin</w:t>
      </w:r>
      <w:r>
        <w:rPr>
          <w:rFonts w:ascii="Verdana" w:hAnsi="Verdana" w:cs="Tahoma"/>
          <w:i/>
          <w:sz w:val="20"/>
        </w:rPr>
        <w:t>g</w:t>
      </w:r>
      <w:proofErr w:type="spellEnd"/>
      <w:r>
        <w:rPr>
          <w:rFonts w:ascii="Verdana" w:hAnsi="Verdana" w:cs="Tahoma"/>
          <w:sz w:val="20"/>
        </w:rPr>
        <w:t xml:space="preserve"> (conforme abaixo definido), o qual irá definir a taxa final dos Juros Remuneratórios e a quantidade de Debêntures a serem efetivamente emitidas em cada série, nos termos e condições aprovados na RCA da Emissão e, portanto, sem a necessidade de nova aprov</w:t>
      </w:r>
      <w:r>
        <w:rPr>
          <w:rFonts w:ascii="Verdana" w:hAnsi="Verdana" w:cs="Tahoma"/>
          <w:sz w:val="20"/>
        </w:rPr>
        <w:t>ação societária pela Emissora ou de realização de Assembleia Geral de Debenturistas. O aditamento de que trata esta Cláusula será inscrito na JUCESP, nos termos da Cláusula 2.3.1. acima, devendo ser apresentado à B3 antes da primeira Data de Integralização</w:t>
      </w:r>
      <w:r>
        <w:rPr>
          <w:rFonts w:ascii="Verdana" w:hAnsi="Verdana" w:cs="Tahoma"/>
          <w:sz w:val="20"/>
        </w:rPr>
        <w:t xml:space="preserve"> das Debêntures.</w:t>
      </w:r>
    </w:p>
    <w:p w:rsidR="00DE19C8" w:rsidRDefault="00DE19C8">
      <w:pPr>
        <w:keepNext/>
        <w:suppressAutoHyphens/>
        <w:spacing w:line="318" w:lineRule="exact"/>
        <w:contextualSpacing/>
        <w:rPr>
          <w:rFonts w:ascii="Verdana" w:hAnsi="Verdana"/>
          <w:sz w:val="20"/>
        </w:rPr>
      </w:pPr>
    </w:p>
    <w:p w:rsidR="00DE19C8" w:rsidRDefault="00626B63">
      <w:pPr>
        <w:keepNext/>
        <w:widowControl w:val="0"/>
        <w:suppressAutoHyphens/>
        <w:spacing w:line="318" w:lineRule="exact"/>
        <w:contextualSpacing/>
        <w:rPr>
          <w:rFonts w:ascii="Verdana" w:hAnsi="Verdana" w:cs="Tahoma"/>
          <w:b/>
          <w:sz w:val="20"/>
        </w:rPr>
      </w:pPr>
      <w:r>
        <w:rPr>
          <w:rFonts w:ascii="Verdana" w:hAnsi="Verdana" w:cs="Tahoma"/>
          <w:b/>
          <w:sz w:val="20"/>
        </w:rPr>
        <w:t>2.4.</w:t>
      </w:r>
      <w:r>
        <w:rPr>
          <w:rFonts w:ascii="Verdana" w:hAnsi="Verdana" w:cs="Tahoma"/>
          <w:b/>
          <w:sz w:val="20"/>
        </w:rPr>
        <w:tab/>
        <w:t>Depósito para Distribuição e Negociação</w:t>
      </w:r>
    </w:p>
    <w:p w:rsidR="00DE19C8" w:rsidRDefault="00DE19C8">
      <w:pPr>
        <w:suppressAutoHyphens/>
        <w:spacing w:line="318" w:lineRule="exact"/>
        <w:contextualSpacing/>
        <w:rPr>
          <w:rFonts w:ascii="Verdana" w:hAnsi="Verdana" w:cs="Tahoma"/>
          <w:sz w:val="20"/>
        </w:rPr>
      </w:pPr>
    </w:p>
    <w:p w:rsidR="00DE19C8" w:rsidRDefault="00626B63">
      <w:pPr>
        <w:tabs>
          <w:tab w:val="left" w:pos="709"/>
        </w:tabs>
        <w:suppressAutoHyphens/>
        <w:spacing w:line="318" w:lineRule="exact"/>
        <w:contextualSpacing/>
        <w:rPr>
          <w:rFonts w:ascii="Verdana" w:hAnsi="Verdana" w:cs="Tahoma"/>
          <w:sz w:val="20"/>
        </w:rPr>
      </w:pPr>
      <w:r>
        <w:rPr>
          <w:rFonts w:ascii="Verdana" w:hAnsi="Verdana" w:cs="Tahoma"/>
          <w:sz w:val="20"/>
        </w:rPr>
        <w:t>2.4.1.</w:t>
      </w:r>
      <w:r>
        <w:rPr>
          <w:rFonts w:ascii="Verdana" w:hAnsi="Verdana" w:cs="Tahoma"/>
          <w:sz w:val="20"/>
        </w:rPr>
        <w:tab/>
        <w:t>As Debêntures serão devidamente depositadas para:</w:t>
      </w:r>
    </w:p>
    <w:p w:rsidR="00DE19C8" w:rsidRDefault="00DE19C8">
      <w:pPr>
        <w:suppressAutoHyphens/>
        <w:spacing w:line="318" w:lineRule="exact"/>
        <w:contextualSpacing/>
        <w:rPr>
          <w:rFonts w:ascii="Verdana" w:hAnsi="Verdana" w:cs="Tahoma"/>
          <w:sz w:val="20"/>
        </w:rPr>
      </w:pPr>
    </w:p>
    <w:p w:rsidR="00DE19C8" w:rsidRDefault="00626B63">
      <w:pPr>
        <w:numPr>
          <w:ilvl w:val="0"/>
          <w:numId w:val="37"/>
        </w:numPr>
        <w:suppressAutoHyphens/>
        <w:spacing w:line="318" w:lineRule="exact"/>
        <w:ind w:left="1276" w:hanging="709"/>
        <w:contextualSpacing/>
        <w:rPr>
          <w:rFonts w:ascii="Verdana" w:hAnsi="Verdana" w:cs="Tahoma"/>
          <w:sz w:val="20"/>
        </w:rPr>
      </w:pPr>
      <w:r>
        <w:rPr>
          <w:rFonts w:ascii="Verdana" w:hAnsi="Verdana"/>
          <w:sz w:val="20"/>
        </w:rPr>
        <w:t xml:space="preserve">distribuição no mercado primário por meio do </w:t>
      </w:r>
      <w:r>
        <w:rPr>
          <w:rFonts w:ascii="Verdana" w:hAnsi="Verdana"/>
          <w:iCs/>
          <w:sz w:val="20"/>
        </w:rPr>
        <w:t>MDA – Módulo de Distribuição de Ativos (“</w:t>
      </w:r>
      <w:r>
        <w:rPr>
          <w:rFonts w:ascii="Verdana" w:hAnsi="Verdana"/>
          <w:iCs/>
          <w:sz w:val="20"/>
          <w:u w:val="single"/>
        </w:rPr>
        <w:t>MDA</w:t>
      </w:r>
      <w:r>
        <w:rPr>
          <w:rFonts w:ascii="Verdana" w:hAnsi="Verdana"/>
          <w:iCs/>
          <w:sz w:val="20"/>
        </w:rPr>
        <w:t>”), administrado e operacionalizado pela B3 S</w:t>
      </w:r>
      <w:r>
        <w:rPr>
          <w:rFonts w:ascii="Verdana" w:hAnsi="Verdana"/>
          <w:iCs/>
          <w:sz w:val="20"/>
        </w:rPr>
        <w:t xml:space="preserve">.A. – Brasil, Bolsa, Balcão </w:t>
      </w:r>
      <w:r>
        <w:rPr>
          <w:rFonts w:ascii="Verdana" w:hAnsi="Verdana"/>
          <w:sz w:val="20"/>
        </w:rPr>
        <w:t xml:space="preserve">– Segmento CETIP UTVM </w:t>
      </w:r>
      <w:r>
        <w:rPr>
          <w:rFonts w:ascii="Verdana" w:hAnsi="Verdana"/>
          <w:iCs/>
          <w:sz w:val="20"/>
        </w:rPr>
        <w:t>(“</w:t>
      </w:r>
      <w:r>
        <w:rPr>
          <w:rFonts w:ascii="Verdana" w:hAnsi="Verdana"/>
          <w:iCs/>
          <w:sz w:val="20"/>
          <w:u w:val="single"/>
        </w:rPr>
        <w:t>B3</w:t>
      </w:r>
      <w:r>
        <w:rPr>
          <w:rFonts w:ascii="Verdana" w:hAnsi="Verdana"/>
          <w:sz w:val="20"/>
          <w:u w:val="single"/>
        </w:rPr>
        <w:t xml:space="preserve"> </w:t>
      </w:r>
      <w:r>
        <w:rPr>
          <w:rFonts w:ascii="Verdana" w:hAnsi="Verdana"/>
          <w:iCs/>
          <w:sz w:val="20"/>
          <w:u w:val="single"/>
        </w:rPr>
        <w:t xml:space="preserve">– Segmento </w:t>
      </w:r>
      <w:proofErr w:type="spellStart"/>
      <w:r>
        <w:rPr>
          <w:rFonts w:ascii="Verdana" w:hAnsi="Verdana"/>
          <w:iCs/>
          <w:sz w:val="20"/>
          <w:u w:val="single"/>
        </w:rPr>
        <w:t>Cetip</w:t>
      </w:r>
      <w:proofErr w:type="spellEnd"/>
      <w:r>
        <w:rPr>
          <w:rFonts w:ascii="Verdana" w:hAnsi="Verdana"/>
          <w:iCs/>
          <w:sz w:val="20"/>
          <w:u w:val="single"/>
        </w:rPr>
        <w:t xml:space="preserve"> UTVM</w:t>
      </w:r>
      <w:r>
        <w:rPr>
          <w:rFonts w:ascii="Verdana" w:hAnsi="Verdana"/>
          <w:iCs/>
          <w:sz w:val="20"/>
        </w:rPr>
        <w:t>”), sendo a distribuição liquidada financeiramente por meio da B3 – Segmento CETIP UTVM</w:t>
      </w:r>
      <w:r>
        <w:rPr>
          <w:rFonts w:ascii="Verdana" w:hAnsi="Verdana"/>
          <w:sz w:val="20"/>
        </w:rPr>
        <w:t>; e</w:t>
      </w:r>
    </w:p>
    <w:p w:rsidR="00DE19C8" w:rsidRDefault="00DE19C8">
      <w:pPr>
        <w:suppressAutoHyphens/>
        <w:spacing w:line="318" w:lineRule="exact"/>
        <w:ind w:left="1276" w:hanging="709"/>
        <w:contextualSpacing/>
        <w:rPr>
          <w:rFonts w:ascii="Verdana" w:hAnsi="Verdana" w:cs="Tahoma"/>
          <w:sz w:val="20"/>
        </w:rPr>
      </w:pPr>
    </w:p>
    <w:p w:rsidR="00DE19C8" w:rsidRDefault="00626B63">
      <w:pPr>
        <w:numPr>
          <w:ilvl w:val="0"/>
          <w:numId w:val="37"/>
        </w:numPr>
        <w:suppressAutoHyphens/>
        <w:spacing w:line="318" w:lineRule="exact"/>
        <w:ind w:left="1276" w:hanging="709"/>
        <w:contextualSpacing/>
        <w:rPr>
          <w:rFonts w:ascii="Verdana" w:hAnsi="Verdana" w:cs="Tahoma"/>
          <w:sz w:val="20"/>
        </w:rPr>
      </w:pPr>
      <w:r>
        <w:rPr>
          <w:rFonts w:ascii="Verdana" w:hAnsi="Verdana"/>
          <w:sz w:val="20"/>
        </w:rPr>
        <w:t>observado o disposto no item 2.4.2 abaixo, negociação no mercado secundário por meio</w:t>
      </w:r>
      <w:r>
        <w:rPr>
          <w:rFonts w:ascii="Verdana" w:hAnsi="Verdana"/>
          <w:iCs/>
          <w:sz w:val="20"/>
        </w:rPr>
        <w:t xml:space="preserve"> do </w:t>
      </w:r>
      <w:r>
        <w:rPr>
          <w:rFonts w:ascii="Verdana" w:hAnsi="Verdana"/>
          <w:sz w:val="20"/>
        </w:rPr>
        <w:t>CETIP21 – Títulos e Valores Mobiliários (“</w:t>
      </w:r>
      <w:r>
        <w:rPr>
          <w:rFonts w:ascii="Verdana" w:hAnsi="Verdana"/>
          <w:sz w:val="20"/>
          <w:u w:val="single"/>
        </w:rPr>
        <w:t>CETIP21</w:t>
      </w:r>
      <w:r>
        <w:rPr>
          <w:rFonts w:ascii="Verdana" w:hAnsi="Verdana"/>
          <w:sz w:val="20"/>
        </w:rPr>
        <w:t>”), a</w:t>
      </w:r>
      <w:r>
        <w:rPr>
          <w:rFonts w:ascii="Verdana" w:hAnsi="Verdana"/>
          <w:iCs/>
          <w:sz w:val="20"/>
        </w:rPr>
        <w:t>dministrado e operacionalizado pela B3</w:t>
      </w:r>
      <w:r>
        <w:rPr>
          <w:rFonts w:ascii="Verdana" w:hAnsi="Verdana"/>
          <w:sz w:val="20"/>
        </w:rPr>
        <w:t xml:space="preserve"> </w:t>
      </w:r>
      <w:r>
        <w:rPr>
          <w:rFonts w:ascii="Verdana" w:hAnsi="Verdana"/>
          <w:iCs/>
          <w:sz w:val="20"/>
        </w:rPr>
        <w:t xml:space="preserve">– Segmento </w:t>
      </w:r>
      <w:proofErr w:type="spellStart"/>
      <w:r>
        <w:rPr>
          <w:rFonts w:ascii="Verdana" w:hAnsi="Verdana"/>
          <w:iCs/>
          <w:sz w:val="20"/>
        </w:rPr>
        <w:t>Cetip</w:t>
      </w:r>
      <w:proofErr w:type="spellEnd"/>
      <w:r>
        <w:rPr>
          <w:rFonts w:ascii="Verdana" w:hAnsi="Verdana"/>
          <w:iCs/>
          <w:sz w:val="20"/>
        </w:rPr>
        <w:t xml:space="preserve"> UTVM, sendo as negociações das Debêntures liquidadas financeiramente por meio da B3</w:t>
      </w:r>
      <w:r>
        <w:rPr>
          <w:rFonts w:ascii="Verdana" w:hAnsi="Verdana"/>
          <w:sz w:val="20"/>
        </w:rPr>
        <w:t xml:space="preserve"> </w:t>
      </w:r>
      <w:r>
        <w:rPr>
          <w:rFonts w:ascii="Verdana" w:hAnsi="Verdana"/>
          <w:iCs/>
          <w:sz w:val="20"/>
        </w:rPr>
        <w:t xml:space="preserve">– Segmento </w:t>
      </w:r>
      <w:proofErr w:type="spellStart"/>
      <w:r>
        <w:rPr>
          <w:rFonts w:ascii="Verdana" w:hAnsi="Verdana"/>
          <w:iCs/>
          <w:sz w:val="20"/>
        </w:rPr>
        <w:t>Cetip</w:t>
      </w:r>
      <w:proofErr w:type="spellEnd"/>
      <w:r>
        <w:rPr>
          <w:rFonts w:ascii="Verdana" w:hAnsi="Verdana"/>
          <w:iCs/>
          <w:sz w:val="20"/>
        </w:rPr>
        <w:t xml:space="preserve"> UTVM e as Debêntures custodiadas eletronicame</w:t>
      </w:r>
      <w:r>
        <w:rPr>
          <w:rFonts w:ascii="Verdana" w:hAnsi="Verdana"/>
          <w:iCs/>
          <w:sz w:val="20"/>
        </w:rPr>
        <w:t>nte na B3</w:t>
      </w:r>
      <w:r>
        <w:rPr>
          <w:rFonts w:ascii="Verdana" w:hAnsi="Verdana"/>
          <w:sz w:val="20"/>
        </w:rPr>
        <w:t xml:space="preserve"> </w:t>
      </w:r>
      <w:r>
        <w:rPr>
          <w:rFonts w:ascii="Verdana" w:hAnsi="Verdana"/>
          <w:iCs/>
          <w:sz w:val="20"/>
        </w:rPr>
        <w:t xml:space="preserve">– Segmento </w:t>
      </w:r>
      <w:proofErr w:type="spellStart"/>
      <w:r>
        <w:rPr>
          <w:rFonts w:ascii="Verdana" w:hAnsi="Verdana"/>
          <w:iCs/>
          <w:sz w:val="20"/>
        </w:rPr>
        <w:t>Cetip</w:t>
      </w:r>
      <w:proofErr w:type="spellEnd"/>
      <w:r>
        <w:rPr>
          <w:rFonts w:ascii="Verdana" w:hAnsi="Verdana"/>
          <w:iCs/>
          <w:sz w:val="20"/>
        </w:rPr>
        <w:t xml:space="preserve"> UTVM.</w:t>
      </w:r>
    </w:p>
    <w:p w:rsidR="00DE19C8" w:rsidRDefault="00DE19C8">
      <w:pPr>
        <w:suppressAutoHyphens/>
        <w:spacing w:line="318" w:lineRule="exact"/>
        <w:contextualSpacing/>
        <w:rPr>
          <w:rFonts w:ascii="Verdana" w:hAnsi="Verdana" w:cs="Tahoma"/>
          <w:sz w:val="20"/>
        </w:rPr>
      </w:pPr>
    </w:p>
    <w:p w:rsidR="00DE19C8" w:rsidRDefault="00626B63">
      <w:pPr>
        <w:tabs>
          <w:tab w:val="left" w:pos="709"/>
        </w:tabs>
        <w:spacing w:line="318" w:lineRule="exact"/>
        <w:contextualSpacing/>
        <w:rPr>
          <w:rFonts w:ascii="Verdana" w:hAnsi="Verdana" w:cs="Tahoma"/>
          <w:sz w:val="20"/>
        </w:rPr>
      </w:pPr>
      <w:r>
        <w:rPr>
          <w:rFonts w:ascii="Verdana" w:hAnsi="Verdana" w:cs="Tahoma"/>
          <w:sz w:val="20"/>
        </w:rPr>
        <w:t>2.4.2.</w:t>
      </w:r>
      <w:r>
        <w:rPr>
          <w:rFonts w:ascii="Verdana" w:hAnsi="Verdana" w:cs="Tahoma"/>
          <w:sz w:val="20"/>
        </w:rPr>
        <w:tab/>
        <w:t>Não obstante o descrito no item 2.4.1 acima, nos termos dos artigos 13 e 15 da Instrução CVM 476, as Debêntures somente poderão ser negociadas</w:t>
      </w:r>
      <w:r>
        <w:rPr>
          <w:rFonts w:ascii="Verdana" w:hAnsi="Verdana"/>
          <w:sz w:val="20"/>
        </w:rPr>
        <w:t xml:space="preserve">, </w:t>
      </w:r>
      <w:r>
        <w:rPr>
          <w:rFonts w:ascii="Verdana" w:hAnsi="Verdana" w:cs="Tahoma"/>
          <w:sz w:val="20"/>
        </w:rPr>
        <w:t xml:space="preserve">em mercado de balcão organizado depois de decorridos 90 (noventa) dias </w:t>
      </w:r>
      <w:r>
        <w:rPr>
          <w:rFonts w:ascii="Verdana" w:hAnsi="Verdana" w:cs="Tahoma"/>
          <w:sz w:val="20"/>
        </w:rPr>
        <w:t xml:space="preserve">contados da data de cada subscrição ou aquisição pelos Investidores Profissionais, exceto pelo lote de Debêntures objeto da Garantia Firme (conforme abaixo definido) exercida pelos Coordenadores (conforme abaixo definidos), </w:t>
      </w:r>
      <w:r>
        <w:rPr>
          <w:rFonts w:ascii="Verdana" w:hAnsi="Verdana" w:cs="Tahoma"/>
          <w:sz w:val="20"/>
        </w:rPr>
        <w:lastRenderedPageBreak/>
        <w:t>conforme o caso, indicado no mom</w:t>
      </w:r>
      <w:r>
        <w:rPr>
          <w:rFonts w:ascii="Verdana" w:hAnsi="Verdana" w:cs="Tahoma"/>
          <w:sz w:val="20"/>
        </w:rPr>
        <w:t>ento da subscrição, observados, na negociação subsequente, os limites e condições previstos nos artigos 2º e 3º da Instrução CVM 476, devendo ainda serem observadas pela Emissora as obrigações previstas no artigo 17 da Instrução CVM 476, bem como as normas</w:t>
      </w:r>
      <w:r>
        <w:rPr>
          <w:rFonts w:ascii="Verdana" w:hAnsi="Verdana" w:cs="Tahoma"/>
          <w:sz w:val="20"/>
        </w:rPr>
        <w:t xml:space="preserve"> e condutas previstas no artigo 12 da Instrução CVM 476. </w:t>
      </w:r>
    </w:p>
    <w:p w:rsidR="00DE19C8" w:rsidRDefault="00DE19C8">
      <w:pPr>
        <w:suppressAutoHyphens/>
        <w:spacing w:line="318" w:lineRule="exact"/>
        <w:contextualSpacing/>
        <w:rPr>
          <w:rFonts w:ascii="Verdana" w:hAnsi="Verdana" w:cs="Tahoma"/>
          <w:sz w:val="20"/>
        </w:rPr>
      </w:pPr>
    </w:p>
    <w:p w:rsidR="00DE19C8" w:rsidRDefault="00626B63">
      <w:pPr>
        <w:pStyle w:val="Ttulo2"/>
        <w:suppressAutoHyphens/>
        <w:spacing w:line="318" w:lineRule="exact"/>
        <w:contextualSpacing/>
        <w:rPr>
          <w:rFonts w:ascii="Verdana" w:hAnsi="Verdana" w:cs="Tahoma"/>
          <w:sz w:val="20"/>
        </w:rPr>
      </w:pPr>
      <w:bookmarkStart w:id="96" w:name="_Toc514873571"/>
      <w:r>
        <w:rPr>
          <w:rFonts w:ascii="Verdana" w:hAnsi="Verdana" w:cs="Tahoma"/>
          <w:sz w:val="20"/>
        </w:rPr>
        <w:t>CLÁUSULA TERCEIRA – DAS CARACTERÍSTICAS DA EMISSÃO</w:t>
      </w:r>
      <w:bookmarkEnd w:id="96"/>
    </w:p>
    <w:p w:rsidR="00DE19C8" w:rsidRDefault="00DE19C8">
      <w:pPr>
        <w:suppressAutoHyphens/>
        <w:spacing w:line="318" w:lineRule="exact"/>
        <w:contextualSpacing/>
        <w:rPr>
          <w:rFonts w:ascii="Verdana" w:hAnsi="Verdana" w:cs="Tahoma"/>
          <w:b/>
          <w:sz w:val="20"/>
        </w:rPr>
      </w:pPr>
    </w:p>
    <w:p w:rsidR="00DE19C8" w:rsidRDefault="00626B63">
      <w:pPr>
        <w:numPr>
          <w:ilvl w:val="0"/>
          <w:numId w:val="69"/>
        </w:numPr>
        <w:suppressAutoHyphens/>
        <w:spacing w:line="318" w:lineRule="exact"/>
        <w:ind w:left="0" w:firstLine="0"/>
        <w:contextualSpacing/>
        <w:rPr>
          <w:rFonts w:ascii="Verdana" w:hAnsi="Verdana" w:cs="Tahoma"/>
          <w:b/>
          <w:sz w:val="20"/>
        </w:rPr>
      </w:pPr>
      <w:r>
        <w:rPr>
          <w:rFonts w:ascii="Verdana" w:hAnsi="Verdana" w:cs="Tahoma"/>
          <w:b/>
          <w:sz w:val="20"/>
        </w:rPr>
        <w:t>Objeto Social da Emissora</w:t>
      </w:r>
    </w:p>
    <w:p w:rsidR="00DE19C8" w:rsidRDefault="00DE19C8">
      <w:pPr>
        <w:suppressAutoHyphens/>
        <w:spacing w:line="318" w:lineRule="exact"/>
        <w:contextualSpacing/>
        <w:rPr>
          <w:rFonts w:ascii="Verdana" w:hAnsi="Verdana" w:cs="Tahoma"/>
          <w:b/>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3.1.1.</w:t>
      </w:r>
      <w:r>
        <w:rPr>
          <w:rFonts w:ascii="Verdana" w:hAnsi="Verdana" w:cs="Tahoma"/>
          <w:sz w:val="20"/>
        </w:rPr>
        <w:tab/>
        <w:t xml:space="preserve">Nos termos do artigo 3º do seu Estatuto Social, a Emissora tem por objeto social: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I. explorar a indústria e c</w:t>
      </w:r>
      <w:r>
        <w:rPr>
          <w:rFonts w:ascii="Verdana" w:hAnsi="Verdana" w:cs="Tahoma"/>
          <w:sz w:val="20"/>
        </w:rPr>
        <w:t>omércio de carnes, a agropecuária e, sob todas as suas modalidades, inclusive, mas sem limitação: (i) produzir, processar, industrializar, comercializar, comprar, vender, importar, exportar, distribuir, beneficiar e representar: (a) gado bovino, ovino, suí</w:t>
      </w:r>
      <w:r>
        <w:rPr>
          <w:rFonts w:ascii="Verdana" w:hAnsi="Verdana" w:cs="Tahoma"/>
          <w:sz w:val="20"/>
        </w:rPr>
        <w:t xml:space="preserve">no, aves e outros animais, em pé ou abatidos, bem como carnes, miúdos, produtos e subprodutos derivados dos mesmos, quer em estado natural, quer manufaturados, quer manipulados de qualquer forma ou maneira; (b) pescados ou produtos comestíveis do mar; (c) </w:t>
      </w:r>
      <w:r>
        <w:rPr>
          <w:rFonts w:ascii="Verdana" w:hAnsi="Verdana" w:cs="Tahoma"/>
          <w:sz w:val="20"/>
        </w:rPr>
        <w:t>produtos e subprodutos de origem animal e vegetal, comestíveis ou não, incluindo-se, mas não se limitando a, produtos para animais (tais como aditivos nutricionais para ração animal, rações balanceadas e alimentos preparados para animais), condimentos, gli</w:t>
      </w:r>
      <w:r>
        <w:rPr>
          <w:rFonts w:ascii="Verdana" w:hAnsi="Verdana" w:cs="Tahoma"/>
          <w:sz w:val="20"/>
        </w:rPr>
        <w:t xml:space="preserve">cerina, produtos de </w:t>
      </w:r>
      <w:proofErr w:type="spellStart"/>
      <w:r>
        <w:rPr>
          <w:rFonts w:ascii="Verdana" w:hAnsi="Verdana" w:cs="Tahoma"/>
          <w:sz w:val="20"/>
        </w:rPr>
        <w:t>graxaria</w:t>
      </w:r>
      <w:proofErr w:type="spellEnd"/>
      <w:r>
        <w:rPr>
          <w:rFonts w:ascii="Verdana" w:hAnsi="Verdana" w:cs="Tahoma"/>
          <w:sz w:val="20"/>
        </w:rPr>
        <w:t>, higiene e limpeza pessoal e doméstica, colágeno, perfumaria e artigos de toucador, cosméticos, derivados de curtimento e outras atividades relacionadas à preparação de couro; (d) proteínas e produtos alimentícios em geral, fre</w:t>
      </w:r>
      <w:r>
        <w:rPr>
          <w:rFonts w:ascii="Verdana" w:hAnsi="Verdana" w:cs="Tahoma"/>
          <w:sz w:val="20"/>
        </w:rPr>
        <w:t>scos ou preparados, transformados ou não, para os mercados brasileiro e estrangeiro; (e) produtos relacionados à exploração das atividades acima relacionadas, tais como fitas de serra, facas, ganchos, uniformes e assessórios descartáveis e embalagens aprop</w:t>
      </w:r>
      <w:r>
        <w:rPr>
          <w:rFonts w:ascii="Verdana" w:hAnsi="Verdana" w:cs="Tahoma"/>
          <w:sz w:val="20"/>
        </w:rPr>
        <w:t>riadas; (f) a indústria e a cultura canavieira, em terras próprias ou por meio de parceria agrícola em terras de terceiros, e o comércio de açúcar, álcool e seus derivados; e (g) quaisquer produtos relacionados às atividades constantes dos itens anteriores</w:t>
      </w:r>
      <w:r>
        <w:rPr>
          <w:rFonts w:ascii="Verdana" w:hAnsi="Verdana" w:cs="Tahoma"/>
          <w:sz w:val="20"/>
        </w:rPr>
        <w:t>; (</w:t>
      </w:r>
      <w:proofErr w:type="spellStart"/>
      <w:r>
        <w:rPr>
          <w:rFonts w:ascii="Verdana" w:hAnsi="Verdana" w:cs="Tahoma"/>
          <w:sz w:val="20"/>
        </w:rPr>
        <w:t>ii</w:t>
      </w:r>
      <w:proofErr w:type="spellEnd"/>
      <w:r>
        <w:rPr>
          <w:rFonts w:ascii="Verdana" w:hAnsi="Verdana" w:cs="Tahoma"/>
          <w:sz w:val="20"/>
        </w:rPr>
        <w:t>) fundar, instalar e explorar matadouros, frigoríficos e estabelecimentos industriais destinados a elaborar e conservar, por qualquer processo de que sejam suscetíveis, as carnes e demais produtos provenientes de abate de gado de qualquer espécie; (</w:t>
      </w:r>
      <w:proofErr w:type="spellStart"/>
      <w:r>
        <w:rPr>
          <w:rFonts w:ascii="Verdana" w:hAnsi="Verdana" w:cs="Tahoma"/>
          <w:sz w:val="20"/>
        </w:rPr>
        <w:t>ii</w:t>
      </w:r>
      <w:r>
        <w:rPr>
          <w:rFonts w:ascii="Verdana" w:hAnsi="Verdana" w:cs="Tahoma"/>
          <w:sz w:val="20"/>
        </w:rPr>
        <w:t>i</w:t>
      </w:r>
      <w:proofErr w:type="spellEnd"/>
      <w:r>
        <w:rPr>
          <w:rFonts w:ascii="Verdana" w:hAnsi="Verdana" w:cs="Tahoma"/>
          <w:sz w:val="20"/>
        </w:rPr>
        <w:t>) construir, comercializar, instalar, importar e exportar, por conta própria ou de terceiros, máquinas, peças de máquinas e aparelhos destinados ao preparo de carnes e seus derivados; (</w:t>
      </w:r>
      <w:proofErr w:type="spellStart"/>
      <w:r>
        <w:rPr>
          <w:rFonts w:ascii="Verdana" w:hAnsi="Verdana" w:cs="Tahoma"/>
          <w:sz w:val="20"/>
        </w:rPr>
        <w:t>iv</w:t>
      </w:r>
      <w:proofErr w:type="spellEnd"/>
      <w:r>
        <w:rPr>
          <w:rFonts w:ascii="Verdana" w:hAnsi="Verdana" w:cs="Tahoma"/>
          <w:sz w:val="20"/>
        </w:rPr>
        <w:t xml:space="preserve">) explorar o negócio de armazéns gerais e depósitos, principalmente </w:t>
      </w:r>
      <w:r>
        <w:rPr>
          <w:rFonts w:ascii="Verdana" w:hAnsi="Verdana" w:cs="Tahoma"/>
          <w:sz w:val="20"/>
        </w:rPr>
        <w:t>pelo frio, de carnes e seus derivados comestíveis e outros perecíveis, incluindo, mas não se limitando, a matérias-primas, embalagens, material intermediário e insumos em geral; (v) construir, dar ou exercer a agência ou representação de frigoríficos, entr</w:t>
      </w:r>
      <w:r>
        <w:rPr>
          <w:rFonts w:ascii="Verdana" w:hAnsi="Verdana" w:cs="Tahoma"/>
          <w:sz w:val="20"/>
        </w:rPr>
        <w:t xml:space="preserve">epostos, fábricas e produtores; (vi) gerar, produzir, comercializar, importar e exportar energia elétrica, biocombustível, e biodiesel e </w:t>
      </w:r>
      <w:r>
        <w:rPr>
          <w:rFonts w:ascii="Verdana" w:hAnsi="Verdana" w:cs="Tahoma"/>
          <w:sz w:val="20"/>
        </w:rPr>
        <w:lastRenderedPageBreak/>
        <w:t>seus derivados, a partir de gordura animal, óleo vegetal e subprodutos e bioenergia; (</w:t>
      </w:r>
      <w:proofErr w:type="spellStart"/>
      <w:r>
        <w:rPr>
          <w:rFonts w:ascii="Verdana" w:hAnsi="Verdana" w:cs="Tahoma"/>
          <w:sz w:val="20"/>
        </w:rPr>
        <w:t>vii</w:t>
      </w:r>
      <w:proofErr w:type="spellEnd"/>
      <w:r>
        <w:rPr>
          <w:rFonts w:ascii="Verdana" w:hAnsi="Verdana" w:cs="Tahoma"/>
          <w:sz w:val="20"/>
        </w:rPr>
        <w:t>) fabricar, comercializar, imp</w:t>
      </w:r>
      <w:r>
        <w:rPr>
          <w:rFonts w:ascii="Verdana" w:hAnsi="Verdana" w:cs="Tahoma"/>
          <w:sz w:val="20"/>
        </w:rPr>
        <w:t>ortar e exportar bebidas alcóolicas e não alcoólicas em geral, incluindo destilados, e dióxido de carbono liquefeito, bem como explorar as atividades de engarrafamento de referidas bebidas, em estabelecimentos próprios ou de terceiros; e (</w:t>
      </w:r>
      <w:proofErr w:type="spellStart"/>
      <w:r>
        <w:rPr>
          <w:rFonts w:ascii="Verdana" w:hAnsi="Verdana" w:cs="Tahoma"/>
          <w:sz w:val="20"/>
        </w:rPr>
        <w:t>viii</w:t>
      </w:r>
      <w:proofErr w:type="spellEnd"/>
      <w:r>
        <w:rPr>
          <w:rFonts w:ascii="Verdana" w:hAnsi="Verdana" w:cs="Tahoma"/>
          <w:sz w:val="20"/>
        </w:rPr>
        <w:t>) produzir, i</w:t>
      </w:r>
      <w:r>
        <w:rPr>
          <w:rFonts w:ascii="Verdana" w:hAnsi="Verdana" w:cs="Tahoma"/>
          <w:sz w:val="20"/>
        </w:rPr>
        <w:t>ndustrializar, distribuir, comercializar e armazenar produtos químicos em geral;</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 xml:space="preserve">II. prestar serviços a terceiros, inclusive de transporte de mercadorias;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III. participar de outras sociedades, no País ou no exterior, como sócia, acionista ou quotista; e</w:t>
      </w:r>
      <w:r>
        <w:rPr>
          <w:rFonts w:ascii="Verdana" w:hAnsi="Verdana" w:cs="Tahoma"/>
          <w:sz w:val="20"/>
        </w:rPr>
        <w:t xml:space="preserve">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 xml:space="preserve">IV. praticar e realizar todos os atos jurídicos que tenham relação direta ou indireta com os objetivos sociais. </w:t>
      </w:r>
    </w:p>
    <w:p w:rsidR="00DE19C8" w:rsidRDefault="00DE19C8">
      <w:pPr>
        <w:suppressAutoHyphens/>
        <w:spacing w:line="318" w:lineRule="exact"/>
        <w:contextualSpacing/>
        <w:rPr>
          <w:rFonts w:ascii="Verdana" w:hAnsi="Verdana" w:cs="Tahoma"/>
          <w:b/>
          <w:sz w:val="20"/>
        </w:rPr>
      </w:pPr>
    </w:p>
    <w:p w:rsidR="00DE19C8" w:rsidRDefault="00626B63">
      <w:pPr>
        <w:numPr>
          <w:ilvl w:val="0"/>
          <w:numId w:val="69"/>
        </w:numPr>
        <w:suppressAutoHyphens/>
        <w:spacing w:line="318" w:lineRule="exact"/>
        <w:ind w:left="0" w:firstLine="0"/>
        <w:contextualSpacing/>
        <w:rPr>
          <w:rFonts w:ascii="Verdana" w:hAnsi="Verdana" w:cs="Tahoma"/>
          <w:b/>
          <w:sz w:val="20"/>
        </w:rPr>
      </w:pPr>
      <w:r>
        <w:rPr>
          <w:rFonts w:ascii="Verdana" w:hAnsi="Verdana" w:cs="Tahoma"/>
          <w:b/>
          <w:sz w:val="20"/>
        </w:rPr>
        <w:t>Séries</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sz w:val="20"/>
        </w:rPr>
      </w:pPr>
      <w:r>
        <w:rPr>
          <w:rFonts w:ascii="Verdana" w:hAnsi="Verdana" w:cs="Tahoma"/>
          <w:sz w:val="20"/>
        </w:rPr>
        <w:t>3.2.1.</w:t>
      </w:r>
      <w:r>
        <w:rPr>
          <w:rFonts w:ascii="Verdana" w:hAnsi="Verdana" w:cs="Tahoma"/>
          <w:sz w:val="20"/>
        </w:rPr>
        <w:tab/>
        <w:t xml:space="preserve">A Emissão será realizada em até duas séries, sendo as debêntures a serem ofertadas no âmbito da primeira série doravante </w:t>
      </w:r>
      <w:r>
        <w:rPr>
          <w:rFonts w:ascii="Verdana" w:hAnsi="Verdana" w:cs="Tahoma"/>
          <w:sz w:val="20"/>
        </w:rPr>
        <w:t>denominadas “</w:t>
      </w:r>
      <w:r>
        <w:rPr>
          <w:rFonts w:ascii="Verdana" w:hAnsi="Verdana" w:cs="Tahoma"/>
          <w:sz w:val="20"/>
          <w:u w:val="single"/>
        </w:rPr>
        <w:t>Debêntures da Primeira Série</w:t>
      </w:r>
      <w:r>
        <w:rPr>
          <w:rFonts w:ascii="Verdana" w:hAnsi="Verdana" w:cs="Tahoma"/>
          <w:sz w:val="20"/>
        </w:rPr>
        <w:t>” e as debêntures a serem ofertadas no âmbito da segunda série doravante denominadas “</w:t>
      </w:r>
      <w:r>
        <w:rPr>
          <w:rFonts w:ascii="Verdana" w:hAnsi="Verdana" w:cs="Tahoma"/>
          <w:sz w:val="20"/>
          <w:u w:val="single"/>
        </w:rPr>
        <w:t>Debêntures da Segunda Série</w:t>
      </w:r>
      <w:r>
        <w:rPr>
          <w:rFonts w:ascii="Verdana" w:hAnsi="Verdana" w:cs="Tahoma"/>
          <w:sz w:val="20"/>
        </w:rPr>
        <w:t>”</w:t>
      </w:r>
      <w:r>
        <w:rPr>
          <w:rFonts w:ascii="Verdana" w:hAnsi="Verdana"/>
          <w:sz w:val="20"/>
        </w:rPr>
        <w:t>. A existência da primeira e da segunda série e a quantidade de Debêntures a ser alocada em cada séri</w:t>
      </w:r>
      <w:r>
        <w:rPr>
          <w:rFonts w:ascii="Verdana" w:hAnsi="Verdana"/>
          <w:sz w:val="20"/>
        </w:rPr>
        <w:t xml:space="preserve">e será definida de acordo com a demanda pelas Debêntures, apurada no Procedimento de </w:t>
      </w:r>
      <w:proofErr w:type="spellStart"/>
      <w:r>
        <w:rPr>
          <w:rFonts w:ascii="Verdana" w:hAnsi="Verdana"/>
          <w:i/>
          <w:sz w:val="20"/>
        </w:rPr>
        <w:t>Bookbuilding</w:t>
      </w:r>
      <w:proofErr w:type="spellEnd"/>
      <w:r>
        <w:rPr>
          <w:rFonts w:ascii="Verdana" w:hAnsi="Verdana"/>
          <w:sz w:val="20"/>
        </w:rPr>
        <w:t>, em sistema de vasos comunicantes, sendo certo, ainda, que as Debêntures de qualquer série poderão não ser emitidas, hipótese em que a totalidade das Debêntur</w:t>
      </w:r>
      <w:r>
        <w:rPr>
          <w:rFonts w:ascii="Verdana" w:hAnsi="Verdana"/>
          <w:sz w:val="20"/>
        </w:rPr>
        <w:t xml:space="preserve">es será emitida em série única, observado o disposto na Cláusula 3.4.1 abaixo. As informações relativas à existência ou não da primeira série ou da segunda série da Emissão e a quantidade final de Debêntures alocada em cada uma das séries da Emissão serão </w:t>
      </w:r>
      <w:r>
        <w:rPr>
          <w:rFonts w:ascii="Verdana" w:hAnsi="Verdana"/>
          <w:sz w:val="20"/>
        </w:rPr>
        <w:t>refletidas por meio de aditamento a esta Escritura de Emissão.</w:t>
      </w:r>
    </w:p>
    <w:p w:rsidR="00DE19C8" w:rsidRDefault="00626B63">
      <w:pPr>
        <w:suppressAutoHyphens/>
        <w:spacing w:line="318" w:lineRule="exact"/>
        <w:contextualSpacing/>
        <w:rPr>
          <w:rFonts w:ascii="Verdana" w:hAnsi="Verdana" w:cs="Tahoma"/>
          <w:b/>
          <w:sz w:val="20"/>
        </w:rPr>
      </w:pPr>
      <w:r>
        <w:rPr>
          <w:rFonts w:ascii="Verdana" w:hAnsi="Verdana" w:cs="Tahoma"/>
          <w:sz w:val="20"/>
        </w:rPr>
        <w:t xml:space="preserve"> </w:t>
      </w:r>
    </w:p>
    <w:p w:rsidR="00DE19C8" w:rsidRDefault="00626B63">
      <w:pPr>
        <w:numPr>
          <w:ilvl w:val="0"/>
          <w:numId w:val="69"/>
        </w:numPr>
        <w:suppressAutoHyphens/>
        <w:spacing w:line="318" w:lineRule="exact"/>
        <w:ind w:left="0" w:firstLine="0"/>
        <w:contextualSpacing/>
        <w:rPr>
          <w:rFonts w:ascii="Verdana" w:hAnsi="Verdana" w:cs="Tahoma"/>
          <w:sz w:val="20"/>
        </w:rPr>
      </w:pPr>
      <w:r>
        <w:rPr>
          <w:rFonts w:ascii="Verdana" w:hAnsi="Verdana" w:cs="Tahoma"/>
          <w:b/>
          <w:sz w:val="20"/>
        </w:rPr>
        <w:t>Valor Total da Emissão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3.3.1.</w:t>
      </w:r>
      <w:r>
        <w:rPr>
          <w:rFonts w:ascii="Verdana" w:hAnsi="Verdana" w:cs="Tahoma"/>
          <w:sz w:val="20"/>
        </w:rPr>
        <w:tab/>
        <w:t xml:space="preserve">O valor total da Emissão será de até R$ 600.000.000,00 (seiscentos milhões de reais), na Data de Emissão, sendo que o valor total da Emissão será </w:t>
      </w:r>
      <w:r>
        <w:rPr>
          <w:rFonts w:ascii="Verdana" w:hAnsi="Verdana"/>
          <w:sz w:val="20"/>
        </w:rPr>
        <w:t>definido por m</w:t>
      </w:r>
      <w:r>
        <w:rPr>
          <w:rFonts w:ascii="Verdana" w:hAnsi="Verdana"/>
          <w:sz w:val="20"/>
        </w:rPr>
        <w:t xml:space="preserve">eio do Procedimento de </w:t>
      </w:r>
      <w:proofErr w:type="spellStart"/>
      <w:r>
        <w:rPr>
          <w:rFonts w:ascii="Verdana" w:hAnsi="Verdana"/>
          <w:i/>
          <w:sz w:val="20"/>
        </w:rPr>
        <w:t>Bookbuilding</w:t>
      </w:r>
      <w:proofErr w:type="spellEnd"/>
      <w:r>
        <w:rPr>
          <w:rFonts w:ascii="Verdana" w:hAnsi="Verdana"/>
          <w:sz w:val="20"/>
        </w:rPr>
        <w:t xml:space="preserve"> (conforme definido abaixo)</w:t>
      </w:r>
      <w:r>
        <w:rPr>
          <w:rFonts w:ascii="Verdana" w:hAnsi="Verdana" w:cs="Tahoma"/>
          <w:sz w:val="20"/>
        </w:rPr>
        <w:t xml:space="preserve">. </w:t>
      </w:r>
    </w:p>
    <w:p w:rsidR="00DE19C8" w:rsidRDefault="00DE19C8">
      <w:pPr>
        <w:suppressAutoHyphens/>
        <w:spacing w:line="318" w:lineRule="exact"/>
        <w:contextualSpacing/>
        <w:rPr>
          <w:rFonts w:ascii="Verdana" w:hAnsi="Verdana" w:cs="Tahoma"/>
          <w:sz w:val="20"/>
        </w:rPr>
      </w:pPr>
    </w:p>
    <w:p w:rsidR="00DE19C8" w:rsidRDefault="00626B63">
      <w:pPr>
        <w:numPr>
          <w:ilvl w:val="0"/>
          <w:numId w:val="69"/>
        </w:numPr>
        <w:suppressAutoHyphens/>
        <w:spacing w:line="318" w:lineRule="exact"/>
        <w:ind w:left="0" w:firstLine="0"/>
        <w:contextualSpacing/>
        <w:rPr>
          <w:rFonts w:ascii="Verdana" w:hAnsi="Verdana" w:cs="Tahoma"/>
          <w:b/>
          <w:sz w:val="20"/>
        </w:rPr>
      </w:pPr>
      <w:r>
        <w:rPr>
          <w:rFonts w:ascii="Verdana" w:hAnsi="Verdana" w:cs="Tahoma"/>
          <w:b/>
          <w:sz w:val="20"/>
        </w:rPr>
        <w:t>Quantidade de Debêntures</w:t>
      </w:r>
    </w:p>
    <w:p w:rsidR="00DE19C8" w:rsidRDefault="00DE19C8">
      <w:pPr>
        <w:pStyle w:val="p0"/>
        <w:tabs>
          <w:tab w:val="clear" w:pos="720"/>
        </w:tabs>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3.4.1.</w:t>
      </w:r>
      <w:r>
        <w:rPr>
          <w:rFonts w:ascii="Verdana" w:hAnsi="Verdana" w:cs="Tahoma"/>
          <w:sz w:val="20"/>
        </w:rPr>
        <w:tab/>
        <w:t>Serão emitidas até 600.000 (seiscentas mil) Debêntures, sendo que a quantidade final de Debêntures emitida em cada uma das séries será definida por meio do P</w:t>
      </w:r>
      <w:r>
        <w:rPr>
          <w:rFonts w:ascii="Verdana" w:hAnsi="Verdana" w:cs="Tahoma"/>
          <w:sz w:val="20"/>
        </w:rPr>
        <w:t xml:space="preserve">rocedimento de </w:t>
      </w:r>
      <w:proofErr w:type="spellStart"/>
      <w:r>
        <w:rPr>
          <w:rFonts w:ascii="Verdana" w:hAnsi="Verdana" w:cs="Tahoma"/>
          <w:i/>
          <w:sz w:val="20"/>
        </w:rPr>
        <w:t>Bookbuilding</w:t>
      </w:r>
      <w:proofErr w:type="spellEnd"/>
      <w:r>
        <w:rPr>
          <w:rFonts w:ascii="Verdana" w:hAnsi="Verdana" w:cs="Tahoma"/>
          <w:sz w:val="20"/>
        </w:rPr>
        <w:t>, nos termos da Cláusula 4.1.4 abaixo</w:t>
      </w:r>
      <w:r>
        <w:rPr>
          <w:rFonts w:ascii="Verdana" w:hAnsi="Verdana" w:cs="Tahoma"/>
          <w:i/>
          <w:sz w:val="20"/>
        </w:rPr>
        <w:t>.</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3.4.2.</w:t>
      </w:r>
      <w:r>
        <w:rPr>
          <w:rFonts w:ascii="Verdana" w:hAnsi="Verdana" w:cs="Tahoma"/>
          <w:sz w:val="20"/>
        </w:rPr>
        <w:tab/>
        <w:t>Ressalvadas as referências expressas às Debêntures da Primeira Série e às Debêntures da Segunda Série, todas as referências às “</w:t>
      </w:r>
      <w:r>
        <w:rPr>
          <w:rFonts w:ascii="Verdana" w:hAnsi="Verdana" w:cs="Tahoma"/>
          <w:sz w:val="20"/>
          <w:u w:val="single"/>
        </w:rPr>
        <w:t>Debêntures</w:t>
      </w:r>
      <w:r>
        <w:rPr>
          <w:rFonts w:ascii="Verdana" w:hAnsi="Verdana" w:cs="Tahoma"/>
          <w:sz w:val="20"/>
        </w:rPr>
        <w:t xml:space="preserve">” devem ser entendidas como referências às Debêntures da Primeira Série e às Debêntures da Segunda Série, em conjunto. </w:t>
      </w:r>
    </w:p>
    <w:p w:rsidR="00DE19C8" w:rsidRDefault="00DE19C8">
      <w:pPr>
        <w:suppressAutoHyphens/>
        <w:spacing w:line="318" w:lineRule="exact"/>
        <w:contextualSpacing/>
        <w:rPr>
          <w:rFonts w:ascii="Verdana" w:hAnsi="Verdana" w:cs="Tahoma"/>
          <w:b/>
          <w:sz w:val="20"/>
        </w:rPr>
      </w:pPr>
    </w:p>
    <w:p w:rsidR="00DE19C8" w:rsidRDefault="00626B63">
      <w:pPr>
        <w:numPr>
          <w:ilvl w:val="0"/>
          <w:numId w:val="69"/>
        </w:numPr>
        <w:suppressAutoHyphens/>
        <w:spacing w:line="318" w:lineRule="exact"/>
        <w:ind w:left="0" w:firstLine="0"/>
        <w:contextualSpacing/>
        <w:rPr>
          <w:rFonts w:ascii="Verdana" w:hAnsi="Verdana" w:cs="Tahoma"/>
          <w:b/>
          <w:sz w:val="20"/>
        </w:rPr>
      </w:pPr>
      <w:r>
        <w:rPr>
          <w:rFonts w:ascii="Verdana" w:hAnsi="Verdana" w:cs="Tahoma"/>
          <w:b/>
          <w:sz w:val="20"/>
        </w:rPr>
        <w:t>Destinação de Recursos</w:t>
      </w:r>
    </w:p>
    <w:p w:rsidR="00DE19C8" w:rsidRDefault="00DE19C8">
      <w:pPr>
        <w:keepNext/>
        <w:widowControl w:val="0"/>
        <w:suppressAutoHyphens/>
        <w:spacing w:line="318" w:lineRule="exact"/>
        <w:contextualSpacing/>
        <w:rPr>
          <w:rFonts w:ascii="Verdana" w:hAnsi="Verdana" w:cs="Tahoma"/>
          <w:sz w:val="20"/>
        </w:rPr>
      </w:pPr>
    </w:p>
    <w:p w:rsidR="00DE19C8" w:rsidRDefault="00626B63">
      <w:pPr>
        <w:widowControl w:val="0"/>
        <w:suppressAutoHyphens/>
        <w:spacing w:line="318" w:lineRule="exact"/>
        <w:contextualSpacing/>
        <w:rPr>
          <w:rFonts w:ascii="Verdana" w:hAnsi="Verdana" w:cs="Tahoma"/>
          <w:b/>
          <w:sz w:val="20"/>
        </w:rPr>
      </w:pPr>
      <w:r>
        <w:rPr>
          <w:rFonts w:ascii="Verdana" w:hAnsi="Verdana" w:cs="Tahoma"/>
          <w:sz w:val="20"/>
        </w:rPr>
        <w:t>3.5.1.</w:t>
      </w:r>
      <w:r>
        <w:rPr>
          <w:rFonts w:ascii="Verdana" w:hAnsi="Verdana" w:cs="Tahoma"/>
          <w:sz w:val="20"/>
        </w:rPr>
        <w:tab/>
        <w:t xml:space="preserve">Os recursos obtidos por meio da Emissão serão destinados ao </w:t>
      </w:r>
      <w:r>
        <w:rPr>
          <w:rFonts w:ascii="Verdana" w:hAnsi="Verdana" w:cs="Tahoma"/>
          <w:bCs/>
          <w:sz w:val="20"/>
        </w:rPr>
        <w:t>alongamento do perfil de endividamento da Em</w:t>
      </w:r>
      <w:r>
        <w:rPr>
          <w:rFonts w:ascii="Verdana" w:hAnsi="Verdana" w:cs="Tahoma"/>
          <w:bCs/>
          <w:sz w:val="20"/>
        </w:rPr>
        <w:t>issora, no âmbito da gestão ordinária de seus negócios</w:t>
      </w:r>
      <w:r>
        <w:rPr>
          <w:rFonts w:ascii="Verdana" w:hAnsi="Verdana" w:cs="Tahoma"/>
          <w:sz w:val="20"/>
        </w:rPr>
        <w:t xml:space="preserve">. </w:t>
      </w:r>
    </w:p>
    <w:p w:rsidR="00DE19C8" w:rsidRDefault="00DE19C8">
      <w:pPr>
        <w:keepNext/>
        <w:suppressAutoHyphens/>
        <w:spacing w:line="318" w:lineRule="exact"/>
        <w:contextualSpacing/>
        <w:rPr>
          <w:rFonts w:ascii="Verdana" w:hAnsi="Verdana" w:cs="Tahoma"/>
          <w:sz w:val="20"/>
        </w:rPr>
      </w:pPr>
      <w:bookmarkStart w:id="97" w:name="_DV_M70"/>
      <w:bookmarkStart w:id="98" w:name="_DV_M72"/>
      <w:bookmarkStart w:id="99" w:name="_DV_M73"/>
      <w:bookmarkEnd w:id="97"/>
      <w:bookmarkEnd w:id="98"/>
      <w:bookmarkEnd w:id="99"/>
    </w:p>
    <w:p w:rsidR="00DE19C8" w:rsidRDefault="00626B63">
      <w:pPr>
        <w:keepNext/>
        <w:numPr>
          <w:ilvl w:val="0"/>
          <w:numId w:val="69"/>
        </w:numPr>
        <w:suppressAutoHyphens/>
        <w:spacing w:line="318" w:lineRule="exact"/>
        <w:ind w:left="0" w:firstLine="0"/>
        <w:contextualSpacing/>
        <w:rPr>
          <w:rFonts w:ascii="Verdana" w:hAnsi="Verdana" w:cs="Tahoma"/>
          <w:b/>
          <w:sz w:val="20"/>
        </w:rPr>
      </w:pPr>
      <w:r>
        <w:rPr>
          <w:rFonts w:ascii="Verdana" w:hAnsi="Verdana" w:cs="Tahoma"/>
          <w:b/>
          <w:sz w:val="20"/>
        </w:rPr>
        <w:t>Número da Emissão</w:t>
      </w:r>
    </w:p>
    <w:p w:rsidR="00DE19C8" w:rsidRDefault="00DE19C8">
      <w:pPr>
        <w:keepNext/>
        <w:suppressAutoHyphens/>
        <w:spacing w:line="318" w:lineRule="exact"/>
        <w:contextualSpacing/>
        <w:rPr>
          <w:rFonts w:ascii="Verdana" w:hAnsi="Verdana" w:cs="Tahoma"/>
          <w:sz w:val="20"/>
        </w:rPr>
      </w:pPr>
    </w:p>
    <w:p w:rsidR="00DE19C8" w:rsidRDefault="00626B63">
      <w:pPr>
        <w:keepNext/>
        <w:suppressAutoHyphens/>
        <w:spacing w:line="318" w:lineRule="exact"/>
        <w:contextualSpacing/>
        <w:rPr>
          <w:rFonts w:ascii="Verdana" w:hAnsi="Verdana" w:cs="Tahoma"/>
          <w:sz w:val="20"/>
        </w:rPr>
      </w:pPr>
      <w:r>
        <w:rPr>
          <w:rFonts w:ascii="Verdana" w:hAnsi="Verdana" w:cs="Tahoma"/>
          <w:sz w:val="20"/>
        </w:rPr>
        <w:t>3.6.1.</w:t>
      </w:r>
      <w:r>
        <w:rPr>
          <w:rFonts w:ascii="Verdana" w:hAnsi="Verdana" w:cs="Tahoma"/>
          <w:sz w:val="20"/>
        </w:rPr>
        <w:tab/>
        <w:t>A presente Emissão representa a 6ª (sexta) emissão de Debêntures da Emissora.</w:t>
      </w:r>
    </w:p>
    <w:p w:rsidR="00DE19C8" w:rsidRDefault="00DE19C8">
      <w:pPr>
        <w:widowControl w:val="0"/>
        <w:spacing w:line="318" w:lineRule="exact"/>
        <w:contextualSpacing/>
        <w:rPr>
          <w:rFonts w:ascii="Verdana" w:hAnsi="Verdana" w:cs="Tahoma"/>
          <w:sz w:val="20"/>
        </w:rPr>
      </w:pPr>
    </w:p>
    <w:p w:rsidR="00DE19C8" w:rsidRDefault="00626B63">
      <w:pPr>
        <w:widowControl w:val="0"/>
        <w:numPr>
          <w:ilvl w:val="0"/>
          <w:numId w:val="69"/>
        </w:numPr>
        <w:spacing w:line="318" w:lineRule="exact"/>
        <w:ind w:left="0" w:firstLine="0"/>
        <w:contextualSpacing/>
        <w:rPr>
          <w:rFonts w:ascii="Verdana" w:hAnsi="Verdana" w:cs="Tahoma"/>
          <w:b/>
          <w:sz w:val="20"/>
        </w:rPr>
      </w:pPr>
      <w:r>
        <w:rPr>
          <w:rFonts w:ascii="Verdana" w:hAnsi="Verdana" w:cs="Tahoma"/>
          <w:b/>
          <w:sz w:val="20"/>
        </w:rPr>
        <w:t xml:space="preserve">Banco Liquidante e </w:t>
      </w:r>
      <w:proofErr w:type="spellStart"/>
      <w:r>
        <w:rPr>
          <w:rFonts w:ascii="Verdana" w:hAnsi="Verdana" w:cs="Tahoma"/>
          <w:b/>
          <w:sz w:val="20"/>
        </w:rPr>
        <w:t>Escriturador</w:t>
      </w:r>
      <w:proofErr w:type="spellEnd"/>
    </w:p>
    <w:p w:rsidR="00DE19C8" w:rsidRDefault="00DE19C8">
      <w:pPr>
        <w:widowControl w:val="0"/>
        <w:spacing w:line="318" w:lineRule="exact"/>
        <w:contextualSpacing/>
        <w:rPr>
          <w:rFonts w:ascii="Verdana" w:hAnsi="Verdana"/>
          <w:sz w:val="20"/>
        </w:rPr>
      </w:pPr>
    </w:p>
    <w:p w:rsidR="00DE19C8" w:rsidRDefault="00626B63">
      <w:pPr>
        <w:widowControl w:val="0"/>
        <w:spacing w:line="318" w:lineRule="exact"/>
        <w:contextualSpacing/>
        <w:rPr>
          <w:rFonts w:ascii="Verdana" w:hAnsi="Verdana"/>
          <w:sz w:val="20"/>
        </w:rPr>
      </w:pPr>
      <w:r>
        <w:rPr>
          <w:rFonts w:ascii="Verdana" w:hAnsi="Verdana" w:cs="Tahoma"/>
          <w:sz w:val="20"/>
        </w:rPr>
        <w:t>3.7.1.</w:t>
      </w:r>
      <w:r>
        <w:rPr>
          <w:rFonts w:ascii="Verdana" w:hAnsi="Verdana" w:cs="Tahoma"/>
          <w:sz w:val="20"/>
        </w:rPr>
        <w:tab/>
      </w:r>
      <w:r>
        <w:rPr>
          <w:rFonts w:ascii="Verdana" w:hAnsi="Verdana"/>
          <w:sz w:val="20"/>
        </w:rPr>
        <w:t xml:space="preserve">O Banco Bradesco S.A., instituição financeira com </w:t>
      </w:r>
      <w:r>
        <w:rPr>
          <w:rFonts w:ascii="Verdana" w:hAnsi="Verdana"/>
          <w:sz w:val="20"/>
        </w:rPr>
        <w:t xml:space="preserve">sede na cidade de Osasco, Estado de São Paulo, na Cidade de Deus, s/nº, Prédio Amarelo, 2º andar, Bairro Vila Yara, CEP 06.029-900, inscrita no CNPJ/ME sob o nº 60.746.948/0001-12, atuará como banco liquidante da Emissão e como </w:t>
      </w:r>
      <w:proofErr w:type="spellStart"/>
      <w:r>
        <w:rPr>
          <w:rFonts w:ascii="Verdana" w:hAnsi="Verdana"/>
          <w:sz w:val="20"/>
        </w:rPr>
        <w:t>escriturador</w:t>
      </w:r>
      <w:proofErr w:type="spellEnd"/>
      <w:r>
        <w:rPr>
          <w:rFonts w:ascii="Verdana" w:hAnsi="Verdana"/>
          <w:sz w:val="20"/>
        </w:rPr>
        <w:t xml:space="preserve"> das Debêntures </w:t>
      </w:r>
      <w:r>
        <w:rPr>
          <w:rFonts w:ascii="Verdana" w:hAnsi="Verdana"/>
          <w:sz w:val="20"/>
        </w:rPr>
        <w:t>(“</w:t>
      </w:r>
      <w:r>
        <w:rPr>
          <w:rFonts w:ascii="Verdana" w:hAnsi="Verdana"/>
          <w:sz w:val="20"/>
          <w:u w:val="single"/>
        </w:rPr>
        <w:t>Banco Liquidante</w:t>
      </w:r>
      <w:r>
        <w:rPr>
          <w:rFonts w:ascii="Verdana" w:hAnsi="Verdana"/>
          <w:sz w:val="20"/>
        </w:rPr>
        <w:t>” e “</w:t>
      </w:r>
      <w:proofErr w:type="spellStart"/>
      <w:r>
        <w:rPr>
          <w:rFonts w:ascii="Verdana" w:hAnsi="Verdana"/>
          <w:sz w:val="20"/>
          <w:u w:val="single"/>
        </w:rPr>
        <w:t>Escriturador</w:t>
      </w:r>
      <w:proofErr w:type="spellEnd"/>
      <w:r>
        <w:rPr>
          <w:rFonts w:ascii="Verdana" w:hAnsi="Verdana"/>
          <w:sz w:val="20"/>
        </w:rPr>
        <w:t>”, respectivamente).</w:t>
      </w:r>
    </w:p>
    <w:p w:rsidR="00DE19C8" w:rsidRDefault="00DE19C8">
      <w:pPr>
        <w:widowControl w:val="0"/>
        <w:spacing w:line="318" w:lineRule="exact"/>
        <w:contextualSpacing/>
        <w:rPr>
          <w:rFonts w:ascii="Verdana" w:hAnsi="Verdana" w:cs="Arial"/>
          <w:sz w:val="20"/>
          <w:lang w:eastAsia="x-none"/>
        </w:rPr>
      </w:pPr>
    </w:p>
    <w:p w:rsidR="00DE19C8" w:rsidRDefault="00626B63">
      <w:pPr>
        <w:widowControl w:val="0"/>
        <w:numPr>
          <w:ilvl w:val="0"/>
          <w:numId w:val="69"/>
        </w:numPr>
        <w:spacing w:line="318" w:lineRule="exact"/>
        <w:ind w:left="0" w:firstLine="0"/>
        <w:contextualSpacing/>
        <w:rPr>
          <w:rFonts w:ascii="Verdana" w:hAnsi="Verdana" w:cs="Tahoma"/>
          <w:b/>
          <w:sz w:val="20"/>
        </w:rPr>
      </w:pPr>
      <w:r>
        <w:rPr>
          <w:rFonts w:ascii="Verdana" w:hAnsi="Verdana" w:cs="Tahoma"/>
          <w:b/>
          <w:sz w:val="20"/>
        </w:rPr>
        <w:t xml:space="preserve">Imunidade de Debenturistas </w:t>
      </w:r>
    </w:p>
    <w:p w:rsidR="00DE19C8" w:rsidRDefault="00DE19C8">
      <w:pPr>
        <w:widowControl w:val="0"/>
        <w:spacing w:line="318" w:lineRule="exact"/>
        <w:contextualSpacing/>
        <w:rPr>
          <w:rFonts w:ascii="Verdana" w:hAnsi="Verdana" w:cs="Tahoma"/>
          <w:sz w:val="20"/>
        </w:rPr>
      </w:pPr>
    </w:p>
    <w:p w:rsidR="00DE19C8" w:rsidRDefault="00626B63">
      <w:pPr>
        <w:widowControl w:val="0"/>
        <w:spacing w:line="318" w:lineRule="exact"/>
        <w:contextualSpacing/>
        <w:rPr>
          <w:rFonts w:ascii="Verdana" w:hAnsi="Verdana" w:cs="Tahoma"/>
        </w:rPr>
      </w:pPr>
      <w:r>
        <w:rPr>
          <w:rFonts w:ascii="Verdana" w:hAnsi="Verdana" w:cs="Tahoma"/>
          <w:sz w:val="20"/>
        </w:rPr>
        <w:t>3.8.1.</w:t>
      </w:r>
      <w:r>
        <w:rPr>
          <w:rFonts w:ascii="Verdana" w:hAnsi="Verdana" w:cs="Tahoma"/>
          <w:sz w:val="20"/>
        </w:rPr>
        <w:tab/>
        <w:t>Caso qualquer Debenturista goze de algum tipo de imunidade ou isenção tributária, este deverá encaminhar ao Banco Liquidante e à Emissora, no prazo mínimo de 10 (d</w:t>
      </w:r>
      <w:r>
        <w:rPr>
          <w:rFonts w:ascii="Verdana" w:hAnsi="Verdana" w:cs="Tahoma"/>
          <w:sz w:val="20"/>
        </w:rPr>
        <w:t>ez) Dias Úteis antes da data prevista para recebimento de valores relativos às Debêntures, documentação comprobatória dessa imunidade ou isenção tributária, sob pena de ter descontados dos seus rendimentos os valores devidos nos termos da legislação tribut</w:t>
      </w:r>
      <w:r>
        <w:rPr>
          <w:rFonts w:ascii="Verdana" w:hAnsi="Verdana" w:cs="Tahoma"/>
          <w:sz w:val="20"/>
        </w:rPr>
        <w:t>ária em vigor.</w:t>
      </w:r>
    </w:p>
    <w:p w:rsidR="00DE19C8" w:rsidRDefault="00DE19C8">
      <w:pPr>
        <w:suppressAutoHyphens/>
        <w:spacing w:line="318" w:lineRule="exact"/>
        <w:contextualSpacing/>
        <w:rPr>
          <w:rFonts w:ascii="Verdana" w:hAnsi="Verdana" w:cs="Tahoma"/>
          <w:sz w:val="20"/>
        </w:rPr>
      </w:pPr>
    </w:p>
    <w:p w:rsidR="00DE19C8" w:rsidRDefault="00626B63">
      <w:pPr>
        <w:numPr>
          <w:ilvl w:val="0"/>
          <w:numId w:val="69"/>
        </w:numPr>
        <w:suppressAutoHyphens/>
        <w:spacing w:line="318" w:lineRule="exact"/>
        <w:ind w:left="0" w:firstLine="0"/>
        <w:contextualSpacing/>
        <w:rPr>
          <w:rFonts w:ascii="Verdana" w:hAnsi="Verdana" w:cs="Tahoma"/>
          <w:b/>
          <w:sz w:val="20"/>
        </w:rPr>
      </w:pPr>
      <w:r>
        <w:rPr>
          <w:rFonts w:ascii="Verdana" w:hAnsi="Verdana" w:cs="Tahoma"/>
          <w:b/>
          <w:sz w:val="20"/>
        </w:rPr>
        <w:t>Aquisição Facultativa</w:t>
      </w:r>
    </w:p>
    <w:p w:rsidR="00DE19C8" w:rsidRDefault="00DE19C8">
      <w:pPr>
        <w:keepNext/>
        <w:widowControl w:val="0"/>
        <w:suppressAutoHyphens/>
        <w:spacing w:line="318" w:lineRule="exact"/>
        <w:contextualSpacing/>
        <w:rPr>
          <w:rFonts w:ascii="Verdana" w:hAnsi="Verdana" w:cs="Tahoma"/>
          <w:sz w:val="20"/>
        </w:rPr>
      </w:pPr>
    </w:p>
    <w:p w:rsidR="00DE19C8" w:rsidRDefault="00626B63">
      <w:pPr>
        <w:keepNext/>
        <w:widowControl w:val="0"/>
        <w:suppressAutoHyphens/>
        <w:spacing w:line="318" w:lineRule="exact"/>
        <w:contextualSpacing/>
        <w:rPr>
          <w:rFonts w:ascii="Verdana" w:hAnsi="Verdana" w:cs="Tahoma"/>
          <w:sz w:val="20"/>
        </w:rPr>
      </w:pPr>
      <w:r>
        <w:rPr>
          <w:rFonts w:ascii="Verdana" w:hAnsi="Verdana" w:cs="Tahoma"/>
          <w:sz w:val="20"/>
        </w:rPr>
        <w:t xml:space="preserve">3.9.1. </w:t>
      </w:r>
      <w:r>
        <w:rPr>
          <w:rFonts w:ascii="Verdana" w:hAnsi="Verdana"/>
          <w:sz w:val="20"/>
        </w:rPr>
        <w:t>A Emissora poderá, a qualquer tempo, adquirir Debêntures, desde que observe o disposto no artigo 55, parágrafo 3º, da Lei das Sociedades por Ações, nos artigos 13 e 15 da Instrução CVM 476 e na regulamentação a</w:t>
      </w:r>
      <w:r>
        <w:rPr>
          <w:rFonts w:ascii="Verdana" w:hAnsi="Verdana"/>
          <w:sz w:val="20"/>
        </w:rPr>
        <w:t xml:space="preserve">plicável da CVM. As Debêntures adquiridas pela Emissora poderão, a critério da Emissora, ser canceladas, permanecer em tesouraria ou ser novamente colocadas no mercado. </w:t>
      </w:r>
    </w:p>
    <w:p w:rsidR="00DE19C8" w:rsidRDefault="00DE19C8">
      <w:pPr>
        <w:widowControl w:val="0"/>
        <w:suppressAutoHyphens/>
        <w:spacing w:line="318" w:lineRule="exact"/>
        <w:contextualSpacing/>
        <w:rPr>
          <w:rFonts w:ascii="Verdana" w:hAnsi="Verdana" w:cs="Tahoma"/>
          <w:sz w:val="20"/>
        </w:rPr>
      </w:pPr>
    </w:p>
    <w:p w:rsidR="00DE19C8" w:rsidRDefault="00626B63">
      <w:pPr>
        <w:widowControl w:val="0"/>
        <w:suppressAutoHyphens/>
        <w:spacing w:line="318" w:lineRule="exact"/>
        <w:contextualSpacing/>
        <w:rPr>
          <w:rFonts w:ascii="Verdana" w:hAnsi="Verdana" w:cs="Tahoma"/>
          <w:sz w:val="20"/>
        </w:rPr>
      </w:pPr>
      <w:r>
        <w:rPr>
          <w:rFonts w:ascii="Verdana" w:hAnsi="Verdana" w:cs="Tahoma"/>
          <w:sz w:val="20"/>
        </w:rPr>
        <w:lastRenderedPageBreak/>
        <w:t>3.9.2.</w:t>
      </w:r>
      <w:r>
        <w:rPr>
          <w:rFonts w:ascii="Verdana" w:hAnsi="Verdana" w:cs="Tahoma"/>
          <w:sz w:val="20"/>
        </w:rPr>
        <w:tab/>
        <w:t>As Debêntures adquiridas pela Emissora para permanência em tesouraria nos term</w:t>
      </w:r>
      <w:r>
        <w:rPr>
          <w:rFonts w:ascii="Verdana" w:hAnsi="Verdana" w:cs="Tahoma"/>
          <w:sz w:val="20"/>
        </w:rPr>
        <w:t>os do item 3.9.1 acima, se e quando recolocadas no mercado, farão jus aos mesmos Juros Remuneratórios (conforme abaixo definido) das demais Debêntures.</w:t>
      </w:r>
    </w:p>
    <w:p w:rsidR="00DE19C8" w:rsidRDefault="00DE19C8">
      <w:pPr>
        <w:keepNext/>
        <w:widowControl w:val="0"/>
        <w:suppressAutoHyphens/>
        <w:spacing w:line="318" w:lineRule="exact"/>
        <w:contextualSpacing/>
        <w:rPr>
          <w:rFonts w:ascii="Verdana" w:hAnsi="Verdana" w:cs="Tahoma"/>
          <w:sz w:val="20"/>
        </w:rPr>
      </w:pPr>
    </w:p>
    <w:p w:rsidR="00DE19C8" w:rsidRDefault="00626B63">
      <w:pPr>
        <w:numPr>
          <w:ilvl w:val="0"/>
          <w:numId w:val="69"/>
        </w:numPr>
        <w:suppressAutoHyphens/>
        <w:spacing w:line="318" w:lineRule="exact"/>
        <w:ind w:left="0" w:firstLine="0"/>
        <w:contextualSpacing/>
        <w:rPr>
          <w:rFonts w:ascii="Verdana" w:hAnsi="Verdana" w:cs="Tahoma"/>
          <w:sz w:val="20"/>
        </w:rPr>
      </w:pPr>
      <w:r>
        <w:rPr>
          <w:rFonts w:ascii="Verdana" w:hAnsi="Verdana" w:cs="Tahoma"/>
          <w:b/>
          <w:sz w:val="20"/>
        </w:rPr>
        <w:t>Classificação de Risco.</w:t>
      </w:r>
      <w:r>
        <w:rPr>
          <w:rFonts w:ascii="Verdana" w:hAnsi="Verdana"/>
          <w:bCs/>
          <w:sz w:val="20"/>
        </w:rPr>
        <w:t xml:space="preserve"> </w:t>
      </w:r>
    </w:p>
    <w:p w:rsidR="00DE19C8" w:rsidRDefault="00DE19C8">
      <w:pPr>
        <w:suppressAutoHyphens/>
        <w:spacing w:line="318" w:lineRule="exact"/>
        <w:contextualSpacing/>
        <w:rPr>
          <w:rFonts w:ascii="Verdana" w:hAnsi="Verdana"/>
          <w:bCs/>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 xml:space="preserve">3.10.1. </w:t>
      </w:r>
      <w:r>
        <w:rPr>
          <w:rFonts w:ascii="Verdana" w:hAnsi="Verdana"/>
          <w:bCs/>
          <w:sz w:val="20"/>
        </w:rPr>
        <w:t xml:space="preserve">Foi </w:t>
      </w:r>
      <w:r>
        <w:rPr>
          <w:rFonts w:ascii="Verdana" w:hAnsi="Verdana"/>
          <w:sz w:val="20"/>
        </w:rPr>
        <w:t>contratada</w:t>
      </w:r>
      <w:r>
        <w:rPr>
          <w:rFonts w:ascii="Verdana" w:hAnsi="Verdana"/>
          <w:bCs/>
          <w:sz w:val="20"/>
        </w:rPr>
        <w:t xml:space="preserve"> como agência de classificação de risco das Debêntures e da Emissora a </w:t>
      </w:r>
      <w:r>
        <w:rPr>
          <w:rFonts w:ascii="Verdana" w:hAnsi="Verdana" w:cs="Tahoma"/>
          <w:sz w:val="20"/>
        </w:rPr>
        <w:t xml:space="preserve">Standard &amp; </w:t>
      </w:r>
      <w:proofErr w:type="spellStart"/>
      <w:r>
        <w:rPr>
          <w:rFonts w:ascii="Verdana" w:hAnsi="Verdana" w:cs="Tahoma"/>
          <w:sz w:val="20"/>
        </w:rPr>
        <w:t>Poor's</w:t>
      </w:r>
      <w:proofErr w:type="spellEnd"/>
      <w:r>
        <w:rPr>
          <w:rFonts w:ascii="Verdana" w:hAnsi="Verdana" w:cs="Tahoma"/>
          <w:sz w:val="20"/>
        </w:rPr>
        <w:t xml:space="preserve"> Ratings do Brasil Ltda.</w:t>
      </w:r>
      <w:r>
        <w:rPr>
          <w:rFonts w:ascii="Verdana" w:hAnsi="Verdana"/>
          <w:bCs/>
          <w:sz w:val="20"/>
        </w:rPr>
        <w:t xml:space="preserve"> (“</w:t>
      </w:r>
      <w:r>
        <w:rPr>
          <w:rFonts w:ascii="Verdana" w:hAnsi="Verdana"/>
          <w:bCs/>
          <w:sz w:val="20"/>
          <w:u w:val="single"/>
        </w:rPr>
        <w:t>Agência de Classificação de Risco</w:t>
      </w:r>
      <w:r>
        <w:rPr>
          <w:rFonts w:ascii="Verdana" w:hAnsi="Verdana"/>
          <w:bCs/>
          <w:sz w:val="20"/>
        </w:rPr>
        <w:t xml:space="preserve">”). </w:t>
      </w:r>
    </w:p>
    <w:p w:rsidR="00DE19C8" w:rsidRDefault="00DE19C8">
      <w:pPr>
        <w:keepNext/>
        <w:widowControl w:val="0"/>
        <w:suppressAutoHyphens/>
        <w:spacing w:line="318" w:lineRule="exact"/>
        <w:contextualSpacing/>
        <w:rPr>
          <w:rFonts w:ascii="Verdana" w:hAnsi="Verdana" w:cs="Tahoma"/>
          <w:sz w:val="20"/>
        </w:rPr>
      </w:pPr>
    </w:p>
    <w:p w:rsidR="00DE19C8" w:rsidRDefault="00626B63">
      <w:pPr>
        <w:pStyle w:val="Ttulo2"/>
        <w:suppressAutoHyphens/>
        <w:spacing w:line="318" w:lineRule="exact"/>
        <w:contextualSpacing/>
        <w:rPr>
          <w:rFonts w:ascii="Verdana" w:hAnsi="Verdana" w:cs="Tahoma"/>
          <w:sz w:val="20"/>
        </w:rPr>
      </w:pPr>
      <w:bookmarkStart w:id="100" w:name="_Toc514873572"/>
      <w:r>
        <w:rPr>
          <w:rFonts w:ascii="Verdana" w:hAnsi="Verdana" w:cs="Tahoma"/>
          <w:sz w:val="20"/>
        </w:rPr>
        <w:t>CLÁUSULA QUARTA – DAS CARACTERÍSTICAS DAS DEBÊNTURES</w:t>
      </w:r>
      <w:bookmarkEnd w:id="100"/>
      <w:r>
        <w:rPr>
          <w:rFonts w:ascii="Verdana" w:hAnsi="Verdana" w:cs="Tahoma"/>
          <w:sz w:val="20"/>
        </w:rPr>
        <w:t xml:space="preserve"> E DO PROCEDIMENTO DE DISTRIBUIÇÃO</w:t>
      </w:r>
    </w:p>
    <w:p w:rsidR="00DE19C8" w:rsidRDefault="00DE19C8">
      <w:pPr>
        <w:suppressAutoHyphens/>
        <w:spacing w:line="318" w:lineRule="exact"/>
        <w:contextualSpacing/>
        <w:rPr>
          <w:rFonts w:ascii="Verdana" w:hAnsi="Verdana" w:cs="Tahoma"/>
          <w:b/>
          <w:sz w:val="20"/>
        </w:rPr>
      </w:pPr>
    </w:p>
    <w:p w:rsidR="00DE19C8" w:rsidRDefault="00626B63">
      <w:pPr>
        <w:numPr>
          <w:ilvl w:val="0"/>
          <w:numId w:val="70"/>
        </w:numPr>
        <w:suppressAutoHyphens/>
        <w:spacing w:line="318" w:lineRule="exact"/>
        <w:ind w:left="0" w:firstLine="0"/>
        <w:contextualSpacing/>
        <w:rPr>
          <w:rFonts w:ascii="Verdana" w:hAnsi="Verdana" w:cs="Tahoma"/>
          <w:b/>
          <w:sz w:val="20"/>
        </w:rPr>
      </w:pPr>
      <w:r>
        <w:rPr>
          <w:rFonts w:ascii="Verdana" w:hAnsi="Verdana" w:cs="Tahoma"/>
          <w:b/>
          <w:bCs/>
          <w:sz w:val="20"/>
        </w:rPr>
        <w:t xml:space="preserve">Colocação e </w:t>
      </w:r>
      <w:r>
        <w:rPr>
          <w:rFonts w:ascii="Verdana" w:hAnsi="Verdana" w:cs="Tahoma"/>
          <w:b/>
          <w:bCs/>
          <w:sz w:val="20"/>
        </w:rPr>
        <w:t>Procedimento de Distribuição</w:t>
      </w:r>
      <w:r>
        <w:rPr>
          <w:rFonts w:ascii="Verdana" w:hAnsi="Verdana" w:cs="Tahoma"/>
          <w:b/>
          <w:sz w:val="20"/>
        </w:rPr>
        <w:t xml:space="preserve">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bookmarkStart w:id="101" w:name="_DV_M62"/>
      <w:bookmarkEnd w:id="101"/>
      <w:r>
        <w:rPr>
          <w:rFonts w:ascii="Verdana" w:hAnsi="Verdana" w:cs="Tahoma"/>
          <w:sz w:val="20"/>
        </w:rPr>
        <w:t>4.1.1.</w:t>
      </w:r>
      <w:r>
        <w:rPr>
          <w:rFonts w:ascii="Verdana" w:hAnsi="Verdana" w:cs="Tahoma"/>
          <w:sz w:val="20"/>
        </w:rPr>
        <w:tab/>
      </w:r>
      <w:r>
        <w:rPr>
          <w:rFonts w:ascii="Verdana" w:hAnsi="Verdana"/>
          <w:sz w:val="20"/>
        </w:rPr>
        <w:t>As Debêntures serão objeto de oferta pública de distribuição, com esforços restritos, nos termos da Lei do Mercado de Valores Mobiliários, da Instrução CVM 476 e das demais disposições legais e regulamentares aplicávei</w:t>
      </w:r>
      <w:r>
        <w:rPr>
          <w:rFonts w:ascii="Verdana" w:hAnsi="Verdana"/>
          <w:sz w:val="20"/>
        </w:rPr>
        <w:t>s</w:t>
      </w:r>
      <w:r>
        <w:rPr>
          <w:rFonts w:ascii="Verdana" w:hAnsi="Verdana"/>
          <w:bCs/>
          <w:sz w:val="20"/>
        </w:rPr>
        <w:t>, e</w:t>
      </w:r>
      <w:r>
        <w:rPr>
          <w:rFonts w:ascii="Verdana" w:hAnsi="Verdana"/>
          <w:sz w:val="20"/>
        </w:rPr>
        <w:t xml:space="preserve"> do “</w:t>
      </w:r>
      <w:r>
        <w:rPr>
          <w:rFonts w:ascii="Verdana" w:hAnsi="Verdana" w:cs="Tahoma"/>
          <w:i/>
          <w:sz w:val="20"/>
        </w:rPr>
        <w:t xml:space="preserve">Contrato de Coordenação, Colocação e Distribuição Pública, com Esforços Restritos de Distribuição, sob o Regime de Garantia Firme e Melhores Esforços das Debêntures Simples, Não Conversíveis em Ações, da Espécie Quirografária, em até Duas Séries, </w:t>
      </w:r>
      <w:r>
        <w:rPr>
          <w:rFonts w:ascii="Verdana" w:hAnsi="Verdana" w:cs="Tahoma"/>
          <w:i/>
          <w:sz w:val="20"/>
        </w:rPr>
        <w:t>da Sexta Emissão da Minerva S.A.</w:t>
      </w:r>
      <w:r>
        <w:rPr>
          <w:rFonts w:ascii="Verdana" w:hAnsi="Verdana"/>
          <w:sz w:val="20"/>
        </w:rPr>
        <w:t>” (“</w:t>
      </w:r>
      <w:r>
        <w:rPr>
          <w:rFonts w:ascii="Verdana" w:hAnsi="Verdana"/>
          <w:sz w:val="20"/>
          <w:u w:val="single"/>
        </w:rPr>
        <w:t>Contrato de Distribuição</w:t>
      </w:r>
      <w:r>
        <w:rPr>
          <w:rFonts w:ascii="Verdana" w:hAnsi="Verdana"/>
          <w:sz w:val="20"/>
        </w:rPr>
        <w:t>”), com a intermediação de instituições financeiras integrantes do sistema de distribuição de valores mobiliários responsáveis pela colocação das Debêntures (“</w:t>
      </w:r>
      <w:r>
        <w:rPr>
          <w:rFonts w:ascii="Verdana" w:hAnsi="Verdana"/>
          <w:sz w:val="20"/>
          <w:u w:val="single"/>
        </w:rPr>
        <w:t>Coordenadores</w:t>
      </w:r>
      <w:r>
        <w:rPr>
          <w:rFonts w:ascii="Verdana" w:hAnsi="Verdana"/>
          <w:sz w:val="20"/>
        </w:rPr>
        <w:t>”), sendo que uma destas</w:t>
      </w:r>
      <w:r>
        <w:rPr>
          <w:rFonts w:ascii="Verdana" w:hAnsi="Verdana"/>
          <w:sz w:val="20"/>
        </w:rPr>
        <w:t xml:space="preserve"> instituições atuará na qualidade de coordenador líder, tendo como público alvo investidores profissionais, assim definidos nos termos do artigo 9º-A da Instrução da CVM nº 539, de 13 de novembro de 2013, conforme alterada (“</w:t>
      </w:r>
      <w:r>
        <w:rPr>
          <w:rFonts w:ascii="Verdana" w:hAnsi="Verdana"/>
          <w:sz w:val="20"/>
          <w:u w:val="single"/>
        </w:rPr>
        <w:t>Investidores Profissionais</w:t>
      </w:r>
      <w:r>
        <w:rPr>
          <w:rFonts w:ascii="Verdana" w:hAnsi="Verdana"/>
          <w:sz w:val="20"/>
        </w:rPr>
        <w:t>” e “</w:t>
      </w:r>
      <w:r>
        <w:rPr>
          <w:rFonts w:ascii="Verdana" w:hAnsi="Verdana"/>
          <w:sz w:val="20"/>
          <w:u w:val="single"/>
        </w:rPr>
        <w:t>Instrução CVM 539</w:t>
      </w:r>
      <w:r>
        <w:rPr>
          <w:rFonts w:ascii="Verdana" w:hAnsi="Verdana"/>
          <w:sz w:val="20"/>
        </w:rPr>
        <w:t>”, respectivamente).</w:t>
      </w:r>
      <w:r>
        <w:rPr>
          <w:rFonts w:ascii="Verdana" w:hAnsi="Verdana" w:cs="Tahoma"/>
          <w:sz w:val="20"/>
        </w:rPr>
        <w:t xml:space="preserve">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4.1.2.</w:t>
      </w:r>
      <w:r>
        <w:rPr>
          <w:rFonts w:ascii="Verdana" w:hAnsi="Verdana" w:cs="Tahoma"/>
          <w:sz w:val="20"/>
        </w:rPr>
        <w:tab/>
        <w:t xml:space="preserve">O plano de distribuição das Debêntures seguirá o procedimento descrito na Instrução CVM 476, conforme previsto no Contrato de Distribuição. Para tanto, os Coordenadores poderão acessar conjuntamente no máximo </w:t>
      </w:r>
      <w:r>
        <w:rPr>
          <w:rFonts w:ascii="Verdana" w:hAnsi="Verdana" w:cs="Tahoma"/>
          <w:sz w:val="20"/>
        </w:rPr>
        <w:t>75 (setenta e cinco) Investidores Profissionais, sendo possível a subscrição ou aquisição por, no máximo, 50 (cinquenta) Investidores Profissionais.</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sz w:val="20"/>
        </w:rPr>
      </w:pPr>
      <w:r>
        <w:rPr>
          <w:rFonts w:ascii="Verdana" w:hAnsi="Verdana" w:cs="Tahoma"/>
          <w:sz w:val="20"/>
        </w:rPr>
        <w:t>4.1.3.</w:t>
      </w:r>
      <w:r>
        <w:rPr>
          <w:rFonts w:ascii="Verdana" w:hAnsi="Verdana" w:cs="Tahoma"/>
          <w:sz w:val="20"/>
        </w:rPr>
        <w:tab/>
      </w:r>
      <w:r>
        <w:rPr>
          <w:rFonts w:ascii="Verdana" w:hAnsi="Verdana"/>
          <w:sz w:val="20"/>
        </w:rPr>
        <w:t>A colocação das Debêntures será realizada pelos Coordenadores sob regime misto de colocação, sendo:</w:t>
      </w:r>
    </w:p>
    <w:p w:rsidR="00DE19C8" w:rsidRDefault="00DE19C8">
      <w:pPr>
        <w:suppressAutoHyphens/>
        <w:spacing w:line="318" w:lineRule="exact"/>
        <w:contextualSpacing/>
        <w:rPr>
          <w:rFonts w:ascii="Verdana" w:hAnsi="Verdana"/>
          <w:sz w:val="20"/>
        </w:rPr>
      </w:pPr>
    </w:p>
    <w:p w:rsidR="00DE19C8" w:rsidRDefault="00626B63">
      <w:pPr>
        <w:suppressAutoHyphens/>
        <w:spacing w:line="318" w:lineRule="exact"/>
        <w:contextualSpacing/>
        <w:rPr>
          <w:rFonts w:ascii="Verdana" w:hAnsi="Verdana"/>
          <w:sz w:val="20"/>
        </w:rPr>
      </w:pPr>
      <w:r>
        <w:rPr>
          <w:rFonts w:ascii="Verdana" w:hAnsi="Verdana"/>
          <w:sz w:val="20"/>
        </w:rPr>
        <w:t>(i)</w:t>
      </w:r>
      <w:r>
        <w:rPr>
          <w:rFonts w:ascii="Verdana" w:hAnsi="Verdana"/>
          <w:sz w:val="20"/>
        </w:rPr>
        <w:tab/>
        <w:t>regime de garantia firme de colocação, no montante de R$ 400.000.000,00 (quatrocentos milhões de reais) (“</w:t>
      </w:r>
      <w:r>
        <w:rPr>
          <w:rFonts w:ascii="Verdana" w:hAnsi="Verdana"/>
          <w:sz w:val="20"/>
          <w:u w:val="single"/>
        </w:rPr>
        <w:t>Garantia Firme</w:t>
      </w:r>
      <w:r>
        <w:rPr>
          <w:rFonts w:ascii="Verdana" w:hAnsi="Verdana"/>
          <w:sz w:val="20"/>
        </w:rPr>
        <w:t xml:space="preserve">”); e </w:t>
      </w:r>
    </w:p>
    <w:p w:rsidR="00DE19C8" w:rsidRDefault="00DE19C8">
      <w:pPr>
        <w:suppressAutoHyphens/>
        <w:spacing w:line="318" w:lineRule="exact"/>
        <w:contextualSpacing/>
        <w:rPr>
          <w:rFonts w:ascii="Verdana" w:hAnsi="Verdana"/>
          <w:sz w:val="20"/>
        </w:rPr>
      </w:pPr>
    </w:p>
    <w:p w:rsidR="00DE19C8" w:rsidRDefault="00626B63">
      <w:pPr>
        <w:suppressAutoHyphens/>
        <w:spacing w:line="318" w:lineRule="exact"/>
        <w:contextualSpacing/>
        <w:rPr>
          <w:rFonts w:ascii="Verdana" w:hAnsi="Verdana"/>
          <w:sz w:val="20"/>
        </w:rPr>
      </w:pPr>
      <w:r>
        <w:rPr>
          <w:rFonts w:ascii="Verdana" w:hAnsi="Verdana"/>
          <w:sz w:val="20"/>
        </w:rPr>
        <w:lastRenderedPageBreak/>
        <w:t>(</w:t>
      </w:r>
      <w:proofErr w:type="spellStart"/>
      <w:r>
        <w:rPr>
          <w:rFonts w:ascii="Verdana" w:hAnsi="Verdana"/>
          <w:sz w:val="20"/>
        </w:rPr>
        <w:t>ii</w:t>
      </w:r>
      <w:proofErr w:type="spellEnd"/>
      <w:r>
        <w:rPr>
          <w:rFonts w:ascii="Verdana" w:hAnsi="Verdana"/>
          <w:sz w:val="20"/>
        </w:rPr>
        <w:t xml:space="preserve">) </w:t>
      </w:r>
      <w:r>
        <w:rPr>
          <w:rFonts w:ascii="Verdana" w:hAnsi="Verdana"/>
          <w:sz w:val="20"/>
        </w:rPr>
        <w:tab/>
        <w:t>regime de melhores esforços de colocação de Debêntures, no montante de até R$200.000.000,00 (duzentos milhões de rea</w:t>
      </w:r>
      <w:r>
        <w:rPr>
          <w:rFonts w:ascii="Verdana" w:hAnsi="Verdana"/>
          <w:sz w:val="20"/>
        </w:rPr>
        <w:t>is) (“</w:t>
      </w:r>
      <w:r>
        <w:rPr>
          <w:rFonts w:ascii="Verdana" w:hAnsi="Verdana"/>
          <w:sz w:val="20"/>
          <w:u w:val="single"/>
        </w:rPr>
        <w:t>Melhores Esforços</w:t>
      </w:r>
      <w:r>
        <w:rPr>
          <w:rFonts w:ascii="Verdana" w:hAnsi="Verdana"/>
          <w:sz w:val="20"/>
        </w:rPr>
        <w:t>”).</w:t>
      </w:r>
    </w:p>
    <w:p w:rsidR="00DE19C8" w:rsidRDefault="00DE19C8">
      <w:pPr>
        <w:suppressAutoHyphens/>
        <w:spacing w:line="318" w:lineRule="exact"/>
        <w:contextualSpacing/>
        <w:rPr>
          <w:rFonts w:ascii="Verdana" w:hAnsi="Verdana"/>
          <w:sz w:val="20"/>
        </w:rPr>
      </w:pPr>
    </w:p>
    <w:p w:rsidR="00DE19C8" w:rsidRDefault="00626B63">
      <w:pPr>
        <w:suppressAutoHyphens/>
        <w:spacing w:line="318" w:lineRule="exact"/>
        <w:contextualSpacing/>
        <w:rPr>
          <w:rFonts w:ascii="Verdana" w:hAnsi="Verdana"/>
          <w:sz w:val="20"/>
        </w:rPr>
      </w:pPr>
      <w:r>
        <w:rPr>
          <w:rFonts w:ascii="Verdana" w:hAnsi="Verdana"/>
          <w:sz w:val="20"/>
        </w:rPr>
        <w:t>4.1.3.1. Sem prejuízo da Garantia Firme, será admitida a distribuição parcial das Debêntures, desde que haja a colocação de uma quantidade mínima de 400.000 (quatrocentas mil) Deb</w:t>
      </w:r>
      <w:r>
        <w:rPr>
          <w:rFonts w:ascii="Verdana" w:hAnsi="Verdana" w:hint="eastAsia"/>
          <w:sz w:val="20"/>
        </w:rPr>
        <w:t>ê</w:t>
      </w:r>
      <w:r>
        <w:rPr>
          <w:rFonts w:ascii="Verdana" w:hAnsi="Verdana"/>
          <w:sz w:val="20"/>
        </w:rPr>
        <w:t>ntures, no valor de R$400.000.000,00 (quatrocent</w:t>
      </w:r>
      <w:r>
        <w:rPr>
          <w:rFonts w:ascii="Verdana" w:hAnsi="Verdana"/>
          <w:sz w:val="20"/>
        </w:rPr>
        <w:t>os milhões de reais) (“</w:t>
      </w:r>
      <w:r>
        <w:rPr>
          <w:rFonts w:ascii="Verdana" w:hAnsi="Verdana"/>
          <w:sz w:val="20"/>
          <w:u w:val="single"/>
        </w:rPr>
        <w:t>Valor Mínimo</w:t>
      </w:r>
      <w:r>
        <w:rPr>
          <w:rFonts w:ascii="Verdana" w:hAnsi="Verdana"/>
          <w:sz w:val="20"/>
        </w:rPr>
        <w:t>”), nos termos do artigo 30, parágrafo 2º, da Instrução CVM nº 400, de 29 de dezembro de 2003, conforme alterada (“</w:t>
      </w:r>
      <w:r>
        <w:rPr>
          <w:rFonts w:ascii="Verdana" w:hAnsi="Verdana"/>
          <w:sz w:val="20"/>
          <w:u w:val="single"/>
        </w:rPr>
        <w:t>Instrução CVM 400</w:t>
      </w:r>
      <w:r>
        <w:rPr>
          <w:rFonts w:ascii="Verdana" w:hAnsi="Verdana"/>
          <w:sz w:val="20"/>
        </w:rPr>
        <w:t>”) e do artigo 5-A da Instrução CVM 476, sem definição de quantidade mínima (“</w:t>
      </w:r>
      <w:r>
        <w:rPr>
          <w:rFonts w:ascii="Verdana" w:hAnsi="Verdana"/>
          <w:sz w:val="20"/>
          <w:u w:val="single"/>
        </w:rPr>
        <w:t>Distribuição Parcial</w:t>
      </w:r>
      <w:r>
        <w:rPr>
          <w:rFonts w:ascii="Verdana" w:hAnsi="Verdana"/>
          <w:sz w:val="20"/>
        </w:rPr>
        <w:t>”).</w:t>
      </w:r>
    </w:p>
    <w:p w:rsidR="00DE19C8" w:rsidRDefault="00DE19C8">
      <w:pPr>
        <w:suppressAutoHyphens/>
        <w:spacing w:line="318" w:lineRule="exact"/>
        <w:contextualSpacing/>
        <w:rPr>
          <w:rFonts w:ascii="Verdana" w:hAnsi="Verdana"/>
          <w:sz w:val="20"/>
        </w:rPr>
      </w:pPr>
    </w:p>
    <w:p w:rsidR="00DE19C8" w:rsidRDefault="00626B63">
      <w:pPr>
        <w:suppressAutoHyphens/>
        <w:spacing w:line="318" w:lineRule="exact"/>
        <w:contextualSpacing/>
        <w:rPr>
          <w:rFonts w:ascii="Verdana" w:hAnsi="Verdana"/>
          <w:sz w:val="20"/>
        </w:rPr>
      </w:pPr>
      <w:r>
        <w:rPr>
          <w:rFonts w:ascii="Verdana" w:hAnsi="Verdana"/>
          <w:sz w:val="20"/>
        </w:rPr>
        <w:t xml:space="preserve">4.1.3.2. O eventual saldo de Debêntures não colocado no âmbito da Oferta Restrita será cancelado pela Emissora, ocasião na qual </w:t>
      </w:r>
      <w:proofErr w:type="spellStart"/>
      <w:r>
        <w:rPr>
          <w:rFonts w:ascii="Verdana" w:hAnsi="Verdana"/>
          <w:sz w:val="20"/>
        </w:rPr>
        <w:t>esta</w:t>
      </w:r>
      <w:proofErr w:type="spellEnd"/>
      <w:r>
        <w:rPr>
          <w:rFonts w:ascii="Verdana" w:hAnsi="Verdana"/>
          <w:sz w:val="20"/>
        </w:rPr>
        <w:t xml:space="preserve"> Escritura de Emissão será aditada sem a necessidade de realização de deliberação societária da Emi</w:t>
      </w:r>
      <w:r>
        <w:rPr>
          <w:rFonts w:ascii="Verdana" w:hAnsi="Verdana"/>
          <w:sz w:val="20"/>
        </w:rPr>
        <w:t xml:space="preserve">ssora ou de realização de Assembleia Geral de Debenturistas (conforme abaixo definido), observado ainda que, em razão da possibilidade de distribuição parcial, será facultado aos Investidores Profissionais o cancelamento das suas ordens de adesão à Oferta </w:t>
      </w:r>
      <w:r>
        <w:rPr>
          <w:rFonts w:ascii="Verdana" w:hAnsi="Verdana"/>
          <w:sz w:val="20"/>
        </w:rPr>
        <w:t>Restrita nos termos da Cláusula 4.1.3.3 abaixo, em conformidade com o disposto artigo 31 da Instrução CVM 400.</w:t>
      </w:r>
    </w:p>
    <w:p w:rsidR="00DE19C8" w:rsidRDefault="00DE19C8">
      <w:pPr>
        <w:suppressAutoHyphens/>
        <w:spacing w:line="318" w:lineRule="exact"/>
        <w:contextualSpacing/>
        <w:rPr>
          <w:rFonts w:ascii="Verdana" w:hAnsi="Verdana"/>
          <w:sz w:val="20"/>
        </w:rPr>
      </w:pPr>
    </w:p>
    <w:p w:rsidR="00DE19C8" w:rsidRDefault="00626B63">
      <w:pPr>
        <w:suppressAutoHyphens/>
        <w:spacing w:line="318" w:lineRule="exact"/>
        <w:contextualSpacing/>
        <w:rPr>
          <w:rFonts w:ascii="Verdana" w:hAnsi="Verdana"/>
          <w:sz w:val="20"/>
        </w:rPr>
      </w:pPr>
      <w:r>
        <w:rPr>
          <w:rFonts w:ascii="Verdana" w:hAnsi="Verdana" w:cs="Tahoma"/>
          <w:sz w:val="20"/>
        </w:rPr>
        <w:t>4.1.3.3</w:t>
      </w:r>
      <w:r>
        <w:rPr>
          <w:rFonts w:ascii="Verdana" w:hAnsi="Verdana" w:cs="Tahoma"/>
          <w:sz w:val="20"/>
        </w:rPr>
        <w:tab/>
      </w:r>
      <w:r>
        <w:rPr>
          <w:rFonts w:ascii="Verdana" w:hAnsi="Verdana"/>
          <w:sz w:val="20"/>
        </w:rPr>
        <w:t>Tendo em vista que a distribuição poderá ser parcial, o Investidor Profissional poderá, no ato da aceitação à Oferta Restrita, condicion</w:t>
      </w:r>
      <w:r>
        <w:rPr>
          <w:rFonts w:ascii="Verdana" w:hAnsi="Verdana"/>
          <w:sz w:val="20"/>
        </w:rPr>
        <w:t>ar sua adesão a que haja distribuição:</w:t>
      </w:r>
    </w:p>
    <w:p w:rsidR="00DE19C8" w:rsidRDefault="00DE19C8">
      <w:pPr>
        <w:tabs>
          <w:tab w:val="num" w:pos="709"/>
        </w:tabs>
        <w:spacing w:line="318" w:lineRule="exact"/>
        <w:ind w:firstLine="709"/>
        <w:contextualSpacing/>
        <w:rPr>
          <w:rFonts w:ascii="Verdana" w:hAnsi="Verdana"/>
          <w:sz w:val="20"/>
        </w:rPr>
      </w:pPr>
    </w:p>
    <w:p w:rsidR="00DE19C8" w:rsidRDefault="00626B63">
      <w:pPr>
        <w:tabs>
          <w:tab w:val="num" w:pos="709"/>
        </w:tabs>
        <w:spacing w:line="318" w:lineRule="exact"/>
        <w:ind w:left="709"/>
        <w:contextualSpacing/>
        <w:rPr>
          <w:rFonts w:ascii="Verdana" w:hAnsi="Verdana"/>
          <w:sz w:val="20"/>
        </w:rPr>
      </w:pPr>
      <w:r>
        <w:rPr>
          <w:rFonts w:ascii="Verdana" w:hAnsi="Verdana"/>
          <w:sz w:val="20"/>
        </w:rPr>
        <w:t xml:space="preserve">(i) da totalidade das Debêntures objeto da Oferta Restrita, sendo que, se tal condição não se implementar, as ordens serão canceladas, sendo certo que, neste caso, o processo de liquidação na B3 </w:t>
      </w:r>
      <w:r>
        <w:rPr>
          <w:rFonts w:ascii="Verdana" w:hAnsi="Verdana"/>
          <w:iCs/>
          <w:sz w:val="20"/>
        </w:rPr>
        <w:t xml:space="preserve">– Segmento </w:t>
      </w:r>
      <w:proofErr w:type="spellStart"/>
      <w:r>
        <w:rPr>
          <w:rFonts w:ascii="Verdana" w:hAnsi="Verdana"/>
          <w:iCs/>
          <w:sz w:val="20"/>
        </w:rPr>
        <w:t>Cetip</w:t>
      </w:r>
      <w:proofErr w:type="spellEnd"/>
      <w:r>
        <w:rPr>
          <w:rFonts w:ascii="Verdana" w:hAnsi="Verdana"/>
          <w:iCs/>
          <w:sz w:val="20"/>
        </w:rPr>
        <w:t xml:space="preserve"> UTVM</w:t>
      </w:r>
      <w:r>
        <w:rPr>
          <w:rFonts w:ascii="Verdana" w:hAnsi="Verdana"/>
          <w:sz w:val="20"/>
        </w:rPr>
        <w:t xml:space="preserve"> não terá sido iniciado; ou</w:t>
      </w:r>
    </w:p>
    <w:p w:rsidR="00DE19C8" w:rsidRDefault="00DE19C8">
      <w:pPr>
        <w:tabs>
          <w:tab w:val="num" w:pos="709"/>
        </w:tabs>
        <w:spacing w:line="318" w:lineRule="exact"/>
        <w:ind w:left="709"/>
        <w:contextualSpacing/>
        <w:rPr>
          <w:rFonts w:ascii="Verdana" w:hAnsi="Verdana"/>
          <w:sz w:val="20"/>
        </w:rPr>
      </w:pPr>
    </w:p>
    <w:p w:rsidR="00DE19C8" w:rsidRDefault="00626B63">
      <w:pPr>
        <w:tabs>
          <w:tab w:val="num" w:pos="709"/>
        </w:tabs>
        <w:spacing w:line="318" w:lineRule="exact"/>
        <w:ind w:left="709"/>
        <w:contextualSpacing/>
        <w:rPr>
          <w:rFonts w:ascii="Verdana" w:hAnsi="Verdana" w:cs="Tahoma"/>
          <w:sz w:val="20"/>
        </w:rPr>
      </w:pPr>
      <w:r>
        <w:rPr>
          <w:rFonts w:ascii="Verdana" w:hAnsi="Verdana"/>
          <w:sz w:val="20"/>
        </w:rPr>
        <w:t>(</w:t>
      </w:r>
      <w:proofErr w:type="spellStart"/>
      <w:r>
        <w:rPr>
          <w:rFonts w:ascii="Verdana" w:hAnsi="Verdana"/>
          <w:sz w:val="20"/>
        </w:rPr>
        <w:t>ii</w:t>
      </w:r>
      <w:proofErr w:type="spellEnd"/>
      <w:r>
        <w:rPr>
          <w:rFonts w:ascii="Verdana" w:hAnsi="Verdana"/>
          <w:sz w:val="20"/>
        </w:rPr>
        <w:t xml:space="preserve">) de uma proporção ou quantidade mínima de Debêntures originalmente objeto da Oferta Restrita, definida conforme critério do próprio Investidor Profissional, mas que não poderá ser inferior ao Valor Mínimo, devendo o Investidor Profissional, no momento </w:t>
      </w:r>
      <w:r>
        <w:rPr>
          <w:rFonts w:ascii="Verdana" w:hAnsi="Verdana"/>
          <w:sz w:val="20"/>
        </w:rPr>
        <w:t>da aceitação, indicar se, implementando-se a condição prevista, pretende receber a totalidade das Debêntures subscritas por tal Investidor Profissional ou quantidade equivalente à proporção entre a quantidade de Debêntures efetivamente distribuída e a quan</w:t>
      </w:r>
      <w:r>
        <w:rPr>
          <w:rFonts w:ascii="Verdana" w:hAnsi="Verdana"/>
          <w:sz w:val="20"/>
        </w:rPr>
        <w:t>tidade de Debêntures originalmente objeto da Oferta Restrita, presumindo-se, na falta da manifestação, o interesse do Investidor Profissional em receber a totalidade das Debêntures subscritas por tal Investidor Profissional, sendo que, se o Investidor Prof</w:t>
      </w:r>
      <w:r>
        <w:rPr>
          <w:rFonts w:ascii="Verdana" w:hAnsi="Verdana"/>
          <w:sz w:val="20"/>
        </w:rPr>
        <w:t xml:space="preserve">issional tiver indicado tal proporção, se tal condição não se implementar, as ordens serão canceladas, sendo certo que, neste caso, o processo de liquidação na B3 </w:t>
      </w:r>
      <w:r>
        <w:rPr>
          <w:rFonts w:ascii="Verdana" w:hAnsi="Verdana"/>
          <w:iCs/>
          <w:sz w:val="20"/>
        </w:rPr>
        <w:t xml:space="preserve">– Segmento </w:t>
      </w:r>
      <w:proofErr w:type="spellStart"/>
      <w:r>
        <w:rPr>
          <w:rFonts w:ascii="Verdana" w:hAnsi="Verdana"/>
          <w:iCs/>
          <w:sz w:val="20"/>
        </w:rPr>
        <w:t>Cetip</w:t>
      </w:r>
      <w:proofErr w:type="spellEnd"/>
      <w:r>
        <w:rPr>
          <w:rFonts w:ascii="Verdana" w:hAnsi="Verdana"/>
          <w:iCs/>
          <w:sz w:val="20"/>
        </w:rPr>
        <w:t xml:space="preserve"> UTVM</w:t>
      </w:r>
      <w:r>
        <w:rPr>
          <w:rFonts w:ascii="Verdana" w:hAnsi="Verdana"/>
          <w:sz w:val="20"/>
        </w:rPr>
        <w:t xml:space="preserve"> não terá sido iniciado.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b/>
          <w:sz w:val="20"/>
        </w:rPr>
      </w:pPr>
      <w:r>
        <w:rPr>
          <w:rFonts w:ascii="Verdana" w:hAnsi="Verdana" w:cs="Tahoma"/>
          <w:sz w:val="20"/>
        </w:rPr>
        <w:lastRenderedPageBreak/>
        <w:t>4.1.4.</w:t>
      </w:r>
      <w:r>
        <w:rPr>
          <w:rFonts w:ascii="Verdana" w:hAnsi="Verdana" w:cs="Tahoma"/>
          <w:sz w:val="20"/>
        </w:rPr>
        <w:tab/>
        <w:t>Nos termos do Contrato de Distribuição,</w:t>
      </w:r>
      <w:r>
        <w:rPr>
          <w:rFonts w:ascii="Verdana" w:hAnsi="Verdana" w:cs="Tahoma"/>
          <w:sz w:val="20"/>
        </w:rPr>
        <w:t xml:space="preserve"> os Coordenadores organizarão o procedimento de coleta de intenções de investimento, sem recebimento de reservas, sem lotes mínimos ou máximos, observado o disposto no artigo 3º da Instrução CVM 476, para verificação, junto aos Investidores Profissionais, </w:t>
      </w:r>
      <w:r>
        <w:rPr>
          <w:rFonts w:ascii="Verdana" w:hAnsi="Verdana" w:cs="Tahoma"/>
          <w:sz w:val="20"/>
        </w:rPr>
        <w:t>da demanda pelas Debêntures (“</w:t>
      </w:r>
      <w:r>
        <w:rPr>
          <w:rFonts w:ascii="Verdana" w:hAnsi="Verdana" w:cs="Tahoma"/>
          <w:sz w:val="20"/>
          <w:u w:val="single"/>
        </w:rPr>
        <w:t xml:space="preserve">Procedimento de </w:t>
      </w:r>
      <w:proofErr w:type="spellStart"/>
      <w:r>
        <w:rPr>
          <w:rFonts w:ascii="Verdana" w:hAnsi="Verdana" w:cs="Tahoma"/>
          <w:i/>
          <w:sz w:val="20"/>
          <w:u w:val="single"/>
        </w:rPr>
        <w:t>Bookbuilding</w:t>
      </w:r>
      <w:proofErr w:type="spellEnd"/>
      <w:r>
        <w:rPr>
          <w:rFonts w:ascii="Verdana" w:hAnsi="Verdana" w:cs="Tahoma"/>
          <w:sz w:val="20"/>
        </w:rPr>
        <w:t xml:space="preserve">”), de forma a (i) ratificar (a) a quantidade de Debêntures, (b) a existência da segunda série, </w:t>
      </w:r>
      <w:bookmarkStart w:id="102" w:name="_Hlk494448098"/>
      <w:r>
        <w:rPr>
          <w:rFonts w:ascii="Verdana" w:hAnsi="Verdana" w:cs="Tahoma"/>
          <w:sz w:val="20"/>
        </w:rPr>
        <w:t>(c) a quantidade de Debêntures a ser alocada em cada série</w:t>
      </w:r>
      <w:bookmarkStart w:id="103" w:name="_Hlk494448087"/>
      <w:bookmarkEnd w:id="102"/>
      <w:r>
        <w:rPr>
          <w:rFonts w:ascii="Verdana" w:hAnsi="Verdana" w:cs="Tahoma"/>
          <w:sz w:val="20"/>
        </w:rPr>
        <w:t>, conforme o caso, observado que tal alocaçã</w:t>
      </w:r>
      <w:r>
        <w:rPr>
          <w:rFonts w:ascii="Verdana" w:hAnsi="Verdana" w:cs="Tahoma"/>
          <w:sz w:val="20"/>
        </w:rPr>
        <w:t>o será realizada em sistema de vasos comunicantes; e (</w:t>
      </w:r>
      <w:proofErr w:type="spellStart"/>
      <w:r>
        <w:rPr>
          <w:rFonts w:ascii="Verdana" w:hAnsi="Verdana" w:cs="Tahoma"/>
          <w:sz w:val="20"/>
        </w:rPr>
        <w:t>ii</w:t>
      </w:r>
      <w:proofErr w:type="spellEnd"/>
      <w:r>
        <w:rPr>
          <w:rFonts w:ascii="Verdana" w:hAnsi="Verdana" w:cs="Tahoma"/>
          <w:sz w:val="20"/>
        </w:rPr>
        <w:t>) definir os Juros Remuneratórios das Debêntures da Primeira Série e os Juros Remuneratórios das Debêntures da Segunda Série, observado os limites mínimos e máximos dos Juros Remuneratórios das Debênt</w:t>
      </w:r>
      <w:r>
        <w:rPr>
          <w:rFonts w:ascii="Verdana" w:hAnsi="Verdana" w:cs="Tahoma"/>
          <w:sz w:val="20"/>
        </w:rPr>
        <w:t>ures da Primeira Série e os Juros Remuneratórios das Debêntures da Segunda Série previsto nos itens 4.9.2 e 4.9.3 abaixo, conforme a demanda por Debêntures apurada pelos Coordenadores junto aos potenciais investidores no âmbito do procedimento de distribui</w:t>
      </w:r>
      <w:r>
        <w:rPr>
          <w:rFonts w:ascii="Verdana" w:hAnsi="Verdana" w:cs="Tahoma"/>
          <w:sz w:val="20"/>
        </w:rPr>
        <w:t>ção das Debêntures</w:t>
      </w:r>
      <w:bookmarkEnd w:id="103"/>
      <w:r>
        <w:rPr>
          <w:rFonts w:ascii="Verdana" w:hAnsi="Verdana" w:cs="Tahoma"/>
          <w:sz w:val="20"/>
        </w:rPr>
        <w:t xml:space="preserve">. O resultado do Procedimento de </w:t>
      </w:r>
      <w:proofErr w:type="spellStart"/>
      <w:r>
        <w:rPr>
          <w:rFonts w:ascii="Verdana" w:hAnsi="Verdana" w:cs="Tahoma"/>
          <w:i/>
          <w:sz w:val="20"/>
        </w:rPr>
        <w:t>Bookbuilding</w:t>
      </w:r>
      <w:proofErr w:type="spellEnd"/>
      <w:r>
        <w:rPr>
          <w:rFonts w:ascii="Verdana" w:hAnsi="Verdana" w:cs="Tahoma"/>
          <w:sz w:val="20"/>
        </w:rPr>
        <w:t xml:space="preserve"> será ratificado por meio de aditamento a esta Escritura de Emissão, nos termos do modelo constante como Anexo I à presente Escritura de Emissão.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4.1.5.</w:t>
      </w:r>
      <w:r>
        <w:rPr>
          <w:rFonts w:ascii="Verdana" w:hAnsi="Verdana" w:cs="Tahoma"/>
          <w:sz w:val="20"/>
        </w:rPr>
        <w:tab/>
        <w:t>As Partes comprometem-se a não realiza</w:t>
      </w:r>
      <w:r>
        <w:rPr>
          <w:rFonts w:ascii="Verdana" w:hAnsi="Verdana" w:cs="Tahoma"/>
          <w:sz w:val="20"/>
        </w:rPr>
        <w:t>r a busca de investidores por meio de lojas, escritórios ou estabelecimentos abertos ao público, ou com a utilização de serviços públicos de comunicação, como a imprensa, o rádio, a televisão e páginas abertas ao público na rede mundial de computadores, no</w:t>
      </w:r>
      <w:r>
        <w:rPr>
          <w:rFonts w:ascii="Verdana" w:hAnsi="Verdana" w:cs="Tahoma"/>
          <w:sz w:val="20"/>
        </w:rPr>
        <w:t>s termos da Instrução CVM 476.</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4.1.6.</w:t>
      </w:r>
      <w:r>
        <w:rPr>
          <w:rFonts w:ascii="Verdana" w:hAnsi="Verdana" w:cs="Tahoma"/>
          <w:sz w:val="20"/>
        </w:rPr>
        <w:tab/>
        <w:t>A Emissora obriga-se a: (a) não contatar ou fornecer informações acerca da Oferta Restrita a qualquer investidor, exceto se previamente acordado com os Coordenadores; e (b) informar aos Coordenadores, até o Dia Útil i</w:t>
      </w:r>
      <w:r>
        <w:rPr>
          <w:rFonts w:ascii="Verdana" w:hAnsi="Verdana" w:cs="Tahoma"/>
          <w:sz w:val="20"/>
        </w:rPr>
        <w:t>mediatamente subsequente, a ocorrência de contato que receba de potenciais investidores que venham a manifestar seu interesse na Oferta Restrita, comprometendo-se desde já a não tomar qualquer providência em relação aos referidos potenciais investidores ne</w:t>
      </w:r>
      <w:r>
        <w:rPr>
          <w:rFonts w:ascii="Verdana" w:hAnsi="Verdana" w:cs="Tahoma"/>
          <w:sz w:val="20"/>
        </w:rPr>
        <w:t>ste período.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4.1.7.</w:t>
      </w:r>
      <w:r>
        <w:rPr>
          <w:rFonts w:ascii="Verdana" w:hAnsi="Verdana" w:cs="Tahoma"/>
          <w:sz w:val="20"/>
        </w:rPr>
        <w:tab/>
        <w:t>Não existirão reservas antecipadas, nem fixação de lotes mínimos ou máximos para a Oferta Restrita, sendo que os Coordenadores, com expressa e prévia anuência da Emissora, organizarão o plano de distribuição nos termos da Instrução CVM</w:t>
      </w:r>
      <w:r>
        <w:rPr>
          <w:rFonts w:ascii="Verdana" w:hAnsi="Verdana" w:cs="Tahoma"/>
          <w:sz w:val="20"/>
        </w:rPr>
        <w:t> 476, tendo como público alvo Investidores Profissionais apenas, observado ainda o disposto no artigo 4º da Instrução CVM 476.</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4.1.8.</w:t>
      </w:r>
      <w:r>
        <w:rPr>
          <w:rFonts w:ascii="Verdana" w:hAnsi="Verdana" w:cs="Tahoma"/>
          <w:sz w:val="20"/>
        </w:rPr>
        <w:tab/>
        <w:t>Não será constituído fundo de manutenção de liquidez e não será firmado contrato de estabilização de preços com relação à</w:t>
      </w:r>
      <w:r>
        <w:rPr>
          <w:rFonts w:ascii="Verdana" w:hAnsi="Verdana" w:cs="Tahoma"/>
          <w:sz w:val="20"/>
        </w:rPr>
        <w:t>s Debêntures. Não será constituído fundo de amortização para a presente Emissão.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lastRenderedPageBreak/>
        <w:t>4.1.9.</w:t>
      </w:r>
      <w:r>
        <w:rPr>
          <w:rFonts w:ascii="Verdana" w:hAnsi="Verdana" w:cs="Tahoma"/>
          <w:sz w:val="20"/>
        </w:rPr>
        <w:tab/>
        <w:t>Serão atendidos os clientes Investidores Profissionais dos Coordenadores que desejarem efetuar investimentos nas Debêntures, tendo em vista a relação dos Coordenadores</w:t>
      </w:r>
      <w:r>
        <w:rPr>
          <w:rFonts w:ascii="Verdana" w:hAnsi="Verdana" w:cs="Tahoma"/>
          <w:sz w:val="20"/>
        </w:rPr>
        <w:t xml:space="preserve"> com esses clientes, bem como outros Investidores Profissionais, mesmo que não sejam clientes dos Coordenadores, podendo ser levadas em consideração as relações com clientes e outras considerações de natureza comercial ou estratégica dos Coordenadores e da</w:t>
      </w:r>
      <w:r>
        <w:rPr>
          <w:rFonts w:ascii="Verdana" w:hAnsi="Verdana" w:cs="Tahoma"/>
          <w:sz w:val="20"/>
        </w:rPr>
        <w:t xml:space="preserve"> Emissora.</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4.1.10.</w:t>
      </w:r>
      <w:r>
        <w:rPr>
          <w:rFonts w:ascii="Verdana" w:hAnsi="Verdana" w:cs="Tahoma"/>
          <w:sz w:val="20"/>
        </w:rPr>
        <w:tab/>
        <w:t>Não será concedido qualquer tipo de desconto pelos Coordenadores aos Investidores Profissionais interessados em adquirir as Debêntures.</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4.1.11.</w:t>
      </w:r>
      <w:r>
        <w:rPr>
          <w:rFonts w:ascii="Verdana" w:hAnsi="Verdana" w:cs="Tahoma"/>
          <w:sz w:val="20"/>
        </w:rPr>
        <w:tab/>
        <w:t>Não haverá preferência para subscrição das Debêntures pelos atuais acionistas da Emissora.</w:t>
      </w:r>
    </w:p>
    <w:p w:rsidR="00DE19C8" w:rsidRDefault="00DE19C8">
      <w:pPr>
        <w:suppressAutoHyphens/>
        <w:spacing w:line="318" w:lineRule="exact"/>
        <w:contextualSpacing/>
        <w:rPr>
          <w:rFonts w:ascii="Verdana" w:hAnsi="Verdana" w:cs="Tahoma"/>
          <w:sz w:val="20"/>
        </w:rPr>
      </w:pPr>
    </w:p>
    <w:p w:rsidR="00DE19C8" w:rsidRDefault="00626B63">
      <w:pPr>
        <w:numPr>
          <w:ilvl w:val="0"/>
          <w:numId w:val="70"/>
        </w:numPr>
        <w:suppressAutoHyphens/>
        <w:spacing w:line="318" w:lineRule="exact"/>
        <w:ind w:left="0" w:firstLine="0"/>
        <w:contextualSpacing/>
        <w:rPr>
          <w:rFonts w:ascii="Verdana" w:hAnsi="Verdana" w:cs="Tahoma"/>
          <w:b/>
          <w:sz w:val="20"/>
        </w:rPr>
      </w:pPr>
      <w:r>
        <w:rPr>
          <w:rFonts w:ascii="Verdana" w:hAnsi="Verdana" w:cs="Tahoma"/>
          <w:b/>
          <w:sz w:val="20"/>
        </w:rPr>
        <w:t xml:space="preserve">Data de </w:t>
      </w:r>
      <w:r>
        <w:rPr>
          <w:rFonts w:ascii="Verdana" w:hAnsi="Verdana" w:cs="Tahoma"/>
          <w:b/>
          <w:bCs/>
          <w:sz w:val="20"/>
        </w:rPr>
        <w:t>Emissão</w:t>
      </w:r>
      <w:r>
        <w:rPr>
          <w:rFonts w:ascii="Verdana" w:hAnsi="Verdana" w:cs="Tahoma"/>
          <w:b/>
          <w:sz w:val="20"/>
        </w:rPr>
        <w:t xml:space="preserve"> das Debêntures</w:t>
      </w:r>
    </w:p>
    <w:p w:rsidR="00DE19C8" w:rsidRDefault="00DE19C8">
      <w:pPr>
        <w:keepNext/>
        <w:widowControl w:val="0"/>
        <w:suppressAutoHyphens/>
        <w:spacing w:line="318" w:lineRule="exact"/>
        <w:contextualSpacing/>
        <w:rPr>
          <w:rFonts w:ascii="Verdana" w:hAnsi="Verdana" w:cs="Tahoma"/>
          <w:sz w:val="20"/>
        </w:rPr>
      </w:pPr>
    </w:p>
    <w:p w:rsidR="00DE19C8" w:rsidRDefault="00626B63">
      <w:pPr>
        <w:keepNext/>
        <w:widowControl w:val="0"/>
        <w:suppressAutoHyphens/>
        <w:spacing w:line="318" w:lineRule="exact"/>
        <w:contextualSpacing/>
        <w:rPr>
          <w:rFonts w:ascii="Verdana" w:hAnsi="Verdana" w:cs="Tahoma"/>
          <w:sz w:val="20"/>
        </w:rPr>
      </w:pPr>
      <w:r>
        <w:rPr>
          <w:rFonts w:ascii="Verdana" w:hAnsi="Verdana" w:cs="Tahoma"/>
          <w:sz w:val="20"/>
        </w:rPr>
        <w:t>4.2.1.</w:t>
      </w:r>
      <w:r>
        <w:rPr>
          <w:rFonts w:ascii="Verdana" w:hAnsi="Verdana" w:cs="Tahoma"/>
          <w:sz w:val="20"/>
        </w:rPr>
        <w:tab/>
        <w:t>Para todos os efeitos legais, a Data de Emissão das Debêntures será o dia 15 de maio de 2019 (“</w:t>
      </w:r>
      <w:r>
        <w:rPr>
          <w:rFonts w:ascii="Verdana" w:hAnsi="Verdana" w:cs="Tahoma"/>
          <w:sz w:val="20"/>
          <w:u w:val="single"/>
        </w:rPr>
        <w:t>Data de Emissão</w:t>
      </w:r>
      <w:r>
        <w:rPr>
          <w:rFonts w:ascii="Verdana" w:hAnsi="Verdana" w:cs="Tahoma"/>
          <w:sz w:val="20"/>
        </w:rPr>
        <w:t xml:space="preserve">”). </w:t>
      </w:r>
    </w:p>
    <w:p w:rsidR="00DE19C8" w:rsidRDefault="00DE19C8">
      <w:pPr>
        <w:suppressAutoHyphens/>
        <w:spacing w:line="318" w:lineRule="exact"/>
        <w:contextualSpacing/>
        <w:rPr>
          <w:rFonts w:ascii="Verdana" w:hAnsi="Verdana" w:cs="Tahoma"/>
          <w:b/>
          <w:sz w:val="20"/>
        </w:rPr>
      </w:pPr>
    </w:p>
    <w:p w:rsidR="00DE19C8" w:rsidRDefault="00626B63">
      <w:pPr>
        <w:numPr>
          <w:ilvl w:val="0"/>
          <w:numId w:val="70"/>
        </w:numPr>
        <w:suppressAutoHyphens/>
        <w:spacing w:line="318" w:lineRule="exact"/>
        <w:ind w:left="0" w:firstLine="0"/>
        <w:contextualSpacing/>
        <w:rPr>
          <w:rFonts w:ascii="Verdana" w:hAnsi="Verdana" w:cs="Tahoma"/>
          <w:b/>
          <w:sz w:val="20"/>
        </w:rPr>
      </w:pPr>
      <w:r>
        <w:rPr>
          <w:rFonts w:ascii="Verdana" w:hAnsi="Verdana" w:cs="Tahoma"/>
          <w:b/>
          <w:sz w:val="20"/>
        </w:rPr>
        <w:t xml:space="preserve">Valor </w:t>
      </w:r>
      <w:r>
        <w:rPr>
          <w:rFonts w:ascii="Verdana" w:hAnsi="Verdana" w:cs="Tahoma"/>
          <w:b/>
          <w:bCs/>
          <w:sz w:val="20"/>
        </w:rPr>
        <w:t>Nominal</w:t>
      </w:r>
      <w:r>
        <w:rPr>
          <w:rFonts w:ascii="Verdana" w:hAnsi="Verdana" w:cs="Tahoma"/>
          <w:b/>
          <w:sz w:val="20"/>
        </w:rPr>
        <w:t xml:space="preserve"> Unitário das Debêntures </w:t>
      </w:r>
    </w:p>
    <w:p w:rsidR="00DE19C8" w:rsidRDefault="00DE19C8">
      <w:pPr>
        <w:pStyle w:val="p0"/>
        <w:tabs>
          <w:tab w:val="clear" w:pos="720"/>
        </w:tabs>
        <w:suppressAutoHyphens/>
        <w:spacing w:line="318" w:lineRule="exact"/>
        <w:contextualSpacing/>
        <w:rPr>
          <w:rFonts w:ascii="Verdana" w:hAnsi="Verdana" w:cs="Tahoma"/>
          <w:sz w:val="20"/>
        </w:rPr>
      </w:pPr>
    </w:p>
    <w:p w:rsidR="00DE19C8" w:rsidRDefault="00626B63">
      <w:pPr>
        <w:pStyle w:val="p0"/>
        <w:tabs>
          <w:tab w:val="clear" w:pos="720"/>
        </w:tabs>
        <w:suppressAutoHyphens/>
        <w:spacing w:line="318" w:lineRule="exact"/>
        <w:contextualSpacing/>
        <w:rPr>
          <w:rFonts w:ascii="Verdana" w:hAnsi="Verdana" w:cs="Tahoma"/>
          <w:sz w:val="20"/>
        </w:rPr>
      </w:pPr>
      <w:r>
        <w:rPr>
          <w:rFonts w:ascii="Verdana" w:hAnsi="Verdana" w:cs="Tahoma"/>
          <w:sz w:val="20"/>
        </w:rPr>
        <w:t>4.3.1.</w:t>
      </w:r>
      <w:r>
        <w:rPr>
          <w:rFonts w:ascii="Verdana" w:hAnsi="Verdana" w:cs="Tahoma"/>
          <w:sz w:val="20"/>
        </w:rPr>
        <w:tab/>
        <w:t xml:space="preserve">O Valor Nominal Unitário das Debêntures, na Data de </w:t>
      </w:r>
      <w:r>
        <w:rPr>
          <w:rFonts w:ascii="Verdana" w:hAnsi="Verdana" w:cs="Tahoma"/>
          <w:sz w:val="20"/>
        </w:rPr>
        <w:t>Emissão, será de R$1.000,00 (mil reais) (“</w:t>
      </w:r>
      <w:r>
        <w:rPr>
          <w:rFonts w:ascii="Verdana" w:hAnsi="Verdana" w:cs="Tahoma"/>
          <w:sz w:val="20"/>
          <w:u w:val="single"/>
        </w:rPr>
        <w:t>Valor Nominal Unitário</w:t>
      </w:r>
      <w:r>
        <w:rPr>
          <w:rFonts w:ascii="Verdana" w:hAnsi="Verdana" w:cs="Tahoma"/>
          <w:sz w:val="20"/>
        </w:rPr>
        <w:t xml:space="preserve">”). </w:t>
      </w:r>
    </w:p>
    <w:p w:rsidR="00DE19C8" w:rsidRDefault="00DE19C8">
      <w:pPr>
        <w:pStyle w:val="p0"/>
        <w:tabs>
          <w:tab w:val="clear" w:pos="720"/>
        </w:tabs>
        <w:suppressAutoHyphens/>
        <w:spacing w:line="318" w:lineRule="exact"/>
        <w:contextualSpacing/>
        <w:rPr>
          <w:rFonts w:ascii="Verdana" w:hAnsi="Verdana" w:cs="Tahoma"/>
          <w:sz w:val="20"/>
        </w:rPr>
      </w:pPr>
    </w:p>
    <w:p w:rsidR="00DE19C8" w:rsidRDefault="00626B63">
      <w:pPr>
        <w:numPr>
          <w:ilvl w:val="0"/>
          <w:numId w:val="70"/>
        </w:numPr>
        <w:suppressAutoHyphens/>
        <w:spacing w:line="318" w:lineRule="exact"/>
        <w:ind w:left="0" w:firstLine="0"/>
        <w:contextualSpacing/>
        <w:rPr>
          <w:rFonts w:ascii="Verdana" w:hAnsi="Verdana" w:cs="Tahoma"/>
          <w:b/>
          <w:sz w:val="20"/>
        </w:rPr>
      </w:pPr>
      <w:r>
        <w:rPr>
          <w:rFonts w:ascii="Verdana" w:hAnsi="Verdana" w:cs="Tahoma"/>
          <w:b/>
          <w:sz w:val="20"/>
        </w:rPr>
        <w:t xml:space="preserve">Forma, </w:t>
      </w:r>
      <w:r>
        <w:rPr>
          <w:rFonts w:ascii="Verdana" w:hAnsi="Verdana" w:cs="Tahoma"/>
          <w:b/>
          <w:bCs/>
          <w:sz w:val="20"/>
        </w:rPr>
        <w:t>Conversibilidade</w:t>
      </w:r>
      <w:r>
        <w:rPr>
          <w:rFonts w:ascii="Verdana" w:hAnsi="Verdana" w:cs="Tahoma"/>
          <w:b/>
          <w:sz w:val="20"/>
        </w:rPr>
        <w:t xml:space="preserve"> e Comprovação de Titularidade das Debêntures</w:t>
      </w:r>
    </w:p>
    <w:p w:rsidR="00DE19C8" w:rsidRDefault="00DE19C8">
      <w:pPr>
        <w:keepNext/>
        <w:widowControl w:val="0"/>
        <w:suppressAutoHyphens/>
        <w:spacing w:line="318" w:lineRule="exact"/>
        <w:contextualSpacing/>
        <w:rPr>
          <w:rFonts w:ascii="Verdana" w:hAnsi="Verdana" w:cs="Tahoma"/>
          <w:sz w:val="20"/>
        </w:rPr>
      </w:pPr>
    </w:p>
    <w:p w:rsidR="00DE19C8" w:rsidRDefault="00626B63">
      <w:pPr>
        <w:keepNext/>
        <w:widowControl w:val="0"/>
        <w:suppressAutoHyphens/>
        <w:spacing w:line="318" w:lineRule="exact"/>
        <w:contextualSpacing/>
        <w:rPr>
          <w:rFonts w:ascii="Verdana" w:hAnsi="Verdana" w:cs="Tahoma"/>
          <w:sz w:val="20"/>
        </w:rPr>
      </w:pPr>
      <w:r>
        <w:rPr>
          <w:rFonts w:ascii="Verdana" w:hAnsi="Verdana" w:cs="Tahoma"/>
          <w:sz w:val="20"/>
        </w:rPr>
        <w:t>4.4.1.</w:t>
      </w:r>
      <w:r>
        <w:rPr>
          <w:rFonts w:ascii="Verdana" w:hAnsi="Verdana" w:cs="Tahoma"/>
          <w:sz w:val="20"/>
        </w:rPr>
        <w:tab/>
        <w:t>As Debêntures terão forma nominativa, escritural, sem emissão de cautelas ou certificados, e não serão conver</w:t>
      </w:r>
      <w:r>
        <w:rPr>
          <w:rFonts w:ascii="Verdana" w:hAnsi="Verdana" w:cs="Tahoma"/>
          <w:sz w:val="20"/>
        </w:rPr>
        <w:t>síveis em ações de emissão da Emissora.</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4.4.2.</w:t>
      </w:r>
      <w:r>
        <w:rPr>
          <w:rFonts w:ascii="Verdana" w:hAnsi="Verdana" w:cs="Tahoma"/>
          <w:sz w:val="20"/>
        </w:rPr>
        <w:tab/>
        <w:t xml:space="preserve">Não serão emitidos certificados representativos das Debêntures. Para todos os fins de direito, a titularidade das Debêntures será comprovada pelo extrato emitido pelo </w:t>
      </w:r>
      <w:proofErr w:type="spellStart"/>
      <w:r>
        <w:rPr>
          <w:rFonts w:ascii="Verdana" w:hAnsi="Verdana" w:cs="Tahoma"/>
          <w:iCs/>
          <w:sz w:val="20"/>
        </w:rPr>
        <w:t>Escriturador</w:t>
      </w:r>
      <w:proofErr w:type="spellEnd"/>
      <w:r>
        <w:rPr>
          <w:rFonts w:ascii="Verdana" w:hAnsi="Verdana" w:cs="Tahoma"/>
          <w:sz w:val="20"/>
        </w:rPr>
        <w:t>. Adicionalmente, será reconh</w:t>
      </w:r>
      <w:r>
        <w:rPr>
          <w:rFonts w:ascii="Verdana" w:hAnsi="Verdana" w:cs="Tahoma"/>
          <w:sz w:val="20"/>
        </w:rPr>
        <w:t xml:space="preserve">ecido como comprovante de titularidade das Debêntures, o extrato, em nome do Debenturista, emitido pela B3 – Segmento </w:t>
      </w:r>
      <w:proofErr w:type="spellStart"/>
      <w:r>
        <w:rPr>
          <w:rFonts w:ascii="Verdana" w:hAnsi="Verdana" w:cs="Tahoma"/>
          <w:sz w:val="20"/>
        </w:rPr>
        <w:t>Cetip</w:t>
      </w:r>
      <w:proofErr w:type="spellEnd"/>
      <w:r>
        <w:rPr>
          <w:rFonts w:ascii="Verdana" w:hAnsi="Verdana" w:cs="Tahoma"/>
          <w:sz w:val="20"/>
        </w:rPr>
        <w:t xml:space="preserve"> UTVM, para as Debêntures custodiadas eletronicamente na </w:t>
      </w:r>
      <w:r>
        <w:rPr>
          <w:rFonts w:ascii="Verdana" w:hAnsi="Verdana"/>
          <w:sz w:val="20"/>
        </w:rPr>
        <w:t xml:space="preserve">B3 </w:t>
      </w:r>
      <w:r>
        <w:rPr>
          <w:rFonts w:ascii="Verdana" w:hAnsi="Verdana"/>
          <w:iCs/>
          <w:sz w:val="20"/>
        </w:rPr>
        <w:t xml:space="preserve">– Segmento </w:t>
      </w:r>
      <w:proofErr w:type="spellStart"/>
      <w:r>
        <w:rPr>
          <w:rFonts w:ascii="Verdana" w:hAnsi="Verdana"/>
          <w:iCs/>
          <w:sz w:val="20"/>
        </w:rPr>
        <w:t>Cetip</w:t>
      </w:r>
      <w:proofErr w:type="spellEnd"/>
      <w:r>
        <w:rPr>
          <w:rFonts w:ascii="Verdana" w:hAnsi="Verdana"/>
          <w:iCs/>
          <w:sz w:val="20"/>
        </w:rPr>
        <w:t xml:space="preserve"> UTVM</w:t>
      </w:r>
      <w:r>
        <w:rPr>
          <w:rFonts w:ascii="Verdana" w:hAnsi="Verdana" w:cs="Tahoma"/>
          <w:sz w:val="20"/>
        </w:rPr>
        <w:t>.</w:t>
      </w:r>
    </w:p>
    <w:p w:rsidR="00DE19C8" w:rsidRDefault="00DE19C8">
      <w:pPr>
        <w:suppressAutoHyphens/>
        <w:spacing w:line="318" w:lineRule="exact"/>
        <w:contextualSpacing/>
        <w:rPr>
          <w:rFonts w:ascii="Verdana" w:hAnsi="Verdana" w:cs="Tahoma"/>
          <w:b/>
          <w:sz w:val="20"/>
        </w:rPr>
      </w:pPr>
    </w:p>
    <w:p w:rsidR="00DE19C8" w:rsidRDefault="00626B63">
      <w:pPr>
        <w:numPr>
          <w:ilvl w:val="0"/>
          <w:numId w:val="70"/>
        </w:numPr>
        <w:suppressAutoHyphens/>
        <w:spacing w:line="318" w:lineRule="exact"/>
        <w:ind w:left="0" w:firstLine="0"/>
        <w:contextualSpacing/>
        <w:rPr>
          <w:rFonts w:ascii="Verdana" w:hAnsi="Verdana" w:cs="Tahoma"/>
          <w:b/>
          <w:sz w:val="20"/>
        </w:rPr>
      </w:pPr>
      <w:r>
        <w:rPr>
          <w:rFonts w:ascii="Verdana" w:hAnsi="Verdana" w:cs="Tahoma"/>
          <w:b/>
          <w:bCs/>
          <w:sz w:val="20"/>
        </w:rPr>
        <w:t>Espécie</w:t>
      </w:r>
    </w:p>
    <w:p w:rsidR="00DE19C8" w:rsidRDefault="00DE19C8">
      <w:pPr>
        <w:widowControl w:val="0"/>
        <w:suppressAutoHyphens/>
        <w:spacing w:line="318" w:lineRule="exact"/>
        <w:contextualSpacing/>
        <w:rPr>
          <w:rFonts w:ascii="Verdana" w:hAnsi="Verdana" w:cs="Tahoma"/>
          <w:sz w:val="20"/>
        </w:rPr>
      </w:pPr>
    </w:p>
    <w:p w:rsidR="00DE19C8" w:rsidRDefault="00626B63">
      <w:pPr>
        <w:widowControl w:val="0"/>
        <w:suppressAutoHyphens/>
        <w:spacing w:line="318" w:lineRule="exact"/>
        <w:contextualSpacing/>
        <w:rPr>
          <w:rFonts w:ascii="Verdana" w:hAnsi="Verdana" w:cs="Tahoma"/>
          <w:sz w:val="20"/>
        </w:rPr>
      </w:pPr>
      <w:r>
        <w:rPr>
          <w:rFonts w:ascii="Verdana" w:hAnsi="Verdana" w:cs="Tahoma"/>
          <w:sz w:val="20"/>
        </w:rPr>
        <w:t>4.5.1.</w:t>
      </w:r>
      <w:r>
        <w:rPr>
          <w:rFonts w:ascii="Verdana" w:hAnsi="Verdana" w:cs="Tahoma"/>
          <w:sz w:val="20"/>
        </w:rPr>
        <w:tab/>
        <w:t>As Debêntures serão da espécie qu</w:t>
      </w:r>
      <w:r>
        <w:rPr>
          <w:rFonts w:ascii="Verdana" w:hAnsi="Verdana" w:cs="Tahoma"/>
          <w:sz w:val="20"/>
        </w:rPr>
        <w:t>irografária.</w:t>
      </w:r>
    </w:p>
    <w:p w:rsidR="00DE19C8" w:rsidRDefault="00DE19C8">
      <w:pPr>
        <w:suppressAutoHyphens/>
        <w:spacing w:line="318" w:lineRule="exact"/>
        <w:contextualSpacing/>
        <w:rPr>
          <w:rFonts w:ascii="Verdana" w:hAnsi="Verdana" w:cs="Tahoma"/>
          <w:sz w:val="20"/>
        </w:rPr>
      </w:pPr>
    </w:p>
    <w:p w:rsidR="00DE19C8" w:rsidRDefault="00626B63">
      <w:pPr>
        <w:keepNext/>
        <w:numPr>
          <w:ilvl w:val="0"/>
          <w:numId w:val="70"/>
        </w:numPr>
        <w:suppressAutoHyphens/>
        <w:spacing w:line="318" w:lineRule="exact"/>
        <w:ind w:left="0" w:firstLine="0"/>
        <w:contextualSpacing/>
        <w:rPr>
          <w:rFonts w:ascii="Verdana" w:hAnsi="Verdana" w:cs="Tahoma"/>
          <w:b/>
          <w:sz w:val="20"/>
        </w:rPr>
      </w:pPr>
      <w:r>
        <w:rPr>
          <w:rFonts w:ascii="Verdana" w:hAnsi="Verdana" w:cs="Tahoma"/>
          <w:b/>
          <w:bCs/>
          <w:sz w:val="20"/>
        </w:rPr>
        <w:lastRenderedPageBreak/>
        <w:t>Preço</w:t>
      </w:r>
      <w:r>
        <w:rPr>
          <w:rFonts w:ascii="Verdana" w:hAnsi="Verdana" w:cs="Tahoma"/>
          <w:b/>
          <w:sz w:val="20"/>
        </w:rPr>
        <w:t xml:space="preserve"> e Forma de Subscrição e Integralização</w:t>
      </w:r>
    </w:p>
    <w:p w:rsidR="00DE19C8" w:rsidRDefault="00DE19C8">
      <w:pPr>
        <w:keepNext/>
        <w:suppressAutoHyphens/>
        <w:spacing w:line="318" w:lineRule="exact"/>
        <w:contextualSpacing/>
        <w:rPr>
          <w:rFonts w:ascii="Verdana" w:hAnsi="Verdana" w:cs="Tahoma"/>
          <w:b/>
          <w:sz w:val="20"/>
        </w:rPr>
      </w:pPr>
    </w:p>
    <w:p w:rsidR="00DE19C8" w:rsidRDefault="00626B63">
      <w:pPr>
        <w:keepNext/>
        <w:suppressAutoHyphens/>
        <w:spacing w:line="318" w:lineRule="exact"/>
        <w:contextualSpacing/>
        <w:rPr>
          <w:rFonts w:ascii="Verdana" w:hAnsi="Verdana" w:cs="Tahoma"/>
          <w:sz w:val="20"/>
        </w:rPr>
      </w:pPr>
      <w:r>
        <w:rPr>
          <w:rFonts w:ascii="Verdana" w:hAnsi="Verdana" w:cs="Tahoma"/>
          <w:sz w:val="20"/>
        </w:rPr>
        <w:t>4.6.1.</w:t>
      </w:r>
      <w:r>
        <w:rPr>
          <w:rFonts w:ascii="Verdana" w:hAnsi="Verdana" w:cs="Tahoma"/>
          <w:sz w:val="20"/>
        </w:rPr>
        <w:tab/>
      </w:r>
      <w:r>
        <w:rPr>
          <w:rFonts w:ascii="Verdana" w:hAnsi="Verdana" w:cs="Tahoma"/>
          <w:bCs/>
          <w:sz w:val="20"/>
        </w:rPr>
        <w:t xml:space="preserve">Após o Procedimento de </w:t>
      </w:r>
      <w:proofErr w:type="spellStart"/>
      <w:r>
        <w:rPr>
          <w:rFonts w:ascii="Verdana" w:hAnsi="Verdana" w:cs="Tahoma"/>
          <w:bCs/>
          <w:i/>
          <w:sz w:val="20"/>
        </w:rPr>
        <w:t>Bookbuilding</w:t>
      </w:r>
      <w:proofErr w:type="spellEnd"/>
      <w:r>
        <w:rPr>
          <w:rFonts w:ascii="Verdana" w:hAnsi="Verdana" w:cs="Tahoma"/>
          <w:bCs/>
          <w:sz w:val="20"/>
        </w:rPr>
        <w:t>, a</w:t>
      </w:r>
      <w:r>
        <w:rPr>
          <w:rFonts w:ascii="Verdana" w:hAnsi="Verdana" w:cs="Tahoma"/>
          <w:sz w:val="20"/>
        </w:rPr>
        <w:t>s Debêntures serão subscritas e integralizadas, no mercado primário, em uma única data (“</w:t>
      </w:r>
      <w:r>
        <w:rPr>
          <w:rFonts w:ascii="Verdana" w:hAnsi="Verdana" w:cs="Tahoma"/>
          <w:sz w:val="20"/>
          <w:u w:val="single"/>
        </w:rPr>
        <w:t>Data de Integralização</w:t>
      </w:r>
      <w:r>
        <w:rPr>
          <w:rFonts w:ascii="Verdana" w:hAnsi="Verdana" w:cs="Tahoma"/>
          <w:sz w:val="20"/>
        </w:rPr>
        <w:t>”), pelo seu Valor Nominal Unitário. Cas</w:t>
      </w:r>
      <w:r>
        <w:rPr>
          <w:rFonts w:ascii="Verdana" w:hAnsi="Verdana" w:cs="Tahoma"/>
          <w:sz w:val="20"/>
        </w:rPr>
        <w:t>o não ocorra a subscrição e a integralização da totalidade das Debêntures na Data de Integralização, o que será admitido exclusivamente em caso de problemas operacionais, o preço de subscrição para as Debêntures que forem integralizadas após a primeira Dat</w:t>
      </w:r>
      <w:r>
        <w:rPr>
          <w:rFonts w:ascii="Verdana" w:hAnsi="Verdana" w:cs="Tahoma"/>
          <w:sz w:val="20"/>
        </w:rPr>
        <w:t xml:space="preserve">a de Integralização será o Valor Nominal Unitário, acrescido dos Juros Remuneratórios (conforme definido abaixo) calculados </w:t>
      </w:r>
      <w:r>
        <w:rPr>
          <w:rFonts w:ascii="Verdana" w:hAnsi="Verdana" w:cs="Tahoma"/>
          <w:i/>
          <w:sz w:val="20"/>
        </w:rPr>
        <w:t xml:space="preserve">pro rata </w:t>
      </w:r>
      <w:proofErr w:type="spellStart"/>
      <w:r>
        <w:rPr>
          <w:rFonts w:ascii="Verdana" w:hAnsi="Verdana" w:cs="Tahoma"/>
          <w:i/>
          <w:sz w:val="20"/>
        </w:rPr>
        <w:t>temporis</w:t>
      </w:r>
      <w:proofErr w:type="spellEnd"/>
      <w:r>
        <w:rPr>
          <w:rFonts w:ascii="Verdana" w:hAnsi="Verdana" w:cs="Tahoma"/>
          <w:sz w:val="20"/>
        </w:rPr>
        <w:t xml:space="preserve"> desde a primeira Data de Integralização até a data de sua efetiva integralização, de acordo com as disposições a s</w:t>
      </w:r>
      <w:r>
        <w:rPr>
          <w:rFonts w:ascii="Verdana" w:hAnsi="Verdana" w:cs="Tahoma"/>
          <w:sz w:val="20"/>
        </w:rPr>
        <w:t>erem indicadas na Escritura de Emissão (“</w:t>
      </w:r>
      <w:r>
        <w:rPr>
          <w:rFonts w:ascii="Verdana" w:hAnsi="Verdana" w:cs="Tahoma"/>
          <w:sz w:val="20"/>
          <w:u w:val="single"/>
        </w:rPr>
        <w:t>Preço de Subscrição</w:t>
      </w:r>
      <w:r>
        <w:rPr>
          <w:rFonts w:ascii="Verdana" w:hAnsi="Verdana" w:cs="Tahoma"/>
          <w:sz w:val="20"/>
        </w:rPr>
        <w:t xml:space="preserve">”).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u w:val="single"/>
        </w:rPr>
      </w:pPr>
      <w:r>
        <w:rPr>
          <w:rFonts w:ascii="Verdana" w:hAnsi="Verdana" w:cs="Tahoma"/>
          <w:sz w:val="20"/>
        </w:rPr>
        <w:t>4.6.2.</w:t>
      </w:r>
      <w:r>
        <w:rPr>
          <w:rFonts w:ascii="Verdana" w:hAnsi="Verdana" w:cs="Tahoma"/>
          <w:sz w:val="20"/>
        </w:rPr>
        <w:tab/>
        <w:t>A integralização das Debêntures será realizada à vista, no ato da subscrição, em moeda corrente nacional, pelo Preço de Subscrição, de acordo com as normas de liquidação e procediment</w:t>
      </w:r>
      <w:r>
        <w:rPr>
          <w:rFonts w:ascii="Verdana" w:hAnsi="Verdana" w:cs="Tahoma"/>
          <w:sz w:val="20"/>
        </w:rPr>
        <w:t>os aplicáveis da B3</w:t>
      </w:r>
      <w:r>
        <w:rPr>
          <w:rFonts w:ascii="Verdana" w:hAnsi="Verdana"/>
          <w:sz w:val="20"/>
        </w:rPr>
        <w:t xml:space="preserve"> – Segmento </w:t>
      </w:r>
      <w:proofErr w:type="spellStart"/>
      <w:r>
        <w:rPr>
          <w:rFonts w:ascii="Verdana" w:hAnsi="Verdana"/>
          <w:sz w:val="20"/>
        </w:rPr>
        <w:t>Cetip</w:t>
      </w:r>
      <w:proofErr w:type="spellEnd"/>
      <w:r>
        <w:rPr>
          <w:rFonts w:ascii="Verdana" w:hAnsi="Verdana"/>
          <w:sz w:val="20"/>
        </w:rPr>
        <w:t xml:space="preserve"> UTVM</w:t>
      </w:r>
      <w:r>
        <w:rPr>
          <w:rFonts w:ascii="Verdana" w:hAnsi="Verdana" w:cs="Tahoma"/>
          <w:sz w:val="20"/>
        </w:rPr>
        <w:t>. As Debêntures poderão ser subscritas com ágio ou deságio e, caso aplicável, o ágio ou deságio será o mesmo para todas as Debêntures da respectiva série.</w:t>
      </w:r>
    </w:p>
    <w:p w:rsidR="00DE19C8" w:rsidRDefault="00DE19C8">
      <w:pPr>
        <w:suppressAutoHyphens/>
        <w:spacing w:line="318" w:lineRule="exact"/>
        <w:contextualSpacing/>
        <w:rPr>
          <w:rFonts w:ascii="Verdana" w:hAnsi="Verdana" w:cs="Tahoma"/>
          <w:sz w:val="20"/>
        </w:rPr>
      </w:pPr>
    </w:p>
    <w:p w:rsidR="00DE19C8" w:rsidRDefault="00626B63">
      <w:pPr>
        <w:numPr>
          <w:ilvl w:val="0"/>
          <w:numId w:val="70"/>
        </w:numPr>
        <w:suppressAutoHyphens/>
        <w:spacing w:line="318" w:lineRule="exact"/>
        <w:ind w:left="0" w:firstLine="0"/>
        <w:contextualSpacing/>
        <w:rPr>
          <w:rFonts w:ascii="Verdana" w:hAnsi="Verdana" w:cs="Tahoma"/>
          <w:b/>
          <w:sz w:val="20"/>
        </w:rPr>
      </w:pPr>
      <w:r>
        <w:rPr>
          <w:rFonts w:ascii="Verdana" w:hAnsi="Verdana" w:cs="Tahoma"/>
          <w:b/>
          <w:bCs/>
          <w:sz w:val="20"/>
        </w:rPr>
        <w:t>Data</w:t>
      </w:r>
      <w:r>
        <w:rPr>
          <w:rFonts w:ascii="Verdana" w:hAnsi="Verdana" w:cs="Tahoma"/>
          <w:b/>
          <w:sz w:val="20"/>
        </w:rPr>
        <w:t xml:space="preserve"> de Vencimento</w:t>
      </w:r>
    </w:p>
    <w:p w:rsidR="00DE19C8" w:rsidRDefault="00DE19C8">
      <w:pPr>
        <w:keepNext/>
        <w:widowControl w:val="0"/>
        <w:suppressAutoHyphens/>
        <w:spacing w:line="318" w:lineRule="exact"/>
        <w:contextualSpacing/>
        <w:rPr>
          <w:rFonts w:ascii="Verdana" w:hAnsi="Verdana" w:cs="Tahoma"/>
          <w:sz w:val="20"/>
        </w:rPr>
      </w:pPr>
    </w:p>
    <w:p w:rsidR="00DE19C8" w:rsidRDefault="00626B63">
      <w:pPr>
        <w:pStyle w:val="p0"/>
        <w:keepNext/>
        <w:widowControl w:val="0"/>
        <w:tabs>
          <w:tab w:val="clear" w:pos="720"/>
        </w:tabs>
        <w:suppressAutoHyphens/>
        <w:spacing w:line="318" w:lineRule="exact"/>
        <w:contextualSpacing/>
        <w:rPr>
          <w:rFonts w:ascii="Verdana" w:hAnsi="Verdana" w:cs="Tahoma"/>
          <w:sz w:val="20"/>
        </w:rPr>
      </w:pPr>
      <w:r>
        <w:rPr>
          <w:rFonts w:ascii="Verdana" w:hAnsi="Verdana" w:cs="Tahoma"/>
          <w:sz w:val="20"/>
        </w:rPr>
        <w:t>4.7.1.</w:t>
      </w:r>
      <w:r>
        <w:rPr>
          <w:rFonts w:ascii="Verdana" w:hAnsi="Verdana" w:cs="Tahoma"/>
          <w:sz w:val="20"/>
        </w:rPr>
        <w:tab/>
        <w:t xml:space="preserve">As Debêntures da Primeira Série </w:t>
      </w:r>
      <w:r>
        <w:rPr>
          <w:rFonts w:ascii="Verdana" w:hAnsi="Verdana" w:cs="Tahoma"/>
          <w:sz w:val="20"/>
        </w:rPr>
        <w:t>terão prazo de vigência de 36 (trinta e seis) meses contados da Data de Emissão, vencendo-se, portanto, em 15 de maio de 2022 (“</w:t>
      </w:r>
      <w:r>
        <w:rPr>
          <w:rFonts w:ascii="Verdana" w:hAnsi="Verdana" w:cs="Tahoma"/>
          <w:sz w:val="20"/>
          <w:u w:val="single"/>
        </w:rPr>
        <w:t>Data de Vencimento das Debêntures da Primeira Série</w:t>
      </w:r>
      <w:r>
        <w:rPr>
          <w:rFonts w:ascii="Verdana" w:hAnsi="Verdana" w:cs="Tahoma"/>
          <w:sz w:val="20"/>
        </w:rPr>
        <w:t xml:space="preserve">”) e as Debêntures da Segunda Série terão prazo de vigência de 60 (sessenta) </w:t>
      </w:r>
      <w:r>
        <w:rPr>
          <w:rFonts w:ascii="Verdana" w:hAnsi="Verdana" w:cs="Tahoma"/>
          <w:sz w:val="20"/>
        </w:rPr>
        <w:t>meses contados da Data de Emissão, vencendo-se, portanto, em 15 de maio de 2024 (“</w:t>
      </w:r>
      <w:r>
        <w:rPr>
          <w:rFonts w:ascii="Verdana" w:hAnsi="Verdana" w:cs="Tahoma"/>
          <w:sz w:val="20"/>
          <w:u w:val="single"/>
        </w:rPr>
        <w:t>Data de Vencimento das Debêntures da Segunda Série</w:t>
      </w:r>
      <w:r>
        <w:rPr>
          <w:rFonts w:ascii="Verdana" w:hAnsi="Verdana" w:cs="Tahoma"/>
          <w:sz w:val="20"/>
        </w:rPr>
        <w:t>”), ressalvadas as hipóteses de vencimento antecipado das Debêntures, em razão da ocorrência de um dos Eventos de Inadimplem</w:t>
      </w:r>
      <w:r>
        <w:rPr>
          <w:rFonts w:ascii="Verdana" w:hAnsi="Verdana" w:cs="Tahoma"/>
          <w:sz w:val="20"/>
        </w:rPr>
        <w:t xml:space="preserve">ento e de </w:t>
      </w:r>
      <w:r>
        <w:rPr>
          <w:rFonts w:ascii="Verdana" w:hAnsi="Verdana" w:cs="Tahoma"/>
          <w:color w:val="000000"/>
          <w:sz w:val="20"/>
        </w:rPr>
        <w:t xml:space="preserve">resgate antecipado das Debêntures em razão da indisponibilidade da Taxa DI </w:t>
      </w:r>
      <w:r>
        <w:rPr>
          <w:rFonts w:ascii="Verdana" w:hAnsi="Verdana" w:cs="Tahoma"/>
          <w:i/>
          <w:color w:val="000000"/>
          <w:sz w:val="20"/>
        </w:rPr>
        <w:t>Over</w:t>
      </w:r>
      <w:r>
        <w:rPr>
          <w:rFonts w:ascii="Verdana" w:hAnsi="Verdana" w:cs="Tahoma"/>
          <w:color w:val="000000"/>
          <w:sz w:val="20"/>
        </w:rPr>
        <w:t xml:space="preserve">, nos termos do item </w:t>
      </w:r>
      <w:r>
        <w:rPr>
          <w:rFonts w:ascii="Verdana" w:hAnsi="Verdana" w:cs="Tahoma"/>
          <w:sz w:val="20"/>
        </w:rPr>
        <w:t>4.9.4.5</w:t>
      </w:r>
      <w:r>
        <w:rPr>
          <w:rFonts w:ascii="Verdana" w:hAnsi="Verdana" w:cs="Tahoma"/>
          <w:color w:val="000000"/>
          <w:sz w:val="20"/>
        </w:rPr>
        <w:t xml:space="preserve"> abaixo</w:t>
      </w:r>
      <w:r>
        <w:rPr>
          <w:rFonts w:ascii="Verdana" w:hAnsi="Verdana" w:cs="Tahoma"/>
          <w:sz w:val="20"/>
        </w:rPr>
        <w:t xml:space="preserve">. </w:t>
      </w:r>
    </w:p>
    <w:p w:rsidR="00DE19C8" w:rsidRDefault="00DE19C8">
      <w:pPr>
        <w:pStyle w:val="p0"/>
        <w:tabs>
          <w:tab w:val="clear" w:pos="720"/>
        </w:tabs>
        <w:suppressAutoHyphens/>
        <w:spacing w:line="318" w:lineRule="exact"/>
        <w:contextualSpacing/>
        <w:rPr>
          <w:rFonts w:ascii="Verdana" w:hAnsi="Verdana" w:cs="Tahoma"/>
          <w:sz w:val="20"/>
        </w:rPr>
      </w:pPr>
    </w:p>
    <w:p w:rsidR="00DE19C8" w:rsidRDefault="00626B63">
      <w:pPr>
        <w:numPr>
          <w:ilvl w:val="0"/>
          <w:numId w:val="70"/>
        </w:numPr>
        <w:suppressAutoHyphens/>
        <w:spacing w:line="318" w:lineRule="exact"/>
        <w:ind w:left="0" w:firstLine="0"/>
        <w:contextualSpacing/>
        <w:rPr>
          <w:rFonts w:ascii="Verdana" w:hAnsi="Verdana" w:cs="Tahoma"/>
          <w:b/>
          <w:sz w:val="20"/>
        </w:rPr>
      </w:pPr>
      <w:r>
        <w:rPr>
          <w:rFonts w:ascii="Verdana" w:hAnsi="Verdana" w:cs="Tahoma"/>
          <w:b/>
          <w:bCs/>
          <w:sz w:val="20"/>
        </w:rPr>
        <w:t>Amortização</w:t>
      </w:r>
      <w:r>
        <w:rPr>
          <w:rFonts w:ascii="Verdana" w:hAnsi="Verdana" w:cs="Tahoma"/>
          <w:b/>
          <w:sz w:val="20"/>
        </w:rPr>
        <w:t xml:space="preserve"> do Valor Nominal Unitário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color w:val="000000"/>
          <w:sz w:val="20"/>
        </w:rPr>
      </w:pPr>
      <w:r>
        <w:rPr>
          <w:rFonts w:ascii="Verdana" w:hAnsi="Verdana" w:cs="Tahoma"/>
          <w:color w:val="000000"/>
          <w:sz w:val="20"/>
        </w:rPr>
        <w:t>4.8.1.</w:t>
      </w:r>
      <w:r>
        <w:rPr>
          <w:rFonts w:ascii="Verdana" w:hAnsi="Verdana" w:cs="Tahoma"/>
          <w:color w:val="000000"/>
          <w:sz w:val="20"/>
        </w:rPr>
        <w:tab/>
        <w:t>O Valor Nominal Unitário das Debêntures da Primeira Série será integralmente amort</w:t>
      </w:r>
      <w:r>
        <w:rPr>
          <w:rFonts w:ascii="Verdana" w:hAnsi="Verdana" w:cs="Tahoma"/>
          <w:color w:val="000000"/>
          <w:sz w:val="20"/>
        </w:rPr>
        <w:t xml:space="preserve">izado em uma única data, qual seja, a </w:t>
      </w:r>
      <w:r>
        <w:rPr>
          <w:rFonts w:ascii="Verdana" w:hAnsi="Verdana"/>
          <w:sz w:val="20"/>
        </w:rPr>
        <w:t>Data de Vencimento</w:t>
      </w:r>
      <w:r>
        <w:rPr>
          <w:rFonts w:ascii="Verdana" w:hAnsi="Verdana" w:cs="Tahoma"/>
          <w:sz w:val="20"/>
        </w:rPr>
        <w:t xml:space="preserve"> das Debêntures da Primeira Série</w:t>
      </w:r>
      <w:r>
        <w:rPr>
          <w:rFonts w:ascii="Verdana" w:hAnsi="Verdana" w:cs="Tahoma"/>
          <w:color w:val="000000"/>
          <w:sz w:val="20"/>
        </w:rPr>
        <w:t xml:space="preserve"> (“</w:t>
      </w:r>
      <w:r>
        <w:rPr>
          <w:rFonts w:ascii="Verdana" w:hAnsi="Verdana" w:cs="Tahoma"/>
          <w:color w:val="000000"/>
          <w:sz w:val="20"/>
          <w:u w:val="single"/>
        </w:rPr>
        <w:t>Data de Amortização das Debêntures da Primeira Série</w:t>
      </w:r>
      <w:r>
        <w:rPr>
          <w:rFonts w:ascii="Verdana" w:hAnsi="Verdana" w:cs="Tahoma"/>
          <w:color w:val="000000"/>
          <w:sz w:val="20"/>
        </w:rPr>
        <w:t xml:space="preserve">”). </w:t>
      </w:r>
    </w:p>
    <w:p w:rsidR="00DE19C8" w:rsidRDefault="00DE19C8">
      <w:pPr>
        <w:suppressAutoHyphens/>
        <w:spacing w:line="318" w:lineRule="exact"/>
        <w:contextualSpacing/>
        <w:rPr>
          <w:rFonts w:ascii="Verdana" w:hAnsi="Verdana" w:cs="Tahoma"/>
          <w:color w:val="000000"/>
          <w:sz w:val="20"/>
        </w:rPr>
      </w:pPr>
    </w:p>
    <w:p w:rsidR="00DE19C8" w:rsidRDefault="00626B63">
      <w:pPr>
        <w:suppressAutoHyphens/>
        <w:spacing w:line="318" w:lineRule="exact"/>
        <w:contextualSpacing/>
        <w:rPr>
          <w:rFonts w:ascii="Verdana" w:hAnsi="Verdana"/>
          <w:color w:val="000000"/>
          <w:sz w:val="20"/>
        </w:rPr>
      </w:pPr>
      <w:r>
        <w:rPr>
          <w:rFonts w:ascii="Verdana" w:hAnsi="Verdana" w:cs="Tahoma"/>
          <w:color w:val="000000"/>
          <w:sz w:val="20"/>
        </w:rPr>
        <w:t>4.8.2.</w:t>
      </w:r>
      <w:r>
        <w:rPr>
          <w:rFonts w:ascii="Verdana" w:hAnsi="Verdana" w:cs="Tahoma"/>
          <w:color w:val="000000"/>
          <w:sz w:val="20"/>
        </w:rPr>
        <w:tab/>
        <w:t>O</w:t>
      </w:r>
      <w:r>
        <w:rPr>
          <w:rFonts w:ascii="Verdana" w:hAnsi="Verdana"/>
          <w:color w:val="000000"/>
          <w:sz w:val="20"/>
        </w:rPr>
        <w:t xml:space="preserve"> Valor Nominal Unitário</w:t>
      </w:r>
      <w:r>
        <w:rPr>
          <w:rFonts w:ascii="Verdana" w:hAnsi="Verdana" w:cs="Tahoma"/>
          <w:color w:val="000000"/>
          <w:sz w:val="20"/>
        </w:rPr>
        <w:t xml:space="preserve"> das Debêntures da Segunda Série, será amortizado em 2 (duas) parcelas, sen</w:t>
      </w:r>
      <w:r>
        <w:rPr>
          <w:rFonts w:ascii="Verdana" w:hAnsi="Verdana" w:cs="Tahoma"/>
          <w:color w:val="000000"/>
          <w:sz w:val="20"/>
        </w:rPr>
        <w:t xml:space="preserve">do a primeira amortização em 15 de maio de 2023 e a segunda na </w:t>
      </w:r>
      <w:r>
        <w:rPr>
          <w:rFonts w:ascii="Verdana" w:hAnsi="Verdana" w:cs="Tahoma"/>
          <w:sz w:val="20"/>
        </w:rPr>
        <w:t>Data de Vencimento das Debêntures da Segunda Série, conforme tabela abaixo</w:t>
      </w:r>
      <w:r>
        <w:rPr>
          <w:rFonts w:ascii="Verdana" w:hAnsi="Verdana" w:cs="Tahoma"/>
          <w:color w:val="000000"/>
          <w:sz w:val="20"/>
        </w:rPr>
        <w:t xml:space="preserve"> (“</w:t>
      </w:r>
      <w:r>
        <w:rPr>
          <w:rFonts w:ascii="Verdana" w:hAnsi="Verdana" w:cs="Tahoma"/>
          <w:color w:val="000000"/>
          <w:sz w:val="20"/>
          <w:u w:val="single"/>
        </w:rPr>
        <w:t>Data de Amortização das Debêntures da Segunda Série</w:t>
      </w:r>
      <w:r>
        <w:rPr>
          <w:rFonts w:ascii="Verdana" w:hAnsi="Verdana" w:cs="Tahoma"/>
          <w:color w:val="000000"/>
          <w:sz w:val="20"/>
        </w:rPr>
        <w:t>”).</w:t>
      </w:r>
    </w:p>
    <w:p w:rsidR="00DE19C8" w:rsidRDefault="00DE19C8">
      <w:pPr>
        <w:suppressAutoHyphens/>
        <w:spacing w:line="318" w:lineRule="exact"/>
        <w:contextualSpacing/>
        <w:rPr>
          <w:rFonts w:ascii="Verdana" w:hAnsi="Verdana"/>
          <w:b/>
          <w:sz w:val="20"/>
        </w:rPr>
      </w:pPr>
    </w:p>
    <w:tbl>
      <w:tblPr>
        <w:tblStyle w:val="Tabelacomgrade"/>
        <w:tblW w:w="0" w:type="auto"/>
        <w:tblLook w:val="04A0" w:firstRow="1" w:lastRow="0" w:firstColumn="1" w:lastColumn="0" w:noHBand="0" w:noVBand="1"/>
      </w:tblPr>
      <w:tblGrid>
        <w:gridCol w:w="4700"/>
        <w:gridCol w:w="4696"/>
      </w:tblGrid>
      <w:tr w:rsidR="00DE19C8">
        <w:tc>
          <w:tcPr>
            <w:tcW w:w="4811" w:type="dxa"/>
          </w:tcPr>
          <w:p w:rsidR="00DE19C8" w:rsidRDefault="00626B63">
            <w:pPr>
              <w:suppressAutoHyphens/>
              <w:spacing w:line="318" w:lineRule="exact"/>
              <w:contextualSpacing/>
              <w:jc w:val="center"/>
              <w:rPr>
                <w:rFonts w:ascii="Verdana" w:hAnsi="Verdana"/>
                <w:b/>
                <w:sz w:val="20"/>
              </w:rPr>
            </w:pPr>
            <w:r>
              <w:rPr>
                <w:rFonts w:ascii="Verdana" w:hAnsi="Verdana"/>
                <w:b/>
                <w:sz w:val="20"/>
              </w:rPr>
              <w:t>Data de Amortização das Debêntures da Segunda Série</w:t>
            </w:r>
          </w:p>
        </w:tc>
        <w:tc>
          <w:tcPr>
            <w:tcW w:w="4811" w:type="dxa"/>
          </w:tcPr>
          <w:p w:rsidR="00DE19C8" w:rsidRDefault="00626B63">
            <w:pPr>
              <w:suppressAutoHyphens/>
              <w:spacing w:line="318" w:lineRule="exact"/>
              <w:contextualSpacing/>
              <w:jc w:val="center"/>
              <w:rPr>
                <w:rFonts w:ascii="Verdana" w:hAnsi="Verdana"/>
                <w:b/>
                <w:sz w:val="20"/>
              </w:rPr>
            </w:pPr>
            <w:r>
              <w:rPr>
                <w:rFonts w:ascii="Verdana" w:hAnsi="Verdana"/>
                <w:b/>
                <w:sz w:val="20"/>
              </w:rPr>
              <w:t>Percentual do Valor Nominal Unitário das Debêntures da Segunda Série</w:t>
            </w:r>
          </w:p>
        </w:tc>
      </w:tr>
      <w:tr w:rsidR="00DE19C8">
        <w:tc>
          <w:tcPr>
            <w:tcW w:w="4811" w:type="dxa"/>
          </w:tcPr>
          <w:p w:rsidR="00DE19C8" w:rsidRDefault="00626B63">
            <w:pPr>
              <w:suppressAutoHyphens/>
              <w:spacing w:line="318" w:lineRule="exact"/>
              <w:contextualSpacing/>
              <w:jc w:val="center"/>
              <w:rPr>
                <w:rFonts w:ascii="Verdana" w:hAnsi="Verdana"/>
                <w:b/>
                <w:sz w:val="20"/>
              </w:rPr>
            </w:pPr>
            <w:r>
              <w:rPr>
                <w:rFonts w:ascii="Verdana" w:hAnsi="Verdana" w:cs="Tahoma"/>
                <w:color w:val="000000"/>
                <w:sz w:val="20"/>
              </w:rPr>
              <w:t>15 de maio de 2023</w:t>
            </w:r>
          </w:p>
        </w:tc>
        <w:tc>
          <w:tcPr>
            <w:tcW w:w="4811" w:type="dxa"/>
          </w:tcPr>
          <w:p w:rsidR="00DE19C8" w:rsidRDefault="00626B63">
            <w:pPr>
              <w:suppressAutoHyphens/>
              <w:spacing w:line="318" w:lineRule="exact"/>
              <w:contextualSpacing/>
              <w:jc w:val="center"/>
              <w:rPr>
                <w:rFonts w:ascii="Verdana" w:hAnsi="Verdana"/>
                <w:b/>
                <w:sz w:val="20"/>
              </w:rPr>
            </w:pPr>
            <w:r>
              <w:rPr>
                <w:rFonts w:ascii="Verdana" w:hAnsi="Verdana"/>
                <w:b/>
                <w:sz w:val="20"/>
              </w:rPr>
              <w:t>50,0000%</w:t>
            </w:r>
          </w:p>
        </w:tc>
      </w:tr>
      <w:tr w:rsidR="00DE19C8">
        <w:tc>
          <w:tcPr>
            <w:tcW w:w="4811" w:type="dxa"/>
          </w:tcPr>
          <w:p w:rsidR="00DE19C8" w:rsidRDefault="00626B63">
            <w:pPr>
              <w:suppressAutoHyphens/>
              <w:spacing w:line="318" w:lineRule="exact"/>
              <w:contextualSpacing/>
              <w:jc w:val="center"/>
              <w:rPr>
                <w:rFonts w:ascii="Verdana" w:hAnsi="Verdana"/>
                <w:b/>
                <w:sz w:val="20"/>
              </w:rPr>
            </w:pPr>
            <w:r>
              <w:rPr>
                <w:rFonts w:ascii="Verdana" w:hAnsi="Verdana" w:cs="Tahoma"/>
                <w:sz w:val="20"/>
              </w:rPr>
              <w:t>Data de Vencimento das Debêntures da Segunda Série</w:t>
            </w:r>
          </w:p>
        </w:tc>
        <w:tc>
          <w:tcPr>
            <w:tcW w:w="4811" w:type="dxa"/>
          </w:tcPr>
          <w:p w:rsidR="00DE19C8" w:rsidRDefault="00626B63">
            <w:pPr>
              <w:suppressAutoHyphens/>
              <w:spacing w:line="318" w:lineRule="exact"/>
              <w:contextualSpacing/>
              <w:jc w:val="center"/>
              <w:rPr>
                <w:rFonts w:ascii="Verdana" w:hAnsi="Verdana"/>
                <w:b/>
                <w:sz w:val="20"/>
              </w:rPr>
            </w:pPr>
            <w:r>
              <w:rPr>
                <w:rFonts w:ascii="Verdana" w:hAnsi="Verdana"/>
                <w:b/>
                <w:sz w:val="20"/>
              </w:rPr>
              <w:t xml:space="preserve"> 50,0000% </w:t>
            </w:r>
          </w:p>
        </w:tc>
      </w:tr>
    </w:tbl>
    <w:p w:rsidR="00DE19C8" w:rsidRDefault="00DE19C8">
      <w:pPr>
        <w:suppressAutoHyphens/>
        <w:spacing w:line="318" w:lineRule="exact"/>
        <w:contextualSpacing/>
        <w:rPr>
          <w:rFonts w:ascii="Verdana" w:hAnsi="Verdana"/>
          <w:b/>
          <w:sz w:val="20"/>
        </w:rPr>
      </w:pPr>
    </w:p>
    <w:p w:rsidR="00DE19C8" w:rsidRDefault="00626B63">
      <w:pPr>
        <w:keepNext/>
        <w:numPr>
          <w:ilvl w:val="0"/>
          <w:numId w:val="70"/>
        </w:numPr>
        <w:suppressAutoHyphens/>
        <w:spacing w:line="318" w:lineRule="exact"/>
        <w:ind w:left="0" w:firstLine="0"/>
        <w:contextualSpacing/>
        <w:rPr>
          <w:rFonts w:ascii="Verdana" w:hAnsi="Verdana" w:cs="Tahoma"/>
          <w:b/>
          <w:sz w:val="20"/>
        </w:rPr>
      </w:pPr>
      <w:r>
        <w:rPr>
          <w:rFonts w:ascii="Verdana" w:hAnsi="Verdana" w:cs="Tahoma"/>
          <w:b/>
          <w:bCs/>
          <w:sz w:val="20"/>
        </w:rPr>
        <w:t>Remuneração</w:t>
      </w:r>
      <w:r>
        <w:rPr>
          <w:rFonts w:ascii="Verdana" w:hAnsi="Verdana" w:cs="Tahoma"/>
          <w:b/>
          <w:sz w:val="20"/>
        </w:rPr>
        <w:t xml:space="preserve"> das Debêntures</w:t>
      </w:r>
    </w:p>
    <w:p w:rsidR="00DE19C8" w:rsidRDefault="00DE19C8">
      <w:pPr>
        <w:keepNext/>
        <w:widowControl w:val="0"/>
        <w:suppressAutoHyphens/>
        <w:spacing w:line="318" w:lineRule="exact"/>
        <w:contextualSpacing/>
        <w:rPr>
          <w:rFonts w:ascii="Verdana" w:hAnsi="Verdana" w:cs="Tahoma"/>
          <w:b/>
          <w:sz w:val="20"/>
        </w:rPr>
      </w:pPr>
    </w:p>
    <w:p w:rsidR="00DE19C8" w:rsidRDefault="00626B63">
      <w:pPr>
        <w:pStyle w:val="p0"/>
        <w:keepNext/>
        <w:widowControl w:val="0"/>
        <w:tabs>
          <w:tab w:val="clear" w:pos="720"/>
        </w:tabs>
        <w:suppressAutoHyphens/>
        <w:spacing w:line="318" w:lineRule="exact"/>
        <w:contextualSpacing/>
        <w:rPr>
          <w:rFonts w:ascii="Verdana" w:hAnsi="Verdana" w:cs="Tahoma"/>
          <w:sz w:val="20"/>
        </w:rPr>
      </w:pPr>
      <w:r>
        <w:rPr>
          <w:rFonts w:ascii="Verdana" w:hAnsi="Verdana" w:cs="Tahoma"/>
          <w:sz w:val="20"/>
        </w:rPr>
        <w:t>4.9.1.</w:t>
      </w:r>
      <w:r>
        <w:rPr>
          <w:rFonts w:ascii="Verdana" w:hAnsi="Verdana" w:cs="Tahoma"/>
          <w:sz w:val="20"/>
        </w:rPr>
        <w:tab/>
      </w:r>
      <w:r>
        <w:rPr>
          <w:rFonts w:ascii="Verdana" w:hAnsi="Verdana" w:cs="Tahoma"/>
          <w:b/>
          <w:i/>
          <w:sz w:val="20"/>
        </w:rPr>
        <w:t>Atualização Monetária</w:t>
      </w:r>
      <w:r>
        <w:rPr>
          <w:rFonts w:ascii="Verdana" w:hAnsi="Verdana" w:cs="Tahoma"/>
          <w:sz w:val="20"/>
        </w:rPr>
        <w:t xml:space="preserve">: O Valor Nominal Unitário das </w:t>
      </w:r>
      <w:r>
        <w:rPr>
          <w:rFonts w:ascii="Verdana" w:hAnsi="Verdana" w:cs="Tahoma"/>
          <w:sz w:val="20"/>
        </w:rPr>
        <w:t>Debêntures não será atualizado monetariamente.</w:t>
      </w:r>
    </w:p>
    <w:p w:rsidR="00DE19C8" w:rsidRDefault="00DE19C8">
      <w:pPr>
        <w:pStyle w:val="p0"/>
        <w:keepNext/>
        <w:widowControl w:val="0"/>
        <w:tabs>
          <w:tab w:val="clear" w:pos="720"/>
        </w:tabs>
        <w:suppressAutoHyphens/>
        <w:spacing w:line="318" w:lineRule="exact"/>
        <w:contextualSpacing/>
        <w:rPr>
          <w:rFonts w:ascii="Verdana" w:hAnsi="Verdana" w:cs="Tahoma"/>
          <w:sz w:val="20"/>
        </w:rPr>
      </w:pPr>
    </w:p>
    <w:p w:rsidR="00DE19C8" w:rsidRDefault="00626B63">
      <w:pPr>
        <w:pStyle w:val="p0"/>
        <w:keepNext/>
        <w:widowControl w:val="0"/>
        <w:tabs>
          <w:tab w:val="clear" w:pos="720"/>
        </w:tabs>
        <w:suppressAutoHyphens/>
        <w:spacing w:line="318" w:lineRule="exact"/>
        <w:contextualSpacing/>
        <w:rPr>
          <w:rFonts w:ascii="Verdana" w:hAnsi="Verdana" w:cs="Tahoma"/>
          <w:b/>
          <w:sz w:val="20"/>
        </w:rPr>
      </w:pPr>
      <w:r>
        <w:rPr>
          <w:rFonts w:ascii="Verdana" w:hAnsi="Verdana" w:cs="Tahoma"/>
          <w:sz w:val="20"/>
        </w:rPr>
        <w:t>4.9.2.</w:t>
      </w:r>
      <w:r>
        <w:rPr>
          <w:rFonts w:ascii="Verdana" w:hAnsi="Verdana" w:cs="Tahoma"/>
          <w:sz w:val="20"/>
        </w:rPr>
        <w:tab/>
      </w:r>
      <w:r>
        <w:rPr>
          <w:rFonts w:ascii="Verdana" w:hAnsi="Verdana" w:cs="Tahoma"/>
          <w:b/>
          <w:i/>
          <w:sz w:val="20"/>
        </w:rPr>
        <w:t>Juros Remuneratórios das Debêntures da Primeira Série</w:t>
      </w:r>
      <w:r>
        <w:rPr>
          <w:rFonts w:ascii="Verdana" w:hAnsi="Verdana" w:cs="Tahoma"/>
          <w:sz w:val="20"/>
        </w:rPr>
        <w:t>: Sobre o Valor Nominal Unitário ou saldo do Valor Nominal Unitário das Debêntures da Primeira Série, conforme o caso, incidirão juros remuneratório</w:t>
      </w:r>
      <w:r>
        <w:rPr>
          <w:rFonts w:ascii="Verdana" w:hAnsi="Verdana" w:cs="Tahoma"/>
          <w:sz w:val="20"/>
        </w:rPr>
        <w:t xml:space="preserve">s correspondentes a 100% (cem por cento) da variação acumulada das taxas médias diárias dos DI – Depósitos Interfinanceiros de um dia, </w:t>
      </w:r>
      <w:r>
        <w:rPr>
          <w:rFonts w:ascii="Verdana" w:hAnsi="Verdana"/>
          <w:sz w:val="20"/>
        </w:rPr>
        <w:t>over</w:t>
      </w:r>
      <w:r>
        <w:rPr>
          <w:rFonts w:ascii="Verdana" w:hAnsi="Verdana" w:cs="Tahoma"/>
          <w:sz w:val="20"/>
        </w:rPr>
        <w:t xml:space="preserve"> </w:t>
      </w:r>
      <w:proofErr w:type="spellStart"/>
      <w:r>
        <w:rPr>
          <w:rFonts w:ascii="Verdana" w:hAnsi="Verdana" w:cs="Tahoma"/>
          <w:sz w:val="20"/>
        </w:rPr>
        <w:t>extra-grupo</w:t>
      </w:r>
      <w:proofErr w:type="spellEnd"/>
      <w:r>
        <w:rPr>
          <w:rFonts w:ascii="Verdana" w:hAnsi="Verdana" w:cs="Tahoma"/>
          <w:sz w:val="20"/>
        </w:rPr>
        <w:t xml:space="preserve">, calculadas e divulgadas diariamente pela B3 – Segmento </w:t>
      </w:r>
      <w:proofErr w:type="spellStart"/>
      <w:r>
        <w:rPr>
          <w:rFonts w:ascii="Verdana" w:hAnsi="Verdana" w:cs="Tahoma"/>
          <w:sz w:val="20"/>
        </w:rPr>
        <w:t>Cetip</w:t>
      </w:r>
      <w:proofErr w:type="spellEnd"/>
      <w:r>
        <w:rPr>
          <w:rFonts w:ascii="Verdana" w:hAnsi="Verdana" w:cs="Tahoma"/>
          <w:sz w:val="20"/>
        </w:rPr>
        <w:t xml:space="preserve"> UTVM, na forma percentual ao ano, base 252</w:t>
      </w:r>
      <w:r>
        <w:rPr>
          <w:rFonts w:ascii="Verdana" w:hAnsi="Verdana" w:cs="Tahoma"/>
          <w:sz w:val="20"/>
        </w:rPr>
        <w:t xml:space="preserve"> (duzentos e cinquenta e dois) Dias Úteis, no informativo diário disponível em sua página na Internet (</w:t>
      </w:r>
      <w:hyperlink w:history="1"/>
      <w:r>
        <w:rPr>
          <w:rFonts w:ascii="Verdana" w:hAnsi="Verdana"/>
          <w:sz w:val="20"/>
        </w:rPr>
        <w:t>http://www.b3.com.br</w:t>
      </w:r>
      <w:r>
        <w:rPr>
          <w:rFonts w:ascii="Verdana" w:hAnsi="Verdana" w:cs="Tahoma"/>
          <w:sz w:val="20"/>
        </w:rPr>
        <w:t>) (“</w:t>
      </w:r>
      <w:r>
        <w:rPr>
          <w:rFonts w:ascii="Verdana" w:hAnsi="Verdana" w:cs="Tahoma"/>
          <w:sz w:val="20"/>
          <w:u w:val="single"/>
        </w:rPr>
        <w:t xml:space="preserve">Taxa DI </w:t>
      </w:r>
      <w:r>
        <w:rPr>
          <w:rFonts w:ascii="Verdana" w:hAnsi="Verdana" w:cs="Tahoma"/>
          <w:i/>
          <w:sz w:val="20"/>
          <w:u w:val="single"/>
        </w:rPr>
        <w:t>Over</w:t>
      </w:r>
      <w:r>
        <w:rPr>
          <w:rFonts w:ascii="Verdana" w:hAnsi="Verdana" w:cs="Tahoma"/>
          <w:sz w:val="20"/>
        </w:rPr>
        <w:t>”), acrescida de uma sobretaxa máxima equivalente a 1,80% (um inteiro e oitenta centésimos por cento) a</w:t>
      </w:r>
      <w:r>
        <w:rPr>
          <w:rFonts w:ascii="Verdana" w:hAnsi="Verdana" w:cs="Tahoma"/>
          <w:sz w:val="20"/>
        </w:rPr>
        <w:t xml:space="preserve">o ano, base 252 (duzentos e cinquenta e dois) Dias Úteis, a ser apurada por meio do Procedimento de </w:t>
      </w:r>
      <w:proofErr w:type="spellStart"/>
      <w:r>
        <w:rPr>
          <w:rFonts w:ascii="Verdana" w:hAnsi="Verdana" w:cs="Tahoma"/>
          <w:i/>
          <w:sz w:val="20"/>
        </w:rPr>
        <w:t>Bookbuilding</w:t>
      </w:r>
      <w:proofErr w:type="spellEnd"/>
      <w:r>
        <w:rPr>
          <w:rFonts w:ascii="Verdana" w:hAnsi="Verdana" w:cs="Tahoma"/>
          <w:i/>
          <w:sz w:val="20"/>
        </w:rPr>
        <w:t xml:space="preserve"> </w:t>
      </w:r>
      <w:r>
        <w:rPr>
          <w:rFonts w:ascii="Verdana" w:hAnsi="Verdana" w:cs="Tahoma"/>
          <w:sz w:val="20"/>
        </w:rPr>
        <w:t>(“</w:t>
      </w:r>
      <w:r>
        <w:rPr>
          <w:rFonts w:ascii="Verdana" w:hAnsi="Verdana" w:cs="Tahoma"/>
          <w:sz w:val="20"/>
          <w:u w:val="single"/>
        </w:rPr>
        <w:t>Juros Remuneratórios das Debêntures da Primeira Série</w:t>
      </w:r>
      <w:r>
        <w:rPr>
          <w:rFonts w:ascii="Verdana" w:hAnsi="Verdana" w:cs="Tahoma"/>
          <w:sz w:val="20"/>
        </w:rPr>
        <w:t>”).</w:t>
      </w:r>
    </w:p>
    <w:p w:rsidR="00DE19C8" w:rsidRDefault="00DE19C8">
      <w:pPr>
        <w:pStyle w:val="p0"/>
        <w:tabs>
          <w:tab w:val="clear" w:pos="720"/>
        </w:tabs>
        <w:suppressAutoHyphens/>
        <w:spacing w:line="318" w:lineRule="exact"/>
        <w:contextualSpacing/>
        <w:rPr>
          <w:rFonts w:ascii="Verdana" w:hAnsi="Verdana" w:cs="Tahoma"/>
          <w:sz w:val="20"/>
        </w:rPr>
      </w:pPr>
    </w:p>
    <w:p w:rsidR="00DE19C8" w:rsidRDefault="00626B63">
      <w:pPr>
        <w:pStyle w:val="p0"/>
        <w:keepNext/>
        <w:widowControl w:val="0"/>
        <w:tabs>
          <w:tab w:val="clear" w:pos="720"/>
        </w:tabs>
        <w:suppressAutoHyphens/>
        <w:spacing w:line="318" w:lineRule="exact"/>
        <w:contextualSpacing/>
        <w:rPr>
          <w:rFonts w:ascii="Verdana" w:hAnsi="Verdana" w:cs="Tahoma"/>
          <w:b/>
          <w:sz w:val="20"/>
        </w:rPr>
      </w:pPr>
      <w:r>
        <w:rPr>
          <w:rFonts w:ascii="Verdana" w:hAnsi="Verdana" w:cs="Tahoma"/>
          <w:sz w:val="20"/>
        </w:rPr>
        <w:t>4.9.3.</w:t>
      </w:r>
      <w:r>
        <w:rPr>
          <w:rFonts w:ascii="Verdana" w:hAnsi="Verdana" w:cs="Tahoma"/>
          <w:sz w:val="20"/>
        </w:rPr>
        <w:tab/>
      </w:r>
      <w:r>
        <w:rPr>
          <w:rFonts w:ascii="Verdana" w:hAnsi="Verdana" w:cs="Tahoma"/>
          <w:b/>
          <w:i/>
          <w:sz w:val="20"/>
        </w:rPr>
        <w:t>Juros Remuneratórios das Debêntures da Segunda Série</w:t>
      </w:r>
      <w:r>
        <w:rPr>
          <w:rFonts w:ascii="Verdana" w:hAnsi="Verdana" w:cs="Tahoma"/>
          <w:sz w:val="20"/>
        </w:rPr>
        <w:t xml:space="preserve">: Sobre o Valor Nominal Unitário (ou sobre o saldo do Valor Nominal Unitário, conforme aplicável) das Debêntures da Segunda Série incidirão juros remuneratórios correspondentes a 100% (cem por cento) da variação acumulada da Taxa DI </w:t>
      </w:r>
      <w:r>
        <w:rPr>
          <w:rFonts w:ascii="Verdana" w:hAnsi="Verdana" w:cs="Tahoma"/>
          <w:i/>
          <w:sz w:val="20"/>
        </w:rPr>
        <w:t>Over</w:t>
      </w:r>
      <w:r>
        <w:rPr>
          <w:rFonts w:ascii="Verdana" w:hAnsi="Verdana" w:cs="Tahoma"/>
          <w:sz w:val="20"/>
        </w:rPr>
        <w:t xml:space="preserve">, acrescida de uma </w:t>
      </w:r>
      <w:r>
        <w:rPr>
          <w:rFonts w:ascii="Verdana" w:hAnsi="Verdana" w:cs="Tahoma"/>
          <w:sz w:val="20"/>
        </w:rPr>
        <w:t xml:space="preserve">sobretaxa máxima equivalente a 2,00% (dois por cento) ao ano, base 252 (duzentos e cinquenta e dois) Dias Úteis, a ser apurada por meio do Procedimento de </w:t>
      </w:r>
      <w:proofErr w:type="spellStart"/>
      <w:r>
        <w:rPr>
          <w:rFonts w:ascii="Verdana" w:hAnsi="Verdana" w:cs="Tahoma"/>
          <w:i/>
          <w:sz w:val="20"/>
        </w:rPr>
        <w:t>Bookbuilding</w:t>
      </w:r>
      <w:proofErr w:type="spellEnd"/>
      <w:r>
        <w:rPr>
          <w:rFonts w:ascii="Verdana" w:hAnsi="Verdana" w:cs="Tahoma"/>
          <w:sz w:val="20"/>
        </w:rPr>
        <w:t xml:space="preserve"> (“</w:t>
      </w:r>
      <w:r>
        <w:rPr>
          <w:rFonts w:ascii="Verdana" w:hAnsi="Verdana" w:cs="Tahoma"/>
          <w:sz w:val="20"/>
          <w:u w:val="single"/>
        </w:rPr>
        <w:t>Juros Remuneratórios das Debêntures da Segunda Série</w:t>
      </w:r>
      <w:r>
        <w:rPr>
          <w:rFonts w:ascii="Verdana" w:hAnsi="Verdana" w:cs="Tahoma"/>
          <w:sz w:val="20"/>
        </w:rPr>
        <w:t>” e, em conjunto com os Juros Remu</w:t>
      </w:r>
      <w:r>
        <w:rPr>
          <w:rFonts w:ascii="Verdana" w:hAnsi="Verdana" w:cs="Tahoma"/>
          <w:sz w:val="20"/>
        </w:rPr>
        <w:t>neratórios das Debêntures da Primeira Série, os “</w:t>
      </w:r>
      <w:r>
        <w:rPr>
          <w:rFonts w:ascii="Verdana" w:hAnsi="Verdana" w:cs="Tahoma"/>
          <w:sz w:val="20"/>
          <w:u w:val="single"/>
        </w:rPr>
        <w:t>Juros Remuneratórios</w:t>
      </w:r>
      <w:r>
        <w:rPr>
          <w:rFonts w:ascii="Verdana" w:hAnsi="Verdana" w:cs="Tahoma"/>
          <w:sz w:val="20"/>
        </w:rPr>
        <w:t>”).</w:t>
      </w:r>
    </w:p>
    <w:p w:rsidR="00DE19C8" w:rsidRDefault="00DE19C8">
      <w:pPr>
        <w:pStyle w:val="p0"/>
        <w:tabs>
          <w:tab w:val="clear" w:pos="720"/>
        </w:tabs>
        <w:suppressAutoHyphens/>
        <w:spacing w:line="318" w:lineRule="exact"/>
        <w:contextualSpacing/>
        <w:rPr>
          <w:rFonts w:ascii="Verdana" w:hAnsi="Verdana" w:cs="Tahoma"/>
          <w:sz w:val="20"/>
        </w:rPr>
      </w:pPr>
    </w:p>
    <w:p w:rsidR="00DE19C8" w:rsidRDefault="00626B63">
      <w:pPr>
        <w:pStyle w:val="p0"/>
        <w:tabs>
          <w:tab w:val="clear" w:pos="720"/>
          <w:tab w:val="left" w:pos="-142"/>
        </w:tabs>
        <w:suppressAutoHyphens/>
        <w:spacing w:line="318" w:lineRule="exact"/>
        <w:contextualSpacing/>
        <w:rPr>
          <w:rFonts w:ascii="Verdana" w:hAnsi="Verdana" w:cs="Tahoma"/>
          <w:color w:val="000000"/>
          <w:sz w:val="20"/>
        </w:rPr>
      </w:pPr>
      <w:r>
        <w:rPr>
          <w:rFonts w:ascii="Verdana" w:hAnsi="Verdana" w:cs="Tahoma"/>
          <w:sz w:val="20"/>
        </w:rPr>
        <w:t>4.9.4.</w:t>
      </w:r>
      <w:r>
        <w:rPr>
          <w:rFonts w:ascii="Verdana" w:hAnsi="Verdana" w:cs="Tahoma"/>
          <w:sz w:val="20"/>
        </w:rPr>
        <w:tab/>
      </w:r>
      <w:r>
        <w:rPr>
          <w:rFonts w:ascii="Verdana" w:hAnsi="Verdana" w:cs="Tahoma"/>
          <w:color w:val="000000"/>
          <w:sz w:val="20"/>
        </w:rPr>
        <w:t xml:space="preserve">Os Juros Remuneratórios serão calculados em regime de capitalização composta de forma </w:t>
      </w:r>
      <w:r>
        <w:rPr>
          <w:rFonts w:ascii="Verdana" w:hAnsi="Verdana" w:cs="Tahoma"/>
          <w:i/>
          <w:color w:val="000000"/>
          <w:sz w:val="20"/>
        </w:rPr>
        <w:t xml:space="preserve">pro rata </w:t>
      </w:r>
      <w:proofErr w:type="spellStart"/>
      <w:r>
        <w:rPr>
          <w:rFonts w:ascii="Verdana" w:hAnsi="Verdana" w:cs="Tahoma"/>
          <w:i/>
          <w:color w:val="000000"/>
          <w:sz w:val="20"/>
        </w:rPr>
        <w:t>temporis</w:t>
      </w:r>
      <w:proofErr w:type="spellEnd"/>
      <w:r>
        <w:rPr>
          <w:rFonts w:ascii="Verdana" w:hAnsi="Verdana" w:cs="Tahoma"/>
          <w:i/>
          <w:color w:val="000000"/>
          <w:sz w:val="20"/>
        </w:rPr>
        <w:t xml:space="preserve"> </w:t>
      </w:r>
      <w:r>
        <w:rPr>
          <w:rFonts w:ascii="Verdana" w:hAnsi="Verdana" w:cs="Tahoma"/>
          <w:color w:val="000000"/>
          <w:sz w:val="20"/>
        </w:rPr>
        <w:t xml:space="preserve">por Dias Úteis decorridos, desde a primeira Data de Integralização (ou </w:t>
      </w:r>
      <w:r>
        <w:rPr>
          <w:rFonts w:ascii="Verdana" w:hAnsi="Verdana" w:cs="Tahoma"/>
          <w:color w:val="000000"/>
          <w:sz w:val="20"/>
        </w:rPr>
        <w:t>desde a Data de Pagamento dos Juros Remuneratórios imediatamente anterior, conforme o caso) (inclusive) até a data de seu efetivo pagamento (exclusive), e deverão ser pagos em cada Data de Pagamento dos Juros Remuneratórios ou na data da liquidação antecip</w:t>
      </w:r>
      <w:r>
        <w:rPr>
          <w:rFonts w:ascii="Verdana" w:hAnsi="Verdana" w:cs="Tahoma"/>
          <w:color w:val="000000"/>
          <w:sz w:val="20"/>
        </w:rPr>
        <w:t xml:space="preserve">ada </w:t>
      </w:r>
      <w:r>
        <w:rPr>
          <w:rFonts w:ascii="Verdana" w:hAnsi="Verdana" w:cs="Tahoma"/>
          <w:color w:val="000000"/>
          <w:sz w:val="20"/>
        </w:rPr>
        <w:lastRenderedPageBreak/>
        <w:t xml:space="preserve">resultante (a) do vencimento antecipado das Debêntures em razão da ocorrência de um dos Eventos de Inadimplemento, (b) do resgate antecipado das Debêntures. </w:t>
      </w:r>
      <w:r>
        <w:rPr>
          <w:rFonts w:ascii="Verdana" w:hAnsi="Verdana" w:cs="Tahoma"/>
          <w:b/>
          <w:color w:val="000000"/>
          <w:sz w:val="20"/>
        </w:rPr>
        <w:t xml:space="preserve"> </w:t>
      </w:r>
    </w:p>
    <w:p w:rsidR="00DE19C8" w:rsidRDefault="00DE19C8">
      <w:pPr>
        <w:pStyle w:val="p0"/>
        <w:suppressAutoHyphens/>
        <w:spacing w:line="318" w:lineRule="exact"/>
        <w:ind w:firstLine="709"/>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sz w:val="20"/>
        </w:rPr>
        <w:t>4.9.4.1.</w:t>
      </w:r>
      <w:r>
        <w:rPr>
          <w:rFonts w:ascii="Verdana" w:hAnsi="Verdana" w:cs="Tahoma"/>
          <w:sz w:val="20"/>
        </w:rPr>
        <w:tab/>
      </w:r>
      <w:r>
        <w:rPr>
          <w:rFonts w:ascii="Verdana" w:hAnsi="Verdana" w:cs="Tahoma"/>
          <w:color w:val="000000"/>
          <w:sz w:val="20"/>
        </w:rPr>
        <w:t>O cálculo dos Juros Remuneratórios obedecerá a seguinte fórmula.</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spacing w:line="318" w:lineRule="exact"/>
        <w:contextualSpacing/>
        <w:jc w:val="center"/>
        <w:rPr>
          <w:rFonts w:ascii="Verdana" w:hAnsi="Verdana"/>
          <w:sz w:val="20"/>
        </w:rPr>
      </w:pPr>
      <w:r>
        <w:rPr>
          <w:rFonts w:ascii="Verdana" w:hAnsi="Verdana"/>
          <w:noProof/>
          <w:sz w:val="20"/>
        </w:rPr>
        <w:drawing>
          <wp:inline distT="0" distB="0" distL="0" distR="0">
            <wp:extent cx="1905000" cy="209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r="73453"/>
                    <a:stretch>
                      <a:fillRect/>
                    </a:stretch>
                  </pic:blipFill>
                  <pic:spPr bwMode="auto">
                    <a:xfrm>
                      <a:off x="0" y="0"/>
                      <a:ext cx="1905000" cy="209550"/>
                    </a:xfrm>
                    <a:prstGeom prst="rect">
                      <a:avLst/>
                    </a:prstGeom>
                    <a:noFill/>
                    <a:ln>
                      <a:noFill/>
                    </a:ln>
                  </pic:spPr>
                </pic:pic>
              </a:graphicData>
            </a:graphic>
          </wp:inline>
        </w:drawing>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color w:val="000000"/>
          <w:sz w:val="20"/>
        </w:rPr>
        <w:t>onde:</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color w:val="000000"/>
          <w:sz w:val="20"/>
        </w:rPr>
        <w:t xml:space="preserve">J = </w:t>
      </w:r>
      <w:r>
        <w:rPr>
          <w:rFonts w:ascii="Verdana" w:hAnsi="Verdana" w:cs="Tahoma"/>
          <w:color w:val="000000"/>
          <w:sz w:val="20"/>
        </w:rPr>
        <w:t>valor unitário dos Juros Remuneratórios da respectiva série devidos na respectiva data de pagamento, calculado com 8 (oito) casas decimais, sem arredondamento;</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proofErr w:type="spellStart"/>
      <w:r>
        <w:rPr>
          <w:rFonts w:ascii="Verdana" w:hAnsi="Verdana" w:cs="Tahoma"/>
          <w:color w:val="000000"/>
          <w:sz w:val="20"/>
        </w:rPr>
        <w:t>VNe</w:t>
      </w:r>
      <w:proofErr w:type="spellEnd"/>
      <w:r>
        <w:rPr>
          <w:rFonts w:ascii="Verdana" w:hAnsi="Verdana" w:cs="Tahoma"/>
          <w:color w:val="000000"/>
          <w:sz w:val="20"/>
        </w:rPr>
        <w:t xml:space="preserve"> = Valor Nominal Unitário (ou saldo do Valor Nominal Unitário, conforme aplicável) das Debên</w:t>
      </w:r>
      <w:r>
        <w:rPr>
          <w:rFonts w:ascii="Verdana" w:hAnsi="Verdana" w:cs="Tahoma"/>
          <w:color w:val="000000"/>
          <w:sz w:val="20"/>
        </w:rPr>
        <w:t>tures da Primeira Série ou das Debêntures da Segunda Série, conforme aplicável, informado/calculado com 8 (oito) casas decimais, sem arredondamento;</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keepNext/>
        <w:suppressAutoHyphens/>
        <w:spacing w:line="318" w:lineRule="exact"/>
        <w:contextualSpacing/>
        <w:rPr>
          <w:rFonts w:ascii="Verdana" w:hAnsi="Verdana" w:cs="Tahoma"/>
          <w:color w:val="000000"/>
          <w:sz w:val="20"/>
        </w:rPr>
      </w:pPr>
      <w:proofErr w:type="spellStart"/>
      <w:r>
        <w:rPr>
          <w:rFonts w:ascii="Verdana" w:hAnsi="Verdana" w:cs="Tahoma"/>
          <w:color w:val="000000"/>
          <w:sz w:val="20"/>
        </w:rPr>
        <w:t>FatorJuros</w:t>
      </w:r>
      <w:proofErr w:type="spellEnd"/>
      <w:r>
        <w:rPr>
          <w:rFonts w:ascii="Verdana" w:hAnsi="Verdana" w:cs="Tahoma"/>
          <w:color w:val="000000"/>
          <w:sz w:val="20"/>
        </w:rPr>
        <w:t xml:space="preserve"> = fator de juros, calculado com 9 (nove) casas decimais, com arredondamento, apurado de acordo </w:t>
      </w:r>
      <w:r>
        <w:rPr>
          <w:rFonts w:ascii="Verdana" w:hAnsi="Verdana" w:cs="Tahoma"/>
          <w:color w:val="000000"/>
          <w:sz w:val="20"/>
        </w:rPr>
        <w:t>com a seguinte fórmula:</w:t>
      </w:r>
    </w:p>
    <w:p w:rsidR="00DE19C8" w:rsidRDefault="00DE19C8">
      <w:pPr>
        <w:pStyle w:val="p0"/>
        <w:keepNext/>
        <w:suppressAutoHyphens/>
        <w:spacing w:line="240" w:lineRule="auto"/>
        <w:contextualSpacing/>
        <w:rPr>
          <w:rFonts w:ascii="Verdana" w:hAnsi="Verdana" w:cs="Tahoma"/>
          <w:color w:val="000000"/>
          <w:sz w:val="20"/>
        </w:rPr>
      </w:pPr>
    </w:p>
    <w:p w:rsidR="00DE19C8" w:rsidRDefault="00626B63">
      <w:pPr>
        <w:keepNext/>
        <w:contextualSpacing/>
        <w:jc w:val="center"/>
        <w:rPr>
          <w:rFonts w:ascii="Verdana" w:hAnsi="Verdana"/>
          <w:sz w:val="20"/>
        </w:rPr>
      </w:pPr>
      <w:r>
        <w:rPr>
          <w:rFonts w:ascii="Verdana" w:hAnsi="Verdana"/>
          <w:noProof/>
          <w:sz w:val="20"/>
        </w:rPr>
        <w:drawing>
          <wp:inline distT="0" distB="0" distL="0" distR="0">
            <wp:extent cx="2447925" cy="266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266700"/>
                    </a:xfrm>
                    <a:prstGeom prst="rect">
                      <a:avLst/>
                    </a:prstGeom>
                    <a:noFill/>
                    <a:ln>
                      <a:noFill/>
                    </a:ln>
                  </pic:spPr>
                </pic:pic>
              </a:graphicData>
            </a:graphic>
          </wp:inline>
        </w:drawing>
      </w:r>
    </w:p>
    <w:p w:rsidR="00DE19C8" w:rsidRDefault="00DE19C8">
      <w:pPr>
        <w:pStyle w:val="p0"/>
        <w:keepNext/>
        <w:suppressAutoHyphens/>
        <w:spacing w:line="240" w:lineRule="auto"/>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color w:val="000000"/>
          <w:sz w:val="20"/>
        </w:rPr>
        <w:t>onde:</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proofErr w:type="spellStart"/>
      <w:r>
        <w:rPr>
          <w:rFonts w:ascii="Verdana" w:hAnsi="Verdana" w:cs="Tahoma"/>
          <w:color w:val="000000"/>
          <w:sz w:val="20"/>
        </w:rPr>
        <w:t>FatorDI</w:t>
      </w:r>
      <w:proofErr w:type="spellEnd"/>
      <w:r>
        <w:rPr>
          <w:rFonts w:ascii="Verdana" w:hAnsi="Verdana" w:cs="Tahoma"/>
          <w:color w:val="000000"/>
          <w:sz w:val="20"/>
        </w:rPr>
        <w:t xml:space="preserve"> = </w:t>
      </w:r>
      <w:proofErr w:type="spellStart"/>
      <w:r>
        <w:rPr>
          <w:rFonts w:ascii="Verdana" w:hAnsi="Verdana" w:cs="Tahoma"/>
          <w:color w:val="000000"/>
          <w:sz w:val="20"/>
        </w:rPr>
        <w:t>produtório</w:t>
      </w:r>
      <w:proofErr w:type="spellEnd"/>
      <w:r>
        <w:rPr>
          <w:rFonts w:ascii="Verdana" w:hAnsi="Verdana" w:cs="Tahoma"/>
          <w:color w:val="000000"/>
          <w:sz w:val="20"/>
        </w:rPr>
        <w:t xml:space="preserve"> das Taxas </w:t>
      </w:r>
      <w:proofErr w:type="spellStart"/>
      <w:r>
        <w:rPr>
          <w:rFonts w:ascii="Verdana" w:hAnsi="Verdana" w:cs="Tahoma"/>
          <w:color w:val="000000"/>
          <w:sz w:val="20"/>
        </w:rPr>
        <w:t>DI</w:t>
      </w:r>
      <w:r>
        <w:rPr>
          <w:rFonts w:ascii="Verdana" w:hAnsi="Verdana" w:cs="Tahoma"/>
          <w:color w:val="000000"/>
          <w:sz w:val="20"/>
          <w:vertAlign w:val="subscript"/>
        </w:rPr>
        <w:t>k</w:t>
      </w:r>
      <w:proofErr w:type="spellEnd"/>
      <w:r>
        <w:rPr>
          <w:rFonts w:ascii="Verdana" w:hAnsi="Verdana" w:cs="Tahoma"/>
          <w:color w:val="000000"/>
          <w:sz w:val="20"/>
        </w:rPr>
        <w:t xml:space="preserve">, desde a primeira Data de Integralização (ou a Data de Pagamento dos Juros Remuneratórios imediatamente anterior, conforme o caso), inclusive, até a respectiva data de pagamento, </w:t>
      </w:r>
      <w:r>
        <w:rPr>
          <w:rFonts w:ascii="Verdana" w:hAnsi="Verdana" w:cs="Tahoma"/>
          <w:color w:val="000000"/>
          <w:sz w:val="20"/>
        </w:rPr>
        <w:t>exclusive, calculado com 8 (oito) casas decimais, com arredondamento, apurado da seguinte forma:</w:t>
      </w:r>
    </w:p>
    <w:p w:rsidR="00DE19C8" w:rsidRDefault="00DE19C8">
      <w:pPr>
        <w:pStyle w:val="p0"/>
        <w:suppressAutoHyphens/>
        <w:spacing w:line="240" w:lineRule="auto"/>
        <w:contextualSpacing/>
        <w:rPr>
          <w:rFonts w:ascii="Verdana" w:hAnsi="Verdana" w:cs="Tahoma"/>
          <w:color w:val="000000"/>
          <w:sz w:val="20"/>
        </w:rPr>
      </w:pPr>
    </w:p>
    <w:p w:rsidR="00DE19C8" w:rsidRDefault="00DE19C8">
      <w:pPr>
        <w:contextualSpacing/>
        <w:jc w:val="center"/>
        <w:rPr>
          <w:rFonts w:ascii="Verdana" w:hAnsi="Verdana"/>
          <w:sz w:val="20"/>
        </w:rPr>
      </w:pPr>
    </w:p>
    <w:p w:rsidR="00DE19C8" w:rsidRDefault="00626B63">
      <w:pPr>
        <w:contextualSpacing/>
        <w:jc w:val="center"/>
        <w:rPr>
          <w:rFonts w:ascii="Verdana" w:hAnsi="Verdana" w:cs="Tahoma"/>
          <w:color w:val="000000"/>
          <w:sz w:val="20"/>
        </w:rPr>
      </w:pPr>
      <w:r>
        <w:rPr>
          <w:rFonts w:ascii="Verdana" w:hAnsi="Verdana"/>
          <w:noProof/>
          <w:sz w:val="20"/>
        </w:rPr>
        <w:drawing>
          <wp:inline distT="0" distB="0" distL="0" distR="0">
            <wp:extent cx="2124075" cy="552450"/>
            <wp:effectExtent l="0" t="0" r="0" b="0"/>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0" cstate="print">
                      <a:extLst>
                        <a:ext uri="{28A0092B-C50C-407E-A947-70E740481C1C}">
                          <a14:useLocalDpi xmlns:a14="http://schemas.microsoft.com/office/drawing/2010/main" val="0"/>
                        </a:ext>
                      </a:extLst>
                    </a:blip>
                    <a:srcRect b="34506"/>
                    <a:stretch>
                      <a:fillRect/>
                    </a:stretch>
                  </pic:blipFill>
                  <pic:spPr bwMode="auto">
                    <a:xfrm>
                      <a:off x="0" y="0"/>
                      <a:ext cx="2124075" cy="552450"/>
                    </a:xfrm>
                    <a:prstGeom prst="rect">
                      <a:avLst/>
                    </a:prstGeom>
                    <a:noFill/>
                    <a:ln>
                      <a:noFill/>
                    </a:ln>
                  </pic:spPr>
                </pic:pic>
              </a:graphicData>
            </a:graphic>
          </wp:inline>
        </w:drawing>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color w:val="000000"/>
          <w:sz w:val="20"/>
        </w:rPr>
        <w:t>onde:</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color w:val="000000"/>
          <w:sz w:val="20"/>
        </w:rPr>
        <w:t xml:space="preserve">k = número de ordens das Taxas DI </w:t>
      </w:r>
      <w:r>
        <w:rPr>
          <w:rFonts w:ascii="Verdana" w:hAnsi="Verdana" w:cs="Tahoma"/>
          <w:i/>
          <w:color w:val="000000"/>
          <w:sz w:val="20"/>
        </w:rPr>
        <w:t>Over</w:t>
      </w:r>
      <w:r>
        <w:rPr>
          <w:rFonts w:ascii="Verdana" w:hAnsi="Verdana" w:cs="Tahoma"/>
          <w:color w:val="000000"/>
          <w:sz w:val="20"/>
        </w:rPr>
        <w:t xml:space="preserve">, variando de 1 (um) até </w:t>
      </w:r>
      <w:proofErr w:type="spellStart"/>
      <w:r>
        <w:rPr>
          <w:rFonts w:ascii="Verdana" w:hAnsi="Verdana" w:cs="Tahoma"/>
          <w:color w:val="000000"/>
          <w:sz w:val="20"/>
        </w:rPr>
        <w:t>nDI</w:t>
      </w:r>
      <w:proofErr w:type="spellEnd"/>
      <w:r>
        <w:rPr>
          <w:rFonts w:ascii="Verdana" w:hAnsi="Verdana" w:cs="Tahoma"/>
          <w:color w:val="000000"/>
          <w:sz w:val="20"/>
        </w:rPr>
        <w:t>.</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proofErr w:type="spellStart"/>
      <w:r>
        <w:rPr>
          <w:rFonts w:ascii="Verdana" w:hAnsi="Verdana" w:cs="Tahoma"/>
          <w:color w:val="000000"/>
          <w:sz w:val="20"/>
        </w:rPr>
        <w:t>nDI</w:t>
      </w:r>
      <w:proofErr w:type="spellEnd"/>
      <w:r>
        <w:rPr>
          <w:rFonts w:ascii="Verdana" w:hAnsi="Verdana" w:cs="Tahoma"/>
          <w:color w:val="000000"/>
          <w:sz w:val="20"/>
        </w:rPr>
        <w:t xml:space="preserve"> = número total de Taxas DI </w:t>
      </w:r>
      <w:r>
        <w:rPr>
          <w:rFonts w:ascii="Verdana" w:hAnsi="Verdana" w:cs="Tahoma"/>
          <w:i/>
          <w:color w:val="000000"/>
          <w:sz w:val="20"/>
        </w:rPr>
        <w:t>Over</w:t>
      </w:r>
      <w:r>
        <w:rPr>
          <w:rFonts w:ascii="Verdana" w:hAnsi="Verdana" w:cs="Tahoma"/>
          <w:color w:val="000000"/>
          <w:sz w:val="20"/>
        </w:rPr>
        <w:t>, consideradas na apuração do “</w:t>
      </w:r>
      <w:proofErr w:type="spellStart"/>
      <w:r>
        <w:rPr>
          <w:rFonts w:ascii="Verdana" w:hAnsi="Verdana" w:cs="Tahoma"/>
          <w:color w:val="000000"/>
          <w:sz w:val="20"/>
        </w:rPr>
        <w:t>FatorDI</w:t>
      </w:r>
      <w:proofErr w:type="spellEnd"/>
      <w:r>
        <w:rPr>
          <w:rFonts w:ascii="Verdana" w:hAnsi="Verdana" w:cs="Tahoma"/>
          <w:color w:val="000000"/>
          <w:sz w:val="20"/>
        </w:rPr>
        <w:t xml:space="preserve">”, </w:t>
      </w:r>
      <w:r>
        <w:rPr>
          <w:rFonts w:ascii="Verdana" w:hAnsi="Verdana" w:cs="Tahoma"/>
          <w:color w:val="000000"/>
          <w:sz w:val="20"/>
        </w:rPr>
        <w:t>sendo “</w:t>
      </w:r>
      <w:proofErr w:type="spellStart"/>
      <w:r>
        <w:rPr>
          <w:rFonts w:ascii="Verdana" w:hAnsi="Verdana" w:cs="Tahoma"/>
          <w:color w:val="000000"/>
          <w:sz w:val="20"/>
        </w:rPr>
        <w:t>nDI</w:t>
      </w:r>
      <w:proofErr w:type="spellEnd"/>
      <w:r>
        <w:rPr>
          <w:rFonts w:ascii="Verdana" w:hAnsi="Verdana" w:cs="Tahoma"/>
          <w:color w:val="000000"/>
          <w:sz w:val="20"/>
        </w:rPr>
        <w:t>” um número inteiro; e</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proofErr w:type="spellStart"/>
      <w:r>
        <w:rPr>
          <w:rFonts w:ascii="Verdana" w:hAnsi="Verdana" w:cs="Tahoma"/>
          <w:color w:val="000000"/>
          <w:sz w:val="20"/>
        </w:rPr>
        <w:lastRenderedPageBreak/>
        <w:t>TDIk</w:t>
      </w:r>
      <w:proofErr w:type="spellEnd"/>
      <w:r>
        <w:rPr>
          <w:rFonts w:ascii="Verdana" w:hAnsi="Verdana" w:cs="Tahoma"/>
          <w:color w:val="000000"/>
          <w:sz w:val="20"/>
        </w:rPr>
        <w:t xml:space="preserve"> = Taxa </w:t>
      </w:r>
      <w:proofErr w:type="spellStart"/>
      <w:r>
        <w:rPr>
          <w:rFonts w:ascii="Verdana" w:hAnsi="Verdana" w:cs="Tahoma"/>
          <w:color w:val="000000"/>
          <w:sz w:val="20"/>
        </w:rPr>
        <w:t>DI</w:t>
      </w:r>
      <w:r>
        <w:rPr>
          <w:rFonts w:ascii="Verdana" w:hAnsi="Verdana" w:cs="Tahoma"/>
          <w:color w:val="000000"/>
          <w:sz w:val="20"/>
          <w:vertAlign w:val="subscript"/>
        </w:rPr>
        <w:t>k</w:t>
      </w:r>
      <w:proofErr w:type="spellEnd"/>
      <w:r>
        <w:rPr>
          <w:rFonts w:ascii="Verdana" w:hAnsi="Verdana" w:cs="Tahoma"/>
          <w:color w:val="000000"/>
          <w:sz w:val="20"/>
        </w:rPr>
        <w:t>, expressa ao dia, calculado com 8 (oito) casas decimais, com arredondamento, apurado da seguinte forma:</w:t>
      </w:r>
    </w:p>
    <w:p w:rsidR="00DE19C8" w:rsidRDefault="00DE19C8">
      <w:pPr>
        <w:pStyle w:val="p0"/>
        <w:suppressAutoHyphens/>
        <w:spacing w:line="240" w:lineRule="auto"/>
        <w:contextualSpacing/>
        <w:rPr>
          <w:rFonts w:ascii="Verdana" w:hAnsi="Verdana" w:cs="Tahoma"/>
          <w:color w:val="000000"/>
          <w:sz w:val="20"/>
        </w:rPr>
      </w:pPr>
    </w:p>
    <w:p w:rsidR="00DE19C8" w:rsidRDefault="00626B63">
      <w:pPr>
        <w:contextualSpacing/>
        <w:jc w:val="center"/>
        <w:rPr>
          <w:rFonts w:ascii="Verdana" w:hAnsi="Verdana"/>
          <w:sz w:val="20"/>
        </w:rPr>
      </w:pPr>
      <w:r>
        <w:rPr>
          <w:rFonts w:ascii="Verdana" w:hAnsi="Verdana"/>
          <w:noProof/>
          <w:sz w:val="20"/>
        </w:rPr>
        <w:drawing>
          <wp:inline distT="0" distB="0" distL="0" distR="0">
            <wp:extent cx="1743075" cy="6191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1" cstate="print">
                      <a:extLst>
                        <a:ext uri="{28A0092B-C50C-407E-A947-70E740481C1C}">
                          <a14:useLocalDpi xmlns:a14="http://schemas.microsoft.com/office/drawing/2010/main" val="0"/>
                        </a:ext>
                      </a:extLst>
                    </a:blip>
                    <a:srcRect b="29161"/>
                    <a:stretch>
                      <a:fillRect/>
                    </a:stretch>
                  </pic:blipFill>
                  <pic:spPr bwMode="auto">
                    <a:xfrm>
                      <a:off x="0" y="0"/>
                      <a:ext cx="1743075" cy="619125"/>
                    </a:xfrm>
                    <a:prstGeom prst="rect">
                      <a:avLst/>
                    </a:prstGeom>
                    <a:noFill/>
                    <a:ln>
                      <a:noFill/>
                    </a:ln>
                  </pic:spPr>
                </pic:pic>
              </a:graphicData>
            </a:graphic>
          </wp:inline>
        </w:drawing>
      </w:r>
    </w:p>
    <w:p w:rsidR="00DE19C8" w:rsidRDefault="00DE19C8">
      <w:pPr>
        <w:pStyle w:val="p0"/>
        <w:suppressAutoHyphens/>
        <w:spacing w:line="240" w:lineRule="auto"/>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color w:val="000000"/>
          <w:sz w:val="20"/>
        </w:rPr>
        <w:t>onde:</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proofErr w:type="spellStart"/>
      <w:r>
        <w:rPr>
          <w:rFonts w:ascii="Verdana" w:hAnsi="Verdana" w:cs="Tahoma"/>
          <w:color w:val="000000"/>
          <w:sz w:val="20"/>
        </w:rPr>
        <w:t>DI</w:t>
      </w:r>
      <w:r>
        <w:rPr>
          <w:rFonts w:ascii="Verdana" w:hAnsi="Verdana" w:cs="Tahoma"/>
          <w:color w:val="000000"/>
          <w:sz w:val="20"/>
          <w:vertAlign w:val="subscript"/>
        </w:rPr>
        <w:t>k</w:t>
      </w:r>
      <w:proofErr w:type="spellEnd"/>
      <w:r>
        <w:rPr>
          <w:rFonts w:ascii="Verdana" w:hAnsi="Verdana" w:cs="Tahoma"/>
          <w:color w:val="000000"/>
          <w:sz w:val="20"/>
        </w:rPr>
        <w:t xml:space="preserve"> = Taxa DI </w:t>
      </w:r>
      <w:r>
        <w:rPr>
          <w:rFonts w:ascii="Verdana" w:hAnsi="Verdana" w:cs="Tahoma"/>
          <w:i/>
          <w:color w:val="000000"/>
          <w:sz w:val="20"/>
        </w:rPr>
        <w:t>Over</w:t>
      </w:r>
      <w:r>
        <w:rPr>
          <w:rFonts w:ascii="Verdana" w:hAnsi="Verdana" w:cs="Tahoma"/>
          <w:color w:val="000000"/>
          <w:sz w:val="20"/>
        </w:rPr>
        <w:t xml:space="preserve"> de ordem k, divulgada pela B3 – Segmento </w:t>
      </w:r>
      <w:proofErr w:type="spellStart"/>
      <w:r>
        <w:rPr>
          <w:rFonts w:ascii="Verdana" w:hAnsi="Verdana" w:cs="Tahoma"/>
          <w:color w:val="000000"/>
          <w:sz w:val="20"/>
        </w:rPr>
        <w:t>Cetip</w:t>
      </w:r>
      <w:proofErr w:type="spellEnd"/>
      <w:r>
        <w:rPr>
          <w:rFonts w:ascii="Verdana" w:hAnsi="Verdana" w:cs="Tahoma"/>
          <w:color w:val="000000"/>
          <w:sz w:val="20"/>
        </w:rPr>
        <w:t xml:space="preserve"> UTVM, válida por 1 (um) D</w:t>
      </w:r>
      <w:r>
        <w:rPr>
          <w:rFonts w:ascii="Verdana" w:hAnsi="Verdana" w:cs="Tahoma"/>
          <w:color w:val="000000"/>
          <w:sz w:val="20"/>
        </w:rPr>
        <w:t>ia Útil (</w:t>
      </w:r>
      <w:r>
        <w:rPr>
          <w:rFonts w:ascii="Verdana" w:hAnsi="Verdana" w:cs="Tahoma"/>
          <w:i/>
          <w:color w:val="000000"/>
          <w:sz w:val="20"/>
        </w:rPr>
        <w:t>overnight</w:t>
      </w:r>
      <w:r>
        <w:rPr>
          <w:rFonts w:ascii="Verdana" w:hAnsi="Verdana" w:cs="Tahoma"/>
          <w:color w:val="000000"/>
          <w:sz w:val="20"/>
        </w:rPr>
        <w:t>), utilizada com 2 (duas) casas decimais;</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keepNext/>
        <w:suppressAutoHyphens/>
        <w:spacing w:line="318" w:lineRule="exact"/>
        <w:contextualSpacing/>
        <w:rPr>
          <w:rFonts w:ascii="Verdana" w:hAnsi="Verdana" w:cs="Tahoma"/>
          <w:color w:val="000000"/>
          <w:sz w:val="20"/>
        </w:rPr>
      </w:pPr>
      <w:r>
        <w:rPr>
          <w:rFonts w:ascii="Verdana" w:hAnsi="Verdana" w:cs="Tahoma"/>
          <w:color w:val="000000"/>
          <w:sz w:val="20"/>
        </w:rPr>
        <w:t>Fator Spread = Sobretaxa de juros fixos calculada com 9 (nove) casas decimais, com arredondamento, calculado conforme a seguinte fórmula:</w:t>
      </w:r>
    </w:p>
    <w:p w:rsidR="00DE19C8" w:rsidRDefault="00DE19C8">
      <w:pPr>
        <w:pStyle w:val="p0"/>
        <w:keepNext/>
        <w:suppressAutoHyphens/>
        <w:spacing w:line="240" w:lineRule="auto"/>
        <w:contextualSpacing/>
        <w:rPr>
          <w:rFonts w:ascii="Verdana" w:hAnsi="Verdana" w:cs="Tahoma"/>
          <w:color w:val="000000"/>
          <w:sz w:val="20"/>
        </w:rPr>
      </w:pPr>
    </w:p>
    <w:p w:rsidR="00DE19C8" w:rsidRDefault="00626B63">
      <w:pPr>
        <w:keepNext/>
        <w:contextualSpacing/>
        <w:jc w:val="center"/>
        <w:rPr>
          <w:rFonts w:ascii="Verdana" w:hAnsi="Verdana"/>
          <w:sz w:val="20"/>
        </w:rPr>
      </w:pPr>
      <w:r>
        <w:rPr>
          <w:rFonts w:ascii="Verdana" w:hAnsi="Verdana"/>
          <w:noProof/>
          <w:sz w:val="20"/>
        </w:rPr>
        <w:drawing>
          <wp:inline distT="0" distB="0" distL="0" distR="0">
            <wp:extent cx="1971675" cy="571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1675" cy="571500"/>
                    </a:xfrm>
                    <a:prstGeom prst="rect">
                      <a:avLst/>
                    </a:prstGeom>
                    <a:noFill/>
                    <a:ln>
                      <a:noFill/>
                    </a:ln>
                  </pic:spPr>
                </pic:pic>
              </a:graphicData>
            </a:graphic>
          </wp:inline>
        </w:drawing>
      </w:r>
    </w:p>
    <w:p w:rsidR="00DE19C8" w:rsidRDefault="00DE19C8">
      <w:pPr>
        <w:pStyle w:val="p0"/>
        <w:suppressAutoHyphens/>
        <w:spacing w:line="240" w:lineRule="auto"/>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color w:val="000000"/>
          <w:sz w:val="20"/>
        </w:rPr>
        <w:t>onde,</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color w:val="000000"/>
          <w:sz w:val="20"/>
        </w:rPr>
        <w:t>spread = (A) para as Debêntures da Primeira Sé</w:t>
      </w:r>
      <w:r>
        <w:rPr>
          <w:rFonts w:ascii="Verdana" w:hAnsi="Verdana" w:cs="Tahoma"/>
          <w:color w:val="000000"/>
          <w:sz w:val="20"/>
        </w:rPr>
        <w:t xml:space="preserve">rie, uma sobretaxa máxima de </w:t>
      </w:r>
      <w:r>
        <w:rPr>
          <w:rFonts w:ascii="Verdana" w:hAnsi="Verdana" w:cs="Tahoma"/>
          <w:sz w:val="20"/>
        </w:rPr>
        <w:t>1,8000 (um inteiro e oitenta centésimos)</w:t>
      </w:r>
      <w:r>
        <w:rPr>
          <w:rFonts w:ascii="Verdana" w:hAnsi="Verdana" w:cs="Tahoma"/>
          <w:color w:val="000000"/>
          <w:sz w:val="20"/>
        </w:rPr>
        <w:t xml:space="preserve"> e (B) para as Debêntures da Segunda Série, uma sobretaxa máxima de 2,0000 (dois por cento), conforme vierem a ser definidas no Procedimento de </w:t>
      </w:r>
      <w:proofErr w:type="spellStart"/>
      <w:r>
        <w:rPr>
          <w:rFonts w:ascii="Verdana" w:hAnsi="Verdana" w:cs="Tahoma"/>
          <w:i/>
          <w:color w:val="000000"/>
          <w:sz w:val="20"/>
        </w:rPr>
        <w:t>Bookbuilding</w:t>
      </w:r>
      <w:proofErr w:type="spellEnd"/>
      <w:r>
        <w:rPr>
          <w:rFonts w:ascii="Verdana" w:hAnsi="Verdana" w:cs="Tahoma"/>
          <w:color w:val="000000"/>
          <w:sz w:val="20"/>
        </w:rPr>
        <w:t>; e</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color w:val="000000"/>
          <w:sz w:val="20"/>
        </w:rPr>
        <w:t xml:space="preserve">DP = número de Dias Úteis </w:t>
      </w:r>
      <w:r>
        <w:rPr>
          <w:rFonts w:ascii="Verdana" w:hAnsi="Verdana" w:cs="Tahoma"/>
          <w:color w:val="000000"/>
          <w:sz w:val="20"/>
        </w:rPr>
        <w:t>entre a primeira Data de Integralização ou a Data de Pagamento dos Juros Remuneratórios imediatamente anterior, conforme o caso, e a data atual, sendo “DP” um número inteiro.</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tabs>
          <w:tab w:val="clear" w:pos="720"/>
        </w:tabs>
        <w:suppressAutoHyphens/>
        <w:spacing w:line="318" w:lineRule="exact"/>
        <w:contextualSpacing/>
        <w:rPr>
          <w:rFonts w:ascii="Verdana" w:hAnsi="Verdana" w:cs="Tahoma"/>
          <w:color w:val="000000"/>
          <w:sz w:val="20"/>
        </w:rPr>
      </w:pPr>
      <w:r>
        <w:rPr>
          <w:rFonts w:ascii="Verdana" w:hAnsi="Verdana" w:cs="Tahoma"/>
          <w:sz w:val="20"/>
        </w:rPr>
        <w:t xml:space="preserve">4.9.4.2. </w:t>
      </w:r>
      <w:r>
        <w:rPr>
          <w:rFonts w:ascii="Verdana" w:hAnsi="Verdana" w:cs="Tahoma"/>
          <w:color w:val="000000"/>
          <w:sz w:val="20"/>
        </w:rPr>
        <w:t>Observações:</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tabs>
          <w:tab w:val="clear" w:pos="720"/>
        </w:tabs>
        <w:suppressAutoHyphens/>
        <w:spacing w:line="318" w:lineRule="exact"/>
        <w:ind w:left="1276" w:hanging="709"/>
        <w:contextualSpacing/>
        <w:rPr>
          <w:rFonts w:ascii="Verdana" w:hAnsi="Verdana" w:cs="Tahoma"/>
          <w:color w:val="000000"/>
          <w:sz w:val="20"/>
        </w:rPr>
      </w:pPr>
      <w:r>
        <w:rPr>
          <w:rFonts w:ascii="Verdana" w:hAnsi="Verdana" w:cs="Tahoma"/>
          <w:color w:val="000000"/>
          <w:sz w:val="20"/>
        </w:rPr>
        <w:t>(i)</w:t>
      </w:r>
      <w:r>
        <w:rPr>
          <w:rFonts w:ascii="Verdana" w:hAnsi="Verdana" w:cs="Tahoma"/>
          <w:color w:val="000000"/>
          <w:sz w:val="20"/>
        </w:rPr>
        <w:tab/>
        <w:t xml:space="preserve">o fator resultante da expressão (1 + </w:t>
      </w:r>
      <w:proofErr w:type="spellStart"/>
      <w:r>
        <w:rPr>
          <w:rFonts w:ascii="Verdana" w:hAnsi="Verdana" w:cs="Tahoma"/>
          <w:color w:val="000000"/>
          <w:sz w:val="20"/>
        </w:rPr>
        <w:t>TDI</w:t>
      </w:r>
      <w:r>
        <w:rPr>
          <w:rFonts w:ascii="Verdana" w:hAnsi="Verdana" w:cs="Tahoma"/>
          <w:color w:val="000000"/>
          <w:sz w:val="20"/>
          <w:vertAlign w:val="subscript"/>
        </w:rPr>
        <w:t>k</w:t>
      </w:r>
      <w:proofErr w:type="spellEnd"/>
      <w:r>
        <w:rPr>
          <w:rFonts w:ascii="Verdana" w:hAnsi="Verdana" w:cs="Tahoma"/>
          <w:color w:val="000000"/>
          <w:sz w:val="20"/>
        </w:rPr>
        <w:t xml:space="preserve">) é </w:t>
      </w:r>
      <w:r>
        <w:rPr>
          <w:rFonts w:ascii="Verdana" w:hAnsi="Verdana" w:cs="Tahoma"/>
          <w:color w:val="000000"/>
          <w:sz w:val="20"/>
        </w:rPr>
        <w:t>considerado com 16 (dezesseis) casas decimais, sem arredondamento;</w:t>
      </w:r>
    </w:p>
    <w:p w:rsidR="00DE19C8" w:rsidRDefault="00DE19C8">
      <w:pPr>
        <w:pStyle w:val="p0"/>
        <w:tabs>
          <w:tab w:val="clear" w:pos="720"/>
        </w:tabs>
        <w:suppressAutoHyphens/>
        <w:spacing w:line="318" w:lineRule="exact"/>
        <w:ind w:left="1276" w:hanging="709"/>
        <w:contextualSpacing/>
        <w:rPr>
          <w:rFonts w:ascii="Verdana" w:hAnsi="Verdana" w:cs="Tahoma"/>
          <w:color w:val="000000"/>
          <w:sz w:val="20"/>
        </w:rPr>
      </w:pPr>
    </w:p>
    <w:p w:rsidR="00DE19C8" w:rsidRDefault="00626B63">
      <w:pPr>
        <w:pStyle w:val="p0"/>
        <w:tabs>
          <w:tab w:val="clear" w:pos="720"/>
        </w:tabs>
        <w:suppressAutoHyphens/>
        <w:spacing w:line="318" w:lineRule="exact"/>
        <w:ind w:left="1276" w:hanging="709"/>
        <w:contextualSpacing/>
        <w:rPr>
          <w:rFonts w:ascii="Verdana" w:hAnsi="Verdana" w:cs="Tahoma"/>
          <w:color w:val="000000"/>
          <w:sz w:val="20"/>
        </w:rPr>
      </w:pPr>
      <w:r>
        <w:rPr>
          <w:rFonts w:ascii="Verdana" w:hAnsi="Verdana" w:cs="Tahoma"/>
          <w:color w:val="000000"/>
          <w:sz w:val="20"/>
        </w:rPr>
        <w:t>(</w:t>
      </w:r>
      <w:proofErr w:type="spellStart"/>
      <w:r>
        <w:rPr>
          <w:rFonts w:ascii="Verdana" w:hAnsi="Verdana" w:cs="Tahoma"/>
          <w:color w:val="000000"/>
          <w:sz w:val="20"/>
        </w:rPr>
        <w:t>ii</w:t>
      </w:r>
      <w:proofErr w:type="spellEnd"/>
      <w:r>
        <w:rPr>
          <w:rFonts w:ascii="Verdana" w:hAnsi="Verdana" w:cs="Tahoma"/>
          <w:color w:val="000000"/>
          <w:sz w:val="20"/>
        </w:rPr>
        <w:t>)</w:t>
      </w:r>
      <w:r>
        <w:rPr>
          <w:rFonts w:ascii="Verdana" w:hAnsi="Verdana" w:cs="Tahoma"/>
          <w:color w:val="000000"/>
          <w:sz w:val="20"/>
        </w:rPr>
        <w:tab/>
        <w:t xml:space="preserve">efetua-se o </w:t>
      </w:r>
      <w:proofErr w:type="spellStart"/>
      <w:r>
        <w:rPr>
          <w:rFonts w:ascii="Verdana" w:hAnsi="Verdana" w:cs="Tahoma"/>
          <w:color w:val="000000"/>
          <w:sz w:val="20"/>
        </w:rPr>
        <w:t>produtório</w:t>
      </w:r>
      <w:proofErr w:type="spellEnd"/>
      <w:r>
        <w:rPr>
          <w:rFonts w:ascii="Verdana" w:hAnsi="Verdana" w:cs="Tahoma"/>
          <w:color w:val="000000"/>
          <w:sz w:val="20"/>
        </w:rPr>
        <w:t xml:space="preserve"> dos fatores diários (1 + </w:t>
      </w:r>
      <w:proofErr w:type="spellStart"/>
      <w:r>
        <w:rPr>
          <w:rFonts w:ascii="Verdana" w:hAnsi="Verdana" w:cs="Tahoma"/>
          <w:color w:val="000000"/>
          <w:sz w:val="20"/>
        </w:rPr>
        <w:t>TDI</w:t>
      </w:r>
      <w:r>
        <w:rPr>
          <w:rFonts w:ascii="Verdana" w:hAnsi="Verdana" w:cs="Tahoma"/>
          <w:color w:val="000000"/>
          <w:sz w:val="20"/>
          <w:vertAlign w:val="subscript"/>
        </w:rPr>
        <w:t>k</w:t>
      </w:r>
      <w:proofErr w:type="spellEnd"/>
      <w:r>
        <w:rPr>
          <w:rFonts w:ascii="Verdana" w:hAnsi="Verdana" w:cs="Tahoma"/>
          <w:color w:val="000000"/>
          <w:sz w:val="20"/>
        </w:rPr>
        <w:t>), sendo que a cada fator diário acumulado, trunca-se o resultado com 16 (dezesseis) casas decimais, aplicando-se o próximo fator d</w:t>
      </w:r>
      <w:r>
        <w:rPr>
          <w:rFonts w:ascii="Verdana" w:hAnsi="Verdana" w:cs="Tahoma"/>
          <w:color w:val="000000"/>
          <w:sz w:val="20"/>
        </w:rPr>
        <w:t>iário, e assim por diante até o último considerado; e</w:t>
      </w:r>
    </w:p>
    <w:p w:rsidR="00DE19C8" w:rsidRDefault="00DE19C8">
      <w:pPr>
        <w:pStyle w:val="p0"/>
        <w:tabs>
          <w:tab w:val="clear" w:pos="720"/>
        </w:tabs>
        <w:suppressAutoHyphens/>
        <w:spacing w:line="318" w:lineRule="exact"/>
        <w:ind w:left="1276" w:hanging="709"/>
        <w:contextualSpacing/>
        <w:rPr>
          <w:rFonts w:ascii="Verdana" w:hAnsi="Verdana" w:cs="Tahoma"/>
          <w:color w:val="000000"/>
          <w:sz w:val="20"/>
        </w:rPr>
      </w:pPr>
    </w:p>
    <w:p w:rsidR="00DE19C8" w:rsidRDefault="00626B63">
      <w:pPr>
        <w:pStyle w:val="p0"/>
        <w:tabs>
          <w:tab w:val="clear" w:pos="720"/>
        </w:tabs>
        <w:suppressAutoHyphens/>
        <w:spacing w:line="318" w:lineRule="exact"/>
        <w:ind w:left="1276" w:hanging="709"/>
        <w:contextualSpacing/>
        <w:rPr>
          <w:rFonts w:ascii="Verdana" w:hAnsi="Verdana" w:cs="Tahoma"/>
          <w:color w:val="000000"/>
          <w:sz w:val="20"/>
        </w:rPr>
      </w:pPr>
      <w:r>
        <w:rPr>
          <w:rFonts w:ascii="Verdana" w:hAnsi="Verdana" w:cs="Tahoma"/>
          <w:color w:val="000000"/>
          <w:sz w:val="20"/>
        </w:rPr>
        <w:lastRenderedPageBreak/>
        <w:t>(</w:t>
      </w:r>
      <w:proofErr w:type="spellStart"/>
      <w:r>
        <w:rPr>
          <w:rFonts w:ascii="Verdana" w:hAnsi="Verdana" w:cs="Tahoma"/>
          <w:color w:val="000000"/>
          <w:sz w:val="20"/>
        </w:rPr>
        <w:t>iii</w:t>
      </w:r>
      <w:proofErr w:type="spellEnd"/>
      <w:r>
        <w:rPr>
          <w:rFonts w:ascii="Verdana" w:hAnsi="Verdana" w:cs="Tahoma"/>
          <w:color w:val="000000"/>
          <w:sz w:val="20"/>
        </w:rPr>
        <w:t>)</w:t>
      </w:r>
      <w:r>
        <w:rPr>
          <w:rFonts w:ascii="Verdana" w:hAnsi="Verdana" w:cs="Tahoma"/>
          <w:color w:val="000000"/>
          <w:sz w:val="20"/>
        </w:rPr>
        <w:tab/>
        <w:t xml:space="preserve">a Taxa DI </w:t>
      </w:r>
      <w:r>
        <w:rPr>
          <w:rFonts w:ascii="Verdana" w:hAnsi="Verdana" w:cs="Tahoma"/>
          <w:i/>
          <w:color w:val="000000"/>
          <w:sz w:val="20"/>
        </w:rPr>
        <w:t>Over</w:t>
      </w:r>
      <w:r>
        <w:rPr>
          <w:rFonts w:ascii="Verdana" w:hAnsi="Verdana" w:cs="Tahoma"/>
          <w:color w:val="000000"/>
          <w:sz w:val="20"/>
        </w:rPr>
        <w:t xml:space="preserve"> deverá ser utilizada considerando idêntico número de casas decimais divulgado pelo órgão responsável pelo seu cálculo, salvo quando expressamente indicado de outra forma.</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sz w:val="20"/>
        </w:rPr>
        <w:t xml:space="preserve">4.9.4.3. </w:t>
      </w:r>
      <w:r>
        <w:rPr>
          <w:rFonts w:ascii="Verdana" w:hAnsi="Verdana" w:cs="Tahoma"/>
          <w:color w:val="000000"/>
          <w:sz w:val="20"/>
        </w:rPr>
        <w:t xml:space="preserve">Se na data de vencimento de quaisquer obrigações pecuniárias da Emissora não houver divulgação da Taxa DI </w:t>
      </w:r>
      <w:r>
        <w:rPr>
          <w:rFonts w:ascii="Verdana" w:hAnsi="Verdana" w:cs="Tahoma"/>
          <w:i/>
          <w:color w:val="000000"/>
          <w:sz w:val="20"/>
        </w:rPr>
        <w:t>Over</w:t>
      </w:r>
      <w:r>
        <w:rPr>
          <w:rFonts w:ascii="Verdana" w:hAnsi="Verdana" w:cs="Tahoma"/>
          <w:color w:val="000000"/>
          <w:sz w:val="20"/>
        </w:rPr>
        <w:t xml:space="preserve"> pela B3 – Segmento </w:t>
      </w:r>
      <w:proofErr w:type="spellStart"/>
      <w:r>
        <w:rPr>
          <w:rFonts w:ascii="Verdana" w:hAnsi="Verdana" w:cs="Tahoma"/>
          <w:color w:val="000000"/>
          <w:sz w:val="20"/>
        </w:rPr>
        <w:t>Cetip</w:t>
      </w:r>
      <w:proofErr w:type="spellEnd"/>
      <w:r>
        <w:rPr>
          <w:rFonts w:ascii="Verdana" w:hAnsi="Verdana" w:cs="Tahoma"/>
          <w:color w:val="000000"/>
          <w:sz w:val="20"/>
        </w:rPr>
        <w:t xml:space="preserve"> UTVM, será aplicada na apuração de </w:t>
      </w:r>
      <w:proofErr w:type="spellStart"/>
      <w:r>
        <w:rPr>
          <w:rFonts w:ascii="Verdana" w:hAnsi="Verdana" w:cs="Tahoma"/>
          <w:color w:val="000000"/>
          <w:sz w:val="20"/>
        </w:rPr>
        <w:t>TDI</w:t>
      </w:r>
      <w:r>
        <w:rPr>
          <w:rFonts w:ascii="Verdana" w:hAnsi="Verdana" w:cs="Tahoma"/>
          <w:color w:val="000000"/>
          <w:sz w:val="20"/>
          <w:vertAlign w:val="subscript"/>
        </w:rPr>
        <w:t>k</w:t>
      </w:r>
      <w:proofErr w:type="spellEnd"/>
      <w:r>
        <w:rPr>
          <w:rFonts w:ascii="Verdana" w:hAnsi="Verdana" w:cs="Tahoma"/>
          <w:color w:val="000000"/>
          <w:sz w:val="20"/>
        </w:rPr>
        <w:t xml:space="preserve"> a última Taxa DI </w:t>
      </w:r>
      <w:r>
        <w:rPr>
          <w:rFonts w:ascii="Verdana" w:hAnsi="Verdana" w:cs="Tahoma"/>
          <w:i/>
          <w:color w:val="000000"/>
          <w:sz w:val="20"/>
        </w:rPr>
        <w:t>Over</w:t>
      </w:r>
      <w:r>
        <w:rPr>
          <w:rFonts w:ascii="Verdana" w:hAnsi="Verdana" w:cs="Tahoma"/>
          <w:color w:val="000000"/>
          <w:sz w:val="20"/>
        </w:rPr>
        <w:t xml:space="preserve"> divulgada, não sendo devidas quaisquer compensaçõ</w:t>
      </w:r>
      <w:r>
        <w:rPr>
          <w:rFonts w:ascii="Verdana" w:hAnsi="Verdana" w:cs="Tahoma"/>
          <w:color w:val="000000"/>
          <w:sz w:val="20"/>
        </w:rPr>
        <w:t xml:space="preserve">es entre a Emissora e os Debenturistas quando da divulgação posterior da Taxa DI </w:t>
      </w:r>
      <w:r>
        <w:rPr>
          <w:rFonts w:ascii="Verdana" w:hAnsi="Verdana" w:cs="Tahoma"/>
          <w:i/>
          <w:color w:val="000000"/>
          <w:sz w:val="20"/>
        </w:rPr>
        <w:t>Over</w:t>
      </w:r>
      <w:r>
        <w:rPr>
          <w:rFonts w:ascii="Verdana" w:hAnsi="Verdana" w:cs="Tahoma"/>
          <w:color w:val="000000"/>
          <w:sz w:val="20"/>
        </w:rPr>
        <w:t xml:space="preserve"> que seria aplicável. Se a não divulgação da Taxa DI </w:t>
      </w:r>
      <w:r>
        <w:rPr>
          <w:rFonts w:ascii="Verdana" w:hAnsi="Verdana" w:cs="Tahoma"/>
          <w:i/>
          <w:color w:val="000000"/>
          <w:sz w:val="20"/>
        </w:rPr>
        <w:t>Over</w:t>
      </w:r>
      <w:r>
        <w:rPr>
          <w:rFonts w:ascii="Verdana" w:hAnsi="Verdana" w:cs="Tahoma"/>
          <w:color w:val="000000"/>
          <w:sz w:val="20"/>
        </w:rPr>
        <w:t xml:space="preserve"> for superior ao prazo de 10 (dez) dias consecutivos, aplicar-se-á o disposto nos itens 4.9.4.4, 4.9.4.5 e 4.9.4.6</w:t>
      </w:r>
      <w:r>
        <w:rPr>
          <w:rFonts w:ascii="Verdana" w:hAnsi="Verdana" w:cs="Tahoma"/>
          <w:color w:val="000000"/>
          <w:sz w:val="20"/>
        </w:rPr>
        <w:t xml:space="preserve"> abaixo.</w:t>
      </w:r>
    </w:p>
    <w:p w:rsidR="00DE19C8" w:rsidRDefault="00DE19C8">
      <w:pPr>
        <w:pStyle w:val="p0"/>
        <w:suppressAutoHyphens/>
        <w:spacing w:line="318" w:lineRule="exact"/>
        <w:ind w:firstLine="709"/>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sz w:val="20"/>
        </w:rPr>
        <w:t xml:space="preserve">4.9.4.4 </w:t>
      </w:r>
      <w:r>
        <w:rPr>
          <w:rFonts w:ascii="Verdana" w:hAnsi="Verdana" w:cs="Tahoma"/>
          <w:color w:val="000000"/>
          <w:sz w:val="20"/>
        </w:rPr>
        <w:t xml:space="preserve">No caso de extinção, ausência de apuração e/ou divulgação por mais de 10 (dez) dias consecutivos após a data esperada para sua apuração e/ou divulgação, ou de impossibilidade legal de aplicação às Debêntures da Taxa DI </w:t>
      </w:r>
      <w:r>
        <w:rPr>
          <w:rFonts w:ascii="Verdana" w:hAnsi="Verdana" w:cs="Tahoma"/>
          <w:i/>
          <w:color w:val="000000"/>
          <w:sz w:val="20"/>
        </w:rPr>
        <w:t>Over</w:t>
      </w:r>
      <w:r>
        <w:rPr>
          <w:rFonts w:ascii="Verdana" w:hAnsi="Verdana" w:cs="Tahoma"/>
          <w:color w:val="000000"/>
          <w:sz w:val="20"/>
        </w:rPr>
        <w:t>, ou por determ</w:t>
      </w:r>
      <w:r>
        <w:rPr>
          <w:rFonts w:ascii="Verdana" w:hAnsi="Verdana" w:cs="Tahoma"/>
          <w:color w:val="000000"/>
          <w:sz w:val="20"/>
        </w:rPr>
        <w:t>inação judicial, o Agente Fiduciário deverá, no prazo máximo de 2 (dois) Dias Úteis a contar do evento, convocar a Assembleia Geral de Debenturistas (no modo e prazos estipulados na Cláusula Sétima desta Escritura de Emissão e no artigo 124 da Lei das Soci</w:t>
      </w:r>
      <w:r>
        <w:rPr>
          <w:rFonts w:ascii="Verdana" w:hAnsi="Verdana" w:cs="Tahoma"/>
          <w:color w:val="000000"/>
          <w:sz w:val="20"/>
        </w:rPr>
        <w:t>edades por Ações), para a deliberação, de comum acordo com a Emissora, do novo parâmetro a ser utilizado para fins de cálculo dos Juros Remuneratórios que serão aplicados, observado o disposto no item 4.9.4.5 abaixo. Até a deliberação do novo parâmetro dos</w:t>
      </w:r>
      <w:r>
        <w:rPr>
          <w:rFonts w:ascii="Verdana" w:hAnsi="Verdana" w:cs="Tahoma"/>
          <w:color w:val="000000"/>
          <w:sz w:val="20"/>
        </w:rPr>
        <w:t xml:space="preserve"> Juros Remuneratórios, será utilizado, para fins de cálculo do valor dos Juros Remuneratórios das Debêntures, o percentual correspondente à última Taxa DI </w:t>
      </w:r>
      <w:r>
        <w:rPr>
          <w:rFonts w:ascii="Verdana" w:hAnsi="Verdana" w:cs="Tahoma"/>
          <w:i/>
          <w:color w:val="000000"/>
          <w:sz w:val="20"/>
        </w:rPr>
        <w:t xml:space="preserve">Over </w:t>
      </w:r>
      <w:r>
        <w:rPr>
          <w:rFonts w:ascii="Verdana" w:hAnsi="Verdana" w:cs="Tahoma"/>
          <w:color w:val="000000"/>
          <w:sz w:val="20"/>
        </w:rPr>
        <w:t>divulgada oficialmente, não sendo devidas quaisquer compensações financeiras, multas ou penalida</w:t>
      </w:r>
      <w:r>
        <w:rPr>
          <w:rFonts w:ascii="Verdana" w:hAnsi="Verdana" w:cs="Tahoma"/>
          <w:color w:val="000000"/>
          <w:sz w:val="20"/>
        </w:rPr>
        <w:t xml:space="preserve">des, tanto por parte da Emissora quanto pelos Debenturistas, quando da divulgação posterior da Taxa DI </w:t>
      </w:r>
      <w:r>
        <w:rPr>
          <w:rFonts w:ascii="Verdana" w:hAnsi="Verdana" w:cs="Tahoma"/>
          <w:i/>
          <w:color w:val="000000"/>
          <w:sz w:val="20"/>
        </w:rPr>
        <w:t>Over</w:t>
      </w:r>
      <w:r>
        <w:rPr>
          <w:rFonts w:ascii="Verdana" w:hAnsi="Verdana" w:cs="Tahoma"/>
          <w:color w:val="000000"/>
          <w:sz w:val="20"/>
        </w:rPr>
        <w:t xml:space="preserve"> respectiva.</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sz w:val="20"/>
        </w:rPr>
        <w:t xml:space="preserve">4.9.4.5 </w:t>
      </w:r>
      <w:r>
        <w:rPr>
          <w:rFonts w:ascii="Verdana" w:hAnsi="Verdana" w:cs="Tahoma"/>
          <w:color w:val="000000"/>
          <w:sz w:val="20"/>
        </w:rPr>
        <w:t>Caso não haja acordo sobre o novo parâmetro a ser utilizado para fins de cálculo dos Juros Remuneratórios entre a Emissora e os</w:t>
      </w:r>
      <w:r>
        <w:rPr>
          <w:rFonts w:ascii="Verdana" w:hAnsi="Verdana" w:cs="Tahoma"/>
          <w:color w:val="000000"/>
          <w:sz w:val="20"/>
        </w:rPr>
        <w:t xml:space="preserve"> Debenturistas representando, no mínimo, 75% (setenta e cinco por cento) das Debêntures da Primeira Série e/ou das Debêntures da Segunda Série em circulação, conforme aplicável, a Emissora deverá resgatar a totalidade das Debêntures da Primeira Série e/ou </w:t>
      </w:r>
      <w:r>
        <w:rPr>
          <w:rFonts w:ascii="Verdana" w:hAnsi="Verdana" w:cs="Tahoma"/>
          <w:color w:val="000000"/>
          <w:sz w:val="20"/>
        </w:rPr>
        <w:t>as Debêntures da Segunda Série, no prazo de até 30 (trinta) dias contados da data da realização da respectiva Assembleia Geral de Debenturistas da respectiva série, pelo seu Valor Nominal Unitário (ou pelo saldo do Valor Nominal Unitário, conforme aplicáve</w:t>
      </w:r>
      <w:r>
        <w:rPr>
          <w:rFonts w:ascii="Verdana" w:hAnsi="Verdana" w:cs="Tahoma"/>
          <w:color w:val="000000"/>
          <w:sz w:val="20"/>
        </w:rPr>
        <w:t xml:space="preserve">l) das Debêntures da respectiva série que não acordou sobre o novo parâmetro, acrescido dos respectivos Juros Remuneratórios devidos até a data do efetivo resgate, calculados </w:t>
      </w:r>
      <w:r>
        <w:rPr>
          <w:rFonts w:ascii="Verdana" w:hAnsi="Verdana" w:cs="Tahoma"/>
          <w:i/>
          <w:color w:val="000000"/>
          <w:sz w:val="20"/>
        </w:rPr>
        <w:t xml:space="preserve">pro rata </w:t>
      </w:r>
      <w:proofErr w:type="spellStart"/>
      <w:r>
        <w:rPr>
          <w:rFonts w:ascii="Verdana" w:hAnsi="Verdana" w:cs="Tahoma"/>
          <w:i/>
          <w:color w:val="000000"/>
          <w:sz w:val="20"/>
        </w:rPr>
        <w:t>temporis</w:t>
      </w:r>
      <w:proofErr w:type="spellEnd"/>
      <w:r>
        <w:rPr>
          <w:rFonts w:ascii="Verdana" w:hAnsi="Verdana" w:cs="Tahoma"/>
          <w:color w:val="000000"/>
          <w:sz w:val="20"/>
        </w:rPr>
        <w:t>, a partir da primeira Data de Integralização ou da Data de Paga</w:t>
      </w:r>
      <w:r>
        <w:rPr>
          <w:rFonts w:ascii="Verdana" w:hAnsi="Verdana" w:cs="Tahoma"/>
          <w:color w:val="000000"/>
          <w:sz w:val="20"/>
        </w:rPr>
        <w:t xml:space="preserve">mento dos Juros Remuneratórios imediatamente anterior, conforme o caso. Nesta alternativa, para cálculo dos Juros Remuneratórios com relação às Debêntures a serem resgatadas, será utilizado para a apuração de </w:t>
      </w:r>
      <w:proofErr w:type="spellStart"/>
      <w:r>
        <w:rPr>
          <w:rFonts w:ascii="Verdana" w:hAnsi="Verdana" w:cs="Tahoma"/>
          <w:color w:val="000000"/>
          <w:sz w:val="20"/>
        </w:rPr>
        <w:t>TDI</w:t>
      </w:r>
      <w:r>
        <w:rPr>
          <w:rFonts w:ascii="Verdana" w:hAnsi="Verdana" w:cs="Tahoma"/>
          <w:color w:val="000000"/>
          <w:sz w:val="20"/>
          <w:vertAlign w:val="subscript"/>
        </w:rPr>
        <w:t>k</w:t>
      </w:r>
      <w:proofErr w:type="spellEnd"/>
      <w:r>
        <w:rPr>
          <w:rFonts w:ascii="Verdana" w:hAnsi="Verdana" w:cs="Tahoma"/>
          <w:color w:val="000000"/>
          <w:sz w:val="20"/>
        </w:rPr>
        <w:t xml:space="preserve"> o valor da última Taxa DI </w:t>
      </w:r>
      <w:r>
        <w:rPr>
          <w:rFonts w:ascii="Verdana" w:hAnsi="Verdana" w:cs="Tahoma"/>
          <w:i/>
          <w:color w:val="000000"/>
          <w:sz w:val="20"/>
        </w:rPr>
        <w:t>Over</w:t>
      </w:r>
      <w:r>
        <w:rPr>
          <w:rFonts w:ascii="Verdana" w:hAnsi="Verdana" w:cs="Tahoma"/>
          <w:color w:val="000000"/>
          <w:sz w:val="20"/>
        </w:rPr>
        <w:t xml:space="preserve"> divulgada </w:t>
      </w:r>
      <w:r>
        <w:rPr>
          <w:rFonts w:ascii="Verdana" w:hAnsi="Verdana" w:cs="Tahoma"/>
          <w:color w:val="000000"/>
          <w:sz w:val="20"/>
        </w:rPr>
        <w:lastRenderedPageBreak/>
        <w:t>o</w:t>
      </w:r>
      <w:r>
        <w:rPr>
          <w:rFonts w:ascii="Verdana" w:hAnsi="Verdana" w:cs="Tahoma"/>
          <w:color w:val="000000"/>
          <w:sz w:val="20"/>
        </w:rPr>
        <w:t xml:space="preserve">ficialmente, observadas ainda as demais disposições previstas no item 4.9.4 e seguintes desta Escritura de Emissão para fins de cálculo dos Juros Remuneratórios. </w:t>
      </w:r>
    </w:p>
    <w:p w:rsidR="00DE19C8" w:rsidRDefault="00DE19C8">
      <w:pPr>
        <w:pStyle w:val="p0"/>
        <w:suppressAutoHyphens/>
        <w:spacing w:line="318" w:lineRule="exact"/>
        <w:ind w:firstLine="709"/>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sz w:val="20"/>
        </w:rPr>
        <w:t xml:space="preserve">4.9.4.6 </w:t>
      </w:r>
      <w:r>
        <w:rPr>
          <w:rFonts w:ascii="Verdana" w:hAnsi="Verdana" w:cs="Tahoma"/>
          <w:color w:val="000000"/>
          <w:sz w:val="20"/>
        </w:rPr>
        <w:t xml:space="preserve">Não obstante o disposto acima, caso a Taxa DI </w:t>
      </w:r>
      <w:r>
        <w:rPr>
          <w:rFonts w:ascii="Verdana" w:hAnsi="Verdana" w:cs="Tahoma"/>
          <w:i/>
          <w:color w:val="000000"/>
          <w:sz w:val="20"/>
        </w:rPr>
        <w:t>Over</w:t>
      </w:r>
      <w:r>
        <w:rPr>
          <w:rFonts w:ascii="Verdana" w:hAnsi="Verdana" w:cs="Tahoma"/>
          <w:color w:val="000000"/>
          <w:sz w:val="20"/>
        </w:rPr>
        <w:t xml:space="preserve"> venha a ser divulgada antes da re</w:t>
      </w:r>
      <w:r>
        <w:rPr>
          <w:rFonts w:ascii="Verdana" w:hAnsi="Verdana" w:cs="Tahoma"/>
          <w:color w:val="000000"/>
          <w:sz w:val="20"/>
        </w:rPr>
        <w:t xml:space="preserve">alização da respectiva Assembleia Geral de Debenturistas, a referida Assembleia Geral não será mais realizada e a Taxa DI </w:t>
      </w:r>
      <w:r>
        <w:rPr>
          <w:rFonts w:ascii="Verdana" w:hAnsi="Verdana" w:cs="Tahoma"/>
          <w:i/>
          <w:color w:val="000000"/>
          <w:sz w:val="20"/>
        </w:rPr>
        <w:t>Over</w:t>
      </w:r>
      <w:r>
        <w:rPr>
          <w:rFonts w:ascii="Verdana" w:hAnsi="Verdana" w:cs="Tahoma"/>
          <w:color w:val="000000"/>
          <w:sz w:val="20"/>
        </w:rPr>
        <w:t xml:space="preserve"> então divulgada, a partir da respectiva data de referência, será utilizada para o cálculo dos Juros Remuneratórios.</w:t>
      </w:r>
    </w:p>
    <w:p w:rsidR="00DE19C8" w:rsidRDefault="00DE19C8">
      <w:pPr>
        <w:pStyle w:val="p0"/>
        <w:suppressAutoHyphens/>
        <w:spacing w:line="318" w:lineRule="exact"/>
        <w:ind w:firstLine="709"/>
        <w:contextualSpacing/>
        <w:rPr>
          <w:rFonts w:ascii="Verdana" w:hAnsi="Verdana" w:cs="Tahoma"/>
          <w:color w:val="000000"/>
          <w:sz w:val="20"/>
        </w:rPr>
      </w:pPr>
    </w:p>
    <w:p w:rsidR="00DE19C8" w:rsidRDefault="00626B63">
      <w:pPr>
        <w:pStyle w:val="p0"/>
        <w:suppressAutoHyphens/>
        <w:spacing w:line="318" w:lineRule="exact"/>
        <w:contextualSpacing/>
        <w:rPr>
          <w:rFonts w:ascii="Verdana" w:hAnsi="Verdana" w:cs="Tahoma"/>
          <w:color w:val="000000"/>
          <w:sz w:val="20"/>
        </w:rPr>
      </w:pPr>
      <w:r>
        <w:rPr>
          <w:rFonts w:ascii="Verdana" w:hAnsi="Verdana" w:cs="Tahoma"/>
          <w:sz w:val="20"/>
        </w:rPr>
        <w:t xml:space="preserve">4.9.4.7 </w:t>
      </w:r>
      <w:r>
        <w:rPr>
          <w:rFonts w:ascii="Verdana" w:hAnsi="Verdana" w:cs="Tahoma"/>
          <w:color w:val="000000"/>
          <w:sz w:val="20"/>
        </w:rPr>
        <w:t>Para</w:t>
      </w:r>
      <w:r>
        <w:rPr>
          <w:rFonts w:ascii="Verdana" w:hAnsi="Verdana" w:cs="Tahoma"/>
          <w:color w:val="000000"/>
          <w:sz w:val="20"/>
        </w:rPr>
        <w:t xml:space="preserve"> fins da presente Escritura de Emissão, a expressão “</w:t>
      </w:r>
      <w:r>
        <w:rPr>
          <w:rFonts w:ascii="Verdana" w:hAnsi="Verdana" w:cs="Tahoma"/>
          <w:color w:val="000000"/>
          <w:sz w:val="20"/>
          <w:u w:val="single"/>
        </w:rPr>
        <w:t>Dia(s) Útil(eis)</w:t>
      </w:r>
      <w:r>
        <w:rPr>
          <w:rFonts w:ascii="Verdana" w:hAnsi="Verdana" w:cs="Tahoma"/>
          <w:color w:val="000000"/>
          <w:sz w:val="20"/>
        </w:rPr>
        <w:t>” significa qualquer dia, exceção feita aos sábados, domingos e feriados declarados nacionais.</w:t>
      </w:r>
    </w:p>
    <w:p w:rsidR="00DE19C8" w:rsidRDefault="00DE19C8">
      <w:pPr>
        <w:keepNext/>
        <w:widowControl w:val="0"/>
        <w:suppressAutoHyphens/>
        <w:spacing w:line="318" w:lineRule="exact"/>
        <w:contextualSpacing/>
        <w:rPr>
          <w:rFonts w:ascii="Verdana" w:hAnsi="Verdana" w:cs="Tahoma"/>
          <w:b/>
          <w:sz w:val="20"/>
        </w:rPr>
      </w:pPr>
    </w:p>
    <w:p w:rsidR="00DE19C8" w:rsidRDefault="00626B63">
      <w:pPr>
        <w:numPr>
          <w:ilvl w:val="0"/>
          <w:numId w:val="70"/>
        </w:numPr>
        <w:suppressAutoHyphens/>
        <w:spacing w:line="318" w:lineRule="exact"/>
        <w:ind w:left="0" w:firstLine="0"/>
        <w:contextualSpacing/>
        <w:rPr>
          <w:rFonts w:ascii="Verdana" w:hAnsi="Verdana"/>
          <w:b/>
          <w:sz w:val="20"/>
        </w:rPr>
      </w:pPr>
      <w:r>
        <w:rPr>
          <w:rFonts w:ascii="Verdana" w:hAnsi="Verdana" w:cs="Tahoma"/>
          <w:b/>
          <w:bCs/>
          <w:sz w:val="20"/>
        </w:rPr>
        <w:t>Periodicidade</w:t>
      </w:r>
      <w:r>
        <w:rPr>
          <w:rFonts w:ascii="Verdana" w:hAnsi="Verdana"/>
          <w:b/>
          <w:sz w:val="20"/>
        </w:rPr>
        <w:t xml:space="preserve"> de Pagamento dos Juros Remuneratórios</w:t>
      </w:r>
    </w:p>
    <w:p w:rsidR="00DE19C8" w:rsidRDefault="00DE19C8">
      <w:pPr>
        <w:pStyle w:val="p0"/>
        <w:suppressAutoHyphens/>
        <w:spacing w:line="318" w:lineRule="exact"/>
        <w:contextualSpacing/>
        <w:rPr>
          <w:rFonts w:ascii="Verdana" w:hAnsi="Verdana"/>
          <w:sz w:val="20"/>
        </w:rPr>
      </w:pPr>
    </w:p>
    <w:p w:rsidR="00DE19C8" w:rsidRDefault="00626B63">
      <w:pPr>
        <w:pStyle w:val="p0"/>
        <w:suppressAutoHyphens/>
        <w:spacing w:line="318" w:lineRule="exact"/>
        <w:contextualSpacing/>
        <w:rPr>
          <w:rFonts w:ascii="Verdana" w:hAnsi="Verdana"/>
          <w:b/>
          <w:sz w:val="20"/>
        </w:rPr>
      </w:pPr>
      <w:r>
        <w:rPr>
          <w:rFonts w:ascii="Verdana" w:hAnsi="Verdana"/>
          <w:sz w:val="20"/>
        </w:rPr>
        <w:t>4.10.1.</w:t>
      </w:r>
      <w:r>
        <w:rPr>
          <w:rFonts w:ascii="Verdana" w:hAnsi="Verdana"/>
          <w:sz w:val="20"/>
        </w:rPr>
        <w:tab/>
      </w:r>
      <w:r>
        <w:rPr>
          <w:rFonts w:ascii="Verdana" w:hAnsi="Verdana"/>
          <w:sz w:val="20"/>
        </w:rPr>
        <w:t xml:space="preserve">Os Juros Remuneratórios serão pagos semestralmente, sempre no dia 15 dos meses de maio e novembro de cada ano, sendo o primeiro pagamento devido em 15 de novembro de 2019 e o último pagamento na (i) </w:t>
      </w:r>
      <w:r>
        <w:rPr>
          <w:rFonts w:ascii="Verdana" w:hAnsi="Verdana" w:cs="Tahoma"/>
          <w:sz w:val="20"/>
        </w:rPr>
        <w:t>Data de Vencimento das Debêntures da Primeira Série</w:t>
      </w:r>
      <w:r>
        <w:rPr>
          <w:rFonts w:ascii="Verdana" w:hAnsi="Verdana"/>
          <w:sz w:val="20"/>
        </w:rPr>
        <w:t>, para</w:t>
      </w:r>
      <w:r>
        <w:rPr>
          <w:rFonts w:ascii="Verdana" w:hAnsi="Verdana"/>
          <w:sz w:val="20"/>
        </w:rPr>
        <w:t xml:space="preserve"> as </w:t>
      </w:r>
      <w:r>
        <w:rPr>
          <w:rFonts w:ascii="Verdana" w:hAnsi="Verdana" w:cs="Tahoma"/>
          <w:sz w:val="20"/>
        </w:rPr>
        <w:t>Debêntures da Primeira Série,</w:t>
      </w:r>
      <w:r>
        <w:rPr>
          <w:rFonts w:ascii="Verdana" w:hAnsi="Verdana"/>
          <w:sz w:val="20"/>
        </w:rPr>
        <w:t xml:space="preserve"> ou (</w:t>
      </w:r>
      <w:proofErr w:type="spellStart"/>
      <w:r>
        <w:rPr>
          <w:rFonts w:ascii="Verdana" w:hAnsi="Verdana"/>
          <w:sz w:val="20"/>
        </w:rPr>
        <w:t>ii</w:t>
      </w:r>
      <w:proofErr w:type="spellEnd"/>
      <w:r>
        <w:rPr>
          <w:rFonts w:ascii="Verdana" w:hAnsi="Verdana"/>
          <w:sz w:val="20"/>
        </w:rPr>
        <w:t xml:space="preserve">) </w:t>
      </w:r>
      <w:r>
        <w:rPr>
          <w:rFonts w:ascii="Verdana" w:hAnsi="Verdana" w:cs="Tahoma"/>
          <w:sz w:val="20"/>
        </w:rPr>
        <w:t>Data de Vencimento das Debêntures da Segunda Série</w:t>
      </w:r>
      <w:r>
        <w:rPr>
          <w:rFonts w:ascii="Verdana" w:hAnsi="Verdana"/>
          <w:sz w:val="20"/>
        </w:rPr>
        <w:t xml:space="preserve">, para as </w:t>
      </w:r>
      <w:r>
        <w:rPr>
          <w:rFonts w:ascii="Verdana" w:hAnsi="Verdana" w:cs="Tahoma"/>
          <w:sz w:val="20"/>
        </w:rPr>
        <w:t xml:space="preserve">Debêntures da Segunda Série, </w:t>
      </w:r>
      <w:r>
        <w:rPr>
          <w:rFonts w:ascii="Verdana" w:hAnsi="Verdana"/>
          <w:sz w:val="20"/>
        </w:rPr>
        <w:t>ou na data da liquidação antecipada das Debêntures resultante (a) do vencimento antecipado das Debêntures em razão da ocorrên</w:t>
      </w:r>
      <w:r>
        <w:rPr>
          <w:rFonts w:ascii="Verdana" w:hAnsi="Verdana"/>
          <w:sz w:val="20"/>
        </w:rPr>
        <w:t>cia de um dos Eventos de Inadimplemento, ou (b) do resgate antecipado das Debêntures (cada uma dessas datas, uma “</w:t>
      </w:r>
      <w:r>
        <w:rPr>
          <w:rFonts w:ascii="Verdana" w:hAnsi="Verdana"/>
          <w:sz w:val="20"/>
          <w:u w:val="single"/>
        </w:rPr>
        <w:t>Data de Pagamento dos Juros Remuneratórios</w:t>
      </w:r>
      <w:r>
        <w:rPr>
          <w:rFonts w:ascii="Verdana" w:hAnsi="Verdana"/>
          <w:sz w:val="20"/>
        </w:rPr>
        <w:t>”).</w:t>
      </w:r>
    </w:p>
    <w:p w:rsidR="00DE19C8" w:rsidRDefault="00DE19C8">
      <w:pPr>
        <w:pStyle w:val="p0"/>
        <w:suppressAutoHyphens/>
        <w:spacing w:line="318" w:lineRule="exact"/>
        <w:contextualSpacing/>
        <w:rPr>
          <w:rFonts w:ascii="Verdana" w:hAnsi="Verdana" w:cs="Tahoma"/>
          <w:color w:val="000000"/>
          <w:sz w:val="20"/>
        </w:rPr>
      </w:pPr>
    </w:p>
    <w:p w:rsidR="00DE19C8" w:rsidRDefault="00626B63">
      <w:pPr>
        <w:keepNext/>
        <w:numPr>
          <w:ilvl w:val="0"/>
          <w:numId w:val="70"/>
        </w:numPr>
        <w:suppressAutoHyphens/>
        <w:spacing w:line="318" w:lineRule="exact"/>
        <w:ind w:left="0" w:firstLine="0"/>
        <w:contextualSpacing/>
        <w:rPr>
          <w:rFonts w:ascii="Verdana" w:hAnsi="Verdana" w:cs="Tahoma"/>
          <w:b/>
          <w:sz w:val="20"/>
        </w:rPr>
      </w:pPr>
      <w:r>
        <w:rPr>
          <w:rFonts w:ascii="Verdana" w:hAnsi="Verdana" w:cs="Tahoma"/>
          <w:b/>
          <w:bCs/>
          <w:sz w:val="20"/>
        </w:rPr>
        <w:t>Repactuação</w:t>
      </w:r>
    </w:p>
    <w:p w:rsidR="00DE19C8" w:rsidRDefault="00DE19C8">
      <w:pPr>
        <w:keepNext/>
        <w:widowControl w:val="0"/>
        <w:suppressAutoHyphens/>
        <w:spacing w:line="318" w:lineRule="exact"/>
        <w:contextualSpacing/>
        <w:rPr>
          <w:rFonts w:ascii="Verdana" w:hAnsi="Verdana" w:cs="Tahoma"/>
          <w:b/>
          <w:sz w:val="20"/>
        </w:rPr>
      </w:pPr>
    </w:p>
    <w:p w:rsidR="00DE19C8" w:rsidRDefault="00626B63">
      <w:pPr>
        <w:keepNext/>
        <w:widowControl w:val="0"/>
        <w:suppressAutoHyphens/>
        <w:spacing w:line="318" w:lineRule="exact"/>
        <w:contextualSpacing/>
        <w:rPr>
          <w:rFonts w:ascii="Verdana" w:hAnsi="Verdana" w:cs="Tahoma"/>
          <w:sz w:val="20"/>
        </w:rPr>
      </w:pPr>
      <w:r>
        <w:rPr>
          <w:rFonts w:ascii="Verdana" w:hAnsi="Verdana" w:cs="Tahoma"/>
          <w:sz w:val="20"/>
        </w:rPr>
        <w:t>4.11.1.</w:t>
      </w:r>
      <w:r>
        <w:rPr>
          <w:rFonts w:ascii="Verdana" w:hAnsi="Verdana" w:cs="Tahoma"/>
          <w:sz w:val="20"/>
        </w:rPr>
        <w:tab/>
        <w:t>As Debêntures não serão objeto de repactuação.</w:t>
      </w:r>
    </w:p>
    <w:p w:rsidR="00DE19C8" w:rsidRDefault="00DE19C8">
      <w:pPr>
        <w:pStyle w:val="Cabealho"/>
        <w:widowControl/>
        <w:tabs>
          <w:tab w:val="clear" w:pos="4419"/>
          <w:tab w:val="clear" w:pos="8838"/>
        </w:tabs>
        <w:suppressAutoHyphens/>
        <w:spacing w:line="318" w:lineRule="exact"/>
        <w:contextualSpacing/>
        <w:rPr>
          <w:rFonts w:ascii="Verdana" w:hAnsi="Verdana" w:cs="Tahoma"/>
          <w:sz w:val="20"/>
        </w:rPr>
      </w:pPr>
    </w:p>
    <w:p w:rsidR="00DE19C8" w:rsidRDefault="00626B63">
      <w:pPr>
        <w:keepNext/>
        <w:numPr>
          <w:ilvl w:val="0"/>
          <w:numId w:val="70"/>
        </w:numPr>
        <w:suppressAutoHyphens/>
        <w:spacing w:line="318" w:lineRule="exact"/>
        <w:ind w:left="0" w:firstLine="0"/>
        <w:contextualSpacing/>
        <w:rPr>
          <w:rFonts w:ascii="Verdana" w:hAnsi="Verdana" w:cs="Tahoma"/>
          <w:b/>
          <w:sz w:val="20"/>
        </w:rPr>
      </w:pPr>
      <w:bookmarkStart w:id="104" w:name="_DV_M234"/>
      <w:bookmarkStart w:id="105" w:name="_DV_M235"/>
      <w:bookmarkEnd w:id="104"/>
      <w:bookmarkEnd w:id="105"/>
      <w:r>
        <w:rPr>
          <w:rFonts w:ascii="Verdana" w:hAnsi="Verdana" w:cs="Tahoma"/>
          <w:b/>
          <w:bCs/>
          <w:sz w:val="20"/>
        </w:rPr>
        <w:t>Resgate</w:t>
      </w:r>
      <w:r>
        <w:rPr>
          <w:rFonts w:ascii="Verdana" w:hAnsi="Verdana" w:cs="Tahoma"/>
          <w:b/>
          <w:sz w:val="20"/>
        </w:rPr>
        <w:t xml:space="preserve"> Antecipado Faculta</w:t>
      </w:r>
      <w:r>
        <w:rPr>
          <w:rFonts w:ascii="Verdana" w:hAnsi="Verdana" w:cs="Tahoma"/>
          <w:b/>
          <w:sz w:val="20"/>
        </w:rPr>
        <w:t>tivo e Amortização Extraordinária Facultativa</w:t>
      </w:r>
    </w:p>
    <w:p w:rsidR="00DE19C8" w:rsidRDefault="00DE19C8">
      <w:pPr>
        <w:keepNext/>
        <w:suppressAutoHyphens/>
        <w:spacing w:line="318" w:lineRule="exact"/>
        <w:contextualSpacing/>
        <w:rPr>
          <w:rFonts w:ascii="Verdana" w:hAnsi="Verdana" w:cs="Tahoma"/>
          <w:sz w:val="20"/>
        </w:rPr>
      </w:pPr>
    </w:p>
    <w:p w:rsidR="00DE19C8" w:rsidRDefault="00626B63">
      <w:pPr>
        <w:keepNext/>
        <w:suppressAutoHyphens/>
        <w:spacing w:line="318" w:lineRule="exact"/>
        <w:contextualSpacing/>
        <w:rPr>
          <w:rFonts w:ascii="Verdana" w:hAnsi="Verdana" w:cs="Tahoma"/>
          <w:color w:val="000000"/>
          <w:sz w:val="20"/>
        </w:rPr>
      </w:pPr>
      <w:r>
        <w:rPr>
          <w:rFonts w:ascii="Verdana" w:hAnsi="Verdana" w:cs="Tahoma"/>
          <w:sz w:val="20"/>
        </w:rPr>
        <w:t xml:space="preserve">4.12.1. </w:t>
      </w:r>
      <w:r>
        <w:rPr>
          <w:rFonts w:ascii="Verdana" w:hAnsi="Verdana" w:cs="Tahoma"/>
          <w:b/>
          <w:sz w:val="20"/>
        </w:rPr>
        <w:t>Resgate Antecipado Facultativo:</w:t>
      </w:r>
      <w:r>
        <w:rPr>
          <w:rFonts w:ascii="Verdana" w:hAnsi="Verdana" w:cs="Tahoma"/>
          <w:sz w:val="20"/>
        </w:rPr>
        <w:t xml:space="preserve"> Sem prejuízo do resgate previsto no item 4.9.4.5 acima, a Emissora poderá, a seu exclusivo critério, após 18 (dezoito) meses contados da Data de Emissão, ou seja, a part</w:t>
      </w:r>
      <w:r>
        <w:rPr>
          <w:rFonts w:ascii="Verdana" w:hAnsi="Verdana" w:cs="Tahoma"/>
          <w:sz w:val="20"/>
        </w:rPr>
        <w:t>ir de 15 de novembro de 2020 (inclusive) no caso das Debêntures da Primeira Série, e após 30 (trinta) meses contados da Data de Emissão, ou seja, a partir de 15 de novembro de 2021 (inclusive) no caso das Debêntures da Segunda Série, mediante  publicação d</w:t>
      </w:r>
      <w:r>
        <w:rPr>
          <w:rFonts w:ascii="Verdana" w:hAnsi="Verdana" w:cs="Tahoma"/>
          <w:sz w:val="20"/>
        </w:rPr>
        <w:t>e aviso aos Debenturistas nos termos da Cláusula 4.18 abaixo ou envio de comunicação direta aos Debenturistas, com cópia ao Agente Fiduciário, nos termos da Cláusula 4.12.2 abaixo, com antecedência mínima de 3 (três) Dias Úteis da data do resgate, realizar</w:t>
      </w:r>
      <w:r>
        <w:rPr>
          <w:rFonts w:ascii="Verdana" w:hAnsi="Verdana" w:cs="Tahoma"/>
          <w:sz w:val="20"/>
        </w:rPr>
        <w:t xml:space="preserve"> o resgate antecipado total das Debêntures de uma determinada série ou de ambas as séries, a critério da Emissora (“</w:t>
      </w:r>
      <w:r>
        <w:rPr>
          <w:rFonts w:ascii="Verdana" w:hAnsi="Verdana" w:cs="Tahoma"/>
          <w:sz w:val="20"/>
          <w:u w:val="single"/>
        </w:rPr>
        <w:t>Resgate Antecipado Facultativo</w:t>
      </w:r>
      <w:r>
        <w:rPr>
          <w:rFonts w:ascii="Verdana" w:hAnsi="Verdana" w:cs="Tahoma"/>
          <w:sz w:val="20"/>
        </w:rPr>
        <w:t>”).</w:t>
      </w:r>
    </w:p>
    <w:p w:rsidR="00DE19C8" w:rsidRDefault="00DE19C8">
      <w:pPr>
        <w:pStyle w:val="Nvel111"/>
        <w:numPr>
          <w:ilvl w:val="0"/>
          <w:numId w:val="0"/>
        </w:numPr>
        <w:spacing w:line="320" w:lineRule="atLeast"/>
        <w:contextualSpacing/>
        <w:rPr>
          <w:rFonts w:ascii="Garamond" w:hAnsi="Garamond"/>
          <w:sz w:val="24"/>
          <w:szCs w:val="24"/>
          <w:lang w:val="pt-BR"/>
        </w:rPr>
      </w:pPr>
    </w:p>
    <w:p w:rsidR="00DE19C8" w:rsidRDefault="00626B63">
      <w:pPr>
        <w:pStyle w:val="Nvel111"/>
        <w:numPr>
          <w:ilvl w:val="0"/>
          <w:numId w:val="0"/>
        </w:numPr>
        <w:spacing w:line="320" w:lineRule="atLeast"/>
        <w:contextualSpacing/>
        <w:rPr>
          <w:rFonts w:ascii="Garamond" w:hAnsi="Garamond"/>
          <w:sz w:val="24"/>
          <w:szCs w:val="24"/>
          <w:lang w:val="pt-BR"/>
        </w:rPr>
      </w:pPr>
      <w:r>
        <w:rPr>
          <w:rFonts w:ascii="Verdana" w:hAnsi="Verdana" w:cs="Tahoma"/>
          <w:sz w:val="20"/>
          <w:lang w:val="pt-BR"/>
        </w:rPr>
        <w:lastRenderedPageBreak/>
        <w:t>4.12.1.1.</w:t>
      </w:r>
      <w:r>
        <w:rPr>
          <w:rFonts w:ascii="Verdana" w:hAnsi="Verdana" w:cs="Tahoma"/>
          <w:sz w:val="20"/>
          <w:lang w:val="pt-BR"/>
        </w:rPr>
        <w:tab/>
        <w:t xml:space="preserve">O valor a ser pago em decorrência do </w:t>
      </w:r>
      <w:r>
        <w:rPr>
          <w:rFonts w:ascii="Verdana" w:hAnsi="Verdana" w:cs="Tahoma"/>
          <w:sz w:val="20"/>
          <w:szCs w:val="20"/>
          <w:lang w:val="pt-BR"/>
        </w:rPr>
        <w:t xml:space="preserve">Resgate Antecipado Facultativo deverá corresponder (i) ao </w:t>
      </w:r>
      <w:r>
        <w:rPr>
          <w:rFonts w:ascii="Verdana" w:hAnsi="Verdana" w:cs="Tahoma"/>
          <w:sz w:val="20"/>
          <w:szCs w:val="20"/>
          <w:lang w:val="pt-BR"/>
        </w:rPr>
        <w:t>saldo do Valor Nominal Unitário, (</w:t>
      </w:r>
      <w:proofErr w:type="spellStart"/>
      <w:r>
        <w:rPr>
          <w:rFonts w:ascii="Verdana" w:hAnsi="Verdana" w:cs="Tahoma"/>
          <w:sz w:val="20"/>
          <w:szCs w:val="20"/>
          <w:lang w:val="pt-BR"/>
        </w:rPr>
        <w:t>ii</w:t>
      </w:r>
      <w:proofErr w:type="spellEnd"/>
      <w:r>
        <w:rPr>
          <w:rFonts w:ascii="Verdana" w:hAnsi="Verdana" w:cs="Tahoma"/>
          <w:sz w:val="20"/>
          <w:szCs w:val="20"/>
          <w:lang w:val="pt-BR"/>
        </w:rPr>
        <w:t xml:space="preserve">) acrescido dos </w:t>
      </w:r>
      <w:r>
        <w:rPr>
          <w:rFonts w:ascii="Verdana" w:hAnsi="Verdana" w:cs="Tahoma"/>
          <w:sz w:val="20"/>
          <w:lang w:val="pt-BR"/>
        </w:rPr>
        <w:t xml:space="preserve">Juros Remuneratórios da respectiva série, calculados </w:t>
      </w:r>
      <w:r>
        <w:rPr>
          <w:rFonts w:ascii="Verdana" w:hAnsi="Verdana" w:cs="Tahoma"/>
          <w:i/>
          <w:color w:val="000000"/>
          <w:sz w:val="20"/>
          <w:lang w:val="pt-BR"/>
        </w:rPr>
        <w:t xml:space="preserve">pro rata </w:t>
      </w:r>
      <w:proofErr w:type="spellStart"/>
      <w:r>
        <w:rPr>
          <w:rFonts w:ascii="Verdana" w:hAnsi="Verdana" w:cs="Tahoma"/>
          <w:i/>
          <w:color w:val="000000"/>
          <w:sz w:val="20"/>
          <w:lang w:val="pt-BR"/>
        </w:rPr>
        <w:t>temporis</w:t>
      </w:r>
      <w:proofErr w:type="spellEnd"/>
      <w:r>
        <w:rPr>
          <w:rFonts w:ascii="Verdana" w:hAnsi="Verdana" w:cs="Tahoma"/>
          <w:color w:val="000000"/>
          <w:sz w:val="20"/>
          <w:lang w:val="pt-BR"/>
        </w:rPr>
        <w:t>, a partir da primeira Data de Integralização ou da Data de Pagamento dos Juros Remuneratórios imediatamente anterior, conforme o caso, (</w:t>
      </w:r>
      <w:proofErr w:type="spellStart"/>
      <w:r>
        <w:rPr>
          <w:rFonts w:ascii="Verdana" w:hAnsi="Verdana" w:cs="Tahoma"/>
          <w:color w:val="000000"/>
          <w:sz w:val="20"/>
          <w:lang w:val="pt-BR"/>
        </w:rPr>
        <w:t>iii</w:t>
      </w:r>
      <w:proofErr w:type="spellEnd"/>
      <w:r>
        <w:rPr>
          <w:rFonts w:ascii="Verdana" w:hAnsi="Verdana" w:cs="Tahoma"/>
          <w:color w:val="000000"/>
          <w:sz w:val="20"/>
          <w:lang w:val="pt-BR"/>
        </w:rPr>
        <w:t xml:space="preserve">) eventuais </w:t>
      </w:r>
      <w:r>
        <w:rPr>
          <w:rFonts w:ascii="Verdana" w:hAnsi="Verdana" w:cs="Tahoma"/>
          <w:sz w:val="20"/>
          <w:lang w:val="pt-BR"/>
        </w:rPr>
        <w:t>Encargos Moratórios devidos; e (</w:t>
      </w:r>
      <w:proofErr w:type="spellStart"/>
      <w:r>
        <w:rPr>
          <w:rFonts w:ascii="Verdana" w:hAnsi="Verdana" w:cs="Tahoma"/>
          <w:sz w:val="20"/>
          <w:lang w:val="pt-BR"/>
        </w:rPr>
        <w:t>iv</w:t>
      </w:r>
      <w:proofErr w:type="spellEnd"/>
      <w:r>
        <w:rPr>
          <w:rFonts w:ascii="Verdana" w:hAnsi="Verdana" w:cs="Tahoma"/>
          <w:sz w:val="20"/>
          <w:lang w:val="pt-BR"/>
        </w:rPr>
        <w:t>) prêmio correspondente ao prêmio indicado na tabela abaixo:</w:t>
      </w:r>
    </w:p>
    <w:p w:rsidR="00DE19C8" w:rsidRDefault="00DE19C8">
      <w:pPr>
        <w:pStyle w:val="Nvel11a1"/>
        <w:numPr>
          <w:ilvl w:val="0"/>
          <w:numId w:val="0"/>
        </w:numPr>
        <w:spacing w:line="320" w:lineRule="atLeast"/>
        <w:contextualSpacing/>
        <w:rPr>
          <w:rFonts w:ascii="Garamond" w:hAnsi="Garamond"/>
          <w:sz w:val="24"/>
          <w:szCs w:val="24"/>
          <w:lang w:val="pt-BR"/>
        </w:rPr>
      </w:pPr>
    </w:p>
    <w:tbl>
      <w:tblPr>
        <w:tblStyle w:val="Tabelacomgrade"/>
        <w:tblW w:w="0" w:type="auto"/>
        <w:tblLook w:val="04A0" w:firstRow="1" w:lastRow="0" w:firstColumn="1" w:lastColumn="0" w:noHBand="0" w:noVBand="1"/>
      </w:tblPr>
      <w:tblGrid>
        <w:gridCol w:w="3114"/>
        <w:gridCol w:w="3260"/>
        <w:gridCol w:w="2977"/>
      </w:tblGrid>
      <w:tr w:rsidR="00DE19C8">
        <w:tc>
          <w:tcPr>
            <w:tcW w:w="3114" w:type="dxa"/>
          </w:tcPr>
          <w:p w:rsidR="00DE19C8" w:rsidRDefault="00626B63">
            <w:pPr>
              <w:pStyle w:val="Nvel11a1"/>
              <w:numPr>
                <w:ilvl w:val="0"/>
                <w:numId w:val="0"/>
              </w:numPr>
              <w:spacing w:line="320" w:lineRule="atLeast"/>
              <w:contextualSpacing/>
              <w:rPr>
                <w:rFonts w:ascii="Verdana" w:hAnsi="Verdana"/>
                <w:b/>
                <w:sz w:val="20"/>
                <w:szCs w:val="20"/>
                <w:lang w:val="pt-BR"/>
              </w:rPr>
            </w:pPr>
            <w:r>
              <w:rPr>
                <w:rFonts w:ascii="Verdana" w:hAnsi="Verdana"/>
                <w:b/>
                <w:sz w:val="20"/>
                <w:szCs w:val="20"/>
                <w:lang w:val="pt-BR"/>
              </w:rPr>
              <w:t xml:space="preserve">Período </w:t>
            </w:r>
            <w:r>
              <w:rPr>
                <w:rFonts w:ascii="Verdana" w:hAnsi="Verdana"/>
                <w:b/>
                <w:sz w:val="20"/>
                <w:szCs w:val="20"/>
                <w:lang w:val="pt-BR"/>
              </w:rPr>
              <w:t>do Resgate Antecipado das Debêntures da Primeira Série</w:t>
            </w:r>
          </w:p>
          <w:p w:rsidR="00DE19C8" w:rsidRDefault="00626B63">
            <w:pPr>
              <w:pStyle w:val="Nvel11a1"/>
              <w:numPr>
                <w:ilvl w:val="0"/>
                <w:numId w:val="0"/>
              </w:numPr>
              <w:spacing w:line="320" w:lineRule="atLeast"/>
              <w:contextualSpacing/>
              <w:rPr>
                <w:rFonts w:ascii="Verdana" w:hAnsi="Verdana"/>
                <w:b/>
                <w:sz w:val="20"/>
                <w:szCs w:val="20"/>
                <w:lang w:val="pt-BR"/>
              </w:rPr>
            </w:pPr>
            <w:r>
              <w:rPr>
                <w:rFonts w:ascii="Verdana" w:hAnsi="Verdana"/>
                <w:b/>
                <w:sz w:val="20"/>
                <w:szCs w:val="20"/>
                <w:lang w:val="pt-BR"/>
              </w:rPr>
              <w:t>(mês contado a partir da Data de Emissão)</w:t>
            </w:r>
          </w:p>
        </w:tc>
        <w:tc>
          <w:tcPr>
            <w:tcW w:w="3260" w:type="dxa"/>
          </w:tcPr>
          <w:p w:rsidR="00DE19C8" w:rsidRDefault="00626B63">
            <w:pPr>
              <w:pStyle w:val="Nvel11a1"/>
              <w:numPr>
                <w:ilvl w:val="0"/>
                <w:numId w:val="0"/>
              </w:numPr>
              <w:spacing w:line="320" w:lineRule="atLeast"/>
              <w:contextualSpacing/>
              <w:rPr>
                <w:rFonts w:ascii="Verdana" w:hAnsi="Verdana"/>
                <w:b/>
                <w:sz w:val="20"/>
                <w:szCs w:val="20"/>
                <w:lang w:val="pt-BR"/>
              </w:rPr>
            </w:pPr>
            <w:r>
              <w:rPr>
                <w:rFonts w:ascii="Verdana" w:hAnsi="Verdana"/>
                <w:b/>
                <w:sz w:val="20"/>
                <w:szCs w:val="20"/>
                <w:lang w:val="pt-BR"/>
              </w:rPr>
              <w:t>Período do Resgate Antecipado das Debêntures da Segunda Série</w:t>
            </w:r>
          </w:p>
          <w:p w:rsidR="00DE19C8" w:rsidRDefault="00626B63">
            <w:pPr>
              <w:pStyle w:val="Nvel11a1"/>
              <w:numPr>
                <w:ilvl w:val="0"/>
                <w:numId w:val="0"/>
              </w:numPr>
              <w:spacing w:line="320" w:lineRule="atLeast"/>
              <w:contextualSpacing/>
              <w:rPr>
                <w:rFonts w:ascii="Verdana" w:hAnsi="Verdana"/>
                <w:b/>
                <w:sz w:val="20"/>
                <w:szCs w:val="20"/>
                <w:lang w:val="pt-BR"/>
              </w:rPr>
            </w:pPr>
            <w:r>
              <w:rPr>
                <w:rFonts w:ascii="Verdana" w:hAnsi="Verdana"/>
                <w:b/>
                <w:sz w:val="20"/>
                <w:szCs w:val="20"/>
                <w:lang w:val="pt-BR"/>
              </w:rPr>
              <w:t>(mês contado a partir da Data de Emissão)</w:t>
            </w:r>
          </w:p>
        </w:tc>
        <w:tc>
          <w:tcPr>
            <w:tcW w:w="2977" w:type="dxa"/>
          </w:tcPr>
          <w:p w:rsidR="00DE19C8" w:rsidRDefault="00626B63">
            <w:pPr>
              <w:pStyle w:val="Nvel11a1"/>
              <w:numPr>
                <w:ilvl w:val="0"/>
                <w:numId w:val="0"/>
              </w:numPr>
              <w:spacing w:line="320" w:lineRule="atLeast"/>
              <w:contextualSpacing/>
              <w:rPr>
                <w:rFonts w:ascii="Verdana" w:hAnsi="Verdana"/>
                <w:b/>
                <w:sz w:val="20"/>
                <w:szCs w:val="20"/>
                <w:lang w:val="pt-BR"/>
              </w:rPr>
            </w:pPr>
            <w:r>
              <w:rPr>
                <w:rFonts w:ascii="Verdana" w:hAnsi="Verdana"/>
                <w:b/>
                <w:sz w:val="20"/>
                <w:szCs w:val="20"/>
                <w:lang w:val="pt-BR"/>
              </w:rPr>
              <w:t xml:space="preserve">Prêmio de Resgate Antecipado ao ano pelo prazo </w:t>
            </w:r>
            <w:r>
              <w:rPr>
                <w:rFonts w:ascii="Verdana" w:hAnsi="Verdana"/>
                <w:b/>
                <w:sz w:val="20"/>
                <w:szCs w:val="20"/>
                <w:lang w:val="pt-BR"/>
              </w:rPr>
              <w:t>remanescente</w:t>
            </w:r>
          </w:p>
        </w:tc>
      </w:tr>
      <w:tr w:rsidR="00DE19C8">
        <w:tc>
          <w:tcPr>
            <w:tcW w:w="3114"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Do 18º mês até o 24º mês (inclusive)</w:t>
            </w:r>
          </w:p>
        </w:tc>
        <w:tc>
          <w:tcPr>
            <w:tcW w:w="3260"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Do 30º mês até o 36º mês (inclusive)</w:t>
            </w:r>
          </w:p>
        </w:tc>
        <w:tc>
          <w:tcPr>
            <w:tcW w:w="2977" w:type="dxa"/>
          </w:tcPr>
          <w:p w:rsidR="00DE19C8" w:rsidRDefault="00626B63">
            <w:pPr>
              <w:pStyle w:val="Nvel11a1"/>
              <w:numPr>
                <w:ilvl w:val="0"/>
                <w:numId w:val="0"/>
              </w:numPr>
              <w:spacing w:line="320" w:lineRule="atLeast"/>
              <w:contextualSpacing/>
              <w:jc w:val="center"/>
              <w:rPr>
                <w:rFonts w:ascii="Verdana" w:hAnsi="Verdana"/>
                <w:sz w:val="20"/>
                <w:szCs w:val="20"/>
                <w:lang w:val="pt-BR"/>
              </w:rPr>
            </w:pPr>
            <w:r>
              <w:rPr>
                <w:rFonts w:ascii="Verdana" w:hAnsi="Verdana"/>
                <w:sz w:val="20"/>
                <w:szCs w:val="20"/>
                <w:lang w:val="pt-BR"/>
              </w:rPr>
              <w:t>0,40%</w:t>
            </w:r>
          </w:p>
        </w:tc>
      </w:tr>
      <w:tr w:rsidR="00DE19C8">
        <w:tc>
          <w:tcPr>
            <w:tcW w:w="3114"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Do 25º mês até o 30º mês (inclusive)</w:t>
            </w:r>
          </w:p>
        </w:tc>
        <w:tc>
          <w:tcPr>
            <w:tcW w:w="3260"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Do 37º mês até o 48º mês (inclusive)</w:t>
            </w:r>
          </w:p>
        </w:tc>
        <w:tc>
          <w:tcPr>
            <w:tcW w:w="2977" w:type="dxa"/>
          </w:tcPr>
          <w:p w:rsidR="00DE19C8" w:rsidRDefault="00626B63">
            <w:pPr>
              <w:pStyle w:val="Nvel11a1"/>
              <w:numPr>
                <w:ilvl w:val="0"/>
                <w:numId w:val="0"/>
              </w:numPr>
              <w:spacing w:line="320" w:lineRule="atLeast"/>
              <w:contextualSpacing/>
              <w:jc w:val="center"/>
              <w:rPr>
                <w:rFonts w:ascii="Verdana" w:hAnsi="Verdana"/>
                <w:sz w:val="20"/>
                <w:szCs w:val="20"/>
                <w:lang w:val="pt-BR"/>
              </w:rPr>
            </w:pPr>
            <w:r>
              <w:rPr>
                <w:rFonts w:ascii="Verdana" w:hAnsi="Verdana"/>
                <w:sz w:val="20"/>
                <w:szCs w:val="20"/>
                <w:lang w:val="pt-BR"/>
              </w:rPr>
              <w:t>0,30%</w:t>
            </w:r>
          </w:p>
        </w:tc>
      </w:tr>
      <w:tr w:rsidR="00DE19C8">
        <w:tc>
          <w:tcPr>
            <w:tcW w:w="3114"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Do 31º mês até a Data de Vencimento das Debêntures da Primeira Série (inclusive)</w:t>
            </w:r>
          </w:p>
        </w:tc>
        <w:tc>
          <w:tcPr>
            <w:tcW w:w="3260"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Do 49º mês até a Data de Vencimento das Debêntures da Segunda Série (inclusive)</w:t>
            </w:r>
          </w:p>
        </w:tc>
        <w:tc>
          <w:tcPr>
            <w:tcW w:w="2977" w:type="dxa"/>
          </w:tcPr>
          <w:p w:rsidR="00DE19C8" w:rsidRDefault="00626B63">
            <w:pPr>
              <w:pStyle w:val="Nvel11a1"/>
              <w:numPr>
                <w:ilvl w:val="0"/>
                <w:numId w:val="0"/>
              </w:numPr>
              <w:spacing w:line="320" w:lineRule="atLeast"/>
              <w:contextualSpacing/>
              <w:jc w:val="center"/>
              <w:rPr>
                <w:rFonts w:ascii="Verdana" w:hAnsi="Verdana"/>
                <w:sz w:val="20"/>
                <w:szCs w:val="20"/>
                <w:lang w:val="pt-BR"/>
              </w:rPr>
            </w:pPr>
            <w:r>
              <w:rPr>
                <w:rFonts w:ascii="Verdana" w:hAnsi="Verdana"/>
                <w:sz w:val="20"/>
                <w:szCs w:val="20"/>
                <w:lang w:val="pt-BR"/>
              </w:rPr>
              <w:t>0,20%</w:t>
            </w:r>
          </w:p>
        </w:tc>
      </w:tr>
    </w:tbl>
    <w:p w:rsidR="00DE19C8" w:rsidRDefault="00DE19C8">
      <w:pPr>
        <w:pStyle w:val="Nvel11a1"/>
        <w:numPr>
          <w:ilvl w:val="0"/>
          <w:numId w:val="0"/>
        </w:numPr>
        <w:spacing w:line="320" w:lineRule="atLeast"/>
        <w:contextualSpacing/>
        <w:rPr>
          <w:rFonts w:ascii="Garamond" w:hAnsi="Garamond"/>
          <w:sz w:val="24"/>
          <w:szCs w:val="24"/>
          <w:lang w:val="pt-BR"/>
        </w:rPr>
      </w:pPr>
    </w:p>
    <w:p w:rsidR="00DE19C8" w:rsidRDefault="00DE19C8">
      <w:pPr>
        <w:pStyle w:val="Nvel11a1"/>
        <w:numPr>
          <w:ilvl w:val="0"/>
          <w:numId w:val="0"/>
        </w:numPr>
        <w:spacing w:line="320" w:lineRule="atLeast"/>
        <w:contextualSpacing/>
        <w:rPr>
          <w:rFonts w:ascii="Garamond" w:hAnsi="Garamond"/>
          <w:sz w:val="24"/>
          <w:szCs w:val="24"/>
          <w:lang w:val="pt-BR"/>
        </w:rPr>
      </w:pPr>
    </w:p>
    <w:p w:rsidR="00DE19C8" w:rsidRDefault="00626B63">
      <w:pPr>
        <w:keepNext/>
        <w:suppressAutoHyphens/>
        <w:spacing w:line="318" w:lineRule="exact"/>
        <w:contextualSpacing/>
        <w:rPr>
          <w:rFonts w:ascii="Verdana" w:hAnsi="Verdana" w:cs="Tahoma"/>
          <w:sz w:val="20"/>
        </w:rPr>
      </w:pPr>
      <w:r>
        <w:rPr>
          <w:rFonts w:ascii="Verdana" w:hAnsi="Verdana" w:cs="Tahoma"/>
          <w:sz w:val="20"/>
        </w:rPr>
        <w:t>4.12.2.</w:t>
      </w:r>
      <w:r>
        <w:rPr>
          <w:rFonts w:ascii="Verdana" w:hAnsi="Verdana" w:cs="Tahoma"/>
          <w:sz w:val="20"/>
        </w:rPr>
        <w:tab/>
        <w:t>A Emissora realizará o Resgate Antecipado Facultativo por meio de envio ou publicação de comunicado aos Debenturistas (“</w:t>
      </w:r>
      <w:r>
        <w:rPr>
          <w:rFonts w:ascii="Verdana" w:hAnsi="Verdana" w:cs="Tahoma"/>
          <w:sz w:val="20"/>
          <w:u w:val="single"/>
        </w:rPr>
        <w:t>Comunicação de Resgate Antecipado Facu</w:t>
      </w:r>
      <w:r>
        <w:rPr>
          <w:rFonts w:ascii="Verdana" w:hAnsi="Verdana" w:cs="Tahoma"/>
          <w:sz w:val="20"/>
          <w:u w:val="single"/>
        </w:rPr>
        <w:t>ltativo</w:t>
      </w:r>
      <w:r>
        <w:rPr>
          <w:rFonts w:ascii="Verdana" w:hAnsi="Verdana" w:cs="Tahoma"/>
          <w:sz w:val="20"/>
        </w:rPr>
        <w:t>”), o qual deverá conter: (a) a data efetiva para o resgate antecipado e o pagamento das Debêntures, que deverá ocorrer no prazo de, no mínimo, 10 (dez) Dias Úteis contados da data da Comunicação de Resgate Antecipado Facultativo; e (b) demais infor</w:t>
      </w:r>
      <w:r>
        <w:rPr>
          <w:rFonts w:ascii="Verdana" w:hAnsi="Verdana" w:cs="Tahoma"/>
          <w:sz w:val="20"/>
        </w:rPr>
        <w:t>mações necessárias para a operacionalização do resgate das Debentures no âmbito do Resgate Antecipado Facultativo, bem como de quaisquer valores eventualmente devidos pela Emissora, incluindo despesas, nos termos desta Escritura de Emissão.</w:t>
      </w:r>
    </w:p>
    <w:p w:rsidR="00DE19C8" w:rsidRDefault="00DE19C8">
      <w:pPr>
        <w:pStyle w:val="Nvel111"/>
        <w:numPr>
          <w:ilvl w:val="0"/>
          <w:numId w:val="0"/>
        </w:numPr>
        <w:spacing w:line="320" w:lineRule="atLeast"/>
        <w:contextualSpacing/>
        <w:rPr>
          <w:rFonts w:ascii="Garamond" w:hAnsi="Garamond"/>
          <w:sz w:val="24"/>
          <w:szCs w:val="24"/>
          <w:lang w:val="pt-BR"/>
        </w:rPr>
      </w:pPr>
    </w:p>
    <w:p w:rsidR="00DE19C8" w:rsidRDefault="00626B63">
      <w:pPr>
        <w:keepNext/>
        <w:suppressAutoHyphens/>
        <w:spacing w:line="318" w:lineRule="exact"/>
        <w:contextualSpacing/>
        <w:rPr>
          <w:rFonts w:ascii="Verdana" w:hAnsi="Verdana" w:cs="Tahoma"/>
          <w:sz w:val="20"/>
        </w:rPr>
      </w:pPr>
      <w:r>
        <w:rPr>
          <w:rFonts w:ascii="Verdana" w:hAnsi="Verdana" w:cs="Tahoma"/>
          <w:sz w:val="20"/>
        </w:rPr>
        <w:t>4.12.3.</w:t>
      </w:r>
      <w:r>
        <w:rPr>
          <w:rFonts w:ascii="Verdana" w:hAnsi="Verdana" w:cs="Tahoma"/>
          <w:sz w:val="20"/>
        </w:rPr>
        <w:tab/>
        <w:t xml:space="preserve">A </w:t>
      </w:r>
      <w:r>
        <w:rPr>
          <w:rFonts w:ascii="Verdana" w:hAnsi="Verdana" w:cs="Tahoma"/>
          <w:sz w:val="20"/>
        </w:rPr>
        <w:t xml:space="preserve">liquidação financeira das Debêntures resgatadas será feita por meio dos procedimentos adotados pela B3 – Segmento </w:t>
      </w:r>
      <w:proofErr w:type="spellStart"/>
      <w:r>
        <w:rPr>
          <w:rFonts w:ascii="Verdana" w:hAnsi="Verdana" w:cs="Tahoma"/>
          <w:sz w:val="20"/>
        </w:rPr>
        <w:t>Cetip</w:t>
      </w:r>
      <w:proofErr w:type="spellEnd"/>
      <w:r>
        <w:rPr>
          <w:rFonts w:ascii="Verdana" w:hAnsi="Verdana" w:cs="Tahoma"/>
          <w:sz w:val="20"/>
        </w:rPr>
        <w:t xml:space="preserve"> UTVM, para as Debêntures que estiverem custodiadas eletronicamente na B3 – Segmento </w:t>
      </w:r>
      <w:proofErr w:type="spellStart"/>
      <w:r>
        <w:rPr>
          <w:rFonts w:ascii="Verdana" w:hAnsi="Verdana" w:cs="Tahoma"/>
          <w:sz w:val="20"/>
        </w:rPr>
        <w:t>Cetip</w:t>
      </w:r>
      <w:proofErr w:type="spellEnd"/>
      <w:r>
        <w:rPr>
          <w:rFonts w:ascii="Verdana" w:hAnsi="Verdana" w:cs="Tahoma"/>
          <w:sz w:val="20"/>
        </w:rPr>
        <w:t xml:space="preserve"> UTVM. No caso das Debêntures que não estejam c</w:t>
      </w:r>
      <w:r>
        <w:rPr>
          <w:rFonts w:ascii="Verdana" w:hAnsi="Verdana" w:cs="Tahoma"/>
          <w:sz w:val="20"/>
        </w:rPr>
        <w:t xml:space="preserve">ustodiadas eletronicamente na B3 – Segmento </w:t>
      </w:r>
      <w:proofErr w:type="spellStart"/>
      <w:r>
        <w:rPr>
          <w:rFonts w:ascii="Verdana" w:hAnsi="Verdana" w:cs="Tahoma"/>
          <w:sz w:val="20"/>
        </w:rPr>
        <w:t>Cetip</w:t>
      </w:r>
      <w:proofErr w:type="spellEnd"/>
      <w:r>
        <w:rPr>
          <w:rFonts w:ascii="Verdana" w:hAnsi="Verdana" w:cs="Tahoma"/>
          <w:sz w:val="20"/>
        </w:rPr>
        <w:t xml:space="preserve"> UTVM, o pagamento das Debêntures resgatadas antecipadamente será realizado pelo </w:t>
      </w:r>
      <w:proofErr w:type="spellStart"/>
      <w:r>
        <w:rPr>
          <w:rFonts w:ascii="Verdana" w:hAnsi="Verdana" w:cs="Tahoma"/>
          <w:sz w:val="20"/>
        </w:rPr>
        <w:t>Escriturador</w:t>
      </w:r>
      <w:proofErr w:type="spellEnd"/>
      <w:r>
        <w:rPr>
          <w:rFonts w:ascii="Verdana" w:hAnsi="Verdana" w:cs="Tahoma"/>
          <w:sz w:val="20"/>
        </w:rPr>
        <w:t>, mediante depósito em contas correntes a serem indicadas pelos Debenturistas.</w:t>
      </w:r>
    </w:p>
    <w:p w:rsidR="00DE19C8" w:rsidRDefault="00DE19C8">
      <w:pPr>
        <w:tabs>
          <w:tab w:val="left" w:pos="709"/>
        </w:tabs>
        <w:spacing w:line="320" w:lineRule="atLeast"/>
        <w:contextualSpacing/>
        <w:rPr>
          <w:rFonts w:ascii="Garamond" w:hAnsi="Garamond"/>
        </w:rPr>
      </w:pPr>
    </w:p>
    <w:p w:rsidR="00DE19C8" w:rsidRDefault="00626B63">
      <w:pPr>
        <w:keepNext/>
        <w:suppressAutoHyphens/>
        <w:spacing w:line="318" w:lineRule="exact"/>
        <w:contextualSpacing/>
        <w:rPr>
          <w:rFonts w:ascii="Verdana" w:hAnsi="Verdana" w:cs="Tahoma"/>
          <w:sz w:val="20"/>
        </w:rPr>
      </w:pPr>
      <w:r>
        <w:rPr>
          <w:rFonts w:ascii="Verdana" w:hAnsi="Verdana" w:cs="Tahoma"/>
          <w:sz w:val="20"/>
        </w:rPr>
        <w:lastRenderedPageBreak/>
        <w:t>4.12.4.</w:t>
      </w:r>
      <w:r>
        <w:rPr>
          <w:rFonts w:ascii="Verdana" w:hAnsi="Verdana" w:cs="Tahoma"/>
          <w:sz w:val="20"/>
        </w:rPr>
        <w:tab/>
        <w:t>Uma vez exercida pela Emis</w:t>
      </w:r>
      <w:r>
        <w:rPr>
          <w:rFonts w:ascii="Verdana" w:hAnsi="Verdana" w:cs="Tahoma"/>
          <w:sz w:val="20"/>
        </w:rPr>
        <w:t xml:space="preserve">sora a opção do Resgate Antecipado Facultativo, tornar-se-á obrigatório para os todos os Debenturistas de uma determinada série ou de ambas as séries, conforme aplicável. </w:t>
      </w:r>
    </w:p>
    <w:p w:rsidR="00DE19C8" w:rsidRDefault="00DE19C8">
      <w:pPr>
        <w:pStyle w:val="PargrafodaLista"/>
        <w:rPr>
          <w:rFonts w:ascii="Garamond" w:hAnsi="Garamond"/>
        </w:rPr>
      </w:pPr>
    </w:p>
    <w:p w:rsidR="00DE19C8" w:rsidRDefault="00626B63">
      <w:pPr>
        <w:keepNext/>
        <w:suppressAutoHyphens/>
        <w:spacing w:line="318" w:lineRule="exact"/>
        <w:contextualSpacing/>
        <w:rPr>
          <w:rFonts w:ascii="Verdana" w:hAnsi="Verdana" w:cs="Tahoma"/>
          <w:sz w:val="20"/>
        </w:rPr>
      </w:pPr>
      <w:r>
        <w:rPr>
          <w:rFonts w:ascii="Verdana" w:hAnsi="Verdana" w:cs="Tahoma"/>
          <w:sz w:val="20"/>
        </w:rPr>
        <w:t>4.12.5.</w:t>
      </w:r>
      <w:r>
        <w:rPr>
          <w:rFonts w:ascii="Verdana" w:hAnsi="Verdana" w:cs="Tahoma"/>
          <w:sz w:val="20"/>
        </w:rPr>
        <w:tab/>
        <w:t xml:space="preserve">Caso ocorra o Resgate Antecipado Facultativo das Debêntures, a B3 </w:t>
      </w:r>
      <w:r>
        <w:rPr>
          <w:rFonts w:ascii="Verdana" w:hAnsi="Verdana"/>
          <w:sz w:val="20"/>
        </w:rPr>
        <w:t>– Segment</w:t>
      </w:r>
      <w:r>
        <w:rPr>
          <w:rFonts w:ascii="Verdana" w:hAnsi="Verdana"/>
          <w:sz w:val="20"/>
        </w:rPr>
        <w:t xml:space="preserve">o </w:t>
      </w:r>
      <w:proofErr w:type="spellStart"/>
      <w:r>
        <w:rPr>
          <w:rFonts w:ascii="Verdana" w:hAnsi="Verdana"/>
          <w:sz w:val="20"/>
        </w:rPr>
        <w:t>Cetip</w:t>
      </w:r>
      <w:proofErr w:type="spellEnd"/>
      <w:r>
        <w:rPr>
          <w:rFonts w:ascii="Verdana" w:hAnsi="Verdana"/>
          <w:sz w:val="20"/>
        </w:rPr>
        <w:t xml:space="preserve"> UTVM</w:t>
      </w:r>
      <w:r>
        <w:rPr>
          <w:rFonts w:ascii="Verdana" w:hAnsi="Verdana" w:cs="Tahoma"/>
          <w:sz w:val="20"/>
        </w:rPr>
        <w:t xml:space="preserve"> deverá ser comunicada com, no mínimo, 3 (três) Dias Úteis de antecedência da data do Resgate Antecipado Facultativo.</w:t>
      </w:r>
    </w:p>
    <w:p w:rsidR="00DE19C8" w:rsidRDefault="00DE19C8">
      <w:pPr>
        <w:keepNext/>
        <w:suppressAutoHyphens/>
        <w:spacing w:line="318" w:lineRule="exact"/>
        <w:contextualSpacing/>
        <w:rPr>
          <w:rFonts w:ascii="Verdana" w:hAnsi="Verdana" w:cs="Tahoma"/>
          <w:sz w:val="20"/>
        </w:rPr>
      </w:pPr>
    </w:p>
    <w:p w:rsidR="00DE19C8" w:rsidRDefault="00626B63">
      <w:pPr>
        <w:keepNext/>
        <w:suppressAutoHyphens/>
        <w:spacing w:line="318" w:lineRule="exact"/>
        <w:contextualSpacing/>
        <w:rPr>
          <w:rFonts w:ascii="Verdana" w:hAnsi="Verdana" w:cs="Tahoma"/>
          <w:sz w:val="20"/>
        </w:rPr>
      </w:pPr>
      <w:r>
        <w:rPr>
          <w:rFonts w:ascii="Verdana" w:hAnsi="Verdana" w:cs="Tahoma"/>
          <w:sz w:val="20"/>
        </w:rPr>
        <w:t>4.12.6.</w:t>
      </w:r>
      <w:r>
        <w:rPr>
          <w:rFonts w:ascii="Verdana" w:hAnsi="Verdana" w:cs="Tahoma"/>
          <w:sz w:val="20"/>
        </w:rPr>
        <w:tab/>
        <w:t>O Resgate Antecipado Facultativo parcial deverá ser realizado mediante sorteio, sendo certo que tal procedimento, tai</w:t>
      </w:r>
      <w:r>
        <w:rPr>
          <w:rFonts w:ascii="Verdana" w:hAnsi="Verdana" w:cs="Tahoma"/>
          <w:sz w:val="20"/>
        </w:rPr>
        <w:t>s como habilitação dos Debenturistas, qualificação e validação da quantidade de Debêntures a serem resgatadas,</w:t>
      </w:r>
      <w:r>
        <w:rPr>
          <w:rFonts w:ascii="Tahoma" w:hAnsi="Tahoma" w:cs="Tahoma"/>
          <w:sz w:val="22"/>
          <w:szCs w:val="22"/>
        </w:rPr>
        <w:t xml:space="preserve"> </w:t>
      </w:r>
      <w:r>
        <w:rPr>
          <w:rFonts w:ascii="Verdana" w:hAnsi="Verdana" w:cs="Tahoma"/>
          <w:sz w:val="20"/>
        </w:rPr>
        <w:t xml:space="preserve">ocorrerão fora do ambiente B3 </w:t>
      </w:r>
      <w:r>
        <w:rPr>
          <w:rFonts w:ascii="Verdana" w:hAnsi="Verdana"/>
          <w:sz w:val="20"/>
        </w:rPr>
        <w:t xml:space="preserve">– Segmento </w:t>
      </w:r>
      <w:proofErr w:type="spellStart"/>
      <w:r>
        <w:rPr>
          <w:rFonts w:ascii="Verdana" w:hAnsi="Verdana"/>
          <w:sz w:val="20"/>
        </w:rPr>
        <w:t>Cetip</w:t>
      </w:r>
      <w:proofErr w:type="spellEnd"/>
      <w:r>
        <w:rPr>
          <w:rFonts w:ascii="Verdana" w:hAnsi="Verdana"/>
          <w:sz w:val="20"/>
        </w:rPr>
        <w:t xml:space="preserve"> UTVM</w:t>
      </w:r>
      <w:r>
        <w:rPr>
          <w:rFonts w:ascii="Verdana" w:hAnsi="Verdana" w:cs="Tahoma"/>
          <w:sz w:val="20"/>
        </w:rPr>
        <w:t>.</w:t>
      </w:r>
    </w:p>
    <w:p w:rsidR="00DE19C8" w:rsidRDefault="00DE19C8">
      <w:pPr>
        <w:keepNext/>
        <w:suppressAutoHyphens/>
        <w:spacing w:line="318" w:lineRule="exact"/>
        <w:contextualSpacing/>
        <w:rPr>
          <w:rFonts w:ascii="Verdana" w:hAnsi="Verdana" w:cs="Tahoma"/>
          <w:sz w:val="20"/>
        </w:rPr>
      </w:pPr>
    </w:p>
    <w:p w:rsidR="00DE19C8" w:rsidRDefault="00626B63">
      <w:pPr>
        <w:keepNext/>
        <w:suppressAutoHyphens/>
        <w:spacing w:line="318" w:lineRule="exact"/>
        <w:contextualSpacing/>
        <w:rPr>
          <w:rFonts w:ascii="Verdana" w:hAnsi="Verdana" w:cs="Tahoma"/>
          <w:bCs/>
          <w:sz w:val="20"/>
        </w:rPr>
      </w:pPr>
      <w:r>
        <w:rPr>
          <w:rFonts w:ascii="Verdana" w:hAnsi="Verdana" w:cs="Tahoma"/>
          <w:sz w:val="20"/>
        </w:rPr>
        <w:t>4.12.7.</w:t>
      </w:r>
      <w:r>
        <w:rPr>
          <w:rFonts w:ascii="Verdana" w:hAnsi="Verdana" w:cs="Tahoma"/>
          <w:sz w:val="20"/>
        </w:rPr>
        <w:tab/>
      </w:r>
      <w:r>
        <w:rPr>
          <w:rFonts w:ascii="Verdana" w:hAnsi="Verdana" w:cs="Tahoma"/>
          <w:b/>
          <w:sz w:val="20"/>
        </w:rPr>
        <w:t>Amortização Extraordinária Facultativa:</w:t>
      </w:r>
      <w:r>
        <w:rPr>
          <w:rFonts w:ascii="Verdana" w:hAnsi="Verdana" w:cs="Tahoma"/>
          <w:sz w:val="20"/>
        </w:rPr>
        <w:t xml:space="preserve"> </w:t>
      </w:r>
      <w:r>
        <w:rPr>
          <w:rFonts w:ascii="Verdana" w:hAnsi="Verdana" w:cs="Tahoma"/>
          <w:bCs/>
          <w:sz w:val="20"/>
        </w:rPr>
        <w:t>A Emissora poderá, a seu exclusivo critério</w:t>
      </w:r>
      <w:r>
        <w:rPr>
          <w:rFonts w:ascii="Verdana" w:hAnsi="Verdana" w:cs="Tahoma"/>
          <w:bCs/>
          <w:sz w:val="20"/>
        </w:rPr>
        <w:t xml:space="preserve">, </w:t>
      </w:r>
      <w:r>
        <w:rPr>
          <w:rFonts w:ascii="Verdana" w:hAnsi="Verdana" w:cs="Tahoma"/>
          <w:sz w:val="20"/>
        </w:rPr>
        <w:t>após 18 (dezoito) meses contados da Data de Emissão, ou seja, a partir de 15 de novembro de 2020 (inclusive) no caso das Debêntures da Primeira Série, e após 30 (trinta) meses contados da Data de Emissão, ou seja, a partir de 15 de novembro de 2021 (incl</w:t>
      </w:r>
      <w:r>
        <w:rPr>
          <w:rFonts w:ascii="Verdana" w:hAnsi="Verdana" w:cs="Tahoma"/>
          <w:sz w:val="20"/>
        </w:rPr>
        <w:t>usive) no caso das Debêntures da Segunda Série</w:t>
      </w:r>
      <w:r>
        <w:rPr>
          <w:rFonts w:ascii="Verdana" w:hAnsi="Verdana" w:cs="Tahoma"/>
          <w:bCs/>
          <w:sz w:val="20"/>
        </w:rPr>
        <w:t>, realizar a amortização extraordinária das Debêntures limitada a até 98% (noventa e oito por cento) do Valor Nominal Unitário das Debêntures ou do saldo do Valor Nominal Unitário das Debêntures, conforme aplic</w:t>
      </w:r>
      <w:r>
        <w:rPr>
          <w:rFonts w:ascii="Verdana" w:hAnsi="Verdana" w:cs="Tahoma"/>
          <w:bCs/>
          <w:sz w:val="20"/>
        </w:rPr>
        <w:t>ável, que deverá abranger, proporcionalmente, todas as Debêntures (“</w:t>
      </w:r>
      <w:r>
        <w:rPr>
          <w:rFonts w:ascii="Verdana" w:hAnsi="Verdana" w:cs="Tahoma"/>
          <w:bCs/>
          <w:sz w:val="20"/>
          <w:u w:val="single"/>
        </w:rPr>
        <w:t>Amortização Extraordinária Facultativa</w:t>
      </w:r>
      <w:r>
        <w:rPr>
          <w:rFonts w:ascii="Verdana" w:hAnsi="Verdana" w:cs="Tahoma"/>
          <w:bCs/>
          <w:sz w:val="20"/>
        </w:rPr>
        <w:t>”), mediante publicação de aviso aos Debenturistas nos termos da Cláusula 4.18 abaixo ou envio de comunicação direta aos Debenturistas, com cópia para</w:t>
      </w:r>
      <w:r>
        <w:rPr>
          <w:rFonts w:ascii="Verdana" w:hAnsi="Verdana" w:cs="Tahoma"/>
          <w:bCs/>
          <w:sz w:val="20"/>
        </w:rPr>
        <w:t xml:space="preserve"> o Agente Fiduciário, </w:t>
      </w:r>
      <w:r>
        <w:rPr>
          <w:rFonts w:ascii="Verdana" w:hAnsi="Verdana" w:cs="Tahoma"/>
          <w:sz w:val="20"/>
        </w:rPr>
        <w:t>Banco Liquidante</w:t>
      </w:r>
      <w:r>
        <w:rPr>
          <w:rFonts w:ascii="Verdana" w:hAnsi="Verdana" w:cs="Tahoma"/>
          <w:bCs/>
          <w:sz w:val="20"/>
        </w:rPr>
        <w:t xml:space="preserve">, </w:t>
      </w:r>
      <w:proofErr w:type="spellStart"/>
      <w:r>
        <w:rPr>
          <w:rFonts w:ascii="Verdana" w:hAnsi="Verdana" w:cs="Tahoma"/>
          <w:bCs/>
          <w:sz w:val="20"/>
        </w:rPr>
        <w:t>Escriturador</w:t>
      </w:r>
      <w:proofErr w:type="spellEnd"/>
      <w:r>
        <w:rPr>
          <w:rFonts w:ascii="Verdana" w:hAnsi="Verdana" w:cs="Tahoma"/>
          <w:bCs/>
          <w:sz w:val="20"/>
        </w:rPr>
        <w:t xml:space="preserve"> e B3</w:t>
      </w:r>
      <w:r>
        <w:rPr>
          <w:rFonts w:ascii="Verdana" w:hAnsi="Verdana" w:cs="Tahoma"/>
          <w:sz w:val="20"/>
        </w:rPr>
        <w:t xml:space="preserve"> </w:t>
      </w:r>
      <w:r>
        <w:rPr>
          <w:rFonts w:ascii="Verdana" w:hAnsi="Verdana"/>
          <w:sz w:val="20"/>
        </w:rPr>
        <w:t xml:space="preserve">– Segmento </w:t>
      </w:r>
      <w:proofErr w:type="spellStart"/>
      <w:r>
        <w:rPr>
          <w:rFonts w:ascii="Verdana" w:hAnsi="Verdana"/>
          <w:sz w:val="20"/>
        </w:rPr>
        <w:t>Cetip</w:t>
      </w:r>
      <w:proofErr w:type="spellEnd"/>
      <w:r>
        <w:rPr>
          <w:rFonts w:ascii="Verdana" w:hAnsi="Verdana"/>
          <w:sz w:val="20"/>
        </w:rPr>
        <w:t xml:space="preserve"> UTVM</w:t>
      </w:r>
      <w:r>
        <w:rPr>
          <w:rFonts w:ascii="Verdana" w:hAnsi="Verdana" w:cs="Tahoma"/>
          <w:bCs/>
          <w:sz w:val="20"/>
        </w:rPr>
        <w:t xml:space="preserve"> , com antecedência mínima de 3 (três) Dias Úteis do pagamento da Amortização Extraordinária Facultativa de uma determinada série ou de ambas as séries, a critério da Emissora (</w:t>
      </w:r>
      <w:r>
        <w:rPr>
          <w:rFonts w:ascii="Verdana" w:hAnsi="Verdana" w:cs="Tahoma"/>
          <w:bCs/>
          <w:sz w:val="20"/>
        </w:rPr>
        <w:t>“</w:t>
      </w:r>
      <w:r>
        <w:rPr>
          <w:rFonts w:ascii="Verdana" w:hAnsi="Verdana" w:cs="Tahoma"/>
          <w:bCs/>
          <w:sz w:val="20"/>
          <w:u w:val="single"/>
        </w:rPr>
        <w:t>Comunicação da Amortização Extraordinária Facultativa</w:t>
      </w:r>
      <w:r>
        <w:rPr>
          <w:rFonts w:ascii="Verdana" w:hAnsi="Verdana" w:cs="Tahoma"/>
          <w:bCs/>
          <w:sz w:val="20"/>
        </w:rPr>
        <w:t>”).</w:t>
      </w:r>
    </w:p>
    <w:p w:rsidR="00DE19C8" w:rsidRDefault="00DE19C8">
      <w:pPr>
        <w:keepNext/>
        <w:suppressAutoHyphens/>
        <w:spacing w:line="318" w:lineRule="exact"/>
        <w:contextualSpacing/>
        <w:rPr>
          <w:rFonts w:ascii="Verdana" w:hAnsi="Verdana" w:cs="Tahoma"/>
          <w:bCs/>
          <w:sz w:val="20"/>
        </w:rPr>
      </w:pPr>
    </w:p>
    <w:p w:rsidR="00DE19C8" w:rsidRDefault="00626B63">
      <w:pPr>
        <w:keepNext/>
        <w:suppressAutoHyphens/>
        <w:spacing w:line="318" w:lineRule="exact"/>
        <w:contextualSpacing/>
        <w:rPr>
          <w:rFonts w:ascii="Verdana" w:hAnsi="Verdana" w:cs="Tahoma"/>
          <w:bCs/>
          <w:sz w:val="20"/>
        </w:rPr>
      </w:pPr>
      <w:r>
        <w:rPr>
          <w:rFonts w:ascii="Verdana" w:hAnsi="Verdana" w:cs="Tahoma"/>
          <w:bCs/>
          <w:sz w:val="20"/>
        </w:rPr>
        <w:t xml:space="preserve">4.12.7.1. Na Comunicação de Amortização Extraordinária Facultativa deverá constar </w:t>
      </w:r>
      <w:r>
        <w:rPr>
          <w:rFonts w:ascii="Verdana" w:hAnsi="Verdana" w:cs="Tahoma"/>
          <w:b/>
          <w:bCs/>
          <w:sz w:val="20"/>
        </w:rPr>
        <w:t>(i)</w:t>
      </w:r>
      <w:r>
        <w:rPr>
          <w:rFonts w:ascii="Verdana" w:hAnsi="Verdana" w:cs="Tahoma"/>
          <w:bCs/>
          <w:sz w:val="20"/>
        </w:rPr>
        <w:t xml:space="preserve"> a data e o procedimento de Amortização Extraordinária Facultativa, observada a legislação pertinente, bem como </w:t>
      </w:r>
      <w:r>
        <w:rPr>
          <w:rFonts w:ascii="Verdana" w:hAnsi="Verdana" w:cs="Tahoma"/>
          <w:bCs/>
          <w:sz w:val="20"/>
        </w:rPr>
        <w:t xml:space="preserve">os termos e condições estabelecidos nesta Escritura de Emissão; </w:t>
      </w:r>
      <w:r>
        <w:rPr>
          <w:rFonts w:ascii="Verdana" w:hAnsi="Verdana" w:cs="Tahoma"/>
          <w:b/>
          <w:bCs/>
          <w:sz w:val="20"/>
        </w:rPr>
        <w:t>(</w:t>
      </w:r>
      <w:proofErr w:type="spellStart"/>
      <w:r>
        <w:rPr>
          <w:rFonts w:ascii="Verdana" w:hAnsi="Verdana" w:cs="Tahoma"/>
          <w:b/>
          <w:bCs/>
          <w:sz w:val="20"/>
        </w:rPr>
        <w:t>ii</w:t>
      </w:r>
      <w:proofErr w:type="spellEnd"/>
      <w:r>
        <w:rPr>
          <w:rFonts w:ascii="Verdana" w:hAnsi="Verdana" w:cs="Tahoma"/>
          <w:b/>
          <w:bCs/>
          <w:sz w:val="20"/>
        </w:rPr>
        <w:t>)</w:t>
      </w:r>
      <w:r>
        <w:rPr>
          <w:rFonts w:ascii="Verdana" w:hAnsi="Verdana" w:cs="Tahoma"/>
          <w:bCs/>
          <w:sz w:val="20"/>
        </w:rPr>
        <w:t xml:space="preserve"> o valor do pagamento de juros e amortização devido aos Debenturistas, acrescido do valor do Prêmio de Amortização Extraordinária Facultativa (conforme abaixo definido), que deverá ser </w:t>
      </w:r>
      <w:r>
        <w:rPr>
          <w:rFonts w:ascii="Verdana" w:hAnsi="Verdana" w:cs="Tahoma"/>
          <w:bCs/>
          <w:i/>
          <w:sz w:val="20"/>
        </w:rPr>
        <w:t>fla</w:t>
      </w:r>
      <w:r>
        <w:rPr>
          <w:rFonts w:ascii="Verdana" w:hAnsi="Verdana" w:cs="Tahoma"/>
          <w:bCs/>
          <w:i/>
          <w:sz w:val="20"/>
        </w:rPr>
        <w:t>t</w:t>
      </w:r>
      <w:r>
        <w:rPr>
          <w:rFonts w:ascii="Verdana" w:hAnsi="Verdana" w:cs="Tahoma"/>
          <w:bCs/>
          <w:sz w:val="20"/>
        </w:rPr>
        <w:t xml:space="preserve">; e </w:t>
      </w:r>
      <w:r>
        <w:rPr>
          <w:rFonts w:ascii="Verdana" w:hAnsi="Verdana" w:cs="Tahoma"/>
          <w:b/>
          <w:bCs/>
          <w:sz w:val="20"/>
        </w:rPr>
        <w:t>(</w:t>
      </w:r>
      <w:proofErr w:type="spellStart"/>
      <w:r>
        <w:rPr>
          <w:rFonts w:ascii="Verdana" w:hAnsi="Verdana" w:cs="Tahoma"/>
          <w:b/>
          <w:bCs/>
          <w:sz w:val="20"/>
        </w:rPr>
        <w:t>iii</w:t>
      </w:r>
      <w:proofErr w:type="spellEnd"/>
      <w:r>
        <w:rPr>
          <w:rFonts w:ascii="Verdana" w:hAnsi="Verdana" w:cs="Tahoma"/>
          <w:b/>
          <w:bCs/>
          <w:sz w:val="20"/>
        </w:rPr>
        <w:t>)</w:t>
      </w:r>
      <w:r>
        <w:rPr>
          <w:rFonts w:ascii="Verdana" w:hAnsi="Verdana" w:cs="Tahoma"/>
          <w:bCs/>
          <w:sz w:val="20"/>
        </w:rPr>
        <w:t xml:space="preserve"> as demais informações consideradas relevantes pela Emissora para conhecimento </w:t>
      </w:r>
      <w:r>
        <w:rPr>
          <w:rFonts w:ascii="Verdana" w:hAnsi="Verdana" w:cs="Tahoma"/>
          <w:bCs/>
          <w:sz w:val="20"/>
        </w:rPr>
        <w:lastRenderedPageBreak/>
        <w:t>dos Debenturistas, incluindo, mas não se limitando, aquelas que se fizerem necessárias à operacionalização da Amortização Extraordinária Facultativa.</w:t>
      </w:r>
    </w:p>
    <w:p w:rsidR="00DE19C8" w:rsidRDefault="00DE19C8">
      <w:pPr>
        <w:keepNext/>
        <w:suppressAutoHyphens/>
        <w:spacing w:line="318" w:lineRule="exact"/>
        <w:contextualSpacing/>
        <w:rPr>
          <w:rFonts w:ascii="Verdana" w:hAnsi="Verdana" w:cs="Tahoma"/>
          <w:bCs/>
          <w:sz w:val="20"/>
        </w:rPr>
      </w:pPr>
    </w:p>
    <w:p w:rsidR="00DE19C8" w:rsidRDefault="00626B63">
      <w:pPr>
        <w:keepNext/>
        <w:suppressAutoHyphens/>
        <w:spacing w:line="318" w:lineRule="exact"/>
        <w:contextualSpacing/>
        <w:rPr>
          <w:rFonts w:ascii="Verdana" w:hAnsi="Verdana" w:cs="Tahoma"/>
          <w:bCs/>
          <w:sz w:val="20"/>
        </w:rPr>
      </w:pPr>
      <w:r>
        <w:rPr>
          <w:rFonts w:ascii="Verdana" w:hAnsi="Verdana" w:cs="Tahoma"/>
          <w:bCs/>
          <w:sz w:val="20"/>
        </w:rPr>
        <w:t>4.12.7.2. A Amor</w:t>
      </w:r>
      <w:r>
        <w:rPr>
          <w:rFonts w:ascii="Verdana" w:hAnsi="Verdana" w:cs="Tahoma"/>
          <w:bCs/>
          <w:sz w:val="20"/>
        </w:rPr>
        <w:t>tização Extraordinária Facultativa deverá, obrigatoriamente, ser realizada em Dia Útil.</w:t>
      </w:r>
    </w:p>
    <w:p w:rsidR="00DE19C8" w:rsidRDefault="00DE19C8">
      <w:pPr>
        <w:keepNext/>
        <w:suppressAutoHyphens/>
        <w:spacing w:line="318" w:lineRule="exact"/>
        <w:contextualSpacing/>
        <w:rPr>
          <w:rFonts w:ascii="Verdana" w:hAnsi="Verdana" w:cs="Tahoma"/>
          <w:bCs/>
          <w:sz w:val="20"/>
        </w:rPr>
      </w:pPr>
    </w:p>
    <w:p w:rsidR="00DE19C8" w:rsidRDefault="00626B63">
      <w:pPr>
        <w:keepNext/>
        <w:suppressAutoHyphens/>
        <w:spacing w:line="318" w:lineRule="exact"/>
        <w:contextualSpacing/>
        <w:rPr>
          <w:rFonts w:ascii="Verdana" w:hAnsi="Verdana" w:cs="Tahoma"/>
          <w:bCs/>
          <w:sz w:val="20"/>
        </w:rPr>
      </w:pPr>
      <w:r>
        <w:rPr>
          <w:rFonts w:ascii="Verdana" w:hAnsi="Verdana" w:cs="Tahoma"/>
          <w:bCs/>
          <w:sz w:val="20"/>
        </w:rPr>
        <w:t>4.12.7.3. A Amortização Extraordinária Facultativa será feita mediante pagamento de parte do Valor Nominal Unitário, acrescido (i) dos Juros Remuneratórios, calculados</w:t>
      </w:r>
      <w:r>
        <w:rPr>
          <w:rFonts w:ascii="Verdana" w:hAnsi="Verdana" w:cs="Tahoma"/>
          <w:bCs/>
          <w:sz w:val="20"/>
        </w:rPr>
        <w:t xml:space="preserve"> </w:t>
      </w:r>
      <w:r>
        <w:rPr>
          <w:rFonts w:ascii="Verdana" w:hAnsi="Verdana" w:cs="Tahoma"/>
          <w:bCs/>
          <w:i/>
          <w:sz w:val="20"/>
        </w:rPr>
        <w:t xml:space="preserve">pro rata </w:t>
      </w:r>
      <w:proofErr w:type="spellStart"/>
      <w:r>
        <w:rPr>
          <w:rFonts w:ascii="Verdana" w:hAnsi="Verdana" w:cs="Tahoma"/>
          <w:bCs/>
          <w:i/>
          <w:sz w:val="20"/>
        </w:rPr>
        <w:t>temporis</w:t>
      </w:r>
      <w:proofErr w:type="spellEnd"/>
      <w:r>
        <w:rPr>
          <w:rFonts w:ascii="Verdana" w:hAnsi="Verdana" w:cs="Tahoma"/>
          <w:bCs/>
          <w:sz w:val="20"/>
        </w:rPr>
        <w:t>, nos termos da Cláusula 4.9 acima e demais encargos devidos e não pagos até a data da efetiva Amortização Extraordinária Facultativa, e (</w:t>
      </w:r>
      <w:proofErr w:type="spellStart"/>
      <w:r>
        <w:rPr>
          <w:rFonts w:ascii="Verdana" w:hAnsi="Verdana" w:cs="Tahoma"/>
          <w:bCs/>
          <w:sz w:val="20"/>
        </w:rPr>
        <w:t>ii</w:t>
      </w:r>
      <w:proofErr w:type="spellEnd"/>
      <w:r>
        <w:rPr>
          <w:rFonts w:ascii="Verdana" w:hAnsi="Verdana" w:cs="Tahoma"/>
          <w:bCs/>
          <w:sz w:val="20"/>
        </w:rPr>
        <w:t xml:space="preserve">) </w:t>
      </w:r>
      <w:r>
        <w:rPr>
          <w:rFonts w:ascii="Verdana" w:hAnsi="Verdana" w:cs="Tahoma"/>
          <w:sz w:val="20"/>
        </w:rPr>
        <w:t>prêmio indicado na tabela abaixo</w:t>
      </w:r>
      <w:r>
        <w:rPr>
          <w:rFonts w:ascii="Verdana" w:hAnsi="Verdana" w:cs="Tahoma"/>
          <w:bCs/>
          <w:sz w:val="20"/>
        </w:rPr>
        <w:t xml:space="preserve"> (“</w:t>
      </w:r>
      <w:r>
        <w:rPr>
          <w:rFonts w:ascii="Verdana" w:hAnsi="Verdana" w:cs="Tahoma"/>
          <w:bCs/>
          <w:sz w:val="20"/>
          <w:u w:val="single"/>
        </w:rPr>
        <w:t>Prêmio de Amortização Extraordinária Facultativa</w:t>
      </w:r>
      <w:r>
        <w:rPr>
          <w:rFonts w:ascii="Verdana" w:hAnsi="Verdana" w:cs="Tahoma"/>
          <w:bCs/>
          <w:sz w:val="20"/>
        </w:rPr>
        <w:t xml:space="preserve">”). </w:t>
      </w:r>
    </w:p>
    <w:p w:rsidR="00DE19C8" w:rsidRDefault="00DE19C8">
      <w:pPr>
        <w:keepNext/>
        <w:suppressAutoHyphens/>
        <w:spacing w:line="318" w:lineRule="exact"/>
        <w:contextualSpacing/>
        <w:rPr>
          <w:rFonts w:ascii="Verdana" w:hAnsi="Verdana" w:cs="Tahoma"/>
          <w:sz w:val="20"/>
        </w:rPr>
      </w:pPr>
    </w:p>
    <w:tbl>
      <w:tblPr>
        <w:tblStyle w:val="Tabelacomgrade"/>
        <w:tblW w:w="0" w:type="auto"/>
        <w:tblLook w:val="04A0" w:firstRow="1" w:lastRow="0" w:firstColumn="1" w:lastColumn="0" w:noHBand="0" w:noVBand="1"/>
      </w:tblPr>
      <w:tblGrid>
        <w:gridCol w:w="3114"/>
        <w:gridCol w:w="3260"/>
        <w:gridCol w:w="2977"/>
      </w:tblGrid>
      <w:tr w:rsidR="00DE19C8">
        <w:tc>
          <w:tcPr>
            <w:tcW w:w="3114" w:type="dxa"/>
          </w:tcPr>
          <w:p w:rsidR="00DE19C8" w:rsidRDefault="00626B63">
            <w:pPr>
              <w:pStyle w:val="Nvel11a1"/>
              <w:numPr>
                <w:ilvl w:val="0"/>
                <w:numId w:val="0"/>
              </w:numPr>
              <w:spacing w:line="320" w:lineRule="atLeast"/>
              <w:contextualSpacing/>
              <w:rPr>
                <w:rFonts w:ascii="Verdana" w:hAnsi="Verdana"/>
                <w:b/>
                <w:sz w:val="20"/>
                <w:szCs w:val="20"/>
                <w:lang w:val="pt-BR"/>
              </w:rPr>
            </w:pPr>
            <w:r>
              <w:rPr>
                <w:rFonts w:ascii="Verdana" w:hAnsi="Verdana"/>
                <w:b/>
                <w:sz w:val="20"/>
                <w:szCs w:val="20"/>
                <w:lang w:val="pt-BR"/>
              </w:rPr>
              <w:t>Período</w:t>
            </w:r>
            <w:r>
              <w:rPr>
                <w:rFonts w:ascii="Verdana" w:hAnsi="Verdana"/>
                <w:b/>
                <w:sz w:val="20"/>
                <w:szCs w:val="20"/>
                <w:lang w:val="pt-BR"/>
              </w:rPr>
              <w:t xml:space="preserve"> da Amortização Extraordinária Facultativa das Debêntures da Primeira Série</w:t>
            </w:r>
          </w:p>
          <w:p w:rsidR="00DE19C8" w:rsidRDefault="00626B63">
            <w:pPr>
              <w:pStyle w:val="Nvel11a1"/>
              <w:numPr>
                <w:ilvl w:val="0"/>
                <w:numId w:val="0"/>
              </w:numPr>
              <w:spacing w:line="320" w:lineRule="atLeast"/>
              <w:contextualSpacing/>
              <w:rPr>
                <w:rFonts w:ascii="Verdana" w:hAnsi="Verdana"/>
                <w:b/>
                <w:sz w:val="20"/>
                <w:szCs w:val="20"/>
                <w:lang w:val="pt-BR"/>
              </w:rPr>
            </w:pPr>
            <w:r>
              <w:rPr>
                <w:rFonts w:ascii="Verdana" w:hAnsi="Verdana"/>
                <w:b/>
                <w:sz w:val="20"/>
                <w:szCs w:val="20"/>
                <w:lang w:val="pt-BR"/>
              </w:rPr>
              <w:t>(mês contado a partir da Data de Emissão)</w:t>
            </w:r>
          </w:p>
        </w:tc>
        <w:tc>
          <w:tcPr>
            <w:tcW w:w="3260" w:type="dxa"/>
          </w:tcPr>
          <w:p w:rsidR="00DE19C8" w:rsidRDefault="00626B63">
            <w:pPr>
              <w:pStyle w:val="Nvel11a1"/>
              <w:numPr>
                <w:ilvl w:val="0"/>
                <w:numId w:val="0"/>
              </w:numPr>
              <w:spacing w:line="320" w:lineRule="atLeast"/>
              <w:contextualSpacing/>
              <w:rPr>
                <w:rFonts w:ascii="Verdana" w:hAnsi="Verdana"/>
                <w:b/>
                <w:sz w:val="20"/>
                <w:szCs w:val="20"/>
                <w:lang w:val="pt-BR"/>
              </w:rPr>
            </w:pPr>
            <w:r>
              <w:rPr>
                <w:rFonts w:ascii="Verdana" w:hAnsi="Verdana"/>
                <w:b/>
                <w:sz w:val="20"/>
                <w:szCs w:val="20"/>
                <w:lang w:val="pt-BR"/>
              </w:rPr>
              <w:t>Período da Amortização Extraordinária Facultativa das Debêntures da Segunda Série</w:t>
            </w:r>
          </w:p>
          <w:p w:rsidR="00DE19C8" w:rsidRDefault="00626B63">
            <w:pPr>
              <w:pStyle w:val="Nvel11a1"/>
              <w:numPr>
                <w:ilvl w:val="0"/>
                <w:numId w:val="0"/>
              </w:numPr>
              <w:spacing w:line="320" w:lineRule="atLeast"/>
              <w:contextualSpacing/>
              <w:rPr>
                <w:rFonts w:ascii="Verdana" w:hAnsi="Verdana"/>
                <w:b/>
                <w:sz w:val="20"/>
                <w:szCs w:val="20"/>
                <w:lang w:val="pt-BR"/>
              </w:rPr>
            </w:pPr>
            <w:r>
              <w:rPr>
                <w:rFonts w:ascii="Verdana" w:hAnsi="Verdana"/>
                <w:b/>
                <w:sz w:val="20"/>
                <w:szCs w:val="20"/>
                <w:lang w:val="pt-BR"/>
              </w:rPr>
              <w:t>(mês contado a partir da Data de Emissão)</w:t>
            </w:r>
          </w:p>
        </w:tc>
        <w:tc>
          <w:tcPr>
            <w:tcW w:w="2977" w:type="dxa"/>
          </w:tcPr>
          <w:p w:rsidR="00DE19C8" w:rsidRDefault="00626B63">
            <w:pPr>
              <w:pStyle w:val="Nvel11a1"/>
              <w:numPr>
                <w:ilvl w:val="0"/>
                <w:numId w:val="0"/>
              </w:numPr>
              <w:spacing w:line="320" w:lineRule="atLeast"/>
              <w:contextualSpacing/>
              <w:rPr>
                <w:rFonts w:ascii="Verdana" w:hAnsi="Verdana"/>
                <w:b/>
                <w:sz w:val="20"/>
                <w:szCs w:val="20"/>
                <w:lang w:val="pt-BR"/>
              </w:rPr>
            </w:pPr>
            <w:r>
              <w:rPr>
                <w:rFonts w:ascii="Verdana" w:hAnsi="Verdana"/>
                <w:b/>
                <w:sz w:val="20"/>
                <w:szCs w:val="20"/>
                <w:lang w:val="pt-BR"/>
              </w:rPr>
              <w:t>Prêmio de Resg</w:t>
            </w:r>
            <w:r>
              <w:rPr>
                <w:rFonts w:ascii="Verdana" w:hAnsi="Verdana"/>
                <w:b/>
                <w:sz w:val="20"/>
                <w:szCs w:val="20"/>
                <w:lang w:val="pt-BR"/>
              </w:rPr>
              <w:t>ate Antecipado ao ano pelo prazo remanescente</w:t>
            </w:r>
          </w:p>
        </w:tc>
      </w:tr>
      <w:tr w:rsidR="00DE19C8">
        <w:tc>
          <w:tcPr>
            <w:tcW w:w="3114"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Do 18º mês até o 24º mês (inclusive)</w:t>
            </w:r>
          </w:p>
        </w:tc>
        <w:tc>
          <w:tcPr>
            <w:tcW w:w="3260"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Do 30º mês até o 36º mês (inclusive)</w:t>
            </w:r>
          </w:p>
        </w:tc>
        <w:tc>
          <w:tcPr>
            <w:tcW w:w="2977"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0,40%</w:t>
            </w:r>
          </w:p>
        </w:tc>
      </w:tr>
      <w:tr w:rsidR="00DE19C8">
        <w:tc>
          <w:tcPr>
            <w:tcW w:w="3114"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Do 25º mês até o 30º mês (inclusive)</w:t>
            </w:r>
          </w:p>
        </w:tc>
        <w:tc>
          <w:tcPr>
            <w:tcW w:w="3260"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Do 37º mês até o 48º mês (inclusive)</w:t>
            </w:r>
          </w:p>
        </w:tc>
        <w:tc>
          <w:tcPr>
            <w:tcW w:w="2977"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0,30%</w:t>
            </w:r>
          </w:p>
        </w:tc>
      </w:tr>
      <w:tr w:rsidR="00DE19C8">
        <w:tc>
          <w:tcPr>
            <w:tcW w:w="3114"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 xml:space="preserve">Do 31º mês até a Data de Vencimento das </w:t>
            </w:r>
            <w:r>
              <w:rPr>
                <w:rFonts w:ascii="Verdana" w:hAnsi="Verdana"/>
                <w:sz w:val="20"/>
                <w:szCs w:val="20"/>
                <w:lang w:val="pt-BR"/>
              </w:rPr>
              <w:t>Debêntures da Primeira Série (inclusive)</w:t>
            </w:r>
          </w:p>
        </w:tc>
        <w:tc>
          <w:tcPr>
            <w:tcW w:w="3260"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Do 49º mês até a Data de Vencimento das Debêntures da Segunda Série (inclusive)</w:t>
            </w:r>
          </w:p>
        </w:tc>
        <w:tc>
          <w:tcPr>
            <w:tcW w:w="2977" w:type="dxa"/>
          </w:tcPr>
          <w:p w:rsidR="00DE19C8" w:rsidRDefault="00626B63">
            <w:pPr>
              <w:pStyle w:val="Nvel11a1"/>
              <w:numPr>
                <w:ilvl w:val="0"/>
                <w:numId w:val="0"/>
              </w:numPr>
              <w:spacing w:line="320" w:lineRule="atLeast"/>
              <w:contextualSpacing/>
              <w:rPr>
                <w:rFonts w:ascii="Verdana" w:hAnsi="Verdana"/>
                <w:sz w:val="20"/>
                <w:szCs w:val="20"/>
                <w:lang w:val="pt-BR"/>
              </w:rPr>
            </w:pPr>
            <w:r>
              <w:rPr>
                <w:rFonts w:ascii="Verdana" w:hAnsi="Verdana"/>
                <w:sz w:val="20"/>
                <w:szCs w:val="20"/>
                <w:lang w:val="pt-BR"/>
              </w:rPr>
              <w:t>0,20%</w:t>
            </w:r>
          </w:p>
        </w:tc>
      </w:tr>
    </w:tbl>
    <w:p w:rsidR="00DE19C8" w:rsidRDefault="00DE19C8">
      <w:pPr>
        <w:keepNext/>
        <w:suppressAutoHyphens/>
        <w:spacing w:line="318" w:lineRule="exact"/>
        <w:contextualSpacing/>
        <w:rPr>
          <w:rFonts w:ascii="Verdana" w:hAnsi="Verdana" w:cs="Tahoma"/>
          <w:sz w:val="20"/>
        </w:rPr>
      </w:pPr>
    </w:p>
    <w:p w:rsidR="00DE19C8" w:rsidRDefault="00DE19C8">
      <w:pPr>
        <w:keepNext/>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bCs/>
          <w:sz w:val="20"/>
        </w:rPr>
        <w:t>4.12.7.4.</w:t>
      </w:r>
      <w:r>
        <w:rPr>
          <w:rFonts w:ascii="Verdana" w:hAnsi="Verdana" w:cs="Tahoma"/>
          <w:bCs/>
          <w:sz w:val="20"/>
        </w:rPr>
        <w:tab/>
      </w:r>
      <w:r>
        <w:rPr>
          <w:rFonts w:ascii="Verdana" w:hAnsi="Verdana" w:cs="Tahoma"/>
          <w:sz w:val="20"/>
        </w:rPr>
        <w:t>Para evitar quaisquer dúvidas, caso a Amortização Extraordinária Facultativa ocorra em data que coincida com qualque</w:t>
      </w:r>
      <w:r>
        <w:rPr>
          <w:rFonts w:ascii="Verdana" w:hAnsi="Verdana" w:cs="Tahoma"/>
          <w:sz w:val="20"/>
        </w:rPr>
        <w:t>r data de pagamento da amortização das Debêntures, nos termos da Cláusula 4.8 acima, e/ou dos Juros Remuneratórios, nos termos da Cláusula 4.9 acima, o Prêmio incidirá sobre o Valor da Amortização Extraordinária Facultativa, líquido de tais pagamentos prog</w:t>
      </w:r>
      <w:r>
        <w:rPr>
          <w:rFonts w:ascii="Verdana" w:hAnsi="Verdana" w:cs="Tahoma"/>
          <w:sz w:val="20"/>
        </w:rPr>
        <w:t>ramados da amortização das Debêntures e/ou da Remuneração, se devidamente realizados, nos termos desta Escritura de Emissão.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4.12.7.5.</w:t>
      </w:r>
      <w:r>
        <w:rPr>
          <w:rFonts w:ascii="Verdana" w:hAnsi="Verdana" w:cs="Tahoma"/>
          <w:sz w:val="20"/>
        </w:rPr>
        <w:tab/>
        <w:t xml:space="preserve">A Amortização Extraordinária Facultativa seguirá os procedimentos de liquidação de eventos adotados pela B3 – Segmento </w:t>
      </w:r>
      <w:proofErr w:type="spellStart"/>
      <w:r>
        <w:rPr>
          <w:rFonts w:ascii="Verdana" w:hAnsi="Verdana" w:cs="Tahoma"/>
          <w:sz w:val="20"/>
        </w:rPr>
        <w:t>C</w:t>
      </w:r>
      <w:r>
        <w:rPr>
          <w:rFonts w:ascii="Verdana" w:hAnsi="Verdana" w:cs="Tahoma"/>
          <w:sz w:val="20"/>
        </w:rPr>
        <w:t>etip</w:t>
      </w:r>
      <w:proofErr w:type="spellEnd"/>
      <w:r>
        <w:rPr>
          <w:rFonts w:ascii="Verdana" w:hAnsi="Verdana" w:cs="Tahoma"/>
          <w:sz w:val="20"/>
        </w:rPr>
        <w:t xml:space="preserve"> UTVM, caso as Debêntures estejam custodiadas eletronicamente na B3 – Segmento </w:t>
      </w:r>
      <w:proofErr w:type="spellStart"/>
      <w:r>
        <w:rPr>
          <w:rFonts w:ascii="Verdana" w:hAnsi="Verdana" w:cs="Tahoma"/>
          <w:sz w:val="20"/>
        </w:rPr>
        <w:t>Cetip</w:t>
      </w:r>
      <w:proofErr w:type="spellEnd"/>
      <w:r>
        <w:rPr>
          <w:rFonts w:ascii="Verdana" w:hAnsi="Verdana" w:cs="Tahoma"/>
          <w:sz w:val="20"/>
        </w:rPr>
        <w:t xml:space="preserve"> UTVM, caso para as Debêntures que </w:t>
      </w:r>
      <w:r>
        <w:rPr>
          <w:rFonts w:ascii="Verdana" w:hAnsi="Verdana" w:cs="Tahoma"/>
          <w:sz w:val="20"/>
        </w:rPr>
        <w:lastRenderedPageBreak/>
        <w:t xml:space="preserve">não estiverem custodiadas eletronicamente na B3 – Segmento </w:t>
      </w:r>
      <w:proofErr w:type="spellStart"/>
      <w:r>
        <w:rPr>
          <w:rFonts w:ascii="Verdana" w:hAnsi="Verdana" w:cs="Tahoma"/>
          <w:sz w:val="20"/>
        </w:rPr>
        <w:t>Cetip</w:t>
      </w:r>
      <w:proofErr w:type="spellEnd"/>
      <w:r>
        <w:rPr>
          <w:rFonts w:ascii="Verdana" w:hAnsi="Verdana" w:cs="Tahoma"/>
          <w:sz w:val="20"/>
        </w:rPr>
        <w:t xml:space="preserve"> UTVM, na sede da Emissora e/ou em conformidade com os procedimentos </w:t>
      </w:r>
      <w:r>
        <w:rPr>
          <w:rFonts w:ascii="Verdana" w:hAnsi="Verdana" w:cs="Tahoma"/>
          <w:sz w:val="20"/>
        </w:rPr>
        <w:t xml:space="preserve">do </w:t>
      </w:r>
      <w:proofErr w:type="spellStart"/>
      <w:r>
        <w:rPr>
          <w:rFonts w:ascii="Verdana" w:hAnsi="Verdana" w:cs="Tahoma"/>
          <w:sz w:val="20"/>
        </w:rPr>
        <w:t>Escriturador</w:t>
      </w:r>
      <w:proofErr w:type="spellEnd"/>
      <w:r>
        <w:rPr>
          <w:rFonts w:ascii="Verdana" w:hAnsi="Verdana" w:cs="Tahoma"/>
          <w:sz w:val="20"/>
        </w:rPr>
        <w:t>.</w:t>
      </w:r>
    </w:p>
    <w:p w:rsidR="00DE19C8" w:rsidRDefault="00DE19C8">
      <w:pPr>
        <w:suppressAutoHyphens/>
        <w:spacing w:line="318" w:lineRule="exact"/>
        <w:contextualSpacing/>
        <w:rPr>
          <w:rFonts w:ascii="Verdana" w:hAnsi="Verdana" w:cs="Tahoma"/>
          <w:sz w:val="20"/>
        </w:rPr>
      </w:pPr>
    </w:p>
    <w:p w:rsidR="00DE19C8" w:rsidRDefault="00DE19C8">
      <w:pPr>
        <w:suppressAutoHyphens/>
        <w:spacing w:line="318" w:lineRule="exact"/>
        <w:contextualSpacing/>
        <w:rPr>
          <w:rFonts w:ascii="Verdana" w:hAnsi="Verdana" w:cs="Tahoma"/>
          <w:sz w:val="20"/>
        </w:rPr>
      </w:pPr>
    </w:p>
    <w:p w:rsidR="00DE19C8" w:rsidRDefault="00626B63">
      <w:pPr>
        <w:keepNext/>
        <w:numPr>
          <w:ilvl w:val="0"/>
          <w:numId w:val="70"/>
        </w:numPr>
        <w:suppressAutoHyphens/>
        <w:spacing w:line="318" w:lineRule="exact"/>
        <w:ind w:left="0" w:firstLine="0"/>
        <w:contextualSpacing/>
        <w:rPr>
          <w:rFonts w:ascii="Verdana" w:hAnsi="Verdana" w:cs="Tahoma"/>
          <w:b/>
          <w:sz w:val="20"/>
        </w:rPr>
      </w:pPr>
      <w:r>
        <w:rPr>
          <w:rFonts w:ascii="Verdana" w:hAnsi="Verdana" w:cs="Tahoma"/>
          <w:b/>
          <w:bCs/>
          <w:sz w:val="20"/>
        </w:rPr>
        <w:t>Vencimento</w:t>
      </w:r>
      <w:r>
        <w:rPr>
          <w:rFonts w:ascii="Verdana" w:hAnsi="Verdana" w:cs="Tahoma"/>
          <w:b/>
          <w:sz w:val="20"/>
        </w:rPr>
        <w:t xml:space="preserve"> Antecipado</w:t>
      </w:r>
    </w:p>
    <w:p w:rsidR="00DE19C8" w:rsidRDefault="00DE19C8">
      <w:pPr>
        <w:keepNext/>
        <w:suppressAutoHyphens/>
        <w:spacing w:line="318" w:lineRule="exact"/>
        <w:contextualSpacing/>
        <w:rPr>
          <w:rFonts w:ascii="Verdana" w:hAnsi="Verdana" w:cs="Tahoma"/>
          <w:b/>
          <w:sz w:val="20"/>
        </w:rPr>
      </w:pPr>
    </w:p>
    <w:p w:rsidR="00DE19C8" w:rsidRDefault="00626B63">
      <w:pPr>
        <w:keepNext/>
        <w:tabs>
          <w:tab w:val="left" w:pos="709"/>
        </w:tabs>
        <w:suppressAutoHyphens/>
        <w:spacing w:line="318" w:lineRule="exact"/>
        <w:contextualSpacing/>
        <w:rPr>
          <w:rFonts w:ascii="Verdana" w:hAnsi="Verdana" w:cs="Tahoma"/>
          <w:sz w:val="20"/>
        </w:rPr>
      </w:pPr>
      <w:r>
        <w:rPr>
          <w:rFonts w:ascii="Verdana" w:hAnsi="Verdana" w:cs="Tahoma"/>
          <w:sz w:val="20"/>
        </w:rPr>
        <w:t>4.13.1.</w:t>
      </w:r>
      <w:r>
        <w:rPr>
          <w:rFonts w:ascii="Verdana" w:hAnsi="Verdana" w:cs="Tahoma"/>
          <w:sz w:val="20"/>
        </w:rPr>
        <w:tab/>
      </w:r>
      <w:r>
        <w:rPr>
          <w:rFonts w:ascii="Verdana" w:hAnsi="Verdana" w:cs="Tahoma"/>
          <w:sz w:val="20"/>
        </w:rPr>
        <w:t>Observado o disposto nos itens 4.13.2 a 4.13.4 abaixo, o Agente Fiduciário poderá declarar antecipadamente vencidas todas as obrigações constantes desta Escritura de Emissão e exigir o imediato pagamento pela Emissora do Valor Nominal Unitário (ou do saldo</w:t>
      </w:r>
      <w:r>
        <w:rPr>
          <w:rFonts w:ascii="Verdana" w:hAnsi="Verdana" w:cs="Tahoma"/>
          <w:sz w:val="20"/>
        </w:rPr>
        <w:t xml:space="preserve"> do Valor Nominal Unitário, conforme aplicável) de cada Debênture, acrescido dos respectivos Juros Remuneratórios, calculados </w:t>
      </w:r>
      <w:r>
        <w:rPr>
          <w:rFonts w:ascii="Verdana" w:hAnsi="Verdana" w:cs="Tahoma"/>
          <w:i/>
          <w:sz w:val="20"/>
        </w:rPr>
        <w:t>pro</w:t>
      </w:r>
      <w:r>
        <w:rPr>
          <w:rFonts w:ascii="Verdana" w:hAnsi="Verdana" w:cs="Tahoma"/>
          <w:sz w:val="20"/>
        </w:rPr>
        <w:t xml:space="preserve"> </w:t>
      </w:r>
      <w:r>
        <w:rPr>
          <w:rFonts w:ascii="Verdana" w:hAnsi="Verdana" w:cs="Tahoma"/>
          <w:i/>
          <w:sz w:val="20"/>
        </w:rPr>
        <w:t>rata</w:t>
      </w:r>
      <w:r>
        <w:rPr>
          <w:rFonts w:ascii="Verdana" w:hAnsi="Verdana" w:cs="Tahoma"/>
          <w:sz w:val="20"/>
        </w:rPr>
        <w:t xml:space="preserve"> </w:t>
      </w:r>
      <w:proofErr w:type="spellStart"/>
      <w:r>
        <w:rPr>
          <w:rFonts w:ascii="Verdana" w:hAnsi="Verdana" w:cs="Tahoma"/>
          <w:i/>
          <w:sz w:val="20"/>
        </w:rPr>
        <w:t>temporis</w:t>
      </w:r>
      <w:proofErr w:type="spellEnd"/>
      <w:r>
        <w:rPr>
          <w:rFonts w:ascii="Verdana" w:hAnsi="Verdana" w:cs="Tahoma"/>
          <w:sz w:val="20"/>
        </w:rPr>
        <w:t>, desde a primeira Data de Integralização ou desde a Data de Pagamento dos Juros Remuneratórios imediatamente ant</w:t>
      </w:r>
      <w:r>
        <w:rPr>
          <w:rFonts w:ascii="Verdana" w:hAnsi="Verdana" w:cs="Tahoma"/>
          <w:sz w:val="20"/>
        </w:rPr>
        <w:t>erior, conforme o caso, até a data do seu efetivo pagamento, na ocorrência dos seguintes eventos (cada um deles, um “</w:t>
      </w:r>
      <w:r>
        <w:rPr>
          <w:rFonts w:ascii="Verdana" w:hAnsi="Verdana" w:cs="Tahoma"/>
          <w:sz w:val="20"/>
          <w:u w:val="single"/>
        </w:rPr>
        <w:t>Evento de Inadimplemento</w:t>
      </w:r>
      <w:r>
        <w:rPr>
          <w:rFonts w:ascii="Verdana" w:hAnsi="Verdana" w:cs="Tahoma"/>
          <w:sz w:val="20"/>
        </w:rPr>
        <w:t xml:space="preserve">”): </w:t>
      </w:r>
    </w:p>
    <w:p w:rsidR="00DE19C8" w:rsidRDefault="00DE19C8">
      <w:pPr>
        <w:widowControl w:val="0"/>
        <w:suppressAutoHyphens/>
        <w:spacing w:line="318" w:lineRule="exact"/>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b/>
          <w:sz w:val="20"/>
        </w:rPr>
      </w:pPr>
      <w:r>
        <w:rPr>
          <w:rFonts w:ascii="Verdana" w:hAnsi="Verdana" w:cs="Tahoma"/>
          <w:sz w:val="20"/>
        </w:rPr>
        <w:t xml:space="preserve">decretação de falência, pedido de falência formulado por terceiros e não elidido no prazo legal ou pedido de </w:t>
      </w:r>
      <w:r>
        <w:rPr>
          <w:rFonts w:ascii="Verdana" w:hAnsi="Verdana" w:cs="Tahoma"/>
          <w:sz w:val="20"/>
        </w:rPr>
        <w:t>autofalência, independentemente de sua concessão pelo juiz competente, ou ainda pedido de recuperação extrajudicial ou judicial ou submissão a qualquer credor ou classe de credores de pedido de negociação de plano de recuperação extrajudicial, independente</w:t>
      </w:r>
      <w:r>
        <w:rPr>
          <w:rFonts w:ascii="Verdana" w:hAnsi="Verdana" w:cs="Tahoma"/>
          <w:sz w:val="20"/>
        </w:rPr>
        <w:t>mente de deferimento do processamento da recuperação ou de sua concessão pelo juiz competente, formulado pela Emissora ou de quaisquer controladas da Emissora que representem, em conjunto ou individualmente, 10% (dez por cento) ou mais da receita bruta con</w:t>
      </w:r>
      <w:r>
        <w:rPr>
          <w:rFonts w:ascii="Verdana" w:hAnsi="Verdana" w:cs="Tahoma"/>
          <w:sz w:val="20"/>
        </w:rPr>
        <w:t xml:space="preserve">solidada ou dos ativos consolidados da Emissora, o que for maior, apurado com base nas últimas informações financeiras auditadas divulgadas pela </w:t>
      </w:r>
      <w:r>
        <w:rPr>
          <w:rFonts w:ascii="Verdana" w:hAnsi="Verdana"/>
          <w:sz w:val="20"/>
        </w:rPr>
        <w:t>Emissora</w:t>
      </w:r>
      <w:r>
        <w:rPr>
          <w:rFonts w:ascii="Verdana" w:hAnsi="Verdana" w:cs="Tahoma"/>
          <w:sz w:val="20"/>
        </w:rPr>
        <w:t xml:space="preserve"> (“</w:t>
      </w:r>
      <w:r>
        <w:rPr>
          <w:rFonts w:ascii="Verdana" w:hAnsi="Verdana" w:cs="Tahoma"/>
          <w:sz w:val="20"/>
          <w:u w:val="single"/>
        </w:rPr>
        <w:t>Controladas Relevantes</w:t>
      </w:r>
      <w:r>
        <w:rPr>
          <w:rFonts w:ascii="Verdana" w:hAnsi="Verdana" w:cs="Tahoma"/>
          <w:sz w:val="20"/>
        </w:rPr>
        <w:t>”), independentemente de ter sido requerida homologação judicial do referido p</w:t>
      </w:r>
      <w:r>
        <w:rPr>
          <w:rFonts w:ascii="Verdana" w:hAnsi="Verdana" w:cs="Tahoma"/>
          <w:sz w:val="20"/>
        </w:rPr>
        <w:t xml:space="preserve">lano; </w:t>
      </w:r>
    </w:p>
    <w:p w:rsidR="00DE19C8" w:rsidRDefault="00DE19C8">
      <w:pPr>
        <w:widowControl w:val="0"/>
        <w:suppressAutoHyphens/>
        <w:spacing w:line="318" w:lineRule="exact"/>
        <w:ind w:left="1418" w:hanging="709"/>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extinção, liquidação, insolvência ou dissolução da Emissora ou de quaisquer Controladas Relevantes exceto se a liquidação, dissolução e/ou extinção decorrer de uma operação societária que não constitua um evento de vencimento antecipado; </w:t>
      </w:r>
    </w:p>
    <w:p w:rsidR="00DE19C8" w:rsidRDefault="00DE19C8">
      <w:pPr>
        <w:widowControl w:val="0"/>
        <w:suppressAutoHyphens/>
        <w:spacing w:line="318" w:lineRule="exact"/>
        <w:ind w:left="1418" w:hanging="709"/>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não paga</w:t>
      </w:r>
      <w:r>
        <w:rPr>
          <w:rFonts w:ascii="Verdana" w:hAnsi="Verdana" w:cs="Tahoma"/>
          <w:sz w:val="20"/>
        </w:rPr>
        <w:t xml:space="preserve">mento de qualquer obrigação pecuniária prevista nesta Escritura de Emissão, na data de seu vencimento, no prazo de até 1 (um) Dia Útil, contado do respectivo inadimplemento; </w:t>
      </w:r>
    </w:p>
    <w:p w:rsidR="00DE19C8" w:rsidRDefault="00DE19C8">
      <w:pPr>
        <w:widowControl w:val="0"/>
        <w:suppressAutoHyphens/>
        <w:spacing w:line="318" w:lineRule="exact"/>
        <w:ind w:left="1418" w:hanging="709"/>
        <w:contextualSpacing/>
        <w:rPr>
          <w:rFonts w:ascii="Verdana" w:hAnsi="Verdana" w:cs="Tahoma"/>
          <w:sz w:val="20"/>
        </w:rPr>
      </w:pPr>
    </w:p>
    <w:p w:rsidR="00DE19C8" w:rsidRDefault="00626B63">
      <w:pPr>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falta de cumprimento pela Emissora de toda e qualquer obrigação não pecuniária d</w:t>
      </w:r>
      <w:r>
        <w:rPr>
          <w:rFonts w:ascii="Verdana" w:hAnsi="Verdana" w:cs="Tahoma"/>
          <w:sz w:val="20"/>
        </w:rPr>
        <w:t xml:space="preserve">ecorrente desta Emissão, não sanado no prazo de 10 (dez) dias </w:t>
      </w:r>
      <w:r>
        <w:rPr>
          <w:rFonts w:ascii="Verdana" w:hAnsi="Verdana" w:cs="Tahoma"/>
          <w:sz w:val="20"/>
        </w:rPr>
        <w:lastRenderedPageBreak/>
        <w:t xml:space="preserve">corridos contados da data do respectivo descumprimento, quando não houver prazo diverso expressamente definido na presente Escritura de Emissão; </w:t>
      </w:r>
    </w:p>
    <w:p w:rsidR="00DE19C8" w:rsidRDefault="00DE19C8">
      <w:pPr>
        <w:widowControl w:val="0"/>
        <w:suppressAutoHyphens/>
        <w:spacing w:line="318" w:lineRule="exact"/>
        <w:ind w:left="1418" w:hanging="709"/>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protestos de títulos contra a Emissora e/ou con</w:t>
      </w:r>
      <w:r>
        <w:rPr>
          <w:rFonts w:ascii="Verdana" w:hAnsi="Verdana" w:cs="Tahoma"/>
          <w:sz w:val="20"/>
        </w:rPr>
        <w:t xml:space="preserve">tra quaisquer das controladas cujo valor unitário ou agregado ultrapasse US$40.000.000,00 (quarenta milhões de dólares norte-americanos), ou seu equivalente em outras moedas, observado que este valor será objeto de atualização monetária anual desde a Data </w:t>
      </w:r>
      <w:r>
        <w:rPr>
          <w:rFonts w:ascii="Verdana" w:hAnsi="Verdana" w:cs="Tahoma"/>
          <w:sz w:val="20"/>
        </w:rPr>
        <w:t>de Emissão pela variação acumulada do Índice Nacional de Preços ao Consumidor Amplo, divulgado pelo Instituto Brasileiro de Geografia e Estatística (“</w:t>
      </w:r>
      <w:r>
        <w:rPr>
          <w:rFonts w:ascii="Verdana" w:hAnsi="Verdana" w:cs="Tahoma"/>
          <w:sz w:val="20"/>
          <w:u w:val="single"/>
        </w:rPr>
        <w:t>IPCA</w:t>
      </w:r>
      <w:r>
        <w:rPr>
          <w:rFonts w:ascii="Verdana" w:hAnsi="Verdana" w:cs="Tahoma"/>
          <w:sz w:val="20"/>
        </w:rPr>
        <w:t>”), ou na falta deste, ou ainda na impossibilidade de sua utilização, pelo índice que vier a substituí</w:t>
      </w:r>
      <w:r>
        <w:rPr>
          <w:rFonts w:ascii="Verdana" w:hAnsi="Verdana" w:cs="Tahoma"/>
          <w:sz w:val="20"/>
        </w:rPr>
        <w:t>-lo, salvo se (i) o protesto tiver sido efetuado por erro ou má-fé de terceiros, desde que validamente comprovado pela Emissora e/ou por quaisquer das controladas, no prazo máximo de 10 (dez) Dias Úteis, contados da ocorrência do referido protesto, ou (</w:t>
      </w:r>
      <w:proofErr w:type="spellStart"/>
      <w:r>
        <w:rPr>
          <w:rFonts w:ascii="Verdana" w:hAnsi="Verdana" w:cs="Tahoma"/>
          <w:sz w:val="20"/>
        </w:rPr>
        <w:t>ii</w:t>
      </w:r>
      <w:proofErr w:type="spellEnd"/>
      <w:r>
        <w:rPr>
          <w:rFonts w:ascii="Verdana" w:hAnsi="Verdana" w:cs="Tahoma"/>
          <w:sz w:val="20"/>
        </w:rPr>
        <w:t>)</w:t>
      </w:r>
      <w:r>
        <w:rPr>
          <w:rFonts w:ascii="Verdana" w:hAnsi="Verdana" w:cs="Tahoma"/>
          <w:sz w:val="20"/>
        </w:rPr>
        <w:t xml:space="preserve"> se o protesto for cancelado ou sustado judicialmente no prazo máximo de 10 (dez) Dias Úteis;</w:t>
      </w:r>
    </w:p>
    <w:p w:rsidR="00DE19C8" w:rsidRDefault="00DE19C8">
      <w:pPr>
        <w:widowControl w:val="0"/>
        <w:suppressAutoHyphens/>
        <w:spacing w:line="318" w:lineRule="exact"/>
        <w:ind w:left="1418" w:hanging="709"/>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não pagamento, na data de vencimento original, de quaisquer obrigações financeiras da Emissora e/ou de quaisquer de suas controladas ou coligadas, no mercado loc</w:t>
      </w:r>
      <w:r>
        <w:rPr>
          <w:rFonts w:ascii="Verdana" w:hAnsi="Verdana" w:cs="Tahoma"/>
          <w:sz w:val="20"/>
        </w:rPr>
        <w:t>al ou internacional, em valor, individual ou agregado, superior a US$40.000.000,00 (quarenta milhões de dólares norte-americanos), ou seu equivalente em outras moedas, observado que este valor será objeto de atualização monetária anual pela variação acumul</w:t>
      </w:r>
      <w:r>
        <w:rPr>
          <w:rFonts w:ascii="Verdana" w:hAnsi="Verdana" w:cs="Tahoma"/>
          <w:sz w:val="20"/>
        </w:rPr>
        <w:t>ada do IPCA, ou na falta deste, ou ainda na impossibilidade de sua utilização, pelo índice que vier a substituí-lo, não sanado no prazo de até 1 (um) Dia Útil contado da ocorrência do referido vencimento;</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vencimento antecipado de quaisquer obrigações </w:t>
      </w:r>
      <w:r>
        <w:rPr>
          <w:rFonts w:ascii="Verdana" w:hAnsi="Verdana" w:cs="Tahoma"/>
          <w:sz w:val="20"/>
        </w:rPr>
        <w:t>financeiras da Emissora e/ou de qualquer de suas controladas ou coligadas, em especial aquelas oriundas de dívidas bancárias e operações de mercado financeiro ou de capitais local ou internacional;</w:t>
      </w:r>
    </w:p>
    <w:p w:rsidR="00DE19C8" w:rsidRDefault="00DE19C8">
      <w:pPr>
        <w:pStyle w:val="PargrafodaLista"/>
        <w:spacing w:line="318" w:lineRule="exact"/>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transferência ou qualquer forma de cessão ou promessa de </w:t>
      </w:r>
      <w:r>
        <w:rPr>
          <w:rFonts w:ascii="Verdana" w:hAnsi="Verdana" w:cs="Tahoma"/>
          <w:sz w:val="20"/>
        </w:rPr>
        <w:t>cessão, no todo ou em parte, a terceiros, pela Emissora, das obrigações assumidas na presente Escritura de Emissão, sem a prévia anuência dos Debenturistas;</w:t>
      </w:r>
    </w:p>
    <w:p w:rsidR="00DE19C8" w:rsidRDefault="00DE19C8">
      <w:pPr>
        <w:pStyle w:val="PargrafodaLista"/>
        <w:spacing w:line="318" w:lineRule="exact"/>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na hipótese de a Emissora ou qualquer de suas controladas, controladoras, sociedades sob controle </w:t>
      </w:r>
      <w:r>
        <w:rPr>
          <w:rFonts w:ascii="Verdana" w:hAnsi="Verdana" w:cs="Tahoma"/>
          <w:sz w:val="20"/>
        </w:rPr>
        <w:t>comum e/ou subsidiárias tentarem ou praticarem qualquer ato visando anular, revisar, cancelar ou repudiar, por meio judicial ou extrajudicial, a presente Escritura de Emissão;</w:t>
      </w:r>
    </w:p>
    <w:p w:rsidR="00DE19C8" w:rsidRDefault="00DE19C8">
      <w:pPr>
        <w:pStyle w:val="PargrafodaLista"/>
        <w:spacing w:line="318" w:lineRule="exact"/>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se a presente Escritura de Emissão for declarada inválida, nula ou inexequível,</w:t>
      </w:r>
      <w:r>
        <w:rPr>
          <w:rFonts w:ascii="Verdana" w:hAnsi="Verdana" w:cs="Tahoma"/>
          <w:sz w:val="20"/>
        </w:rPr>
        <w:t xml:space="preserve"> por qualquer lei, decisão judicial ou sentença arbitral;</w:t>
      </w:r>
    </w:p>
    <w:p w:rsidR="00DE19C8" w:rsidRDefault="00DE19C8">
      <w:pPr>
        <w:pStyle w:val="PargrafodaLista"/>
        <w:spacing w:line="318" w:lineRule="exact"/>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violação pela Emissora e suas controladas, controladoras, coligadas, sociedades sob controle comum, bem como seus respectivos dirigentes, administradores ou de qualquer pessoa natural, autora, coau</w:t>
      </w:r>
      <w:r>
        <w:rPr>
          <w:rFonts w:ascii="Verdana" w:hAnsi="Verdana" w:cs="Tahoma"/>
          <w:sz w:val="20"/>
        </w:rPr>
        <w:t>tora ou partícipe do ato ilícito em proveito de tais empresas, conforme reconhecido em decisão judicial, de qualquer dispositivo de qualquer lei ou regulamento aplicável contra prática de atos de corrupção ou atos lesivos à administração pública, incluindo</w:t>
      </w:r>
      <w:r>
        <w:rPr>
          <w:rFonts w:ascii="Verdana" w:hAnsi="Verdana" w:cs="Tahoma"/>
          <w:sz w:val="20"/>
        </w:rPr>
        <w:t xml:space="preserve">, sem limitação, a Lei nº 12.529, de 30 de novembro de 2011, a Lei nº 9.613, de 3 de março de 1998, conforme alterada, a Lei nº 12.846, de 1º de agosto de 2013, conforme alterada, a </w:t>
      </w:r>
      <w:r>
        <w:rPr>
          <w:rFonts w:ascii="Verdana" w:hAnsi="Verdana" w:cs="Tahoma"/>
          <w:i/>
          <w:sz w:val="20"/>
        </w:rPr>
        <w:t xml:space="preserve">UK </w:t>
      </w:r>
      <w:proofErr w:type="spellStart"/>
      <w:r>
        <w:rPr>
          <w:rFonts w:ascii="Verdana" w:hAnsi="Verdana" w:cs="Tahoma"/>
          <w:i/>
          <w:sz w:val="20"/>
        </w:rPr>
        <w:t>Bribery</w:t>
      </w:r>
      <w:proofErr w:type="spellEnd"/>
      <w:r>
        <w:rPr>
          <w:rFonts w:ascii="Verdana" w:hAnsi="Verdana" w:cs="Tahoma"/>
          <w:i/>
          <w:sz w:val="20"/>
        </w:rPr>
        <w:t xml:space="preserve"> </w:t>
      </w:r>
      <w:proofErr w:type="spellStart"/>
      <w:r>
        <w:rPr>
          <w:rFonts w:ascii="Verdana" w:hAnsi="Verdana" w:cs="Tahoma"/>
          <w:i/>
          <w:sz w:val="20"/>
        </w:rPr>
        <w:t>Act</w:t>
      </w:r>
      <w:proofErr w:type="spellEnd"/>
      <w:r>
        <w:rPr>
          <w:rFonts w:ascii="Verdana" w:hAnsi="Verdana" w:cs="Tahoma"/>
          <w:i/>
          <w:sz w:val="20"/>
        </w:rPr>
        <w:t xml:space="preserve"> </w:t>
      </w:r>
      <w:proofErr w:type="spellStart"/>
      <w:r>
        <w:rPr>
          <w:rFonts w:ascii="Verdana" w:hAnsi="Verdana" w:cs="Tahoma"/>
          <w:i/>
          <w:sz w:val="20"/>
        </w:rPr>
        <w:t>of</w:t>
      </w:r>
      <w:proofErr w:type="spellEnd"/>
      <w:r>
        <w:rPr>
          <w:rFonts w:ascii="Verdana" w:hAnsi="Verdana" w:cs="Tahoma"/>
          <w:i/>
          <w:sz w:val="20"/>
        </w:rPr>
        <w:t xml:space="preserve"> 2010</w:t>
      </w:r>
      <w:r>
        <w:rPr>
          <w:rFonts w:ascii="Verdana" w:hAnsi="Verdana" w:cs="Tahoma"/>
          <w:sz w:val="20"/>
        </w:rPr>
        <w:t xml:space="preserve"> e a </w:t>
      </w:r>
      <w:r>
        <w:rPr>
          <w:rFonts w:ascii="Verdana" w:hAnsi="Verdana" w:cs="Tahoma"/>
          <w:i/>
          <w:sz w:val="20"/>
        </w:rPr>
        <w:t xml:space="preserve">U.S. </w:t>
      </w:r>
      <w:proofErr w:type="spellStart"/>
      <w:r>
        <w:rPr>
          <w:rFonts w:ascii="Verdana" w:hAnsi="Verdana" w:cs="Tahoma"/>
          <w:i/>
          <w:sz w:val="20"/>
        </w:rPr>
        <w:t>Foreign</w:t>
      </w:r>
      <w:proofErr w:type="spellEnd"/>
      <w:r>
        <w:rPr>
          <w:rFonts w:ascii="Verdana" w:hAnsi="Verdana" w:cs="Tahoma"/>
          <w:i/>
          <w:sz w:val="20"/>
        </w:rPr>
        <w:t xml:space="preserve"> </w:t>
      </w:r>
      <w:proofErr w:type="spellStart"/>
      <w:r>
        <w:rPr>
          <w:rFonts w:ascii="Verdana" w:hAnsi="Verdana" w:cs="Tahoma"/>
          <w:i/>
          <w:sz w:val="20"/>
        </w:rPr>
        <w:t>Corrupt</w:t>
      </w:r>
      <w:proofErr w:type="spellEnd"/>
      <w:r>
        <w:rPr>
          <w:rFonts w:ascii="Verdana" w:hAnsi="Verdana" w:cs="Tahoma"/>
          <w:i/>
          <w:sz w:val="20"/>
        </w:rPr>
        <w:t xml:space="preserve"> </w:t>
      </w:r>
      <w:proofErr w:type="spellStart"/>
      <w:r>
        <w:rPr>
          <w:rFonts w:ascii="Verdana" w:hAnsi="Verdana" w:cs="Tahoma"/>
          <w:i/>
          <w:sz w:val="20"/>
        </w:rPr>
        <w:t>Practices</w:t>
      </w:r>
      <w:proofErr w:type="spellEnd"/>
      <w:r>
        <w:rPr>
          <w:rFonts w:ascii="Verdana" w:hAnsi="Verdana" w:cs="Tahoma"/>
          <w:i/>
          <w:sz w:val="20"/>
        </w:rPr>
        <w:t xml:space="preserve"> </w:t>
      </w:r>
      <w:proofErr w:type="spellStart"/>
      <w:r>
        <w:rPr>
          <w:rFonts w:ascii="Verdana" w:hAnsi="Verdana" w:cs="Tahoma"/>
          <w:i/>
          <w:sz w:val="20"/>
        </w:rPr>
        <w:t>Act</w:t>
      </w:r>
      <w:proofErr w:type="spellEnd"/>
      <w:r>
        <w:rPr>
          <w:rFonts w:ascii="Verdana" w:hAnsi="Verdana" w:cs="Tahoma"/>
          <w:i/>
          <w:sz w:val="20"/>
        </w:rPr>
        <w:t xml:space="preserve"> </w:t>
      </w:r>
      <w:proofErr w:type="spellStart"/>
      <w:r>
        <w:rPr>
          <w:rFonts w:ascii="Verdana" w:hAnsi="Verdana" w:cs="Tahoma"/>
          <w:i/>
          <w:sz w:val="20"/>
        </w:rPr>
        <w:t>of</w:t>
      </w:r>
      <w:proofErr w:type="spellEnd"/>
      <w:r>
        <w:rPr>
          <w:rFonts w:ascii="Verdana" w:hAnsi="Verdana" w:cs="Tahoma"/>
          <w:i/>
          <w:sz w:val="20"/>
        </w:rPr>
        <w:t xml:space="preserve"> </w:t>
      </w:r>
      <w:r>
        <w:rPr>
          <w:rFonts w:ascii="Verdana" w:hAnsi="Verdana" w:cs="Tahoma"/>
          <w:sz w:val="20"/>
        </w:rPr>
        <w:t xml:space="preserve">1977 (em </w:t>
      </w:r>
      <w:r>
        <w:rPr>
          <w:rFonts w:ascii="Verdana" w:hAnsi="Verdana" w:cs="Tahoma"/>
          <w:sz w:val="20"/>
        </w:rPr>
        <w:t>conjunto, as “</w:t>
      </w:r>
      <w:r>
        <w:rPr>
          <w:rFonts w:ascii="Verdana" w:hAnsi="Verdana" w:cs="Tahoma"/>
          <w:sz w:val="20"/>
          <w:u w:val="single"/>
        </w:rPr>
        <w:t>Leis de Prevenção à Lavagem de Dinheiro e Anticorrupção</w:t>
      </w:r>
      <w:r>
        <w:rPr>
          <w:rFonts w:ascii="Verdana" w:hAnsi="Verdana" w:cs="Tahoma"/>
          <w:sz w:val="20"/>
        </w:rPr>
        <w:t xml:space="preserve">”); </w:t>
      </w:r>
    </w:p>
    <w:p w:rsidR="00DE19C8" w:rsidRDefault="00DE19C8">
      <w:pPr>
        <w:pStyle w:val="PargrafodaLista"/>
        <w:spacing w:line="318" w:lineRule="exact"/>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não cumprimento de qualquer decisão arbitral ou administrativa definitiva, sentença judicial transitada em julgado ou qualquer decisão para a qual não tenha sido obtido o efeito sus</w:t>
      </w:r>
      <w:r>
        <w:rPr>
          <w:rFonts w:ascii="Verdana" w:hAnsi="Verdana" w:cs="Tahoma"/>
          <w:sz w:val="20"/>
        </w:rPr>
        <w:t>pensivo para eventual pagamento, nos termos dos parágrafos 6º ao 10º do artigo 525, da Lei 13.105, de 16 de março de 2015, conforme alterada, contra a Emissora e/ou quaisquer das Controladas Relevantes, em valor agregado igual ou superior a US$40.000.000,0</w:t>
      </w:r>
      <w:r>
        <w:rPr>
          <w:rFonts w:ascii="Verdana" w:hAnsi="Verdana" w:cs="Tahoma"/>
          <w:sz w:val="20"/>
        </w:rPr>
        <w:t>0 (quarenta milhões de dólares norte-americanos), ou seu equivalente em outras moedas, na data de apuração, observado que este valor será objeto de atualização monetária anual , desde a Data de Emissão, pela variação acumulada do IPCA, ou na falta deste, o</w:t>
      </w:r>
      <w:r>
        <w:rPr>
          <w:rFonts w:ascii="Verdana" w:hAnsi="Verdana" w:cs="Tahoma"/>
          <w:sz w:val="20"/>
        </w:rPr>
        <w:t xml:space="preserve">u ainda na impossibilidade de sua utilização, pelo índice que vier a substituí-lo, não sanado no prazo de até 1 (um) dia corrido contado da ocorrência do referido descumprimento;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redução de capital social da Emissora sem o prévio consentimento de Debentu</w:t>
      </w:r>
      <w:r>
        <w:rPr>
          <w:rFonts w:ascii="Verdana" w:hAnsi="Verdana" w:cs="Tahoma"/>
          <w:sz w:val="20"/>
        </w:rPr>
        <w:t>ristas reunidos em Assembleia Geral de Debenturistas, nos termos da presente Escritura de Emissão, convocada especialmente para este fim, nos termos do parágrafo terceiro do artigo 174 da Lei das Sociedades por Ações, exceto para absorção de prejuízos já c</w:t>
      </w:r>
      <w:r>
        <w:rPr>
          <w:rFonts w:ascii="Verdana" w:hAnsi="Verdana" w:cs="Tahoma"/>
          <w:sz w:val="20"/>
        </w:rPr>
        <w:t>onhecidos na Data de Emissão;</w:t>
      </w:r>
    </w:p>
    <w:p w:rsidR="00DE19C8" w:rsidRDefault="00DE19C8">
      <w:pPr>
        <w:pStyle w:val="PargrafodaLista"/>
        <w:spacing w:line="318" w:lineRule="exact"/>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alteração do Estatuto Social da Emissora, que implique a concessão do direito de retirada, desde que haja a consequente saída de acionistas da Emissora que representem, pelo menos, 32% (trinta e dois por cento) do capital soc</w:t>
      </w:r>
      <w:r>
        <w:rPr>
          <w:rFonts w:ascii="Verdana" w:hAnsi="Verdana" w:cs="Tahoma"/>
          <w:sz w:val="20"/>
        </w:rPr>
        <w:t>ial da Emissora;</w:t>
      </w:r>
      <w:r>
        <w:rPr>
          <w:rFonts w:ascii="Verdana" w:hAnsi="Verdana" w:cs="Tahoma"/>
          <w:b/>
          <w:sz w:val="20"/>
        </w:rPr>
        <w:t xml:space="preserve"> </w:t>
      </w:r>
    </w:p>
    <w:p w:rsidR="00DE19C8" w:rsidRDefault="00DE19C8">
      <w:pPr>
        <w:widowControl w:val="0"/>
        <w:suppressAutoHyphens/>
        <w:spacing w:line="318" w:lineRule="exact"/>
        <w:ind w:left="1418" w:hanging="709"/>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distribuição de dividendos, pagamento de juros sobre capital próprio ou a realização de quaisquer outros pagamentos a seus acionistas, caso a Emissora esteja em mora com quaisquer de suas obrigações pecuniárias nesta Emissão, exceto os d</w:t>
      </w:r>
      <w:r>
        <w:rPr>
          <w:rFonts w:ascii="Verdana" w:hAnsi="Verdana" w:cs="Tahoma"/>
          <w:sz w:val="20"/>
        </w:rPr>
        <w:t xml:space="preserve">ividendos obrigatórios por lei e os juros sobre capital próprio imputados aos dividendos obrigatórios nos termos da Lei das Sociedades por Ações; </w:t>
      </w:r>
    </w:p>
    <w:p w:rsidR="00DE19C8" w:rsidRDefault="00DE19C8">
      <w:pPr>
        <w:widowControl w:val="0"/>
        <w:suppressAutoHyphens/>
        <w:spacing w:line="318" w:lineRule="exact"/>
        <w:ind w:left="1418" w:hanging="709"/>
        <w:contextualSpacing/>
        <w:rPr>
          <w:rFonts w:ascii="Verdana" w:hAnsi="Verdana" w:cs="Tahoma"/>
          <w:sz w:val="20"/>
        </w:rPr>
      </w:pPr>
    </w:p>
    <w:p w:rsidR="00DE19C8" w:rsidRDefault="00626B63">
      <w:pPr>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transformação do tipo societário da Emissora, de sociedade anônima para sociedade limitada, nos termos dos artigos 220 e 221, e sem prejuízo do disposto no artigo 222, todos da Lei das Sociedades por Ações; </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caso as declarações feitas pela Emissora nesta </w:t>
      </w:r>
      <w:r>
        <w:rPr>
          <w:rFonts w:ascii="Verdana" w:hAnsi="Verdana" w:cs="Tahoma"/>
          <w:sz w:val="20"/>
        </w:rPr>
        <w:t>Escritura de Emissão, na data em que forem prestadas, (a) sejam falsas ou enganosas, ou ainda, (b) sejam incorretas ou inconsistentes ou incompletas;</w:t>
      </w:r>
    </w:p>
    <w:p w:rsidR="00DE19C8" w:rsidRDefault="00DE19C8">
      <w:pPr>
        <w:widowControl w:val="0"/>
        <w:suppressAutoHyphens/>
        <w:spacing w:line="318" w:lineRule="exact"/>
        <w:ind w:left="1418" w:hanging="709"/>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aplicação dos recursos oriundos da Emissão em destinação diversa da definida nesta Escritura de Emissão; </w:t>
      </w:r>
    </w:p>
    <w:p w:rsidR="00DE19C8" w:rsidRDefault="00DE19C8">
      <w:pPr>
        <w:widowControl w:val="0"/>
        <w:suppressAutoHyphens/>
        <w:spacing w:line="318" w:lineRule="exact"/>
        <w:ind w:left="1418" w:hanging="709"/>
        <w:contextualSpacing/>
        <w:rPr>
          <w:rFonts w:ascii="Verdana" w:hAnsi="Verdana" w:cs="Tahoma"/>
          <w:sz w:val="20"/>
        </w:rPr>
      </w:pPr>
    </w:p>
    <w:p w:rsidR="00DE19C8" w:rsidRDefault="00626B63">
      <w:pPr>
        <w:numPr>
          <w:ilvl w:val="0"/>
          <w:numId w:val="26"/>
        </w:numPr>
        <w:tabs>
          <w:tab w:val="clear" w:pos="1080"/>
        </w:tabs>
        <w:suppressAutoHyphens/>
        <w:spacing w:line="318" w:lineRule="exact"/>
        <w:ind w:left="1418" w:hanging="709"/>
        <w:contextualSpacing/>
        <w:rPr>
          <w:rFonts w:ascii="Verdana" w:hAnsi="Verdana" w:cs="Tahoma"/>
          <w:b/>
          <w:sz w:val="20"/>
        </w:rPr>
      </w:pPr>
      <w:r>
        <w:rPr>
          <w:rFonts w:ascii="Verdana" w:hAnsi="Verdana" w:cs="Tahoma"/>
          <w:sz w:val="20"/>
        </w:rPr>
        <w:t>caso a Emissora e/ou qualquer de suas controladas contraiam, a partir da data de assinatura desta Escritura de Emissão, uma ou mais dívidas, exceto: (i) na hipótese em que, na data de contratação de tal(</w:t>
      </w:r>
      <w:proofErr w:type="spellStart"/>
      <w:r>
        <w:rPr>
          <w:rFonts w:ascii="Verdana" w:hAnsi="Verdana" w:cs="Tahoma"/>
          <w:sz w:val="20"/>
        </w:rPr>
        <w:t>is</w:t>
      </w:r>
      <w:proofErr w:type="spellEnd"/>
      <w:r>
        <w:rPr>
          <w:rFonts w:ascii="Verdana" w:hAnsi="Verdana" w:cs="Tahoma"/>
          <w:sz w:val="20"/>
        </w:rPr>
        <w:t>) dívida(s), o resultado da divisão entre a Dívid</w:t>
      </w:r>
      <w:r>
        <w:rPr>
          <w:rFonts w:ascii="Verdana" w:hAnsi="Verdana" w:cs="Tahoma"/>
          <w:sz w:val="20"/>
        </w:rPr>
        <w:t>a Líquida e o EBITDA seja igual ou inferior a 3,50 vezes (“</w:t>
      </w:r>
      <w:r>
        <w:rPr>
          <w:rFonts w:ascii="Verdana" w:hAnsi="Verdana" w:cs="Tahoma"/>
          <w:sz w:val="20"/>
          <w:u w:val="single"/>
        </w:rPr>
        <w:t>Índice Financeiro</w:t>
      </w:r>
      <w:r>
        <w:rPr>
          <w:rFonts w:ascii="Verdana" w:hAnsi="Verdana" w:cs="Tahoma"/>
          <w:sz w:val="20"/>
        </w:rPr>
        <w:t>”); ou (</w:t>
      </w:r>
      <w:proofErr w:type="spellStart"/>
      <w:r>
        <w:rPr>
          <w:rFonts w:ascii="Verdana" w:hAnsi="Verdana" w:cs="Tahoma"/>
          <w:sz w:val="20"/>
        </w:rPr>
        <w:t>ii</w:t>
      </w:r>
      <w:proofErr w:type="spellEnd"/>
      <w:r>
        <w:rPr>
          <w:rFonts w:ascii="Verdana" w:hAnsi="Verdana" w:cs="Tahoma"/>
          <w:sz w:val="20"/>
        </w:rPr>
        <w:t>) caso sejam Dívidas Permitidas (conforme definido abaixo). O cálculo do Índice Financeiro será realizado pela Emissora e acompanhado pelo Agente Fiduciário, com base nas</w:t>
      </w:r>
      <w:r>
        <w:rPr>
          <w:rFonts w:ascii="Verdana" w:hAnsi="Verdana" w:cs="Tahoma"/>
          <w:sz w:val="20"/>
        </w:rPr>
        <w:t xml:space="preserve"> demonstrações financeiras trimestrais e nas demonstrações financeiras anuais consolidadas e auditadas (ou objeto de revisão especial) da Emissora, conforme aplicável, e apostas as respectivas rubricas pelos auditores independentes, ao final de cada trimes</w:t>
      </w:r>
      <w:r>
        <w:rPr>
          <w:rFonts w:ascii="Verdana" w:hAnsi="Verdana" w:cs="Tahoma"/>
          <w:sz w:val="20"/>
        </w:rPr>
        <w:t xml:space="preserve">tre, as quais deverão ser disponibilizadas pela Emissora juntamente com a memória de cálculo do Índice Financeiro devidamente assinada pela Emissora, observado que tais informações fornecidas pela Emissora serão consideradas como corretas e verídicas para </w:t>
      </w:r>
      <w:r>
        <w:rPr>
          <w:rFonts w:ascii="Verdana" w:hAnsi="Verdana" w:cs="Tahoma"/>
          <w:sz w:val="20"/>
        </w:rPr>
        <w:t>todos os fins, até o pagamento integral dos valores devidos em virtude das Debêntures. Além disso, para fins de verificação do disposto neste item (</w:t>
      </w:r>
      <w:proofErr w:type="spellStart"/>
      <w:r>
        <w:rPr>
          <w:rFonts w:ascii="Verdana" w:hAnsi="Verdana" w:cs="Tahoma"/>
          <w:sz w:val="20"/>
        </w:rPr>
        <w:t>xix</w:t>
      </w:r>
      <w:proofErr w:type="spellEnd"/>
      <w:r>
        <w:rPr>
          <w:rFonts w:ascii="Verdana" w:hAnsi="Verdana" w:cs="Tahoma"/>
          <w:sz w:val="20"/>
        </w:rPr>
        <w:t>), considerar-se-á o disposto a seguir:</w:t>
      </w:r>
    </w:p>
    <w:p w:rsidR="00DE19C8" w:rsidRDefault="00DE19C8">
      <w:pPr>
        <w:widowControl w:val="0"/>
        <w:suppressAutoHyphens/>
        <w:spacing w:line="318" w:lineRule="exact"/>
        <w:ind w:left="1418" w:hanging="709"/>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lang w:val="x-none"/>
        </w:rPr>
        <w:t>“</w:t>
      </w:r>
      <w:r>
        <w:rPr>
          <w:rFonts w:ascii="Verdana" w:hAnsi="Verdana" w:cs="Tahoma"/>
          <w:b/>
          <w:sz w:val="20"/>
          <w:lang w:val="x-none"/>
        </w:rPr>
        <w:t>Ativos</w:t>
      </w:r>
      <w:r>
        <w:rPr>
          <w:rFonts w:ascii="Verdana" w:hAnsi="Verdana" w:cs="Tahoma"/>
          <w:sz w:val="20"/>
          <w:lang w:val="x-none"/>
        </w:rPr>
        <w:t xml:space="preserve"> </w:t>
      </w:r>
      <w:r>
        <w:rPr>
          <w:rFonts w:ascii="Verdana" w:hAnsi="Verdana" w:cs="Tahoma"/>
          <w:b/>
          <w:sz w:val="20"/>
          <w:lang w:val="x-none"/>
        </w:rPr>
        <w:t>Tangíveis Consolidados</w:t>
      </w:r>
      <w:r>
        <w:rPr>
          <w:rFonts w:ascii="Verdana" w:hAnsi="Verdana" w:cs="Tahoma"/>
          <w:sz w:val="20"/>
          <w:lang w:val="x-none"/>
        </w:rPr>
        <w:t xml:space="preserve">”: significa o montante total dos </w:t>
      </w:r>
      <w:r>
        <w:rPr>
          <w:rFonts w:ascii="Verdana" w:hAnsi="Verdana" w:cs="Tahoma"/>
          <w:sz w:val="20"/>
          <w:lang w:val="x-none"/>
        </w:rPr>
        <w:t>ativos da</w:t>
      </w:r>
      <w:r>
        <w:rPr>
          <w:rFonts w:ascii="Verdana" w:hAnsi="Verdana" w:cs="Tahoma"/>
          <w:sz w:val="20"/>
        </w:rPr>
        <w:t xml:space="preserve"> </w:t>
      </w:r>
      <w:r>
        <w:rPr>
          <w:rFonts w:ascii="Verdana" w:hAnsi="Verdana" w:cs="Tahoma"/>
          <w:sz w:val="20"/>
          <w:lang w:val="x-none"/>
        </w:rPr>
        <w:t>Emissora e de suas controladas (subtraído o valor de depreciação, amortização</w:t>
      </w:r>
      <w:r>
        <w:rPr>
          <w:rFonts w:ascii="Verdana" w:hAnsi="Verdana" w:cs="Tahoma"/>
          <w:sz w:val="20"/>
        </w:rPr>
        <w:t xml:space="preserve"> </w:t>
      </w:r>
      <w:r>
        <w:rPr>
          <w:rFonts w:ascii="Verdana" w:hAnsi="Verdana" w:cs="Tahoma"/>
          <w:sz w:val="20"/>
          <w:lang w:val="x-none"/>
        </w:rPr>
        <w:t>e outros valores de reserva (</w:t>
      </w:r>
      <w:proofErr w:type="spellStart"/>
      <w:r>
        <w:rPr>
          <w:rFonts w:ascii="Verdana" w:hAnsi="Verdana" w:cs="Tahoma"/>
          <w:i/>
          <w:sz w:val="20"/>
          <w:lang w:val="x-none"/>
        </w:rPr>
        <w:t>asset</w:t>
      </w:r>
      <w:proofErr w:type="spellEnd"/>
      <w:r>
        <w:rPr>
          <w:rFonts w:ascii="Verdana" w:hAnsi="Verdana" w:cs="Tahoma"/>
          <w:i/>
          <w:sz w:val="20"/>
          <w:lang w:val="x-none"/>
        </w:rPr>
        <w:t xml:space="preserve"> </w:t>
      </w:r>
      <w:proofErr w:type="spellStart"/>
      <w:r>
        <w:rPr>
          <w:rFonts w:ascii="Verdana" w:hAnsi="Verdana" w:cs="Tahoma"/>
          <w:i/>
          <w:sz w:val="20"/>
          <w:lang w:val="x-none"/>
        </w:rPr>
        <w:t>valuation</w:t>
      </w:r>
      <w:proofErr w:type="spellEnd"/>
      <w:r>
        <w:rPr>
          <w:rFonts w:ascii="Verdana" w:hAnsi="Verdana" w:cs="Tahoma"/>
          <w:i/>
          <w:sz w:val="20"/>
          <w:lang w:val="x-none"/>
        </w:rPr>
        <w:t xml:space="preserve"> reserves) </w:t>
      </w:r>
      <w:r>
        <w:rPr>
          <w:rFonts w:ascii="Verdana" w:hAnsi="Verdana" w:cs="Tahoma"/>
          <w:sz w:val="20"/>
          <w:lang w:val="x-none"/>
        </w:rPr>
        <w:t>calculado pro forma</w:t>
      </w:r>
      <w:r>
        <w:rPr>
          <w:rFonts w:ascii="Verdana" w:hAnsi="Verdana" w:cs="Tahoma"/>
          <w:sz w:val="20"/>
        </w:rPr>
        <w:t xml:space="preserve"> </w:t>
      </w:r>
      <w:r>
        <w:rPr>
          <w:rFonts w:ascii="Verdana" w:hAnsi="Verdana" w:cs="Tahoma"/>
          <w:sz w:val="20"/>
          <w:lang w:val="x-none"/>
        </w:rPr>
        <w:lastRenderedPageBreak/>
        <w:t>considerando como base a aquisição ou venda de companhias, negócios ou</w:t>
      </w:r>
      <w:r>
        <w:rPr>
          <w:rFonts w:ascii="Verdana" w:hAnsi="Verdana" w:cs="Tahoma"/>
          <w:sz w:val="20"/>
        </w:rPr>
        <w:t xml:space="preserve"> </w:t>
      </w:r>
      <w:r>
        <w:rPr>
          <w:rFonts w:ascii="Verdana" w:hAnsi="Verdana" w:cs="Tahoma"/>
          <w:sz w:val="20"/>
          <w:lang w:val="x-none"/>
        </w:rPr>
        <w:t xml:space="preserve">operações da Emissora </w:t>
      </w:r>
      <w:r>
        <w:rPr>
          <w:rFonts w:ascii="Verdana" w:hAnsi="Verdana" w:cs="Tahoma"/>
          <w:sz w:val="20"/>
          <w:lang w:val="x-none"/>
        </w:rPr>
        <w:t>e/ou de suas controladas, conforme aplicável, exceto se</w:t>
      </w:r>
      <w:r>
        <w:rPr>
          <w:rFonts w:ascii="Verdana" w:hAnsi="Verdana" w:cs="Tahoma"/>
          <w:sz w:val="20"/>
        </w:rPr>
        <w:t xml:space="preserve"> </w:t>
      </w:r>
      <w:r>
        <w:rPr>
          <w:rFonts w:ascii="Verdana" w:hAnsi="Verdana" w:cs="Tahoma"/>
          <w:sz w:val="20"/>
          <w:lang w:val="x-none"/>
        </w:rPr>
        <w:t xml:space="preserve">resultantes de valorização capital subsequente </w:t>
      </w:r>
      <w:r>
        <w:rPr>
          <w:rFonts w:ascii="Verdana" w:hAnsi="Verdana" w:cs="Tahoma"/>
          <w:sz w:val="20"/>
        </w:rPr>
        <w:t>à</w:t>
      </w:r>
      <w:r>
        <w:rPr>
          <w:rFonts w:ascii="Verdana" w:hAnsi="Verdana" w:cs="Tahoma"/>
          <w:sz w:val="20"/>
          <w:lang w:val="x-none"/>
        </w:rPr>
        <w:t xml:space="preserve"> data</w:t>
      </w:r>
      <w:r>
        <w:rPr>
          <w:rFonts w:ascii="Verdana" w:hAnsi="Verdana" w:cs="Tahoma"/>
          <w:sz w:val="20"/>
        </w:rPr>
        <w:t xml:space="preserve"> de assinatura da Escritura de Emissão</w:t>
      </w:r>
      <w:r>
        <w:rPr>
          <w:rFonts w:ascii="Verdana" w:hAnsi="Verdana" w:cs="Tahoma"/>
          <w:sz w:val="20"/>
          <w:lang w:val="x-none"/>
        </w:rPr>
        <w:t>, após a dedução</w:t>
      </w:r>
      <w:r>
        <w:rPr>
          <w:rFonts w:ascii="Verdana" w:hAnsi="Verdana" w:cs="Tahoma"/>
          <w:sz w:val="20"/>
        </w:rPr>
        <w:t xml:space="preserve"> </w:t>
      </w:r>
      <w:r>
        <w:rPr>
          <w:rFonts w:ascii="Verdana" w:hAnsi="Verdana" w:cs="Tahoma"/>
          <w:sz w:val="20"/>
          <w:lang w:val="x-none"/>
        </w:rPr>
        <w:t>de tal valorização de (i) todas as obrigações da Emissora e suas controladas</w:t>
      </w:r>
      <w:r>
        <w:rPr>
          <w:rFonts w:ascii="Verdana" w:hAnsi="Verdana" w:cs="Tahoma"/>
          <w:sz w:val="20"/>
        </w:rPr>
        <w:t xml:space="preserve"> </w:t>
      </w:r>
      <w:r>
        <w:rPr>
          <w:rFonts w:ascii="Verdana" w:hAnsi="Verdana" w:cs="Tahoma"/>
          <w:sz w:val="20"/>
          <w:lang w:val="x-none"/>
        </w:rPr>
        <w:t>(excluídos os i</w:t>
      </w:r>
      <w:r>
        <w:rPr>
          <w:rFonts w:ascii="Verdana" w:hAnsi="Verdana" w:cs="Tahoma"/>
          <w:sz w:val="20"/>
          <w:lang w:val="x-none"/>
        </w:rPr>
        <w:t xml:space="preserve">tens entre companhias do mesmo grupo da Emissora) e </w:t>
      </w:r>
      <w:r>
        <w:rPr>
          <w:rFonts w:ascii="Verdana" w:hAnsi="Verdana" w:cs="Tahoma"/>
          <w:sz w:val="20"/>
        </w:rPr>
        <w:t xml:space="preserve">de </w:t>
      </w:r>
      <w:r>
        <w:rPr>
          <w:rFonts w:ascii="Verdana" w:hAnsi="Verdana" w:cs="Tahoma"/>
          <w:sz w:val="20"/>
          <w:lang w:val="x-none"/>
        </w:rPr>
        <w:t>(</w:t>
      </w:r>
      <w:proofErr w:type="spellStart"/>
      <w:r>
        <w:rPr>
          <w:rFonts w:ascii="Verdana" w:hAnsi="Verdana" w:cs="Tahoma"/>
          <w:sz w:val="20"/>
          <w:lang w:val="x-none"/>
        </w:rPr>
        <w:t>ii</w:t>
      </w:r>
      <w:proofErr w:type="spellEnd"/>
      <w:r>
        <w:rPr>
          <w:rFonts w:ascii="Verdana" w:hAnsi="Verdana" w:cs="Tahoma"/>
          <w:sz w:val="20"/>
          <w:lang w:val="x-none"/>
        </w:rPr>
        <w:t>) ativos</w:t>
      </w:r>
      <w:r>
        <w:rPr>
          <w:rFonts w:ascii="Verdana" w:hAnsi="Verdana" w:cs="Tahoma"/>
          <w:sz w:val="20"/>
        </w:rPr>
        <w:t xml:space="preserve"> </w:t>
      </w:r>
      <w:r>
        <w:rPr>
          <w:rFonts w:ascii="Verdana" w:hAnsi="Verdana" w:cs="Tahoma"/>
          <w:sz w:val="20"/>
          <w:lang w:val="x-none"/>
        </w:rPr>
        <w:t xml:space="preserve">intangíveis, tais como </w:t>
      </w:r>
      <w:proofErr w:type="spellStart"/>
      <w:r>
        <w:rPr>
          <w:rFonts w:ascii="Verdana" w:hAnsi="Verdana" w:cs="Tahoma"/>
          <w:i/>
          <w:sz w:val="20"/>
          <w:lang w:val="x-none"/>
        </w:rPr>
        <w:t>goodwill</w:t>
      </w:r>
      <w:proofErr w:type="spellEnd"/>
      <w:r>
        <w:rPr>
          <w:rFonts w:ascii="Verdana" w:hAnsi="Verdana" w:cs="Tahoma"/>
          <w:i/>
          <w:sz w:val="20"/>
          <w:lang w:val="x-none"/>
        </w:rPr>
        <w:t xml:space="preserve">, </w:t>
      </w:r>
      <w:r>
        <w:rPr>
          <w:rFonts w:ascii="Verdana" w:hAnsi="Verdana" w:cs="Tahoma"/>
          <w:sz w:val="20"/>
          <w:lang w:val="x-none"/>
        </w:rPr>
        <w:t>marca, patentes conforme contabilizados nas</w:t>
      </w:r>
      <w:r>
        <w:rPr>
          <w:rFonts w:ascii="Verdana" w:hAnsi="Verdana" w:cs="Tahoma"/>
          <w:sz w:val="20"/>
        </w:rPr>
        <w:t xml:space="preserve"> </w:t>
      </w:r>
      <w:r>
        <w:rPr>
          <w:rFonts w:ascii="Verdana" w:hAnsi="Verdana" w:cs="Tahoma"/>
          <w:sz w:val="20"/>
          <w:lang w:val="x-none"/>
        </w:rPr>
        <w:t>demonstrações financeiras mais atuais da Emissora</w:t>
      </w:r>
      <w:r>
        <w:rPr>
          <w:rFonts w:ascii="Verdana" w:hAnsi="Verdana" w:cs="Tahoma"/>
          <w:sz w:val="20"/>
        </w:rPr>
        <w:t>.</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w:t>
      </w:r>
      <w:r>
        <w:rPr>
          <w:rFonts w:ascii="Verdana" w:hAnsi="Verdana" w:cs="Tahoma"/>
          <w:b/>
          <w:sz w:val="20"/>
        </w:rPr>
        <w:t>Dívida Líquida</w:t>
      </w:r>
      <w:r>
        <w:rPr>
          <w:rFonts w:ascii="Verdana" w:hAnsi="Verdana" w:cs="Tahoma"/>
          <w:sz w:val="20"/>
        </w:rPr>
        <w:t>”: significa a somatória de todos débitos inc</w:t>
      </w:r>
      <w:r>
        <w:rPr>
          <w:rFonts w:ascii="Verdana" w:hAnsi="Verdana" w:cs="Tahoma"/>
          <w:sz w:val="20"/>
        </w:rPr>
        <w:t>orridos pela Emissora e suas controladas, caixa e disponibilidades consolidados e valores mobiliários negociáveis, registrados como ativos a curto prazo decorrentes de (i) empréstimos em dinheiro, (</w:t>
      </w:r>
      <w:proofErr w:type="spellStart"/>
      <w:r>
        <w:rPr>
          <w:rFonts w:ascii="Verdana" w:hAnsi="Verdana" w:cs="Tahoma"/>
          <w:sz w:val="20"/>
        </w:rPr>
        <w:t>ii</w:t>
      </w:r>
      <w:proofErr w:type="spellEnd"/>
      <w:r>
        <w:rPr>
          <w:rFonts w:ascii="Verdana" w:hAnsi="Verdana" w:cs="Tahoma"/>
          <w:sz w:val="20"/>
        </w:rPr>
        <w:t>) as obrigações decorrentes da emissão de bônus, debêntu</w:t>
      </w:r>
      <w:r>
        <w:rPr>
          <w:rFonts w:ascii="Verdana" w:hAnsi="Verdana" w:cs="Tahoma"/>
          <w:sz w:val="20"/>
        </w:rPr>
        <w:t xml:space="preserve">res, </w:t>
      </w:r>
      <w:r>
        <w:rPr>
          <w:rFonts w:ascii="Verdana" w:hAnsi="Verdana" w:cs="Tahoma"/>
          <w:i/>
          <w:sz w:val="20"/>
        </w:rPr>
        <w:t>notes</w:t>
      </w:r>
      <w:r>
        <w:rPr>
          <w:rFonts w:ascii="Verdana" w:hAnsi="Verdana" w:cs="Tahoma"/>
          <w:sz w:val="20"/>
        </w:rPr>
        <w:t xml:space="preserve"> ou outros instrumentos similares, (</w:t>
      </w:r>
      <w:proofErr w:type="spellStart"/>
      <w:r>
        <w:rPr>
          <w:rFonts w:ascii="Verdana" w:hAnsi="Verdana" w:cs="Tahoma"/>
          <w:sz w:val="20"/>
        </w:rPr>
        <w:t>iii</w:t>
      </w:r>
      <w:proofErr w:type="spellEnd"/>
      <w:r>
        <w:rPr>
          <w:rFonts w:ascii="Verdana" w:hAnsi="Verdana" w:cs="Tahoma"/>
          <w:sz w:val="20"/>
        </w:rPr>
        <w:t>) linhas de crédito, aceite bancário ou instrumentos similares, com exceção à troca de cartas de crédito ou aceites bancários, emitidos em função de troca de duplicatas a pagar que ainda não estejam vencidas</w:t>
      </w:r>
      <w:r>
        <w:rPr>
          <w:rFonts w:ascii="Verdana" w:hAnsi="Verdana" w:cs="Tahoma"/>
          <w:sz w:val="20"/>
        </w:rPr>
        <w:t xml:space="preserve"> na data de apresentação ou, caso vencida, haja prazo de 10 (dez) Dias Úteis para seu pagamento, (</w:t>
      </w:r>
      <w:proofErr w:type="spellStart"/>
      <w:r>
        <w:rPr>
          <w:rFonts w:ascii="Verdana" w:hAnsi="Verdana" w:cs="Tahoma"/>
          <w:sz w:val="20"/>
        </w:rPr>
        <w:t>iv</w:t>
      </w:r>
      <w:proofErr w:type="spellEnd"/>
      <w:r>
        <w:rPr>
          <w:rFonts w:ascii="Verdana" w:hAnsi="Verdana" w:cs="Tahoma"/>
          <w:sz w:val="20"/>
        </w:rPr>
        <w:t>) retenção, não pagas, de preço de pagamento de bens ou serviços, todas as obrigações de venda, com exceção de troca de duplicatas decorrentes do curso norm</w:t>
      </w:r>
      <w:r>
        <w:rPr>
          <w:rFonts w:ascii="Verdana" w:hAnsi="Verdana" w:cs="Tahoma"/>
          <w:sz w:val="20"/>
        </w:rPr>
        <w:t>al das atividades da Emissora, (v) obrigações de arrendatário em contratos de arrendamento de bens, (vi) dívidas de terceiros garantidas por ônus em ativos, independentemente de tal dívida ser assumida ou não da Emissora, (</w:t>
      </w:r>
      <w:proofErr w:type="spellStart"/>
      <w:r>
        <w:rPr>
          <w:rFonts w:ascii="Verdana" w:hAnsi="Verdana" w:cs="Tahoma"/>
          <w:sz w:val="20"/>
        </w:rPr>
        <w:t>vii</w:t>
      </w:r>
      <w:proofErr w:type="spellEnd"/>
      <w:r>
        <w:rPr>
          <w:rFonts w:ascii="Verdana" w:hAnsi="Verdana" w:cs="Tahoma"/>
          <w:sz w:val="20"/>
        </w:rPr>
        <w:t xml:space="preserve">) decorrentes de contrato de </w:t>
      </w:r>
      <w:r>
        <w:rPr>
          <w:rFonts w:ascii="Verdana" w:hAnsi="Verdana" w:cs="Tahoma"/>
          <w:i/>
          <w:sz w:val="20"/>
        </w:rPr>
        <w:t>h</w:t>
      </w:r>
      <w:r>
        <w:rPr>
          <w:rFonts w:ascii="Verdana" w:hAnsi="Verdana" w:cs="Tahoma"/>
          <w:i/>
          <w:sz w:val="20"/>
        </w:rPr>
        <w:t>edge</w:t>
      </w:r>
      <w:r>
        <w:rPr>
          <w:rFonts w:ascii="Verdana" w:hAnsi="Verdana" w:cs="Tahoma"/>
          <w:sz w:val="20"/>
        </w:rPr>
        <w:t xml:space="preserve"> da Emissora e suas subsidiárias; e (</w:t>
      </w:r>
      <w:proofErr w:type="spellStart"/>
      <w:r>
        <w:rPr>
          <w:rFonts w:ascii="Verdana" w:hAnsi="Verdana" w:cs="Tahoma"/>
          <w:sz w:val="20"/>
        </w:rPr>
        <w:t>viii</w:t>
      </w:r>
      <w:proofErr w:type="spellEnd"/>
      <w:r>
        <w:rPr>
          <w:rFonts w:ascii="Verdana" w:hAnsi="Verdana" w:cs="Tahoma"/>
          <w:sz w:val="20"/>
        </w:rPr>
        <w:t xml:space="preserve">) as obrigações decorrentes do Minerva Fundo de Investimento em Direitos Creditórios – Crédito Mercantil.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w:t>
      </w:r>
      <w:r>
        <w:rPr>
          <w:rFonts w:ascii="Verdana" w:hAnsi="Verdana" w:cs="Tahoma"/>
          <w:b/>
          <w:sz w:val="20"/>
        </w:rPr>
        <w:t>EBITDA</w:t>
      </w:r>
      <w:r>
        <w:rPr>
          <w:rFonts w:ascii="Verdana" w:hAnsi="Verdana" w:cs="Tahoma"/>
          <w:sz w:val="20"/>
        </w:rPr>
        <w:t>”: significa a (A) receita operacional líquida consolidada, menos (B) a somatória (i) do custo c</w:t>
      </w:r>
      <w:r>
        <w:rPr>
          <w:rFonts w:ascii="Verdana" w:hAnsi="Verdana" w:cs="Tahoma"/>
          <w:sz w:val="20"/>
        </w:rPr>
        <w:t>onsolidados dos bens e serviços vendidos, (</w:t>
      </w:r>
      <w:proofErr w:type="spellStart"/>
      <w:r>
        <w:rPr>
          <w:rFonts w:ascii="Verdana" w:hAnsi="Verdana" w:cs="Tahoma"/>
          <w:sz w:val="20"/>
        </w:rPr>
        <w:t>ii</w:t>
      </w:r>
      <w:proofErr w:type="spellEnd"/>
      <w:r>
        <w:rPr>
          <w:rFonts w:ascii="Verdana" w:hAnsi="Verdana" w:cs="Tahoma"/>
          <w:sz w:val="20"/>
        </w:rPr>
        <w:t>) das despesas de venda e gastos gerais e administrativo, (</w:t>
      </w:r>
      <w:proofErr w:type="spellStart"/>
      <w:r>
        <w:rPr>
          <w:rFonts w:ascii="Verdana" w:hAnsi="Verdana" w:cs="Tahoma"/>
          <w:sz w:val="20"/>
        </w:rPr>
        <w:t>iii</w:t>
      </w:r>
      <w:proofErr w:type="spellEnd"/>
      <w:r>
        <w:rPr>
          <w:rFonts w:ascii="Verdana" w:hAnsi="Verdana" w:cs="Tahoma"/>
          <w:sz w:val="20"/>
        </w:rPr>
        <w:t>) do lucro operacional e não operacional líquido e (</w:t>
      </w:r>
      <w:proofErr w:type="spellStart"/>
      <w:r>
        <w:rPr>
          <w:rFonts w:ascii="Verdana" w:hAnsi="Verdana" w:cs="Tahoma"/>
          <w:sz w:val="20"/>
        </w:rPr>
        <w:t>iv</w:t>
      </w:r>
      <w:proofErr w:type="spellEnd"/>
      <w:r>
        <w:rPr>
          <w:rFonts w:ascii="Verdana" w:hAnsi="Verdana" w:cs="Tahoma"/>
          <w:sz w:val="20"/>
        </w:rPr>
        <w:t>) de qualquer depreciação ou amortização e despesas ou perdas não recorrentes ou financeiras, i</w:t>
      </w:r>
      <w:r>
        <w:rPr>
          <w:rFonts w:ascii="Verdana" w:hAnsi="Verdana" w:cs="Tahoma"/>
          <w:sz w:val="20"/>
        </w:rPr>
        <w:t xml:space="preserve">ncluídas na consolidação de custos de bens vendidos e serviços prestados, despesas de venda e gastos gerais e administrativos; apurado com base nos últimos 12 (doze) meses.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w:t>
      </w:r>
      <w:r>
        <w:rPr>
          <w:rFonts w:ascii="Verdana" w:hAnsi="Verdana" w:cs="Tahoma"/>
          <w:b/>
          <w:sz w:val="20"/>
        </w:rPr>
        <w:t>Dívidas Permitidas</w:t>
      </w:r>
      <w:r>
        <w:rPr>
          <w:rFonts w:ascii="Verdana" w:hAnsi="Verdana" w:cs="Tahoma"/>
          <w:sz w:val="20"/>
        </w:rPr>
        <w:t>”: significa qualquer das seguintes dívidas que, respeitadas a</w:t>
      </w:r>
      <w:r>
        <w:rPr>
          <w:rFonts w:ascii="Verdana" w:hAnsi="Verdana" w:cs="Tahoma"/>
          <w:sz w:val="20"/>
        </w:rPr>
        <w:t xml:space="preserve">s demais disposições desta Escritura de Emissão, poderão ser contraídas, apenas uma vez durante o prazo de vigência das Debêntures, pela Emissora e/ou por qualquer de suas controladas: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(1) dívida da Emissora ou de qualquer de suas controladas, diretas e/</w:t>
      </w:r>
      <w:r>
        <w:rPr>
          <w:rFonts w:ascii="Verdana" w:hAnsi="Verdana" w:cs="Tahoma"/>
          <w:sz w:val="20"/>
        </w:rPr>
        <w:t xml:space="preserve">ou indiretas, na qual, caso a Emissora seja a devedora de tal dívida, tal dívida seja subordinada, legal ou contratualmente, ao pagamento das Debêntures;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 xml:space="preserve">(2) a dívida contraída pela Emissora em decorrência das Debêntures;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 xml:space="preserve">(3) dívida que seja contraída </w:t>
      </w:r>
      <w:r>
        <w:rPr>
          <w:rFonts w:ascii="Verdana" w:hAnsi="Verdana" w:cs="Tahoma"/>
          <w:sz w:val="20"/>
        </w:rPr>
        <w:t xml:space="preserve">com a finalidade exclusiva de quitação ou refinanciamento, total ou parcial, de outra(s) dívida(s) anteriormente contraída(s) pela Emissora e/ou qualquer de suas controladas (conforme aplicável), ficando desde já estabelecido que o valor dessa nova dívida </w:t>
      </w:r>
      <w:r>
        <w:rPr>
          <w:rFonts w:ascii="Verdana" w:hAnsi="Verdana" w:cs="Tahoma"/>
          <w:sz w:val="20"/>
        </w:rPr>
        <w:t>não poderá ultrapassar o valor da(s) respectiva(s) dívida(s) que está(</w:t>
      </w:r>
      <w:proofErr w:type="spellStart"/>
      <w:r>
        <w:rPr>
          <w:rFonts w:ascii="Verdana" w:hAnsi="Verdana" w:cs="Tahoma"/>
          <w:sz w:val="20"/>
        </w:rPr>
        <w:t>ão</w:t>
      </w:r>
      <w:proofErr w:type="spellEnd"/>
      <w:r>
        <w:rPr>
          <w:rFonts w:ascii="Verdana" w:hAnsi="Verdana" w:cs="Tahoma"/>
          <w:sz w:val="20"/>
        </w:rPr>
        <w:t>) sendo quitada(s) ou refinanciada(s), considerando-se principal, juros, comissões, custos e despesas dela(s) decorrentes (“</w:t>
      </w:r>
      <w:r>
        <w:rPr>
          <w:rFonts w:ascii="Verdana" w:hAnsi="Verdana" w:cs="Tahoma"/>
          <w:sz w:val="20"/>
          <w:u w:val="single"/>
        </w:rPr>
        <w:t>Dívida Permitida para Refinanciamento</w:t>
      </w:r>
      <w:r>
        <w:rPr>
          <w:rFonts w:ascii="Verdana" w:hAnsi="Verdana" w:cs="Tahoma"/>
          <w:sz w:val="20"/>
        </w:rPr>
        <w:t xml:space="preserve">”), sendo certo que: </w:t>
      </w:r>
      <w:r>
        <w:rPr>
          <w:rFonts w:ascii="Verdana" w:hAnsi="Verdana" w:cs="Tahoma"/>
          <w:b/>
          <w:sz w:val="20"/>
        </w:rPr>
        <w:t>(A</w:t>
      </w:r>
      <w:r>
        <w:rPr>
          <w:rFonts w:ascii="Verdana" w:hAnsi="Verdana" w:cs="Tahoma"/>
          <w:b/>
          <w:sz w:val="20"/>
        </w:rPr>
        <w:t>)</w:t>
      </w:r>
      <w:r>
        <w:rPr>
          <w:rFonts w:ascii="Verdana" w:hAnsi="Verdana" w:cs="Tahoma"/>
          <w:sz w:val="20"/>
        </w:rPr>
        <w:t xml:space="preserve"> caso a(s) dívida(s) objeto da quitação ou refinanciamento seja(m) subordinada(s) ao pagamento das Debêntures, a Dívida Permitida para Refinanciamento deverá também ser subordinada em direito de pagamento às Debêntures, ao menos nos mesmos termos e condiç</w:t>
      </w:r>
      <w:r>
        <w:rPr>
          <w:rFonts w:ascii="Verdana" w:hAnsi="Verdana" w:cs="Tahoma"/>
          <w:sz w:val="20"/>
        </w:rPr>
        <w:t xml:space="preserve">ões de subordinação da(s) dívida(s) objeto da quitação ou refinanciamento; </w:t>
      </w:r>
      <w:r>
        <w:rPr>
          <w:rFonts w:ascii="Verdana" w:hAnsi="Verdana" w:cs="Tahoma"/>
          <w:b/>
          <w:sz w:val="20"/>
        </w:rPr>
        <w:t>(B)</w:t>
      </w:r>
      <w:r>
        <w:rPr>
          <w:rFonts w:ascii="Verdana" w:hAnsi="Verdana" w:cs="Tahoma"/>
          <w:sz w:val="20"/>
        </w:rPr>
        <w:t xml:space="preserve"> a Dívida Permitida para Refinanciamento não poderá ter prazo de vencimento final inferior ao prazo de vencimento mais longo de qualquer da(s) dívida(s) objeto da quitação ou ref</w:t>
      </w:r>
      <w:r>
        <w:rPr>
          <w:rFonts w:ascii="Verdana" w:hAnsi="Verdana" w:cs="Tahoma"/>
          <w:sz w:val="20"/>
        </w:rPr>
        <w:t xml:space="preserve">inanciamento ou mesmo inferior ao prazo de vencimento final das Debêntures; e </w:t>
      </w:r>
      <w:r>
        <w:rPr>
          <w:rFonts w:ascii="Verdana" w:hAnsi="Verdana" w:cs="Tahoma"/>
          <w:b/>
          <w:sz w:val="20"/>
        </w:rPr>
        <w:t>(C)</w:t>
      </w:r>
      <w:r>
        <w:rPr>
          <w:rFonts w:ascii="Verdana" w:hAnsi="Verdana" w:cs="Tahoma"/>
          <w:sz w:val="20"/>
        </w:rPr>
        <w:t xml:space="preserve"> qualquer Dívida Permitida contratada conforme previsto nos itens (1), (4), (5), (8), (9), (10) e (11) desta definição de “Dívidas Permitidas” não poderá ser refinanciada de n</w:t>
      </w:r>
      <w:r>
        <w:rPr>
          <w:rFonts w:ascii="Verdana" w:hAnsi="Verdana" w:cs="Tahoma"/>
          <w:sz w:val="20"/>
        </w:rPr>
        <w:t xml:space="preserve">enhuma forma pela Emissora e/ou qualquer de suas controladas por uma nova Dívida Permitida nos termos aqui estabelecidos;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(4) contratos de derivativos (</w:t>
      </w:r>
      <w:r>
        <w:rPr>
          <w:rFonts w:ascii="Verdana" w:hAnsi="Verdana" w:cs="Tahoma"/>
          <w:i/>
          <w:sz w:val="20"/>
        </w:rPr>
        <w:t>hedge</w:t>
      </w:r>
      <w:r>
        <w:rPr>
          <w:rFonts w:ascii="Verdana" w:hAnsi="Verdana" w:cs="Tahoma"/>
          <w:sz w:val="20"/>
        </w:rPr>
        <w:t>) celebrados com o objetivo de proteção, sem caráter especulativo;</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 xml:space="preserve">(5) dívida ou obrigações </w:t>
      </w:r>
      <w:r>
        <w:rPr>
          <w:rFonts w:ascii="Verdana" w:hAnsi="Verdana" w:cs="Tahoma"/>
          <w:sz w:val="20"/>
        </w:rPr>
        <w:t>contraídas pela Emissora ou qualquer de suas controladas por meio de cartas de crédito e aceites bancários emitidos no curso normal dos negócios da Emissora ou qualquer de suas controladas, inclusive dívidas ou obrigações existentes relacionadas a garantia</w:t>
      </w:r>
      <w:r>
        <w:rPr>
          <w:rFonts w:ascii="Verdana" w:hAnsi="Verdana" w:cs="Tahoma"/>
          <w:sz w:val="20"/>
        </w:rPr>
        <w:t xml:space="preserve"> de performance (</w:t>
      </w:r>
      <w:r>
        <w:rPr>
          <w:rFonts w:ascii="Verdana" w:hAnsi="Verdana" w:cs="Tahoma"/>
          <w:i/>
          <w:sz w:val="20"/>
        </w:rPr>
        <w:t xml:space="preserve">performance </w:t>
      </w:r>
      <w:proofErr w:type="spellStart"/>
      <w:r>
        <w:rPr>
          <w:rFonts w:ascii="Verdana" w:hAnsi="Verdana" w:cs="Tahoma"/>
          <w:i/>
          <w:sz w:val="20"/>
        </w:rPr>
        <w:t>bonds</w:t>
      </w:r>
      <w:proofErr w:type="spellEnd"/>
      <w:r>
        <w:rPr>
          <w:rFonts w:ascii="Verdana" w:hAnsi="Verdana" w:cs="Tahoma"/>
          <w:sz w:val="20"/>
        </w:rPr>
        <w:t xml:space="preserve">), fianças ou depósitos judiciais;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 xml:space="preserve">(6) nova dívida que contraída pela Emissora e/ou qualquer de suas controladas </w:t>
      </w:r>
      <w:r>
        <w:rPr>
          <w:rFonts w:ascii="Verdana" w:hAnsi="Verdana"/>
          <w:sz w:val="20"/>
        </w:rPr>
        <w:t>e</w:t>
      </w:r>
      <w:r>
        <w:rPr>
          <w:rFonts w:ascii="Verdana" w:hAnsi="Verdana" w:cs="Tahoma"/>
          <w:sz w:val="20"/>
        </w:rPr>
        <w:t xml:space="preserve"> devidamente contabilizada, </w:t>
      </w:r>
      <w:r>
        <w:rPr>
          <w:rFonts w:ascii="Verdana" w:hAnsi="Verdana" w:cs="Tahoma"/>
          <w:sz w:val="20"/>
          <w:lang w:val="x-none"/>
        </w:rPr>
        <w:t xml:space="preserve">(a) </w:t>
      </w:r>
      <w:r>
        <w:rPr>
          <w:rFonts w:ascii="Verdana" w:hAnsi="Verdana" w:cs="Tahoma"/>
          <w:sz w:val="20"/>
        </w:rPr>
        <w:t xml:space="preserve">permite à Emissora incorrer em </w:t>
      </w:r>
      <w:r>
        <w:rPr>
          <w:rFonts w:ascii="Verdana" w:hAnsi="Verdana" w:cs="Tahoma"/>
          <w:sz w:val="20"/>
          <w:lang w:val="x-none"/>
        </w:rPr>
        <w:t>ao menos U</w:t>
      </w:r>
      <w:r>
        <w:rPr>
          <w:rFonts w:ascii="Verdana" w:hAnsi="Verdana" w:cs="Tahoma"/>
          <w:sz w:val="20"/>
        </w:rPr>
        <w:t>S$</w:t>
      </w:r>
      <w:r>
        <w:rPr>
          <w:rFonts w:ascii="Verdana" w:hAnsi="Verdana" w:cs="Tahoma"/>
          <w:sz w:val="20"/>
          <w:lang w:val="x-none"/>
        </w:rPr>
        <w:t xml:space="preserve"> </w:t>
      </w:r>
      <w:r>
        <w:rPr>
          <w:rFonts w:ascii="Verdana" w:hAnsi="Verdana" w:cs="Tahoma"/>
          <w:sz w:val="20"/>
          <w:lang w:val="x-none"/>
        </w:rPr>
        <w:lastRenderedPageBreak/>
        <w:t xml:space="preserve">1,00 (um dólar </w:t>
      </w:r>
      <w:r>
        <w:rPr>
          <w:rFonts w:ascii="Verdana" w:hAnsi="Verdana" w:cs="Tahoma"/>
          <w:sz w:val="20"/>
        </w:rPr>
        <w:t>norte-americano</w:t>
      </w:r>
      <w:r>
        <w:rPr>
          <w:rFonts w:ascii="Verdana" w:hAnsi="Verdana" w:cs="Tahoma"/>
          <w:sz w:val="20"/>
          <w:lang w:val="x-none"/>
        </w:rPr>
        <w:t>)</w:t>
      </w:r>
      <w:r>
        <w:rPr>
          <w:rFonts w:ascii="Verdana" w:hAnsi="Verdana" w:cs="Tahoma"/>
          <w:sz w:val="20"/>
        </w:rPr>
        <w:t xml:space="preserve"> (ou o equivalente a reais na data de apuração</w:t>
      </w:r>
      <w:r>
        <w:rPr>
          <w:rFonts w:ascii="Verdana" w:hAnsi="Verdana"/>
          <w:sz w:val="20"/>
        </w:rPr>
        <w:t>)</w:t>
      </w:r>
      <w:r>
        <w:rPr>
          <w:rFonts w:ascii="Verdana" w:hAnsi="Verdana" w:cs="Tahoma"/>
          <w:sz w:val="20"/>
        </w:rPr>
        <w:t>,</w:t>
      </w:r>
      <w:r>
        <w:rPr>
          <w:rFonts w:ascii="Verdana" w:hAnsi="Verdana" w:cs="Tahoma"/>
          <w:sz w:val="20"/>
          <w:lang w:val="x-none"/>
        </w:rPr>
        <w:t xml:space="preserve"> </w:t>
      </w:r>
      <w:r>
        <w:rPr>
          <w:rFonts w:ascii="Verdana" w:hAnsi="Verdana" w:cs="Tahoma"/>
          <w:sz w:val="20"/>
        </w:rPr>
        <w:t xml:space="preserve">sob o </w:t>
      </w:r>
      <w:r>
        <w:rPr>
          <w:rFonts w:ascii="Verdana" w:hAnsi="Verdana" w:cs="Tahoma"/>
          <w:sz w:val="20"/>
          <w:lang w:val="x-none"/>
        </w:rPr>
        <w:t>cálculo</w:t>
      </w:r>
      <w:r>
        <w:rPr>
          <w:rFonts w:ascii="Verdana" w:hAnsi="Verdana"/>
          <w:sz w:val="20"/>
          <w:lang w:val="x-none"/>
        </w:rPr>
        <w:t xml:space="preserve"> do Índice Financeiro </w:t>
      </w:r>
      <w:r>
        <w:rPr>
          <w:rFonts w:ascii="Verdana" w:hAnsi="Verdana" w:cs="Tahoma"/>
          <w:sz w:val="20"/>
          <w:lang w:val="x-none"/>
        </w:rPr>
        <w:t xml:space="preserve">considerando </w:t>
      </w:r>
      <w:r>
        <w:rPr>
          <w:rFonts w:ascii="Verdana" w:hAnsi="Verdana" w:cs="Tahoma"/>
          <w:sz w:val="20"/>
        </w:rPr>
        <w:t>essa</w:t>
      </w:r>
      <w:r>
        <w:rPr>
          <w:rFonts w:ascii="Verdana" w:hAnsi="Verdana" w:cs="Tahoma"/>
          <w:sz w:val="20"/>
          <w:lang w:val="x-none"/>
        </w:rPr>
        <w:t xml:space="preserve"> nova dívida</w:t>
      </w:r>
      <w:r>
        <w:rPr>
          <w:rFonts w:ascii="Verdana" w:hAnsi="Verdana" w:cs="Tahoma"/>
          <w:sz w:val="20"/>
        </w:rPr>
        <w:t xml:space="preserve"> </w:t>
      </w:r>
      <w:r>
        <w:rPr>
          <w:rFonts w:ascii="Verdana" w:hAnsi="Verdana" w:cs="Tahoma"/>
          <w:sz w:val="20"/>
          <w:lang w:val="x-none"/>
        </w:rPr>
        <w:t xml:space="preserve">ou (b) </w:t>
      </w:r>
      <w:r>
        <w:rPr>
          <w:rFonts w:ascii="Verdana" w:hAnsi="Verdana" w:cs="Tahoma"/>
          <w:sz w:val="20"/>
        </w:rPr>
        <w:t xml:space="preserve">resultaria em um Índice Financeiro menor ou igual ao Índice Financeiro calculado antes da contratação dessa nova dívida;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(7) dívidas</w:t>
      </w:r>
      <w:r>
        <w:rPr>
          <w:rFonts w:ascii="Verdana" w:hAnsi="Verdana" w:cs="Tahoma"/>
          <w:sz w:val="20"/>
        </w:rPr>
        <w:t xml:space="preserve"> em aberto da Emissora e qualquer de suas subsidiárias na Data de Emissão;</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suppressAutoHyphens/>
        <w:spacing w:line="318" w:lineRule="exact"/>
        <w:ind w:left="1411"/>
        <w:contextualSpacing/>
        <w:rPr>
          <w:rFonts w:ascii="Verdana" w:hAnsi="Verdana" w:cs="Tahoma"/>
          <w:sz w:val="20"/>
        </w:rPr>
      </w:pPr>
      <w:r>
        <w:rPr>
          <w:rFonts w:ascii="Verdana" w:hAnsi="Verdana" w:cs="Tahoma"/>
          <w:sz w:val="20"/>
        </w:rPr>
        <w:t>(8) dívida, incluindo arrendamento de bens (</w:t>
      </w:r>
      <w:r>
        <w:rPr>
          <w:rFonts w:ascii="Verdana" w:hAnsi="Verdana" w:cs="Tahoma"/>
          <w:i/>
          <w:sz w:val="20"/>
        </w:rPr>
        <w:t xml:space="preserve">capital </w:t>
      </w:r>
      <w:proofErr w:type="spellStart"/>
      <w:r>
        <w:rPr>
          <w:rFonts w:ascii="Verdana" w:hAnsi="Verdana" w:cs="Tahoma"/>
          <w:i/>
          <w:sz w:val="20"/>
        </w:rPr>
        <w:t>leases</w:t>
      </w:r>
      <w:proofErr w:type="spellEnd"/>
      <w:r>
        <w:rPr>
          <w:rFonts w:ascii="Verdana" w:hAnsi="Verdana" w:cs="Tahoma"/>
          <w:sz w:val="20"/>
        </w:rPr>
        <w:t>), contraída com a finalidade de financiar, total ou parcialmente, construções ou reformas de ativos imobiliários de propr</w:t>
      </w:r>
      <w:r>
        <w:rPr>
          <w:rFonts w:ascii="Verdana" w:hAnsi="Verdana" w:cs="Tahoma"/>
          <w:sz w:val="20"/>
        </w:rPr>
        <w:t>iedade da Emissora e/ou de qualquer de suas controladas, desde que referida dívida seja contraída em prazo inferior a 365 (trezentos e sessenta e cinco) dias contados da data em que o respectivo bem imóvel tiver sua construção ou reforma finalizada, ficand</w:t>
      </w:r>
      <w:r>
        <w:rPr>
          <w:rFonts w:ascii="Verdana" w:hAnsi="Verdana" w:cs="Tahoma"/>
          <w:sz w:val="20"/>
        </w:rPr>
        <w:t xml:space="preserve">o desde já estabelecido que o valor, individualmente ou no agregado, das dívidas contraídas nos termos deste item (8), deverá ser sempre inferior ao resultado da subtração de </w:t>
      </w:r>
      <w:r>
        <w:rPr>
          <w:rFonts w:ascii="Verdana" w:hAnsi="Verdana" w:cs="Tahoma"/>
          <w:b/>
          <w:sz w:val="20"/>
        </w:rPr>
        <w:t>(A)</w:t>
      </w:r>
      <w:r>
        <w:rPr>
          <w:rFonts w:ascii="Verdana" w:hAnsi="Verdana" w:cs="Tahoma"/>
          <w:sz w:val="20"/>
        </w:rPr>
        <w:t> US$ 50.000.000,00 (cinquenta milhões de dólares norte-americanos) (ou o equiv</w:t>
      </w:r>
      <w:r>
        <w:rPr>
          <w:rFonts w:ascii="Verdana" w:hAnsi="Verdana" w:cs="Tahoma"/>
          <w:sz w:val="20"/>
        </w:rPr>
        <w:t xml:space="preserve">alente em outras moedas na data de apuração) e </w:t>
      </w:r>
      <w:r>
        <w:rPr>
          <w:rFonts w:ascii="Verdana" w:hAnsi="Verdana" w:cs="Tahoma"/>
          <w:b/>
          <w:sz w:val="20"/>
        </w:rPr>
        <w:t>(B)</w:t>
      </w:r>
      <w:r>
        <w:rPr>
          <w:rFonts w:ascii="Verdana" w:hAnsi="Verdana" w:cs="Tahoma"/>
          <w:sz w:val="20"/>
        </w:rPr>
        <w:t xml:space="preserve"> o valor total devido e não pago, na respectiva data de contratação da nova dívida, das Dívidas Permitidas para Refinanciamento contratadas para refinanciar dívidas nos termos desta definição de “Dívidas Pe</w:t>
      </w:r>
      <w:r>
        <w:rPr>
          <w:rFonts w:ascii="Verdana" w:hAnsi="Verdana" w:cs="Tahoma"/>
          <w:sz w:val="20"/>
        </w:rPr>
        <w:t>rmitidas”;</w:t>
      </w:r>
      <w:r>
        <w:rPr>
          <w:rFonts w:ascii="Verdana" w:hAnsi="Verdana" w:cs="Tahoma"/>
          <w:b/>
          <w:sz w:val="20"/>
        </w:rPr>
        <w:t xml:space="preserve">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(9) dívida, incluindo arrendamento mercantil (</w:t>
      </w:r>
      <w:r>
        <w:rPr>
          <w:rFonts w:ascii="Verdana" w:hAnsi="Verdana" w:cs="Tahoma"/>
          <w:i/>
          <w:sz w:val="20"/>
        </w:rPr>
        <w:t>leasing</w:t>
      </w:r>
      <w:r>
        <w:rPr>
          <w:rFonts w:ascii="Verdana" w:hAnsi="Verdana" w:cs="Tahoma"/>
          <w:sz w:val="20"/>
        </w:rPr>
        <w:t xml:space="preserve">), contraída com a finalidade de pagamento, total ou parcial, do preço de aquisição (ou </w:t>
      </w:r>
      <w:r>
        <w:rPr>
          <w:rFonts w:ascii="Verdana" w:hAnsi="Verdana" w:cs="Tahoma"/>
          <w:i/>
          <w:sz w:val="20"/>
        </w:rPr>
        <w:t>leasing</w:t>
      </w:r>
      <w:r>
        <w:rPr>
          <w:rFonts w:ascii="Verdana" w:hAnsi="Verdana" w:cs="Tahoma"/>
          <w:sz w:val="20"/>
        </w:rPr>
        <w:t xml:space="preserve">) de </w:t>
      </w:r>
      <w:r>
        <w:rPr>
          <w:rFonts w:ascii="Verdana" w:hAnsi="Verdana" w:cs="Tahoma"/>
          <w:b/>
          <w:sz w:val="20"/>
        </w:rPr>
        <w:t>(A)</w:t>
      </w:r>
      <w:r>
        <w:rPr>
          <w:rFonts w:ascii="Verdana" w:hAnsi="Verdana" w:cs="Tahoma"/>
          <w:sz w:val="20"/>
        </w:rPr>
        <w:t xml:space="preserve"> equipamentos e veículos, até o valor agregado de  US$ 5.000.000,00 (cinco milhões de d</w:t>
      </w:r>
      <w:r>
        <w:rPr>
          <w:rFonts w:ascii="Verdana" w:hAnsi="Verdana" w:cs="Tahoma"/>
          <w:sz w:val="20"/>
        </w:rPr>
        <w:t xml:space="preserve">ólares norte-americanos) (ou o equivalente a reais na data de apuração), e/ou </w:t>
      </w:r>
      <w:r>
        <w:rPr>
          <w:rFonts w:ascii="Verdana" w:hAnsi="Verdana" w:cs="Tahoma"/>
          <w:b/>
          <w:sz w:val="20"/>
        </w:rPr>
        <w:t>(B) </w:t>
      </w:r>
      <w:r>
        <w:rPr>
          <w:rFonts w:ascii="Verdana" w:hAnsi="Verdana" w:cs="Tahoma"/>
          <w:sz w:val="20"/>
        </w:rPr>
        <w:t>aeronaves, até o valor agregado de US$ 3.000.000,00 (três milhões de dólares norte-americanos) (ou o equivalente em outras moedas na data de apuração ), ficando desde já esta</w:t>
      </w:r>
      <w:r>
        <w:rPr>
          <w:rFonts w:ascii="Verdana" w:hAnsi="Verdana" w:cs="Tahoma"/>
          <w:sz w:val="20"/>
        </w:rPr>
        <w:t>belecido que, em qualquer dessas hipóteses, os equipamentos, veículos ou aeronaves adquiridos deverão ser utilizados no curso normal dos negócios da Emissora e/ou de qualquer de suas controladas;</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(10) dívida contraída pela Emissora ou por qualquer das con</w:t>
      </w:r>
      <w:r>
        <w:rPr>
          <w:rFonts w:ascii="Verdana" w:hAnsi="Verdana" w:cs="Tahoma"/>
          <w:sz w:val="20"/>
        </w:rPr>
        <w:t xml:space="preserve">troladas da Emissora, decorrente de garantia prestada no âmbito de qualquer Dívida Permitida;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 xml:space="preserve">(11) dívida(s) contraída(s) para fins de capital de giro da Emissora e/ou de qualquer de suas controladas, desde que o valor dessa(s) dívida(s) não seja </w:t>
      </w:r>
      <w:r>
        <w:rPr>
          <w:rFonts w:ascii="Verdana" w:hAnsi="Verdana" w:cs="Tahoma"/>
          <w:sz w:val="20"/>
        </w:rPr>
        <w:lastRenderedPageBreak/>
        <w:t>superio</w:t>
      </w:r>
      <w:r>
        <w:rPr>
          <w:rFonts w:ascii="Verdana" w:hAnsi="Verdana" w:cs="Tahoma"/>
          <w:sz w:val="20"/>
        </w:rPr>
        <w:t xml:space="preserve">r a </w:t>
      </w:r>
      <w:r>
        <w:rPr>
          <w:rFonts w:ascii="Verdana" w:hAnsi="Verdana" w:cs="Tahoma"/>
          <w:b/>
          <w:sz w:val="20"/>
        </w:rPr>
        <w:t>(A) </w:t>
      </w:r>
      <w:r>
        <w:rPr>
          <w:rFonts w:ascii="Verdana" w:hAnsi="Verdana" w:cs="Tahoma"/>
          <w:sz w:val="20"/>
        </w:rPr>
        <w:t xml:space="preserve">US$ 100.000.000,00 (cem milhões de dólares norte-americanos) (ou o equivalente em outras moedas na data de apuração) ou </w:t>
      </w:r>
      <w:r>
        <w:rPr>
          <w:rFonts w:ascii="Verdana" w:hAnsi="Verdana" w:cs="Tahoma"/>
          <w:b/>
          <w:sz w:val="20"/>
        </w:rPr>
        <w:t>(B)</w:t>
      </w:r>
      <w:r>
        <w:rPr>
          <w:rFonts w:ascii="Verdana" w:hAnsi="Verdana" w:cs="Tahoma"/>
          <w:sz w:val="20"/>
        </w:rPr>
        <w:t xml:space="preserve"> o valor equivalente a 3% (três por cento) da receita líquida consolidada de vendas da Emissora, calculada com base nas demon</w:t>
      </w:r>
      <w:r>
        <w:rPr>
          <w:rFonts w:ascii="Verdana" w:hAnsi="Verdana" w:cs="Tahoma"/>
          <w:sz w:val="20"/>
        </w:rPr>
        <w:t>strações financeiras consolidadas e auditadas (ou objeto de revisão especial) da Emissora relativas aos quatro trimestres imediatamente anteriores à contratação dessa(s) nova(s) dívida(s), o que for maior;</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 xml:space="preserve">(12) qualquer outra dívida a ser contratada pela </w:t>
      </w:r>
      <w:r>
        <w:rPr>
          <w:rFonts w:ascii="Verdana" w:hAnsi="Verdana" w:cs="Tahoma"/>
          <w:sz w:val="20"/>
        </w:rPr>
        <w:t xml:space="preserve">Emissora e/ou por qualquer de suas controladas que não seja caracterizada como uma Dívida Permitida conforme definido acima, desde que essa outra dívida a ser contraída tenha, duramente todo o seu prazo de vigência, valor agregado em aberto inferior a (A) </w:t>
      </w:r>
      <w:r>
        <w:rPr>
          <w:rFonts w:ascii="Verdana" w:hAnsi="Verdana" w:cs="Tahoma"/>
          <w:sz w:val="20"/>
        </w:rPr>
        <w:t>US$ 150.000.000,00 (cento e cinquenta milhões de dólares norte-americanos) (ou o equivalente em outras moedas na data de apuração) ou (</w:t>
      </w:r>
      <w:proofErr w:type="spellStart"/>
      <w:r>
        <w:rPr>
          <w:rFonts w:ascii="Verdana" w:hAnsi="Verdana" w:cs="Tahoma"/>
          <w:sz w:val="20"/>
        </w:rPr>
        <w:t>ii</w:t>
      </w:r>
      <w:proofErr w:type="spellEnd"/>
      <w:r>
        <w:rPr>
          <w:rFonts w:ascii="Verdana" w:hAnsi="Verdana" w:cs="Tahoma"/>
          <w:sz w:val="20"/>
        </w:rPr>
        <w:t>) o montante equivalente a 10,0% (dez por cento) do valor total líquido dos Ativos Tangíveis Consolidados da Emissora.</w:t>
      </w:r>
      <w:r>
        <w:rPr>
          <w:rFonts w:ascii="Verdana" w:hAnsi="Verdana" w:cs="Tahoma"/>
          <w:b/>
          <w:sz w:val="20"/>
        </w:rPr>
        <w:t xml:space="preserve"> </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Sem prejuízo das demais disposições desta Escritura de Emissão, não será considerado descumprimento da Emissora ao Índice Financeiro caso a relação (</w:t>
      </w:r>
      <w:proofErr w:type="spellStart"/>
      <w:r>
        <w:rPr>
          <w:rFonts w:ascii="Verdana" w:hAnsi="Verdana" w:cs="Tahoma"/>
          <w:i/>
          <w:sz w:val="20"/>
        </w:rPr>
        <w:t>ratio</w:t>
      </w:r>
      <w:proofErr w:type="spellEnd"/>
      <w:r>
        <w:rPr>
          <w:rFonts w:ascii="Verdana" w:hAnsi="Verdana" w:cs="Tahoma"/>
          <w:sz w:val="20"/>
        </w:rPr>
        <w:t xml:space="preserve">) de 3,50 vezes da Dívida Líquida/EBITDA deixe de ser observada única e exclusivamente por conta de </w:t>
      </w:r>
      <w:r>
        <w:rPr>
          <w:rFonts w:ascii="Verdana" w:hAnsi="Verdana" w:cs="Tahoma"/>
          <w:sz w:val="20"/>
        </w:rPr>
        <w:t>flutuações na taxa de câmbio de moedas das dívidas contraídas pela Emissora e/ou suas controladas em outras moedas que não o real (R$).</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rPr>
      </w:pPr>
      <w:r>
        <w:rPr>
          <w:rFonts w:ascii="Verdana" w:hAnsi="Verdana" w:cs="Tahoma"/>
          <w:sz w:val="20"/>
        </w:rPr>
        <w:t xml:space="preserve">Na </w:t>
      </w:r>
      <w:r>
        <w:rPr>
          <w:rFonts w:ascii="Verdana" w:hAnsi="Verdana" w:cs="Tahoma"/>
          <w:sz w:val="20"/>
          <w:lang w:val="x-none"/>
        </w:rPr>
        <w:t>hipótese</w:t>
      </w:r>
      <w:r>
        <w:rPr>
          <w:rFonts w:ascii="Verdana" w:hAnsi="Verdana" w:cs="Tahoma"/>
          <w:sz w:val="20"/>
        </w:rPr>
        <w:t xml:space="preserve"> </w:t>
      </w:r>
      <w:r>
        <w:rPr>
          <w:rFonts w:ascii="Verdana" w:hAnsi="Verdana" w:cs="Tahoma"/>
          <w:sz w:val="20"/>
          <w:lang w:val="x-none"/>
        </w:rPr>
        <w:t>de qualquer eventual dívida compreender mais de uma das hipóteses descritas</w:t>
      </w:r>
      <w:r>
        <w:rPr>
          <w:rFonts w:ascii="Verdana" w:hAnsi="Verdana" w:cs="Tahoma"/>
          <w:sz w:val="20"/>
        </w:rPr>
        <w:t xml:space="preserve"> </w:t>
      </w:r>
      <w:r>
        <w:rPr>
          <w:rFonts w:ascii="Verdana" w:hAnsi="Verdana" w:cs="Tahoma"/>
          <w:sz w:val="20"/>
          <w:lang w:val="x-none"/>
        </w:rPr>
        <w:t>como Dívidas Permitidas ou como</w:t>
      </w:r>
      <w:r>
        <w:rPr>
          <w:rFonts w:ascii="Verdana" w:hAnsi="Verdana" w:cs="Tahoma"/>
          <w:sz w:val="20"/>
          <w:lang w:val="x-none"/>
        </w:rPr>
        <w:t xml:space="preserve"> Índice Financeiro, a Emissora e suas</w:t>
      </w:r>
      <w:r>
        <w:rPr>
          <w:rFonts w:ascii="Verdana" w:hAnsi="Verdana" w:cs="Tahoma"/>
          <w:sz w:val="20"/>
        </w:rPr>
        <w:t xml:space="preserve"> </w:t>
      </w:r>
      <w:r>
        <w:rPr>
          <w:rFonts w:ascii="Verdana" w:hAnsi="Verdana" w:cs="Tahoma"/>
          <w:sz w:val="20"/>
          <w:lang w:val="x-none"/>
        </w:rPr>
        <w:t xml:space="preserve">controladas poderão classificar ou reclassificar, total ou parcialmente, </w:t>
      </w:r>
      <w:r>
        <w:rPr>
          <w:rFonts w:ascii="Verdana" w:hAnsi="Verdana" w:cs="Tahoma"/>
          <w:sz w:val="20"/>
        </w:rPr>
        <w:t xml:space="preserve">a </w:t>
      </w:r>
      <w:r>
        <w:rPr>
          <w:rFonts w:ascii="Verdana" w:hAnsi="Verdana" w:cs="Tahoma"/>
          <w:sz w:val="20"/>
          <w:lang w:val="x-none"/>
        </w:rPr>
        <w:t>referida dívida a qualquer tempo a partir de sua contratação de modo a adequá-la às Dívidas Permitidas e ao Índice Financeiro</w:t>
      </w:r>
      <w:r>
        <w:rPr>
          <w:rFonts w:ascii="Verdana" w:hAnsi="Verdana" w:cs="Tahoma"/>
          <w:sz w:val="20"/>
        </w:rPr>
        <w:t>.</w:t>
      </w:r>
    </w:p>
    <w:p w:rsidR="00DE19C8" w:rsidRDefault="00DE19C8">
      <w:pPr>
        <w:widowControl w:val="0"/>
        <w:suppressAutoHyphens/>
        <w:spacing w:line="318" w:lineRule="exact"/>
        <w:ind w:left="1418"/>
        <w:contextualSpacing/>
        <w:rPr>
          <w:rFonts w:ascii="Verdana" w:hAnsi="Verdana" w:cs="Tahoma"/>
          <w:sz w:val="20"/>
        </w:rPr>
      </w:pPr>
    </w:p>
    <w:p w:rsidR="00DE19C8" w:rsidRDefault="00626B63">
      <w:pPr>
        <w:widowControl w:val="0"/>
        <w:suppressAutoHyphens/>
        <w:spacing w:line="318" w:lineRule="exact"/>
        <w:ind w:left="1418"/>
        <w:contextualSpacing/>
        <w:rPr>
          <w:rFonts w:ascii="Verdana" w:hAnsi="Verdana" w:cs="Tahoma"/>
          <w:sz w:val="20"/>
          <w:lang w:val="x-none"/>
        </w:rPr>
      </w:pPr>
      <w:r>
        <w:rPr>
          <w:rFonts w:ascii="Verdana" w:hAnsi="Verdana" w:cs="Tahoma"/>
          <w:sz w:val="20"/>
          <w:lang w:val="x-none"/>
        </w:rPr>
        <w:t xml:space="preserve">Para o cálculo </w:t>
      </w:r>
      <w:r>
        <w:rPr>
          <w:rFonts w:ascii="Verdana" w:hAnsi="Verdana" w:cs="Tahoma"/>
          <w:sz w:val="20"/>
          <w:lang w:val="x-none"/>
        </w:rPr>
        <w:t>da relação acima, considerar-se-á o efeito proforma na ocorrência</w:t>
      </w:r>
      <w:r>
        <w:rPr>
          <w:rFonts w:ascii="Verdana" w:hAnsi="Verdana" w:cs="Tahoma"/>
          <w:sz w:val="20"/>
        </w:rPr>
        <w:t xml:space="preserve"> </w:t>
      </w:r>
      <w:r>
        <w:rPr>
          <w:rFonts w:ascii="Verdana" w:hAnsi="Verdana" w:cs="Tahoma"/>
          <w:sz w:val="20"/>
          <w:lang w:val="x-none"/>
        </w:rPr>
        <w:t>de dívida durante ou após o período de referência, na medida em que a dívida</w:t>
      </w:r>
      <w:r>
        <w:rPr>
          <w:rFonts w:ascii="Verdana" w:hAnsi="Verdana" w:cs="Tahoma"/>
          <w:sz w:val="20"/>
        </w:rPr>
        <w:t xml:space="preserve"> </w:t>
      </w:r>
      <w:r>
        <w:rPr>
          <w:rFonts w:ascii="Verdana" w:hAnsi="Verdana" w:cs="Tahoma"/>
          <w:sz w:val="20"/>
          <w:lang w:val="x-none"/>
        </w:rPr>
        <w:t>esteja pendente ou em vias de ocorrer, na data da transação, como se tal dívida</w:t>
      </w:r>
      <w:r>
        <w:rPr>
          <w:rFonts w:ascii="Verdana" w:hAnsi="Verdana" w:cs="Tahoma"/>
          <w:sz w:val="20"/>
        </w:rPr>
        <w:t xml:space="preserve"> </w:t>
      </w:r>
      <w:r>
        <w:rPr>
          <w:rFonts w:ascii="Verdana" w:hAnsi="Verdana" w:cs="Tahoma"/>
          <w:sz w:val="20"/>
          <w:lang w:val="x-none"/>
        </w:rPr>
        <w:t xml:space="preserve">existisse no primeiro dia de tal </w:t>
      </w:r>
      <w:r>
        <w:rPr>
          <w:rFonts w:ascii="Verdana" w:hAnsi="Verdana" w:cs="Tahoma"/>
          <w:sz w:val="20"/>
          <w:lang w:val="x-none"/>
        </w:rPr>
        <w:t xml:space="preserve">período de referência. Considera-se o efeito </w:t>
      </w:r>
      <w:r>
        <w:rPr>
          <w:rFonts w:ascii="Verdana" w:hAnsi="Verdana" w:cs="Tahoma"/>
          <w:i/>
          <w:sz w:val="20"/>
          <w:lang w:val="x-none"/>
        </w:rPr>
        <w:t>pro</w:t>
      </w:r>
      <w:r>
        <w:rPr>
          <w:rFonts w:ascii="Verdana" w:hAnsi="Verdana" w:cs="Tahoma"/>
          <w:i/>
          <w:sz w:val="20"/>
        </w:rPr>
        <w:t xml:space="preserve"> </w:t>
      </w:r>
      <w:r>
        <w:rPr>
          <w:rFonts w:ascii="Verdana" w:hAnsi="Verdana" w:cs="Tahoma"/>
          <w:i/>
          <w:sz w:val="20"/>
          <w:lang w:val="x-none"/>
        </w:rPr>
        <w:t xml:space="preserve">forma, </w:t>
      </w:r>
      <w:r>
        <w:rPr>
          <w:rFonts w:ascii="Verdana" w:hAnsi="Verdana" w:cs="Tahoma"/>
          <w:sz w:val="20"/>
          <w:lang w:val="x-none"/>
        </w:rPr>
        <w:t>no caso de (i) aquisições ou alienações de sociedades, negócios ou</w:t>
      </w:r>
      <w:r>
        <w:rPr>
          <w:rFonts w:ascii="Verdana" w:hAnsi="Verdana" w:cs="Tahoma"/>
          <w:sz w:val="20"/>
        </w:rPr>
        <w:t xml:space="preserve"> </w:t>
      </w:r>
      <w:r>
        <w:rPr>
          <w:rFonts w:ascii="Verdana" w:hAnsi="Verdana" w:cs="Tahoma"/>
          <w:sz w:val="20"/>
          <w:lang w:val="x-none"/>
        </w:rPr>
        <w:t xml:space="preserve">ramos de atividade pela </w:t>
      </w:r>
      <w:r>
        <w:rPr>
          <w:rFonts w:ascii="Verdana" w:hAnsi="Verdana" w:cs="Tahoma"/>
          <w:sz w:val="20"/>
        </w:rPr>
        <w:t>Emissora</w:t>
      </w:r>
      <w:r>
        <w:rPr>
          <w:rFonts w:ascii="Verdana" w:hAnsi="Verdana" w:cs="Tahoma"/>
          <w:sz w:val="20"/>
          <w:lang w:val="x-none"/>
        </w:rPr>
        <w:t>, e suas subsidiárias, incluindo aquisição ou</w:t>
      </w:r>
      <w:r>
        <w:rPr>
          <w:rFonts w:ascii="Verdana" w:hAnsi="Verdana" w:cs="Tahoma"/>
          <w:sz w:val="20"/>
        </w:rPr>
        <w:t xml:space="preserve"> </w:t>
      </w:r>
      <w:r>
        <w:rPr>
          <w:rFonts w:ascii="Verdana" w:hAnsi="Verdana" w:cs="Tahoma"/>
          <w:sz w:val="20"/>
          <w:lang w:val="x-none"/>
        </w:rPr>
        <w:t xml:space="preserve">alienação de sociedade, negócios ou ramos de atividade </w:t>
      </w:r>
      <w:r>
        <w:rPr>
          <w:rFonts w:ascii="Verdana" w:hAnsi="Verdana" w:cs="Tahoma"/>
          <w:sz w:val="20"/>
          <w:lang w:val="x-none"/>
        </w:rPr>
        <w:t>desde que uma</w:t>
      </w:r>
      <w:r>
        <w:rPr>
          <w:rFonts w:ascii="Verdana" w:hAnsi="Verdana" w:cs="Tahoma"/>
          <w:sz w:val="20"/>
        </w:rPr>
        <w:t xml:space="preserve"> </w:t>
      </w:r>
      <w:r>
        <w:rPr>
          <w:rFonts w:ascii="Verdana" w:hAnsi="Verdana" w:cs="Tahoma"/>
          <w:sz w:val="20"/>
          <w:lang w:val="x-none"/>
        </w:rPr>
        <w:t>empresa se tornou uma subsidiária da Emissora; e (</w:t>
      </w:r>
      <w:proofErr w:type="spellStart"/>
      <w:r>
        <w:rPr>
          <w:rFonts w:ascii="Verdana" w:hAnsi="Verdana" w:cs="Tahoma"/>
          <w:sz w:val="20"/>
          <w:lang w:val="x-none"/>
        </w:rPr>
        <w:t>ii</w:t>
      </w:r>
      <w:proofErr w:type="spellEnd"/>
      <w:r>
        <w:rPr>
          <w:rFonts w:ascii="Verdana" w:hAnsi="Verdana" w:cs="Tahoma"/>
          <w:sz w:val="20"/>
          <w:lang w:val="x-none"/>
        </w:rPr>
        <w:t>) interrupção de qualquer</w:t>
      </w:r>
      <w:r>
        <w:rPr>
          <w:rFonts w:ascii="Verdana" w:hAnsi="Verdana" w:cs="Tahoma"/>
          <w:sz w:val="20"/>
        </w:rPr>
        <w:t xml:space="preserve"> </w:t>
      </w:r>
      <w:r>
        <w:rPr>
          <w:rFonts w:ascii="Verdana" w:hAnsi="Verdana" w:cs="Tahoma"/>
          <w:sz w:val="20"/>
          <w:lang w:val="x-none"/>
        </w:rPr>
        <w:t>atividade que tenha ocorrido desde o começo de determinado período, de forma</w:t>
      </w:r>
      <w:r>
        <w:rPr>
          <w:rFonts w:ascii="Verdana" w:hAnsi="Verdana" w:cs="Tahoma"/>
          <w:sz w:val="20"/>
        </w:rPr>
        <w:t xml:space="preserve"> </w:t>
      </w:r>
      <w:r>
        <w:rPr>
          <w:rFonts w:ascii="Verdana" w:hAnsi="Verdana" w:cs="Tahoma"/>
          <w:sz w:val="20"/>
          <w:lang w:val="x-none"/>
        </w:rPr>
        <w:t xml:space="preserve">que tal </w:t>
      </w:r>
      <w:r>
        <w:rPr>
          <w:rFonts w:ascii="Verdana" w:hAnsi="Verdana" w:cs="Tahoma"/>
          <w:sz w:val="20"/>
          <w:lang w:val="x-none"/>
        </w:rPr>
        <w:lastRenderedPageBreak/>
        <w:t>evento tenha ocorrido no primeiro dia de tal período. Na medida em que</w:t>
      </w:r>
      <w:r>
        <w:rPr>
          <w:rFonts w:ascii="Verdana" w:hAnsi="Verdana" w:cs="Tahoma"/>
          <w:sz w:val="20"/>
        </w:rPr>
        <w:t xml:space="preserve"> </w:t>
      </w:r>
      <w:r>
        <w:rPr>
          <w:rFonts w:ascii="Verdana" w:hAnsi="Verdana" w:cs="Tahoma"/>
          <w:sz w:val="20"/>
          <w:lang w:val="x-none"/>
        </w:rPr>
        <w:t>o efeito</w:t>
      </w:r>
      <w:r>
        <w:rPr>
          <w:rFonts w:ascii="Verdana" w:hAnsi="Verdana" w:cs="Tahoma"/>
          <w:sz w:val="20"/>
          <w:lang w:val="x-none"/>
        </w:rPr>
        <w:t xml:space="preserve"> </w:t>
      </w:r>
      <w:r>
        <w:rPr>
          <w:rFonts w:ascii="Verdana" w:hAnsi="Verdana" w:cs="Tahoma"/>
          <w:i/>
          <w:sz w:val="20"/>
          <w:lang w:val="x-none"/>
        </w:rPr>
        <w:t xml:space="preserve">pro forma </w:t>
      </w:r>
      <w:r>
        <w:rPr>
          <w:rFonts w:ascii="Verdana" w:hAnsi="Verdana" w:cs="Tahoma"/>
          <w:sz w:val="20"/>
          <w:lang w:val="x-none"/>
        </w:rPr>
        <w:t>deverá ser considerado na aquisição ou alienação de</w:t>
      </w:r>
      <w:r>
        <w:rPr>
          <w:rFonts w:ascii="Verdana" w:hAnsi="Verdana" w:cs="Tahoma"/>
          <w:sz w:val="20"/>
        </w:rPr>
        <w:t xml:space="preserve"> </w:t>
      </w:r>
      <w:r>
        <w:rPr>
          <w:rFonts w:ascii="Verdana" w:hAnsi="Verdana" w:cs="Tahoma"/>
          <w:sz w:val="20"/>
          <w:lang w:val="x-none"/>
        </w:rPr>
        <w:t>sociedades, negócios ou ramos de atividade, o seu cálculo será (i) baseado no</w:t>
      </w:r>
      <w:r>
        <w:rPr>
          <w:rFonts w:ascii="Verdana" w:hAnsi="Verdana" w:cs="Verdana"/>
          <w:color w:val="0000FF"/>
          <w:sz w:val="20"/>
          <w:lang w:val="x-none"/>
        </w:rPr>
        <w:t xml:space="preserve"> </w:t>
      </w:r>
      <w:r>
        <w:rPr>
          <w:rFonts w:ascii="Verdana" w:hAnsi="Verdana" w:cs="Tahoma"/>
          <w:sz w:val="20"/>
          <w:lang w:val="x-none"/>
        </w:rPr>
        <w:t>encerramento de exercício fiscal considerando quatro trimestres completos, para</w:t>
      </w:r>
      <w:r>
        <w:rPr>
          <w:rFonts w:ascii="Verdana" w:hAnsi="Verdana" w:cs="Tahoma"/>
          <w:sz w:val="20"/>
        </w:rPr>
        <w:t xml:space="preserve"> </w:t>
      </w:r>
      <w:r>
        <w:rPr>
          <w:rFonts w:ascii="Verdana" w:hAnsi="Verdana" w:cs="Tahoma"/>
          <w:sz w:val="20"/>
          <w:lang w:val="x-none"/>
        </w:rPr>
        <w:t>o qual a informação financeira rele</w:t>
      </w:r>
      <w:r>
        <w:rPr>
          <w:rFonts w:ascii="Verdana" w:hAnsi="Verdana" w:cs="Tahoma"/>
          <w:sz w:val="20"/>
          <w:lang w:val="x-none"/>
        </w:rPr>
        <w:t>vante esteja disponível e (</w:t>
      </w:r>
      <w:proofErr w:type="spellStart"/>
      <w:r>
        <w:rPr>
          <w:rFonts w:ascii="Verdana" w:hAnsi="Verdana" w:cs="Tahoma"/>
          <w:sz w:val="20"/>
          <w:lang w:val="x-none"/>
        </w:rPr>
        <w:t>ii</w:t>
      </w:r>
      <w:proofErr w:type="spellEnd"/>
      <w:r>
        <w:rPr>
          <w:rFonts w:ascii="Verdana" w:hAnsi="Verdana" w:cs="Tahoma"/>
          <w:sz w:val="20"/>
          <w:lang w:val="x-none"/>
        </w:rPr>
        <w:t>) determinado de</w:t>
      </w:r>
      <w:r>
        <w:rPr>
          <w:rFonts w:ascii="Verdana" w:hAnsi="Verdana" w:cs="Tahoma"/>
          <w:sz w:val="20"/>
        </w:rPr>
        <w:t xml:space="preserve"> </w:t>
      </w:r>
      <w:r>
        <w:rPr>
          <w:rFonts w:ascii="Verdana" w:hAnsi="Verdana" w:cs="Tahoma"/>
          <w:sz w:val="20"/>
          <w:lang w:val="x-none"/>
        </w:rPr>
        <w:t>boa-fé pelo diretor financeiro d</w:t>
      </w:r>
      <w:r>
        <w:rPr>
          <w:rFonts w:ascii="Verdana" w:hAnsi="Verdana" w:cs="Tahoma"/>
          <w:sz w:val="20"/>
        </w:rPr>
        <w:t>a</w:t>
      </w:r>
      <w:r>
        <w:rPr>
          <w:rFonts w:ascii="Verdana" w:hAnsi="Verdana" w:cs="Tahoma"/>
          <w:sz w:val="20"/>
          <w:lang w:val="x-none"/>
        </w:rPr>
        <w:t xml:space="preserve"> Emissora.</w:t>
      </w:r>
    </w:p>
    <w:p w:rsidR="00DE19C8" w:rsidRDefault="00DE19C8">
      <w:pPr>
        <w:widowControl w:val="0"/>
        <w:suppressAutoHyphens/>
        <w:spacing w:line="318" w:lineRule="exact"/>
        <w:ind w:left="1418"/>
        <w:contextualSpacing/>
        <w:rPr>
          <w:rFonts w:ascii="Verdana" w:hAnsi="Verdana" w:cs="Tahoma"/>
          <w:sz w:val="20"/>
          <w:lang w:val="x-none"/>
        </w:rPr>
      </w:pPr>
    </w:p>
    <w:p w:rsidR="00DE19C8" w:rsidRDefault="00626B63">
      <w:pPr>
        <w:widowControl w:val="0"/>
        <w:suppressAutoHyphens/>
        <w:spacing w:line="318" w:lineRule="exact"/>
        <w:ind w:left="1418"/>
        <w:contextualSpacing/>
        <w:rPr>
          <w:rFonts w:ascii="Verdana" w:hAnsi="Verdana" w:cs="Tahoma"/>
          <w:sz w:val="20"/>
          <w:lang w:val="x-none"/>
        </w:rPr>
      </w:pPr>
      <w:r>
        <w:rPr>
          <w:rFonts w:ascii="Verdana" w:hAnsi="Verdana" w:cs="Tahoma"/>
          <w:sz w:val="20"/>
          <w:lang w:val="x-none"/>
        </w:rPr>
        <w:t>Para fins de determinar o cumprimento de qualquer restrição para contratação</w:t>
      </w:r>
      <w:r>
        <w:rPr>
          <w:rFonts w:ascii="Verdana" w:hAnsi="Verdana" w:cs="Tahoma"/>
          <w:sz w:val="20"/>
        </w:rPr>
        <w:t xml:space="preserve"> </w:t>
      </w:r>
      <w:r>
        <w:rPr>
          <w:rFonts w:ascii="Verdana" w:hAnsi="Verdana" w:cs="Tahoma"/>
          <w:sz w:val="20"/>
          <w:lang w:val="x-none"/>
        </w:rPr>
        <w:t>de dívida determinada em dólares dos Estados Unidos da América, o valor</w:t>
      </w:r>
      <w:r>
        <w:rPr>
          <w:rFonts w:ascii="Verdana" w:hAnsi="Verdana" w:cs="Tahoma"/>
          <w:sz w:val="20"/>
        </w:rPr>
        <w:t xml:space="preserve"> </w:t>
      </w:r>
      <w:r>
        <w:rPr>
          <w:rFonts w:ascii="Verdana" w:hAnsi="Verdana" w:cs="Tahoma"/>
          <w:sz w:val="20"/>
          <w:lang w:val="x-none"/>
        </w:rPr>
        <w:t xml:space="preserve">equivalente em </w:t>
      </w:r>
      <w:r>
        <w:rPr>
          <w:rFonts w:ascii="Verdana" w:hAnsi="Verdana" w:cs="Tahoma"/>
          <w:sz w:val="20"/>
          <w:lang w:val="x-none"/>
        </w:rPr>
        <w:t>outra moeda que não dólares dos Estados Unidos da América</w:t>
      </w:r>
      <w:r>
        <w:rPr>
          <w:rFonts w:ascii="Verdana" w:hAnsi="Verdana" w:cs="Tahoma"/>
          <w:sz w:val="20"/>
        </w:rPr>
        <w:t xml:space="preserve"> </w:t>
      </w:r>
      <w:r>
        <w:rPr>
          <w:rFonts w:ascii="Verdana" w:hAnsi="Verdana" w:cs="Tahoma"/>
          <w:sz w:val="20"/>
          <w:lang w:val="x-none"/>
        </w:rPr>
        <w:t>será calculado de acordo com a taxa de câmbio da data na qual tal dívida é</w:t>
      </w:r>
      <w:r>
        <w:rPr>
          <w:rFonts w:ascii="Verdana" w:hAnsi="Verdana" w:cs="Tahoma"/>
          <w:sz w:val="20"/>
        </w:rPr>
        <w:t xml:space="preserve"> </w:t>
      </w:r>
      <w:r>
        <w:rPr>
          <w:rFonts w:ascii="Verdana" w:hAnsi="Verdana" w:cs="Tahoma"/>
          <w:sz w:val="20"/>
          <w:lang w:val="x-none"/>
        </w:rPr>
        <w:t>incorrida ou, no caso de créditos rotativos (</w:t>
      </w:r>
      <w:proofErr w:type="spellStart"/>
      <w:r>
        <w:rPr>
          <w:rFonts w:ascii="Verdana" w:hAnsi="Verdana" w:cs="Tahoma"/>
          <w:i/>
          <w:sz w:val="20"/>
          <w:lang w:val="x-none"/>
        </w:rPr>
        <w:t>revolving</w:t>
      </w:r>
      <w:proofErr w:type="spellEnd"/>
      <w:r>
        <w:rPr>
          <w:rFonts w:ascii="Verdana" w:hAnsi="Verdana" w:cs="Tahoma"/>
          <w:i/>
          <w:sz w:val="20"/>
          <w:lang w:val="x-none"/>
        </w:rPr>
        <w:t xml:space="preserve"> </w:t>
      </w:r>
      <w:proofErr w:type="spellStart"/>
      <w:r>
        <w:rPr>
          <w:rFonts w:ascii="Verdana" w:hAnsi="Verdana" w:cs="Tahoma"/>
          <w:i/>
          <w:sz w:val="20"/>
          <w:lang w:val="x-none"/>
        </w:rPr>
        <w:t>credit</w:t>
      </w:r>
      <w:proofErr w:type="spellEnd"/>
      <w:r>
        <w:rPr>
          <w:rFonts w:ascii="Verdana" w:hAnsi="Verdana" w:cs="Tahoma"/>
          <w:i/>
          <w:sz w:val="20"/>
          <w:lang w:val="x-none"/>
        </w:rPr>
        <w:t xml:space="preserve"> </w:t>
      </w:r>
      <w:proofErr w:type="spellStart"/>
      <w:r>
        <w:rPr>
          <w:rFonts w:ascii="Verdana" w:hAnsi="Verdana" w:cs="Tahoma"/>
          <w:i/>
          <w:sz w:val="20"/>
          <w:lang w:val="x-none"/>
        </w:rPr>
        <w:t>debt</w:t>
      </w:r>
      <w:proofErr w:type="spellEnd"/>
      <w:r>
        <w:rPr>
          <w:rFonts w:ascii="Verdana" w:hAnsi="Verdana" w:cs="Tahoma"/>
          <w:sz w:val="20"/>
          <w:lang w:val="x-none"/>
        </w:rPr>
        <w:t>), na data do</w:t>
      </w:r>
      <w:r>
        <w:rPr>
          <w:rFonts w:ascii="Verdana" w:hAnsi="Verdana" w:cs="Tahoma"/>
          <w:sz w:val="20"/>
        </w:rPr>
        <w:t xml:space="preserve"> </w:t>
      </w:r>
      <w:r>
        <w:rPr>
          <w:rFonts w:ascii="Verdana" w:hAnsi="Verdana" w:cs="Tahoma"/>
          <w:sz w:val="20"/>
          <w:lang w:val="x-none"/>
        </w:rPr>
        <w:t>primeiro desembolso, observado que se tal d</w:t>
      </w:r>
      <w:r>
        <w:rPr>
          <w:rFonts w:ascii="Verdana" w:hAnsi="Verdana" w:cs="Tahoma"/>
          <w:sz w:val="20"/>
          <w:lang w:val="x-none"/>
        </w:rPr>
        <w:t>ívida é incorrida para refinanciar</w:t>
      </w:r>
      <w:r>
        <w:rPr>
          <w:rFonts w:ascii="Verdana" w:hAnsi="Verdana" w:cs="Tahoma"/>
          <w:sz w:val="20"/>
        </w:rPr>
        <w:t xml:space="preserve"> </w:t>
      </w:r>
      <w:r>
        <w:rPr>
          <w:rFonts w:ascii="Verdana" w:hAnsi="Verdana" w:cs="Tahoma"/>
          <w:sz w:val="20"/>
          <w:lang w:val="x-none"/>
        </w:rPr>
        <w:t>outra dívida determinada em moeda que não dólar dos Estados Unidos da</w:t>
      </w:r>
      <w:r>
        <w:rPr>
          <w:rFonts w:ascii="Verdana" w:hAnsi="Verdana" w:cs="Tahoma"/>
          <w:sz w:val="20"/>
        </w:rPr>
        <w:t xml:space="preserve"> </w:t>
      </w:r>
      <w:r>
        <w:rPr>
          <w:rFonts w:ascii="Verdana" w:hAnsi="Verdana" w:cs="Tahoma"/>
          <w:sz w:val="20"/>
          <w:lang w:val="x-none"/>
        </w:rPr>
        <w:t>América, e referido refinanciamento exceda a restrição estabelecida em</w:t>
      </w:r>
      <w:r>
        <w:rPr>
          <w:rFonts w:ascii="Verdana" w:hAnsi="Verdana" w:cs="Tahoma"/>
          <w:sz w:val="20"/>
        </w:rPr>
        <w:t xml:space="preserve"> </w:t>
      </w:r>
      <w:r>
        <w:rPr>
          <w:rFonts w:ascii="Verdana" w:hAnsi="Verdana" w:cs="Tahoma"/>
          <w:sz w:val="20"/>
          <w:lang w:val="x-none"/>
        </w:rPr>
        <w:t>dólares dos Estados Unidos da América se calculado com a taxa de câmbio do</w:t>
      </w:r>
      <w:r>
        <w:rPr>
          <w:rFonts w:ascii="Verdana" w:hAnsi="Verdana" w:cs="Tahoma"/>
          <w:sz w:val="20"/>
        </w:rPr>
        <w:t xml:space="preserve"> </w:t>
      </w:r>
      <w:r>
        <w:rPr>
          <w:rFonts w:ascii="Verdana" w:hAnsi="Verdana" w:cs="Tahoma"/>
          <w:sz w:val="20"/>
          <w:lang w:val="x-none"/>
        </w:rPr>
        <w:t>da da</w:t>
      </w:r>
      <w:r>
        <w:rPr>
          <w:rFonts w:ascii="Verdana" w:hAnsi="Verdana" w:cs="Tahoma"/>
          <w:sz w:val="20"/>
          <w:lang w:val="x-none"/>
        </w:rPr>
        <w:t>ta de tal refinanciamento, tal restrição estabelecida em dólares dos</w:t>
      </w:r>
      <w:r>
        <w:rPr>
          <w:rFonts w:ascii="Verdana" w:hAnsi="Verdana" w:cs="Tahoma"/>
          <w:sz w:val="20"/>
        </w:rPr>
        <w:t xml:space="preserve"> </w:t>
      </w:r>
      <w:r>
        <w:rPr>
          <w:rFonts w:ascii="Verdana" w:hAnsi="Verdana" w:cs="Tahoma"/>
          <w:sz w:val="20"/>
          <w:lang w:val="x-none"/>
        </w:rPr>
        <w:t>Estados Unidos da América não será considerada excedida desde que o valor de</w:t>
      </w:r>
      <w:r>
        <w:rPr>
          <w:rFonts w:ascii="Verdana" w:hAnsi="Verdana" w:cs="Tahoma"/>
          <w:sz w:val="20"/>
        </w:rPr>
        <w:t xml:space="preserve"> </w:t>
      </w:r>
      <w:r>
        <w:rPr>
          <w:rFonts w:ascii="Verdana" w:hAnsi="Verdana" w:cs="Tahoma"/>
          <w:sz w:val="20"/>
          <w:lang w:val="x-none"/>
        </w:rPr>
        <w:t>tal Dívida Permitida para Refinanciamento não excede o valor principal da dívida</w:t>
      </w:r>
      <w:r>
        <w:rPr>
          <w:rFonts w:ascii="Verdana" w:hAnsi="Verdana" w:cs="Tahoma"/>
          <w:sz w:val="20"/>
        </w:rPr>
        <w:t xml:space="preserve"> </w:t>
      </w:r>
      <w:r>
        <w:rPr>
          <w:rFonts w:ascii="Verdana" w:hAnsi="Verdana" w:cs="Tahoma"/>
          <w:sz w:val="20"/>
          <w:lang w:val="x-none"/>
        </w:rPr>
        <w:t xml:space="preserve">que está sendo refinanciada. </w:t>
      </w:r>
      <w:r>
        <w:rPr>
          <w:rFonts w:ascii="Verdana" w:hAnsi="Verdana" w:cs="Tahoma"/>
          <w:sz w:val="20"/>
          <w:lang w:val="x-none"/>
        </w:rPr>
        <w:t>O valor principal de qualquer dívida contratada</w:t>
      </w:r>
      <w:r>
        <w:rPr>
          <w:rFonts w:ascii="Verdana" w:hAnsi="Verdana" w:cs="Tahoma"/>
          <w:sz w:val="20"/>
        </w:rPr>
        <w:t xml:space="preserve"> </w:t>
      </w:r>
      <w:r>
        <w:rPr>
          <w:rFonts w:ascii="Verdana" w:hAnsi="Verdana" w:cs="Tahoma"/>
          <w:sz w:val="20"/>
          <w:lang w:val="x-none"/>
        </w:rPr>
        <w:t>para refinanciar outra dívida, se contratada em moeda diversa da moeda da</w:t>
      </w:r>
      <w:r>
        <w:rPr>
          <w:rFonts w:ascii="Verdana" w:hAnsi="Verdana" w:cs="Tahoma"/>
          <w:sz w:val="20"/>
        </w:rPr>
        <w:t xml:space="preserve"> </w:t>
      </w:r>
      <w:r>
        <w:rPr>
          <w:rFonts w:ascii="Verdana" w:hAnsi="Verdana" w:cs="Tahoma"/>
          <w:sz w:val="20"/>
          <w:lang w:val="x-none"/>
        </w:rPr>
        <w:t>dívida que está sendo refinanciada, será calculada com base na taxa de câmbio</w:t>
      </w:r>
      <w:r>
        <w:rPr>
          <w:rFonts w:ascii="Verdana" w:hAnsi="Verdana" w:cs="Tahoma"/>
          <w:sz w:val="20"/>
        </w:rPr>
        <w:t xml:space="preserve"> </w:t>
      </w:r>
      <w:r>
        <w:rPr>
          <w:rFonts w:ascii="Verdana" w:hAnsi="Verdana" w:cs="Tahoma"/>
          <w:sz w:val="20"/>
          <w:lang w:val="x-none"/>
        </w:rPr>
        <w:t xml:space="preserve">aplicável </w:t>
      </w:r>
      <w:r>
        <w:rPr>
          <w:rFonts w:ascii="Verdana" w:hAnsi="Verdana" w:cs="Tahoma"/>
          <w:sz w:val="20"/>
        </w:rPr>
        <w:t xml:space="preserve">a essa </w:t>
      </w:r>
      <w:r>
        <w:rPr>
          <w:rFonts w:ascii="Verdana" w:hAnsi="Verdana" w:cs="Tahoma"/>
          <w:sz w:val="20"/>
          <w:lang w:val="x-none"/>
        </w:rPr>
        <w:t>Dívida Permitida para Refinanciamento d</w:t>
      </w:r>
      <w:r>
        <w:rPr>
          <w:rFonts w:ascii="Verdana" w:hAnsi="Verdana" w:cs="Tahoma"/>
          <w:sz w:val="20"/>
          <w:lang w:val="x-none"/>
        </w:rPr>
        <w:t xml:space="preserve">a data </w:t>
      </w:r>
      <w:r>
        <w:rPr>
          <w:rFonts w:ascii="Verdana" w:hAnsi="Verdana" w:cs="Tahoma"/>
          <w:sz w:val="20"/>
        </w:rPr>
        <w:t xml:space="preserve">do </w:t>
      </w:r>
      <w:r>
        <w:rPr>
          <w:rFonts w:ascii="Verdana" w:hAnsi="Verdana" w:cs="Tahoma"/>
          <w:sz w:val="20"/>
          <w:lang w:val="x-none"/>
        </w:rPr>
        <w:t>refinanciamento</w:t>
      </w:r>
      <w:r>
        <w:rPr>
          <w:rFonts w:ascii="Verdana" w:hAnsi="Verdana" w:cs="Tahoma"/>
          <w:sz w:val="20"/>
        </w:rPr>
        <w:t>.</w:t>
      </w:r>
    </w:p>
    <w:p w:rsidR="00DE19C8" w:rsidRDefault="00DE19C8">
      <w:pPr>
        <w:widowControl w:val="0"/>
        <w:suppressAutoHyphens/>
        <w:spacing w:line="318" w:lineRule="exact"/>
        <w:ind w:left="1418" w:hanging="709"/>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exclusivamente em relação à Emissora ou quaisquer Controladas Relevantes, a não renovação, cancelamento, revogação ou suspensão das autorizações, concessões, subvenções, alvarás e licenças, inclusive ambientais, necessárias para</w:t>
      </w:r>
      <w:r>
        <w:rPr>
          <w:rFonts w:ascii="Verdana" w:hAnsi="Verdana" w:cs="Tahoma"/>
          <w:sz w:val="20"/>
        </w:rPr>
        <w:t xml:space="preserve"> o regular exercício das suas atividades, que possam afetar adversamente as condições financeiras da Emissora no pagamento das Debêntures;</w:t>
      </w:r>
    </w:p>
    <w:p w:rsidR="00DE19C8" w:rsidRDefault="00DE19C8">
      <w:pPr>
        <w:keepNext/>
        <w:widowControl w:val="0"/>
        <w:suppressAutoHyphens/>
        <w:spacing w:line="318" w:lineRule="exact"/>
        <w:ind w:left="1418" w:hanging="709"/>
        <w:contextualSpacing/>
        <w:rPr>
          <w:rFonts w:ascii="Verdana" w:hAnsi="Verdana" w:cs="Tahoma"/>
          <w:sz w:val="20"/>
        </w:rPr>
      </w:pPr>
    </w:p>
    <w:p w:rsidR="00DE19C8" w:rsidRDefault="00626B63">
      <w:pPr>
        <w:keepNext/>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ato de qualquer autoridade governamental com o objetivo de sequestrar, expropriar, nacionalizar, desapropriar ou de </w:t>
      </w:r>
      <w:r>
        <w:rPr>
          <w:rFonts w:ascii="Verdana" w:hAnsi="Verdana" w:cs="Tahoma"/>
          <w:sz w:val="20"/>
        </w:rPr>
        <w:t>qualquer modo adquirir, compulsoriamente, totalidade ou parte substancial dos ativos, propriedades, das ações do capital social da Emissora ou de quaisquer Controladas Relevantes;</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b/>
          <w:sz w:val="20"/>
        </w:rPr>
      </w:pPr>
      <w:r>
        <w:rPr>
          <w:rFonts w:ascii="Verdana" w:hAnsi="Verdana" w:cs="Tahoma"/>
          <w:sz w:val="20"/>
        </w:rPr>
        <w:t>ocorrência de qualquer alteração na composição do capital social da Emissor</w:t>
      </w:r>
      <w:r>
        <w:rPr>
          <w:rFonts w:ascii="Verdana" w:hAnsi="Verdana" w:cs="Tahoma"/>
          <w:sz w:val="20"/>
        </w:rPr>
        <w:t xml:space="preserve">a, ou qualquer fusão, aquisição, incorporação, incorporação de ações, cisão, alienação, cessão ou transferência, direta ou indireta, de ações do capital social </w:t>
      </w:r>
      <w:r>
        <w:rPr>
          <w:rFonts w:ascii="Verdana" w:hAnsi="Verdana" w:cs="Tahoma"/>
          <w:sz w:val="20"/>
        </w:rPr>
        <w:lastRenderedPageBreak/>
        <w:t>da Emissora, em qualquer operação isolada ou série de operações, que resultem na perda, pelos at</w:t>
      </w:r>
      <w:r>
        <w:rPr>
          <w:rFonts w:ascii="Verdana" w:hAnsi="Verdana" w:cs="Tahoma"/>
          <w:sz w:val="20"/>
        </w:rPr>
        <w:t xml:space="preserve">uais acionistas controladores, do Poder de Controle da Emissora, sem prévio consentimento dos Debenturistas reunidos em assembleia específica. </w:t>
      </w:r>
      <w:r>
        <w:rPr>
          <w:rFonts w:ascii="Verdana" w:hAnsi="Verdana" w:cs="Verdana"/>
          <w:sz w:val="20"/>
        </w:rPr>
        <w:t>Para fins desta cláusula, os atuais acionistas controladores da Emissora são a VDQ Holding S.A., diretamente, e a</w:t>
      </w:r>
      <w:r>
        <w:rPr>
          <w:rFonts w:ascii="Verdana" w:hAnsi="Verdana" w:cs="Verdana"/>
          <w:sz w:val="20"/>
        </w:rPr>
        <w:t xml:space="preserve"> Família Vilela de Queiroz, indiretamente conforme indicado no Formulário de Referência da Emissora. </w:t>
      </w:r>
      <w:r>
        <w:rPr>
          <w:rFonts w:ascii="Verdana" w:hAnsi="Verdana" w:cs="Tahoma"/>
          <w:sz w:val="20"/>
        </w:rPr>
        <w:t>“</w:t>
      </w:r>
      <w:r>
        <w:rPr>
          <w:rFonts w:ascii="Verdana" w:hAnsi="Verdana" w:cs="Tahoma"/>
          <w:sz w:val="20"/>
          <w:u w:val="single"/>
        </w:rPr>
        <w:t>Poder de Controle</w:t>
      </w:r>
      <w:r>
        <w:rPr>
          <w:rFonts w:ascii="Verdana" w:hAnsi="Verdana" w:cs="Tahoma"/>
          <w:sz w:val="20"/>
        </w:rPr>
        <w:t xml:space="preserve">” seguirá a definição constante no Regulamento do Novo Mercado da B3, </w:t>
      </w:r>
      <w:r>
        <w:rPr>
          <w:rFonts w:ascii="Verdana" w:hAnsi="Verdana" w:cs="Verdana"/>
          <w:sz w:val="20"/>
        </w:rPr>
        <w:t>o qual prevê que: Significa o poder efetivamente utilizado de dirig</w:t>
      </w:r>
      <w:r>
        <w:rPr>
          <w:rFonts w:ascii="Verdana" w:hAnsi="Verdana" w:cs="Verdana"/>
          <w:sz w:val="20"/>
        </w:rPr>
        <w:t xml:space="preserve">ir as atividades sociais e orientar o funcionamento dos órgãos da Emissora, de forma direta ou indireta, de fato ou de direito, independentemente da participação acionária detida. Há presunção relativa de titularidade do controle em relação à pessoa ou ao </w:t>
      </w:r>
      <w:r>
        <w:rPr>
          <w:rFonts w:ascii="Verdana" w:hAnsi="Verdana" w:cs="Verdana"/>
          <w:sz w:val="20"/>
        </w:rPr>
        <w:t xml:space="preserve">grupo de acionistas que seja titular de ações que lhe tenham assegurado a maioria absoluta dos votos dos acionistas presentes nas 3 (três) últimas assembleias gerais da Emissora, ainda que não seja titular das ações que lhe assegurem a maioria absoluta do </w:t>
      </w:r>
      <w:r>
        <w:rPr>
          <w:rFonts w:ascii="Verdana" w:hAnsi="Verdana" w:cs="Verdana"/>
          <w:sz w:val="20"/>
        </w:rPr>
        <w:t xml:space="preserve">capital votante e desde que a instituição resultante da incorporação, fusão, cisão ou após a transferência (1) tenha um </w:t>
      </w:r>
      <w:r>
        <w:rPr>
          <w:rFonts w:ascii="Verdana" w:hAnsi="Verdana" w:cs="Verdana"/>
          <w:i/>
          <w:sz w:val="20"/>
        </w:rPr>
        <w:t>rating</w:t>
      </w:r>
      <w:r>
        <w:rPr>
          <w:rFonts w:ascii="Verdana" w:hAnsi="Verdana" w:cs="Verdana"/>
          <w:sz w:val="20"/>
        </w:rPr>
        <w:t xml:space="preserve"> inferior ao rating da instituição original no momento imediatamente anterior à incorporação, fusão, cisão ou transferência, confo</w:t>
      </w:r>
      <w:r>
        <w:rPr>
          <w:rFonts w:ascii="Verdana" w:hAnsi="Verdana" w:cs="Verdana"/>
          <w:sz w:val="20"/>
        </w:rPr>
        <w:t xml:space="preserve">rme publicado por agências de rating de renome; ou (2) não tenha seu rating publicado por agências de </w:t>
      </w:r>
      <w:r>
        <w:rPr>
          <w:rFonts w:ascii="Verdana" w:hAnsi="Verdana" w:cs="Verdana"/>
          <w:i/>
          <w:sz w:val="20"/>
        </w:rPr>
        <w:t>rating</w:t>
      </w:r>
      <w:r>
        <w:rPr>
          <w:rFonts w:ascii="Verdana" w:hAnsi="Verdana" w:cs="Verdana"/>
          <w:sz w:val="20"/>
        </w:rPr>
        <w:t xml:space="preserve"> de renome</w:t>
      </w:r>
      <w:r>
        <w:rPr>
          <w:rFonts w:ascii="Verdana" w:hAnsi="Verdana" w:cs="Tahoma"/>
          <w:sz w:val="20"/>
        </w:rPr>
        <w:t>;</w:t>
      </w:r>
    </w:p>
    <w:p w:rsidR="00DE19C8" w:rsidRDefault="00DE19C8">
      <w:pPr>
        <w:pStyle w:val="PargrafodaLista"/>
        <w:spacing w:line="318" w:lineRule="exact"/>
        <w:contextualSpacing/>
        <w:rPr>
          <w:rFonts w:ascii="Verdana" w:hAnsi="Verdana" w:cs="Tahoma"/>
          <w:sz w:val="20"/>
        </w:rPr>
      </w:pPr>
    </w:p>
    <w:p w:rsidR="00DE19C8" w:rsidRDefault="00626B63">
      <w:pPr>
        <w:keepNext/>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cisão, fusão, incorporação, incorporação de ações ou qualquer forma de reorganização societária envolvendo a Emissora e/ou quaisquer Co</w:t>
      </w:r>
      <w:r>
        <w:rPr>
          <w:rFonts w:ascii="Verdana" w:hAnsi="Verdana" w:cs="Tahoma"/>
          <w:sz w:val="20"/>
        </w:rPr>
        <w:t xml:space="preserve">ntroladas Relevantes, exceto se previamente autorizado pelos Debenturistas; </w:t>
      </w:r>
    </w:p>
    <w:p w:rsidR="00DE19C8" w:rsidRDefault="00DE19C8">
      <w:pPr>
        <w:pStyle w:val="PargrafodaLista"/>
        <w:keepNext/>
        <w:spacing w:line="318" w:lineRule="exact"/>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venda, alienação, transferência e/ou promessa de transferência de ativos da Emissora ou de quaisquer Controladas Relevantes que ultrapassem a valor, individual ou agregado, igual</w:t>
      </w:r>
      <w:r>
        <w:rPr>
          <w:rFonts w:ascii="Verdana" w:hAnsi="Verdana" w:cs="Tahoma"/>
          <w:sz w:val="20"/>
        </w:rPr>
        <w:t xml:space="preserve"> ou superior a 20% (vinte por cento) dos ativos da Emissora ou das Controladas Relevantes, respectivamente, com base nas demonstrações financeiras consolidadas e auditadas de período imediatamente anterior;</w:t>
      </w:r>
    </w:p>
    <w:p w:rsidR="00DE19C8" w:rsidRDefault="00DE19C8">
      <w:pPr>
        <w:pStyle w:val="PargrafodaLista"/>
        <w:spacing w:line="318" w:lineRule="exact"/>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inobservância da Legislação Socioambiental em </w:t>
      </w:r>
      <w:r>
        <w:rPr>
          <w:rFonts w:ascii="Verdana" w:hAnsi="Verdana" w:cs="Tahoma"/>
          <w:sz w:val="20"/>
        </w:rPr>
        <w:t>vigor (abaixo definida)</w:t>
      </w:r>
      <w:proofErr w:type="gramStart"/>
      <w:r>
        <w:rPr>
          <w:rFonts w:ascii="Verdana" w:hAnsi="Verdana" w:cs="Tahoma"/>
          <w:sz w:val="20"/>
        </w:rPr>
        <w:t>, em especial,</w:t>
      </w:r>
      <w:proofErr w:type="gramEnd"/>
      <w:r>
        <w:rPr>
          <w:rFonts w:ascii="Verdana" w:hAnsi="Verdana" w:cs="Tahoma"/>
          <w:sz w:val="20"/>
        </w:rPr>
        <w:t xml:space="preserve"> mas não se limitando, (a) à legislação e regulamentação relacionadas à saúde e segurança ocupacional e ao meio ambiente, bem como (b) ao incentivo, de qualquer forma, à prostituição ou utilização em suas atividades mão</w:t>
      </w:r>
      <w:r>
        <w:rPr>
          <w:rFonts w:ascii="Verdana" w:hAnsi="Verdana" w:cs="Tahoma"/>
          <w:sz w:val="20"/>
        </w:rPr>
        <w:t>-de-obra infantil ou em condição análoga à de escravo; e</w:t>
      </w:r>
    </w:p>
    <w:p w:rsidR="00DE19C8" w:rsidRDefault="00DE19C8">
      <w:pPr>
        <w:pStyle w:val="PargrafodaLista"/>
        <w:spacing w:line="318" w:lineRule="exact"/>
        <w:contextualSpacing/>
        <w:rPr>
          <w:rFonts w:ascii="Verdana" w:hAnsi="Verdana" w:cs="Tahoma"/>
          <w:sz w:val="20"/>
        </w:rPr>
      </w:pPr>
    </w:p>
    <w:p w:rsidR="00DE19C8" w:rsidRDefault="00626B63">
      <w:pPr>
        <w:widowControl w:val="0"/>
        <w:numPr>
          <w:ilvl w:val="0"/>
          <w:numId w:val="26"/>
        </w:numPr>
        <w:tabs>
          <w:tab w:val="clear" w:pos="1080"/>
        </w:tabs>
        <w:suppressAutoHyphens/>
        <w:spacing w:line="318" w:lineRule="exact"/>
        <w:ind w:left="1418" w:hanging="709"/>
        <w:contextualSpacing/>
        <w:rPr>
          <w:rFonts w:ascii="Verdana" w:hAnsi="Verdana" w:cs="Tahoma"/>
          <w:b/>
          <w:sz w:val="20"/>
        </w:rPr>
      </w:pPr>
      <w:r>
        <w:rPr>
          <w:rFonts w:ascii="Verdana" w:hAnsi="Verdana" w:cs="Tahoma"/>
          <w:sz w:val="20"/>
        </w:rPr>
        <w:t xml:space="preserve">alteração ou modificação do objeto social da Emissora que possa causar </w:t>
      </w:r>
      <w:r>
        <w:rPr>
          <w:rFonts w:ascii="Verdana" w:hAnsi="Verdana" w:cs="Tahoma"/>
          <w:sz w:val="20"/>
        </w:rPr>
        <w:lastRenderedPageBreak/>
        <w:t>qualquer efeito adverso na capacidade da Emissora de cumprir qualquer de suas obrigações nos termos desta Escritura de Emissão.</w:t>
      </w:r>
    </w:p>
    <w:p w:rsidR="00DE19C8" w:rsidRDefault="00DE19C8">
      <w:pPr>
        <w:keepNext/>
        <w:widowControl w:val="0"/>
        <w:suppressAutoHyphens/>
        <w:spacing w:line="318" w:lineRule="exact"/>
        <w:contextualSpacing/>
        <w:rPr>
          <w:rFonts w:ascii="Verdana" w:hAnsi="Verdana" w:cs="Tahoma"/>
          <w:sz w:val="20"/>
        </w:rPr>
      </w:pPr>
      <w:bookmarkStart w:id="106" w:name="_DV_M166"/>
      <w:bookmarkStart w:id="107" w:name="_DV_M167"/>
      <w:bookmarkStart w:id="108" w:name="_DV_M168"/>
      <w:bookmarkStart w:id="109" w:name="_DV_M169"/>
      <w:bookmarkStart w:id="110" w:name="_DV_M170"/>
      <w:bookmarkStart w:id="111" w:name="_DV_M171"/>
      <w:bookmarkStart w:id="112" w:name="_DV_M172"/>
      <w:bookmarkStart w:id="113" w:name="_DV_M173"/>
      <w:bookmarkStart w:id="114" w:name="_DV_M174"/>
      <w:bookmarkStart w:id="115" w:name="_DV_M175"/>
      <w:bookmarkStart w:id="116" w:name="_DV_M176"/>
      <w:bookmarkStart w:id="117" w:name="_DV_M177"/>
      <w:bookmarkStart w:id="118" w:name="_DV_M178"/>
      <w:bookmarkStart w:id="119" w:name="_DV_M179"/>
      <w:bookmarkStart w:id="120" w:name="_DV_M180"/>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rsidR="00DE19C8" w:rsidRDefault="00626B63">
      <w:pPr>
        <w:suppressAutoHyphens/>
        <w:spacing w:line="318" w:lineRule="exact"/>
        <w:contextualSpacing/>
        <w:rPr>
          <w:rFonts w:ascii="Verdana" w:hAnsi="Verdana" w:cs="Tahoma"/>
          <w:sz w:val="20"/>
        </w:rPr>
      </w:pPr>
      <w:r>
        <w:rPr>
          <w:rFonts w:ascii="Verdana" w:hAnsi="Verdana" w:cs="Tahoma"/>
          <w:sz w:val="20"/>
        </w:rPr>
        <w:t>4.13.2.</w:t>
      </w:r>
      <w:r>
        <w:rPr>
          <w:rFonts w:ascii="Verdana" w:hAnsi="Verdana" w:cs="Tahoma"/>
          <w:sz w:val="20"/>
        </w:rPr>
        <w:tab/>
        <w:t>A ocorrência de quaisquer dos eventos indicados nos incisos (i), (</w:t>
      </w:r>
      <w:proofErr w:type="spellStart"/>
      <w:r>
        <w:rPr>
          <w:rFonts w:ascii="Verdana" w:hAnsi="Verdana" w:cs="Tahoma"/>
          <w:sz w:val="20"/>
        </w:rPr>
        <w:t>ii</w:t>
      </w:r>
      <w:proofErr w:type="spellEnd"/>
      <w:r>
        <w:rPr>
          <w:rFonts w:ascii="Verdana" w:hAnsi="Verdana" w:cs="Tahoma"/>
          <w:sz w:val="20"/>
        </w:rPr>
        <w:t>), (</w:t>
      </w:r>
      <w:proofErr w:type="spellStart"/>
      <w:r>
        <w:rPr>
          <w:rFonts w:ascii="Verdana" w:hAnsi="Verdana" w:cs="Tahoma"/>
          <w:sz w:val="20"/>
        </w:rPr>
        <w:t>iii</w:t>
      </w:r>
      <w:proofErr w:type="spellEnd"/>
      <w:r>
        <w:rPr>
          <w:rFonts w:ascii="Verdana" w:hAnsi="Verdana" w:cs="Tahoma"/>
          <w:sz w:val="20"/>
        </w:rPr>
        <w:t>), (vi), (</w:t>
      </w:r>
      <w:proofErr w:type="spellStart"/>
      <w:r>
        <w:rPr>
          <w:rFonts w:ascii="Verdana" w:hAnsi="Verdana" w:cs="Tahoma"/>
          <w:sz w:val="20"/>
        </w:rPr>
        <w:t>vii</w:t>
      </w:r>
      <w:proofErr w:type="spellEnd"/>
      <w:r>
        <w:rPr>
          <w:rFonts w:ascii="Verdana" w:hAnsi="Verdana" w:cs="Tahoma"/>
          <w:sz w:val="20"/>
        </w:rPr>
        <w:t>) (</w:t>
      </w:r>
      <w:proofErr w:type="spellStart"/>
      <w:r>
        <w:rPr>
          <w:rFonts w:ascii="Verdana" w:hAnsi="Verdana" w:cs="Tahoma"/>
          <w:sz w:val="20"/>
        </w:rPr>
        <w:t>viii</w:t>
      </w:r>
      <w:proofErr w:type="spellEnd"/>
      <w:r>
        <w:rPr>
          <w:rFonts w:ascii="Verdana" w:hAnsi="Verdana" w:cs="Tahoma"/>
          <w:sz w:val="20"/>
        </w:rPr>
        <w:t>), (</w:t>
      </w:r>
      <w:proofErr w:type="spellStart"/>
      <w:r>
        <w:rPr>
          <w:rFonts w:ascii="Verdana" w:hAnsi="Verdana" w:cs="Tahoma"/>
          <w:sz w:val="20"/>
        </w:rPr>
        <w:t>ix</w:t>
      </w:r>
      <w:proofErr w:type="spellEnd"/>
      <w:r>
        <w:rPr>
          <w:rFonts w:ascii="Verdana" w:hAnsi="Verdana" w:cs="Tahoma"/>
          <w:sz w:val="20"/>
        </w:rPr>
        <w:t>), (x) e (xi) do item 4.13.1 acima, respeitados os respectivos períodos de cura aplicáveis, acarretará o vencimento antecipado automático das Deb</w:t>
      </w:r>
      <w:r>
        <w:rPr>
          <w:rFonts w:ascii="Verdana" w:hAnsi="Verdana" w:cs="Tahoma"/>
          <w:sz w:val="20"/>
        </w:rPr>
        <w:t xml:space="preserve">êntures, independentemente de aviso, notificação ou interpelação judicial ou extrajudicial. </w:t>
      </w:r>
    </w:p>
    <w:p w:rsidR="00DE19C8" w:rsidRDefault="00DE19C8">
      <w:pPr>
        <w:widowControl w:val="0"/>
        <w:suppressAutoHyphens/>
        <w:spacing w:line="318" w:lineRule="exact"/>
        <w:contextualSpacing/>
        <w:rPr>
          <w:rFonts w:ascii="Verdana" w:hAnsi="Verdana" w:cs="Tahoma"/>
          <w:sz w:val="20"/>
        </w:rPr>
      </w:pPr>
    </w:p>
    <w:p w:rsidR="00DE19C8" w:rsidRDefault="00626B63">
      <w:pPr>
        <w:keepNext/>
        <w:suppressAutoHyphens/>
        <w:spacing w:line="318" w:lineRule="exact"/>
        <w:contextualSpacing/>
        <w:rPr>
          <w:rFonts w:ascii="Verdana" w:hAnsi="Verdana" w:cs="Tahoma"/>
          <w:sz w:val="20"/>
        </w:rPr>
      </w:pPr>
      <w:r>
        <w:rPr>
          <w:rFonts w:ascii="Verdana" w:hAnsi="Verdana" w:cs="Tahoma"/>
          <w:sz w:val="20"/>
        </w:rPr>
        <w:t>4.13.2.1. Na ocorrência dos eventos previstos nos demais incisos do item 4.13.1 acima, o Agente Fiduciário deverá convocar Assembleia de Debenturistas, no prazo d</w:t>
      </w:r>
      <w:r>
        <w:rPr>
          <w:rFonts w:ascii="Verdana" w:hAnsi="Verdana" w:cs="Tahoma"/>
          <w:sz w:val="20"/>
        </w:rPr>
        <w:t xml:space="preserve">e 2 (dois) Dias Úteis a contar do momento em que tomar ciência do evento ou for assim informado por quaisquer dos Debenturistas ou pela Emissora. A Assembleia de Debenturistas a que se refere este item deverá ser instalada de acordo com os procedimentos e </w:t>
      </w:r>
      <w:r>
        <w:rPr>
          <w:rFonts w:ascii="Verdana" w:hAnsi="Verdana" w:cs="Tahoma"/>
          <w:sz w:val="20"/>
        </w:rPr>
        <w:t xml:space="preserve">quórum previstos na Cláusula Sétima desta Escritura de Emissão, e os Debenturistas poderão optar, por deliberação de titulares que representem, no mínimo, </w:t>
      </w:r>
      <w:r>
        <w:rPr>
          <w:rFonts w:ascii="Verdana" w:hAnsi="Verdana"/>
          <w:sz w:val="20"/>
        </w:rPr>
        <w:t>2/3 (dois terços) das Debêntures em Circulação da respectiva série</w:t>
      </w:r>
      <w:r>
        <w:rPr>
          <w:rFonts w:ascii="Verdana" w:hAnsi="Verdana" w:cs="Tahoma"/>
          <w:sz w:val="20"/>
        </w:rPr>
        <w:t xml:space="preserve">, por não declarar antecipadamente </w:t>
      </w:r>
      <w:r>
        <w:rPr>
          <w:rFonts w:ascii="Verdana" w:hAnsi="Verdana" w:cs="Tahoma"/>
          <w:sz w:val="20"/>
        </w:rPr>
        <w:t>vencidas as obrigações decorrentes das Debêntures. Referida Assembleia de Debenturistas deverá, ainda, ser realizada no prazo legal.</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4.13.3.</w:t>
      </w:r>
      <w:r>
        <w:rPr>
          <w:rFonts w:ascii="Verdana" w:hAnsi="Verdana" w:cs="Tahoma"/>
          <w:sz w:val="20"/>
        </w:rPr>
        <w:tab/>
        <w:t>A não instalação das referidas Assembleias de Debenturistas por falta de quórum, em segunda convocação, será inter</w:t>
      </w:r>
      <w:r>
        <w:rPr>
          <w:rFonts w:ascii="Verdana" w:hAnsi="Verdana" w:cs="Tahoma"/>
          <w:sz w:val="20"/>
        </w:rPr>
        <w:t>pretada pelo Agente Fiduciário como uma opção dos Debenturistas em declarar antecipadamente vencidas as Debêntures de que são titulares.</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4.13.4.</w:t>
      </w:r>
      <w:r>
        <w:rPr>
          <w:rFonts w:ascii="Verdana" w:hAnsi="Verdana" w:cs="Tahoma"/>
          <w:sz w:val="20"/>
        </w:rPr>
        <w:tab/>
        <w:t xml:space="preserve">Em caso de declaração do vencimento antecipado das Debêntures na forma das cláusulas 4.13.2 e 4.13.3 acima, a </w:t>
      </w:r>
      <w:r>
        <w:rPr>
          <w:rFonts w:ascii="Verdana" w:hAnsi="Verdana" w:cs="Tahoma"/>
          <w:sz w:val="20"/>
        </w:rPr>
        <w:t>Emissora obriga-se a efetuar o pagamento do Valor Nominal Unitário das Debêntures ou saldo do Valor Nominal Unitário das Debêntures, conforme aplicável, que tiveram seu vencimento antecipado declarado, acrescido dos Juros Remuneratórios aplicáveis a cada u</w:t>
      </w:r>
      <w:r>
        <w:rPr>
          <w:rFonts w:ascii="Verdana" w:hAnsi="Verdana" w:cs="Tahoma"/>
          <w:sz w:val="20"/>
        </w:rPr>
        <w:t xml:space="preserve">ma das séries calculados </w:t>
      </w:r>
      <w:r>
        <w:rPr>
          <w:rFonts w:ascii="Verdana" w:hAnsi="Verdana" w:cs="Tahoma"/>
          <w:i/>
          <w:sz w:val="20"/>
        </w:rPr>
        <w:t xml:space="preserve">pro rata </w:t>
      </w:r>
      <w:proofErr w:type="spellStart"/>
      <w:r>
        <w:rPr>
          <w:rFonts w:ascii="Verdana" w:hAnsi="Verdana" w:cs="Tahoma"/>
          <w:i/>
          <w:sz w:val="20"/>
        </w:rPr>
        <w:t>temporis</w:t>
      </w:r>
      <w:proofErr w:type="spellEnd"/>
      <w:r>
        <w:rPr>
          <w:rFonts w:ascii="Verdana" w:hAnsi="Verdana" w:cs="Tahoma"/>
          <w:sz w:val="20"/>
        </w:rPr>
        <w:t>, e de quaisquer outros valores eventualmente devidos pela Emissora nos termos desta Escritura da Emissão, desde a primeira Data de Integralização até a data do efetivo pagamento, em até 5 (cinco) Dias Úteis contad</w:t>
      </w:r>
      <w:r>
        <w:rPr>
          <w:rFonts w:ascii="Verdana" w:hAnsi="Verdana" w:cs="Tahoma"/>
          <w:sz w:val="20"/>
        </w:rPr>
        <w:t xml:space="preserve">os da data em que forem vencidas antecipadamente as Debêntures, conforme o caso, fora do âmbito da B3 – Segmento </w:t>
      </w:r>
      <w:proofErr w:type="spellStart"/>
      <w:r>
        <w:rPr>
          <w:rFonts w:ascii="Verdana" w:hAnsi="Verdana" w:cs="Tahoma"/>
          <w:sz w:val="20"/>
        </w:rPr>
        <w:t>Cetip</w:t>
      </w:r>
      <w:proofErr w:type="spellEnd"/>
      <w:r>
        <w:rPr>
          <w:rFonts w:ascii="Verdana" w:hAnsi="Verdana" w:cs="Tahoma"/>
          <w:sz w:val="20"/>
        </w:rPr>
        <w:t xml:space="preserve"> UTVM, considerando que todas as Debêntures serão pagas em uma única data, mediante comunicação por escrito a ser enviada pelo Agente Fidu</w:t>
      </w:r>
      <w:r>
        <w:rPr>
          <w:rFonts w:ascii="Verdana" w:hAnsi="Verdana" w:cs="Tahoma"/>
          <w:sz w:val="20"/>
        </w:rPr>
        <w:t>ciário à Emissora por meio de carta protocolada ou por meio de carta protocolada com aviso de recebimento, no endereço constante da Cláusula Nona abaixo desta Escritura de Emissão, por meio de fac-símile com confirmação de recebimento enviado ao número con</w:t>
      </w:r>
      <w:r>
        <w:rPr>
          <w:rFonts w:ascii="Verdana" w:hAnsi="Verdana" w:cs="Tahoma"/>
          <w:sz w:val="20"/>
        </w:rPr>
        <w:t>stante da Cláusula Nona abaixo desta Escritura de Emissão ou por meio de correspondência eletrônica (e-mail) com confirmação de recebimento e leitura, sob pena de, em não o fazendo, ficar obrigada, ainda, ao pagamento dos encargos moratórios previstos no i</w:t>
      </w:r>
      <w:r>
        <w:rPr>
          <w:rFonts w:ascii="Verdana" w:hAnsi="Verdana" w:cs="Tahoma"/>
          <w:sz w:val="20"/>
        </w:rPr>
        <w:t>tem 4.14.1 abaixo.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4.13.5.</w:t>
      </w:r>
      <w:r>
        <w:rPr>
          <w:rFonts w:ascii="Verdana" w:hAnsi="Verdana" w:cs="Tahoma"/>
          <w:sz w:val="20"/>
        </w:rPr>
        <w:tab/>
        <w:t xml:space="preserve">Caso ocorra o pagamento citado no item 4.13.4 acima, a </w:t>
      </w:r>
      <w:r>
        <w:rPr>
          <w:rFonts w:ascii="Verdana" w:hAnsi="Verdana" w:cs="Tahoma"/>
          <w:color w:val="000000"/>
          <w:sz w:val="20"/>
        </w:rPr>
        <w:t xml:space="preserve">B3 – Segmento </w:t>
      </w:r>
      <w:proofErr w:type="spellStart"/>
      <w:r>
        <w:rPr>
          <w:rFonts w:ascii="Verdana" w:hAnsi="Verdana" w:cs="Tahoma"/>
          <w:color w:val="000000"/>
          <w:sz w:val="20"/>
        </w:rPr>
        <w:t>Cetip</w:t>
      </w:r>
      <w:proofErr w:type="spellEnd"/>
      <w:r>
        <w:rPr>
          <w:rFonts w:ascii="Verdana" w:hAnsi="Verdana" w:cs="Tahoma"/>
          <w:color w:val="000000"/>
          <w:sz w:val="20"/>
        </w:rPr>
        <w:t xml:space="preserve"> UTVM</w:t>
      </w:r>
      <w:r>
        <w:rPr>
          <w:rFonts w:ascii="Verdana" w:hAnsi="Verdana" w:cs="Tahoma"/>
          <w:sz w:val="20"/>
        </w:rPr>
        <w:t xml:space="preserve"> deverá ser comunicada com, imediatamente após a declaração do vencimento antecipado, nos termos de seu Manual de Operações.</w:t>
      </w:r>
    </w:p>
    <w:p w:rsidR="00DE19C8" w:rsidRDefault="00DE19C8">
      <w:pPr>
        <w:suppressAutoHyphens/>
        <w:spacing w:line="318" w:lineRule="exact"/>
        <w:contextualSpacing/>
        <w:rPr>
          <w:rFonts w:ascii="Verdana" w:hAnsi="Verdana" w:cs="Tahoma"/>
          <w:sz w:val="20"/>
        </w:rPr>
      </w:pPr>
    </w:p>
    <w:p w:rsidR="00DE19C8" w:rsidRDefault="00626B63">
      <w:pPr>
        <w:keepNext/>
        <w:numPr>
          <w:ilvl w:val="0"/>
          <w:numId w:val="70"/>
        </w:numPr>
        <w:suppressAutoHyphens/>
        <w:spacing w:line="318" w:lineRule="exact"/>
        <w:ind w:left="0" w:firstLine="0"/>
        <w:contextualSpacing/>
        <w:rPr>
          <w:rFonts w:ascii="Verdana" w:hAnsi="Verdana" w:cs="Tahoma"/>
          <w:b/>
          <w:sz w:val="20"/>
        </w:rPr>
      </w:pPr>
      <w:r>
        <w:rPr>
          <w:rFonts w:ascii="Verdana" w:hAnsi="Verdana" w:cs="Tahoma"/>
          <w:b/>
          <w:sz w:val="20"/>
        </w:rPr>
        <w:t>Encargos Moratórios</w:t>
      </w:r>
    </w:p>
    <w:p w:rsidR="00DE19C8" w:rsidRDefault="00DE19C8">
      <w:pPr>
        <w:keepNext/>
        <w:suppressAutoHyphens/>
        <w:spacing w:line="318" w:lineRule="exact"/>
        <w:contextualSpacing/>
        <w:rPr>
          <w:rFonts w:ascii="Verdana" w:hAnsi="Verdana" w:cs="Tahoma"/>
          <w:sz w:val="20"/>
        </w:rPr>
      </w:pPr>
    </w:p>
    <w:p w:rsidR="00DE19C8" w:rsidRDefault="00626B63">
      <w:pPr>
        <w:keepNext/>
        <w:suppressAutoHyphens/>
        <w:spacing w:line="318" w:lineRule="exact"/>
        <w:contextualSpacing/>
        <w:rPr>
          <w:rFonts w:ascii="Verdana" w:hAnsi="Verdana" w:cs="Tahoma"/>
          <w:sz w:val="20"/>
        </w:rPr>
      </w:pPr>
      <w:r>
        <w:rPr>
          <w:rFonts w:ascii="Verdana" w:hAnsi="Verdana" w:cs="Tahoma"/>
          <w:sz w:val="20"/>
        </w:rPr>
        <w:t>4.14.1.</w:t>
      </w:r>
      <w:r>
        <w:rPr>
          <w:rFonts w:ascii="Verdana" w:hAnsi="Verdana" w:cs="Tahoma"/>
          <w:sz w:val="20"/>
        </w:rPr>
        <w:tab/>
        <w:t xml:space="preserve">Caso a Emissora deixe de efetuar quaisquer pagamentos de quaisquer quantias devidas aos Debenturistas nas datas em que são devidos, tais pagamentos devidos e não pagos continuarão sujeitos à eventual remuneração incidente sobre os mesmos e ficarão </w:t>
      </w:r>
      <w:r>
        <w:rPr>
          <w:rFonts w:ascii="Verdana" w:hAnsi="Verdana" w:cs="Tahoma"/>
          <w:sz w:val="20"/>
        </w:rPr>
        <w:t>sujeitos, ainda, aos seguintes encargos moratórios (“</w:t>
      </w:r>
      <w:r>
        <w:rPr>
          <w:rFonts w:ascii="Verdana" w:hAnsi="Verdana" w:cs="Tahoma"/>
          <w:sz w:val="20"/>
          <w:u w:val="single"/>
        </w:rPr>
        <w:t>Encargos Moratórios</w:t>
      </w:r>
      <w:r>
        <w:rPr>
          <w:rFonts w:ascii="Verdana" w:hAnsi="Verdana" w:cs="Tahoma"/>
          <w:sz w:val="20"/>
        </w:rPr>
        <w:t>”): (a) multa moratória convencional, irredutível e de natureza não compensatória, de 2% (dois por cento) sobre o valor devido e não pago; e (b) juros de mora não compensatórios calcul</w:t>
      </w:r>
      <w:r>
        <w:rPr>
          <w:rFonts w:ascii="Verdana" w:hAnsi="Verdana" w:cs="Tahoma"/>
          <w:sz w:val="20"/>
        </w:rPr>
        <w:t xml:space="preserve">ados à taxa de 1% (um por cento) ao mês, </w:t>
      </w:r>
      <w:r>
        <w:rPr>
          <w:rFonts w:ascii="Verdana" w:hAnsi="Verdana"/>
          <w:i/>
          <w:sz w:val="20"/>
        </w:rPr>
        <w:t xml:space="preserve">pro rata </w:t>
      </w:r>
      <w:proofErr w:type="spellStart"/>
      <w:r>
        <w:rPr>
          <w:rFonts w:ascii="Verdana" w:hAnsi="Verdana"/>
          <w:i/>
          <w:sz w:val="20"/>
        </w:rPr>
        <w:t>temporis</w:t>
      </w:r>
      <w:proofErr w:type="spellEnd"/>
      <w:r>
        <w:rPr>
          <w:rFonts w:ascii="Verdana" w:hAnsi="Verdana" w:cs="Tahoma"/>
          <w:sz w:val="20"/>
        </w:rPr>
        <w:t xml:space="preserve">. Os Encargos Moratórios ora estabelecidos incidirão sobre o montante devido e não pago desde o efetivo descumprimento da obrigação respectiva até a data do seu efetivo pagamento, independentemente </w:t>
      </w:r>
      <w:r>
        <w:rPr>
          <w:rFonts w:ascii="Verdana" w:hAnsi="Verdana" w:cs="Tahoma"/>
          <w:sz w:val="20"/>
        </w:rPr>
        <w:t>de aviso, notificação ou interpelação judicial ou extrajudicial.</w:t>
      </w:r>
    </w:p>
    <w:p w:rsidR="00DE19C8" w:rsidRDefault="00DE19C8">
      <w:pPr>
        <w:suppressAutoHyphens/>
        <w:spacing w:line="318" w:lineRule="exact"/>
        <w:contextualSpacing/>
        <w:rPr>
          <w:rFonts w:ascii="Verdana" w:hAnsi="Verdana" w:cs="Tahoma"/>
          <w:sz w:val="20"/>
        </w:rPr>
      </w:pPr>
    </w:p>
    <w:p w:rsidR="00DE19C8" w:rsidRDefault="00626B63">
      <w:pPr>
        <w:keepNext/>
        <w:numPr>
          <w:ilvl w:val="0"/>
          <w:numId w:val="70"/>
        </w:numPr>
        <w:suppressAutoHyphens/>
        <w:spacing w:line="318" w:lineRule="exact"/>
        <w:ind w:left="0" w:firstLine="0"/>
        <w:contextualSpacing/>
        <w:rPr>
          <w:rFonts w:ascii="Verdana" w:hAnsi="Verdana" w:cs="Tahoma"/>
          <w:b/>
          <w:snapToGrid w:val="0"/>
          <w:sz w:val="20"/>
        </w:rPr>
      </w:pPr>
      <w:r>
        <w:rPr>
          <w:rFonts w:ascii="Verdana" w:hAnsi="Verdana" w:cs="Tahoma"/>
          <w:b/>
          <w:bCs/>
          <w:sz w:val="20"/>
        </w:rPr>
        <w:t>Atraso</w:t>
      </w:r>
      <w:r>
        <w:rPr>
          <w:rFonts w:ascii="Verdana" w:hAnsi="Verdana" w:cs="Tahoma"/>
          <w:b/>
          <w:snapToGrid w:val="0"/>
          <w:sz w:val="20"/>
        </w:rPr>
        <w:t xml:space="preserve"> no Recebimento dos Pagamentos</w:t>
      </w:r>
    </w:p>
    <w:p w:rsidR="00DE19C8" w:rsidRDefault="00DE19C8">
      <w:pPr>
        <w:keepNext/>
        <w:widowControl w:val="0"/>
        <w:suppressAutoHyphens/>
        <w:spacing w:line="318" w:lineRule="exact"/>
        <w:contextualSpacing/>
        <w:rPr>
          <w:rFonts w:ascii="Verdana" w:hAnsi="Verdana" w:cs="Tahoma"/>
          <w:snapToGrid w:val="0"/>
          <w:sz w:val="20"/>
        </w:rPr>
      </w:pPr>
    </w:p>
    <w:p w:rsidR="00DE19C8" w:rsidRDefault="00626B63">
      <w:pPr>
        <w:keepNext/>
        <w:tabs>
          <w:tab w:val="left" w:pos="-2268"/>
          <w:tab w:val="left" w:pos="709"/>
        </w:tabs>
        <w:suppressAutoHyphens/>
        <w:spacing w:line="318" w:lineRule="exact"/>
        <w:contextualSpacing/>
        <w:rPr>
          <w:rFonts w:ascii="Verdana" w:hAnsi="Verdana" w:cs="Tahoma"/>
          <w:b/>
          <w:snapToGrid w:val="0"/>
          <w:sz w:val="20"/>
        </w:rPr>
      </w:pPr>
      <w:r>
        <w:rPr>
          <w:rFonts w:ascii="Verdana" w:hAnsi="Verdana" w:cs="Tahoma"/>
          <w:snapToGrid w:val="0"/>
          <w:sz w:val="20"/>
        </w:rPr>
        <w:t>4.15.1.</w:t>
      </w:r>
      <w:r>
        <w:rPr>
          <w:rFonts w:ascii="Verdana" w:hAnsi="Verdana" w:cs="Tahoma"/>
          <w:snapToGrid w:val="0"/>
          <w:sz w:val="20"/>
        </w:rPr>
        <w:tab/>
        <w:t xml:space="preserve">Sem prejuízo do disposto no item 4.14.1 supra, </w:t>
      </w:r>
      <w:r>
        <w:rPr>
          <w:rFonts w:ascii="Verdana" w:hAnsi="Verdana" w:cs="Tahoma"/>
          <w:sz w:val="20"/>
        </w:rPr>
        <w:t xml:space="preserve">o não comparecimento dos Debenturistas para receber o valor correspondente a qualquer das </w:t>
      </w:r>
      <w:r>
        <w:rPr>
          <w:rFonts w:ascii="Verdana" w:hAnsi="Verdana" w:cs="Tahoma"/>
          <w:sz w:val="20"/>
        </w:rPr>
        <w:t>obrigações pecuniárias devidas pela Emissora, nas datas previstas nesta Escritura de Emissão ou em comunicado publicado pela Emissora, não lhe dará direito ao recebimento de qualquer acréscimo relativo ao atraso no recebimento, sendo-lhe, todavia, assegura</w:t>
      </w:r>
      <w:r>
        <w:rPr>
          <w:rFonts w:ascii="Verdana" w:hAnsi="Verdana" w:cs="Tahoma"/>
          <w:sz w:val="20"/>
        </w:rPr>
        <w:t>dos os direitos adquiridos até a data do respectivo vencimento.</w:t>
      </w:r>
    </w:p>
    <w:p w:rsidR="00DE19C8" w:rsidRDefault="00DE19C8">
      <w:pPr>
        <w:suppressAutoHyphens/>
        <w:spacing w:line="318" w:lineRule="exact"/>
        <w:contextualSpacing/>
        <w:rPr>
          <w:rFonts w:ascii="Verdana" w:hAnsi="Verdana" w:cs="Tahoma"/>
          <w:b/>
          <w:snapToGrid w:val="0"/>
          <w:sz w:val="20"/>
        </w:rPr>
      </w:pPr>
    </w:p>
    <w:p w:rsidR="00DE19C8" w:rsidRDefault="00626B63">
      <w:pPr>
        <w:keepNext/>
        <w:numPr>
          <w:ilvl w:val="0"/>
          <w:numId w:val="70"/>
        </w:numPr>
        <w:suppressAutoHyphens/>
        <w:spacing w:line="318" w:lineRule="exact"/>
        <w:ind w:left="0" w:firstLine="0"/>
        <w:contextualSpacing/>
        <w:rPr>
          <w:rFonts w:ascii="Verdana" w:hAnsi="Verdana" w:cs="Tahoma"/>
          <w:b/>
          <w:sz w:val="20"/>
        </w:rPr>
      </w:pPr>
      <w:r>
        <w:rPr>
          <w:rFonts w:ascii="Verdana" w:hAnsi="Verdana" w:cs="Tahoma"/>
          <w:b/>
          <w:bCs/>
          <w:sz w:val="20"/>
        </w:rPr>
        <w:t>Local</w:t>
      </w:r>
      <w:r>
        <w:rPr>
          <w:rFonts w:ascii="Verdana" w:hAnsi="Verdana" w:cs="Tahoma"/>
          <w:b/>
          <w:sz w:val="20"/>
        </w:rPr>
        <w:t xml:space="preserve"> de Pagamento</w:t>
      </w:r>
    </w:p>
    <w:p w:rsidR="00DE19C8" w:rsidRDefault="00DE19C8">
      <w:pPr>
        <w:keepNext/>
        <w:widowControl w:val="0"/>
        <w:suppressAutoHyphens/>
        <w:spacing w:line="318" w:lineRule="exact"/>
        <w:contextualSpacing/>
        <w:rPr>
          <w:rFonts w:ascii="Verdana" w:hAnsi="Verdana" w:cs="Tahoma"/>
          <w:sz w:val="20"/>
        </w:rPr>
      </w:pPr>
    </w:p>
    <w:p w:rsidR="00DE19C8" w:rsidRDefault="00626B63">
      <w:pPr>
        <w:keepNext/>
        <w:widowControl w:val="0"/>
        <w:suppressAutoHyphens/>
        <w:spacing w:line="318" w:lineRule="exact"/>
        <w:contextualSpacing/>
        <w:rPr>
          <w:rFonts w:ascii="Verdana" w:hAnsi="Verdana" w:cs="Tahoma"/>
          <w:sz w:val="20"/>
        </w:rPr>
      </w:pPr>
      <w:r>
        <w:rPr>
          <w:rFonts w:ascii="Verdana" w:hAnsi="Verdana" w:cs="Tahoma"/>
          <w:sz w:val="20"/>
        </w:rPr>
        <w:t>4.16.1.</w:t>
      </w:r>
      <w:r>
        <w:rPr>
          <w:rFonts w:ascii="Verdana" w:hAnsi="Verdana" w:cs="Tahoma"/>
          <w:sz w:val="20"/>
        </w:rPr>
        <w:tab/>
        <w:t xml:space="preserve">Os pagamentos a que fizerem jus as Debêntures serão efetuados pela Emissora por meio dos procedimentos adotados pela </w:t>
      </w:r>
      <w:r>
        <w:rPr>
          <w:rFonts w:ascii="Verdana" w:hAnsi="Verdana" w:cs="Tahoma"/>
          <w:color w:val="000000"/>
          <w:sz w:val="20"/>
        </w:rPr>
        <w:t xml:space="preserve">B3 – Segmento </w:t>
      </w:r>
      <w:proofErr w:type="spellStart"/>
      <w:r>
        <w:rPr>
          <w:rFonts w:ascii="Verdana" w:hAnsi="Verdana" w:cs="Tahoma"/>
          <w:color w:val="000000"/>
          <w:sz w:val="20"/>
        </w:rPr>
        <w:t>Cetip</w:t>
      </w:r>
      <w:proofErr w:type="spellEnd"/>
      <w:r>
        <w:rPr>
          <w:rFonts w:ascii="Verdana" w:hAnsi="Verdana" w:cs="Tahoma"/>
          <w:color w:val="000000"/>
          <w:sz w:val="20"/>
        </w:rPr>
        <w:t xml:space="preserve"> UTVM</w:t>
      </w:r>
      <w:r>
        <w:rPr>
          <w:rFonts w:ascii="Verdana" w:hAnsi="Verdana" w:cs="Tahoma"/>
          <w:sz w:val="20"/>
        </w:rPr>
        <w:t>, conforme as Debêntur</w:t>
      </w:r>
      <w:r>
        <w:rPr>
          <w:rFonts w:ascii="Verdana" w:hAnsi="Verdana" w:cs="Tahoma"/>
          <w:sz w:val="20"/>
        </w:rPr>
        <w:t xml:space="preserve">es estejam custodiadas eletronicamente junto à </w:t>
      </w:r>
      <w:r>
        <w:rPr>
          <w:rFonts w:ascii="Verdana" w:hAnsi="Verdana" w:cs="Tahoma"/>
          <w:color w:val="000000"/>
          <w:sz w:val="20"/>
        </w:rPr>
        <w:t xml:space="preserve">B3 – Segmento </w:t>
      </w:r>
      <w:proofErr w:type="spellStart"/>
      <w:r>
        <w:rPr>
          <w:rFonts w:ascii="Verdana" w:hAnsi="Verdana" w:cs="Tahoma"/>
          <w:color w:val="000000"/>
          <w:sz w:val="20"/>
        </w:rPr>
        <w:t>Cetip</w:t>
      </w:r>
      <w:proofErr w:type="spellEnd"/>
      <w:r>
        <w:rPr>
          <w:rFonts w:ascii="Verdana" w:hAnsi="Verdana" w:cs="Tahoma"/>
          <w:color w:val="000000"/>
          <w:sz w:val="20"/>
        </w:rPr>
        <w:t xml:space="preserve"> UTVM</w:t>
      </w:r>
      <w:r>
        <w:rPr>
          <w:rFonts w:ascii="Verdana" w:hAnsi="Verdana" w:cs="Tahoma"/>
          <w:sz w:val="20"/>
        </w:rPr>
        <w:t xml:space="preserve">. As Debêntures que não estiverem custodiadas eletronicamente junto à </w:t>
      </w:r>
      <w:r>
        <w:rPr>
          <w:rFonts w:ascii="Verdana" w:hAnsi="Verdana" w:cs="Tahoma"/>
          <w:color w:val="000000"/>
          <w:sz w:val="20"/>
        </w:rPr>
        <w:t xml:space="preserve">B3 – Segmento </w:t>
      </w:r>
      <w:proofErr w:type="spellStart"/>
      <w:r>
        <w:rPr>
          <w:rFonts w:ascii="Verdana" w:hAnsi="Verdana" w:cs="Tahoma"/>
          <w:color w:val="000000"/>
          <w:sz w:val="20"/>
        </w:rPr>
        <w:t>Cetip</w:t>
      </w:r>
      <w:proofErr w:type="spellEnd"/>
      <w:r>
        <w:rPr>
          <w:rFonts w:ascii="Verdana" w:hAnsi="Verdana" w:cs="Tahoma"/>
          <w:color w:val="000000"/>
          <w:sz w:val="20"/>
        </w:rPr>
        <w:t xml:space="preserve"> UTVM</w:t>
      </w:r>
      <w:r>
        <w:rPr>
          <w:rFonts w:ascii="Verdana" w:hAnsi="Verdana" w:cs="Tahoma"/>
          <w:sz w:val="20"/>
        </w:rPr>
        <w:t xml:space="preserve"> terão os seus pagamentos realizados junto ao </w:t>
      </w:r>
      <w:proofErr w:type="spellStart"/>
      <w:r>
        <w:rPr>
          <w:rFonts w:ascii="Verdana" w:hAnsi="Verdana" w:cs="Tahoma"/>
          <w:sz w:val="20"/>
        </w:rPr>
        <w:t>Escriturador</w:t>
      </w:r>
      <w:proofErr w:type="spellEnd"/>
      <w:r>
        <w:rPr>
          <w:rFonts w:ascii="Verdana" w:hAnsi="Verdana" w:cs="Tahoma"/>
          <w:sz w:val="20"/>
        </w:rPr>
        <w:t>.</w:t>
      </w:r>
    </w:p>
    <w:p w:rsidR="00DE19C8" w:rsidRDefault="00DE19C8">
      <w:pPr>
        <w:suppressAutoHyphens/>
        <w:spacing w:line="318" w:lineRule="exact"/>
        <w:contextualSpacing/>
        <w:rPr>
          <w:rFonts w:ascii="Verdana" w:hAnsi="Verdana" w:cs="Tahoma"/>
          <w:sz w:val="20"/>
        </w:rPr>
      </w:pPr>
    </w:p>
    <w:p w:rsidR="00DE19C8" w:rsidRDefault="00626B63">
      <w:pPr>
        <w:numPr>
          <w:ilvl w:val="0"/>
          <w:numId w:val="70"/>
        </w:numPr>
        <w:suppressAutoHyphens/>
        <w:spacing w:line="318" w:lineRule="exact"/>
        <w:ind w:left="0" w:firstLine="0"/>
        <w:contextualSpacing/>
        <w:rPr>
          <w:rFonts w:ascii="Verdana" w:hAnsi="Verdana" w:cs="Tahoma"/>
          <w:b/>
          <w:sz w:val="20"/>
        </w:rPr>
      </w:pPr>
      <w:r>
        <w:rPr>
          <w:rFonts w:ascii="Verdana" w:hAnsi="Verdana" w:cs="Tahoma"/>
          <w:b/>
          <w:bCs/>
          <w:sz w:val="20"/>
        </w:rPr>
        <w:t>Prorrogação</w:t>
      </w:r>
      <w:r>
        <w:rPr>
          <w:rFonts w:ascii="Verdana" w:hAnsi="Verdana" w:cs="Tahoma"/>
          <w:b/>
          <w:sz w:val="20"/>
        </w:rPr>
        <w:t xml:space="preserve"> dos Prazos</w:t>
      </w:r>
    </w:p>
    <w:p w:rsidR="00DE19C8" w:rsidRDefault="00DE19C8">
      <w:pPr>
        <w:keepNext/>
        <w:widowControl w:val="0"/>
        <w:suppressAutoHyphens/>
        <w:spacing w:line="318" w:lineRule="exact"/>
        <w:contextualSpacing/>
        <w:rPr>
          <w:rFonts w:ascii="Verdana" w:hAnsi="Verdana" w:cs="Tahoma"/>
          <w:sz w:val="20"/>
        </w:rPr>
      </w:pPr>
    </w:p>
    <w:p w:rsidR="00DE19C8" w:rsidRDefault="00626B63">
      <w:pPr>
        <w:keepNext/>
        <w:widowControl w:val="0"/>
        <w:suppressAutoHyphens/>
        <w:spacing w:line="318" w:lineRule="exact"/>
        <w:contextualSpacing/>
        <w:rPr>
          <w:rFonts w:ascii="Verdana" w:hAnsi="Verdana" w:cs="Tahoma"/>
          <w:sz w:val="20"/>
        </w:rPr>
      </w:pPr>
      <w:r>
        <w:rPr>
          <w:rFonts w:ascii="Verdana" w:hAnsi="Verdana" w:cs="Tahoma"/>
          <w:sz w:val="20"/>
        </w:rPr>
        <w:t>4.17.1</w:t>
      </w:r>
      <w:r>
        <w:rPr>
          <w:rFonts w:ascii="Verdana" w:hAnsi="Verdana" w:cs="Tahoma"/>
          <w:sz w:val="20"/>
        </w:rPr>
        <w:t>.</w:t>
      </w:r>
      <w:r>
        <w:rPr>
          <w:rFonts w:ascii="Verdana" w:hAnsi="Verdana" w:cs="Tahoma"/>
          <w:sz w:val="20"/>
        </w:rPr>
        <w:tab/>
        <w:t xml:space="preserve">Considerar-se-ão prorrogados os prazos referentes ao pagamento de qualquer obrigação, até o primeiro Dia Útil subsequente, se o vencimento coincidir com dia em que não </w:t>
      </w:r>
      <w:r>
        <w:rPr>
          <w:rFonts w:ascii="Verdana" w:hAnsi="Verdana" w:cs="Tahoma"/>
          <w:sz w:val="20"/>
        </w:rPr>
        <w:lastRenderedPageBreak/>
        <w:t>haja expediente bancário na Cidade de São Paulo, sem nenhum acréscimo aos valores a se</w:t>
      </w:r>
      <w:r>
        <w:rPr>
          <w:rFonts w:ascii="Verdana" w:hAnsi="Verdana" w:cs="Tahoma"/>
          <w:sz w:val="20"/>
        </w:rPr>
        <w:t xml:space="preserve">rem pagos, ressalvados os casos cujos pagamentos devam ser realizados através da </w:t>
      </w:r>
      <w:r>
        <w:rPr>
          <w:rFonts w:ascii="Verdana" w:hAnsi="Verdana" w:cs="Tahoma"/>
          <w:color w:val="000000"/>
          <w:sz w:val="20"/>
        </w:rPr>
        <w:t xml:space="preserve">B3 – Segmento </w:t>
      </w:r>
      <w:proofErr w:type="spellStart"/>
      <w:r>
        <w:rPr>
          <w:rFonts w:ascii="Verdana" w:hAnsi="Verdana" w:cs="Tahoma"/>
          <w:color w:val="000000"/>
          <w:sz w:val="20"/>
        </w:rPr>
        <w:t>Cetip</w:t>
      </w:r>
      <w:proofErr w:type="spellEnd"/>
      <w:r>
        <w:rPr>
          <w:rFonts w:ascii="Verdana" w:hAnsi="Verdana" w:cs="Tahoma"/>
          <w:color w:val="000000"/>
          <w:sz w:val="20"/>
        </w:rPr>
        <w:t xml:space="preserve"> UTVM</w:t>
      </w:r>
      <w:r>
        <w:rPr>
          <w:rFonts w:ascii="Verdana" w:hAnsi="Verdana" w:cs="Tahoma"/>
          <w:sz w:val="20"/>
        </w:rPr>
        <w:t>, hipótese em que somente haverá prorrogação quando a data de pagamento coincidir com feriado declarado nacional, sábado ou domingo.</w:t>
      </w:r>
    </w:p>
    <w:p w:rsidR="00DE19C8" w:rsidRDefault="00DE19C8">
      <w:pPr>
        <w:suppressAutoHyphens/>
        <w:spacing w:line="318" w:lineRule="exact"/>
        <w:contextualSpacing/>
        <w:rPr>
          <w:rFonts w:ascii="Verdana" w:hAnsi="Verdana" w:cs="Tahoma"/>
          <w:b/>
          <w:sz w:val="20"/>
        </w:rPr>
      </w:pPr>
    </w:p>
    <w:p w:rsidR="00DE19C8" w:rsidRDefault="00626B63">
      <w:pPr>
        <w:numPr>
          <w:ilvl w:val="0"/>
          <w:numId w:val="70"/>
        </w:numPr>
        <w:suppressAutoHyphens/>
        <w:spacing w:line="318" w:lineRule="exact"/>
        <w:ind w:left="0" w:firstLine="0"/>
        <w:contextualSpacing/>
        <w:rPr>
          <w:rFonts w:ascii="Verdana" w:hAnsi="Verdana" w:cs="Tahoma"/>
          <w:b/>
          <w:sz w:val="20"/>
        </w:rPr>
      </w:pPr>
      <w:r>
        <w:rPr>
          <w:rFonts w:ascii="Verdana" w:hAnsi="Verdana" w:cs="Tahoma"/>
          <w:b/>
          <w:bCs/>
          <w:sz w:val="20"/>
        </w:rPr>
        <w:t>Publicidade</w:t>
      </w:r>
    </w:p>
    <w:p w:rsidR="00DE19C8" w:rsidRDefault="00DE19C8">
      <w:pPr>
        <w:pStyle w:val="Cabealho"/>
        <w:keepNext/>
        <w:tabs>
          <w:tab w:val="clear" w:pos="4419"/>
          <w:tab w:val="clear" w:pos="8838"/>
        </w:tabs>
        <w:suppressAutoHyphens/>
        <w:spacing w:line="318" w:lineRule="exact"/>
        <w:contextualSpacing/>
        <w:rPr>
          <w:rFonts w:ascii="Verdana" w:hAnsi="Verdana" w:cs="Tahoma"/>
          <w:sz w:val="20"/>
        </w:rPr>
      </w:pPr>
    </w:p>
    <w:p w:rsidR="00DE19C8" w:rsidRDefault="00626B63">
      <w:pPr>
        <w:spacing w:line="318" w:lineRule="exact"/>
        <w:contextualSpacing/>
        <w:rPr>
          <w:rFonts w:ascii="Verdana" w:hAnsi="Verdana" w:cs="Tahoma"/>
          <w:b/>
          <w:i/>
          <w:sz w:val="20"/>
        </w:rPr>
      </w:pPr>
      <w:r>
        <w:rPr>
          <w:rFonts w:ascii="Verdana" w:hAnsi="Verdana" w:cs="Tahoma"/>
          <w:sz w:val="20"/>
        </w:rPr>
        <w:t>4.18</w:t>
      </w:r>
      <w:r>
        <w:rPr>
          <w:rFonts w:ascii="Verdana" w:hAnsi="Verdana" w:cs="Tahoma"/>
          <w:sz w:val="20"/>
        </w:rPr>
        <w:t>.1.</w:t>
      </w:r>
      <w:r>
        <w:rPr>
          <w:rFonts w:ascii="Verdana" w:hAnsi="Verdana" w:cs="Tahoma"/>
          <w:sz w:val="20"/>
        </w:rPr>
        <w:tab/>
        <w:t>Todos os atos e decisões relevantes decorrentes da Emissão que, de qualquer forma, vierem a envolver, direta ou indiretamente, os interesses dos Debenturistas, a critério razoável da Emissora, deverão ser publicados sob a forma de “Aviso aos Debenturis</w:t>
      </w:r>
      <w:r>
        <w:rPr>
          <w:rFonts w:ascii="Verdana" w:hAnsi="Verdana" w:cs="Tahoma"/>
          <w:sz w:val="20"/>
        </w:rPr>
        <w:t xml:space="preserve">tas” nos Jornais de Publicação, bem como divulgados na página da Emissora na rede mundial de computares no link – </w:t>
      </w:r>
      <w:r>
        <w:rPr>
          <w:rFonts w:ascii="Verdana" w:hAnsi="Verdana" w:cs="Tahoma"/>
          <w:i/>
          <w:sz w:val="20"/>
        </w:rPr>
        <w:t>http://www.minervafoods.com</w:t>
      </w:r>
      <w:r>
        <w:rPr>
          <w:rFonts w:ascii="Verdana" w:hAnsi="Verdana" w:cs="Tahoma"/>
          <w:sz w:val="20"/>
        </w:rPr>
        <w:t xml:space="preserve">, observado os limites da Instrução CVM 476 e da Lei das Sociedades por Ações. A publicação do referido Aviso aos Debenturistas poderá ser substituída por correspondência registrada entregue a todos aos Debenturistas e ao Agente Fiduciário. </w:t>
      </w:r>
    </w:p>
    <w:p w:rsidR="00DE19C8" w:rsidRDefault="00DE19C8">
      <w:pPr>
        <w:suppressAutoHyphens/>
        <w:spacing w:line="318" w:lineRule="exact"/>
        <w:contextualSpacing/>
        <w:rPr>
          <w:rFonts w:ascii="Verdana" w:hAnsi="Verdana" w:cs="Tahoma"/>
          <w:bCs/>
          <w:sz w:val="20"/>
        </w:rPr>
      </w:pPr>
    </w:p>
    <w:p w:rsidR="00DE19C8" w:rsidRDefault="00626B63">
      <w:pPr>
        <w:pStyle w:val="Ttulo2"/>
        <w:suppressAutoHyphens/>
        <w:spacing w:line="318" w:lineRule="exact"/>
        <w:contextualSpacing/>
        <w:rPr>
          <w:rFonts w:ascii="Verdana" w:hAnsi="Verdana" w:cs="Tahoma"/>
          <w:sz w:val="20"/>
        </w:rPr>
      </w:pPr>
      <w:bookmarkStart w:id="121" w:name="_Toc514873573"/>
      <w:r>
        <w:rPr>
          <w:rFonts w:ascii="Verdana" w:hAnsi="Verdana" w:cs="Tahoma"/>
          <w:sz w:val="20"/>
        </w:rPr>
        <w:t>CLÁUSULA QUIN</w:t>
      </w:r>
      <w:r>
        <w:rPr>
          <w:rFonts w:ascii="Verdana" w:hAnsi="Verdana" w:cs="Tahoma"/>
          <w:sz w:val="20"/>
        </w:rPr>
        <w:t>TA – DAS OBRIGAÇÕES ADICIONAIS DA EMISSORA</w:t>
      </w:r>
      <w:bookmarkEnd w:id="121"/>
      <w:r>
        <w:rPr>
          <w:rFonts w:ascii="Verdana" w:hAnsi="Verdana" w:cs="Tahoma"/>
          <w:sz w:val="20"/>
        </w:rPr>
        <w:t xml:space="preserve"> </w:t>
      </w:r>
    </w:p>
    <w:p w:rsidR="00DE19C8" w:rsidRDefault="00DE19C8">
      <w:pPr>
        <w:keepNext/>
        <w:suppressAutoHyphens/>
        <w:spacing w:line="318" w:lineRule="exact"/>
        <w:contextualSpacing/>
        <w:rPr>
          <w:rFonts w:ascii="Verdana" w:hAnsi="Verdana" w:cs="Tahoma"/>
          <w:sz w:val="20"/>
        </w:rPr>
      </w:pPr>
    </w:p>
    <w:p w:rsidR="00DE19C8" w:rsidRDefault="00626B63">
      <w:pPr>
        <w:keepNext/>
        <w:suppressAutoHyphens/>
        <w:spacing w:line="318" w:lineRule="exact"/>
        <w:contextualSpacing/>
        <w:rPr>
          <w:rFonts w:ascii="Verdana" w:hAnsi="Verdana" w:cs="Tahoma"/>
          <w:b/>
          <w:sz w:val="20"/>
        </w:rPr>
      </w:pPr>
      <w:r>
        <w:rPr>
          <w:rFonts w:ascii="Verdana" w:hAnsi="Verdana" w:cs="Tahoma"/>
          <w:sz w:val="20"/>
        </w:rPr>
        <w:t>5.1.</w:t>
      </w:r>
      <w:r>
        <w:rPr>
          <w:rFonts w:ascii="Verdana" w:hAnsi="Verdana" w:cs="Tahoma"/>
          <w:b/>
          <w:sz w:val="20"/>
        </w:rPr>
        <w:tab/>
        <w:t xml:space="preserve"> </w:t>
      </w:r>
      <w:r>
        <w:rPr>
          <w:rFonts w:ascii="Verdana" w:hAnsi="Verdana" w:cs="Tahoma"/>
          <w:sz w:val="20"/>
        </w:rPr>
        <w:t>A Emissora está adicionalmente obrigada a:</w:t>
      </w:r>
    </w:p>
    <w:p w:rsidR="00DE19C8" w:rsidRDefault="00DE19C8">
      <w:pPr>
        <w:keepNext/>
        <w:suppressAutoHyphens/>
        <w:spacing w:line="318" w:lineRule="exact"/>
        <w:ind w:left="720"/>
        <w:contextualSpacing/>
        <w:rPr>
          <w:rFonts w:ascii="Verdana" w:hAnsi="Verdana" w:cs="Tahoma"/>
          <w:sz w:val="20"/>
        </w:rPr>
      </w:pPr>
    </w:p>
    <w:p w:rsidR="00DE19C8" w:rsidRDefault="00626B63">
      <w:pPr>
        <w:keepNext/>
        <w:numPr>
          <w:ilvl w:val="0"/>
          <w:numId w:val="30"/>
        </w:numPr>
        <w:tabs>
          <w:tab w:val="left" w:pos="1418"/>
        </w:tabs>
        <w:suppressAutoHyphens/>
        <w:spacing w:line="318" w:lineRule="exact"/>
        <w:ind w:hanging="949"/>
        <w:contextualSpacing/>
        <w:rPr>
          <w:rFonts w:ascii="Verdana" w:hAnsi="Verdana" w:cs="Tahoma"/>
          <w:sz w:val="20"/>
        </w:rPr>
      </w:pPr>
      <w:r>
        <w:rPr>
          <w:rFonts w:ascii="Verdana" w:hAnsi="Verdana" w:cs="Tahoma"/>
          <w:sz w:val="20"/>
        </w:rPr>
        <w:t>fornecer ao Agente Fiduciário:</w:t>
      </w:r>
    </w:p>
    <w:p w:rsidR="00DE19C8" w:rsidRDefault="00DE19C8">
      <w:pPr>
        <w:keepNext/>
        <w:suppressAutoHyphens/>
        <w:spacing w:line="318" w:lineRule="exact"/>
        <w:ind w:left="1068"/>
        <w:contextualSpacing/>
        <w:rPr>
          <w:rFonts w:ascii="Verdana" w:hAnsi="Verdana" w:cs="Tahoma"/>
          <w:sz w:val="20"/>
        </w:rPr>
      </w:pPr>
    </w:p>
    <w:p w:rsidR="00DE19C8" w:rsidRDefault="00626B63">
      <w:pPr>
        <w:numPr>
          <w:ilvl w:val="0"/>
          <w:numId w:val="3"/>
        </w:numPr>
        <w:tabs>
          <w:tab w:val="clear" w:pos="947"/>
        </w:tabs>
        <w:suppressAutoHyphens/>
        <w:spacing w:line="318" w:lineRule="exact"/>
        <w:ind w:left="1985" w:hanging="569"/>
        <w:contextualSpacing/>
        <w:rPr>
          <w:rFonts w:ascii="Verdana" w:hAnsi="Verdana" w:cs="Tahoma"/>
          <w:sz w:val="20"/>
        </w:rPr>
      </w:pPr>
      <w:r>
        <w:rPr>
          <w:rFonts w:ascii="Verdana" w:hAnsi="Verdana" w:cs="Tahoma"/>
          <w:sz w:val="20"/>
        </w:rPr>
        <w:t xml:space="preserve">em até 90 (noventa) dias da data do encerramento de cada exercício social ou na data de sua divulgação, o que ocorrer primeiro, (i) cópia de suas demonstrações financeiras consolidadas relativas ao respectivo exercício social então encerrado, acompanhadas </w:t>
      </w:r>
      <w:r>
        <w:rPr>
          <w:rFonts w:ascii="Verdana" w:hAnsi="Verdana" w:cs="Tahoma"/>
          <w:sz w:val="20"/>
        </w:rPr>
        <w:t>do relatório da administração e do parecer dos auditores independentes, (</w:t>
      </w:r>
      <w:proofErr w:type="spellStart"/>
      <w:r>
        <w:rPr>
          <w:rFonts w:ascii="Verdana" w:hAnsi="Verdana" w:cs="Tahoma"/>
          <w:sz w:val="20"/>
        </w:rPr>
        <w:t>ii</w:t>
      </w:r>
      <w:proofErr w:type="spellEnd"/>
      <w:r>
        <w:rPr>
          <w:rFonts w:ascii="Verdana" w:hAnsi="Verdana" w:cs="Tahoma"/>
          <w:sz w:val="20"/>
        </w:rPr>
        <w:t>) relatório consolidado da memória de cálculo compreendendo todas as rubricas necessárias para a obtenção dos índices e limites financeiros da Emissora podendo o Agente Fiduciário s</w:t>
      </w:r>
      <w:r>
        <w:rPr>
          <w:rFonts w:ascii="Verdana" w:hAnsi="Verdana" w:cs="Tahoma"/>
          <w:sz w:val="20"/>
        </w:rPr>
        <w:t>olicitar à Emissora todos os eventuais esclarecimentos adicionais que se façam necessários, e (</w:t>
      </w:r>
      <w:proofErr w:type="spellStart"/>
      <w:r>
        <w:rPr>
          <w:rFonts w:ascii="Verdana" w:hAnsi="Verdana" w:cs="Tahoma"/>
          <w:sz w:val="20"/>
        </w:rPr>
        <w:t>iii</w:t>
      </w:r>
      <w:proofErr w:type="spellEnd"/>
      <w:r>
        <w:rPr>
          <w:rFonts w:ascii="Verdana" w:hAnsi="Verdana" w:cs="Tahoma"/>
          <w:sz w:val="20"/>
        </w:rPr>
        <w:t xml:space="preserve">) declaração anual de Diretor Corporativo da Emissora atestando o cumprimento das disposições desta Escritura de Emissão, em especial do </w:t>
      </w:r>
      <w:r>
        <w:rPr>
          <w:rFonts w:ascii="Verdana" w:hAnsi="Verdana" w:cs="Tahoma"/>
          <w:sz w:val="20"/>
          <w:shd w:val="clear" w:color="auto" w:fill="FFFFFF"/>
        </w:rPr>
        <w:t>subitem (</w:t>
      </w:r>
      <w:proofErr w:type="spellStart"/>
      <w:r>
        <w:rPr>
          <w:rFonts w:ascii="Verdana" w:hAnsi="Verdana" w:cs="Tahoma"/>
          <w:sz w:val="20"/>
          <w:shd w:val="clear" w:color="auto" w:fill="FFFFFF"/>
        </w:rPr>
        <w:t>xx</w:t>
      </w:r>
      <w:proofErr w:type="spellEnd"/>
      <w:r>
        <w:rPr>
          <w:rFonts w:ascii="Verdana" w:hAnsi="Verdana" w:cs="Tahoma"/>
          <w:sz w:val="20"/>
          <w:shd w:val="clear" w:color="auto" w:fill="FFFFFF"/>
        </w:rPr>
        <w:t xml:space="preserve">) do item </w:t>
      </w:r>
      <w:r>
        <w:rPr>
          <w:rFonts w:ascii="Verdana" w:hAnsi="Verdana" w:cs="Tahoma"/>
          <w:sz w:val="20"/>
          <w:shd w:val="clear" w:color="auto" w:fill="FFFFFF"/>
        </w:rPr>
        <w:t>4.13.1 desta</w:t>
      </w:r>
      <w:r>
        <w:rPr>
          <w:rFonts w:ascii="Verdana" w:hAnsi="Verdana" w:cs="Tahoma"/>
          <w:sz w:val="20"/>
        </w:rPr>
        <w:t xml:space="preserve"> Escritura de Emissão; </w:t>
      </w:r>
    </w:p>
    <w:p w:rsidR="00DE19C8" w:rsidRDefault="00626B63">
      <w:pPr>
        <w:numPr>
          <w:ilvl w:val="0"/>
          <w:numId w:val="3"/>
        </w:numPr>
        <w:tabs>
          <w:tab w:val="clear" w:pos="947"/>
        </w:tabs>
        <w:suppressAutoHyphens/>
        <w:spacing w:line="318" w:lineRule="exact"/>
        <w:ind w:left="1985" w:hanging="569"/>
        <w:contextualSpacing/>
        <w:rPr>
          <w:rFonts w:ascii="Verdana" w:hAnsi="Verdana" w:cs="Tahoma"/>
          <w:sz w:val="20"/>
        </w:rPr>
      </w:pPr>
      <w:r>
        <w:rPr>
          <w:rFonts w:ascii="Verdana" w:hAnsi="Verdana" w:cs="Tahoma"/>
          <w:sz w:val="20"/>
        </w:rPr>
        <w:t>em até 45 (quarenta e cinco) dias da data do encerramento de cada trimestre ou na data de sua divulgação, o que ocorrer primeiro, (i) cópia de suas informações financeiras relativas ao respectivo trimestre então encerrad</w:t>
      </w:r>
      <w:r>
        <w:rPr>
          <w:rFonts w:ascii="Verdana" w:hAnsi="Verdana" w:cs="Tahoma"/>
          <w:sz w:val="20"/>
        </w:rPr>
        <w:t>o, acompanhadas do relatório de revisão especial dos auditores independentes; (</w:t>
      </w:r>
      <w:proofErr w:type="spellStart"/>
      <w:r>
        <w:rPr>
          <w:rFonts w:ascii="Verdana" w:hAnsi="Verdana" w:cs="Tahoma"/>
          <w:sz w:val="20"/>
        </w:rPr>
        <w:t>ii</w:t>
      </w:r>
      <w:proofErr w:type="spellEnd"/>
      <w:r>
        <w:rPr>
          <w:rFonts w:ascii="Verdana" w:hAnsi="Verdana" w:cs="Tahoma"/>
          <w:sz w:val="20"/>
        </w:rPr>
        <w:t xml:space="preserve">) relatório consolidado da memória de cálculo </w:t>
      </w:r>
      <w:r>
        <w:rPr>
          <w:rFonts w:ascii="Verdana" w:hAnsi="Verdana" w:cs="Tahoma"/>
          <w:sz w:val="20"/>
        </w:rPr>
        <w:lastRenderedPageBreak/>
        <w:t>compreendendo todas as rubricas necessárias para a obtenção dos índices e limites financeiros baseado nas informações financeiras</w:t>
      </w:r>
      <w:r>
        <w:rPr>
          <w:rFonts w:ascii="Verdana" w:hAnsi="Verdana" w:cs="Tahoma"/>
          <w:sz w:val="20"/>
        </w:rPr>
        <w:t xml:space="preserve"> trimestrais (</w:t>
      </w:r>
      <w:proofErr w:type="spellStart"/>
      <w:r>
        <w:rPr>
          <w:rFonts w:ascii="Verdana" w:hAnsi="Verdana" w:cs="Tahoma"/>
          <w:sz w:val="20"/>
        </w:rPr>
        <w:t>ITRs</w:t>
      </w:r>
      <w:proofErr w:type="spellEnd"/>
      <w:r>
        <w:rPr>
          <w:rFonts w:ascii="Verdana" w:hAnsi="Verdana" w:cs="Tahoma"/>
          <w:sz w:val="20"/>
        </w:rPr>
        <w:t xml:space="preserve">) da Emissora,  sob pena de impossibilidade de acompanhamento pelo Agente Fiduciário, podendo este solicitar à Emissora e/ou aos seus auditores independentes todos os eventuais esclarecimento adicionais que se façam necessários; </w:t>
      </w:r>
    </w:p>
    <w:p w:rsidR="00DE19C8" w:rsidRDefault="00626B63">
      <w:pPr>
        <w:numPr>
          <w:ilvl w:val="0"/>
          <w:numId w:val="3"/>
        </w:numPr>
        <w:tabs>
          <w:tab w:val="clear" w:pos="947"/>
        </w:tabs>
        <w:suppressAutoHyphens/>
        <w:spacing w:line="318" w:lineRule="exact"/>
        <w:ind w:left="1985" w:hanging="569"/>
        <w:contextualSpacing/>
        <w:rPr>
          <w:rFonts w:ascii="Verdana" w:hAnsi="Verdana" w:cs="Tahoma"/>
          <w:sz w:val="20"/>
        </w:rPr>
      </w:pPr>
      <w:r>
        <w:rPr>
          <w:rFonts w:ascii="Verdana" w:hAnsi="Verdana" w:cs="Tahoma"/>
          <w:sz w:val="20"/>
        </w:rPr>
        <w:t>todos os</w:t>
      </w:r>
      <w:r>
        <w:rPr>
          <w:rFonts w:ascii="Verdana" w:hAnsi="Verdana" w:cs="Tahoma"/>
          <w:sz w:val="20"/>
        </w:rPr>
        <w:t xml:space="preserve"> dados financeiros, o organograma e atos societários necessários à realização do relatório anual, conforme </w:t>
      </w:r>
      <w:r>
        <w:rPr>
          <w:rFonts w:ascii="Verdana" w:hAnsi="Verdana"/>
          <w:sz w:val="20"/>
        </w:rPr>
        <w:t>Instrução da CVM nº 583</w:t>
      </w:r>
      <w:r>
        <w:rPr>
          <w:rFonts w:ascii="Verdana" w:hAnsi="Verdana" w:cs="Tahoma"/>
          <w:sz w:val="20"/>
        </w:rPr>
        <w:t>, de 20 de dezembro de 2016 (“</w:t>
      </w:r>
      <w:r>
        <w:rPr>
          <w:rFonts w:ascii="Verdana" w:hAnsi="Verdana" w:cs="Tahoma"/>
          <w:sz w:val="20"/>
          <w:u w:val="single"/>
        </w:rPr>
        <w:t>Instrução CVM 583</w:t>
      </w:r>
      <w:r>
        <w:rPr>
          <w:rFonts w:ascii="Verdana" w:hAnsi="Verdana" w:cs="Tahoma"/>
          <w:sz w:val="20"/>
        </w:rPr>
        <w:t>”), que venham a ser solicitados pelo Agente Fiduciário, os quais deverão ser d</w:t>
      </w:r>
      <w:r>
        <w:rPr>
          <w:rFonts w:ascii="Verdana" w:hAnsi="Verdana" w:cs="Tahoma"/>
          <w:sz w:val="20"/>
        </w:rPr>
        <w:t>evidamente encaminhados pela Emissora em até 30 (trinta) dias antes do encerramento do prazo previsto na alínea “</w:t>
      </w:r>
      <w:r>
        <w:rPr>
          <w:rFonts w:ascii="Verdana" w:hAnsi="Verdana"/>
          <w:sz w:val="20"/>
        </w:rPr>
        <w:t>(p)</w:t>
      </w:r>
      <w:r>
        <w:rPr>
          <w:rFonts w:ascii="Verdana" w:hAnsi="Verdana" w:cs="Tahoma"/>
          <w:sz w:val="20"/>
        </w:rPr>
        <w:t xml:space="preserve">” do item 6.6 abaixo. O referido organograma do grupo societário da Emissora deverá conter, inclusive, controladores, controladas, controle </w:t>
      </w:r>
      <w:r>
        <w:rPr>
          <w:rFonts w:ascii="Verdana" w:hAnsi="Verdana" w:cs="Tahoma"/>
          <w:sz w:val="20"/>
        </w:rPr>
        <w:t>comum, coligadas, e integrante de bloco de controle, no encerramento de cada exercício social;</w:t>
      </w:r>
    </w:p>
    <w:p w:rsidR="00DE19C8" w:rsidRDefault="00DE19C8">
      <w:pPr>
        <w:suppressAutoHyphens/>
        <w:spacing w:line="318" w:lineRule="exact"/>
        <w:ind w:left="1985" w:hanging="569"/>
        <w:contextualSpacing/>
        <w:rPr>
          <w:rFonts w:ascii="Verdana" w:hAnsi="Verdana" w:cs="Tahoma"/>
          <w:sz w:val="20"/>
        </w:rPr>
      </w:pPr>
    </w:p>
    <w:p w:rsidR="00DE19C8" w:rsidRDefault="00626B63">
      <w:pPr>
        <w:numPr>
          <w:ilvl w:val="0"/>
          <w:numId w:val="3"/>
        </w:numPr>
        <w:tabs>
          <w:tab w:val="clear" w:pos="947"/>
        </w:tabs>
        <w:suppressAutoHyphens/>
        <w:spacing w:line="318" w:lineRule="exact"/>
        <w:ind w:left="1985" w:hanging="569"/>
        <w:contextualSpacing/>
        <w:rPr>
          <w:rFonts w:ascii="Verdana" w:hAnsi="Verdana" w:cs="Tahoma"/>
          <w:sz w:val="20"/>
        </w:rPr>
      </w:pPr>
      <w:r>
        <w:rPr>
          <w:rFonts w:ascii="Verdana" w:hAnsi="Verdana" w:cs="Tahoma"/>
          <w:sz w:val="20"/>
        </w:rPr>
        <w:t>disponibilização em sua página na rede mundial de computadores (</w:t>
      </w:r>
      <w:r>
        <w:rPr>
          <w:rFonts w:ascii="Verdana" w:hAnsi="Verdana"/>
          <w:sz w:val="20"/>
        </w:rPr>
        <w:t>www.minervafoods.com</w:t>
      </w:r>
      <w:r>
        <w:rPr>
          <w:rFonts w:ascii="Verdana" w:hAnsi="Verdana" w:cs="Tahoma"/>
          <w:sz w:val="20"/>
        </w:rPr>
        <w:t>), avisos aos Debenturistas, fatos relevantes, conforme definidos na Instruç</w:t>
      </w:r>
      <w:r>
        <w:rPr>
          <w:rFonts w:ascii="Verdana" w:hAnsi="Verdana" w:cs="Tahoma"/>
          <w:sz w:val="20"/>
        </w:rPr>
        <w:t>ão CVM n.º 358, de 3 de janeiro de 2002, conforme alterada (“</w:t>
      </w:r>
      <w:r>
        <w:rPr>
          <w:rFonts w:ascii="Verdana" w:hAnsi="Verdana" w:cs="Tahoma"/>
          <w:sz w:val="20"/>
          <w:u w:val="single"/>
        </w:rPr>
        <w:t>Instrução CVM 358</w:t>
      </w:r>
      <w:r>
        <w:rPr>
          <w:rFonts w:ascii="Verdana" w:hAnsi="Verdana" w:cs="Tahoma"/>
          <w:sz w:val="20"/>
        </w:rPr>
        <w:t>”), assim como atas de assembleias gerais e reuniões do conselho de administração da Emissora que, de alguma forma, envolvam interesse dos Debenturistas, nos respectivos prazos r</w:t>
      </w:r>
      <w:r>
        <w:rPr>
          <w:rFonts w:ascii="Verdana" w:hAnsi="Verdana" w:cs="Tahoma"/>
          <w:sz w:val="20"/>
        </w:rPr>
        <w:t>egulamentares;</w:t>
      </w:r>
    </w:p>
    <w:p w:rsidR="00DE19C8" w:rsidRDefault="00DE19C8">
      <w:pPr>
        <w:suppressAutoHyphens/>
        <w:spacing w:line="318" w:lineRule="exact"/>
        <w:ind w:left="1985" w:hanging="569"/>
        <w:contextualSpacing/>
        <w:rPr>
          <w:rFonts w:ascii="Verdana" w:hAnsi="Verdana" w:cs="Tahoma"/>
          <w:sz w:val="20"/>
        </w:rPr>
      </w:pPr>
    </w:p>
    <w:p w:rsidR="00DE19C8" w:rsidRDefault="00626B63">
      <w:pPr>
        <w:numPr>
          <w:ilvl w:val="0"/>
          <w:numId w:val="3"/>
        </w:numPr>
        <w:tabs>
          <w:tab w:val="clear" w:pos="947"/>
        </w:tabs>
        <w:suppressAutoHyphens/>
        <w:spacing w:line="318" w:lineRule="exact"/>
        <w:ind w:left="1985" w:hanging="569"/>
        <w:contextualSpacing/>
        <w:rPr>
          <w:rFonts w:ascii="Verdana" w:hAnsi="Verdana" w:cs="Tahoma"/>
          <w:sz w:val="20"/>
        </w:rPr>
      </w:pPr>
      <w:r>
        <w:rPr>
          <w:rFonts w:ascii="Verdana" w:hAnsi="Verdana" w:cs="Tahoma"/>
          <w:sz w:val="20"/>
        </w:rPr>
        <w:t>desde que seja do seu conhecimento, informações sobre qualquer descumprimento não sanado, de natureza pecuniária ou não, de quaisquer cláusulas, termos ou condições desta Escritura de Emissão, no prazo de até 10 (dez) Dias Úteis, contados d</w:t>
      </w:r>
      <w:r>
        <w:rPr>
          <w:rFonts w:ascii="Verdana" w:hAnsi="Verdana" w:cs="Tahoma"/>
          <w:sz w:val="20"/>
        </w:rPr>
        <w:t xml:space="preserve">a data do descumprimento; </w:t>
      </w:r>
    </w:p>
    <w:p w:rsidR="00DE19C8" w:rsidRDefault="00DE19C8">
      <w:pPr>
        <w:pStyle w:val="PargrafodaLista"/>
        <w:spacing w:line="318" w:lineRule="exact"/>
        <w:ind w:left="1985" w:hanging="569"/>
        <w:contextualSpacing/>
        <w:rPr>
          <w:rFonts w:ascii="Verdana" w:hAnsi="Verdana" w:cs="Tahoma"/>
          <w:sz w:val="20"/>
        </w:rPr>
      </w:pPr>
    </w:p>
    <w:p w:rsidR="00DE19C8" w:rsidRDefault="00626B63">
      <w:pPr>
        <w:numPr>
          <w:ilvl w:val="0"/>
          <w:numId w:val="3"/>
        </w:numPr>
        <w:tabs>
          <w:tab w:val="clear" w:pos="947"/>
        </w:tabs>
        <w:suppressAutoHyphens/>
        <w:spacing w:line="318" w:lineRule="exact"/>
        <w:ind w:left="1985" w:hanging="569"/>
        <w:contextualSpacing/>
        <w:rPr>
          <w:rFonts w:ascii="Verdana" w:hAnsi="Verdana" w:cs="Tahoma"/>
          <w:sz w:val="20"/>
        </w:rPr>
      </w:pPr>
      <w:r>
        <w:rPr>
          <w:rFonts w:ascii="Verdana" w:hAnsi="Verdana" w:cs="Tahoma"/>
          <w:w w:val="0"/>
          <w:sz w:val="20"/>
        </w:rPr>
        <w:t>em até 5 (cinco) Dias Úteis após seu recebimento, cópia de qualquer correspondência ou notificação judicial recebida pela Emissora que possa resultar em efeito relevante adverso aos negócios, à situação financeira, e ao resultad</w:t>
      </w:r>
      <w:r>
        <w:rPr>
          <w:rFonts w:ascii="Verdana" w:hAnsi="Verdana" w:cs="Tahoma"/>
          <w:w w:val="0"/>
          <w:sz w:val="20"/>
        </w:rPr>
        <w:t xml:space="preserve">o das operações da Emissora, ou ainda ao cumprimento das obrigações previstas na presente Escritura de Emissão; </w:t>
      </w:r>
      <w:r>
        <w:rPr>
          <w:rFonts w:ascii="Verdana" w:hAnsi="Verdana" w:cs="Tahoma"/>
          <w:sz w:val="20"/>
        </w:rPr>
        <w:t xml:space="preserve">e </w:t>
      </w:r>
    </w:p>
    <w:p w:rsidR="00DE19C8" w:rsidRDefault="00DE19C8">
      <w:pPr>
        <w:suppressAutoHyphens/>
        <w:spacing w:line="318" w:lineRule="exact"/>
        <w:ind w:left="1985" w:hanging="569"/>
        <w:contextualSpacing/>
        <w:rPr>
          <w:rFonts w:ascii="Verdana" w:hAnsi="Verdana" w:cs="Tahoma"/>
          <w:sz w:val="20"/>
        </w:rPr>
      </w:pPr>
    </w:p>
    <w:p w:rsidR="00DE19C8" w:rsidRDefault="00626B63">
      <w:pPr>
        <w:numPr>
          <w:ilvl w:val="0"/>
          <w:numId w:val="3"/>
        </w:numPr>
        <w:tabs>
          <w:tab w:val="clear" w:pos="947"/>
        </w:tabs>
        <w:suppressAutoHyphens/>
        <w:spacing w:line="318" w:lineRule="exact"/>
        <w:ind w:left="1985" w:hanging="569"/>
        <w:contextualSpacing/>
        <w:rPr>
          <w:rFonts w:ascii="Verdana" w:hAnsi="Verdana" w:cs="Tahoma"/>
          <w:sz w:val="20"/>
        </w:rPr>
      </w:pPr>
      <w:r>
        <w:rPr>
          <w:rFonts w:ascii="Verdana" w:hAnsi="Verdana" w:cs="Tahoma"/>
          <w:sz w:val="20"/>
        </w:rPr>
        <w:t xml:space="preserve"> todos os demais documentos e informações que a Emissora, nos termos e condições previstos nesta Escritura de Emissão, se comprometeu a envi</w:t>
      </w:r>
      <w:r>
        <w:rPr>
          <w:rFonts w:ascii="Verdana" w:hAnsi="Verdana" w:cs="Tahoma"/>
          <w:sz w:val="20"/>
        </w:rPr>
        <w:t>ar ao Agente Fiduciário;</w:t>
      </w:r>
    </w:p>
    <w:p w:rsidR="00DE19C8" w:rsidRDefault="00DE19C8">
      <w:pPr>
        <w:tabs>
          <w:tab w:val="num" w:pos="1843"/>
        </w:tabs>
        <w:suppressAutoHyphens/>
        <w:spacing w:line="318" w:lineRule="exact"/>
        <w:ind w:left="1276"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lastRenderedPageBreak/>
        <w:t>convocar, nos termos da Cláusula Sétima, Assembleia Geral de Debenturistas para deliberar sobre qualquer das matérias que direta ou indiretamente se relacione com a presente Emissão, caso o Agente Fiduciário não o faça;</w:t>
      </w:r>
    </w:p>
    <w:p w:rsidR="00DE19C8" w:rsidRDefault="00DE19C8">
      <w:pPr>
        <w:suppressAutoHyphens/>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 xml:space="preserve">fornecer aos Coordenadores, em tempo hábil, todas as informações razoáveis, de forma verdadeira, correta, suficiente e completa, que sejam necessárias para a consumação da </w:t>
      </w:r>
      <w:r>
        <w:rPr>
          <w:rFonts w:ascii="Verdana" w:hAnsi="Verdana"/>
          <w:sz w:val="20"/>
        </w:rPr>
        <w:t>Oferta Restrita</w:t>
      </w:r>
      <w:r>
        <w:rPr>
          <w:rFonts w:ascii="Verdana" w:hAnsi="Verdana" w:cs="Tahoma"/>
          <w:sz w:val="20"/>
        </w:rPr>
        <w:t xml:space="preserve"> das Debêntures. A Emissora será responsável pela suficiência e verac</w:t>
      </w:r>
      <w:r>
        <w:rPr>
          <w:rFonts w:ascii="Verdana" w:hAnsi="Verdana" w:cs="Tahoma"/>
          <w:sz w:val="20"/>
        </w:rPr>
        <w:t>idade das informações fornecidas, obrigando-se a indenizar os Debenturistas e os Coordenadores por eventuais prejuízos diretos e devidamente comprovados (incluindo custas judiciais e honorários advocatícios) decorrentes de imprecisões, inveracidades ou omi</w:t>
      </w:r>
      <w:r>
        <w:rPr>
          <w:rFonts w:ascii="Verdana" w:hAnsi="Verdana" w:cs="Tahoma"/>
          <w:sz w:val="20"/>
        </w:rPr>
        <w:t>ssões relativas a tais informações;</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widowControl w:val="0"/>
        <w:numPr>
          <w:ilvl w:val="0"/>
          <w:numId w:val="30"/>
        </w:numPr>
        <w:tabs>
          <w:tab w:val="clear" w:pos="1658"/>
        </w:tabs>
        <w:spacing w:line="318" w:lineRule="exact"/>
        <w:ind w:left="1418" w:hanging="709"/>
        <w:contextualSpacing/>
        <w:rPr>
          <w:rFonts w:ascii="Verdana" w:hAnsi="Verdana" w:cs="Tahoma"/>
          <w:sz w:val="20"/>
        </w:rPr>
      </w:pPr>
      <w:r>
        <w:rPr>
          <w:rFonts w:ascii="Verdana" w:hAnsi="Verdana" w:cs="Tahoma"/>
          <w:sz w:val="20"/>
        </w:rPr>
        <w:t>prestar informações, dentro do prazo de 10 (dez) Dias Úteis contados da data de ciência da autuação, sobre quaisquer autuações pelos órgãos governamentais, de caráter fiscal, ambiental ou de defesa da concorrência, entr</w:t>
      </w:r>
      <w:r>
        <w:rPr>
          <w:rFonts w:ascii="Verdana" w:hAnsi="Verdana" w:cs="Tahoma"/>
          <w:sz w:val="20"/>
        </w:rPr>
        <w:t>e outros, em relação à Emissora, de valor individual ou agregado (sempre quando da mesma natureza) superior a R$12.500.000,00 (doze milhões e quinhentos mil reais);</w:t>
      </w:r>
    </w:p>
    <w:p w:rsidR="00DE19C8" w:rsidRDefault="00DE19C8">
      <w:pPr>
        <w:pStyle w:val="PargrafodaLista"/>
        <w:widowControl w:val="0"/>
        <w:spacing w:line="318" w:lineRule="exact"/>
        <w:ind w:left="1418" w:hanging="709"/>
        <w:contextualSpacing/>
        <w:rPr>
          <w:rFonts w:ascii="Verdana" w:hAnsi="Verdana" w:cs="Tahoma"/>
          <w:sz w:val="20"/>
        </w:rPr>
      </w:pPr>
    </w:p>
    <w:p w:rsidR="00DE19C8" w:rsidRDefault="00626B63">
      <w:pPr>
        <w:widowControl w:val="0"/>
        <w:numPr>
          <w:ilvl w:val="0"/>
          <w:numId w:val="30"/>
        </w:numPr>
        <w:tabs>
          <w:tab w:val="clear" w:pos="1658"/>
        </w:tabs>
        <w:spacing w:line="318" w:lineRule="exact"/>
        <w:ind w:left="1418" w:hanging="709"/>
        <w:contextualSpacing/>
        <w:rPr>
          <w:rFonts w:ascii="Verdana" w:hAnsi="Verdana" w:cs="Tahoma"/>
          <w:sz w:val="20"/>
        </w:rPr>
      </w:pPr>
      <w:r>
        <w:rPr>
          <w:rFonts w:ascii="Verdana" w:hAnsi="Verdana" w:cs="Tahoma"/>
          <w:sz w:val="20"/>
        </w:rPr>
        <w:t>cumprir rigorosamente, sob qualquer forma, bem como as Controladas Relevantes com o dispos</w:t>
      </w:r>
      <w:r>
        <w:rPr>
          <w:rFonts w:ascii="Verdana" w:hAnsi="Verdana" w:cs="Tahoma"/>
          <w:sz w:val="20"/>
        </w:rPr>
        <w:t>to na legislação em vigor pertinente à Política Nacional do Meio Ambiente, às Resoluções do CONAMA – Conselho Nacional do Meio Ambiente e às demais legislações e regulamentações ambientais supletivas e trabalhista relativa à saúde e segurança ocupacional a</w:t>
      </w:r>
      <w:r>
        <w:rPr>
          <w:rFonts w:ascii="Verdana" w:hAnsi="Verdana" w:cs="Tahoma"/>
          <w:sz w:val="20"/>
        </w:rPr>
        <w:t>plicável à Emissora, assim como aquelas decorrentes da Emissão, inclusive no que se refere à inexistência de trabalho análogo ao escravo e/ou mão-de-obra infantil (“</w:t>
      </w:r>
      <w:r>
        <w:rPr>
          <w:rFonts w:ascii="Verdana" w:hAnsi="Verdana" w:cs="Tahoma"/>
          <w:sz w:val="20"/>
          <w:u w:val="single"/>
        </w:rPr>
        <w:t>Legislação Socioambiental</w:t>
      </w:r>
      <w:r>
        <w:rPr>
          <w:rFonts w:ascii="Verdana" w:hAnsi="Verdana" w:cs="Tahoma"/>
          <w:sz w:val="20"/>
        </w:rPr>
        <w:t>”), adotando as medidas e ações preventivas ou reparatórias, desti</w:t>
      </w:r>
      <w:r>
        <w:rPr>
          <w:rFonts w:ascii="Verdana" w:hAnsi="Verdana" w:cs="Tahoma"/>
          <w:sz w:val="20"/>
        </w:rPr>
        <w:t>nadas a evitar e corrigir eventuais danos ambientais apurados, decorrentes da atividade descrita em seu objeto social, responsabilizando-se, única e exclusivamente, pela destinação dos recursos financeiros obtidos com a Emissão. Obriga-se, ainda, a Emissor</w:t>
      </w:r>
      <w:r>
        <w:rPr>
          <w:rFonts w:ascii="Verdana" w:hAnsi="Verdana" w:cs="Tahoma"/>
          <w:sz w:val="20"/>
        </w:rPr>
        <w:t>a, a proceder a todas as diligências exigidas para a atividade da espécie, preservando o meio ambiente e atendendo às determinações dos órgãos municipais, estaduais, distritais e federais, que subsidiariamente venham legislar ou regulamentar as normas ambi</w:t>
      </w:r>
      <w:r>
        <w:rPr>
          <w:rFonts w:ascii="Verdana" w:hAnsi="Verdana" w:cs="Tahoma"/>
          <w:sz w:val="20"/>
        </w:rPr>
        <w:t>entais em vigor;</w:t>
      </w:r>
    </w:p>
    <w:p w:rsidR="00DE19C8" w:rsidRDefault="00DE19C8">
      <w:pPr>
        <w:widowControl w:val="0"/>
        <w:spacing w:line="318" w:lineRule="exact"/>
        <w:ind w:left="1418"/>
        <w:contextualSpacing/>
        <w:rPr>
          <w:rFonts w:ascii="Verdana" w:hAnsi="Verdana" w:cs="Tahoma"/>
          <w:sz w:val="20"/>
        </w:rPr>
      </w:pPr>
    </w:p>
    <w:p w:rsidR="00DE19C8" w:rsidRDefault="00626B63">
      <w:pPr>
        <w:widowControl w:val="0"/>
        <w:numPr>
          <w:ilvl w:val="0"/>
          <w:numId w:val="30"/>
        </w:numPr>
        <w:tabs>
          <w:tab w:val="clear" w:pos="1658"/>
        </w:tabs>
        <w:spacing w:line="318" w:lineRule="exact"/>
        <w:ind w:left="1418" w:hanging="709"/>
        <w:contextualSpacing/>
        <w:rPr>
          <w:rFonts w:ascii="Verdana" w:hAnsi="Verdana"/>
          <w:sz w:val="20"/>
        </w:rPr>
      </w:pPr>
      <w:r>
        <w:rPr>
          <w:rFonts w:ascii="Verdana" w:hAnsi="Verdana"/>
          <w:sz w:val="20"/>
        </w:rPr>
        <w:t xml:space="preserve">cumprir e zelar para que as demais partes a ela subordinadas, assim entendidas como representantes que atuem a mando ou em favor da Emissora e/ou de </w:t>
      </w:r>
      <w:r>
        <w:rPr>
          <w:rFonts w:ascii="Verdana" w:hAnsi="Verdana"/>
          <w:sz w:val="20"/>
        </w:rPr>
        <w:lastRenderedPageBreak/>
        <w:t>suas Controladas Relevantes, sob qualquer forma, cumpram, toda e qualquer lei que trata d</w:t>
      </w:r>
      <w:r>
        <w:rPr>
          <w:rFonts w:ascii="Verdana" w:hAnsi="Verdana"/>
          <w:sz w:val="20"/>
        </w:rPr>
        <w:t>e corrupção, crimes contra a ordem econômica ou tributária, de “lavagem” ou ocultação de bens, direitos e valores, ou contra o Sistema Financeiro Nacional, o mercado de capitais ou a administração pública, nacional ou estrangeira, incluindo, sem limitação,</w:t>
      </w:r>
      <w:r>
        <w:rPr>
          <w:rFonts w:ascii="Verdana" w:hAnsi="Verdana"/>
          <w:sz w:val="20"/>
        </w:rPr>
        <w:t xml:space="preserve"> atos ilícitos que possam ensejar responsabilidade administrativa, civil ou criminal, que lhes sejam aplicáveis, incluindo, mas não se limitando às Leis de Prevenção à Lavagem de Dinheiro e Anticorrupção, na medida em que: (i) está em processo de implement</w:t>
      </w:r>
      <w:r>
        <w:rPr>
          <w:rFonts w:ascii="Verdana" w:hAnsi="Verdana"/>
          <w:sz w:val="20"/>
        </w:rPr>
        <w:t>ação de políticas e procedimentos internos que visam assegurar o integral cumprimento de tais normas; (</w:t>
      </w:r>
      <w:proofErr w:type="spellStart"/>
      <w:r>
        <w:rPr>
          <w:rFonts w:ascii="Verdana" w:hAnsi="Verdana"/>
          <w:sz w:val="20"/>
        </w:rPr>
        <w:t>ii</w:t>
      </w:r>
      <w:proofErr w:type="spellEnd"/>
      <w:r>
        <w:rPr>
          <w:rFonts w:ascii="Verdana" w:hAnsi="Verdana"/>
          <w:sz w:val="20"/>
        </w:rPr>
        <w:t>) dá pleno conhecimento de tais normas a todos os profissionais que venham a se relacionar com a Emissora e/ou suas Controladas Relevantes, previamente</w:t>
      </w:r>
      <w:r>
        <w:rPr>
          <w:rFonts w:ascii="Verdana" w:hAnsi="Verdana"/>
          <w:sz w:val="20"/>
        </w:rPr>
        <w:t xml:space="preserve"> ao início de sua atuação no âmbito desta Escritura de Emissão; (</w:t>
      </w:r>
      <w:proofErr w:type="spellStart"/>
      <w:r>
        <w:rPr>
          <w:rFonts w:ascii="Verdana" w:hAnsi="Verdana"/>
          <w:sz w:val="20"/>
        </w:rPr>
        <w:t>iii</w:t>
      </w:r>
      <w:proofErr w:type="spellEnd"/>
      <w:r>
        <w:rPr>
          <w:rFonts w:ascii="Verdana" w:hAnsi="Verdana"/>
          <w:sz w:val="20"/>
        </w:rPr>
        <w:t>) abstém-se de praticar atos de corrupção e de agir de forma lesiva à administração pública, nacional e estrangeira, no seu interesse ou para seu benefício, exclusivo ou não; (</w:t>
      </w:r>
      <w:proofErr w:type="spellStart"/>
      <w:r>
        <w:rPr>
          <w:rFonts w:ascii="Verdana" w:hAnsi="Verdana"/>
          <w:sz w:val="20"/>
        </w:rPr>
        <w:t>iv</w:t>
      </w:r>
      <w:proofErr w:type="spellEnd"/>
      <w:r>
        <w:rPr>
          <w:rFonts w:ascii="Verdana" w:hAnsi="Verdana"/>
          <w:sz w:val="20"/>
        </w:rPr>
        <w:t>) realizar</w:t>
      </w:r>
      <w:r>
        <w:rPr>
          <w:rFonts w:ascii="Verdana" w:hAnsi="Verdana"/>
          <w:sz w:val="20"/>
        </w:rPr>
        <w:t xml:space="preserve">á eventuais pagamentos devidos no âmbito desta Escritura de Emissão exclusivamente por meio de transferência bancária; e (v) caso tenha conhecimento de qualquer ato ou fato que viole aludidas normas, comunicar imediatamente ao Agente Fiduciário que poderá </w:t>
      </w:r>
      <w:r>
        <w:rPr>
          <w:rFonts w:ascii="Verdana" w:hAnsi="Verdana"/>
          <w:sz w:val="20"/>
        </w:rPr>
        <w:t>tomar todas as providências que entender necessárias;</w:t>
      </w:r>
    </w:p>
    <w:p w:rsidR="00DE19C8" w:rsidRDefault="00626B63">
      <w:pPr>
        <w:widowControl w:val="0"/>
        <w:spacing w:line="318" w:lineRule="exact"/>
        <w:ind w:left="1418"/>
        <w:contextualSpacing/>
        <w:rPr>
          <w:rFonts w:ascii="Verdana" w:hAnsi="Verdana"/>
          <w:sz w:val="20"/>
        </w:rPr>
      </w:pPr>
      <w:r>
        <w:rPr>
          <w:rFonts w:ascii="Verdana" w:hAnsi="Verdana"/>
          <w:sz w:val="20"/>
        </w:rPr>
        <w:t xml:space="preserve"> </w:t>
      </w: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 xml:space="preserve">não transferir ou por qualquer forma ceder, ou prometer ceder, a terceiros os direitos e obrigações que respectivamente adquiriu e assumiu na presente Escritura, sem a prévia anuência dos </w:t>
      </w:r>
      <w:r>
        <w:rPr>
          <w:rFonts w:ascii="Verdana" w:hAnsi="Verdana" w:cs="Tahoma"/>
          <w:sz w:val="20"/>
        </w:rPr>
        <w:t>Debenturistas reunidos em Assembleia Geral de Debenturistas especialmente convocada para esse fim;</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informar ao Agente Fiduciário sobre a ocorrência de qualquer evento previsto no item 4.13.1 desta Escritura de Emissão, em até 1 (um) Dia Útil contado da ci</w:t>
      </w:r>
      <w:r>
        <w:rPr>
          <w:rFonts w:ascii="Verdana" w:hAnsi="Verdana" w:cs="Tahoma"/>
          <w:sz w:val="20"/>
        </w:rPr>
        <w:t xml:space="preserve">ência pela Emissora de sua ocorrência; </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cumprir todas as determinações emanadas pela CVM, inclusive mediante envio de documentos, prestando, ainda, as informações que lhe forem solicitadas;</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 xml:space="preserve">não realizar operações fora do seu objeto social, observadas as </w:t>
      </w:r>
      <w:r>
        <w:rPr>
          <w:rFonts w:ascii="Verdana" w:hAnsi="Verdana" w:cs="Tahoma"/>
          <w:sz w:val="20"/>
        </w:rPr>
        <w:t>disposições estatutárias, legais e regulamentares em vigor;</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notificar em até 2 (dois) Dias Úteis o Agente Fiduciário sobre qualquer alteração substancial nas condições financeiras, econômicas, comerciais, operacionais, regulatórias ou societárias ou nos n</w:t>
      </w:r>
      <w:r>
        <w:rPr>
          <w:rFonts w:ascii="Verdana" w:hAnsi="Verdana" w:cs="Tahoma"/>
          <w:sz w:val="20"/>
        </w:rPr>
        <w:t xml:space="preserve">egócios da Emissora que (i) impossibilite ou dificulte de forma relevante o cumprimento, pela Emissora, de suas obrigações </w:t>
      </w:r>
      <w:r>
        <w:rPr>
          <w:rFonts w:ascii="Verdana" w:hAnsi="Verdana" w:cs="Tahoma"/>
          <w:sz w:val="20"/>
        </w:rPr>
        <w:lastRenderedPageBreak/>
        <w:t>decorrentes desta Escritura de Emissão e das Debêntures; ou (</w:t>
      </w:r>
      <w:proofErr w:type="spellStart"/>
      <w:r>
        <w:rPr>
          <w:rFonts w:ascii="Verdana" w:hAnsi="Verdana" w:cs="Tahoma"/>
          <w:sz w:val="20"/>
        </w:rPr>
        <w:t>ii</w:t>
      </w:r>
      <w:proofErr w:type="spellEnd"/>
      <w:r>
        <w:rPr>
          <w:rFonts w:ascii="Verdana" w:hAnsi="Verdana" w:cs="Tahoma"/>
          <w:sz w:val="20"/>
        </w:rPr>
        <w:t xml:space="preserve">) faça com que as demonstrações ou informações financeiras fornecidas </w:t>
      </w:r>
      <w:r>
        <w:rPr>
          <w:rFonts w:ascii="Verdana" w:hAnsi="Verdana" w:cs="Tahoma"/>
          <w:sz w:val="20"/>
        </w:rPr>
        <w:t xml:space="preserve">pela Emissora não mais reflitam a real condição econômica e financeira da Emissora; </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comunicar em até 2 (dois) Dias Úteis ao Agente Fiduciário a ocorrência de quaisquer eventos ou situações que sejam de seu conhecimento e que possam afetar negativamente s</w:t>
      </w:r>
      <w:r>
        <w:rPr>
          <w:rFonts w:ascii="Verdana" w:hAnsi="Verdana" w:cs="Tahoma"/>
          <w:sz w:val="20"/>
        </w:rPr>
        <w:t xml:space="preserve">ua habilidade de efetuar o pontual cumprimento das obrigações, no todo ou em parte, assumidas nos termos desta Escritura de Emissão; </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manter seus bens e ativos devidamente segurados, conforme práticas correntes de mercado;</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comparecer as Assembleias Gerai</w:t>
      </w:r>
      <w:r>
        <w:rPr>
          <w:rFonts w:ascii="Verdana" w:hAnsi="Verdana" w:cs="Tahoma"/>
          <w:sz w:val="20"/>
        </w:rPr>
        <w:t>s de Debenturistas sempre que solicitado e convocado nos prazos previstos nesta Escritura de Emissão;</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não praticar qualquer ato em desacordo com o estatuto social e com esta Escritura de Emissão, em especial os que possam, direta ou indiretamente, comprom</w:t>
      </w:r>
      <w:r>
        <w:rPr>
          <w:rFonts w:ascii="Verdana" w:hAnsi="Verdana" w:cs="Tahoma"/>
          <w:sz w:val="20"/>
        </w:rPr>
        <w:t>eter o pontual e integral cumprimento das obrigações assumidas perante aos Debenturistas;</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b/>
          <w:sz w:val="20"/>
        </w:rPr>
      </w:pPr>
      <w:r>
        <w:rPr>
          <w:rFonts w:ascii="Verdana" w:hAnsi="Verdana" w:cs="Tahoma"/>
          <w:sz w:val="20"/>
        </w:rPr>
        <w:t>salvo nos casos em que a Emissora esteja discutindo a aplicabilidade da lei, regra ou regulamento nas esferas administrativa ou judicial, cumprir, em todos os aspect</w:t>
      </w:r>
      <w:r>
        <w:rPr>
          <w:rFonts w:ascii="Verdana" w:hAnsi="Verdana" w:cs="Tahoma"/>
          <w:sz w:val="20"/>
        </w:rPr>
        <w:t>os relevantes, todas as leis, regras, regulamentos e as determinações dos órgãos governamentais, autarquias ou tribunais, que sejam aplicáveis à condução de seus negócios, cujo descumprimento gere um Efeito Adverso Relevante. Para fins desta Escritura de E</w:t>
      </w:r>
      <w:r>
        <w:rPr>
          <w:rFonts w:ascii="Verdana" w:hAnsi="Verdana" w:cs="Tahoma"/>
          <w:sz w:val="20"/>
        </w:rPr>
        <w:t>missão, considera-se um “</w:t>
      </w:r>
      <w:r>
        <w:rPr>
          <w:rFonts w:ascii="Verdana" w:hAnsi="Verdana" w:cs="Tahoma"/>
          <w:sz w:val="20"/>
          <w:u w:val="single"/>
        </w:rPr>
        <w:t>Efeito Adverso Relevante</w:t>
      </w:r>
      <w:r>
        <w:rPr>
          <w:rFonts w:ascii="Verdana" w:hAnsi="Verdana" w:cs="Tahoma"/>
          <w:sz w:val="20"/>
        </w:rPr>
        <w:t xml:space="preserve">”, (i) qualquer situação que ocorra e cause um impacto negativo, adverso e relevante na situação (a) financeira, (b) </w:t>
      </w:r>
      <w:proofErr w:type="spellStart"/>
      <w:r>
        <w:rPr>
          <w:rFonts w:ascii="Verdana" w:hAnsi="Verdana" w:cs="Tahoma"/>
          <w:sz w:val="20"/>
        </w:rPr>
        <w:t>reputacional</w:t>
      </w:r>
      <w:proofErr w:type="spellEnd"/>
      <w:r>
        <w:rPr>
          <w:rFonts w:ascii="Verdana" w:hAnsi="Verdana" w:cs="Tahoma"/>
          <w:sz w:val="20"/>
        </w:rPr>
        <w:t>, (c) nos bens ou (d) nos resultados operacionais da Emissora ou de suas Contr</w:t>
      </w:r>
      <w:r>
        <w:rPr>
          <w:rFonts w:ascii="Verdana" w:hAnsi="Verdana" w:cs="Tahoma"/>
          <w:sz w:val="20"/>
        </w:rPr>
        <w:t>oladas Relevantes; ou (</w:t>
      </w:r>
      <w:proofErr w:type="spellStart"/>
      <w:r>
        <w:rPr>
          <w:rFonts w:ascii="Verdana" w:hAnsi="Verdana" w:cs="Tahoma"/>
          <w:sz w:val="20"/>
        </w:rPr>
        <w:t>ii</w:t>
      </w:r>
      <w:proofErr w:type="spellEnd"/>
      <w:r>
        <w:rPr>
          <w:rFonts w:ascii="Verdana" w:hAnsi="Verdana" w:cs="Tahoma"/>
          <w:sz w:val="20"/>
        </w:rPr>
        <w:t>) qualquer efeito adverso na capacidade da Emissora de cumprir suas obrigações nos termos desta Escritura de Emissão;</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cumprir todas as obrigações assumidas nos termos desta Escritura de Emissão, inclusive no que tange à destinação</w:t>
      </w:r>
      <w:r>
        <w:rPr>
          <w:rFonts w:ascii="Verdana" w:hAnsi="Verdana" w:cs="Tahoma"/>
          <w:sz w:val="20"/>
        </w:rPr>
        <w:t xml:space="preserve"> dos recursos captados por meio da Emissão;</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 xml:space="preserve">manter contratado durante o prazo de vigência das Debêntures, às suas expensas, o Banco Liquidante e o </w:t>
      </w:r>
      <w:proofErr w:type="spellStart"/>
      <w:r>
        <w:rPr>
          <w:rFonts w:ascii="Verdana" w:hAnsi="Verdana" w:cs="Tahoma"/>
          <w:sz w:val="20"/>
        </w:rPr>
        <w:t>Escriturador</w:t>
      </w:r>
      <w:proofErr w:type="spellEnd"/>
      <w:r>
        <w:rPr>
          <w:rFonts w:ascii="Verdana" w:hAnsi="Verdana" w:cs="Tahoma"/>
          <w:sz w:val="20"/>
        </w:rPr>
        <w:t xml:space="preserve">, o Agente Fiduciário e ambiente </w:t>
      </w:r>
      <w:r>
        <w:rPr>
          <w:rFonts w:ascii="Verdana" w:hAnsi="Verdana" w:cs="Tahoma"/>
          <w:sz w:val="20"/>
        </w:rPr>
        <w:lastRenderedPageBreak/>
        <w:t>de negociação no mercado secundário (CETIP21), bem como todas e</w:t>
      </w:r>
      <w:r>
        <w:rPr>
          <w:rFonts w:ascii="Verdana" w:hAnsi="Verdana" w:cs="Tahoma"/>
          <w:sz w:val="20"/>
        </w:rPr>
        <w:t xml:space="preserve"> quaisquer outras providências necessárias para a manutenção das Debêntures;</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efetuar recolhimento de quaisquer tributos, encargos, emolumentos e/ou despesas que incidam ou venham a incidir sobre a Emissão e que sejam de responsabilidade da Emissora;</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efet</w:t>
      </w:r>
      <w:r>
        <w:rPr>
          <w:rFonts w:ascii="Verdana" w:hAnsi="Verdana" w:cs="Tahoma"/>
          <w:sz w:val="20"/>
        </w:rPr>
        <w:t>uar o pagamento de todas as despesas comprovadas pelo Agente Fiduciário e previamente aprovadas pela Emissora, sempre que possível e observados os critérios de razoabilidade e as práticas de mercado, que venham a ser necessárias para proteger os direitos e</w:t>
      </w:r>
      <w:r>
        <w:rPr>
          <w:rFonts w:ascii="Verdana" w:hAnsi="Verdana" w:cs="Tahoma"/>
          <w:sz w:val="20"/>
        </w:rPr>
        <w:t xml:space="preserve"> interesses dos Debenturistas ou para realizar seus créditos, inclusive honorários advocatícios e outras despesas e custos incorridos em virtude da cobrança de qualquer quantia devida aos Debenturistas nos termos desta Escritura de Emissão; </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manter sempre</w:t>
      </w:r>
      <w:r>
        <w:rPr>
          <w:rFonts w:ascii="Verdana" w:hAnsi="Verdana" w:cs="Tahoma"/>
          <w:sz w:val="20"/>
        </w:rPr>
        <w:t xml:space="preserve"> válidas e em vigor as licenças e autorizações relevantes necessárias para o regular exercício das suas atividades;</w:t>
      </w:r>
    </w:p>
    <w:p w:rsidR="00DE19C8" w:rsidRDefault="00626B63">
      <w:pPr>
        <w:widowControl w:val="0"/>
        <w:spacing w:line="318" w:lineRule="exact"/>
        <w:ind w:left="1418"/>
        <w:contextualSpacing/>
        <w:rPr>
          <w:rFonts w:ascii="Verdana" w:hAnsi="Verdana" w:cs="Tahoma"/>
          <w:sz w:val="20"/>
        </w:rPr>
      </w:pPr>
      <w:r>
        <w:rPr>
          <w:rFonts w:ascii="Verdana" w:hAnsi="Verdana" w:cs="Tahoma"/>
          <w:sz w:val="20"/>
        </w:rPr>
        <w:t xml:space="preserve"> </w:t>
      </w:r>
    </w:p>
    <w:p w:rsidR="00DE19C8" w:rsidRDefault="00DE19C8">
      <w:pPr>
        <w:pStyle w:val="PargrafodaLista"/>
        <w:widowControl w:val="0"/>
        <w:spacing w:line="318" w:lineRule="exact"/>
        <w:contextualSpacing/>
        <w:rPr>
          <w:rFonts w:ascii="Verdana" w:hAnsi="Verdana" w:cs="Tahoma"/>
          <w:sz w:val="20"/>
        </w:rPr>
      </w:pPr>
    </w:p>
    <w:p w:rsidR="00DE19C8" w:rsidRDefault="00626B63">
      <w:pPr>
        <w:widowControl w:val="0"/>
        <w:numPr>
          <w:ilvl w:val="0"/>
          <w:numId w:val="30"/>
        </w:numPr>
        <w:tabs>
          <w:tab w:val="clear" w:pos="1658"/>
        </w:tabs>
        <w:spacing w:line="318" w:lineRule="exact"/>
        <w:ind w:left="1418" w:hanging="709"/>
        <w:contextualSpacing/>
        <w:rPr>
          <w:rFonts w:ascii="Verdana" w:hAnsi="Verdana" w:cs="Tahoma"/>
          <w:sz w:val="20"/>
        </w:rPr>
      </w:pPr>
      <w:r>
        <w:rPr>
          <w:rFonts w:ascii="Verdana" w:hAnsi="Verdana" w:cs="Tahoma"/>
          <w:sz w:val="20"/>
        </w:rPr>
        <w:t>manter sempre atualizado seu registro de companhia aberta perante a CVM;</w:t>
      </w:r>
    </w:p>
    <w:p w:rsidR="00DE19C8" w:rsidRDefault="00DE19C8">
      <w:pPr>
        <w:widowControl w:val="0"/>
        <w:spacing w:line="318" w:lineRule="exact"/>
        <w:contextualSpacing/>
        <w:rPr>
          <w:rFonts w:ascii="Verdana" w:hAnsi="Verdana" w:cs="Tahoma"/>
          <w:sz w:val="20"/>
        </w:rPr>
      </w:pPr>
    </w:p>
    <w:p w:rsidR="00DE19C8" w:rsidRDefault="00626B63">
      <w:pPr>
        <w:widowControl w:val="0"/>
        <w:numPr>
          <w:ilvl w:val="0"/>
          <w:numId w:val="30"/>
        </w:numPr>
        <w:tabs>
          <w:tab w:val="clear" w:pos="1658"/>
        </w:tabs>
        <w:spacing w:line="318" w:lineRule="exact"/>
        <w:ind w:left="1418" w:hanging="709"/>
        <w:contextualSpacing/>
        <w:rPr>
          <w:rFonts w:ascii="Verdana" w:hAnsi="Verdana" w:cs="Tahoma"/>
          <w:sz w:val="20"/>
        </w:rPr>
      </w:pPr>
      <w:r>
        <w:rPr>
          <w:rFonts w:ascii="Verdana" w:hAnsi="Verdana" w:cs="Tahoma"/>
          <w:sz w:val="20"/>
        </w:rPr>
        <w:t xml:space="preserve">abster-se de negociar, até o envio do comunicado de </w:t>
      </w:r>
      <w:r>
        <w:rPr>
          <w:rFonts w:ascii="Verdana" w:hAnsi="Verdana" w:cs="Tahoma"/>
          <w:sz w:val="20"/>
        </w:rPr>
        <w:t>encerramento da Oferta Restrita, valores mobiliários de sua emissão e da mesma espécie da Oferta Restrita, salvo nas hipóteses previstas no inciso II do artigo 48 da Instrução CVM 400;</w:t>
      </w:r>
    </w:p>
    <w:p w:rsidR="00DE19C8" w:rsidRDefault="00DE19C8">
      <w:pPr>
        <w:keepNext/>
        <w:suppressAutoHyphens/>
        <w:spacing w:line="318" w:lineRule="exact"/>
        <w:ind w:left="1418"/>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preparar demonstrações financeiras</w:t>
      </w:r>
      <w:bookmarkStart w:id="122" w:name="_DV_C53"/>
      <w:r>
        <w:rPr>
          <w:rFonts w:ascii="Verdana" w:hAnsi="Verdana" w:cs="Tahoma"/>
          <w:sz w:val="20"/>
        </w:rPr>
        <w:t xml:space="preserve"> de encerramento de exercício</w:t>
      </w:r>
      <w:bookmarkEnd w:id="122"/>
      <w:r>
        <w:rPr>
          <w:rFonts w:ascii="Verdana" w:hAnsi="Verdana" w:cs="Tahoma"/>
          <w:sz w:val="20"/>
        </w:rPr>
        <w:t xml:space="preserve"> e, se </w:t>
      </w:r>
      <w:r>
        <w:rPr>
          <w:rFonts w:ascii="Verdana" w:hAnsi="Verdana" w:cs="Tahoma"/>
          <w:sz w:val="20"/>
        </w:rPr>
        <w:t>for o caso, demonstrações consolidadas, em conformidade com a Lei das Sociedades por Ações, e com as regras emitidas pela CVM;</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 xml:space="preserve">observar as disposições da Instrução CVM 358 no tocante a dever de sigilo e vedações à negociação; </w:t>
      </w:r>
    </w:p>
    <w:p w:rsidR="00DE19C8" w:rsidRDefault="00DE19C8">
      <w:pPr>
        <w:keepNext/>
        <w:suppressAutoHyphens/>
        <w:spacing w:line="318" w:lineRule="exact"/>
        <w:ind w:left="1418"/>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divulgar a ocorrência de fa</w:t>
      </w:r>
      <w:r>
        <w:rPr>
          <w:rFonts w:ascii="Verdana" w:hAnsi="Verdana" w:cs="Tahoma"/>
          <w:sz w:val="20"/>
        </w:rPr>
        <w:t>to relevante, conforme definido pelo art. 2º da Instrução CVM 358 (i) em sua página na rede mundial de computadores, mantendo-as disponíveis pelo período de 3 (três) anos; e (</w:t>
      </w:r>
      <w:proofErr w:type="spellStart"/>
      <w:r>
        <w:rPr>
          <w:rFonts w:ascii="Verdana" w:hAnsi="Verdana" w:cs="Tahoma"/>
          <w:sz w:val="20"/>
        </w:rPr>
        <w:t>ii</w:t>
      </w:r>
      <w:proofErr w:type="spellEnd"/>
      <w:r>
        <w:rPr>
          <w:rFonts w:ascii="Verdana" w:hAnsi="Verdana" w:cs="Tahoma"/>
          <w:sz w:val="20"/>
        </w:rPr>
        <w:t xml:space="preserve">) em sistema disponibilizado pela B3 </w:t>
      </w:r>
      <w:r>
        <w:rPr>
          <w:rFonts w:ascii="Verdana" w:hAnsi="Verdana"/>
          <w:sz w:val="20"/>
        </w:rPr>
        <w:t xml:space="preserve">– Segmento </w:t>
      </w:r>
      <w:proofErr w:type="spellStart"/>
      <w:r>
        <w:rPr>
          <w:rFonts w:ascii="Verdana" w:hAnsi="Verdana"/>
          <w:sz w:val="20"/>
        </w:rPr>
        <w:t>Cetip</w:t>
      </w:r>
      <w:proofErr w:type="spellEnd"/>
      <w:r>
        <w:rPr>
          <w:rFonts w:ascii="Verdana" w:hAnsi="Verdana"/>
          <w:sz w:val="20"/>
        </w:rPr>
        <w:t xml:space="preserve"> UTVM</w:t>
      </w:r>
      <w:r>
        <w:rPr>
          <w:rFonts w:ascii="Verdana" w:hAnsi="Verdana" w:cs="Tahoma"/>
          <w:sz w:val="20"/>
        </w:rPr>
        <w:t>;</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lastRenderedPageBreak/>
        <w:t>submeter suas demo</w:t>
      </w:r>
      <w:r>
        <w:rPr>
          <w:rFonts w:ascii="Verdana" w:hAnsi="Verdana" w:cs="Tahoma"/>
          <w:sz w:val="20"/>
        </w:rPr>
        <w:t xml:space="preserve">nstrações financeiras a auditoria, por auditor registrado na CVM; </w:t>
      </w:r>
    </w:p>
    <w:p w:rsidR="00DE19C8" w:rsidRDefault="00DE19C8">
      <w:pPr>
        <w:tabs>
          <w:tab w:val="left" w:pos="3285"/>
        </w:tabs>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 xml:space="preserve">divulgar, </w:t>
      </w:r>
      <w:r>
        <w:rPr>
          <w:rFonts w:ascii="Verdana" w:hAnsi="Verdana"/>
          <w:sz w:val="20"/>
        </w:rPr>
        <w:t>até o dia anterior ao início das negociações</w:t>
      </w:r>
      <w:r>
        <w:rPr>
          <w:rFonts w:ascii="Verdana" w:hAnsi="Verdana" w:cs="Tahoma"/>
          <w:sz w:val="20"/>
        </w:rPr>
        <w:t>, suas demonstrações financeiras, acompanhadas de notas explicativas e do relatório dos auditores independentes, relativas aos 3 (três</w:t>
      </w:r>
      <w:r>
        <w:rPr>
          <w:rFonts w:ascii="Verdana" w:hAnsi="Verdana" w:cs="Tahoma"/>
          <w:sz w:val="20"/>
        </w:rPr>
        <w:t>) últimos exercícios sociais encerrados (i) em sua página na rede mundial de computadores, mantendo-as disponíveis pelo período de 3 (três) anos; e (</w:t>
      </w:r>
      <w:proofErr w:type="spellStart"/>
      <w:r>
        <w:rPr>
          <w:rFonts w:ascii="Verdana" w:hAnsi="Verdana" w:cs="Tahoma"/>
          <w:sz w:val="20"/>
        </w:rPr>
        <w:t>ii</w:t>
      </w:r>
      <w:proofErr w:type="spellEnd"/>
      <w:r>
        <w:rPr>
          <w:rFonts w:ascii="Verdana" w:hAnsi="Verdana" w:cs="Tahoma"/>
          <w:sz w:val="20"/>
        </w:rPr>
        <w:t xml:space="preserve">) em sistema disponibilizado pela B3 </w:t>
      </w:r>
      <w:r>
        <w:rPr>
          <w:rFonts w:ascii="Verdana" w:hAnsi="Verdana"/>
          <w:sz w:val="20"/>
        </w:rPr>
        <w:t xml:space="preserve">– Segmento </w:t>
      </w:r>
      <w:proofErr w:type="spellStart"/>
      <w:r>
        <w:rPr>
          <w:rFonts w:ascii="Verdana" w:hAnsi="Verdana"/>
          <w:sz w:val="20"/>
        </w:rPr>
        <w:t>Cetip</w:t>
      </w:r>
      <w:proofErr w:type="spellEnd"/>
      <w:r>
        <w:rPr>
          <w:rFonts w:ascii="Verdana" w:hAnsi="Verdana"/>
          <w:sz w:val="20"/>
        </w:rPr>
        <w:t xml:space="preserve"> UTVM</w:t>
      </w:r>
      <w:r>
        <w:rPr>
          <w:rFonts w:ascii="Verdana" w:hAnsi="Verdana" w:cs="Tahoma"/>
          <w:sz w:val="20"/>
        </w:rPr>
        <w:t xml:space="preserve">; </w:t>
      </w:r>
    </w:p>
    <w:p w:rsidR="00DE19C8" w:rsidRDefault="00DE19C8">
      <w:pPr>
        <w:keepNext/>
        <w:suppressAutoHyphens/>
        <w:spacing w:line="318" w:lineRule="exact"/>
        <w:ind w:left="1418"/>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divulgar as demonstrações financeiras subse</w:t>
      </w:r>
      <w:r>
        <w:rPr>
          <w:rFonts w:ascii="Verdana" w:hAnsi="Verdana" w:cs="Tahoma"/>
          <w:sz w:val="20"/>
        </w:rPr>
        <w:t>quentes, acompanhadas de notas explicativas e relatório dos auditores independentes, dentro de 3 (três) meses contados do encerramento do exercício social (i) em sua página na rede mundial de computadores, mantendo-as disponíveis pelo período de 3 (três) a</w:t>
      </w:r>
      <w:r>
        <w:rPr>
          <w:rFonts w:ascii="Verdana" w:hAnsi="Verdana" w:cs="Tahoma"/>
          <w:sz w:val="20"/>
        </w:rPr>
        <w:t>nos; e (</w:t>
      </w:r>
      <w:proofErr w:type="spellStart"/>
      <w:r>
        <w:rPr>
          <w:rFonts w:ascii="Verdana" w:hAnsi="Verdana" w:cs="Tahoma"/>
          <w:sz w:val="20"/>
        </w:rPr>
        <w:t>ii</w:t>
      </w:r>
      <w:proofErr w:type="spellEnd"/>
      <w:r>
        <w:rPr>
          <w:rFonts w:ascii="Verdana" w:hAnsi="Verdana" w:cs="Tahoma"/>
          <w:sz w:val="20"/>
        </w:rPr>
        <w:t xml:space="preserve">) em sistema disponibilizado pela B3 </w:t>
      </w:r>
      <w:r>
        <w:rPr>
          <w:rFonts w:ascii="Verdana" w:hAnsi="Verdana"/>
          <w:sz w:val="20"/>
        </w:rPr>
        <w:t xml:space="preserve">– Segmento </w:t>
      </w:r>
      <w:proofErr w:type="spellStart"/>
      <w:r>
        <w:rPr>
          <w:rFonts w:ascii="Verdana" w:hAnsi="Verdana"/>
          <w:sz w:val="20"/>
        </w:rPr>
        <w:t>Cetip</w:t>
      </w:r>
      <w:proofErr w:type="spellEnd"/>
      <w:r>
        <w:rPr>
          <w:rFonts w:ascii="Verdana" w:hAnsi="Verdana"/>
          <w:sz w:val="20"/>
        </w:rPr>
        <w:t xml:space="preserve"> UTVM</w:t>
      </w:r>
      <w:r>
        <w:rPr>
          <w:rFonts w:ascii="Verdana" w:hAnsi="Verdana" w:cs="Tahoma"/>
          <w:sz w:val="20"/>
        </w:rPr>
        <w:t xml:space="preserve">; </w:t>
      </w:r>
    </w:p>
    <w:p w:rsidR="00DE19C8" w:rsidRDefault="00DE19C8">
      <w:pPr>
        <w:keepNext/>
        <w:suppressAutoHyphens/>
        <w:spacing w:line="318" w:lineRule="exact"/>
        <w:ind w:left="1418"/>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divulgar em sua página na rede mundial de computadores o relatório anual e demais comunicações enviadas pelo Agente Fiduciário na mesma data do seu recebimento, observado ainda o disposto no inciso “</w:t>
      </w:r>
      <w:proofErr w:type="spellStart"/>
      <w:r>
        <w:rPr>
          <w:rFonts w:ascii="Verdana" w:hAnsi="Verdana" w:cs="Tahoma"/>
          <w:sz w:val="20"/>
        </w:rPr>
        <w:t>cc</w:t>
      </w:r>
      <w:proofErr w:type="spellEnd"/>
      <w:r>
        <w:rPr>
          <w:rFonts w:ascii="Verdana" w:hAnsi="Verdana" w:cs="Tahoma"/>
          <w:sz w:val="20"/>
        </w:rPr>
        <w:t xml:space="preserve">” acima; </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manter: (i) válidos e regulares todos os alv</w:t>
      </w:r>
      <w:r>
        <w:rPr>
          <w:rFonts w:ascii="Verdana" w:hAnsi="Verdana" w:cs="Tahoma"/>
          <w:sz w:val="20"/>
        </w:rPr>
        <w:t>arás, licenças, autorizações ou aprovações necessárias ao regular funcionamento da Emissora, efetuando todo e qualquer pagamento necessário para tanto; (</w:t>
      </w:r>
      <w:proofErr w:type="spellStart"/>
      <w:r>
        <w:rPr>
          <w:rFonts w:ascii="Verdana" w:hAnsi="Verdana" w:cs="Tahoma"/>
          <w:sz w:val="20"/>
        </w:rPr>
        <w:t>ii</w:t>
      </w:r>
      <w:proofErr w:type="spellEnd"/>
      <w:r>
        <w:rPr>
          <w:rFonts w:ascii="Verdana" w:hAnsi="Verdana" w:cs="Tahoma"/>
          <w:sz w:val="20"/>
        </w:rPr>
        <w:t>) seus livros contábeis e societários regularmente abertos e registrados na Junta Comercial de sua re</w:t>
      </w:r>
      <w:r>
        <w:rPr>
          <w:rFonts w:ascii="Verdana" w:hAnsi="Verdana" w:cs="Tahoma"/>
          <w:sz w:val="20"/>
        </w:rPr>
        <w:t>spectiva sede social, na forma exigida pela Lei 6.404, pela legislação tributária e pelas demais normas regulamentares, em local adequado e em perfeita ordem; e (</w:t>
      </w:r>
      <w:proofErr w:type="spellStart"/>
      <w:r>
        <w:rPr>
          <w:rFonts w:ascii="Verdana" w:hAnsi="Verdana" w:cs="Tahoma"/>
          <w:sz w:val="20"/>
        </w:rPr>
        <w:t>iii</w:t>
      </w:r>
      <w:proofErr w:type="spellEnd"/>
      <w:r>
        <w:rPr>
          <w:rFonts w:ascii="Verdana" w:hAnsi="Verdana" w:cs="Tahoma"/>
          <w:sz w:val="20"/>
        </w:rPr>
        <w:t>) em dia o pagamento de todos os tributos devidos em âmbito federal, estadual, distrital ou</w:t>
      </w:r>
      <w:r>
        <w:rPr>
          <w:rFonts w:ascii="Verdana" w:hAnsi="Verdana" w:cs="Tahoma"/>
          <w:sz w:val="20"/>
        </w:rPr>
        <w:t xml:space="preserve"> municipal. </w:t>
      </w:r>
    </w:p>
    <w:p w:rsidR="00DE19C8" w:rsidRDefault="00DE19C8">
      <w:pPr>
        <w:pStyle w:val="PargrafodaLista"/>
        <w:spacing w:line="318" w:lineRule="exact"/>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 xml:space="preserve">fornecer todas as informações que vierem a ser solicitadas pela CVM ou pela </w:t>
      </w:r>
      <w:r>
        <w:rPr>
          <w:rFonts w:ascii="Verdana" w:hAnsi="Verdana" w:cs="Tahoma"/>
          <w:color w:val="000000"/>
          <w:sz w:val="20"/>
        </w:rPr>
        <w:t xml:space="preserve">B3 – Segmento </w:t>
      </w:r>
      <w:proofErr w:type="spellStart"/>
      <w:r>
        <w:rPr>
          <w:rFonts w:ascii="Verdana" w:hAnsi="Verdana" w:cs="Tahoma"/>
          <w:color w:val="000000"/>
          <w:sz w:val="20"/>
        </w:rPr>
        <w:t>Cetip</w:t>
      </w:r>
      <w:proofErr w:type="spellEnd"/>
      <w:r>
        <w:rPr>
          <w:rFonts w:ascii="Verdana" w:hAnsi="Verdana" w:cs="Tahoma"/>
          <w:color w:val="000000"/>
          <w:sz w:val="20"/>
        </w:rPr>
        <w:t xml:space="preserve"> UTVM</w:t>
      </w:r>
      <w:r>
        <w:rPr>
          <w:rFonts w:ascii="Verdana" w:hAnsi="Verdana" w:cs="Tahoma"/>
          <w:sz w:val="20"/>
        </w:rPr>
        <w:t>;</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t xml:space="preserve">manter válidas e regulares, durante todo o prazo de vigência das Debêntures e desde que haja Debêntures em circulação, as declarações e </w:t>
      </w:r>
      <w:r>
        <w:rPr>
          <w:rFonts w:ascii="Verdana" w:hAnsi="Verdana" w:cs="Tahoma"/>
          <w:sz w:val="20"/>
        </w:rPr>
        <w:t>garantias apresentadas nesta Escritura de Emissão, no que for aplicável; e</w:t>
      </w:r>
    </w:p>
    <w:p w:rsidR="00DE19C8" w:rsidRDefault="00DE19C8">
      <w:pPr>
        <w:keepNext/>
        <w:suppressAutoHyphens/>
        <w:spacing w:line="318" w:lineRule="exact"/>
        <w:ind w:left="1418"/>
        <w:contextualSpacing/>
        <w:rPr>
          <w:rFonts w:ascii="Verdana" w:hAnsi="Verdana" w:cs="Tahoma"/>
          <w:sz w:val="20"/>
        </w:rPr>
      </w:pPr>
    </w:p>
    <w:p w:rsidR="00DE19C8" w:rsidRDefault="00DE19C8">
      <w:pPr>
        <w:pStyle w:val="PargrafodaLista"/>
        <w:spacing w:line="318" w:lineRule="exact"/>
        <w:ind w:left="1418" w:hanging="709"/>
        <w:contextualSpacing/>
        <w:rPr>
          <w:rFonts w:ascii="Verdana" w:hAnsi="Verdana" w:cs="Tahoma"/>
          <w:sz w:val="20"/>
        </w:rPr>
      </w:pPr>
    </w:p>
    <w:p w:rsidR="00DE19C8" w:rsidRDefault="00626B63">
      <w:pPr>
        <w:keepNext/>
        <w:numPr>
          <w:ilvl w:val="0"/>
          <w:numId w:val="30"/>
        </w:numPr>
        <w:tabs>
          <w:tab w:val="clear" w:pos="1658"/>
        </w:tabs>
        <w:suppressAutoHyphens/>
        <w:spacing w:line="318" w:lineRule="exact"/>
        <w:ind w:left="1418" w:hanging="709"/>
        <w:contextualSpacing/>
        <w:rPr>
          <w:rFonts w:ascii="Verdana" w:hAnsi="Verdana" w:cs="Tahoma"/>
          <w:sz w:val="20"/>
        </w:rPr>
      </w:pPr>
      <w:r>
        <w:rPr>
          <w:rFonts w:ascii="Verdana" w:hAnsi="Verdana" w:cs="Tahoma"/>
          <w:sz w:val="20"/>
        </w:rPr>
        <w:lastRenderedPageBreak/>
        <w:t>manter contratada durante a vigência das Debêntures uma Agência Classificadora de Risco para:</w:t>
      </w:r>
    </w:p>
    <w:p w:rsidR="00DE19C8" w:rsidRDefault="00DE19C8">
      <w:pPr>
        <w:suppressAutoHyphens/>
        <w:spacing w:line="318" w:lineRule="exact"/>
        <w:contextualSpacing/>
        <w:rPr>
          <w:rFonts w:ascii="Verdana" w:hAnsi="Verdana" w:cs="Tahoma"/>
          <w:sz w:val="20"/>
        </w:rPr>
      </w:pPr>
    </w:p>
    <w:p w:rsidR="00DE19C8" w:rsidRDefault="00626B63">
      <w:pPr>
        <w:numPr>
          <w:ilvl w:val="0"/>
          <w:numId w:val="71"/>
        </w:numPr>
        <w:suppressAutoHyphens/>
        <w:spacing w:line="318" w:lineRule="exact"/>
        <w:ind w:left="1985" w:hanging="567"/>
        <w:contextualSpacing/>
        <w:rPr>
          <w:rFonts w:ascii="Verdana" w:hAnsi="Verdana" w:cs="Tahoma"/>
          <w:sz w:val="20"/>
        </w:rPr>
      </w:pPr>
      <w:r>
        <w:rPr>
          <w:rFonts w:ascii="Verdana" w:hAnsi="Verdana" w:cs="Tahoma"/>
          <w:sz w:val="20"/>
        </w:rPr>
        <w:t>manter atualizado o relatório de classificação de risco das Debêntures, com periodic</w:t>
      </w:r>
      <w:r>
        <w:rPr>
          <w:rFonts w:ascii="Verdana" w:hAnsi="Verdana" w:cs="Tahoma"/>
          <w:sz w:val="20"/>
        </w:rPr>
        <w:t>idade mínima de 1 (um) ano, até o vencimento das Debêntures, além de fazer com que tal Agência Classificadora de Risco dê ampla divulgação de tal classificação de risco ao mercado;</w:t>
      </w:r>
    </w:p>
    <w:p w:rsidR="00DE19C8" w:rsidRDefault="00626B63">
      <w:pPr>
        <w:numPr>
          <w:ilvl w:val="0"/>
          <w:numId w:val="71"/>
        </w:numPr>
        <w:suppressAutoHyphens/>
        <w:spacing w:line="318" w:lineRule="exact"/>
        <w:ind w:left="1985" w:hanging="567"/>
        <w:contextualSpacing/>
        <w:rPr>
          <w:rFonts w:ascii="Verdana" w:hAnsi="Verdana" w:cs="Tahoma"/>
          <w:sz w:val="20"/>
        </w:rPr>
      </w:pPr>
      <w:r>
        <w:rPr>
          <w:rFonts w:ascii="Verdana" w:hAnsi="Verdana" w:cs="Tahoma"/>
          <w:sz w:val="20"/>
        </w:rPr>
        <w:t>assegurar que seja entregue ao Agente Fiduciário e, que seja divulgado na p</w:t>
      </w:r>
      <w:r>
        <w:rPr>
          <w:rFonts w:ascii="Verdana" w:hAnsi="Verdana" w:cs="Tahoma"/>
          <w:sz w:val="20"/>
        </w:rPr>
        <w:t>ágina de rede mundial de computadores descrita na Cláusula 4.18.1, os relatórios de classificação de risco, no prazo de 5 (cinco) Dias Úteis contados da data de disponibilização dos referidos relatórios, ainda que a classificação de risco das Debêntures nã</w:t>
      </w:r>
      <w:r>
        <w:rPr>
          <w:rFonts w:ascii="Verdana" w:hAnsi="Verdana" w:cs="Tahoma"/>
          <w:sz w:val="20"/>
        </w:rPr>
        <w:t>o tenha sido alterada em relação ao relatório anterior; e</w:t>
      </w:r>
    </w:p>
    <w:p w:rsidR="00DE19C8" w:rsidRDefault="00626B63">
      <w:pPr>
        <w:numPr>
          <w:ilvl w:val="0"/>
          <w:numId w:val="71"/>
        </w:numPr>
        <w:suppressAutoHyphens/>
        <w:spacing w:line="318" w:lineRule="exact"/>
        <w:ind w:left="1985" w:hanging="567"/>
        <w:contextualSpacing/>
        <w:rPr>
          <w:rFonts w:ascii="Verdana" w:hAnsi="Verdana" w:cs="Tahoma"/>
          <w:sz w:val="20"/>
        </w:rPr>
      </w:pPr>
      <w:r>
        <w:rPr>
          <w:rFonts w:ascii="Verdana" w:hAnsi="Verdana" w:cs="Tahoma"/>
          <w:sz w:val="20"/>
        </w:rPr>
        <w:t xml:space="preserve">comunicar em até 5 (cinco) Dias Úteis contados da ciência pela Emissora de qualquer alteração da classificação de risco das Debêntures. </w:t>
      </w:r>
    </w:p>
    <w:p w:rsidR="00DE19C8" w:rsidRDefault="00DE19C8">
      <w:pPr>
        <w:suppressAutoHyphens/>
        <w:spacing w:line="318" w:lineRule="exact"/>
        <w:contextualSpacing/>
        <w:rPr>
          <w:rFonts w:ascii="Verdana" w:hAnsi="Verdana" w:cs="Tahoma"/>
          <w:sz w:val="20"/>
        </w:rPr>
      </w:pPr>
    </w:p>
    <w:p w:rsidR="00DE19C8" w:rsidRDefault="00626B63">
      <w:pPr>
        <w:tabs>
          <w:tab w:val="left" w:pos="709"/>
        </w:tabs>
        <w:suppressAutoHyphens/>
        <w:spacing w:line="318" w:lineRule="exact"/>
        <w:contextualSpacing/>
        <w:rPr>
          <w:rFonts w:ascii="Verdana" w:hAnsi="Verdana" w:cs="Tahoma"/>
          <w:sz w:val="20"/>
        </w:rPr>
      </w:pPr>
      <w:r>
        <w:rPr>
          <w:rFonts w:ascii="Verdana" w:hAnsi="Verdana" w:cs="Tahoma"/>
          <w:sz w:val="20"/>
        </w:rPr>
        <w:t>5.2.</w:t>
      </w:r>
      <w:r>
        <w:rPr>
          <w:rFonts w:ascii="Verdana" w:hAnsi="Verdana" w:cs="Tahoma"/>
          <w:sz w:val="20"/>
        </w:rPr>
        <w:tab/>
        <w:t>As despesas a que se refere o item 5.1 (t) acima compre</w:t>
      </w:r>
      <w:r>
        <w:rPr>
          <w:rFonts w:ascii="Verdana" w:hAnsi="Verdana" w:cs="Tahoma"/>
          <w:sz w:val="20"/>
        </w:rPr>
        <w:t>enderão, entre outras, as seguintes:</w:t>
      </w:r>
    </w:p>
    <w:p w:rsidR="00DE19C8" w:rsidRDefault="00DE19C8">
      <w:pPr>
        <w:suppressAutoHyphens/>
        <w:spacing w:line="318" w:lineRule="exact"/>
        <w:ind w:left="360"/>
        <w:contextualSpacing/>
        <w:rPr>
          <w:rFonts w:ascii="Verdana" w:hAnsi="Verdana" w:cs="Tahoma"/>
          <w:sz w:val="20"/>
        </w:rPr>
      </w:pPr>
    </w:p>
    <w:p w:rsidR="00DE19C8" w:rsidRDefault="00626B63">
      <w:pPr>
        <w:numPr>
          <w:ilvl w:val="0"/>
          <w:numId w:val="4"/>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publicação de relatórios, editais, avisos e notificações, conforme previsto nesta Escritura de Emissão, e outras que vierem a ser exigidas pela regulamentação aplicável;</w:t>
      </w:r>
    </w:p>
    <w:p w:rsidR="00DE19C8" w:rsidRDefault="00DE19C8">
      <w:pPr>
        <w:suppressAutoHyphens/>
        <w:spacing w:line="318" w:lineRule="exact"/>
        <w:ind w:left="1418" w:hanging="709"/>
        <w:contextualSpacing/>
        <w:rPr>
          <w:rFonts w:ascii="Verdana" w:hAnsi="Verdana" w:cs="Tahoma"/>
          <w:sz w:val="20"/>
        </w:rPr>
      </w:pPr>
    </w:p>
    <w:p w:rsidR="00DE19C8" w:rsidRDefault="00626B63">
      <w:pPr>
        <w:numPr>
          <w:ilvl w:val="0"/>
          <w:numId w:val="4"/>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extração de certidões atualizadas dos </w:t>
      </w:r>
      <w:r>
        <w:rPr>
          <w:rFonts w:ascii="Verdana" w:hAnsi="Verdana" w:cs="Tahoma"/>
          <w:sz w:val="20"/>
        </w:rPr>
        <w:t>distribuidores cíveis, das Varas da Fazenda Pública, Cartórios de Protesto, Varas do Trabalho, Varas da Justiça Federal e da Procuradoria da Fazenda Pública do foro da sede da Emissora, caso tenham sido previamente solicitadas a Emissora e não entregues de</w:t>
      </w:r>
      <w:r>
        <w:rPr>
          <w:rFonts w:ascii="Verdana" w:hAnsi="Verdana" w:cs="Tahoma"/>
          <w:sz w:val="20"/>
        </w:rPr>
        <w:t>ntro de 20 (vinte) dias corridos;</w:t>
      </w:r>
    </w:p>
    <w:p w:rsidR="00DE19C8" w:rsidRDefault="00DE19C8">
      <w:pPr>
        <w:tabs>
          <w:tab w:val="num" w:pos="1418"/>
        </w:tabs>
        <w:suppressAutoHyphens/>
        <w:spacing w:line="318" w:lineRule="exact"/>
        <w:ind w:left="1418" w:hanging="709"/>
        <w:contextualSpacing/>
        <w:rPr>
          <w:rFonts w:ascii="Verdana" w:hAnsi="Verdana" w:cs="Tahoma"/>
          <w:sz w:val="20"/>
        </w:rPr>
      </w:pPr>
    </w:p>
    <w:p w:rsidR="00DE19C8" w:rsidRDefault="00626B63">
      <w:pPr>
        <w:numPr>
          <w:ilvl w:val="0"/>
          <w:numId w:val="4"/>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despesas de viagem, alimentação, transportes e estadias quando estas sejam necessárias ao desempenho das funções do Agente Fiduciário, desde que realizadas dentro de critérios de razoabilidade e bom senso e dentro da funç</w:t>
      </w:r>
      <w:r>
        <w:rPr>
          <w:rFonts w:ascii="Verdana" w:hAnsi="Verdana" w:cs="Tahoma"/>
          <w:sz w:val="20"/>
        </w:rPr>
        <w:t xml:space="preserve">ão fiduciária que lhe é inerente; </w:t>
      </w:r>
    </w:p>
    <w:p w:rsidR="00DE19C8" w:rsidRDefault="00DE19C8">
      <w:pPr>
        <w:suppressAutoHyphens/>
        <w:spacing w:line="318" w:lineRule="exact"/>
        <w:ind w:left="1418" w:hanging="709"/>
        <w:contextualSpacing/>
        <w:rPr>
          <w:rFonts w:ascii="Verdana" w:hAnsi="Verdana" w:cs="Tahoma"/>
          <w:sz w:val="20"/>
        </w:rPr>
      </w:pPr>
    </w:p>
    <w:p w:rsidR="00DE19C8" w:rsidRDefault="00626B63">
      <w:pPr>
        <w:numPr>
          <w:ilvl w:val="0"/>
          <w:numId w:val="4"/>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despesas com </w:t>
      </w:r>
      <w:proofErr w:type="spellStart"/>
      <w:r>
        <w:rPr>
          <w:rFonts w:ascii="Verdana" w:hAnsi="Verdana" w:cs="Tahoma"/>
          <w:i/>
          <w:sz w:val="20"/>
        </w:rPr>
        <w:t>conference</w:t>
      </w:r>
      <w:proofErr w:type="spellEnd"/>
      <w:r>
        <w:rPr>
          <w:rFonts w:ascii="Verdana" w:hAnsi="Verdana" w:cs="Tahoma"/>
          <w:i/>
          <w:sz w:val="20"/>
        </w:rPr>
        <w:t xml:space="preserve"> </w:t>
      </w:r>
      <w:proofErr w:type="spellStart"/>
      <w:r>
        <w:rPr>
          <w:rFonts w:ascii="Verdana" w:hAnsi="Verdana" w:cs="Tahoma"/>
          <w:i/>
          <w:sz w:val="20"/>
        </w:rPr>
        <w:t>calls</w:t>
      </w:r>
      <w:proofErr w:type="spellEnd"/>
      <w:r>
        <w:rPr>
          <w:rFonts w:ascii="Verdana" w:hAnsi="Verdana" w:cs="Tahoma"/>
          <w:sz w:val="20"/>
        </w:rPr>
        <w:t xml:space="preserve"> e contatos telefônicos; </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numPr>
          <w:ilvl w:val="0"/>
          <w:numId w:val="4"/>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 xml:space="preserve">eventuais levantamentos adicionais, especiais e/ou periciais que vierem a ser justificadamente necessários, se ocorrerem omissões e/ou obscuridades nas informações </w:t>
      </w:r>
      <w:r>
        <w:rPr>
          <w:rFonts w:ascii="Verdana" w:hAnsi="Verdana" w:cs="Tahoma"/>
          <w:sz w:val="20"/>
        </w:rPr>
        <w:t>pertinentes aos estritos interesses dos Debenturistas; e</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numPr>
          <w:ilvl w:val="0"/>
          <w:numId w:val="4"/>
        </w:numPr>
        <w:tabs>
          <w:tab w:val="clear" w:pos="1080"/>
        </w:tabs>
        <w:suppressAutoHyphens/>
        <w:spacing w:line="318" w:lineRule="exact"/>
        <w:ind w:left="1418" w:hanging="709"/>
        <w:contextualSpacing/>
        <w:rPr>
          <w:rFonts w:ascii="Verdana" w:hAnsi="Verdana" w:cs="Tahoma"/>
          <w:sz w:val="20"/>
        </w:rPr>
      </w:pPr>
      <w:r>
        <w:rPr>
          <w:rFonts w:ascii="Verdana" w:hAnsi="Verdana" w:cs="Tahoma"/>
          <w:sz w:val="20"/>
        </w:rPr>
        <w:t>custos com a contratação dos prestadores de serviços necessários à Oferta Restrita.</w:t>
      </w:r>
    </w:p>
    <w:p w:rsidR="00DE19C8" w:rsidRDefault="00DE19C8">
      <w:pPr>
        <w:suppressAutoHyphens/>
        <w:spacing w:line="318" w:lineRule="exact"/>
        <w:ind w:left="720"/>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5.2.1.</w:t>
      </w:r>
      <w:r>
        <w:rPr>
          <w:rFonts w:ascii="Verdana" w:hAnsi="Verdana" w:cs="Tahoma"/>
          <w:sz w:val="20"/>
        </w:rPr>
        <w:tab/>
        <w:t>Todas as despesas com procedimentos legais, inclusive as administrativas, em que o Agente Fiduciário venha</w:t>
      </w:r>
      <w:r>
        <w:rPr>
          <w:rFonts w:ascii="Verdana" w:hAnsi="Verdana" w:cs="Tahoma"/>
          <w:sz w:val="20"/>
        </w:rPr>
        <w:t xml:space="preserve"> a incorrer para resguardar os interesses dos Debenturistas deverão ser previamente aprovadas, sempre que possível, e observados os critérios de razoabilidade e as práticas de mercado, e adiantadas pelos Debenturistas e posteriormente ressarcidas pela Emis</w:t>
      </w:r>
      <w:r>
        <w:rPr>
          <w:rFonts w:ascii="Verdana" w:hAnsi="Verdana" w:cs="Tahoma"/>
          <w:sz w:val="20"/>
        </w:rPr>
        <w:t>sora, mediante a apresentação da respectiva nota fiscal. Tais despesas a serem adiantadas pelos Debenturistas incluem também os gastos com honorários advocatícios de terceiros, depósitos, custas e taxas judiciárias nas ações propostas pelo Agente Fiduciári</w:t>
      </w:r>
      <w:r>
        <w:rPr>
          <w:rFonts w:ascii="Verdana" w:hAnsi="Verdana" w:cs="Tahoma"/>
          <w:sz w:val="20"/>
        </w:rPr>
        <w:t>o, enquanto representante dos Debenturistas. As eventuais despesas, depósitos e custas judiciais decorrentes da sucumbência em ações judiciais serão igualmente suportadas pelos Debenturistas, bem como a remuneração do Agente Fiduciário na hipótese de a Emi</w:t>
      </w:r>
      <w:r>
        <w:rPr>
          <w:rFonts w:ascii="Verdana" w:hAnsi="Verdana" w:cs="Tahoma"/>
          <w:sz w:val="20"/>
        </w:rPr>
        <w:t xml:space="preserve">ssora permanecer em inadimplência com relação ao pagamento desta por um período superior a 30 (trinta) dias corridos podendo o Agente Fiduciário solicitar adiantamento aos Debenturistas para cobertura do risco de sucumbência. </w:t>
      </w:r>
    </w:p>
    <w:p w:rsidR="00DE19C8" w:rsidRDefault="00DE19C8">
      <w:pPr>
        <w:suppressAutoHyphens/>
        <w:spacing w:line="318" w:lineRule="exact"/>
        <w:contextualSpacing/>
        <w:rPr>
          <w:rFonts w:ascii="Verdana" w:hAnsi="Verdana" w:cs="Tahoma"/>
          <w:sz w:val="20"/>
        </w:rPr>
      </w:pPr>
    </w:p>
    <w:p w:rsidR="00DE19C8" w:rsidRDefault="00DE19C8">
      <w:pPr>
        <w:suppressAutoHyphens/>
        <w:spacing w:line="318" w:lineRule="exact"/>
        <w:contextualSpacing/>
        <w:rPr>
          <w:rFonts w:ascii="Verdana" w:hAnsi="Verdana" w:cs="Tahoma"/>
          <w:sz w:val="20"/>
        </w:rPr>
      </w:pPr>
    </w:p>
    <w:p w:rsidR="00DE19C8" w:rsidRDefault="00626B63">
      <w:pPr>
        <w:pStyle w:val="Ttulo2"/>
        <w:suppressAutoHyphens/>
        <w:spacing w:line="318" w:lineRule="exact"/>
        <w:contextualSpacing/>
        <w:rPr>
          <w:rFonts w:ascii="Verdana" w:hAnsi="Verdana" w:cs="Tahoma"/>
          <w:sz w:val="20"/>
        </w:rPr>
      </w:pPr>
      <w:bookmarkStart w:id="123" w:name="_Toc514873574"/>
      <w:r>
        <w:rPr>
          <w:rFonts w:ascii="Verdana" w:hAnsi="Verdana" w:cs="Tahoma"/>
          <w:sz w:val="20"/>
        </w:rPr>
        <w:t xml:space="preserve">CLÁUSULA SEXTA – DO AGENTE </w:t>
      </w:r>
      <w:r>
        <w:rPr>
          <w:rFonts w:ascii="Verdana" w:hAnsi="Verdana" w:cs="Tahoma"/>
          <w:sz w:val="20"/>
        </w:rPr>
        <w:t>FIDUCIÁRIO</w:t>
      </w:r>
      <w:bookmarkEnd w:id="123"/>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6.1.</w:t>
      </w:r>
      <w:r>
        <w:rPr>
          <w:rFonts w:ascii="Verdana" w:hAnsi="Verdana" w:cs="Tahoma"/>
          <w:sz w:val="20"/>
        </w:rPr>
        <w:tab/>
      </w:r>
      <w:r>
        <w:rPr>
          <w:rFonts w:ascii="Verdana" w:hAnsi="Verdana"/>
          <w:sz w:val="20"/>
        </w:rPr>
        <w:t xml:space="preserve">A Emissora nomeia e constitui como agente fiduciário da Emissão, a Oliveira </w:t>
      </w:r>
      <w:proofErr w:type="spellStart"/>
      <w:r>
        <w:rPr>
          <w:rFonts w:ascii="Verdana" w:hAnsi="Verdana"/>
          <w:sz w:val="20"/>
        </w:rPr>
        <w:t>Trust</w:t>
      </w:r>
      <w:proofErr w:type="spellEnd"/>
      <w:r>
        <w:rPr>
          <w:rFonts w:ascii="Verdana" w:hAnsi="Verdana"/>
          <w:sz w:val="20"/>
        </w:rPr>
        <w:t xml:space="preserve"> Distribuidora de Títulos e Valores Mobiliários S.A., qualificada no preâmbulo desta Escritura de Emissão, que assina nessa qualidade e, neste ato, e na melho</w:t>
      </w:r>
      <w:r>
        <w:rPr>
          <w:rFonts w:ascii="Verdana" w:hAnsi="Verdana"/>
          <w:sz w:val="20"/>
        </w:rPr>
        <w:t>r forma de direito, aceita a nomeação para, nos termos da lei e desta Escritura de Emissão, representar a comunhão dos Debenturistas</w:t>
      </w:r>
      <w:r>
        <w:rPr>
          <w:rFonts w:ascii="Verdana" w:hAnsi="Verdana" w:cs="Tahoma"/>
          <w:sz w:val="20"/>
        </w:rPr>
        <w:t>.</w:t>
      </w:r>
    </w:p>
    <w:p w:rsidR="00DE19C8" w:rsidRDefault="00626B63">
      <w:pPr>
        <w:suppressAutoHyphens/>
        <w:spacing w:line="318" w:lineRule="exact"/>
        <w:contextualSpacing/>
        <w:rPr>
          <w:rFonts w:ascii="Verdana" w:hAnsi="Verdana" w:cs="Tahoma"/>
          <w:sz w:val="20"/>
        </w:rPr>
      </w:pPr>
      <w:r>
        <w:rPr>
          <w:rFonts w:ascii="Verdana" w:hAnsi="Verdana" w:cs="Tahoma"/>
          <w:sz w:val="20"/>
        </w:rPr>
        <w:t xml:space="preserve"> </w:t>
      </w:r>
    </w:p>
    <w:p w:rsidR="00DE19C8" w:rsidRDefault="00626B63">
      <w:pPr>
        <w:suppressAutoHyphens/>
        <w:spacing w:line="318" w:lineRule="exact"/>
        <w:contextualSpacing/>
        <w:rPr>
          <w:rFonts w:ascii="Verdana" w:hAnsi="Verdana" w:cs="Tahoma"/>
          <w:sz w:val="20"/>
        </w:rPr>
      </w:pPr>
      <w:r>
        <w:rPr>
          <w:rFonts w:ascii="Verdana" w:hAnsi="Verdana" w:cs="Tahoma"/>
          <w:sz w:val="20"/>
        </w:rPr>
        <w:t>6.2.</w:t>
      </w:r>
      <w:r>
        <w:rPr>
          <w:rFonts w:ascii="Verdana" w:hAnsi="Verdana" w:cs="Tahoma"/>
          <w:sz w:val="20"/>
        </w:rPr>
        <w:tab/>
        <w:t>O Agente Fiduciário, nomeado na presente Escritura de Emissão, declara que:</w:t>
      </w:r>
    </w:p>
    <w:p w:rsidR="00DE19C8" w:rsidRDefault="00DE19C8">
      <w:pPr>
        <w:pStyle w:val="PargrafodaLista"/>
        <w:spacing w:line="318" w:lineRule="exact"/>
        <w:ind w:left="0"/>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proofErr w:type="spellStart"/>
      <w:r>
        <w:rPr>
          <w:rFonts w:ascii="Verdana" w:hAnsi="Verdana"/>
          <w:sz w:val="20"/>
        </w:rPr>
        <w:t>é</w:t>
      </w:r>
      <w:proofErr w:type="spellEnd"/>
      <w:r>
        <w:rPr>
          <w:rFonts w:ascii="Verdana" w:hAnsi="Verdana"/>
          <w:sz w:val="20"/>
        </w:rPr>
        <w:t xml:space="preserve"> instituição financeira devidamente o</w:t>
      </w:r>
      <w:r>
        <w:rPr>
          <w:rFonts w:ascii="Verdana" w:hAnsi="Verdana"/>
          <w:sz w:val="20"/>
        </w:rPr>
        <w:t>rganizada, constituída e existente sob a forma de sociedade limitada, de acordo com as leis brasileiras;</w:t>
      </w:r>
    </w:p>
    <w:p w:rsidR="00DE19C8" w:rsidRDefault="00DE19C8">
      <w:pPr>
        <w:spacing w:line="318" w:lineRule="exact"/>
        <w:ind w:left="1276"/>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t>está devidamente autorizado e obteve todas as autorizações, inclusive, conforme aplicável, legais, societárias, regulatórias e de terceiros, necessári</w:t>
      </w:r>
      <w:r>
        <w:rPr>
          <w:rFonts w:ascii="Verdana" w:hAnsi="Verdana"/>
          <w:sz w:val="20"/>
        </w:rPr>
        <w:t>as à celebração desta Escritura de Emissão e ao cumprimento de todas as obrigações aqui previstas, tendo sido plenamente satisfeitos todos os requisitos legais, societários, regulatórios e de terceiros necessários para tanto;</w:t>
      </w:r>
    </w:p>
    <w:p w:rsidR="00DE19C8" w:rsidRDefault="00DE19C8">
      <w:pPr>
        <w:spacing w:line="318" w:lineRule="exact"/>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lastRenderedPageBreak/>
        <w:t>o(s) representante(s) legal(</w:t>
      </w:r>
      <w:proofErr w:type="spellStart"/>
      <w:r>
        <w:rPr>
          <w:rFonts w:ascii="Verdana" w:hAnsi="Verdana"/>
          <w:sz w:val="20"/>
        </w:rPr>
        <w:t>i</w:t>
      </w:r>
      <w:r>
        <w:rPr>
          <w:rFonts w:ascii="Verdana" w:hAnsi="Verdana"/>
          <w:sz w:val="20"/>
        </w:rPr>
        <w:t>s</w:t>
      </w:r>
      <w:proofErr w:type="spellEnd"/>
      <w:r>
        <w:rPr>
          <w:rFonts w:ascii="Verdana" w:hAnsi="Verdana"/>
          <w:sz w:val="20"/>
        </w:rPr>
        <w:t>) do Agente Fiduciário que assina(m) esta Escritura de Emissão tem(têm), conforme o caso, poderes societários e/ou delegados para assumir, em nome do Agente Fiduciário, as obrigações aqui previstas e, sendo mandatário(s), tem(têm) os poderes legitimamente</w:t>
      </w:r>
      <w:r>
        <w:rPr>
          <w:rFonts w:ascii="Verdana" w:hAnsi="Verdana"/>
          <w:sz w:val="20"/>
        </w:rPr>
        <w:t xml:space="preserve"> outorgados, estando o(s) respectivo(s) mandato(s) em pleno vigor;</w:t>
      </w:r>
    </w:p>
    <w:p w:rsidR="00DE19C8" w:rsidRDefault="00DE19C8">
      <w:pPr>
        <w:spacing w:line="318" w:lineRule="exact"/>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t>esta Escritura de Emissão e as obrigações aqui previstas constituem obrigações lícitas, válidas, vinculantes e eficazes do Agente Fiduciário, exequíveis de acordo com os seus termos e cond</w:t>
      </w:r>
      <w:r>
        <w:rPr>
          <w:rFonts w:ascii="Verdana" w:hAnsi="Verdana"/>
          <w:sz w:val="20"/>
        </w:rPr>
        <w:t>ições;</w:t>
      </w:r>
    </w:p>
    <w:p w:rsidR="00DE19C8" w:rsidRDefault="00DE19C8">
      <w:pPr>
        <w:spacing w:line="318" w:lineRule="exact"/>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t>a celebração, os termos e condições desta Escritura de Emissão e o cumprimento das obrigações aqui previstas (i) não infringem o contrato social do Agente Fiduciário; (</w:t>
      </w:r>
      <w:proofErr w:type="spellStart"/>
      <w:r>
        <w:rPr>
          <w:rFonts w:ascii="Verdana" w:hAnsi="Verdana"/>
          <w:sz w:val="20"/>
        </w:rPr>
        <w:t>ii</w:t>
      </w:r>
      <w:proofErr w:type="spellEnd"/>
      <w:r>
        <w:rPr>
          <w:rFonts w:ascii="Verdana" w:hAnsi="Verdana"/>
          <w:sz w:val="20"/>
        </w:rPr>
        <w:t>) não infringem qualquer contrato ou instrumento do qual o Agente Fiduciário s</w:t>
      </w:r>
      <w:r>
        <w:rPr>
          <w:rFonts w:ascii="Verdana" w:hAnsi="Verdana"/>
          <w:sz w:val="20"/>
        </w:rPr>
        <w:t>eja parte e/ou pelo qual qualquer de seus ativos esteja sujeito; (</w:t>
      </w:r>
      <w:proofErr w:type="spellStart"/>
      <w:r>
        <w:rPr>
          <w:rFonts w:ascii="Verdana" w:hAnsi="Verdana"/>
          <w:sz w:val="20"/>
        </w:rPr>
        <w:t>iii</w:t>
      </w:r>
      <w:proofErr w:type="spellEnd"/>
      <w:r>
        <w:rPr>
          <w:rFonts w:ascii="Verdana" w:hAnsi="Verdana"/>
          <w:sz w:val="20"/>
        </w:rPr>
        <w:t>) não infringem qualquer disposição legal ou regulamentar a que o Agente Fiduciário e/ou qualquer de seus ativos esteja sujeito; e (</w:t>
      </w:r>
      <w:proofErr w:type="spellStart"/>
      <w:r>
        <w:rPr>
          <w:rFonts w:ascii="Verdana" w:hAnsi="Verdana"/>
          <w:sz w:val="20"/>
        </w:rPr>
        <w:t>iv</w:t>
      </w:r>
      <w:proofErr w:type="spellEnd"/>
      <w:r>
        <w:rPr>
          <w:rFonts w:ascii="Verdana" w:hAnsi="Verdana"/>
          <w:sz w:val="20"/>
        </w:rPr>
        <w:t>) não infringem qualquer ordem, decisão ou sentença a</w:t>
      </w:r>
      <w:r>
        <w:rPr>
          <w:rFonts w:ascii="Verdana" w:hAnsi="Verdana"/>
          <w:sz w:val="20"/>
        </w:rPr>
        <w:t>dministrativa, judicial ou arbitral que afete o Agente Fiduciário e/ou qualquer de seus ativos;</w:t>
      </w:r>
    </w:p>
    <w:p w:rsidR="00DE19C8" w:rsidRDefault="00DE19C8">
      <w:pPr>
        <w:spacing w:line="318" w:lineRule="exact"/>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t>aceita a função para a qual foi nomeado, assumindo integralmente os deveres e atribuições previstos na legislação específica e nesta Escritura de Emissão;</w:t>
      </w:r>
    </w:p>
    <w:p w:rsidR="00DE19C8" w:rsidRDefault="00DE19C8">
      <w:pPr>
        <w:spacing w:line="318" w:lineRule="exact"/>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t>con</w:t>
      </w:r>
      <w:r>
        <w:rPr>
          <w:rFonts w:ascii="Verdana" w:hAnsi="Verdana"/>
          <w:sz w:val="20"/>
        </w:rPr>
        <w:t>hece e aceita integralmente esta Escritura de Emissão e todos os seus termos e condições;</w:t>
      </w:r>
    </w:p>
    <w:p w:rsidR="00DE19C8" w:rsidRDefault="00DE19C8">
      <w:pPr>
        <w:spacing w:line="318" w:lineRule="exact"/>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t xml:space="preserve">verificou a veracidade das informações contidas </w:t>
      </w:r>
      <w:proofErr w:type="spellStart"/>
      <w:r>
        <w:rPr>
          <w:rFonts w:ascii="Verdana" w:hAnsi="Verdana"/>
          <w:sz w:val="20"/>
        </w:rPr>
        <w:t>nesta</w:t>
      </w:r>
      <w:proofErr w:type="spellEnd"/>
      <w:r>
        <w:rPr>
          <w:rFonts w:ascii="Verdana" w:hAnsi="Verdana"/>
          <w:sz w:val="20"/>
        </w:rPr>
        <w:t xml:space="preserve"> Escritura de Emissão</w:t>
      </w:r>
      <w:r>
        <w:rPr>
          <w:rFonts w:ascii="Verdana" w:eastAsia="Arial Unicode MS" w:hAnsi="Verdana" w:cs="Arial"/>
          <w:sz w:val="20"/>
        </w:rPr>
        <w:t xml:space="preserve"> </w:t>
      </w:r>
      <w:r>
        <w:rPr>
          <w:rFonts w:ascii="Verdana" w:hAnsi="Verdana"/>
          <w:sz w:val="20"/>
        </w:rPr>
        <w:t>diligenciando no sentido de que fossem sanadas as omissões, falhas ou defeitos de que tive</w:t>
      </w:r>
      <w:r>
        <w:rPr>
          <w:rFonts w:ascii="Verdana" w:hAnsi="Verdana"/>
          <w:sz w:val="20"/>
        </w:rPr>
        <w:t>sse conhecimento;</w:t>
      </w:r>
    </w:p>
    <w:p w:rsidR="00DE19C8" w:rsidRDefault="00DE19C8">
      <w:pPr>
        <w:spacing w:line="318" w:lineRule="exact"/>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t>está ciente da regulamentação aplicável emanada do Banco Central do Brasil e da CVM;</w:t>
      </w:r>
    </w:p>
    <w:p w:rsidR="00DE19C8" w:rsidRDefault="00DE19C8">
      <w:pPr>
        <w:spacing w:line="318" w:lineRule="exact"/>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t xml:space="preserve">não tem, sob as penas de lei, qualquer impedimento legal, conforme o artigo 66, parágrafo 3º, da Lei das Sociedades por Ações, a Instrução CVM 583, e </w:t>
      </w:r>
      <w:r>
        <w:rPr>
          <w:rFonts w:ascii="Verdana" w:hAnsi="Verdana"/>
          <w:sz w:val="20"/>
        </w:rPr>
        <w:t>demais normas aplicáveis, para exercer a função que lhe é conferida;</w:t>
      </w:r>
    </w:p>
    <w:p w:rsidR="00DE19C8" w:rsidRDefault="00DE19C8">
      <w:pPr>
        <w:spacing w:line="318" w:lineRule="exact"/>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t>não se encontra em nenhuma das situações de conflito de interesse previstas no artigo 6º da Instrução CVM 583;</w:t>
      </w:r>
      <w:bookmarkStart w:id="124" w:name="_DV_X471"/>
      <w:bookmarkStart w:id="125" w:name="_DV_C422"/>
      <w:r>
        <w:rPr>
          <w:rFonts w:ascii="Verdana" w:eastAsia="Calibri" w:hAnsi="Verdana"/>
          <w:sz w:val="20"/>
          <w:lang w:eastAsia="en-US"/>
        </w:rPr>
        <w:t xml:space="preserve"> </w:t>
      </w:r>
      <w:bookmarkEnd w:id="124"/>
      <w:bookmarkEnd w:id="125"/>
    </w:p>
    <w:p w:rsidR="00DE19C8" w:rsidRDefault="00DE19C8">
      <w:pPr>
        <w:spacing w:line="318" w:lineRule="exact"/>
        <w:contextualSpacing/>
        <w:rPr>
          <w:rFonts w:ascii="Verdana" w:hAnsi="Verdana"/>
          <w:sz w:val="20"/>
        </w:rPr>
      </w:pPr>
    </w:p>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lastRenderedPageBreak/>
        <w:t>não tem qualquer ligação com a Emissora e que o impeça de exercer suas fu</w:t>
      </w:r>
      <w:r>
        <w:rPr>
          <w:rFonts w:ascii="Verdana" w:hAnsi="Verdana"/>
          <w:sz w:val="20"/>
        </w:rPr>
        <w:t xml:space="preserve">nções; </w:t>
      </w:r>
    </w:p>
    <w:p w:rsidR="00DE19C8" w:rsidRDefault="00DE19C8">
      <w:pPr>
        <w:spacing w:line="318" w:lineRule="exact"/>
        <w:contextualSpacing/>
        <w:rPr>
          <w:rFonts w:ascii="Verdana" w:hAnsi="Verdana"/>
          <w:sz w:val="20"/>
        </w:rPr>
      </w:pPr>
    </w:p>
    <w:p w:rsidR="00DE19C8" w:rsidRDefault="00626B63">
      <w:pPr>
        <w:keepNext/>
        <w:numPr>
          <w:ilvl w:val="2"/>
          <w:numId w:val="66"/>
        </w:numPr>
        <w:tabs>
          <w:tab w:val="clear" w:pos="1701"/>
        </w:tabs>
        <w:spacing w:line="318" w:lineRule="exact"/>
        <w:ind w:left="709" w:firstLine="0"/>
        <w:contextualSpacing/>
        <w:rPr>
          <w:rFonts w:ascii="Verdana" w:hAnsi="Verdana"/>
          <w:b/>
          <w:sz w:val="20"/>
        </w:rPr>
      </w:pPr>
      <w:bookmarkStart w:id="126" w:name="_Ref327371087"/>
      <w:r>
        <w:rPr>
          <w:rFonts w:ascii="Verdana" w:hAnsi="Verdana"/>
          <w:sz w:val="20"/>
        </w:rPr>
        <w:t xml:space="preserve">na data de celebração desta Escritura de Emissão, conforme organograma encaminhado pela Emissora, o Agente Fiduciário identificou que atua como Agente Fiduciário nas seguintes emissões de valores </w:t>
      </w:r>
      <w:proofErr w:type="spellStart"/>
      <w:r>
        <w:rPr>
          <w:rFonts w:ascii="Verdana" w:hAnsi="Verdana"/>
          <w:sz w:val="20"/>
        </w:rPr>
        <w:t>mobiliáriosrealizadas</w:t>
      </w:r>
      <w:proofErr w:type="spellEnd"/>
      <w:r>
        <w:rPr>
          <w:rFonts w:ascii="Verdana" w:hAnsi="Verdana"/>
          <w:sz w:val="20"/>
        </w:rPr>
        <w:t xml:space="preserve"> pela própria Emissora, por so</w:t>
      </w:r>
      <w:r>
        <w:rPr>
          <w:rFonts w:ascii="Verdana" w:hAnsi="Verdana"/>
          <w:sz w:val="20"/>
        </w:rPr>
        <w:t xml:space="preserve">ciedade Coligada, Controlada, Controladora ou integrante do mesmo grupo da </w:t>
      </w:r>
      <w:proofErr w:type="gramStart"/>
      <w:r>
        <w:rPr>
          <w:rFonts w:ascii="Verdana" w:hAnsi="Verdana"/>
          <w:sz w:val="20"/>
        </w:rPr>
        <w:t>Companhia ,</w:t>
      </w:r>
      <w:proofErr w:type="gramEnd"/>
      <w:r>
        <w:rPr>
          <w:rFonts w:ascii="Verdana" w:hAnsi="Verdana"/>
          <w:sz w:val="20"/>
        </w:rPr>
        <w:t xml:space="preserve"> nos termos da Instrução CVM 583: </w:t>
      </w:r>
    </w:p>
    <w:p w:rsidR="00DE19C8" w:rsidRDefault="00DE19C8">
      <w:pPr>
        <w:keepNext/>
        <w:spacing w:line="318" w:lineRule="exact"/>
        <w:ind w:left="709"/>
        <w:contextualSpacing/>
        <w:rPr>
          <w:rFonts w:ascii="Verdana" w:hAnsi="Verdana"/>
          <w:b/>
          <w:sz w:val="20"/>
        </w:rPr>
      </w:pPr>
    </w:p>
    <w:tbl>
      <w:tblPr>
        <w:tblW w:w="0" w:type="auto"/>
        <w:tblInd w:w="699" w:type="dxa"/>
        <w:shd w:val="clear" w:color="auto" w:fill="FFFFFF"/>
        <w:tblCellMar>
          <w:left w:w="0" w:type="dxa"/>
          <w:right w:w="0" w:type="dxa"/>
        </w:tblCellMar>
        <w:tblLook w:val="04A0" w:firstRow="1" w:lastRow="0" w:firstColumn="1" w:lastColumn="0" w:noHBand="0" w:noVBand="1"/>
      </w:tblPr>
      <w:tblGrid>
        <w:gridCol w:w="4004"/>
        <w:gridCol w:w="4683"/>
      </w:tblGrid>
      <w:tr w:rsidR="00DE19C8">
        <w:tc>
          <w:tcPr>
            <w:tcW w:w="868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E19C8" w:rsidRDefault="00626B63">
            <w:pPr>
              <w:spacing w:line="276" w:lineRule="auto"/>
              <w:rPr>
                <w:rFonts w:ascii="Verdana" w:hAnsi="Verdana"/>
                <w:b/>
                <w:color w:val="222222"/>
                <w:sz w:val="20"/>
                <w:lang w:val="en-US" w:eastAsia="en-US"/>
              </w:rPr>
            </w:pPr>
            <w:proofErr w:type="spellStart"/>
            <w:r>
              <w:rPr>
                <w:rFonts w:ascii="Verdana" w:hAnsi="Verdana"/>
                <w:b/>
                <w:iCs/>
                <w:color w:val="222222"/>
                <w:sz w:val="20"/>
                <w:lang w:val="en-US" w:eastAsia="en-US"/>
              </w:rPr>
              <w:t>Emissora</w:t>
            </w:r>
            <w:proofErr w:type="spellEnd"/>
            <w:r>
              <w:rPr>
                <w:rFonts w:ascii="Verdana" w:hAnsi="Verdana"/>
                <w:b/>
                <w:iCs/>
                <w:color w:val="222222"/>
                <w:sz w:val="20"/>
                <w:lang w:val="en-US" w:eastAsia="en-US"/>
              </w:rPr>
              <w:t xml:space="preserve">: </w:t>
            </w:r>
            <w:r>
              <w:rPr>
                <w:rFonts w:ascii="Verdana" w:hAnsi="Verdana"/>
                <w:b/>
                <w:color w:val="222222"/>
                <w:sz w:val="20"/>
                <w:lang w:val="en-US" w:eastAsia="en-US"/>
              </w:rPr>
              <w:t>VDQ HOLDINGS S.A.</w:t>
            </w:r>
          </w:p>
        </w:tc>
      </w:tr>
      <w:tr w:rsidR="00DE19C8">
        <w:tc>
          <w:tcPr>
            <w:tcW w:w="868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E19C8" w:rsidRDefault="00626B63">
            <w:pPr>
              <w:spacing w:line="276" w:lineRule="auto"/>
              <w:rPr>
                <w:rFonts w:ascii="Verdana" w:hAnsi="Verdana"/>
                <w:b/>
                <w:color w:val="222222"/>
                <w:sz w:val="20"/>
                <w:lang w:eastAsia="en-US"/>
              </w:rPr>
            </w:pPr>
            <w:r>
              <w:rPr>
                <w:rFonts w:ascii="Verdana" w:hAnsi="Verdana"/>
                <w:b/>
                <w:iCs/>
                <w:color w:val="222222"/>
                <w:sz w:val="20"/>
                <w:lang w:eastAsia="en-US"/>
              </w:rPr>
              <w:t xml:space="preserve">Ativo: </w:t>
            </w:r>
            <w:r>
              <w:rPr>
                <w:rFonts w:ascii="Verdana" w:hAnsi="Verdana"/>
                <w:b/>
                <w:color w:val="222222"/>
                <w:sz w:val="20"/>
                <w:lang w:eastAsia="en-US"/>
              </w:rPr>
              <w:t>Debênture</w:t>
            </w:r>
          </w:p>
        </w:tc>
      </w:tr>
      <w:tr w:rsidR="00DE19C8">
        <w:tc>
          <w:tcPr>
            <w:tcW w:w="40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E19C8" w:rsidRDefault="00626B63">
            <w:pPr>
              <w:spacing w:line="276" w:lineRule="auto"/>
              <w:rPr>
                <w:rFonts w:ascii="Verdana" w:hAnsi="Verdana"/>
                <w:b/>
                <w:color w:val="222222"/>
                <w:sz w:val="20"/>
                <w:lang w:eastAsia="en-US"/>
              </w:rPr>
            </w:pPr>
            <w:r>
              <w:rPr>
                <w:rFonts w:ascii="Verdana" w:hAnsi="Verdana"/>
                <w:b/>
                <w:iCs/>
                <w:color w:val="222222"/>
                <w:sz w:val="20"/>
                <w:lang w:eastAsia="en-US"/>
              </w:rPr>
              <w:t xml:space="preserve">Série: </w:t>
            </w:r>
            <w:r>
              <w:rPr>
                <w:rFonts w:ascii="Verdana" w:hAnsi="Verdana"/>
                <w:iCs/>
                <w:color w:val="222222"/>
                <w:sz w:val="20"/>
                <w:lang w:eastAsia="en-US"/>
              </w:rPr>
              <w:t>1</w:t>
            </w:r>
          </w:p>
        </w:tc>
        <w:tc>
          <w:tcPr>
            <w:tcW w:w="4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E19C8" w:rsidRDefault="00626B63">
            <w:pPr>
              <w:spacing w:line="276" w:lineRule="auto"/>
              <w:rPr>
                <w:rFonts w:ascii="Verdana" w:hAnsi="Verdana"/>
                <w:b/>
                <w:color w:val="222222"/>
                <w:sz w:val="20"/>
                <w:lang w:eastAsia="en-US"/>
              </w:rPr>
            </w:pPr>
            <w:r>
              <w:rPr>
                <w:rFonts w:ascii="Verdana" w:hAnsi="Verdana"/>
                <w:b/>
                <w:iCs/>
                <w:color w:val="222222"/>
                <w:sz w:val="20"/>
                <w:lang w:eastAsia="en-US"/>
              </w:rPr>
              <w:t xml:space="preserve">Emissão: </w:t>
            </w:r>
            <w:r>
              <w:rPr>
                <w:rFonts w:ascii="Verdana" w:hAnsi="Verdana"/>
                <w:iCs/>
                <w:color w:val="222222"/>
                <w:sz w:val="20"/>
                <w:lang w:eastAsia="en-US"/>
              </w:rPr>
              <w:t>1</w:t>
            </w:r>
          </w:p>
        </w:tc>
      </w:tr>
      <w:tr w:rsidR="00DE19C8">
        <w:tc>
          <w:tcPr>
            <w:tcW w:w="40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E19C8" w:rsidRDefault="00626B63">
            <w:pPr>
              <w:spacing w:line="276" w:lineRule="auto"/>
              <w:rPr>
                <w:rFonts w:ascii="Verdana" w:hAnsi="Verdana"/>
                <w:b/>
                <w:color w:val="222222"/>
                <w:sz w:val="20"/>
                <w:lang w:eastAsia="en-US"/>
              </w:rPr>
            </w:pPr>
            <w:r>
              <w:rPr>
                <w:rFonts w:ascii="Verdana" w:hAnsi="Verdana"/>
                <w:b/>
                <w:iCs/>
                <w:color w:val="222222"/>
                <w:sz w:val="20"/>
                <w:lang w:eastAsia="en-US"/>
              </w:rPr>
              <w:t xml:space="preserve">Volume na Data de Emissão: </w:t>
            </w:r>
            <w:r>
              <w:rPr>
                <w:rFonts w:ascii="Verdana" w:hAnsi="Verdana"/>
                <w:iCs/>
                <w:color w:val="222222"/>
                <w:sz w:val="20"/>
                <w:lang w:eastAsia="en-US"/>
              </w:rPr>
              <w:t>R$ 350.000.000,00</w:t>
            </w:r>
          </w:p>
        </w:tc>
        <w:tc>
          <w:tcPr>
            <w:tcW w:w="4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E19C8" w:rsidRDefault="00626B63">
            <w:pPr>
              <w:spacing w:line="276" w:lineRule="auto"/>
              <w:rPr>
                <w:rFonts w:ascii="Verdana" w:hAnsi="Verdana"/>
                <w:b/>
                <w:color w:val="222222"/>
                <w:sz w:val="20"/>
                <w:lang w:eastAsia="en-US"/>
              </w:rPr>
            </w:pPr>
            <w:r>
              <w:rPr>
                <w:rFonts w:ascii="Verdana" w:hAnsi="Verdana"/>
                <w:b/>
                <w:iCs/>
                <w:color w:val="222222"/>
                <w:sz w:val="20"/>
                <w:lang w:eastAsia="en-US"/>
              </w:rPr>
              <w:t xml:space="preserve">Quantidade de ativos: </w:t>
            </w:r>
            <w:r>
              <w:rPr>
                <w:rFonts w:ascii="Verdana" w:hAnsi="Verdana"/>
                <w:iCs/>
                <w:color w:val="222222"/>
                <w:sz w:val="20"/>
                <w:lang w:eastAsia="en-US"/>
              </w:rPr>
              <w:t>350000</w:t>
            </w:r>
          </w:p>
        </w:tc>
      </w:tr>
      <w:tr w:rsidR="00DE19C8">
        <w:tc>
          <w:tcPr>
            <w:tcW w:w="868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E19C8" w:rsidRDefault="00626B63">
            <w:pPr>
              <w:spacing w:line="276" w:lineRule="auto"/>
              <w:rPr>
                <w:rFonts w:ascii="Verdana" w:hAnsi="Verdana"/>
                <w:b/>
                <w:color w:val="222222"/>
                <w:sz w:val="20"/>
                <w:lang w:eastAsia="en-US"/>
              </w:rPr>
            </w:pPr>
            <w:r>
              <w:rPr>
                <w:rFonts w:ascii="Verdana" w:hAnsi="Verdana"/>
                <w:b/>
                <w:iCs/>
                <w:color w:val="222222"/>
                <w:sz w:val="20"/>
                <w:lang w:eastAsia="en-US"/>
              </w:rPr>
              <w:t xml:space="preserve">Data de Vencimento: </w:t>
            </w:r>
            <w:r>
              <w:rPr>
                <w:rFonts w:ascii="Verdana" w:hAnsi="Verdana"/>
                <w:iCs/>
                <w:color w:val="222222"/>
                <w:sz w:val="20"/>
                <w:lang w:eastAsia="en-US"/>
              </w:rPr>
              <w:t>15/10/2023</w:t>
            </w:r>
          </w:p>
        </w:tc>
      </w:tr>
      <w:tr w:rsidR="00DE19C8">
        <w:tc>
          <w:tcPr>
            <w:tcW w:w="8687"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DE19C8" w:rsidRDefault="00626B63">
            <w:pPr>
              <w:spacing w:line="276" w:lineRule="auto"/>
              <w:rPr>
                <w:rFonts w:ascii="Verdana" w:hAnsi="Verdana"/>
                <w:b/>
                <w:color w:val="222222"/>
                <w:sz w:val="20"/>
                <w:lang w:eastAsia="en-US"/>
              </w:rPr>
            </w:pPr>
            <w:r>
              <w:rPr>
                <w:rFonts w:ascii="Verdana" w:hAnsi="Verdana"/>
                <w:b/>
                <w:iCs/>
                <w:color w:val="222222"/>
                <w:sz w:val="20"/>
                <w:lang w:eastAsia="en-US"/>
              </w:rPr>
              <w:t>Taxa de Juros: 100% do CDI + 3,5% a.a. na base 252.</w:t>
            </w:r>
          </w:p>
        </w:tc>
      </w:tr>
      <w:tr w:rsidR="00DE19C8">
        <w:tc>
          <w:tcPr>
            <w:tcW w:w="868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E19C8" w:rsidRDefault="00626B63">
            <w:pPr>
              <w:spacing w:line="276" w:lineRule="auto"/>
              <w:rPr>
                <w:rFonts w:ascii="Verdana" w:hAnsi="Verdana"/>
                <w:b/>
                <w:iCs/>
                <w:color w:val="222222"/>
                <w:sz w:val="20"/>
                <w:lang w:eastAsia="en-US"/>
              </w:rPr>
            </w:pPr>
            <w:r>
              <w:rPr>
                <w:rFonts w:ascii="Verdana" w:hAnsi="Verdana"/>
                <w:b/>
                <w:sz w:val="20"/>
                <w:lang w:eastAsia="en-US"/>
              </w:rPr>
              <w:t xml:space="preserve">Status: </w:t>
            </w:r>
            <w:r>
              <w:rPr>
                <w:rFonts w:ascii="Verdana" w:hAnsi="Verdana"/>
                <w:iCs/>
                <w:color w:val="222222"/>
                <w:sz w:val="20"/>
                <w:lang w:eastAsia="en-US"/>
              </w:rPr>
              <w:t>ATIVO</w:t>
            </w:r>
          </w:p>
        </w:tc>
      </w:tr>
      <w:tr w:rsidR="00DE19C8">
        <w:tc>
          <w:tcPr>
            <w:tcW w:w="868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E19C8" w:rsidRDefault="00626B63">
            <w:pPr>
              <w:spacing w:line="276" w:lineRule="auto"/>
              <w:rPr>
                <w:rFonts w:ascii="Verdana" w:hAnsi="Verdana"/>
                <w:b/>
                <w:iCs/>
                <w:color w:val="222222"/>
                <w:sz w:val="20"/>
                <w:lang w:eastAsia="en-US"/>
              </w:rPr>
            </w:pPr>
            <w:r>
              <w:rPr>
                <w:rFonts w:ascii="Verdana" w:hAnsi="Verdana"/>
                <w:b/>
                <w:sz w:val="20"/>
                <w:lang w:eastAsia="en-US"/>
              </w:rPr>
              <w:t xml:space="preserve">Inadimplementos no período: </w:t>
            </w:r>
            <w:r>
              <w:rPr>
                <w:rFonts w:ascii="Verdana" w:hAnsi="Verdana"/>
                <w:iCs/>
                <w:color w:val="222222"/>
                <w:sz w:val="20"/>
                <w:lang w:eastAsia="en-US"/>
              </w:rPr>
              <w:t>Não ocorreram inadimplementos no período.</w:t>
            </w:r>
          </w:p>
        </w:tc>
      </w:tr>
      <w:tr w:rsidR="00DE19C8">
        <w:tc>
          <w:tcPr>
            <w:tcW w:w="868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rsidR="00DE19C8" w:rsidRDefault="00626B63">
            <w:pPr>
              <w:spacing w:line="276" w:lineRule="auto"/>
              <w:rPr>
                <w:rFonts w:ascii="Verdana" w:hAnsi="Verdana"/>
                <w:b/>
                <w:color w:val="222222"/>
                <w:sz w:val="20"/>
                <w:lang w:eastAsia="en-US"/>
              </w:rPr>
            </w:pPr>
            <w:r>
              <w:rPr>
                <w:rFonts w:ascii="Verdana" w:hAnsi="Verdana"/>
                <w:b/>
                <w:iCs/>
                <w:color w:val="222222"/>
                <w:sz w:val="20"/>
                <w:lang w:eastAsia="en-US"/>
              </w:rPr>
              <w:t xml:space="preserve">Garantias: </w:t>
            </w:r>
            <w:r>
              <w:rPr>
                <w:rFonts w:ascii="Verdana" w:hAnsi="Verdana"/>
                <w:iCs/>
                <w:color w:val="222222"/>
                <w:sz w:val="20"/>
                <w:lang w:eastAsia="en-US"/>
              </w:rPr>
              <w:t>Com as seguintes garantias: (i) alienação fiduciária de 63.109.269 (sessenta e três milhões, cento e nove mil e duzentos e sessenta e nove) ações ordinárias, nominativas, escriturais, sem valor nominal, da Emissão da Minerva S.A., representativas de 28,222</w:t>
            </w:r>
            <w:r>
              <w:rPr>
                <w:rFonts w:ascii="Verdana" w:hAnsi="Verdana"/>
                <w:iCs/>
                <w:color w:val="222222"/>
                <w:sz w:val="20"/>
                <w:lang w:eastAsia="en-US"/>
              </w:rPr>
              <w:t>% (vinte e oito inteiros e duzentos e vinte e dois centésimos por cento) do capital social votante e total da Minerva S.A. de titularidade da Emissora; (</w:t>
            </w:r>
            <w:proofErr w:type="spellStart"/>
            <w:r>
              <w:rPr>
                <w:rFonts w:ascii="Verdana" w:hAnsi="Verdana"/>
                <w:iCs/>
                <w:color w:val="222222"/>
                <w:sz w:val="20"/>
                <w:lang w:eastAsia="en-US"/>
              </w:rPr>
              <w:t>ii</w:t>
            </w:r>
            <w:proofErr w:type="spellEnd"/>
            <w:r>
              <w:rPr>
                <w:rFonts w:ascii="Verdana" w:hAnsi="Verdana"/>
                <w:iCs/>
                <w:color w:val="222222"/>
                <w:sz w:val="20"/>
                <w:lang w:eastAsia="en-US"/>
              </w:rPr>
              <w:t>) cessão fiduciária de todos os proventos, direitos patrimoniais, frutos, rendimentos e vantagens que</w:t>
            </w:r>
            <w:r>
              <w:rPr>
                <w:rFonts w:ascii="Verdana" w:hAnsi="Verdana"/>
                <w:iCs/>
                <w:color w:val="222222"/>
                <w:sz w:val="20"/>
                <w:lang w:eastAsia="en-US"/>
              </w:rPr>
              <w:t xml:space="preserve"> forem atribuídos às ações alienadas fiduciariamente, venda das ações, inclusive lucros, dividendos, juros sobre capital próprio e todos os demais valores de qualquer outra forma a serem distribuídos pela Minerva S.A. à Emissora; e (</w:t>
            </w:r>
            <w:proofErr w:type="spellStart"/>
            <w:r>
              <w:rPr>
                <w:rFonts w:ascii="Verdana" w:hAnsi="Verdana"/>
                <w:iCs/>
                <w:color w:val="222222"/>
                <w:sz w:val="20"/>
                <w:lang w:eastAsia="en-US"/>
              </w:rPr>
              <w:t>iii</w:t>
            </w:r>
            <w:proofErr w:type="spellEnd"/>
            <w:r>
              <w:rPr>
                <w:rFonts w:ascii="Verdana" w:hAnsi="Verdana"/>
                <w:iCs/>
                <w:color w:val="222222"/>
                <w:sz w:val="20"/>
                <w:lang w:eastAsia="en-US"/>
              </w:rPr>
              <w:t xml:space="preserve">) fiança. </w:t>
            </w:r>
          </w:p>
        </w:tc>
      </w:tr>
    </w:tbl>
    <w:p w:rsidR="00DE19C8" w:rsidRDefault="00DE19C8">
      <w:pPr>
        <w:keepNext/>
        <w:spacing w:line="318" w:lineRule="exact"/>
        <w:ind w:left="709"/>
        <w:contextualSpacing/>
        <w:rPr>
          <w:rFonts w:ascii="Verdana" w:hAnsi="Verdana"/>
          <w:b/>
          <w:sz w:val="20"/>
        </w:rPr>
      </w:pPr>
    </w:p>
    <w:p w:rsidR="00DE19C8" w:rsidRDefault="00DE19C8">
      <w:pPr>
        <w:pStyle w:val="PargrafodaLista"/>
        <w:spacing w:line="318" w:lineRule="exact"/>
        <w:ind w:left="1843"/>
        <w:contextualSpacing/>
        <w:rPr>
          <w:rFonts w:ascii="Verdana" w:hAnsi="Verdana"/>
          <w:sz w:val="20"/>
        </w:rPr>
      </w:pPr>
    </w:p>
    <w:bookmarkEnd w:id="126"/>
    <w:p w:rsidR="00DE19C8" w:rsidRDefault="00626B63">
      <w:pPr>
        <w:numPr>
          <w:ilvl w:val="2"/>
          <w:numId w:val="66"/>
        </w:numPr>
        <w:tabs>
          <w:tab w:val="clear" w:pos="1701"/>
        </w:tabs>
        <w:spacing w:line="318" w:lineRule="exact"/>
        <w:ind w:left="709" w:firstLine="0"/>
        <w:contextualSpacing/>
        <w:rPr>
          <w:rFonts w:ascii="Verdana" w:hAnsi="Verdana"/>
          <w:sz w:val="20"/>
        </w:rPr>
      </w:pPr>
      <w:r>
        <w:rPr>
          <w:rFonts w:ascii="Verdana" w:hAnsi="Verdana"/>
          <w:sz w:val="20"/>
        </w:rPr>
        <w:t>assegurará tratamento equitativo a todos os Debenturistas e a todos os titulares de valores mobiliários em que venha a atuar como Agente Fiduciário, Agente de Notas ou Agente de Garantias, respeitadas as garantias, as obrigações e os direitos específicos a</w:t>
      </w:r>
      <w:r>
        <w:rPr>
          <w:rFonts w:ascii="Verdana" w:hAnsi="Verdana"/>
          <w:sz w:val="20"/>
        </w:rPr>
        <w:t>tribuídos aos respectivos titulares de valores mobiliários de cada emissão ou série.</w:t>
      </w:r>
    </w:p>
    <w:p w:rsidR="00DE19C8" w:rsidRDefault="00DE19C8">
      <w:pPr>
        <w:spacing w:line="318" w:lineRule="exact"/>
        <w:contextualSpacing/>
        <w:rPr>
          <w:rFonts w:ascii="Verdana" w:hAnsi="Verdana" w:cs="Tahoma"/>
          <w:sz w:val="20"/>
        </w:rPr>
      </w:pPr>
    </w:p>
    <w:p w:rsidR="00DE19C8" w:rsidRDefault="00626B63">
      <w:pPr>
        <w:spacing w:line="318" w:lineRule="exact"/>
        <w:contextualSpacing/>
        <w:rPr>
          <w:rFonts w:ascii="Verdana" w:hAnsi="Verdana"/>
          <w:sz w:val="20"/>
        </w:rPr>
      </w:pPr>
      <w:r>
        <w:rPr>
          <w:rFonts w:ascii="Verdana" w:hAnsi="Verdana" w:cs="Tahoma"/>
          <w:sz w:val="20"/>
        </w:rPr>
        <w:t>6.3.</w:t>
      </w:r>
      <w:r>
        <w:rPr>
          <w:rFonts w:ascii="Verdana" w:hAnsi="Verdana" w:cs="Tahoma"/>
          <w:sz w:val="20"/>
        </w:rPr>
        <w:tab/>
      </w:r>
      <w:r>
        <w:rPr>
          <w:rFonts w:ascii="Verdana" w:hAnsi="Verdana"/>
          <w:sz w:val="20"/>
        </w:rPr>
        <w:t>O Agente Fiduciário exercerá suas funções a partir da data de celebração desta Escritura de Emissão ou de eventual aditamento relativo à sua substituição, devendo pe</w:t>
      </w:r>
      <w:r>
        <w:rPr>
          <w:rFonts w:ascii="Verdana" w:hAnsi="Verdana"/>
          <w:sz w:val="20"/>
        </w:rPr>
        <w:t>rmanecer no exercício de suas funções até a integral quitação de todas as obrigações nos termos desta Escritura de Emissão, ou até sua efetiva substituição.</w:t>
      </w:r>
    </w:p>
    <w:p w:rsidR="00DE19C8" w:rsidRDefault="00DE19C8">
      <w:pPr>
        <w:tabs>
          <w:tab w:val="num" w:pos="709"/>
        </w:tabs>
        <w:spacing w:line="318" w:lineRule="exact"/>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cs="Tahoma"/>
          <w:sz w:val="20"/>
        </w:rPr>
        <w:t>6.4.</w:t>
      </w:r>
      <w:r>
        <w:rPr>
          <w:rFonts w:ascii="Verdana" w:hAnsi="Verdana" w:cs="Tahoma"/>
          <w:sz w:val="20"/>
        </w:rPr>
        <w:tab/>
      </w:r>
      <w:r>
        <w:rPr>
          <w:rFonts w:ascii="Verdana" w:hAnsi="Verdana"/>
          <w:sz w:val="20"/>
        </w:rPr>
        <w:t xml:space="preserve">Em caso de ausência, impedimentos temporários, renúncia, intervenção, liquidação judicial ou </w:t>
      </w:r>
      <w:r>
        <w:rPr>
          <w:rFonts w:ascii="Verdana" w:hAnsi="Verdana"/>
          <w:sz w:val="20"/>
        </w:rPr>
        <w:t>extrajudicial, falência, ou qualquer outro caso de vacância do Agente Fiduciário, aplicam-se as seguintes regras:</w:t>
      </w:r>
    </w:p>
    <w:p w:rsidR="00DE19C8" w:rsidRDefault="00DE19C8">
      <w:pPr>
        <w:spacing w:line="318" w:lineRule="exact"/>
        <w:contextualSpacing/>
        <w:rPr>
          <w:rFonts w:ascii="Verdana" w:hAnsi="Verdana"/>
          <w:sz w:val="20"/>
        </w:rPr>
      </w:pPr>
    </w:p>
    <w:p w:rsidR="00DE19C8" w:rsidRDefault="00626B63">
      <w:pPr>
        <w:numPr>
          <w:ilvl w:val="2"/>
          <w:numId w:val="67"/>
        </w:numPr>
        <w:tabs>
          <w:tab w:val="clear" w:pos="1701"/>
          <w:tab w:val="left" w:pos="1418"/>
        </w:tabs>
        <w:spacing w:line="318" w:lineRule="exact"/>
        <w:ind w:left="709" w:firstLine="0"/>
        <w:contextualSpacing/>
        <w:rPr>
          <w:rFonts w:ascii="Verdana" w:hAnsi="Verdana"/>
          <w:sz w:val="20"/>
        </w:rPr>
      </w:pPr>
      <w:r>
        <w:rPr>
          <w:rFonts w:ascii="Verdana" w:hAnsi="Verdana"/>
          <w:sz w:val="20"/>
        </w:rPr>
        <w:t>é facultado aos Debenturistas, após o encerramento da Oferta Restrita, proceder à substituição do Agente Fiduciário e à indicação de seu subs</w:t>
      </w:r>
      <w:r>
        <w:rPr>
          <w:rFonts w:ascii="Verdana" w:hAnsi="Verdana"/>
          <w:sz w:val="20"/>
        </w:rPr>
        <w:t xml:space="preserve">tituto, em </w:t>
      </w:r>
      <w:r>
        <w:rPr>
          <w:rFonts w:ascii="Verdana" w:hAnsi="Verdana" w:cs="Tahoma"/>
          <w:sz w:val="20"/>
        </w:rPr>
        <w:t>Assembleia Geral de Debenturistas</w:t>
      </w:r>
      <w:r>
        <w:rPr>
          <w:rFonts w:ascii="Verdana" w:hAnsi="Verdana"/>
          <w:sz w:val="20"/>
        </w:rPr>
        <w:t xml:space="preserve"> especialmente convocada para esse fim;</w:t>
      </w:r>
    </w:p>
    <w:p w:rsidR="00DE19C8" w:rsidRDefault="00DE19C8">
      <w:pPr>
        <w:spacing w:line="318" w:lineRule="exact"/>
        <w:ind w:left="1276"/>
        <w:contextualSpacing/>
        <w:rPr>
          <w:rFonts w:ascii="Verdana" w:hAnsi="Verdana"/>
          <w:sz w:val="20"/>
        </w:rPr>
      </w:pPr>
    </w:p>
    <w:p w:rsidR="00DE19C8" w:rsidRDefault="00626B63">
      <w:pPr>
        <w:numPr>
          <w:ilvl w:val="2"/>
          <w:numId w:val="67"/>
        </w:numPr>
        <w:tabs>
          <w:tab w:val="clear" w:pos="1701"/>
        </w:tabs>
        <w:spacing w:line="318" w:lineRule="exact"/>
        <w:ind w:left="709" w:firstLine="0"/>
        <w:contextualSpacing/>
        <w:rPr>
          <w:rFonts w:ascii="Verdana" w:hAnsi="Verdana"/>
          <w:sz w:val="20"/>
        </w:rPr>
      </w:pPr>
      <w:r>
        <w:rPr>
          <w:rFonts w:ascii="Verdana" w:hAnsi="Verdana"/>
          <w:sz w:val="20"/>
        </w:rPr>
        <w:t>caso o Agente Fiduciário não possa continuar a exercer as suas funções por circunstâncias supervenientes a esta Escritura de Emissão, deverá comunicar imediatamente o fato</w:t>
      </w:r>
      <w:r>
        <w:rPr>
          <w:rFonts w:ascii="Verdana" w:hAnsi="Verdana"/>
          <w:sz w:val="20"/>
        </w:rPr>
        <w:t xml:space="preserve"> à Emissora e aos Debenturistas, mediante convocação de </w:t>
      </w:r>
      <w:r>
        <w:rPr>
          <w:rFonts w:ascii="Verdana" w:hAnsi="Verdana" w:cs="Tahoma"/>
          <w:sz w:val="20"/>
        </w:rPr>
        <w:t>Assembleia Geral de Debenturistas</w:t>
      </w:r>
      <w:r>
        <w:rPr>
          <w:rFonts w:ascii="Verdana" w:hAnsi="Verdana"/>
          <w:sz w:val="20"/>
        </w:rPr>
        <w:t>, solicitando sua substituição;</w:t>
      </w:r>
    </w:p>
    <w:p w:rsidR="00DE19C8" w:rsidRDefault="00DE19C8">
      <w:pPr>
        <w:spacing w:line="318" w:lineRule="exact"/>
        <w:contextualSpacing/>
        <w:rPr>
          <w:rFonts w:ascii="Verdana" w:hAnsi="Verdana"/>
          <w:sz w:val="20"/>
        </w:rPr>
      </w:pPr>
    </w:p>
    <w:p w:rsidR="00DE19C8" w:rsidRDefault="00626B63">
      <w:pPr>
        <w:numPr>
          <w:ilvl w:val="2"/>
          <w:numId w:val="67"/>
        </w:numPr>
        <w:tabs>
          <w:tab w:val="clear" w:pos="1701"/>
        </w:tabs>
        <w:spacing w:line="318" w:lineRule="exact"/>
        <w:ind w:left="709" w:firstLine="0"/>
        <w:contextualSpacing/>
        <w:rPr>
          <w:rFonts w:ascii="Verdana" w:hAnsi="Verdana"/>
          <w:sz w:val="20"/>
        </w:rPr>
      </w:pPr>
      <w:r>
        <w:rPr>
          <w:rFonts w:ascii="Verdana" w:hAnsi="Verdana"/>
          <w:sz w:val="20"/>
        </w:rPr>
        <w:t>caso o Agente Fiduciário renuncie às suas funções, deverá permanecer no exercício de suas funções até que uma instituição substituta s</w:t>
      </w:r>
      <w:r>
        <w:rPr>
          <w:rFonts w:ascii="Verdana" w:hAnsi="Verdana"/>
          <w:sz w:val="20"/>
        </w:rPr>
        <w:t xml:space="preserve">eja indicada pela Emissora e aprovada pela </w:t>
      </w:r>
      <w:r>
        <w:rPr>
          <w:rFonts w:ascii="Verdana" w:hAnsi="Verdana" w:cs="Tahoma"/>
          <w:sz w:val="20"/>
        </w:rPr>
        <w:t>Assembleia Geral de Debenturistas</w:t>
      </w:r>
      <w:r>
        <w:rPr>
          <w:rFonts w:ascii="Verdana" w:hAnsi="Verdana"/>
          <w:sz w:val="20"/>
        </w:rPr>
        <w:t xml:space="preserve"> e </w:t>
      </w:r>
      <w:proofErr w:type="spellStart"/>
      <w:r>
        <w:rPr>
          <w:rFonts w:ascii="Verdana" w:hAnsi="Verdana"/>
          <w:sz w:val="20"/>
        </w:rPr>
        <w:t>assuma</w:t>
      </w:r>
      <w:proofErr w:type="spellEnd"/>
      <w:r>
        <w:rPr>
          <w:rFonts w:ascii="Verdana" w:hAnsi="Verdana"/>
          <w:sz w:val="20"/>
        </w:rPr>
        <w:t xml:space="preserve"> efetivamente as suas funções;</w:t>
      </w:r>
    </w:p>
    <w:p w:rsidR="00DE19C8" w:rsidRDefault="00DE19C8">
      <w:pPr>
        <w:spacing w:line="318" w:lineRule="exact"/>
        <w:contextualSpacing/>
        <w:rPr>
          <w:rFonts w:ascii="Verdana" w:hAnsi="Verdana"/>
          <w:sz w:val="20"/>
        </w:rPr>
      </w:pPr>
    </w:p>
    <w:p w:rsidR="00DE19C8" w:rsidRDefault="00626B63">
      <w:pPr>
        <w:numPr>
          <w:ilvl w:val="2"/>
          <w:numId w:val="67"/>
        </w:numPr>
        <w:tabs>
          <w:tab w:val="clear" w:pos="1701"/>
        </w:tabs>
        <w:spacing w:line="318" w:lineRule="exact"/>
        <w:ind w:left="709" w:firstLine="0"/>
        <w:contextualSpacing/>
        <w:rPr>
          <w:rFonts w:ascii="Verdana" w:hAnsi="Verdana"/>
          <w:sz w:val="20"/>
        </w:rPr>
      </w:pPr>
      <w:bookmarkStart w:id="127" w:name="_Ref130285900"/>
      <w:r>
        <w:rPr>
          <w:rFonts w:ascii="Verdana" w:hAnsi="Verdana"/>
          <w:sz w:val="20"/>
        </w:rPr>
        <w:t xml:space="preserve">será realizada, dentro do prazo máximo de 30 (trinta) dias corridos, contados do evento que a determinar, </w:t>
      </w:r>
      <w:r>
        <w:rPr>
          <w:rFonts w:ascii="Verdana" w:hAnsi="Verdana" w:cs="Tahoma"/>
          <w:sz w:val="20"/>
        </w:rPr>
        <w:t>Assembleia Geral de Debenturistas</w:t>
      </w:r>
      <w:r>
        <w:rPr>
          <w:rFonts w:ascii="Verdana" w:hAnsi="Verdana"/>
          <w:sz w:val="20"/>
        </w:rPr>
        <w:t>, para a escolha do novo agente fiduciário, que poderá ser convocada pelo próprio Agente Fiduciário a ser substituído, pela Emissora, por Debenturistas representando, no mínimo, 10% (dez por cento) das Debêntures em Circulação ou pela CVM. Na hipótese de a</w:t>
      </w:r>
      <w:r>
        <w:rPr>
          <w:rFonts w:ascii="Verdana" w:hAnsi="Verdana"/>
          <w:sz w:val="20"/>
        </w:rPr>
        <w:t xml:space="preserve"> convocação não ocorrer em até 15 (quinze) dias antes do término do prazo acima citado, caberá à Emissora efetuá-la, observado o prazo de 15 (quinze) dias para a primeira convocação e 8 (oito) dias para a segunda convocação, sendo certo que a CVM poderá pr</w:t>
      </w:r>
      <w:r>
        <w:rPr>
          <w:rFonts w:ascii="Verdana" w:hAnsi="Verdana"/>
          <w:sz w:val="20"/>
        </w:rPr>
        <w:t xml:space="preserve">oceder à convocação da </w:t>
      </w:r>
      <w:r>
        <w:rPr>
          <w:rFonts w:ascii="Verdana" w:hAnsi="Verdana" w:cs="Tahoma"/>
          <w:sz w:val="20"/>
        </w:rPr>
        <w:t>Assembleia Geral de Debenturistas</w:t>
      </w:r>
      <w:r>
        <w:rPr>
          <w:rFonts w:ascii="Verdana" w:hAnsi="Verdana"/>
          <w:sz w:val="20"/>
        </w:rPr>
        <w:t xml:space="preserve"> ou nomear substituto provisório enquanto não se consumar o processo de escolha do novo Agente Fiduciário, nos termos do artigo 7º da Instrução CVM 583;</w:t>
      </w:r>
      <w:bookmarkEnd w:id="127"/>
    </w:p>
    <w:p w:rsidR="00DE19C8" w:rsidRDefault="00DE19C8">
      <w:pPr>
        <w:spacing w:line="318" w:lineRule="exact"/>
        <w:contextualSpacing/>
        <w:rPr>
          <w:rFonts w:ascii="Verdana" w:hAnsi="Verdana"/>
          <w:sz w:val="20"/>
        </w:rPr>
      </w:pPr>
    </w:p>
    <w:p w:rsidR="00DE19C8" w:rsidRDefault="00626B63">
      <w:pPr>
        <w:numPr>
          <w:ilvl w:val="2"/>
          <w:numId w:val="67"/>
        </w:numPr>
        <w:tabs>
          <w:tab w:val="clear" w:pos="1701"/>
        </w:tabs>
        <w:spacing w:line="318" w:lineRule="exact"/>
        <w:ind w:left="709" w:firstLine="0"/>
        <w:contextualSpacing/>
        <w:rPr>
          <w:rFonts w:ascii="Verdana" w:hAnsi="Verdana"/>
          <w:sz w:val="20"/>
        </w:rPr>
      </w:pPr>
      <w:r>
        <w:rPr>
          <w:rFonts w:ascii="Verdana" w:hAnsi="Verdana"/>
          <w:sz w:val="20"/>
        </w:rPr>
        <w:t>a substituição do Agente Fiduciário está sujei</w:t>
      </w:r>
      <w:r>
        <w:rPr>
          <w:rFonts w:ascii="Verdana" w:hAnsi="Verdana"/>
          <w:sz w:val="20"/>
        </w:rPr>
        <w:t>ta à comunicação prévia à CVM no prazo de até 7 (sete) Dias Úteis contados do registro do aditamento a esta Escritura de Emissão, conforme previsto na alínea (f) abaixo, e aos requisitos previstos na Instrução CVM 583;</w:t>
      </w:r>
    </w:p>
    <w:p w:rsidR="00DE19C8" w:rsidRDefault="00DE19C8">
      <w:pPr>
        <w:pStyle w:val="PargrafodaLista"/>
        <w:spacing w:line="318" w:lineRule="exact"/>
        <w:contextualSpacing/>
        <w:rPr>
          <w:rFonts w:ascii="Verdana" w:hAnsi="Verdana"/>
          <w:sz w:val="20"/>
        </w:rPr>
      </w:pPr>
    </w:p>
    <w:p w:rsidR="00DE19C8" w:rsidRDefault="00626B63">
      <w:pPr>
        <w:numPr>
          <w:ilvl w:val="2"/>
          <w:numId w:val="67"/>
        </w:numPr>
        <w:tabs>
          <w:tab w:val="clear" w:pos="1701"/>
        </w:tabs>
        <w:spacing w:line="318" w:lineRule="exact"/>
        <w:ind w:left="709" w:firstLine="0"/>
        <w:contextualSpacing/>
        <w:rPr>
          <w:rFonts w:ascii="Verdana" w:hAnsi="Verdana"/>
          <w:sz w:val="20"/>
        </w:rPr>
      </w:pPr>
      <w:r>
        <w:rPr>
          <w:rFonts w:ascii="Verdana" w:hAnsi="Verdana"/>
          <w:sz w:val="20"/>
        </w:rPr>
        <w:t xml:space="preserve">a substituição do Agente Fiduciário </w:t>
      </w:r>
      <w:r>
        <w:rPr>
          <w:rFonts w:ascii="Verdana" w:hAnsi="Verdana"/>
          <w:sz w:val="20"/>
        </w:rPr>
        <w:t>em caráter permanente deverá ser objeto de aditamento à Escritura de Emissão, o qual deverá ser registrado na JUCESP;</w:t>
      </w:r>
    </w:p>
    <w:p w:rsidR="00DE19C8" w:rsidRDefault="00DE19C8">
      <w:pPr>
        <w:spacing w:line="318" w:lineRule="exact"/>
        <w:contextualSpacing/>
        <w:rPr>
          <w:rFonts w:ascii="Verdana" w:hAnsi="Verdana"/>
          <w:sz w:val="20"/>
        </w:rPr>
      </w:pPr>
    </w:p>
    <w:p w:rsidR="00DE19C8" w:rsidRDefault="00626B63">
      <w:pPr>
        <w:numPr>
          <w:ilvl w:val="2"/>
          <w:numId w:val="67"/>
        </w:numPr>
        <w:tabs>
          <w:tab w:val="clear" w:pos="1701"/>
        </w:tabs>
        <w:spacing w:line="318" w:lineRule="exact"/>
        <w:ind w:left="709" w:firstLine="0"/>
        <w:contextualSpacing/>
        <w:rPr>
          <w:rFonts w:ascii="Verdana" w:hAnsi="Verdana"/>
          <w:sz w:val="20"/>
        </w:rPr>
      </w:pPr>
      <w:r>
        <w:rPr>
          <w:rFonts w:ascii="Verdana" w:hAnsi="Verdana"/>
          <w:sz w:val="20"/>
        </w:rPr>
        <w:lastRenderedPageBreak/>
        <w:t xml:space="preserve">os pagamentos ao Agente Fiduciário substituído serão realizados observando-se a proporcionalidade ao período da efetiva prestação dos </w:t>
      </w:r>
      <w:r>
        <w:rPr>
          <w:rFonts w:ascii="Verdana" w:hAnsi="Verdana"/>
          <w:sz w:val="20"/>
        </w:rPr>
        <w:t>serviços;</w:t>
      </w:r>
    </w:p>
    <w:p w:rsidR="00DE19C8" w:rsidRDefault="00DE19C8">
      <w:pPr>
        <w:spacing w:line="318" w:lineRule="exact"/>
        <w:contextualSpacing/>
        <w:rPr>
          <w:rFonts w:ascii="Verdana" w:hAnsi="Verdana"/>
          <w:sz w:val="20"/>
        </w:rPr>
      </w:pPr>
    </w:p>
    <w:p w:rsidR="00DE19C8" w:rsidRDefault="00626B63">
      <w:pPr>
        <w:numPr>
          <w:ilvl w:val="2"/>
          <w:numId w:val="67"/>
        </w:numPr>
        <w:tabs>
          <w:tab w:val="clear" w:pos="1701"/>
        </w:tabs>
        <w:spacing w:line="318" w:lineRule="exact"/>
        <w:ind w:left="709" w:firstLine="0"/>
        <w:contextualSpacing/>
        <w:rPr>
          <w:rFonts w:ascii="Verdana" w:hAnsi="Verdana"/>
          <w:sz w:val="20"/>
        </w:rPr>
      </w:pPr>
      <w:r>
        <w:rPr>
          <w:rFonts w:ascii="Verdana" w:hAnsi="Verdana"/>
          <w:sz w:val="20"/>
        </w:rPr>
        <w:t xml:space="preserve">o agente fiduciário substituto fará jus à mesma remuneração percebida pelo anterior, caso (i) a Emissora não tenha concordado com o novo valor da remuneração do agente fiduciário proposto pela </w:t>
      </w:r>
      <w:r>
        <w:rPr>
          <w:rFonts w:ascii="Verdana" w:hAnsi="Verdana" w:cs="Tahoma"/>
          <w:sz w:val="20"/>
        </w:rPr>
        <w:t>Assembleia Geral de Debenturistas</w:t>
      </w:r>
      <w:r>
        <w:rPr>
          <w:rFonts w:ascii="Verdana" w:hAnsi="Verdana"/>
          <w:sz w:val="20"/>
        </w:rPr>
        <w:t xml:space="preserve"> a que se refere a </w:t>
      </w:r>
      <w:r>
        <w:rPr>
          <w:rFonts w:ascii="Verdana" w:hAnsi="Verdana"/>
          <w:sz w:val="20"/>
        </w:rPr>
        <w:t>alínea (d) acima; ou (</w:t>
      </w:r>
      <w:proofErr w:type="spellStart"/>
      <w:r>
        <w:rPr>
          <w:rFonts w:ascii="Verdana" w:hAnsi="Verdana"/>
          <w:sz w:val="20"/>
        </w:rPr>
        <w:t>ii</w:t>
      </w:r>
      <w:proofErr w:type="spellEnd"/>
      <w:r>
        <w:rPr>
          <w:rFonts w:ascii="Verdana" w:hAnsi="Verdana"/>
          <w:sz w:val="20"/>
        </w:rPr>
        <w:t xml:space="preserve">) a </w:t>
      </w:r>
      <w:r>
        <w:rPr>
          <w:rFonts w:ascii="Verdana" w:hAnsi="Verdana" w:cs="Tahoma"/>
          <w:sz w:val="20"/>
        </w:rPr>
        <w:t>Assembleia Geral de Debenturistas</w:t>
      </w:r>
      <w:r>
        <w:rPr>
          <w:rFonts w:ascii="Verdana" w:hAnsi="Verdana"/>
          <w:sz w:val="20"/>
        </w:rPr>
        <w:t xml:space="preserve"> a que se refere a alínea (d) acima não delibere sobre a matéria;</w:t>
      </w:r>
    </w:p>
    <w:p w:rsidR="00DE19C8" w:rsidRDefault="00DE19C8">
      <w:pPr>
        <w:spacing w:line="318" w:lineRule="exact"/>
        <w:contextualSpacing/>
        <w:rPr>
          <w:rFonts w:ascii="Verdana" w:hAnsi="Verdana"/>
          <w:sz w:val="20"/>
        </w:rPr>
      </w:pPr>
    </w:p>
    <w:p w:rsidR="00DE19C8" w:rsidRDefault="00626B63">
      <w:pPr>
        <w:numPr>
          <w:ilvl w:val="2"/>
          <w:numId w:val="67"/>
        </w:numPr>
        <w:tabs>
          <w:tab w:val="clear" w:pos="1701"/>
        </w:tabs>
        <w:spacing w:line="318" w:lineRule="exact"/>
        <w:ind w:left="709" w:firstLine="0"/>
        <w:contextualSpacing/>
        <w:rPr>
          <w:rFonts w:ascii="Verdana" w:hAnsi="Verdana"/>
          <w:sz w:val="20"/>
        </w:rPr>
      </w:pPr>
      <w:r>
        <w:rPr>
          <w:rFonts w:ascii="Verdana" w:hAnsi="Verdana"/>
          <w:sz w:val="20"/>
        </w:rPr>
        <w:t>o agente fiduciário substituto deverá, imediatamente após sua nomeação, comunicá-la à Emissora e aos Debenturistas; e</w:t>
      </w:r>
    </w:p>
    <w:p w:rsidR="00DE19C8" w:rsidRDefault="00DE19C8">
      <w:pPr>
        <w:spacing w:line="318" w:lineRule="exact"/>
        <w:contextualSpacing/>
        <w:rPr>
          <w:rFonts w:ascii="Verdana" w:hAnsi="Verdana"/>
          <w:sz w:val="20"/>
        </w:rPr>
      </w:pPr>
    </w:p>
    <w:p w:rsidR="00DE19C8" w:rsidRDefault="00626B63">
      <w:pPr>
        <w:numPr>
          <w:ilvl w:val="2"/>
          <w:numId w:val="67"/>
        </w:numPr>
        <w:tabs>
          <w:tab w:val="clear" w:pos="1701"/>
        </w:tabs>
        <w:spacing w:line="318" w:lineRule="exact"/>
        <w:ind w:left="709" w:firstLine="0"/>
        <w:contextualSpacing/>
        <w:rPr>
          <w:rFonts w:ascii="Verdana" w:hAnsi="Verdana"/>
          <w:sz w:val="20"/>
        </w:rPr>
      </w:pPr>
      <w:r>
        <w:rPr>
          <w:rFonts w:ascii="Verdana" w:hAnsi="Verdana"/>
          <w:sz w:val="20"/>
        </w:rPr>
        <w:t>aplicam-se às hipóteses de substituição do Agente Fiduciário as normas e preceitos emanados da CVM.</w:t>
      </w:r>
    </w:p>
    <w:p w:rsidR="00DE19C8" w:rsidRDefault="00DE19C8">
      <w:pPr>
        <w:spacing w:line="318" w:lineRule="exact"/>
        <w:ind w:left="709"/>
        <w:contextualSpacing/>
        <w:rPr>
          <w:rFonts w:ascii="Verdana" w:hAnsi="Verdana"/>
          <w:sz w:val="20"/>
        </w:rPr>
      </w:pPr>
      <w:bookmarkStart w:id="128" w:name="_Ref130284025"/>
    </w:p>
    <w:p w:rsidR="00DE19C8" w:rsidRDefault="00626B63">
      <w:pPr>
        <w:spacing w:line="318" w:lineRule="exact"/>
        <w:contextualSpacing/>
        <w:rPr>
          <w:rFonts w:ascii="Verdana" w:hAnsi="Verdana"/>
          <w:sz w:val="20"/>
        </w:rPr>
      </w:pPr>
      <w:r>
        <w:rPr>
          <w:rFonts w:ascii="Verdana" w:hAnsi="Verdana" w:cs="Tahoma"/>
          <w:sz w:val="20"/>
        </w:rPr>
        <w:t>6.5.</w:t>
      </w:r>
      <w:r>
        <w:rPr>
          <w:rFonts w:ascii="Verdana" w:hAnsi="Verdana" w:cs="Tahoma"/>
          <w:sz w:val="20"/>
        </w:rPr>
        <w:tab/>
      </w:r>
      <w:r>
        <w:rPr>
          <w:rFonts w:ascii="Verdana" w:hAnsi="Verdana"/>
          <w:sz w:val="20"/>
        </w:rPr>
        <w:t xml:space="preserve">Pelo desempenho dos deveres e atribuições que lhe competem, nos termos da lei e desta Escritura de Emissão, o Agente Fiduciário, ou a instituição que </w:t>
      </w:r>
      <w:r>
        <w:rPr>
          <w:rFonts w:ascii="Verdana" w:hAnsi="Verdana"/>
          <w:sz w:val="20"/>
        </w:rPr>
        <w:t>vier a substituí-lo nessa qualidade receberá a remuneração abaixo:</w:t>
      </w:r>
      <w:bookmarkEnd w:id="128"/>
      <w:r>
        <w:rPr>
          <w:rFonts w:ascii="Verdana" w:hAnsi="Verdana"/>
          <w:sz w:val="20"/>
        </w:rPr>
        <w:t xml:space="preserve"> </w:t>
      </w:r>
    </w:p>
    <w:p w:rsidR="00DE19C8" w:rsidRDefault="00DE19C8">
      <w:pPr>
        <w:spacing w:line="318" w:lineRule="exact"/>
        <w:ind w:left="709"/>
        <w:contextualSpacing/>
        <w:rPr>
          <w:rFonts w:ascii="Verdana" w:hAnsi="Verdana"/>
          <w:sz w:val="20"/>
        </w:rPr>
      </w:pPr>
    </w:p>
    <w:p w:rsidR="00DE19C8" w:rsidRDefault="00626B63">
      <w:pPr>
        <w:numPr>
          <w:ilvl w:val="0"/>
          <w:numId w:val="72"/>
        </w:numPr>
        <w:tabs>
          <w:tab w:val="clear" w:pos="928"/>
          <w:tab w:val="num" w:pos="851"/>
          <w:tab w:val="num" w:pos="1080"/>
        </w:tabs>
        <w:suppressAutoHyphens/>
        <w:spacing w:line="320" w:lineRule="exact"/>
        <w:ind w:left="709" w:firstLine="0"/>
        <w:rPr>
          <w:rFonts w:ascii="Verdana" w:hAnsi="Verdana"/>
          <w:sz w:val="20"/>
        </w:rPr>
      </w:pPr>
      <w:r>
        <w:rPr>
          <w:rFonts w:ascii="Verdana" w:hAnsi="Verdana"/>
          <w:sz w:val="20"/>
        </w:rPr>
        <w:t>a título de honorários pelo serviço de Agente Fiduciário serão devidas parcelas anuais de R$18.000,00 (dezoito mil reais), sendo a primeira parcela devida no 5º (quinto) Dia Útil após a d</w:t>
      </w:r>
      <w:r>
        <w:rPr>
          <w:rFonts w:ascii="Verdana" w:hAnsi="Verdana"/>
          <w:sz w:val="20"/>
        </w:rPr>
        <w:t xml:space="preserve">ata de assinatura desta Escritura de Emissão e as demais nas mesmas datas dos anos subsequentes. As parcelas anuais serão devidas até a liquidação integral das Debêntures, caso estas não sejam quitadas na data de seu vencimento; </w:t>
      </w:r>
    </w:p>
    <w:p w:rsidR="00DE19C8" w:rsidRDefault="00DE19C8">
      <w:pPr>
        <w:ind w:left="709"/>
        <w:rPr>
          <w:rFonts w:ascii="Verdana" w:hAnsi="Verdana"/>
          <w:sz w:val="20"/>
        </w:rPr>
      </w:pPr>
    </w:p>
    <w:p w:rsidR="00DE19C8" w:rsidRDefault="00626B63">
      <w:pPr>
        <w:numPr>
          <w:ilvl w:val="0"/>
          <w:numId w:val="72"/>
        </w:numPr>
        <w:tabs>
          <w:tab w:val="clear" w:pos="928"/>
          <w:tab w:val="num" w:pos="709"/>
          <w:tab w:val="num" w:pos="1080"/>
          <w:tab w:val="left" w:pos="1418"/>
        </w:tabs>
        <w:suppressAutoHyphens/>
        <w:spacing w:line="320" w:lineRule="exact"/>
        <w:ind w:left="709" w:firstLine="0"/>
        <w:rPr>
          <w:rFonts w:ascii="Verdana" w:hAnsi="Verdana"/>
          <w:sz w:val="20"/>
        </w:rPr>
      </w:pPr>
      <w:r>
        <w:rPr>
          <w:rFonts w:ascii="Verdana" w:hAnsi="Verdana"/>
          <w:sz w:val="20"/>
        </w:rPr>
        <w:t>no caso de inadimplemento</w:t>
      </w:r>
      <w:r>
        <w:rPr>
          <w:rFonts w:ascii="Verdana" w:hAnsi="Verdana"/>
          <w:sz w:val="20"/>
        </w:rPr>
        <w:t xml:space="preserve"> no pagamento das Debêntures ou de reestruturação das condições das Debêntures após a emissão ou da participação em reuniões ou conferências telefônicas, antes ou depois da Emissão, bem como atendimento à solicitações extraordinárias, serão devidas ao Agen</w:t>
      </w:r>
      <w:r>
        <w:rPr>
          <w:rFonts w:ascii="Verdana" w:hAnsi="Verdana"/>
          <w:sz w:val="20"/>
        </w:rPr>
        <w:t>te Fiduciário, adicionalmente, o valor de R$ 500,00 (quinhentos reais) por hora-homem de trabalho dedicado a tais fatos bem como à: (i) comentários aos documentos da Emissão durante a estruturação da mesma, caso a operação não venha a se efetivar; (</w:t>
      </w:r>
      <w:proofErr w:type="spellStart"/>
      <w:r>
        <w:rPr>
          <w:rFonts w:ascii="Verdana" w:hAnsi="Verdana"/>
          <w:sz w:val="20"/>
        </w:rPr>
        <w:t>ii</w:t>
      </w:r>
      <w:proofErr w:type="spellEnd"/>
      <w:r>
        <w:rPr>
          <w:rFonts w:ascii="Verdana" w:hAnsi="Verdana"/>
          <w:sz w:val="20"/>
        </w:rPr>
        <w:t>) exe</w:t>
      </w:r>
      <w:r>
        <w:rPr>
          <w:rFonts w:ascii="Verdana" w:hAnsi="Verdana"/>
          <w:sz w:val="20"/>
        </w:rPr>
        <w:t>cução das garantias, caso concedidas; (</w:t>
      </w:r>
      <w:proofErr w:type="spellStart"/>
      <w:r>
        <w:rPr>
          <w:rFonts w:ascii="Verdana" w:hAnsi="Verdana"/>
          <w:sz w:val="20"/>
        </w:rPr>
        <w:t>iii</w:t>
      </w:r>
      <w:proofErr w:type="spellEnd"/>
      <w:r>
        <w:rPr>
          <w:rFonts w:ascii="Verdana" w:hAnsi="Verdana"/>
          <w:sz w:val="20"/>
        </w:rPr>
        <w:t>) participação em reuniões formais ou virtuais com a Emissora e/ou com Debenturistas; e (</w:t>
      </w:r>
      <w:proofErr w:type="spellStart"/>
      <w:r>
        <w:rPr>
          <w:rFonts w:ascii="Verdana" w:hAnsi="Verdana"/>
          <w:sz w:val="20"/>
        </w:rPr>
        <w:t>iv</w:t>
      </w:r>
      <w:proofErr w:type="spellEnd"/>
      <w:r>
        <w:rPr>
          <w:rFonts w:ascii="Verdana" w:hAnsi="Verdana"/>
          <w:sz w:val="20"/>
        </w:rPr>
        <w:t>) implementação das consequentes decisões tomadas em tais eventos, pagas 5 (cinco) dias após comprovação da entrega, pelo A</w:t>
      </w:r>
      <w:r>
        <w:rPr>
          <w:rFonts w:ascii="Verdana" w:hAnsi="Verdana"/>
          <w:sz w:val="20"/>
        </w:rPr>
        <w:t>gente Fiduciário, de “relatório de horas” à Emissora. Entende-se por reestruturação das Debêntures os eventos relacionados à alteração: (i) das garantias, caso sejam concedidas; (</w:t>
      </w:r>
      <w:proofErr w:type="spellStart"/>
      <w:r>
        <w:rPr>
          <w:rFonts w:ascii="Verdana" w:hAnsi="Verdana"/>
          <w:sz w:val="20"/>
        </w:rPr>
        <w:t>ii</w:t>
      </w:r>
      <w:proofErr w:type="spellEnd"/>
      <w:r>
        <w:rPr>
          <w:rFonts w:ascii="Verdana" w:hAnsi="Verdana"/>
          <w:sz w:val="20"/>
        </w:rPr>
        <w:t>) prazos de pagamento; e (</w:t>
      </w:r>
      <w:proofErr w:type="spellStart"/>
      <w:r>
        <w:rPr>
          <w:rFonts w:ascii="Verdana" w:hAnsi="Verdana"/>
          <w:sz w:val="20"/>
        </w:rPr>
        <w:t>iii</w:t>
      </w:r>
      <w:proofErr w:type="spellEnd"/>
      <w:r>
        <w:rPr>
          <w:rFonts w:ascii="Verdana" w:hAnsi="Verdana"/>
          <w:sz w:val="20"/>
        </w:rPr>
        <w:t>) condições relacionadas ao vencimento antecip</w:t>
      </w:r>
      <w:r>
        <w:rPr>
          <w:rFonts w:ascii="Verdana" w:hAnsi="Verdana"/>
          <w:sz w:val="20"/>
        </w:rPr>
        <w:t xml:space="preserve">ado. Os eventos </w:t>
      </w:r>
      <w:r>
        <w:rPr>
          <w:rFonts w:ascii="Verdana" w:hAnsi="Verdana"/>
          <w:sz w:val="20"/>
        </w:rPr>
        <w:lastRenderedPageBreak/>
        <w:t>relacionados à amortização das Debêntures não são considerados reestruturação das Debêntures;</w:t>
      </w:r>
    </w:p>
    <w:p w:rsidR="00DE19C8" w:rsidRDefault="00DE19C8">
      <w:pPr>
        <w:tabs>
          <w:tab w:val="num" w:pos="1080"/>
          <w:tab w:val="left" w:pos="1418"/>
        </w:tabs>
        <w:suppressAutoHyphens/>
        <w:spacing w:line="320" w:lineRule="exact"/>
        <w:ind w:left="709"/>
        <w:rPr>
          <w:rFonts w:ascii="Verdana" w:hAnsi="Verdana"/>
          <w:sz w:val="20"/>
        </w:rPr>
      </w:pPr>
    </w:p>
    <w:p w:rsidR="00DE19C8" w:rsidRDefault="00626B63">
      <w:pPr>
        <w:numPr>
          <w:ilvl w:val="0"/>
          <w:numId w:val="72"/>
        </w:numPr>
        <w:tabs>
          <w:tab w:val="clear" w:pos="928"/>
          <w:tab w:val="num" w:pos="709"/>
          <w:tab w:val="num" w:pos="1080"/>
          <w:tab w:val="left" w:pos="1418"/>
        </w:tabs>
        <w:suppressAutoHyphens/>
        <w:spacing w:line="320" w:lineRule="exact"/>
        <w:ind w:left="709" w:firstLine="0"/>
        <w:rPr>
          <w:rFonts w:ascii="Verdana" w:hAnsi="Verdana"/>
          <w:sz w:val="20"/>
        </w:rPr>
      </w:pPr>
      <w:r>
        <w:rPr>
          <w:rFonts w:ascii="Verdana" w:hAnsi="Verdana"/>
          <w:sz w:val="20"/>
        </w:rPr>
        <w:t xml:space="preserve">no caso de celebração de aditamentos à Escritura de Emissão, bem como nas horas externas ao Agente Fiduciário, serão cobradas, adicionalmente, o </w:t>
      </w:r>
      <w:r>
        <w:rPr>
          <w:rFonts w:ascii="Verdana" w:hAnsi="Verdana"/>
          <w:sz w:val="20"/>
        </w:rPr>
        <w:t>valor de R$500,00 (quinhentos reais) por hora-homem de trabalho dedicado a tais alterações/serviços;</w:t>
      </w:r>
    </w:p>
    <w:p w:rsidR="00DE19C8" w:rsidRDefault="00DE19C8">
      <w:pPr>
        <w:tabs>
          <w:tab w:val="num" w:pos="1080"/>
          <w:tab w:val="left" w:pos="1418"/>
        </w:tabs>
        <w:suppressAutoHyphens/>
        <w:spacing w:line="320" w:lineRule="exact"/>
        <w:ind w:left="709"/>
        <w:rPr>
          <w:rFonts w:ascii="Verdana" w:hAnsi="Verdana"/>
          <w:sz w:val="20"/>
        </w:rPr>
      </w:pPr>
    </w:p>
    <w:p w:rsidR="00DE19C8" w:rsidRDefault="00626B63">
      <w:pPr>
        <w:numPr>
          <w:ilvl w:val="0"/>
          <w:numId w:val="72"/>
        </w:numPr>
        <w:tabs>
          <w:tab w:val="clear" w:pos="928"/>
          <w:tab w:val="num" w:pos="709"/>
          <w:tab w:val="num" w:pos="1080"/>
        </w:tabs>
        <w:suppressAutoHyphens/>
        <w:spacing w:line="320" w:lineRule="exact"/>
        <w:ind w:left="709" w:firstLine="0"/>
        <w:rPr>
          <w:rFonts w:ascii="Verdana" w:hAnsi="Verdana"/>
          <w:b/>
          <w:sz w:val="20"/>
        </w:rPr>
      </w:pPr>
      <w:r>
        <w:rPr>
          <w:rFonts w:ascii="Verdana" w:hAnsi="Verdana"/>
          <w:sz w:val="20"/>
        </w:rPr>
        <w:t xml:space="preserve">os impostos incidentes sobre a remuneração serão acrescidos as parcelas mencionadas acima nas datas de pagamento. Além disso, todos os valores mencionados acima serão atualizados pelo IGP-M, sempre na menor periodicidade permitida em lei, a partir da data </w:t>
      </w:r>
      <w:r>
        <w:rPr>
          <w:rFonts w:ascii="Verdana" w:hAnsi="Verdana"/>
          <w:sz w:val="20"/>
        </w:rPr>
        <w:t xml:space="preserve">de assinatura do instrumento de emissão. </w:t>
      </w:r>
    </w:p>
    <w:p w:rsidR="00DE19C8" w:rsidRDefault="00DE19C8">
      <w:pPr>
        <w:tabs>
          <w:tab w:val="num" w:pos="1080"/>
        </w:tabs>
        <w:suppressAutoHyphens/>
        <w:spacing w:line="320" w:lineRule="exact"/>
        <w:ind w:left="709"/>
        <w:rPr>
          <w:rFonts w:ascii="Verdana" w:hAnsi="Verdana"/>
          <w:b/>
          <w:sz w:val="20"/>
        </w:rPr>
      </w:pPr>
    </w:p>
    <w:p w:rsidR="00DE19C8" w:rsidRDefault="00626B63">
      <w:pPr>
        <w:numPr>
          <w:ilvl w:val="0"/>
          <w:numId w:val="72"/>
        </w:numPr>
        <w:tabs>
          <w:tab w:val="clear" w:pos="928"/>
          <w:tab w:val="num" w:pos="851"/>
          <w:tab w:val="num" w:pos="1080"/>
        </w:tabs>
        <w:suppressAutoHyphens/>
        <w:spacing w:line="320" w:lineRule="exact"/>
        <w:ind w:left="709" w:firstLine="0"/>
        <w:rPr>
          <w:rFonts w:ascii="Verdana" w:hAnsi="Verdana"/>
          <w:sz w:val="20"/>
        </w:rPr>
      </w:pPr>
      <w:r>
        <w:rPr>
          <w:rFonts w:ascii="Verdana" w:hAnsi="Verdana"/>
          <w:sz w:val="20"/>
        </w:rPr>
        <w:t>os serviços do Agente Fiduciário previstos nesta Escritura são aqueles descritos na Instrução CVM 583 e Lei das Sociedades por Ações;</w:t>
      </w:r>
    </w:p>
    <w:p w:rsidR="00DE19C8" w:rsidRDefault="00DE19C8">
      <w:pPr>
        <w:tabs>
          <w:tab w:val="num" w:pos="1080"/>
        </w:tabs>
        <w:suppressAutoHyphens/>
        <w:spacing w:line="320" w:lineRule="exact"/>
        <w:ind w:left="709"/>
        <w:rPr>
          <w:rFonts w:ascii="Verdana" w:hAnsi="Verdana"/>
          <w:sz w:val="20"/>
        </w:rPr>
      </w:pPr>
    </w:p>
    <w:p w:rsidR="00DE19C8" w:rsidRDefault="00626B63">
      <w:pPr>
        <w:numPr>
          <w:ilvl w:val="0"/>
          <w:numId w:val="72"/>
        </w:numPr>
        <w:tabs>
          <w:tab w:val="clear" w:pos="928"/>
          <w:tab w:val="num" w:pos="851"/>
          <w:tab w:val="num" w:pos="1080"/>
        </w:tabs>
        <w:suppressAutoHyphens/>
        <w:spacing w:line="320" w:lineRule="exact"/>
        <w:ind w:left="709" w:firstLine="0"/>
        <w:rPr>
          <w:rFonts w:ascii="Verdana" w:hAnsi="Verdana"/>
          <w:sz w:val="20"/>
        </w:rPr>
      </w:pPr>
      <w:r>
        <w:rPr>
          <w:rFonts w:ascii="Verdana" w:hAnsi="Verdana"/>
          <w:sz w:val="20"/>
        </w:rPr>
        <w:t>a remuneração não inclui as despesas com viagens, estadias, transporte e publi</w:t>
      </w:r>
      <w:r>
        <w:rPr>
          <w:rFonts w:ascii="Verdana" w:hAnsi="Verdana"/>
          <w:sz w:val="20"/>
        </w:rPr>
        <w:t>cação necessárias consideradas necessárias ao exercício da função do Agente Fiduciário, durante ou após a implantação do serviço, a serem cobertas pela Emissora, após prévia aprovação. Não estão incluídas igualmente, e serão arcadas pela Emissora, despesas</w:t>
      </w:r>
      <w:r>
        <w:rPr>
          <w:rFonts w:ascii="Verdana" w:hAnsi="Verdana"/>
          <w:sz w:val="20"/>
        </w:rPr>
        <w:t xml:space="preserve"> com especialistas, tais como auditoria nas garantias caso concedidas ao empréstimo e assessoria legal ao Agente Fiduciário em caso de inadimplemento do empréstimo. As eventuais despesas, depósitos, custas judiciais, sucumbências, bem como indenizações, de</w:t>
      </w:r>
      <w:r>
        <w:rPr>
          <w:rFonts w:ascii="Verdana" w:hAnsi="Verdana"/>
          <w:sz w:val="20"/>
        </w:rPr>
        <w:t xml:space="preserve">correntes de ações intentadas contra o Agente Fiduciário decorrente de exercícios de sua função ou da sua atuação em defesa da estrutura da operação, serão igualmente suportadas pelos investidores. Tais despesas incluem honorários advocatícios para defesa </w:t>
      </w:r>
      <w:r>
        <w:rPr>
          <w:rFonts w:ascii="Verdana" w:hAnsi="Verdana"/>
          <w:sz w:val="20"/>
        </w:rPr>
        <w:t xml:space="preserve">do Agente Fiduciário e deverão ser igualmente adiantadas pelos investidores e ressarcidas pela Emissora; </w:t>
      </w:r>
    </w:p>
    <w:p w:rsidR="00DE19C8" w:rsidRDefault="00DE19C8">
      <w:pPr>
        <w:tabs>
          <w:tab w:val="num" w:pos="1080"/>
        </w:tabs>
        <w:suppressAutoHyphens/>
        <w:spacing w:line="320" w:lineRule="exact"/>
        <w:ind w:left="709"/>
        <w:rPr>
          <w:rFonts w:ascii="Verdana" w:hAnsi="Verdana"/>
          <w:sz w:val="20"/>
        </w:rPr>
      </w:pPr>
    </w:p>
    <w:p w:rsidR="00DE19C8" w:rsidRDefault="00626B63">
      <w:pPr>
        <w:numPr>
          <w:ilvl w:val="0"/>
          <w:numId w:val="72"/>
        </w:numPr>
        <w:tabs>
          <w:tab w:val="clear" w:pos="928"/>
          <w:tab w:val="num" w:pos="851"/>
          <w:tab w:val="num" w:pos="1080"/>
          <w:tab w:val="left" w:pos="1276"/>
          <w:tab w:val="left" w:pos="1418"/>
        </w:tabs>
        <w:suppressAutoHyphens/>
        <w:spacing w:line="320" w:lineRule="exact"/>
        <w:ind w:left="709" w:firstLine="0"/>
        <w:rPr>
          <w:rFonts w:ascii="Verdana" w:hAnsi="Verdana"/>
          <w:sz w:val="20"/>
        </w:rPr>
      </w:pPr>
      <w:r>
        <w:rPr>
          <w:rFonts w:ascii="Verdana" w:hAnsi="Verdana"/>
          <w:sz w:val="20"/>
        </w:rPr>
        <w:t xml:space="preserve">no caso de inadimplemento da Emissora, todas as despesas em que o Agente Fiduciário venha a incorrer para resguardar os interesses dos Debenturistas </w:t>
      </w:r>
      <w:r>
        <w:rPr>
          <w:rFonts w:ascii="Verdana" w:hAnsi="Verdana"/>
          <w:sz w:val="20"/>
        </w:rPr>
        <w:t>deverão ser previamente aprovadas e adiantadas pelos Debenturistas, e posteriormente, ressarcidas pela Emissora. Tais despesas incluem os gastos com honorários advocatícios, inclusive de terceiros, depósitos, indenizações, custas e taxas judiciárias de açõ</w:t>
      </w:r>
      <w:r>
        <w:rPr>
          <w:rFonts w:ascii="Verdana" w:hAnsi="Verdana"/>
          <w:sz w:val="20"/>
        </w:rPr>
        <w:t xml:space="preserve">es propostas pelo Agente Fiduciário, desde que relacionadas à solução da inadimplência, enquanto representante dos Debenturistas. As eventuais despesas, depósitos e custas judiciais decorrentes da sucumbência em ações judiciais serão igualmente suportadas </w:t>
      </w:r>
      <w:r>
        <w:rPr>
          <w:rFonts w:ascii="Verdana" w:hAnsi="Verdana"/>
          <w:sz w:val="20"/>
        </w:rPr>
        <w:t xml:space="preserve">pelos Debenturistas, bem como a remuneração e as despesas reembolsáveis do Agente Fiduciário, na hipótese de a Emissora permanecer em </w:t>
      </w:r>
      <w:r>
        <w:rPr>
          <w:rFonts w:ascii="Verdana" w:hAnsi="Verdana"/>
          <w:sz w:val="20"/>
        </w:rPr>
        <w:lastRenderedPageBreak/>
        <w:t>inadimplência com relação ao pagamento destas por um período superior a 10 (dez) dias corridos;</w:t>
      </w:r>
    </w:p>
    <w:p w:rsidR="00DE19C8" w:rsidRDefault="00DE19C8">
      <w:pPr>
        <w:tabs>
          <w:tab w:val="num" w:pos="1080"/>
          <w:tab w:val="left" w:pos="1276"/>
          <w:tab w:val="left" w:pos="1418"/>
        </w:tabs>
        <w:suppressAutoHyphens/>
        <w:spacing w:line="320" w:lineRule="exact"/>
        <w:ind w:left="709"/>
        <w:rPr>
          <w:rFonts w:ascii="Verdana" w:hAnsi="Verdana"/>
          <w:sz w:val="20"/>
        </w:rPr>
      </w:pPr>
    </w:p>
    <w:p w:rsidR="00DE19C8" w:rsidRDefault="00626B63">
      <w:pPr>
        <w:numPr>
          <w:ilvl w:val="0"/>
          <w:numId w:val="72"/>
        </w:numPr>
        <w:tabs>
          <w:tab w:val="clear" w:pos="928"/>
          <w:tab w:val="num" w:pos="851"/>
          <w:tab w:val="num" w:pos="1080"/>
          <w:tab w:val="left" w:pos="1276"/>
          <w:tab w:val="left" w:pos="1418"/>
        </w:tabs>
        <w:suppressAutoHyphens/>
        <w:spacing w:line="320" w:lineRule="exact"/>
        <w:ind w:left="709" w:firstLine="0"/>
        <w:rPr>
          <w:rFonts w:ascii="Verdana" w:hAnsi="Verdana"/>
          <w:sz w:val="20"/>
        </w:rPr>
      </w:pPr>
      <w:r>
        <w:rPr>
          <w:rFonts w:ascii="Verdana" w:hAnsi="Verdana"/>
          <w:sz w:val="20"/>
        </w:rPr>
        <w:t>em atendimento ao Ofício-</w:t>
      </w:r>
      <w:r>
        <w:rPr>
          <w:rFonts w:ascii="Verdana" w:hAnsi="Verdana"/>
          <w:sz w:val="20"/>
        </w:rPr>
        <w:t>Circular CVM/SRE Nº 02/19, o Agente Fiduciário poderá, às expensas da Emissora, contratar terceiro especializado para avaliar ou reavaliar, o valor das garantias prestadas, caso concedidas, bem como solicitar informações e comprovações que entender necessá</w:t>
      </w:r>
      <w:r>
        <w:rPr>
          <w:rFonts w:ascii="Verdana" w:hAnsi="Verdana"/>
          <w:sz w:val="20"/>
        </w:rPr>
        <w:t xml:space="preserve">rias, na forma prevista no referido Ofício; </w:t>
      </w:r>
    </w:p>
    <w:p w:rsidR="00DE19C8" w:rsidRDefault="00DE19C8">
      <w:pPr>
        <w:tabs>
          <w:tab w:val="num" w:pos="1080"/>
          <w:tab w:val="left" w:pos="1276"/>
          <w:tab w:val="left" w:pos="1418"/>
        </w:tabs>
        <w:suppressAutoHyphens/>
        <w:spacing w:line="320" w:lineRule="exact"/>
        <w:ind w:left="709"/>
        <w:rPr>
          <w:rFonts w:ascii="Verdana" w:hAnsi="Verdana"/>
          <w:sz w:val="20"/>
        </w:rPr>
      </w:pPr>
    </w:p>
    <w:p w:rsidR="00DE19C8" w:rsidRDefault="00626B63">
      <w:pPr>
        <w:numPr>
          <w:ilvl w:val="0"/>
          <w:numId w:val="72"/>
        </w:numPr>
        <w:tabs>
          <w:tab w:val="clear" w:pos="928"/>
          <w:tab w:val="num" w:pos="851"/>
          <w:tab w:val="num" w:pos="1080"/>
          <w:tab w:val="left" w:pos="1276"/>
          <w:tab w:val="left" w:pos="1418"/>
        </w:tabs>
        <w:suppressAutoHyphens/>
        <w:spacing w:line="320" w:lineRule="exact"/>
        <w:ind w:left="709" w:firstLine="0"/>
        <w:rPr>
          <w:rFonts w:ascii="Verdana" w:hAnsi="Verdana"/>
          <w:sz w:val="20"/>
        </w:rPr>
      </w:pPr>
      <w:r>
        <w:rPr>
          <w:rFonts w:ascii="Verdana" w:hAnsi="Verdana"/>
          <w:sz w:val="20"/>
        </w:rPr>
        <w:t xml:space="preserve">não haverá devolução de valores já recebidos pela Oliveira </w:t>
      </w:r>
      <w:proofErr w:type="spellStart"/>
      <w:r>
        <w:rPr>
          <w:rFonts w:ascii="Verdana" w:hAnsi="Verdana"/>
          <w:sz w:val="20"/>
        </w:rPr>
        <w:t>Trust</w:t>
      </w:r>
      <w:proofErr w:type="spellEnd"/>
      <w:r>
        <w:rPr>
          <w:rFonts w:ascii="Verdana" w:hAnsi="Verdana"/>
          <w:sz w:val="20"/>
        </w:rPr>
        <w:t xml:space="preserve"> a título da prestação de serviços, exceto se o valor tiver sido pago incorretamente; e</w:t>
      </w:r>
    </w:p>
    <w:p w:rsidR="00DE19C8" w:rsidRDefault="00DE19C8">
      <w:pPr>
        <w:pStyle w:val="PargrafodaLista"/>
        <w:ind w:left="709"/>
        <w:rPr>
          <w:rFonts w:ascii="Verdana" w:hAnsi="Verdana"/>
          <w:sz w:val="20"/>
        </w:rPr>
      </w:pPr>
    </w:p>
    <w:p w:rsidR="00DE19C8" w:rsidRDefault="00626B63">
      <w:pPr>
        <w:numPr>
          <w:ilvl w:val="0"/>
          <w:numId w:val="72"/>
        </w:numPr>
        <w:tabs>
          <w:tab w:val="clear" w:pos="928"/>
          <w:tab w:val="num" w:pos="851"/>
          <w:tab w:val="num" w:pos="1080"/>
          <w:tab w:val="left" w:pos="1276"/>
          <w:tab w:val="left" w:pos="1418"/>
        </w:tabs>
        <w:suppressAutoHyphens/>
        <w:spacing w:line="320" w:lineRule="exact"/>
        <w:ind w:left="709" w:firstLine="0"/>
        <w:rPr>
          <w:rFonts w:ascii="Verdana" w:hAnsi="Verdana"/>
          <w:sz w:val="20"/>
        </w:rPr>
      </w:pPr>
      <w:r>
        <w:rPr>
          <w:rFonts w:ascii="Verdana" w:hAnsi="Verdana"/>
          <w:sz w:val="20"/>
        </w:rPr>
        <w:t>eventuais obrigações adicionais atribuídas ao Agente Fidu</w:t>
      </w:r>
      <w:r>
        <w:rPr>
          <w:rFonts w:ascii="Verdana" w:hAnsi="Verdana"/>
          <w:sz w:val="20"/>
        </w:rPr>
        <w:t>ciário, alteração nas características ordinárias da operação, facultarão ao Agente Fiduciário a revisão dos honorários propostos.</w:t>
      </w:r>
    </w:p>
    <w:p w:rsidR="00DE19C8" w:rsidRDefault="00DE19C8">
      <w:pPr>
        <w:spacing w:line="318" w:lineRule="exact"/>
        <w:ind w:left="709"/>
        <w:contextualSpacing/>
        <w:rPr>
          <w:rFonts w:ascii="Verdana" w:hAnsi="Verdana"/>
          <w:b/>
          <w:sz w:val="20"/>
        </w:rPr>
      </w:pPr>
    </w:p>
    <w:p w:rsidR="00DE19C8" w:rsidRDefault="00626B63">
      <w:pPr>
        <w:keepNext/>
        <w:spacing w:line="318" w:lineRule="exact"/>
        <w:contextualSpacing/>
        <w:rPr>
          <w:rFonts w:ascii="Verdana" w:hAnsi="Verdana"/>
          <w:sz w:val="20"/>
        </w:rPr>
      </w:pPr>
      <w:bookmarkStart w:id="129" w:name="_Ref164589409"/>
      <w:r>
        <w:rPr>
          <w:rFonts w:ascii="Verdana" w:hAnsi="Verdana" w:cs="Tahoma"/>
          <w:sz w:val="20"/>
        </w:rPr>
        <w:t>6.6.</w:t>
      </w:r>
      <w:r>
        <w:rPr>
          <w:rFonts w:ascii="Verdana" w:hAnsi="Verdana" w:cs="Tahoma"/>
          <w:sz w:val="20"/>
        </w:rPr>
        <w:tab/>
      </w:r>
      <w:r>
        <w:rPr>
          <w:rFonts w:ascii="Verdana" w:hAnsi="Verdana"/>
          <w:sz w:val="20"/>
        </w:rPr>
        <w:t>Além de outros previstos em lei, na regulamentação da CVM e nesta Escritura de Emissão, constituem deveres e atribuições</w:t>
      </w:r>
      <w:r>
        <w:rPr>
          <w:rFonts w:ascii="Verdana" w:hAnsi="Verdana"/>
          <w:sz w:val="20"/>
        </w:rPr>
        <w:t xml:space="preserve"> do Agente Fiduciário:</w:t>
      </w:r>
      <w:bookmarkEnd w:id="129"/>
    </w:p>
    <w:p w:rsidR="00DE19C8" w:rsidRDefault="00DE19C8">
      <w:pPr>
        <w:keepNext/>
        <w:spacing w:line="318" w:lineRule="exact"/>
        <w:ind w:left="709"/>
        <w:contextualSpacing/>
        <w:rPr>
          <w:rFonts w:ascii="Verdana" w:hAnsi="Verdana"/>
          <w:sz w:val="20"/>
        </w:rPr>
      </w:pPr>
    </w:p>
    <w:p w:rsidR="00DE19C8" w:rsidRDefault="00626B63">
      <w:pPr>
        <w:numPr>
          <w:ilvl w:val="2"/>
          <w:numId w:val="68"/>
        </w:numPr>
        <w:tabs>
          <w:tab w:val="clear" w:pos="1701"/>
          <w:tab w:val="left" w:pos="1418"/>
        </w:tabs>
        <w:spacing w:line="318" w:lineRule="exact"/>
        <w:ind w:left="720" w:hanging="11"/>
        <w:contextualSpacing/>
        <w:rPr>
          <w:rFonts w:ascii="Verdana" w:hAnsi="Verdana"/>
          <w:sz w:val="20"/>
        </w:rPr>
      </w:pPr>
      <w:r>
        <w:rPr>
          <w:rFonts w:ascii="Verdana" w:hAnsi="Verdana"/>
          <w:sz w:val="20"/>
        </w:rPr>
        <w:t>responsabilizar-se integralmente pelos serviços contratados, nos termos da legislação vigente;</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 xml:space="preserve">custear (i) todas as despesas decorrentes da execução dos seus serviços, incluindo todos os tributos, municipais, estaduais, distritais </w:t>
      </w:r>
      <w:r>
        <w:rPr>
          <w:rFonts w:ascii="Verdana" w:hAnsi="Verdana"/>
          <w:sz w:val="20"/>
        </w:rPr>
        <w:t>e federais, presentes ou futuros, devidos em decorrência da execução dos seus serviços, observado o disposto no item 6.5 acima; e (</w:t>
      </w:r>
      <w:proofErr w:type="spellStart"/>
      <w:r>
        <w:rPr>
          <w:rFonts w:ascii="Verdana" w:hAnsi="Verdana"/>
          <w:sz w:val="20"/>
        </w:rPr>
        <w:t>ii</w:t>
      </w:r>
      <w:proofErr w:type="spellEnd"/>
      <w:r>
        <w:rPr>
          <w:rFonts w:ascii="Verdana" w:hAnsi="Verdana"/>
          <w:sz w:val="20"/>
        </w:rPr>
        <w:t>) todos os encargos cíveis, trabalhistas e/ou previdenciários;</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exercer suas atividades com boa fé, transparência e lealdad</w:t>
      </w:r>
      <w:r>
        <w:rPr>
          <w:rFonts w:ascii="Verdana" w:hAnsi="Verdana"/>
          <w:sz w:val="20"/>
        </w:rPr>
        <w:t>e para com os Debenturistas;</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bookmarkStart w:id="130" w:name="_Ref130283640"/>
      <w:r>
        <w:rPr>
          <w:rFonts w:ascii="Verdana" w:hAnsi="Verdana"/>
          <w:sz w:val="20"/>
        </w:rPr>
        <w:t>proteger os direitos e interesses dos Debenturistas, empregando, no exercício da função, o cuidado e a diligência com que todo homem ativo e probo costuma empregar na administração de seus próprios bens;</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renunciar à função, n</w:t>
      </w:r>
      <w:r>
        <w:rPr>
          <w:rFonts w:ascii="Verdana" w:hAnsi="Verdana"/>
          <w:sz w:val="20"/>
        </w:rPr>
        <w:t xml:space="preserve">a hipótese de superveniência de conflito de interesses ou de qualquer outra modalidade de inaptidão e realizar a imediata convocação da </w:t>
      </w:r>
      <w:r>
        <w:rPr>
          <w:rFonts w:ascii="Verdana" w:hAnsi="Verdana" w:cs="Tahoma"/>
          <w:sz w:val="20"/>
        </w:rPr>
        <w:t>Assembleia Geral de Debenturistas</w:t>
      </w:r>
      <w:r>
        <w:rPr>
          <w:rFonts w:ascii="Verdana" w:hAnsi="Verdana"/>
          <w:sz w:val="20"/>
        </w:rPr>
        <w:t xml:space="preserve"> para deliberação de sua substituição nos termos do item 6.4 desta Escritura de Emissão</w:t>
      </w:r>
      <w:r>
        <w:rPr>
          <w:rFonts w:ascii="Verdana" w:hAnsi="Verdana"/>
          <w:sz w:val="20"/>
        </w:rPr>
        <w:t>;</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lastRenderedPageBreak/>
        <w:t>conservar em boa guarda toda a documentação relativa ao exercício de suas funções;</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 xml:space="preserve">verificar, no momento de aceitar a função, a veracidade das informações e a consistência das informações contidas </w:t>
      </w:r>
      <w:proofErr w:type="spellStart"/>
      <w:r>
        <w:rPr>
          <w:rFonts w:ascii="Verdana" w:hAnsi="Verdana"/>
          <w:sz w:val="20"/>
        </w:rPr>
        <w:t>nesta</w:t>
      </w:r>
      <w:proofErr w:type="spellEnd"/>
      <w:r>
        <w:rPr>
          <w:rFonts w:ascii="Verdana" w:hAnsi="Verdana"/>
          <w:sz w:val="20"/>
        </w:rPr>
        <w:t xml:space="preserve"> Escritura de Emissão, diligenciando no sentido de</w:t>
      </w:r>
      <w:r>
        <w:rPr>
          <w:rFonts w:ascii="Verdana" w:hAnsi="Verdana"/>
          <w:sz w:val="20"/>
        </w:rPr>
        <w:t xml:space="preserve"> que sejam sanadas as omissões, falhas ou defeitos de que tenha conhecimento;</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diligenciar junto à Emissora para que esta Escritura de Emissão, bem como seus aditamentos, sejam registrados na JUCESP, adotando, no caso de omissão da Emissora, as medidas eve</w:t>
      </w:r>
      <w:r>
        <w:rPr>
          <w:rFonts w:ascii="Verdana" w:hAnsi="Verdana"/>
          <w:sz w:val="20"/>
        </w:rPr>
        <w:t>ntualmente previstas em lei;</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acompanhar a prestação das informações periódicas pela Emissora, alertando aos Debenturistas, no relatório anual de que trata a alínea (r) abaixo, sobre inconsistências ou omissões de que tenha conhecimento;</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 xml:space="preserve">opinar sobre a </w:t>
      </w:r>
      <w:r>
        <w:rPr>
          <w:rFonts w:ascii="Verdana" w:hAnsi="Verdana"/>
          <w:sz w:val="20"/>
        </w:rPr>
        <w:t>suficiência das informações prestadas nas propostas de modificações nas condições das Debêntures;</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solicitar às expensas da Emissora, de forma razoável e quando julgar necessário, para o fiel desempenho de suas funções, certidões atualizadas da Emissora, n</w:t>
      </w:r>
      <w:r>
        <w:rPr>
          <w:rFonts w:ascii="Verdana" w:hAnsi="Verdana"/>
          <w:sz w:val="20"/>
        </w:rPr>
        <w:t>ecessárias e pertinentes dos distribuidores cíveis, das varas de Fazenda Pública, cartórios de protesto, varas da Justiça do Trabalho, Procuradoria da Fazenda Pública, onde se localiza a sede do estabelecimento principal da Emissora;</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solicitar às expensas</w:t>
      </w:r>
      <w:r>
        <w:rPr>
          <w:rFonts w:ascii="Verdana" w:hAnsi="Verdana"/>
          <w:sz w:val="20"/>
        </w:rPr>
        <w:t xml:space="preserve"> da Emissora, de forma razoável e quando considerar necessário, auditoria externa na Emissora, observado que tal contratação deverá ser realizada dentro dos padrões de mercado;</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 xml:space="preserve">convocar, quando necessário, </w:t>
      </w:r>
      <w:r>
        <w:rPr>
          <w:rFonts w:ascii="Verdana" w:hAnsi="Verdana" w:cs="Tahoma"/>
          <w:sz w:val="20"/>
        </w:rPr>
        <w:t>Assembleia Geral de Debenturistas</w:t>
      </w:r>
      <w:r>
        <w:rPr>
          <w:rFonts w:ascii="Verdana" w:hAnsi="Verdana"/>
          <w:sz w:val="20"/>
        </w:rPr>
        <w:t xml:space="preserve"> nos termos do d</w:t>
      </w:r>
      <w:r>
        <w:rPr>
          <w:rFonts w:ascii="Verdana" w:hAnsi="Verdana"/>
          <w:sz w:val="20"/>
        </w:rPr>
        <w:t>a Cláusula Sétima abaixo;</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 xml:space="preserve">comparecer às </w:t>
      </w:r>
      <w:r>
        <w:rPr>
          <w:rFonts w:ascii="Verdana" w:hAnsi="Verdana" w:cs="Tahoma"/>
          <w:sz w:val="20"/>
        </w:rPr>
        <w:t>Assembleias Gerais de Debenturistas</w:t>
      </w:r>
      <w:r>
        <w:rPr>
          <w:rFonts w:ascii="Verdana" w:hAnsi="Verdana"/>
          <w:sz w:val="20"/>
        </w:rPr>
        <w:t xml:space="preserve"> a fim de prestar as informações que lhe forem solicitadas;</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bookmarkStart w:id="131" w:name="_Ref130286449"/>
      <w:r>
        <w:rPr>
          <w:rFonts w:ascii="Verdana" w:hAnsi="Verdana"/>
          <w:sz w:val="20"/>
        </w:rPr>
        <w:t>elaborar, no prazo legal, e enviar uma cópia à Emissora, na mesma data em que disponibilizar aos Debenturistas, relatór</w:t>
      </w:r>
      <w:r>
        <w:rPr>
          <w:rFonts w:ascii="Verdana" w:hAnsi="Verdana"/>
          <w:sz w:val="20"/>
        </w:rPr>
        <w:t>io anual destinado aos Debenturistas, nos termos do artigo 68, parágrafo 1º, alínea (b), da Lei das Sociedades por Ações, que deverá conter, ao menos, as informações abaixo:</w:t>
      </w:r>
      <w:bookmarkEnd w:id="131"/>
      <w:r>
        <w:rPr>
          <w:rFonts w:ascii="Verdana" w:hAnsi="Verdana"/>
          <w:sz w:val="20"/>
        </w:rPr>
        <w:t xml:space="preserve"> </w:t>
      </w:r>
    </w:p>
    <w:p w:rsidR="00DE19C8" w:rsidRDefault="00DE19C8">
      <w:pPr>
        <w:spacing w:line="318" w:lineRule="exact"/>
        <w:contextualSpacing/>
        <w:rPr>
          <w:rFonts w:ascii="Verdana" w:hAnsi="Verdana"/>
          <w:sz w:val="20"/>
        </w:rPr>
      </w:pPr>
    </w:p>
    <w:p w:rsidR="00DE19C8" w:rsidRDefault="00626B63">
      <w:pPr>
        <w:numPr>
          <w:ilvl w:val="3"/>
          <w:numId w:val="68"/>
        </w:numPr>
        <w:spacing w:line="318" w:lineRule="exact"/>
        <w:ind w:left="1985" w:hanging="567"/>
        <w:contextualSpacing/>
        <w:rPr>
          <w:rFonts w:ascii="Verdana" w:hAnsi="Verdana"/>
          <w:sz w:val="20"/>
        </w:rPr>
      </w:pPr>
      <w:r>
        <w:rPr>
          <w:rFonts w:ascii="Verdana" w:hAnsi="Verdana"/>
          <w:sz w:val="20"/>
        </w:rPr>
        <w:t>cumprimento pela Emissora das suas obrigações de prestação de informações periód</w:t>
      </w:r>
      <w:r>
        <w:rPr>
          <w:rFonts w:ascii="Verdana" w:hAnsi="Verdana"/>
          <w:sz w:val="20"/>
        </w:rPr>
        <w:t>icas, indicando as inconsistências ou omissões de que tenha conhecimento;</w:t>
      </w:r>
    </w:p>
    <w:p w:rsidR="00DE19C8" w:rsidRDefault="00DE19C8">
      <w:pPr>
        <w:tabs>
          <w:tab w:val="num" w:pos="1701"/>
        </w:tabs>
        <w:spacing w:line="318" w:lineRule="exact"/>
        <w:ind w:left="1985" w:hanging="567"/>
        <w:contextualSpacing/>
        <w:rPr>
          <w:rFonts w:ascii="Verdana" w:hAnsi="Verdana"/>
          <w:sz w:val="20"/>
        </w:rPr>
      </w:pPr>
    </w:p>
    <w:p w:rsidR="00DE19C8" w:rsidRDefault="00626B63">
      <w:pPr>
        <w:numPr>
          <w:ilvl w:val="3"/>
          <w:numId w:val="68"/>
        </w:numPr>
        <w:spacing w:line="318" w:lineRule="exact"/>
        <w:ind w:left="1985" w:hanging="567"/>
        <w:contextualSpacing/>
        <w:rPr>
          <w:rFonts w:ascii="Verdana" w:hAnsi="Verdana"/>
          <w:sz w:val="20"/>
        </w:rPr>
      </w:pPr>
      <w:r>
        <w:rPr>
          <w:rFonts w:ascii="Verdana" w:hAnsi="Verdana"/>
          <w:sz w:val="20"/>
        </w:rPr>
        <w:t>alterações estatutárias da Emissora ocorridas no exercício social com efeitos relevantes para os Debenturistas;</w:t>
      </w:r>
    </w:p>
    <w:p w:rsidR="00DE19C8" w:rsidRDefault="00DE19C8">
      <w:pPr>
        <w:tabs>
          <w:tab w:val="num" w:pos="1701"/>
        </w:tabs>
        <w:spacing w:line="318" w:lineRule="exact"/>
        <w:ind w:left="1985" w:hanging="567"/>
        <w:contextualSpacing/>
        <w:rPr>
          <w:rFonts w:ascii="Verdana" w:hAnsi="Verdana"/>
          <w:sz w:val="20"/>
        </w:rPr>
      </w:pPr>
    </w:p>
    <w:p w:rsidR="00DE19C8" w:rsidRDefault="00626B63">
      <w:pPr>
        <w:numPr>
          <w:ilvl w:val="3"/>
          <w:numId w:val="68"/>
        </w:numPr>
        <w:spacing w:line="318" w:lineRule="exact"/>
        <w:ind w:left="1985" w:hanging="567"/>
        <w:contextualSpacing/>
        <w:rPr>
          <w:rFonts w:ascii="Verdana" w:hAnsi="Verdana"/>
          <w:sz w:val="20"/>
        </w:rPr>
      </w:pPr>
      <w:r>
        <w:rPr>
          <w:rFonts w:ascii="Verdana" w:hAnsi="Verdana"/>
          <w:sz w:val="20"/>
        </w:rPr>
        <w:t xml:space="preserve">comentários sobre </w:t>
      </w:r>
      <w:r>
        <w:rPr>
          <w:rFonts w:ascii="Verdana" w:hAnsi="Verdana"/>
          <w:bCs/>
          <w:sz w:val="20"/>
        </w:rPr>
        <w:t>indicadores econômicos, financeiros e de estrutura</w:t>
      </w:r>
      <w:r>
        <w:rPr>
          <w:rFonts w:ascii="Verdana" w:hAnsi="Verdana"/>
          <w:bCs/>
          <w:sz w:val="20"/>
        </w:rPr>
        <w:t xml:space="preserve"> de capital da </w:t>
      </w:r>
      <w:r>
        <w:rPr>
          <w:rFonts w:ascii="Verdana" w:hAnsi="Verdana"/>
          <w:sz w:val="20"/>
        </w:rPr>
        <w:t>Emissora</w:t>
      </w:r>
      <w:r>
        <w:rPr>
          <w:rFonts w:ascii="Verdana" w:hAnsi="Verdana"/>
          <w:bCs/>
          <w:sz w:val="20"/>
        </w:rPr>
        <w:t xml:space="preserve"> relacionados a </w:t>
      </w:r>
      <w:r>
        <w:rPr>
          <w:rFonts w:ascii="Verdana" w:hAnsi="Verdana"/>
          <w:bCs/>
          <w:iCs/>
          <w:sz w:val="20"/>
        </w:rPr>
        <w:t xml:space="preserve">cláusulas contratuais destinadas a proteger o interesse dos Debenturistas e que estabelecem condições que não devem ser descumpridas pela </w:t>
      </w:r>
      <w:r>
        <w:rPr>
          <w:rFonts w:ascii="Verdana" w:hAnsi="Verdana"/>
          <w:sz w:val="20"/>
        </w:rPr>
        <w:t>Emissora;</w:t>
      </w:r>
    </w:p>
    <w:p w:rsidR="00DE19C8" w:rsidRDefault="00DE19C8">
      <w:pPr>
        <w:tabs>
          <w:tab w:val="num" w:pos="1701"/>
        </w:tabs>
        <w:spacing w:line="318" w:lineRule="exact"/>
        <w:ind w:left="1985" w:hanging="567"/>
        <w:contextualSpacing/>
        <w:rPr>
          <w:rFonts w:ascii="Verdana" w:hAnsi="Verdana"/>
          <w:sz w:val="20"/>
        </w:rPr>
      </w:pPr>
    </w:p>
    <w:p w:rsidR="00DE19C8" w:rsidRDefault="00626B63">
      <w:pPr>
        <w:numPr>
          <w:ilvl w:val="3"/>
          <w:numId w:val="68"/>
        </w:numPr>
        <w:spacing w:line="318" w:lineRule="exact"/>
        <w:ind w:left="1985" w:hanging="567"/>
        <w:contextualSpacing/>
        <w:rPr>
          <w:rFonts w:ascii="Verdana" w:hAnsi="Verdana"/>
          <w:sz w:val="20"/>
        </w:rPr>
      </w:pPr>
      <w:r>
        <w:rPr>
          <w:rFonts w:ascii="Verdana" w:hAnsi="Verdana"/>
          <w:sz w:val="20"/>
        </w:rPr>
        <w:t xml:space="preserve">quantidade de Debêntures emitidas, quantidade de Debêntures em </w:t>
      </w:r>
      <w:r>
        <w:rPr>
          <w:rFonts w:ascii="Verdana" w:hAnsi="Verdana"/>
          <w:sz w:val="20"/>
        </w:rPr>
        <w:t>circulação e saldo cancelado no período;</w:t>
      </w:r>
    </w:p>
    <w:p w:rsidR="00DE19C8" w:rsidRDefault="00DE19C8">
      <w:pPr>
        <w:tabs>
          <w:tab w:val="num" w:pos="1701"/>
        </w:tabs>
        <w:spacing w:line="318" w:lineRule="exact"/>
        <w:ind w:left="1985" w:hanging="567"/>
        <w:contextualSpacing/>
        <w:rPr>
          <w:rFonts w:ascii="Verdana" w:hAnsi="Verdana"/>
          <w:sz w:val="20"/>
        </w:rPr>
      </w:pPr>
    </w:p>
    <w:p w:rsidR="00DE19C8" w:rsidRDefault="00626B63">
      <w:pPr>
        <w:numPr>
          <w:ilvl w:val="3"/>
          <w:numId w:val="68"/>
        </w:numPr>
        <w:spacing w:line="318" w:lineRule="exact"/>
        <w:ind w:left="1985" w:hanging="567"/>
        <w:contextualSpacing/>
        <w:rPr>
          <w:rFonts w:ascii="Verdana" w:hAnsi="Verdana"/>
          <w:sz w:val="20"/>
        </w:rPr>
      </w:pPr>
      <w:r>
        <w:rPr>
          <w:rFonts w:ascii="Verdana" w:hAnsi="Verdana"/>
          <w:sz w:val="20"/>
        </w:rPr>
        <w:t xml:space="preserve">resgate, amortização, conversão, repactuação e pagamentos dos </w:t>
      </w:r>
      <w:r>
        <w:rPr>
          <w:rFonts w:ascii="Verdana" w:hAnsi="Verdana" w:cs="Tahoma"/>
          <w:sz w:val="20"/>
        </w:rPr>
        <w:t xml:space="preserve">Juros Remuneratórios </w:t>
      </w:r>
      <w:r>
        <w:rPr>
          <w:rFonts w:ascii="Verdana" w:hAnsi="Verdana"/>
          <w:sz w:val="20"/>
        </w:rPr>
        <w:t>realizados no período;</w:t>
      </w:r>
    </w:p>
    <w:p w:rsidR="00DE19C8" w:rsidRDefault="00DE19C8">
      <w:pPr>
        <w:tabs>
          <w:tab w:val="num" w:pos="1701"/>
        </w:tabs>
        <w:spacing w:line="318" w:lineRule="exact"/>
        <w:ind w:left="1985" w:hanging="567"/>
        <w:contextualSpacing/>
        <w:rPr>
          <w:rFonts w:ascii="Verdana" w:hAnsi="Verdana"/>
          <w:sz w:val="20"/>
        </w:rPr>
      </w:pPr>
    </w:p>
    <w:p w:rsidR="00DE19C8" w:rsidRDefault="00626B63">
      <w:pPr>
        <w:numPr>
          <w:ilvl w:val="3"/>
          <w:numId w:val="68"/>
        </w:numPr>
        <w:spacing w:line="318" w:lineRule="exact"/>
        <w:ind w:left="1985" w:hanging="567"/>
        <w:contextualSpacing/>
        <w:rPr>
          <w:rFonts w:ascii="Verdana" w:hAnsi="Verdana"/>
          <w:sz w:val="20"/>
        </w:rPr>
      </w:pPr>
      <w:r>
        <w:rPr>
          <w:rFonts w:ascii="Verdana" w:hAnsi="Verdana"/>
          <w:sz w:val="20"/>
        </w:rPr>
        <w:t xml:space="preserve">acompanhamento da destinação dos recursos captados por meio das Debêntures, de acordo com os dados obtidos </w:t>
      </w:r>
      <w:r>
        <w:rPr>
          <w:rFonts w:ascii="Verdana" w:hAnsi="Verdana"/>
          <w:sz w:val="20"/>
        </w:rPr>
        <w:t>com a Emissora;</w:t>
      </w:r>
    </w:p>
    <w:p w:rsidR="00DE19C8" w:rsidRDefault="00DE19C8">
      <w:pPr>
        <w:tabs>
          <w:tab w:val="num" w:pos="1701"/>
        </w:tabs>
        <w:spacing w:line="318" w:lineRule="exact"/>
        <w:ind w:left="1985" w:hanging="567"/>
        <w:contextualSpacing/>
        <w:rPr>
          <w:rFonts w:ascii="Verdana" w:hAnsi="Verdana"/>
          <w:sz w:val="20"/>
        </w:rPr>
      </w:pPr>
    </w:p>
    <w:p w:rsidR="00DE19C8" w:rsidRDefault="00626B63">
      <w:pPr>
        <w:numPr>
          <w:ilvl w:val="3"/>
          <w:numId w:val="68"/>
        </w:numPr>
        <w:spacing w:line="318" w:lineRule="exact"/>
        <w:ind w:left="1985" w:hanging="567"/>
        <w:contextualSpacing/>
        <w:rPr>
          <w:rFonts w:ascii="Verdana" w:hAnsi="Verdana"/>
          <w:sz w:val="20"/>
        </w:rPr>
      </w:pPr>
      <w:r>
        <w:rPr>
          <w:rFonts w:ascii="Verdana" w:hAnsi="Verdana"/>
          <w:sz w:val="20"/>
        </w:rPr>
        <w:t>relação dos bens e valores eventualmente entregues à sua administração;</w:t>
      </w:r>
    </w:p>
    <w:p w:rsidR="00DE19C8" w:rsidRDefault="00DE19C8">
      <w:pPr>
        <w:tabs>
          <w:tab w:val="num" w:pos="1701"/>
        </w:tabs>
        <w:spacing w:line="318" w:lineRule="exact"/>
        <w:ind w:left="1985" w:hanging="567"/>
        <w:contextualSpacing/>
        <w:rPr>
          <w:rFonts w:ascii="Verdana" w:hAnsi="Verdana"/>
          <w:sz w:val="20"/>
        </w:rPr>
      </w:pPr>
    </w:p>
    <w:p w:rsidR="00DE19C8" w:rsidRDefault="00626B63">
      <w:pPr>
        <w:numPr>
          <w:ilvl w:val="3"/>
          <w:numId w:val="68"/>
        </w:numPr>
        <w:spacing w:line="318" w:lineRule="exact"/>
        <w:ind w:left="1985" w:hanging="567"/>
        <w:contextualSpacing/>
        <w:rPr>
          <w:rFonts w:ascii="Verdana" w:hAnsi="Verdana"/>
          <w:sz w:val="20"/>
        </w:rPr>
      </w:pPr>
      <w:r>
        <w:rPr>
          <w:rFonts w:ascii="Verdana" w:hAnsi="Verdana"/>
          <w:sz w:val="20"/>
        </w:rPr>
        <w:t>cumprimento das demais obrigações assumidas pela Emissora nos termos desta Escritura de Emissão;</w:t>
      </w:r>
    </w:p>
    <w:p w:rsidR="00DE19C8" w:rsidRDefault="00DE19C8">
      <w:pPr>
        <w:tabs>
          <w:tab w:val="num" w:pos="1701"/>
        </w:tabs>
        <w:spacing w:line="318" w:lineRule="exact"/>
        <w:ind w:left="1985" w:hanging="567"/>
        <w:contextualSpacing/>
        <w:rPr>
          <w:rFonts w:ascii="Verdana" w:hAnsi="Verdana"/>
          <w:sz w:val="20"/>
        </w:rPr>
      </w:pPr>
    </w:p>
    <w:p w:rsidR="00DE19C8" w:rsidRDefault="00626B63">
      <w:pPr>
        <w:numPr>
          <w:ilvl w:val="3"/>
          <w:numId w:val="68"/>
        </w:numPr>
        <w:spacing w:line="318" w:lineRule="exact"/>
        <w:ind w:left="1985" w:hanging="567"/>
        <w:contextualSpacing/>
        <w:rPr>
          <w:rFonts w:ascii="Verdana" w:hAnsi="Verdana"/>
          <w:sz w:val="20"/>
        </w:rPr>
      </w:pPr>
      <w:bookmarkStart w:id="132" w:name="_Ref284525887"/>
      <w:r>
        <w:rPr>
          <w:rFonts w:ascii="Verdana" w:hAnsi="Verdana"/>
          <w:sz w:val="20"/>
        </w:rPr>
        <w:t>existência de outras emissões de títulos ou valores mobiliários, púb</w:t>
      </w:r>
      <w:r>
        <w:rPr>
          <w:rFonts w:ascii="Verdana" w:hAnsi="Verdana"/>
          <w:sz w:val="20"/>
        </w:rPr>
        <w:t>licas ou privadas, realizadas pela própria Emissora e/ou por sociedade coligada, controlada, controladora ou integrante do mesmo grupo da Emissora em que tenha atuado como agente fiduciário no período, bem como os dados sobre tais emissões: (i) denominação</w:t>
      </w:r>
      <w:r>
        <w:rPr>
          <w:rFonts w:ascii="Verdana" w:hAnsi="Verdana"/>
          <w:sz w:val="20"/>
        </w:rPr>
        <w:t xml:space="preserve"> da companhia ofertante; (</w:t>
      </w:r>
      <w:proofErr w:type="spellStart"/>
      <w:r>
        <w:rPr>
          <w:rFonts w:ascii="Verdana" w:hAnsi="Verdana"/>
          <w:sz w:val="20"/>
        </w:rPr>
        <w:t>ii</w:t>
      </w:r>
      <w:proofErr w:type="spellEnd"/>
      <w:r>
        <w:rPr>
          <w:rFonts w:ascii="Verdana" w:hAnsi="Verdana"/>
          <w:sz w:val="20"/>
        </w:rPr>
        <w:t>) valor da emissão; (</w:t>
      </w:r>
      <w:proofErr w:type="spellStart"/>
      <w:r>
        <w:rPr>
          <w:rFonts w:ascii="Verdana" w:hAnsi="Verdana"/>
          <w:sz w:val="20"/>
        </w:rPr>
        <w:t>iii</w:t>
      </w:r>
      <w:proofErr w:type="spellEnd"/>
      <w:r>
        <w:rPr>
          <w:rFonts w:ascii="Verdana" w:hAnsi="Verdana"/>
          <w:sz w:val="20"/>
        </w:rPr>
        <w:t>) quantidade emitida; (</w:t>
      </w:r>
      <w:proofErr w:type="spellStart"/>
      <w:r>
        <w:rPr>
          <w:rFonts w:ascii="Verdana" w:hAnsi="Verdana"/>
          <w:sz w:val="20"/>
        </w:rPr>
        <w:t>iv</w:t>
      </w:r>
      <w:proofErr w:type="spellEnd"/>
      <w:r>
        <w:rPr>
          <w:rFonts w:ascii="Verdana" w:hAnsi="Verdana"/>
          <w:sz w:val="20"/>
        </w:rPr>
        <w:t>) espécie e garantias envolvidas; (v) prazo de vencimento e taxa de juros; e (vi) inadimplemento no período; e</w:t>
      </w:r>
      <w:bookmarkEnd w:id="132"/>
    </w:p>
    <w:p w:rsidR="00DE19C8" w:rsidRDefault="00DE19C8">
      <w:pPr>
        <w:tabs>
          <w:tab w:val="num" w:pos="1701"/>
        </w:tabs>
        <w:spacing w:line="318" w:lineRule="exact"/>
        <w:ind w:left="1985" w:hanging="567"/>
        <w:contextualSpacing/>
        <w:rPr>
          <w:rFonts w:ascii="Verdana" w:hAnsi="Verdana"/>
          <w:sz w:val="20"/>
        </w:rPr>
      </w:pPr>
    </w:p>
    <w:p w:rsidR="00DE19C8" w:rsidRDefault="00626B63">
      <w:pPr>
        <w:numPr>
          <w:ilvl w:val="3"/>
          <w:numId w:val="68"/>
        </w:numPr>
        <w:spacing w:line="318" w:lineRule="exact"/>
        <w:ind w:left="1985" w:hanging="567"/>
        <w:contextualSpacing/>
        <w:rPr>
          <w:rFonts w:ascii="Verdana" w:hAnsi="Verdana"/>
          <w:sz w:val="20"/>
        </w:rPr>
      </w:pPr>
      <w:bookmarkStart w:id="133" w:name="_Ref284439294"/>
      <w:r>
        <w:rPr>
          <w:rFonts w:ascii="Verdana" w:hAnsi="Verdana"/>
          <w:sz w:val="20"/>
        </w:rPr>
        <w:t>declaração sobre a não existência de situação de conflito de intere</w:t>
      </w:r>
      <w:r>
        <w:rPr>
          <w:rFonts w:ascii="Verdana" w:hAnsi="Verdana"/>
          <w:sz w:val="20"/>
        </w:rPr>
        <w:t>sses que impeça o Agente Fiduciário a continuar a exercer a função;</w:t>
      </w:r>
      <w:bookmarkEnd w:id="133"/>
    </w:p>
    <w:p w:rsidR="00DE19C8" w:rsidRDefault="00DE19C8">
      <w:pPr>
        <w:spacing w:line="318" w:lineRule="exact"/>
        <w:ind w:left="2126"/>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bookmarkStart w:id="134" w:name="_Ref130286453"/>
      <w:r>
        <w:rPr>
          <w:rFonts w:ascii="Verdana" w:hAnsi="Verdana"/>
          <w:sz w:val="20"/>
        </w:rPr>
        <w:lastRenderedPageBreak/>
        <w:t>divulgar, em sua página na rede mundial de computadores, o relatório a que se refere a alínea (o) acima no prazo máximo de 4 (quatro) meses contados do encerramento de cada exercício soci</w:t>
      </w:r>
      <w:r>
        <w:rPr>
          <w:rFonts w:ascii="Verdana" w:hAnsi="Verdana"/>
          <w:sz w:val="20"/>
        </w:rPr>
        <w:t>al da Emissora;</w:t>
      </w:r>
      <w:bookmarkEnd w:id="134"/>
      <w:r>
        <w:rPr>
          <w:rFonts w:ascii="Verdana" w:hAnsi="Verdana"/>
          <w:sz w:val="20"/>
        </w:rPr>
        <w:t xml:space="preserve"> </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 xml:space="preserve">manter atualizada a relação dos Debenturistas e seus endereços mediante, inclusive, solicitação de informações à Emissora, ao </w:t>
      </w:r>
      <w:proofErr w:type="spellStart"/>
      <w:r>
        <w:rPr>
          <w:rFonts w:ascii="Verdana" w:hAnsi="Verdana"/>
          <w:sz w:val="20"/>
        </w:rPr>
        <w:t>Escriturador</w:t>
      </w:r>
      <w:proofErr w:type="spellEnd"/>
      <w:r>
        <w:rPr>
          <w:rFonts w:ascii="Verdana" w:hAnsi="Verdana"/>
          <w:sz w:val="20"/>
        </w:rPr>
        <w:t xml:space="preserve">, o </w:t>
      </w:r>
      <w:r>
        <w:rPr>
          <w:rFonts w:ascii="Verdana" w:hAnsi="Verdana" w:cs="Tahoma"/>
          <w:sz w:val="20"/>
        </w:rPr>
        <w:t>Banco Liquidante</w:t>
      </w:r>
      <w:r>
        <w:rPr>
          <w:rFonts w:ascii="Verdana" w:hAnsi="Verdana"/>
          <w:sz w:val="20"/>
        </w:rPr>
        <w:t xml:space="preserve"> e à B3</w:t>
      </w:r>
      <w:r>
        <w:rPr>
          <w:rFonts w:ascii="Verdana" w:hAnsi="Verdana" w:cs="Tahoma"/>
          <w:sz w:val="20"/>
        </w:rPr>
        <w:t xml:space="preserve"> </w:t>
      </w:r>
      <w:r>
        <w:rPr>
          <w:rFonts w:ascii="Verdana" w:hAnsi="Verdana"/>
          <w:sz w:val="20"/>
        </w:rPr>
        <w:t xml:space="preserve">– Segmento </w:t>
      </w:r>
      <w:proofErr w:type="spellStart"/>
      <w:r>
        <w:rPr>
          <w:rFonts w:ascii="Verdana" w:hAnsi="Verdana"/>
          <w:sz w:val="20"/>
        </w:rPr>
        <w:t>Cetip</w:t>
      </w:r>
      <w:proofErr w:type="spellEnd"/>
      <w:r>
        <w:rPr>
          <w:rFonts w:ascii="Verdana" w:hAnsi="Verdana"/>
          <w:sz w:val="20"/>
        </w:rPr>
        <w:t xml:space="preserve"> UTVM, sendo que, para fins de atendimento ao disposto n</w:t>
      </w:r>
      <w:r>
        <w:rPr>
          <w:rFonts w:ascii="Verdana" w:hAnsi="Verdana"/>
          <w:sz w:val="20"/>
        </w:rPr>
        <w:t xml:space="preserve">esta alínea, a Emissora e os Debenturistas, assim que subscreverem, integralizarem ou adquirirem as Debêntures, expressamente autorizam, desde já, o </w:t>
      </w:r>
      <w:proofErr w:type="spellStart"/>
      <w:r>
        <w:rPr>
          <w:rFonts w:ascii="Verdana" w:hAnsi="Verdana"/>
          <w:sz w:val="20"/>
        </w:rPr>
        <w:t>Escriturador</w:t>
      </w:r>
      <w:proofErr w:type="spellEnd"/>
      <w:r>
        <w:rPr>
          <w:rFonts w:ascii="Verdana" w:hAnsi="Verdana"/>
          <w:sz w:val="20"/>
        </w:rPr>
        <w:t xml:space="preserve">, o </w:t>
      </w:r>
      <w:r>
        <w:rPr>
          <w:rFonts w:ascii="Verdana" w:hAnsi="Verdana" w:cs="Tahoma"/>
          <w:sz w:val="20"/>
        </w:rPr>
        <w:t>Banco Liquidante</w:t>
      </w:r>
      <w:r>
        <w:rPr>
          <w:rFonts w:ascii="Verdana" w:hAnsi="Verdana"/>
          <w:sz w:val="20"/>
        </w:rPr>
        <w:t xml:space="preserve"> e a B3</w:t>
      </w:r>
      <w:r>
        <w:rPr>
          <w:rFonts w:ascii="Verdana" w:hAnsi="Verdana" w:cs="Tahoma"/>
          <w:sz w:val="20"/>
        </w:rPr>
        <w:t xml:space="preserve"> </w:t>
      </w:r>
      <w:r>
        <w:rPr>
          <w:rFonts w:ascii="Verdana" w:hAnsi="Verdana"/>
          <w:sz w:val="20"/>
        </w:rPr>
        <w:t xml:space="preserve">– Segmento </w:t>
      </w:r>
      <w:proofErr w:type="spellStart"/>
      <w:r>
        <w:rPr>
          <w:rFonts w:ascii="Verdana" w:hAnsi="Verdana"/>
          <w:sz w:val="20"/>
        </w:rPr>
        <w:t>Cetip</w:t>
      </w:r>
      <w:proofErr w:type="spellEnd"/>
      <w:r>
        <w:rPr>
          <w:rFonts w:ascii="Verdana" w:hAnsi="Verdana"/>
          <w:sz w:val="20"/>
        </w:rPr>
        <w:t xml:space="preserve"> UTVM a divulgarem, a qualquer momento, a posição d</w:t>
      </w:r>
      <w:r>
        <w:rPr>
          <w:rFonts w:ascii="Verdana" w:hAnsi="Verdana"/>
          <w:sz w:val="20"/>
        </w:rPr>
        <w:t xml:space="preserve">as Debêntures, bem como relação dos Debenturistas; </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fiscalizar o cumprimento das cláusulas constantes desta Escritura de Emissão, inclusive (i) daquelas impositivas de obrigações de fazer e de não fazer; e (</w:t>
      </w:r>
      <w:proofErr w:type="spellStart"/>
      <w:r>
        <w:rPr>
          <w:rFonts w:ascii="Verdana" w:hAnsi="Verdana"/>
          <w:sz w:val="20"/>
        </w:rPr>
        <w:t>ii</w:t>
      </w:r>
      <w:proofErr w:type="spellEnd"/>
      <w:r>
        <w:rPr>
          <w:rFonts w:ascii="Verdana" w:hAnsi="Verdana"/>
          <w:sz w:val="20"/>
        </w:rPr>
        <w:t>) daquelas relativas à observância dos Índices</w:t>
      </w:r>
      <w:r>
        <w:rPr>
          <w:rFonts w:ascii="Verdana" w:hAnsi="Verdana"/>
          <w:sz w:val="20"/>
        </w:rPr>
        <w:t xml:space="preserve"> Financeiros;</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comunicar aos Debenturistas qualquer inadimplemento, pela Emissora, de obrigações financeiras assumidas na presente Escritura, incluindo as cláusulas contratuais destinadas a proteger o interesse dos Debenturistas e que estabelecem condições</w:t>
      </w:r>
      <w:r>
        <w:rPr>
          <w:rFonts w:ascii="Verdana" w:hAnsi="Verdana"/>
          <w:sz w:val="20"/>
        </w:rPr>
        <w:t xml:space="preserve"> que não devem ser descumpridas pela Emissora, indicando as consequências para os Debenturistas e as providências que pretende tomar a respeito do assunto, em até 7 (sete) Dias Úteis contados da ciência pelo Agente Fiduciário do inadimplemento; </w:t>
      </w:r>
    </w:p>
    <w:p w:rsidR="00DE19C8" w:rsidRDefault="00DE19C8">
      <w:pPr>
        <w:tabs>
          <w:tab w:val="num" w:pos="1276"/>
        </w:tabs>
        <w:spacing w:line="318" w:lineRule="exact"/>
        <w:ind w:left="1276" w:hanging="567"/>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disponibilizar em sua página na rede mundial de computadores a lista atualizada das emissões em que exerce a função de agente fiduciário; e</w:t>
      </w:r>
    </w:p>
    <w:p w:rsidR="00DE19C8" w:rsidRDefault="00DE19C8">
      <w:pPr>
        <w:pStyle w:val="PargrafodaLista"/>
        <w:spacing w:line="318" w:lineRule="exact"/>
        <w:contextualSpacing/>
        <w:rPr>
          <w:rFonts w:ascii="Verdana" w:hAnsi="Verdana"/>
          <w:sz w:val="20"/>
        </w:rPr>
      </w:pPr>
    </w:p>
    <w:p w:rsidR="00DE19C8" w:rsidRDefault="00626B63">
      <w:pPr>
        <w:numPr>
          <w:ilvl w:val="2"/>
          <w:numId w:val="68"/>
        </w:numPr>
        <w:tabs>
          <w:tab w:val="clear" w:pos="1701"/>
        </w:tabs>
        <w:spacing w:line="318" w:lineRule="exact"/>
        <w:ind w:left="720" w:hanging="11"/>
        <w:contextualSpacing/>
        <w:rPr>
          <w:rFonts w:ascii="Verdana" w:hAnsi="Verdana"/>
          <w:sz w:val="20"/>
        </w:rPr>
      </w:pPr>
      <w:r>
        <w:rPr>
          <w:rFonts w:ascii="Verdana" w:hAnsi="Verdana"/>
          <w:sz w:val="20"/>
        </w:rPr>
        <w:t>disponibilizar diariamente o Valor Nominal Unitário ou saldo das Debêntures de ambas as séries, calculado pela Emis</w:t>
      </w:r>
      <w:r>
        <w:rPr>
          <w:rFonts w:ascii="Verdana" w:hAnsi="Verdana"/>
          <w:sz w:val="20"/>
        </w:rPr>
        <w:t xml:space="preserve">sora, aos Debenturistas e aos demais participantes do mercado, através de sua central de atendimento e/ou de seu </w:t>
      </w:r>
      <w:r>
        <w:rPr>
          <w:rFonts w:ascii="Verdana" w:hAnsi="Verdana"/>
          <w:i/>
          <w:sz w:val="20"/>
        </w:rPr>
        <w:t>website</w:t>
      </w:r>
      <w:r>
        <w:rPr>
          <w:rFonts w:ascii="Verdana" w:hAnsi="Verdana"/>
          <w:sz w:val="20"/>
        </w:rPr>
        <w:t>.</w:t>
      </w:r>
    </w:p>
    <w:p w:rsidR="00DE19C8" w:rsidRDefault="00DE19C8">
      <w:pPr>
        <w:spacing w:line="318" w:lineRule="exact"/>
        <w:ind w:left="709"/>
        <w:contextualSpacing/>
        <w:rPr>
          <w:rFonts w:ascii="Verdana" w:hAnsi="Verdana"/>
          <w:sz w:val="20"/>
        </w:rPr>
      </w:pPr>
    </w:p>
    <w:p w:rsidR="00DE19C8" w:rsidRDefault="00626B63">
      <w:pPr>
        <w:spacing w:line="318" w:lineRule="exact"/>
        <w:contextualSpacing/>
        <w:rPr>
          <w:rFonts w:ascii="Verdana" w:hAnsi="Verdana"/>
          <w:sz w:val="20"/>
        </w:rPr>
      </w:pPr>
      <w:bookmarkStart w:id="135" w:name="_Ref264564739"/>
      <w:r>
        <w:rPr>
          <w:rFonts w:ascii="Verdana" w:hAnsi="Verdana" w:cs="Tahoma"/>
          <w:sz w:val="20"/>
        </w:rPr>
        <w:t>6.7.</w:t>
      </w:r>
      <w:r>
        <w:rPr>
          <w:rFonts w:ascii="Verdana" w:hAnsi="Verdana" w:cs="Tahoma"/>
          <w:sz w:val="20"/>
        </w:rPr>
        <w:tab/>
      </w:r>
      <w:r>
        <w:rPr>
          <w:rFonts w:ascii="Verdana" w:hAnsi="Verdana"/>
          <w:sz w:val="20"/>
        </w:rPr>
        <w:t>No caso de inadimplemento, pela Emissora, de qualquer de suas obrigações previstas nesta Escritura de Emissão, deverá o Agente F</w:t>
      </w:r>
      <w:r>
        <w:rPr>
          <w:rFonts w:ascii="Verdana" w:hAnsi="Verdana"/>
          <w:sz w:val="20"/>
        </w:rPr>
        <w:t>iduciário usar de toda e qualquer ação para proteger direitos ou defender interesses dos Debenturistas, na forma do artigo 12 da Instrução CVM 583.</w:t>
      </w:r>
      <w:bookmarkEnd w:id="130"/>
      <w:bookmarkEnd w:id="135"/>
      <w:r>
        <w:rPr>
          <w:rFonts w:ascii="Verdana" w:hAnsi="Verdana"/>
          <w:sz w:val="20"/>
        </w:rPr>
        <w:t xml:space="preserve"> </w:t>
      </w:r>
    </w:p>
    <w:p w:rsidR="00DE19C8" w:rsidRDefault="00DE19C8">
      <w:pPr>
        <w:tabs>
          <w:tab w:val="num" w:pos="709"/>
        </w:tabs>
        <w:spacing w:line="318" w:lineRule="exact"/>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cs="Tahoma"/>
          <w:sz w:val="20"/>
        </w:rPr>
        <w:t>6.8.</w:t>
      </w:r>
      <w:r>
        <w:rPr>
          <w:rFonts w:ascii="Verdana" w:hAnsi="Verdana" w:cs="Tahoma"/>
          <w:sz w:val="20"/>
        </w:rPr>
        <w:tab/>
      </w:r>
      <w:r>
        <w:rPr>
          <w:rFonts w:ascii="Verdana" w:hAnsi="Verdana"/>
          <w:sz w:val="20"/>
        </w:rPr>
        <w:t>O Agente Fiduciário não será obrigado a realizar qualquer verificação de veracidade de qualquer docum</w:t>
      </w:r>
      <w:r>
        <w:rPr>
          <w:rFonts w:ascii="Verdana" w:hAnsi="Verdana"/>
          <w:sz w:val="20"/>
        </w:rPr>
        <w:t xml:space="preserve">ento ou registro que considere autêntico e que lhe tenha sido encaminhado pela Emissora ou por terceiros a seu pedido, para se basear nas suas decisões, e não será </w:t>
      </w:r>
      <w:r>
        <w:rPr>
          <w:rFonts w:ascii="Verdana" w:hAnsi="Verdana"/>
          <w:sz w:val="20"/>
        </w:rPr>
        <w:lastRenderedPageBreak/>
        <w:t>responsável pela elaboração desses documentos, que permanecerão sob obrigação legal e regula</w:t>
      </w:r>
      <w:r>
        <w:rPr>
          <w:rFonts w:ascii="Verdana" w:hAnsi="Verdana"/>
          <w:sz w:val="20"/>
        </w:rPr>
        <w:t>mentar da Emissora elaborá-los, nos termos da legislação aplicável.</w:t>
      </w:r>
    </w:p>
    <w:p w:rsidR="00DE19C8" w:rsidRDefault="00DE19C8">
      <w:pPr>
        <w:tabs>
          <w:tab w:val="num" w:pos="709"/>
        </w:tabs>
        <w:spacing w:line="318" w:lineRule="exact"/>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cs="Tahoma"/>
          <w:sz w:val="20"/>
        </w:rPr>
        <w:t>6.9.</w:t>
      </w:r>
      <w:r>
        <w:rPr>
          <w:rFonts w:ascii="Verdana" w:hAnsi="Verdana" w:cs="Tahoma"/>
          <w:sz w:val="20"/>
        </w:rPr>
        <w:tab/>
      </w:r>
      <w:r>
        <w:rPr>
          <w:rFonts w:ascii="Verdana" w:hAnsi="Verdana"/>
          <w:sz w:val="20"/>
        </w:rPr>
        <w:t>O Agente Fiduciário não emitirá qualquer tipo de opinião ou fará qualquer juízo sobre orientação acerca de qualquer fato da Emissão que seja de competência de definição pelos Debentu</w:t>
      </w:r>
      <w:r>
        <w:rPr>
          <w:rFonts w:ascii="Verdana" w:hAnsi="Verdana"/>
          <w:sz w:val="20"/>
        </w:rPr>
        <w:t>ristas, nos termos da Cláusula Sétima abaixo, obrigando-se, tão-somente, a agir em conformidade com as instruções que lhe foram transmitidas pelos Debenturistas, nos termos da Cláusula Sétima abaixo, e de acordo com as atribuições que lhe são conferidas po</w:t>
      </w:r>
      <w:r>
        <w:rPr>
          <w:rFonts w:ascii="Verdana" w:hAnsi="Verdana"/>
          <w:sz w:val="20"/>
        </w:rPr>
        <w:t>r lei, pelo item 6.6 acima e pelas demais disposições desta Escritura de Emissão. Nesse sentido, o Agente Fiduciário não possui qualquer responsabilidade sobre o resultado ou sobre os efeitos jurídicos decorrentes do estrito cumprimento das orientações dos</w:t>
      </w:r>
      <w:r>
        <w:rPr>
          <w:rFonts w:ascii="Verdana" w:hAnsi="Verdana"/>
          <w:sz w:val="20"/>
        </w:rPr>
        <w:t xml:space="preserve"> Debenturistas que lhe forem transmitidas conforme definidas pelos Debenturistas, nos termos da Cláusula Sétima abaixo, e reproduzidas perante a Emissora.</w:t>
      </w:r>
    </w:p>
    <w:p w:rsidR="00DE19C8" w:rsidRDefault="00DE19C8">
      <w:pPr>
        <w:tabs>
          <w:tab w:val="num" w:pos="709"/>
        </w:tabs>
        <w:spacing w:line="318" w:lineRule="exact"/>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cs="Tahoma"/>
          <w:sz w:val="20"/>
        </w:rPr>
        <w:t>6.10.</w:t>
      </w:r>
      <w:r>
        <w:rPr>
          <w:rFonts w:ascii="Verdana" w:hAnsi="Verdana" w:cs="Tahoma"/>
          <w:sz w:val="20"/>
        </w:rPr>
        <w:tab/>
      </w:r>
      <w:r>
        <w:rPr>
          <w:rFonts w:ascii="Verdana" w:hAnsi="Verdana"/>
          <w:sz w:val="20"/>
        </w:rPr>
        <w:t>A atuação do Agente Fiduciário limita-se ao escopo da Instrução CVM 583, dos artigos aplicávei</w:t>
      </w:r>
      <w:r>
        <w:rPr>
          <w:rFonts w:ascii="Verdana" w:hAnsi="Verdana"/>
          <w:sz w:val="20"/>
        </w:rPr>
        <w:t>s da Lei das Sociedades por Ações e desta Escritura de Emissão, estando o Agente Fiduciário isento, sob qualquer forma ou pretexto, de qualquer responsabilidade adicional que não tenha decorrido das disposições legais e regulamentares aplicáveis e desta Es</w:t>
      </w:r>
      <w:r>
        <w:rPr>
          <w:rFonts w:ascii="Verdana" w:hAnsi="Verdana"/>
          <w:sz w:val="20"/>
        </w:rPr>
        <w:t>critura de Emissão.</w:t>
      </w:r>
    </w:p>
    <w:p w:rsidR="00DE19C8" w:rsidRDefault="00DE19C8">
      <w:pPr>
        <w:pStyle w:val="PargrafodaLista"/>
        <w:spacing w:line="318" w:lineRule="exact"/>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cs="Tahoma"/>
          <w:sz w:val="20"/>
        </w:rPr>
        <w:t>6.11.</w:t>
      </w:r>
      <w:r>
        <w:rPr>
          <w:rFonts w:ascii="Verdana" w:hAnsi="Verdana" w:cs="Tahoma"/>
          <w:sz w:val="20"/>
        </w:rPr>
        <w:tab/>
      </w:r>
      <w:r>
        <w:rPr>
          <w:rFonts w:ascii="Verdana" w:hAnsi="Verdana"/>
          <w:sz w:val="20"/>
        </w:rPr>
        <w:t>Os atos ou manifestações por parte do Agente Fiduciário, que criarem responsabilidade para os Debenturistas e/ou exonerarem terceiros de obrigações para com eles, bem como aqueles relacionados ao devido cumprimento das obrigações</w:t>
      </w:r>
      <w:r>
        <w:rPr>
          <w:rFonts w:ascii="Verdana" w:hAnsi="Verdana"/>
          <w:sz w:val="20"/>
        </w:rPr>
        <w:t xml:space="preserve"> assumidas neste instrumento, somente serão válidos quando previamente assim deliberado pelos Debenturistas reunidos em </w:t>
      </w:r>
      <w:r>
        <w:rPr>
          <w:rFonts w:ascii="Verdana" w:hAnsi="Verdana" w:cs="Tahoma"/>
          <w:sz w:val="20"/>
        </w:rPr>
        <w:t>Assembleia Geral de Debenturistas</w:t>
      </w:r>
      <w:r>
        <w:rPr>
          <w:rFonts w:ascii="Verdana" w:hAnsi="Verdana"/>
          <w:sz w:val="20"/>
        </w:rPr>
        <w:t xml:space="preserve">. </w:t>
      </w:r>
    </w:p>
    <w:p w:rsidR="00DE19C8" w:rsidRDefault="00DE19C8">
      <w:pPr>
        <w:suppressAutoHyphens/>
        <w:spacing w:line="318" w:lineRule="exact"/>
        <w:contextualSpacing/>
        <w:rPr>
          <w:rFonts w:ascii="Verdana" w:hAnsi="Verdana" w:cs="Tahoma"/>
          <w:sz w:val="20"/>
        </w:rPr>
      </w:pPr>
    </w:p>
    <w:p w:rsidR="00DE19C8" w:rsidRDefault="00DE19C8">
      <w:pPr>
        <w:suppressAutoHyphens/>
        <w:spacing w:line="318" w:lineRule="exact"/>
        <w:contextualSpacing/>
        <w:rPr>
          <w:rFonts w:ascii="Verdana" w:hAnsi="Verdana" w:cs="Tahoma"/>
          <w:sz w:val="20"/>
        </w:rPr>
      </w:pPr>
    </w:p>
    <w:p w:rsidR="00DE19C8" w:rsidRDefault="00626B63">
      <w:pPr>
        <w:pStyle w:val="Ttulo2"/>
        <w:suppressAutoHyphens/>
        <w:spacing w:line="318" w:lineRule="exact"/>
        <w:contextualSpacing/>
        <w:rPr>
          <w:rFonts w:ascii="Verdana" w:hAnsi="Verdana" w:cs="Tahoma"/>
          <w:sz w:val="20"/>
        </w:rPr>
      </w:pPr>
      <w:bookmarkStart w:id="136" w:name="_Toc514873575"/>
      <w:r>
        <w:rPr>
          <w:rFonts w:ascii="Verdana" w:hAnsi="Verdana" w:cs="Tahoma"/>
          <w:sz w:val="20"/>
        </w:rPr>
        <w:t>CLÁUSULA SÉTIMA – DA ASSEMBLEIA GERAL DE DEBENTURISTAS</w:t>
      </w:r>
      <w:bookmarkEnd w:id="136"/>
    </w:p>
    <w:p w:rsidR="00DE19C8" w:rsidRDefault="00DE19C8">
      <w:pPr>
        <w:keepNext/>
        <w:suppressAutoHyphens/>
        <w:spacing w:line="318" w:lineRule="exact"/>
        <w:contextualSpacing/>
        <w:rPr>
          <w:rFonts w:ascii="Verdana" w:hAnsi="Verdana" w:cs="Tahoma"/>
          <w:sz w:val="20"/>
        </w:rPr>
      </w:pPr>
    </w:p>
    <w:p w:rsidR="00DE19C8" w:rsidRDefault="00626B63">
      <w:pPr>
        <w:keepNext/>
        <w:suppressAutoHyphens/>
        <w:spacing w:line="318" w:lineRule="exact"/>
        <w:contextualSpacing/>
        <w:rPr>
          <w:rFonts w:ascii="Verdana" w:hAnsi="Verdana" w:cs="Tahoma"/>
          <w:sz w:val="20"/>
        </w:rPr>
      </w:pPr>
      <w:r>
        <w:rPr>
          <w:rFonts w:ascii="Verdana" w:hAnsi="Verdana" w:cs="Tahoma"/>
          <w:sz w:val="20"/>
        </w:rPr>
        <w:t>7.1.</w:t>
      </w:r>
      <w:r>
        <w:rPr>
          <w:rFonts w:ascii="Verdana" w:hAnsi="Verdana" w:cs="Tahoma"/>
          <w:sz w:val="20"/>
        </w:rPr>
        <w:tab/>
        <w:t xml:space="preserve">Os Debenturistas poderão, a qualquer </w:t>
      </w:r>
      <w:r>
        <w:rPr>
          <w:rFonts w:ascii="Verdana" w:hAnsi="Verdana" w:cs="Tahoma"/>
          <w:sz w:val="20"/>
        </w:rPr>
        <w:t>tempo, reunir-se em Assembleia Geral de Debenturistas, de acordo com o disposto no artigo 71 da Lei das Sociedades por Ações, a fim de deliberarem sobre matéria de interesse da comunhão dos Debenturistas.</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7.1.1</w:t>
      </w:r>
      <w:r>
        <w:rPr>
          <w:rFonts w:ascii="Verdana" w:hAnsi="Verdana" w:cs="Tahoma"/>
          <w:sz w:val="20"/>
        </w:rPr>
        <w:tab/>
        <w:t xml:space="preserve">Quando o assunto a ser deliberado for comum </w:t>
      </w:r>
      <w:r>
        <w:rPr>
          <w:rFonts w:ascii="Verdana" w:hAnsi="Verdana" w:cs="Tahoma"/>
          <w:sz w:val="20"/>
        </w:rPr>
        <w:t>a todas as séries, inclusive quanto, mas não se limitando, (i) à deliberação referente à declaração de vencimento antecipado das Debêntures em razão da ocorrência de qualquer dos Eventos de Inadimplemento, excetuados os Eventos de Inadimplemento automático</w:t>
      </w:r>
      <w:r>
        <w:rPr>
          <w:rFonts w:ascii="Verdana" w:hAnsi="Verdana" w:cs="Tahoma"/>
          <w:sz w:val="20"/>
        </w:rPr>
        <w:t>s mencionados no item 4.13.2 acima; ou (</w:t>
      </w:r>
      <w:proofErr w:type="spellStart"/>
      <w:r>
        <w:rPr>
          <w:rFonts w:ascii="Verdana" w:hAnsi="Verdana" w:cs="Tahoma"/>
          <w:sz w:val="20"/>
        </w:rPr>
        <w:t>ii</w:t>
      </w:r>
      <w:proofErr w:type="spellEnd"/>
      <w:r>
        <w:rPr>
          <w:rFonts w:ascii="Verdana" w:hAnsi="Verdana" w:cs="Tahoma"/>
          <w:sz w:val="20"/>
        </w:rPr>
        <w:t xml:space="preserve">) de pedidos de renúncia prévia e/ou de perdão temporário prévio referentes aos Eventos de Inadimplemento, os Debenturistas, a qualquer tempo, reunir-se-ão em Assembleia Geral de </w:t>
      </w:r>
      <w:r>
        <w:rPr>
          <w:rFonts w:ascii="Verdana" w:hAnsi="Verdana" w:cs="Tahoma"/>
          <w:sz w:val="20"/>
        </w:rPr>
        <w:lastRenderedPageBreak/>
        <w:t>Debenturistas conjunta, de acordo c</w:t>
      </w:r>
      <w:r>
        <w:rPr>
          <w:rFonts w:ascii="Verdana" w:hAnsi="Verdana" w:cs="Tahoma"/>
          <w:sz w:val="20"/>
        </w:rPr>
        <w:t xml:space="preserve">om o disposto no artigo 71 da Lei das Sociedades por Ações, a fim de deliberarem sobre matéria de interesse da comunhão dos Debenturistas de todas as séries. Neste caso, para fins de apuração dos quóruns, deverá ser considerada a totalidade das Debêntures </w:t>
      </w:r>
      <w:r>
        <w:rPr>
          <w:rFonts w:ascii="Verdana" w:hAnsi="Verdana" w:cs="Tahoma"/>
          <w:sz w:val="20"/>
        </w:rPr>
        <w:t>objeto da Emissão (assim consideradas as Debêntures da Primeira Série e as Debêntures da Segunda Série), sem distinção entre as séries e será observado o disposto na Cláusula 4.13.2.1 acima.</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7.2.</w:t>
      </w:r>
      <w:r>
        <w:rPr>
          <w:rFonts w:ascii="Verdana" w:hAnsi="Verdana" w:cs="Tahoma"/>
          <w:sz w:val="20"/>
        </w:rPr>
        <w:tab/>
        <w:t>A Assembleia Geral de Debenturistas poderá ser convocada pe</w:t>
      </w:r>
      <w:r>
        <w:rPr>
          <w:rFonts w:ascii="Verdana" w:hAnsi="Verdana" w:cs="Tahoma"/>
          <w:sz w:val="20"/>
        </w:rPr>
        <w:t>lo Agente Fiduciário, pela Emissora, por Debenturistas que representem, no mínimo, 10% (dez por cento) das Debêntures em Circulação da respectiva série, ou pela CVM.</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7.3.</w:t>
      </w:r>
      <w:r>
        <w:rPr>
          <w:rFonts w:ascii="Verdana" w:hAnsi="Verdana" w:cs="Tahoma"/>
          <w:sz w:val="20"/>
        </w:rPr>
        <w:tab/>
        <w:t>Aplicar-se-á à Assembleia Geral de Debenturistas, no que couber, o disposto na Lei d</w:t>
      </w:r>
      <w:r>
        <w:rPr>
          <w:rFonts w:ascii="Verdana" w:hAnsi="Verdana" w:cs="Tahoma"/>
          <w:sz w:val="20"/>
        </w:rPr>
        <w:t>as Sociedades por Ações a respeito das assembleias gerais de acionistas.</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7.3.1.</w:t>
      </w:r>
      <w:r>
        <w:rPr>
          <w:rFonts w:ascii="Verdana" w:hAnsi="Verdana" w:cs="Tahoma"/>
          <w:sz w:val="20"/>
        </w:rPr>
        <w:tab/>
        <w:t xml:space="preserve">A presidência da Assembleia Geral de Debenturistas caberá ao Debenturista eleito pelos </w:t>
      </w:r>
      <w:proofErr w:type="gramStart"/>
      <w:r>
        <w:rPr>
          <w:rFonts w:ascii="Verdana" w:hAnsi="Verdana" w:cs="Tahoma"/>
          <w:sz w:val="20"/>
        </w:rPr>
        <w:t>demais Debenturistas</w:t>
      </w:r>
      <w:proofErr w:type="gramEnd"/>
      <w:r>
        <w:rPr>
          <w:rFonts w:ascii="Verdana" w:hAnsi="Verdana" w:cs="Tahoma"/>
          <w:sz w:val="20"/>
        </w:rPr>
        <w:t xml:space="preserve"> presentes ou àquele que for designado pela CVM.</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7.4.</w:t>
      </w:r>
      <w:r>
        <w:rPr>
          <w:rFonts w:ascii="Verdana" w:hAnsi="Verdana" w:cs="Tahoma"/>
          <w:sz w:val="20"/>
        </w:rPr>
        <w:tab/>
        <w:t>As Assembleia</w:t>
      </w:r>
      <w:r>
        <w:rPr>
          <w:rFonts w:ascii="Verdana" w:hAnsi="Verdana" w:cs="Tahoma"/>
          <w:sz w:val="20"/>
        </w:rPr>
        <w:t>s Gerais de Debenturistas serão convocadas, em primeira convocação, com antecedência mínima de 15 (quinze) dias.</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7.4.1.</w:t>
      </w:r>
      <w:r>
        <w:rPr>
          <w:rFonts w:ascii="Verdana" w:hAnsi="Verdana" w:cs="Tahoma"/>
          <w:sz w:val="20"/>
        </w:rPr>
        <w:tab/>
        <w:t>A Assembleia Geral de Debenturistas, em segunda convocação, somente poderá ser realizada em, no mínimo, 8 (oito) dias após a data marca</w:t>
      </w:r>
      <w:r>
        <w:rPr>
          <w:rFonts w:ascii="Verdana" w:hAnsi="Verdana" w:cs="Tahoma"/>
          <w:sz w:val="20"/>
        </w:rPr>
        <w:t>da para a instalação da Assembleia Geral de Debenturistas em primeira convocação.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7.5.</w:t>
      </w:r>
      <w:r>
        <w:rPr>
          <w:rFonts w:ascii="Verdana" w:hAnsi="Verdana" w:cs="Tahoma"/>
          <w:sz w:val="20"/>
        </w:rPr>
        <w:tab/>
        <w:t xml:space="preserve">Nos termos do artigo 71, parágrafo terceiro, da Lei das Sociedades por Ações, a Assembleia Geral de Debenturistas instalar-se-á, em primeira convocação, com a presença </w:t>
      </w:r>
      <w:r>
        <w:rPr>
          <w:rFonts w:ascii="Verdana" w:hAnsi="Verdana" w:cs="Tahoma"/>
          <w:sz w:val="20"/>
        </w:rPr>
        <w:t xml:space="preserve">de Debenturistas que representem, no mínimo, metade das Debêntures em Circulação da respectiva série e, em segunda convocação, com qualquer número.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7.6.</w:t>
      </w:r>
      <w:r>
        <w:rPr>
          <w:rFonts w:ascii="Verdana" w:hAnsi="Verdana" w:cs="Tahoma"/>
          <w:sz w:val="20"/>
        </w:rPr>
        <w:tab/>
        <w:t>Cada Debênture em circulação conferirá a seu titular o direito a um voto nas Assembleias Gerais de De</w:t>
      </w:r>
      <w:r>
        <w:rPr>
          <w:rFonts w:ascii="Verdana" w:hAnsi="Verdana" w:cs="Tahoma"/>
          <w:sz w:val="20"/>
        </w:rPr>
        <w:t xml:space="preserve">benturistas, cujas deliberações, ressalvadas as exceções previstas nesta Escritura de Emissão, serão tomadas pelos Debenturistas que representem </w:t>
      </w:r>
      <w:r>
        <w:rPr>
          <w:rFonts w:ascii="Verdana" w:hAnsi="Verdana"/>
          <w:sz w:val="20"/>
        </w:rPr>
        <w:t>a maioria</w:t>
      </w:r>
      <w:r>
        <w:rPr>
          <w:rFonts w:ascii="Verdana" w:hAnsi="Verdana" w:cs="Tahoma"/>
          <w:sz w:val="20"/>
        </w:rPr>
        <w:t xml:space="preserve"> das Debêntures em Circulação da respectiva série, sendo admitida a constituição de mandatários, </w:t>
      </w:r>
      <w:proofErr w:type="gramStart"/>
      <w:r>
        <w:rPr>
          <w:rFonts w:ascii="Verdana" w:hAnsi="Verdana" w:cs="Tahoma"/>
          <w:sz w:val="20"/>
        </w:rPr>
        <w:t>Deben</w:t>
      </w:r>
      <w:r>
        <w:rPr>
          <w:rFonts w:ascii="Verdana" w:hAnsi="Verdana" w:cs="Tahoma"/>
          <w:sz w:val="20"/>
        </w:rPr>
        <w:t>turistas</w:t>
      </w:r>
      <w:proofErr w:type="gramEnd"/>
      <w:r>
        <w:rPr>
          <w:rFonts w:ascii="Verdana" w:hAnsi="Verdana" w:cs="Tahoma"/>
          <w:sz w:val="20"/>
        </w:rPr>
        <w:t xml:space="preserve"> ou não.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7.6.1.</w:t>
      </w:r>
      <w:r>
        <w:rPr>
          <w:rFonts w:ascii="Verdana" w:hAnsi="Verdana" w:cs="Tahoma"/>
          <w:sz w:val="20"/>
        </w:rPr>
        <w:tab/>
      </w:r>
      <w:r>
        <w:rPr>
          <w:rFonts w:ascii="Verdana" w:hAnsi="Verdana" w:cs="Tahoma"/>
          <w:sz w:val="20"/>
        </w:rPr>
        <w:t>Qualquer alteração (i) no prazo de vigência das Debêntures; (</w:t>
      </w:r>
      <w:proofErr w:type="spellStart"/>
      <w:r>
        <w:rPr>
          <w:rFonts w:ascii="Verdana" w:hAnsi="Verdana" w:cs="Tahoma"/>
          <w:sz w:val="20"/>
        </w:rPr>
        <w:t>ii</w:t>
      </w:r>
      <w:proofErr w:type="spellEnd"/>
      <w:r>
        <w:rPr>
          <w:rFonts w:ascii="Verdana" w:hAnsi="Verdana" w:cs="Tahoma"/>
          <w:sz w:val="20"/>
        </w:rPr>
        <w:t>) na Data de Vencimento; (</w:t>
      </w:r>
      <w:proofErr w:type="spellStart"/>
      <w:r>
        <w:rPr>
          <w:rFonts w:ascii="Verdana" w:hAnsi="Verdana" w:cs="Tahoma"/>
          <w:sz w:val="20"/>
        </w:rPr>
        <w:t>iii</w:t>
      </w:r>
      <w:proofErr w:type="spellEnd"/>
      <w:r>
        <w:rPr>
          <w:rFonts w:ascii="Verdana" w:hAnsi="Verdana" w:cs="Tahoma"/>
          <w:sz w:val="20"/>
        </w:rPr>
        <w:t>) no parâmetro de cálculo dos respectivos Juros Remuneratórios; (</w:t>
      </w:r>
      <w:proofErr w:type="spellStart"/>
      <w:r>
        <w:rPr>
          <w:rFonts w:ascii="Verdana" w:hAnsi="Verdana" w:cs="Tahoma"/>
          <w:sz w:val="20"/>
        </w:rPr>
        <w:t>iv</w:t>
      </w:r>
      <w:proofErr w:type="spellEnd"/>
      <w:r>
        <w:rPr>
          <w:rFonts w:ascii="Verdana" w:hAnsi="Verdana" w:cs="Tahoma"/>
          <w:sz w:val="20"/>
        </w:rPr>
        <w:t xml:space="preserve">) no quórum de deliberação das Assembleias Gerais de Debenturistas; ou (v) nas hipóteses de </w:t>
      </w:r>
      <w:r>
        <w:rPr>
          <w:rFonts w:ascii="Verdana" w:hAnsi="Verdana" w:cs="Tahoma"/>
          <w:sz w:val="20"/>
        </w:rPr>
        <w:lastRenderedPageBreak/>
        <w:t>venci</w:t>
      </w:r>
      <w:r>
        <w:rPr>
          <w:rFonts w:ascii="Verdana" w:hAnsi="Verdana" w:cs="Tahoma"/>
          <w:sz w:val="20"/>
        </w:rPr>
        <w:t xml:space="preserve">mento antecipado (item 4.13.1, deverá ser aprovada pelos Debenturistas que representem, no mínimo, 90% (noventa por cento) das Debêntures em Circulação.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7.6.2.</w:t>
      </w:r>
      <w:r>
        <w:rPr>
          <w:rFonts w:ascii="Verdana" w:hAnsi="Verdana" w:cs="Tahoma"/>
          <w:sz w:val="20"/>
        </w:rPr>
        <w:tab/>
        <w:t>A renúncia à declaração de vencimento antecipado das Debêntures, conforme disposto na Cláusula</w:t>
      </w:r>
      <w:r>
        <w:rPr>
          <w:rFonts w:ascii="Verdana" w:hAnsi="Verdana" w:cs="Tahoma"/>
          <w:sz w:val="20"/>
        </w:rPr>
        <w:t xml:space="preserve"> 4.13.2.1 acima, dependerá da aprovação de Debenturistas que representem, no mínimo, a </w:t>
      </w:r>
      <w:r>
        <w:rPr>
          <w:rFonts w:ascii="Verdana" w:hAnsi="Verdana"/>
          <w:sz w:val="20"/>
        </w:rPr>
        <w:t>2/3 (dois terços</w:t>
      </w:r>
      <w:r>
        <w:rPr>
          <w:rFonts w:ascii="Verdana" w:hAnsi="Verdana" w:cs="Tahoma"/>
          <w:sz w:val="20"/>
        </w:rPr>
        <w:t>) das Debêntures em Circulação da respectiva série.</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7.6.3.</w:t>
      </w:r>
      <w:r>
        <w:rPr>
          <w:rFonts w:ascii="Verdana" w:hAnsi="Verdana" w:cs="Tahoma"/>
          <w:sz w:val="20"/>
        </w:rPr>
        <w:tab/>
        <w:t>Toda e qualquer alteração nas cláusulas ou condições estabelecidas nesta Escritura de Emissão</w:t>
      </w:r>
      <w:r>
        <w:rPr>
          <w:rFonts w:ascii="Verdana" w:hAnsi="Verdana" w:cs="Tahoma"/>
          <w:sz w:val="20"/>
        </w:rPr>
        <w:t xml:space="preserve"> dependerá da aprovação de Debenturistas que representem, no mínimo, a </w:t>
      </w:r>
      <w:r>
        <w:rPr>
          <w:rFonts w:ascii="Verdana" w:hAnsi="Verdana"/>
          <w:sz w:val="20"/>
        </w:rPr>
        <w:t>2/3 (dois terços</w:t>
      </w:r>
      <w:r>
        <w:rPr>
          <w:rFonts w:ascii="Verdana" w:hAnsi="Verdana" w:cs="Tahoma"/>
          <w:sz w:val="20"/>
        </w:rPr>
        <w:t xml:space="preserve">) das Debêntures em Circulação da respectiva série, exceto se houver outro quórum específico estabelecido para a matéria.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7.7.</w:t>
      </w:r>
      <w:r>
        <w:rPr>
          <w:rFonts w:ascii="Verdana" w:hAnsi="Verdana" w:cs="Tahoma"/>
          <w:sz w:val="20"/>
        </w:rPr>
        <w:tab/>
      </w:r>
      <w:r>
        <w:rPr>
          <w:rFonts w:ascii="Verdana" w:hAnsi="Verdana"/>
          <w:sz w:val="20"/>
        </w:rPr>
        <w:t>Para os fins de constituição de quórum d</w:t>
      </w:r>
      <w:r>
        <w:rPr>
          <w:rFonts w:ascii="Verdana" w:hAnsi="Verdana"/>
          <w:sz w:val="20"/>
        </w:rPr>
        <w:t>esta Escritura de Emissão, “</w:t>
      </w:r>
      <w:r>
        <w:rPr>
          <w:rFonts w:ascii="Verdana" w:hAnsi="Verdana"/>
          <w:sz w:val="20"/>
          <w:u w:val="single"/>
        </w:rPr>
        <w:t>Debêntures da Primeira Série em Circulação</w:t>
      </w:r>
      <w:r>
        <w:rPr>
          <w:rFonts w:ascii="Verdana" w:hAnsi="Verdana"/>
          <w:sz w:val="20"/>
        </w:rPr>
        <w:t>” e “</w:t>
      </w:r>
      <w:r>
        <w:rPr>
          <w:rFonts w:ascii="Verdana" w:hAnsi="Verdana"/>
          <w:sz w:val="20"/>
          <w:u w:val="single"/>
        </w:rPr>
        <w:t>Debêntures da Segunda Série em Circulação</w:t>
      </w:r>
      <w:r>
        <w:rPr>
          <w:rFonts w:ascii="Verdana" w:hAnsi="Verdana"/>
          <w:sz w:val="20"/>
        </w:rPr>
        <w:t>” significam, respectivamente todas as Debêntures da Primeira Série e todas as Debêntures da Segunda Série subscritas e integralizadas e não</w:t>
      </w:r>
      <w:r>
        <w:rPr>
          <w:rFonts w:ascii="Verdana" w:hAnsi="Verdana"/>
          <w:sz w:val="20"/>
        </w:rPr>
        <w:t xml:space="preserve"> resgatadas, excluídas as Debêntures mantidas em tesouraria e excluídas as Debêntures pertencentes, direta ou indiretamente, (i) à Companhia; (</w:t>
      </w:r>
      <w:proofErr w:type="spellStart"/>
      <w:r>
        <w:rPr>
          <w:rFonts w:ascii="Verdana" w:hAnsi="Verdana"/>
          <w:sz w:val="20"/>
        </w:rPr>
        <w:t>ii</w:t>
      </w:r>
      <w:proofErr w:type="spellEnd"/>
      <w:r>
        <w:rPr>
          <w:rFonts w:ascii="Verdana" w:hAnsi="Verdana"/>
          <w:sz w:val="20"/>
        </w:rPr>
        <w:t>) a qualquer controlada e/ou a qualquer coligada de qualquer das pessoas indicadas no item anterior; ou (</w:t>
      </w:r>
      <w:proofErr w:type="spellStart"/>
      <w:r>
        <w:rPr>
          <w:rFonts w:ascii="Verdana" w:hAnsi="Verdana"/>
          <w:sz w:val="20"/>
        </w:rPr>
        <w:t>iii</w:t>
      </w:r>
      <w:proofErr w:type="spellEnd"/>
      <w:r>
        <w:rPr>
          <w:rFonts w:ascii="Verdana" w:hAnsi="Verdana"/>
          <w:sz w:val="20"/>
        </w:rPr>
        <w:t>) a</w:t>
      </w:r>
      <w:r>
        <w:rPr>
          <w:rFonts w:ascii="Verdana" w:hAnsi="Verdana"/>
          <w:sz w:val="20"/>
        </w:rPr>
        <w:t xml:space="preserve"> qualquer diretor, conselheiro, cônjuge, companheiro de qualquer das pessoas referidas nos itens anteriores. Serão consideradas “</w:t>
      </w:r>
      <w:r>
        <w:rPr>
          <w:rFonts w:ascii="Verdana" w:hAnsi="Verdana"/>
          <w:sz w:val="20"/>
          <w:u w:val="single"/>
        </w:rPr>
        <w:t>Debêntures em Circulação</w:t>
      </w:r>
      <w:r>
        <w:rPr>
          <w:rFonts w:ascii="Verdana" w:hAnsi="Verdana"/>
          <w:sz w:val="20"/>
        </w:rPr>
        <w:t>” todas as Debêntures da Primeira Série em Circulação e todas as Debêntures da Segunda Série em Circula</w:t>
      </w:r>
      <w:r>
        <w:rPr>
          <w:rFonts w:ascii="Verdana" w:hAnsi="Verdana"/>
          <w:sz w:val="20"/>
        </w:rPr>
        <w:t>ção em Circulação quando referidas conjuntamente</w:t>
      </w:r>
      <w:r>
        <w:rPr>
          <w:rFonts w:ascii="Verdana" w:hAnsi="Verdana" w:cs="Tahoma"/>
          <w:sz w:val="20"/>
        </w:rPr>
        <w:t>.</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7.8.</w:t>
      </w:r>
      <w:r>
        <w:rPr>
          <w:rFonts w:ascii="Verdana" w:hAnsi="Verdana" w:cs="Tahoma"/>
          <w:sz w:val="20"/>
        </w:rPr>
        <w:tab/>
        <w:t>Será facultada a presença dos representantes legais da Emissora nas Assembleias Gerais de Debenturistas, a não ser quando ela seja solicitada pelo Agente Fiduciário nos termos desta Escritura de Emiss</w:t>
      </w:r>
      <w:r>
        <w:rPr>
          <w:rFonts w:ascii="Verdana" w:hAnsi="Verdana" w:cs="Tahoma"/>
          <w:sz w:val="20"/>
        </w:rPr>
        <w:t>ão, hipótese em que será obrigatória.</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7.9.</w:t>
      </w:r>
      <w:r>
        <w:rPr>
          <w:rFonts w:ascii="Verdana" w:hAnsi="Verdana" w:cs="Tahoma"/>
          <w:sz w:val="20"/>
        </w:rPr>
        <w:tab/>
        <w:t>O Agente Fiduciário deverá comparecer às Assembleias Gerais de Debenturistas para prestar aos Debenturistas as informações que lhe forem solicitadas.</w:t>
      </w:r>
    </w:p>
    <w:p w:rsidR="00DE19C8" w:rsidRDefault="00DE19C8">
      <w:pPr>
        <w:suppressAutoHyphens/>
        <w:spacing w:line="318" w:lineRule="exact"/>
        <w:contextualSpacing/>
        <w:rPr>
          <w:rFonts w:ascii="Verdana" w:hAnsi="Verdana" w:cs="Tahoma"/>
          <w:sz w:val="20"/>
        </w:rPr>
      </w:pPr>
    </w:p>
    <w:p w:rsidR="00DE19C8" w:rsidRDefault="00626B63">
      <w:pPr>
        <w:pStyle w:val="Ttulo2"/>
        <w:suppressAutoHyphens/>
        <w:spacing w:line="318" w:lineRule="exact"/>
        <w:contextualSpacing/>
        <w:rPr>
          <w:rFonts w:ascii="Verdana" w:hAnsi="Verdana" w:cs="Tahoma"/>
          <w:sz w:val="20"/>
        </w:rPr>
      </w:pPr>
      <w:bookmarkStart w:id="137" w:name="_Toc514873576"/>
      <w:r>
        <w:rPr>
          <w:rFonts w:ascii="Verdana" w:hAnsi="Verdana" w:cs="Tahoma"/>
          <w:sz w:val="20"/>
        </w:rPr>
        <w:t>CLÁUSULA OITAVA – DAS DECLARAÇÕES DA EMISSORA</w:t>
      </w:r>
      <w:bookmarkEnd w:id="137"/>
      <w:r>
        <w:rPr>
          <w:rFonts w:ascii="Verdana" w:hAnsi="Verdana" w:cs="Tahoma"/>
          <w:sz w:val="20"/>
        </w:rPr>
        <w:t xml:space="preserve"> </w:t>
      </w:r>
    </w:p>
    <w:p w:rsidR="00DE19C8" w:rsidRDefault="00DE19C8">
      <w:pPr>
        <w:pStyle w:val="Ttulo2"/>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8.1.</w:t>
      </w:r>
      <w:r>
        <w:rPr>
          <w:rFonts w:ascii="Verdana" w:hAnsi="Verdana" w:cs="Tahoma"/>
          <w:sz w:val="20"/>
        </w:rPr>
        <w:tab/>
        <w:t xml:space="preserve">A </w:t>
      </w:r>
      <w:r>
        <w:rPr>
          <w:rFonts w:ascii="Verdana" w:hAnsi="Verdana" w:cs="Tahoma"/>
          <w:sz w:val="20"/>
        </w:rPr>
        <w:t>Emissora neste ato declara e garante que:</w:t>
      </w:r>
    </w:p>
    <w:p w:rsidR="00DE19C8" w:rsidRDefault="00626B63">
      <w:pPr>
        <w:suppressAutoHyphens/>
        <w:spacing w:line="318" w:lineRule="exact"/>
        <w:contextualSpacing/>
        <w:rPr>
          <w:rFonts w:ascii="Verdana" w:hAnsi="Verdana" w:cs="Tahoma"/>
          <w:sz w:val="20"/>
        </w:rPr>
      </w:pPr>
      <w:r>
        <w:rPr>
          <w:rFonts w:ascii="Verdana" w:hAnsi="Verdana" w:cs="Tahoma"/>
          <w:sz w:val="20"/>
        </w:rPr>
        <w:t xml:space="preserve"> </w:t>
      </w: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proofErr w:type="spellStart"/>
      <w:r>
        <w:rPr>
          <w:rFonts w:ascii="Verdana" w:hAnsi="Verdana" w:cs="Tahoma"/>
          <w:sz w:val="20"/>
        </w:rPr>
        <w:t>é</w:t>
      </w:r>
      <w:proofErr w:type="spellEnd"/>
      <w:r>
        <w:rPr>
          <w:rFonts w:ascii="Verdana" w:hAnsi="Verdana" w:cs="Tahoma"/>
          <w:sz w:val="20"/>
        </w:rPr>
        <w:t xml:space="preserve"> sociedade devidamente organizada, constituída e existente sob a forma de sociedade por ações de acordo com as leis brasileiras;</w:t>
      </w:r>
    </w:p>
    <w:p w:rsidR="00DE19C8" w:rsidRDefault="00DE19C8">
      <w:pPr>
        <w:pStyle w:val="p0"/>
        <w:tabs>
          <w:tab w:val="clear" w:pos="720"/>
        </w:tabs>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está devidamente autorizada e obteve todas as licenças e autorizações necessárias</w:t>
      </w:r>
      <w:r>
        <w:rPr>
          <w:rFonts w:ascii="Verdana" w:hAnsi="Verdana" w:cs="Tahoma"/>
          <w:sz w:val="20"/>
        </w:rPr>
        <w:t xml:space="preserve">, inclusive as societárias, à celebração desta Escritura de Emissão, à </w:t>
      </w:r>
      <w:r>
        <w:rPr>
          <w:rFonts w:ascii="Verdana" w:hAnsi="Verdana" w:cs="Tahoma"/>
          <w:sz w:val="20"/>
        </w:rPr>
        <w:lastRenderedPageBreak/>
        <w:t>emissão das Debêntures e ao cumprimento de suas obrigações aqui previstas, tendo sido satisfeitos todos os requisitos legais e estatutários necessários para tanto;</w:t>
      </w:r>
    </w:p>
    <w:p w:rsidR="00DE19C8" w:rsidRDefault="00DE19C8">
      <w:pPr>
        <w:pStyle w:val="p0"/>
        <w:tabs>
          <w:tab w:val="clear" w:pos="720"/>
        </w:tabs>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os representantes le</w:t>
      </w:r>
      <w:r>
        <w:rPr>
          <w:rFonts w:ascii="Verdana" w:hAnsi="Verdana" w:cs="Tahoma"/>
          <w:sz w:val="20"/>
        </w:rPr>
        <w:t>gais que assinam esta Escritura de Emissão têm poderes estatutários e/ou delegados para assumir, em seu nome, as obrigações ora estabelecidas e, sendo mandatários, tiveram os poderes legitimamente outorgados, estando os respectivos mandatos em pleno vigor;</w:t>
      </w:r>
      <w:r>
        <w:rPr>
          <w:rFonts w:ascii="Verdana" w:hAnsi="Verdana" w:cs="Tahoma"/>
          <w:sz w:val="20"/>
        </w:rPr>
        <w:t xml:space="preserve"> </w:t>
      </w:r>
    </w:p>
    <w:p w:rsidR="00DE19C8" w:rsidRDefault="00DE19C8">
      <w:pPr>
        <w:pStyle w:val="p0"/>
        <w:tabs>
          <w:tab w:val="clear" w:pos="720"/>
        </w:tabs>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a celebração desta Escritura de Emissão, do Contrato de Distribuição, o cumprimento de suas obrigações previstas nesta Escritura de Emissão, a Emissão, a colocação das Debêntures não infringem ou contrariam (i) qualquer contrato ou documento no qual a E</w:t>
      </w:r>
      <w:r>
        <w:rPr>
          <w:rFonts w:ascii="Verdana" w:hAnsi="Verdana" w:cs="Tahoma"/>
          <w:sz w:val="20"/>
        </w:rPr>
        <w:t>missora, seja parte ou pelo qual quaisquer de seus bens e propriedades estejam vinculados, nem irá resultar em (A) vencimento antecipado de qualquer obrigação estabelecida em qualquer destes contratos ou instrumentos; (B) criação de qualquer ônus sobre qua</w:t>
      </w:r>
      <w:r>
        <w:rPr>
          <w:rFonts w:ascii="Verdana" w:hAnsi="Verdana" w:cs="Tahoma"/>
          <w:sz w:val="20"/>
        </w:rPr>
        <w:t>lquer ativo ou bem da Emissora; ou (C) rescisão de qualquer desses contratos ou instrumentos; (</w:t>
      </w:r>
      <w:proofErr w:type="spellStart"/>
      <w:r>
        <w:rPr>
          <w:rFonts w:ascii="Verdana" w:hAnsi="Verdana" w:cs="Tahoma"/>
          <w:sz w:val="20"/>
        </w:rPr>
        <w:t>ii</w:t>
      </w:r>
      <w:proofErr w:type="spellEnd"/>
      <w:r>
        <w:rPr>
          <w:rFonts w:ascii="Verdana" w:hAnsi="Verdana" w:cs="Tahoma"/>
          <w:sz w:val="20"/>
        </w:rPr>
        <w:t>) qualquer lei, decreto ou regulamento a que a Emissora ou quaisquer de seus bens e propriedades estejam sujeitos; ou (</w:t>
      </w:r>
      <w:proofErr w:type="spellStart"/>
      <w:r>
        <w:rPr>
          <w:rFonts w:ascii="Verdana" w:hAnsi="Verdana" w:cs="Tahoma"/>
          <w:sz w:val="20"/>
        </w:rPr>
        <w:t>iii</w:t>
      </w:r>
      <w:proofErr w:type="spellEnd"/>
      <w:r>
        <w:rPr>
          <w:rFonts w:ascii="Verdana" w:hAnsi="Verdana" w:cs="Tahoma"/>
          <w:sz w:val="20"/>
        </w:rPr>
        <w:t>) qualquer ordem, decisão ou sentença</w:t>
      </w:r>
      <w:r>
        <w:rPr>
          <w:rFonts w:ascii="Verdana" w:hAnsi="Verdana" w:cs="Tahoma"/>
          <w:sz w:val="20"/>
        </w:rPr>
        <w:t xml:space="preserve"> administrativa, judicial ou arbitral que afete a Emissora ou quaisquer de seus bens e propriedades; </w:t>
      </w:r>
    </w:p>
    <w:p w:rsidR="00DE19C8" w:rsidRDefault="00DE19C8">
      <w:pPr>
        <w:pStyle w:val="p0"/>
        <w:tabs>
          <w:tab w:val="clear" w:pos="720"/>
        </w:tabs>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esta Escritura de Emissão contém informações verdadeiras, consistentes, corretas e suficientes para permitir aos Debenturistas uma tomada de decisão fund</w:t>
      </w:r>
      <w:r>
        <w:rPr>
          <w:rFonts w:ascii="Verdana" w:hAnsi="Verdana" w:cs="Tahoma"/>
          <w:sz w:val="20"/>
        </w:rPr>
        <w:t>amentada a respeito da Emissão acerca das Debêntures, da Emissora e suas atividades, situação econômico-financeira e riscos inerentes à sua atividade, nos termos do art. 10 da Instrução CVM 476;</w:t>
      </w:r>
    </w:p>
    <w:p w:rsidR="00DE19C8" w:rsidRDefault="00DE19C8">
      <w:pPr>
        <w:pStyle w:val="PargrafodaLista"/>
        <w:spacing w:line="318" w:lineRule="exact"/>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salvo nos casos em que, de boa-fé, a Emissora esteja discuti</w:t>
      </w:r>
      <w:r>
        <w:rPr>
          <w:rFonts w:ascii="Verdana" w:hAnsi="Verdana" w:cs="Tahoma"/>
          <w:sz w:val="20"/>
        </w:rPr>
        <w:t>ndo a aplicabilidade da lei, regra ou regulamento nas esferas administrativa ou judicial, a Emissora está cumprindo todas as leis, regulamentos, normas administrativas e determinações dos órgãos governamentais, autarquias ou tribunais, aplicáveis à conduçã</w:t>
      </w:r>
      <w:r>
        <w:rPr>
          <w:rFonts w:ascii="Verdana" w:hAnsi="Verdana" w:cs="Tahoma"/>
          <w:sz w:val="20"/>
        </w:rPr>
        <w:t>o de seus negócios e que sejam relevantes para a execução das atividades da Emissora, inclusive com o disposto na Legislação Socioambiental, adotando as medidas e ações preventivas ou reparatórias destinadas a evitar ou corrigir eventuais danos socioambien</w:t>
      </w:r>
      <w:r>
        <w:rPr>
          <w:rFonts w:ascii="Verdana" w:hAnsi="Verdana" w:cs="Tahoma"/>
          <w:sz w:val="20"/>
        </w:rPr>
        <w:t>tais decorrentes do exercício das atividades descritas em seu objeto social;</w:t>
      </w:r>
    </w:p>
    <w:p w:rsidR="00DE19C8" w:rsidRDefault="00DE19C8">
      <w:pPr>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lastRenderedPageBreak/>
        <w:t xml:space="preserve">exceto por obrigações que estão sendo questionadas de boa-fé nas esferas administrativa, arbitral e/ou judicial, está e as suas Controladas Relevantes estão em dia com pagamento </w:t>
      </w:r>
      <w:r>
        <w:rPr>
          <w:rFonts w:ascii="Verdana" w:hAnsi="Verdana" w:cs="Tahoma"/>
          <w:sz w:val="20"/>
        </w:rPr>
        <w:t>de todas as obrigações de natureza tributária (em âmbito municipal, estadual, distrital e federal), trabalhista, previdenciária, ambiental e de quaisquer outras obrigações impostas por lei, que sejam relevantes e aplicáveis à condução de seus negócios, cuj</w:t>
      </w:r>
      <w:r>
        <w:rPr>
          <w:rFonts w:ascii="Verdana" w:hAnsi="Verdana" w:cs="Tahoma"/>
          <w:sz w:val="20"/>
        </w:rPr>
        <w:t>o descumprimento gere um Efeito Adverso Relevante;</w:t>
      </w:r>
    </w:p>
    <w:p w:rsidR="00DE19C8" w:rsidRDefault="00DE19C8">
      <w:pPr>
        <w:pStyle w:val="PargrafodaLista"/>
        <w:spacing w:line="318" w:lineRule="exact"/>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 xml:space="preserve">exceto pelas contingências informadas nas demonstrações financeiras da Emissora, desconhece a existência de, inclusive com relação a suas Controladas Relevantes: (1) descumprimento de qualquer disposição </w:t>
      </w:r>
      <w:r>
        <w:rPr>
          <w:rFonts w:ascii="Verdana" w:hAnsi="Verdana" w:cs="Tahoma"/>
          <w:sz w:val="20"/>
        </w:rPr>
        <w:t xml:space="preserve">contratual ou legal ou de ordem judicial, administrativa ou arbitral; ou (2) qualquer ação judicial ou procedimento judicial ou extrajudicial, inquérito ou qualquer outro tipo de investigação governamental: (i) que possa ter um Efeito Adverso Relevante na </w:t>
      </w:r>
      <w:r>
        <w:rPr>
          <w:rFonts w:ascii="Verdana" w:hAnsi="Verdana" w:cs="Tahoma"/>
          <w:sz w:val="20"/>
        </w:rPr>
        <w:t>capacidade da Emissora de honrar suas obrigações nos termos desta Escritura de Emissão; ou (</w:t>
      </w:r>
      <w:proofErr w:type="spellStart"/>
      <w:r>
        <w:rPr>
          <w:rFonts w:ascii="Verdana" w:hAnsi="Verdana" w:cs="Tahoma"/>
          <w:sz w:val="20"/>
        </w:rPr>
        <w:t>ii</w:t>
      </w:r>
      <w:proofErr w:type="spellEnd"/>
      <w:r>
        <w:rPr>
          <w:rFonts w:ascii="Verdana" w:hAnsi="Verdana" w:cs="Tahoma"/>
          <w:sz w:val="20"/>
        </w:rPr>
        <w:t>) visando anular, alterar, invalidar, questionar ou, de qualquer forma, afetar esta Escritura de Emissão;</w:t>
      </w:r>
    </w:p>
    <w:p w:rsidR="00DE19C8" w:rsidRDefault="00DE19C8">
      <w:pPr>
        <w:pStyle w:val="PargrafodaLista"/>
        <w:spacing w:line="318" w:lineRule="exact"/>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as demonstrações financeiras da Emissora disponíveis re</w:t>
      </w:r>
      <w:r>
        <w:rPr>
          <w:rFonts w:ascii="Verdana" w:hAnsi="Verdana" w:cs="Tahoma"/>
          <w:sz w:val="20"/>
        </w:rPr>
        <w:t>presentam corretamente a posição financeira da Emissora naquelas datas e foram devidamente elaboradas em conformidade com os princípios contábeis geralmente aceitos no Brasil;</w:t>
      </w:r>
    </w:p>
    <w:p w:rsidR="00DE19C8" w:rsidRDefault="00DE19C8">
      <w:pPr>
        <w:pStyle w:val="p0"/>
        <w:tabs>
          <w:tab w:val="clear" w:pos="720"/>
        </w:tabs>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a Emissora não realizará outra oferta pública da mesma espécie de valores mobil</w:t>
      </w:r>
      <w:r>
        <w:rPr>
          <w:rFonts w:ascii="Verdana" w:hAnsi="Verdana" w:cs="Tahoma"/>
          <w:sz w:val="20"/>
        </w:rPr>
        <w:t xml:space="preserve">iários </w:t>
      </w:r>
      <w:bookmarkStart w:id="138" w:name="_DV_M42"/>
      <w:bookmarkEnd w:id="138"/>
      <w:r>
        <w:rPr>
          <w:rFonts w:ascii="Verdana" w:hAnsi="Verdana" w:cs="Tahoma"/>
          <w:sz w:val="20"/>
        </w:rPr>
        <w:t xml:space="preserve">dentro do prazo de </w:t>
      </w:r>
      <w:bookmarkStart w:id="139" w:name="_DV_C19"/>
      <w:r>
        <w:rPr>
          <w:rFonts w:ascii="Verdana" w:hAnsi="Verdana" w:cs="Tahoma"/>
          <w:sz w:val="20"/>
        </w:rPr>
        <w:t>4 (quatro) meses</w:t>
      </w:r>
      <w:bookmarkStart w:id="140" w:name="_DV_M43"/>
      <w:bookmarkEnd w:id="139"/>
      <w:bookmarkEnd w:id="140"/>
      <w:r>
        <w:rPr>
          <w:rFonts w:ascii="Verdana" w:hAnsi="Verdana" w:cs="Tahoma"/>
          <w:sz w:val="20"/>
        </w:rPr>
        <w:t xml:space="preserve"> contados da data da comunicação à CVM do encerramento da Oferta Restrita, a menos que a nova oferta seja submetida a registro na CVM;</w:t>
      </w:r>
    </w:p>
    <w:p w:rsidR="00DE19C8" w:rsidRDefault="00DE19C8">
      <w:pPr>
        <w:pStyle w:val="p0"/>
        <w:tabs>
          <w:tab w:val="clear" w:pos="720"/>
        </w:tabs>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a Emissora cumprirá todas as obrigações assumidas nos termos desta Escritura d</w:t>
      </w:r>
      <w:r>
        <w:rPr>
          <w:rFonts w:ascii="Verdana" w:hAnsi="Verdana" w:cs="Tahoma"/>
          <w:sz w:val="20"/>
        </w:rPr>
        <w:t>e Emissão, incluindo, mas não se limitando à obrigação de destinar os recursos obtidos com a Emissão aos fins previstos no item 3.5 desta Escritura de Emissão;</w:t>
      </w:r>
    </w:p>
    <w:p w:rsidR="00DE19C8" w:rsidRDefault="00DE19C8">
      <w:pPr>
        <w:pStyle w:val="p0"/>
        <w:tabs>
          <w:tab w:val="clear" w:pos="720"/>
        </w:tabs>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tem plena ciência e concorda integralmente com a forma de divulgação e apuração da Taxa DI, div</w:t>
      </w:r>
      <w:r>
        <w:rPr>
          <w:rFonts w:ascii="Verdana" w:hAnsi="Verdana" w:cs="Tahoma"/>
          <w:sz w:val="20"/>
        </w:rPr>
        <w:t xml:space="preserve">ulgada pela </w:t>
      </w:r>
      <w:r>
        <w:rPr>
          <w:rFonts w:ascii="Verdana" w:hAnsi="Verdana" w:cs="Tahoma"/>
          <w:color w:val="000000"/>
          <w:sz w:val="20"/>
        </w:rPr>
        <w:t xml:space="preserve">B3 – Segmento </w:t>
      </w:r>
      <w:proofErr w:type="spellStart"/>
      <w:r>
        <w:rPr>
          <w:rFonts w:ascii="Verdana" w:hAnsi="Verdana" w:cs="Tahoma"/>
          <w:color w:val="000000"/>
          <w:sz w:val="20"/>
        </w:rPr>
        <w:t>Cetip</w:t>
      </w:r>
      <w:proofErr w:type="spellEnd"/>
      <w:r>
        <w:rPr>
          <w:rFonts w:ascii="Verdana" w:hAnsi="Verdana" w:cs="Tahoma"/>
          <w:color w:val="000000"/>
          <w:sz w:val="20"/>
        </w:rPr>
        <w:t xml:space="preserve"> UTVM</w:t>
      </w:r>
      <w:r>
        <w:rPr>
          <w:rFonts w:ascii="Verdana" w:hAnsi="Verdana" w:cs="Tahoma"/>
          <w:sz w:val="20"/>
        </w:rPr>
        <w:t>, e que a forma de cálculo dos Juros Remuneratórios das Debêntures foi acordada por livre vontade entre a Emissora e os Coordenadores, em observância ao princípio da boa-fé;</w:t>
      </w:r>
    </w:p>
    <w:p w:rsidR="00DE19C8" w:rsidRDefault="00DE19C8">
      <w:pPr>
        <w:pStyle w:val="p0"/>
        <w:tabs>
          <w:tab w:val="clear" w:pos="720"/>
        </w:tabs>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lastRenderedPageBreak/>
        <w:t xml:space="preserve">não há qualquer ligação entre a Emissora e o </w:t>
      </w:r>
      <w:r>
        <w:rPr>
          <w:rFonts w:ascii="Verdana" w:hAnsi="Verdana" w:cs="Tahoma"/>
          <w:sz w:val="20"/>
        </w:rPr>
        <w:t xml:space="preserve">Agente Fiduciário que impeça o Agente Fiduciário de exercer plenamente suas funções; </w:t>
      </w:r>
    </w:p>
    <w:p w:rsidR="00DE19C8" w:rsidRDefault="00DE19C8">
      <w:pPr>
        <w:pStyle w:val="p0"/>
        <w:tabs>
          <w:tab w:val="clear" w:pos="720"/>
        </w:tabs>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esta Escritura de Emissão constitui obrigação legal, válida e vinculativa da Emissora, exequível de acordo com os seus termos e condições, nos termos do artigo 784 do Có</w:t>
      </w:r>
      <w:r>
        <w:rPr>
          <w:rFonts w:ascii="Verdana" w:hAnsi="Verdana" w:cs="Tahoma"/>
          <w:sz w:val="20"/>
        </w:rPr>
        <w:t>digo de Processo Civil;</w:t>
      </w:r>
    </w:p>
    <w:p w:rsidR="00DE19C8" w:rsidRDefault="00DE19C8">
      <w:pPr>
        <w:pStyle w:val="p0"/>
        <w:tabs>
          <w:tab w:val="clear" w:pos="720"/>
        </w:tabs>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a Emissora tem todas as autorizações e licenças (inclusive ambientais) exigidas pelas autoridades federais, estaduais, distritais e municipais relevantes para o exercício de suas atividades, estando todas elas válidas;</w:t>
      </w:r>
    </w:p>
    <w:p w:rsidR="00DE19C8" w:rsidRDefault="00DE19C8">
      <w:pPr>
        <w:pStyle w:val="PargrafodaLista"/>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kern w:val="16"/>
          <w:sz w:val="20"/>
        </w:rPr>
        <w:t xml:space="preserve">não omitiu </w:t>
      </w:r>
      <w:r>
        <w:rPr>
          <w:rFonts w:ascii="Verdana" w:hAnsi="Verdana"/>
          <w:kern w:val="16"/>
          <w:sz w:val="20"/>
        </w:rPr>
        <w:t xml:space="preserve">qualquer fato, de qualquer natureza, que seja de seu conhecimento e que possa resultar em alteração substancial na situação econômico-financeira ou jurídica da Emissora em prejuízo dos Debenturistas; </w:t>
      </w:r>
    </w:p>
    <w:p w:rsidR="00DE19C8" w:rsidRDefault="00DE19C8">
      <w:pPr>
        <w:pStyle w:val="p0"/>
        <w:tabs>
          <w:tab w:val="clear" w:pos="720"/>
        </w:tabs>
        <w:suppressAutoHyphens/>
        <w:spacing w:line="318" w:lineRule="exact"/>
        <w:ind w:left="1418" w:hanging="709"/>
        <w:contextualSpacing/>
        <w:rPr>
          <w:rFonts w:ascii="Verdana" w:hAnsi="Verdana" w:cs="Tahom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nenhum registro, consentimento, autorização, aprovação</w:t>
      </w:r>
      <w:r>
        <w:rPr>
          <w:rFonts w:ascii="Verdana" w:hAnsi="Verdana" w:cs="Tahoma"/>
          <w:sz w:val="20"/>
        </w:rPr>
        <w:t xml:space="preserve">, licença, ordem de, ou qualificação junto a qualquer autoridade governamental ou órgão regulatório é exigido para o cumprimento pela Emissora de suas obrigações nos termos da presente Escritura de Emissão, bem como pelo registro da Emissão na </w:t>
      </w:r>
      <w:r>
        <w:rPr>
          <w:rFonts w:ascii="Verdana" w:hAnsi="Verdana" w:cs="Tahoma"/>
          <w:color w:val="000000"/>
          <w:sz w:val="20"/>
        </w:rPr>
        <w:t>B3 – Segment</w:t>
      </w:r>
      <w:r>
        <w:rPr>
          <w:rFonts w:ascii="Verdana" w:hAnsi="Verdana" w:cs="Tahoma"/>
          <w:color w:val="000000"/>
          <w:sz w:val="20"/>
        </w:rPr>
        <w:t xml:space="preserve">o </w:t>
      </w:r>
      <w:proofErr w:type="spellStart"/>
      <w:r>
        <w:rPr>
          <w:rFonts w:ascii="Verdana" w:hAnsi="Verdana" w:cs="Tahoma"/>
          <w:color w:val="000000"/>
          <w:sz w:val="20"/>
        </w:rPr>
        <w:t>Cetip</w:t>
      </w:r>
      <w:proofErr w:type="spellEnd"/>
      <w:r>
        <w:rPr>
          <w:rFonts w:ascii="Verdana" w:hAnsi="Verdana" w:cs="Tahoma"/>
          <w:color w:val="000000"/>
          <w:sz w:val="20"/>
        </w:rPr>
        <w:t xml:space="preserve"> UTVM</w:t>
      </w:r>
      <w:r>
        <w:rPr>
          <w:rFonts w:ascii="Verdana" w:hAnsi="Verdana" w:cs="Tahoma"/>
          <w:sz w:val="20"/>
        </w:rPr>
        <w:t>; e</w:t>
      </w:r>
    </w:p>
    <w:p w:rsidR="00DE19C8" w:rsidRDefault="00DE19C8">
      <w:pPr>
        <w:pStyle w:val="PargrafodaLista"/>
        <w:spacing w:line="318" w:lineRule="exact"/>
        <w:ind w:left="1418"/>
        <w:contextualSpacing/>
        <w:rPr>
          <w:rFonts w:ascii="Verdana" w:hAnsi="Verdana"/>
          <w:sz w:val="20"/>
        </w:rPr>
      </w:pPr>
    </w:p>
    <w:p w:rsidR="00DE19C8" w:rsidRDefault="00626B63">
      <w:pPr>
        <w:pStyle w:val="p0"/>
        <w:numPr>
          <w:ilvl w:val="0"/>
          <w:numId w:val="8"/>
        </w:numPr>
        <w:tabs>
          <w:tab w:val="clear" w:pos="720"/>
        </w:tabs>
        <w:suppressAutoHyphens/>
        <w:spacing w:line="318" w:lineRule="exact"/>
        <w:ind w:left="1418" w:hanging="709"/>
        <w:contextualSpacing/>
        <w:rPr>
          <w:rFonts w:ascii="Verdana" w:hAnsi="Verdana" w:cs="Tahoma"/>
          <w:sz w:val="20"/>
        </w:rPr>
      </w:pPr>
      <w:r>
        <w:rPr>
          <w:rFonts w:ascii="Verdana" w:hAnsi="Verdana" w:cs="Tahoma"/>
          <w:sz w:val="20"/>
        </w:rPr>
        <w:t>no melhor de seu conhecimento, inexistem quaisquer indícios, investigação, inquérito ou procedimento administrativo ou judicial relacionados a práticas contrárias às Leis de Prevenção à Lavagem de Dinheiro e Anticorrupção ou atos lesivos à</w:t>
      </w:r>
      <w:r>
        <w:rPr>
          <w:rFonts w:ascii="Verdana" w:hAnsi="Verdana" w:cs="Tahoma"/>
          <w:sz w:val="20"/>
        </w:rPr>
        <w:t xml:space="preserve"> administração pública, pela Emissora e/ou por qualquer sociedade do Grupo Econômico desta, bem como, no melhor de seu conhecimento, inexistem a veiculação de notícias relacionadas a tais matérias que, na opinião dos Coordenadores, possam prejudicar de man</w:t>
      </w:r>
      <w:r>
        <w:rPr>
          <w:rFonts w:ascii="Verdana" w:hAnsi="Verdana" w:cs="Tahoma"/>
          <w:sz w:val="20"/>
        </w:rPr>
        <w:t>eira substancial ou inviabilizar a distribuição das Debêntures dentro dos parâmetros da Oferta Restrita. Para fins deste item, considera-se “</w:t>
      </w:r>
      <w:r>
        <w:rPr>
          <w:rFonts w:ascii="Verdana" w:hAnsi="Verdana" w:cs="Tahoma"/>
          <w:sz w:val="20"/>
          <w:u w:val="single"/>
        </w:rPr>
        <w:t>Grupo Econômico</w:t>
      </w:r>
      <w:r>
        <w:rPr>
          <w:rFonts w:ascii="Verdana" w:hAnsi="Verdana" w:cs="Tahoma"/>
          <w:sz w:val="20"/>
        </w:rPr>
        <w:t xml:space="preserve">” empresas controladas, coligadas, controladoras (ou grupo de controle), sociedades sob controle </w:t>
      </w:r>
      <w:r>
        <w:rPr>
          <w:rFonts w:ascii="Verdana" w:hAnsi="Verdana" w:cs="Tahoma"/>
          <w:sz w:val="20"/>
        </w:rPr>
        <w:t>comum (diretas ou indiretas) e/ou administradores e/ou pessoas relacionadas diretamente às demais pessoas anteriormente mencionadas.</w:t>
      </w:r>
    </w:p>
    <w:p w:rsidR="00DE19C8" w:rsidRDefault="00DE19C8">
      <w:pPr>
        <w:pStyle w:val="Corpodetexto"/>
        <w:suppressAutoHyphens/>
        <w:spacing w:line="318" w:lineRule="exact"/>
        <w:contextualSpacing/>
        <w:rPr>
          <w:rFonts w:ascii="Verdana" w:hAnsi="Verdana" w:cs="Tahoma"/>
          <w:sz w:val="20"/>
        </w:rPr>
      </w:pPr>
    </w:p>
    <w:p w:rsidR="00DE19C8" w:rsidRDefault="00626B63">
      <w:pPr>
        <w:pStyle w:val="Corpodetexto"/>
        <w:suppressAutoHyphens/>
        <w:spacing w:line="318" w:lineRule="exact"/>
        <w:contextualSpacing/>
        <w:rPr>
          <w:rFonts w:ascii="Verdana" w:hAnsi="Verdana" w:cs="Tahoma"/>
          <w:sz w:val="20"/>
        </w:rPr>
      </w:pPr>
      <w:bookmarkStart w:id="141" w:name="_Ref130286824"/>
      <w:r>
        <w:rPr>
          <w:rFonts w:ascii="Verdana" w:hAnsi="Verdana" w:cs="Tahoma"/>
          <w:sz w:val="20"/>
        </w:rPr>
        <w:t>8.1.1.</w:t>
      </w:r>
      <w:r>
        <w:rPr>
          <w:rFonts w:ascii="Verdana" w:hAnsi="Verdana" w:cs="Tahoma"/>
          <w:sz w:val="20"/>
        </w:rPr>
        <w:tab/>
        <w:t>A Emissora obriga</w:t>
      </w:r>
      <w:r>
        <w:rPr>
          <w:rFonts w:ascii="Verdana" w:hAnsi="Verdana" w:cs="Tahoma"/>
          <w:sz w:val="20"/>
        </w:rPr>
        <w:noBreakHyphen/>
        <w:t>se, de forma irrevogável e irretratável, a indenizar os Debenturistas e o Agente Fiduciário por t</w:t>
      </w:r>
      <w:r>
        <w:rPr>
          <w:rFonts w:ascii="Verdana" w:hAnsi="Verdana" w:cs="Tahoma"/>
          <w:sz w:val="20"/>
        </w:rPr>
        <w:t xml:space="preserve">odos e quaisquer prejuízos, danos, perdas, custos e/ou despesas (incluindo custas judiciais e honorários advocatícios) incorridos e comprovados pelos Debenturistas e pelo Agente Fiduciário em razão da falta de veracidade, consistência, </w:t>
      </w:r>
      <w:r>
        <w:rPr>
          <w:rFonts w:ascii="Verdana" w:hAnsi="Verdana" w:cs="Tahoma"/>
          <w:sz w:val="20"/>
        </w:rPr>
        <w:lastRenderedPageBreak/>
        <w:t>qualidade e suficiên</w:t>
      </w:r>
      <w:r>
        <w:rPr>
          <w:rFonts w:ascii="Verdana" w:hAnsi="Verdana" w:cs="Tahoma"/>
          <w:sz w:val="20"/>
        </w:rPr>
        <w:t>cia de quaisquer das suas declarações prestadas nos termos desta Cláusula Oitava.</w:t>
      </w:r>
    </w:p>
    <w:p w:rsidR="00DE19C8" w:rsidRDefault="00DE19C8">
      <w:pPr>
        <w:pStyle w:val="Corpodetexto"/>
        <w:suppressAutoHyphens/>
        <w:spacing w:line="318" w:lineRule="exact"/>
        <w:contextualSpacing/>
        <w:rPr>
          <w:rFonts w:ascii="Verdana" w:hAnsi="Verdana" w:cs="Tahoma"/>
          <w:sz w:val="20"/>
        </w:rPr>
      </w:pPr>
    </w:p>
    <w:p w:rsidR="00DE19C8" w:rsidRDefault="00626B63">
      <w:pPr>
        <w:pStyle w:val="Corpodetexto"/>
        <w:suppressAutoHyphens/>
        <w:spacing w:line="318" w:lineRule="exact"/>
        <w:contextualSpacing/>
        <w:rPr>
          <w:rFonts w:ascii="Verdana" w:hAnsi="Verdana" w:cs="Tahoma"/>
          <w:sz w:val="20"/>
        </w:rPr>
      </w:pPr>
      <w:r>
        <w:rPr>
          <w:rFonts w:ascii="Verdana" w:hAnsi="Verdana" w:cs="Tahoma"/>
          <w:sz w:val="20"/>
        </w:rPr>
        <w:t>8.1.2.</w:t>
      </w:r>
      <w:r>
        <w:rPr>
          <w:rFonts w:ascii="Verdana" w:hAnsi="Verdana" w:cs="Tahoma"/>
          <w:sz w:val="20"/>
        </w:rPr>
        <w:tab/>
        <w:t>Sem prejuízo do disposto no item 8.1.1 acima, a Emissora obriga</w:t>
      </w:r>
      <w:r>
        <w:rPr>
          <w:rFonts w:ascii="Verdana" w:hAnsi="Verdana" w:cs="Tahoma"/>
          <w:sz w:val="20"/>
        </w:rPr>
        <w:noBreakHyphen/>
        <w:t>se a notificar em até 1 (um) Dia Útil o Agente Fiduciário caso quaisquer das declarações ora prestadas</w:t>
      </w:r>
      <w:r>
        <w:rPr>
          <w:rFonts w:ascii="Verdana" w:hAnsi="Verdana" w:cs="Tahoma"/>
          <w:sz w:val="20"/>
        </w:rPr>
        <w:t xml:space="preserve"> tornem</w:t>
      </w:r>
      <w:r>
        <w:rPr>
          <w:rFonts w:ascii="Verdana" w:hAnsi="Verdana" w:cs="Tahoma"/>
          <w:sz w:val="20"/>
        </w:rPr>
        <w:noBreakHyphen/>
        <w:t>se inverídicas ou incorretas a partir da data em que foram prestadas. </w:t>
      </w:r>
      <w:bookmarkEnd w:id="141"/>
      <w:r>
        <w:rPr>
          <w:rFonts w:ascii="Verdana" w:hAnsi="Verdana" w:cs="Tahoma"/>
          <w:sz w:val="20"/>
        </w:rPr>
        <w:t xml:space="preserve"> </w:t>
      </w:r>
    </w:p>
    <w:p w:rsidR="00DE19C8" w:rsidRDefault="00DE19C8">
      <w:pPr>
        <w:rPr>
          <w:rFonts w:ascii="Verdana" w:hAnsi="Verdana"/>
          <w:sz w:val="20"/>
        </w:rPr>
      </w:pPr>
    </w:p>
    <w:p w:rsidR="00DE19C8" w:rsidRDefault="00626B63">
      <w:pPr>
        <w:pStyle w:val="Ttulo2"/>
        <w:suppressAutoHyphens/>
        <w:spacing w:line="318" w:lineRule="exact"/>
        <w:contextualSpacing/>
        <w:rPr>
          <w:rFonts w:ascii="Verdana" w:hAnsi="Verdana" w:cs="Tahoma"/>
          <w:sz w:val="20"/>
        </w:rPr>
      </w:pPr>
      <w:bookmarkStart w:id="142" w:name="_Toc514873577"/>
      <w:r>
        <w:rPr>
          <w:rFonts w:ascii="Verdana" w:hAnsi="Verdana" w:cs="Tahoma"/>
          <w:sz w:val="20"/>
        </w:rPr>
        <w:t>CLÁUSULA NONA – DAS NOTIFICAÇÕES</w:t>
      </w:r>
      <w:bookmarkEnd w:id="142"/>
    </w:p>
    <w:p w:rsidR="00DE19C8" w:rsidRDefault="00DE19C8">
      <w:pPr>
        <w:pStyle w:val="Ttulo2"/>
        <w:suppressAutoHyphens/>
        <w:spacing w:line="318" w:lineRule="exact"/>
        <w:contextualSpacing/>
        <w:rPr>
          <w:rFonts w:ascii="Verdana" w:hAnsi="Verdana" w:cs="Tahoma"/>
          <w:sz w:val="20"/>
        </w:rPr>
      </w:pPr>
    </w:p>
    <w:p w:rsidR="00DE19C8" w:rsidRDefault="00626B63">
      <w:pPr>
        <w:pStyle w:val="Corpodetexto"/>
        <w:suppressAutoHyphens/>
        <w:spacing w:line="318" w:lineRule="exact"/>
        <w:contextualSpacing/>
        <w:rPr>
          <w:rFonts w:ascii="Verdana" w:hAnsi="Verdana" w:cs="Tahoma"/>
          <w:sz w:val="20"/>
        </w:rPr>
      </w:pPr>
      <w:r>
        <w:rPr>
          <w:rFonts w:ascii="Verdana" w:hAnsi="Verdana" w:cs="Tahoma"/>
          <w:sz w:val="20"/>
        </w:rPr>
        <w:t>9.1.</w:t>
      </w:r>
      <w:r>
        <w:rPr>
          <w:rFonts w:ascii="Verdana" w:hAnsi="Verdana" w:cs="Tahoma"/>
          <w:sz w:val="20"/>
        </w:rPr>
        <w:tab/>
        <w:t>Todos os documentos e as comunicações, que deverão ser sempre feitos por escrito, assim como os meios físicos que contenham documentos o</w:t>
      </w:r>
      <w:r>
        <w:rPr>
          <w:rFonts w:ascii="Verdana" w:hAnsi="Verdana" w:cs="Tahoma"/>
          <w:sz w:val="20"/>
        </w:rPr>
        <w:t>u comunicações, a serem enviados por qualquer das partes nos termos desta Escritura de Emissão, deverão ser encaminhados para os seguintes endereços:</w:t>
      </w:r>
    </w:p>
    <w:p w:rsidR="00DE19C8" w:rsidRDefault="00DE19C8">
      <w:pPr>
        <w:suppressAutoHyphens/>
        <w:spacing w:line="318" w:lineRule="exact"/>
        <w:contextualSpacing/>
        <w:rPr>
          <w:rFonts w:ascii="Verdana" w:hAnsi="Verdana" w:cs="Tahoma"/>
          <w:sz w:val="20"/>
        </w:rPr>
      </w:pPr>
    </w:p>
    <w:p w:rsidR="00DE19C8" w:rsidRDefault="00626B63">
      <w:pPr>
        <w:keepNext/>
        <w:suppressAutoHyphens/>
        <w:spacing w:line="318" w:lineRule="exact"/>
        <w:contextualSpacing/>
        <w:rPr>
          <w:rFonts w:ascii="Verdana" w:hAnsi="Verdana" w:cs="Tahoma"/>
          <w:b/>
          <w:sz w:val="20"/>
        </w:rPr>
      </w:pPr>
      <w:r>
        <w:rPr>
          <w:rFonts w:ascii="Verdana" w:hAnsi="Verdana" w:cs="Tahoma"/>
          <w:b/>
          <w:sz w:val="20"/>
        </w:rPr>
        <w:t>Para a Emissora:</w:t>
      </w:r>
    </w:p>
    <w:p w:rsidR="00DE19C8" w:rsidRDefault="00626B63">
      <w:pPr>
        <w:pStyle w:val="Recuodecorpodetexto"/>
        <w:keepNext/>
        <w:suppressAutoHyphens/>
        <w:spacing w:line="318" w:lineRule="exact"/>
        <w:ind w:left="0" w:firstLine="0"/>
        <w:contextualSpacing/>
        <w:rPr>
          <w:rFonts w:ascii="Verdana" w:hAnsi="Verdana" w:cs="Tahoma"/>
          <w:b/>
          <w:sz w:val="20"/>
        </w:rPr>
      </w:pPr>
      <w:r>
        <w:rPr>
          <w:rFonts w:ascii="Verdana" w:hAnsi="Verdana" w:cs="Tahoma"/>
          <w:b/>
          <w:sz w:val="20"/>
        </w:rPr>
        <w:t xml:space="preserve">MINERVA S.A. </w:t>
      </w:r>
    </w:p>
    <w:p w:rsidR="00DE19C8" w:rsidRDefault="00626B63">
      <w:pPr>
        <w:pStyle w:val="Recuodecorpodetexto"/>
        <w:widowControl w:val="0"/>
        <w:suppressAutoHyphens/>
        <w:spacing w:line="318" w:lineRule="exact"/>
        <w:ind w:left="0" w:firstLine="0"/>
        <w:contextualSpacing/>
        <w:rPr>
          <w:rFonts w:ascii="Verdana" w:hAnsi="Verdana" w:cs="Georgia"/>
          <w:sz w:val="20"/>
        </w:rPr>
      </w:pPr>
      <w:r>
        <w:rPr>
          <w:rFonts w:ascii="Verdana" w:hAnsi="Verdana" w:cs="Georgia"/>
          <w:sz w:val="20"/>
        </w:rPr>
        <w:t xml:space="preserve">Prolongamento da Avenida </w:t>
      </w:r>
      <w:proofErr w:type="spellStart"/>
      <w:r>
        <w:rPr>
          <w:rFonts w:ascii="Verdana" w:hAnsi="Verdana" w:cs="Georgia"/>
          <w:sz w:val="20"/>
        </w:rPr>
        <w:t>Antonio</w:t>
      </w:r>
      <w:proofErr w:type="spellEnd"/>
      <w:r>
        <w:rPr>
          <w:rFonts w:ascii="Verdana" w:hAnsi="Verdana" w:cs="Georgia"/>
          <w:sz w:val="20"/>
        </w:rPr>
        <w:t xml:space="preserve"> </w:t>
      </w:r>
      <w:proofErr w:type="spellStart"/>
      <w:r>
        <w:rPr>
          <w:rFonts w:ascii="Verdana" w:hAnsi="Verdana" w:cs="Georgia"/>
          <w:sz w:val="20"/>
        </w:rPr>
        <w:t>Manço</w:t>
      </w:r>
      <w:proofErr w:type="spellEnd"/>
      <w:r>
        <w:rPr>
          <w:rFonts w:ascii="Verdana" w:hAnsi="Verdana" w:cs="Georgia"/>
          <w:sz w:val="20"/>
        </w:rPr>
        <w:t xml:space="preserve"> Bernardes, s/n°,</w:t>
      </w:r>
    </w:p>
    <w:p w:rsidR="00DE19C8" w:rsidRDefault="00626B63">
      <w:pPr>
        <w:pStyle w:val="Recuodecorpodetexto"/>
        <w:widowControl w:val="0"/>
        <w:suppressAutoHyphens/>
        <w:spacing w:line="318" w:lineRule="exact"/>
        <w:ind w:left="0" w:firstLine="0"/>
        <w:contextualSpacing/>
        <w:rPr>
          <w:rFonts w:ascii="Verdana" w:hAnsi="Verdana" w:cs="Georgia"/>
          <w:sz w:val="20"/>
        </w:rPr>
      </w:pPr>
      <w:r>
        <w:rPr>
          <w:rFonts w:ascii="Verdana" w:hAnsi="Verdana" w:cs="Georgia"/>
          <w:sz w:val="20"/>
        </w:rPr>
        <w:t xml:space="preserve">Rotatória Família </w:t>
      </w:r>
      <w:r>
        <w:rPr>
          <w:rFonts w:ascii="Verdana" w:hAnsi="Verdana" w:cs="Georgia"/>
          <w:sz w:val="20"/>
        </w:rPr>
        <w:t xml:space="preserve">Vilela de Queiroz, Chácara Minerva </w:t>
      </w:r>
    </w:p>
    <w:p w:rsidR="00DE19C8" w:rsidRDefault="00626B63">
      <w:pPr>
        <w:pStyle w:val="Recuodecorpodetexto"/>
        <w:widowControl w:val="0"/>
        <w:spacing w:line="318" w:lineRule="exact"/>
        <w:ind w:left="0" w:firstLine="0"/>
        <w:contextualSpacing/>
        <w:rPr>
          <w:rFonts w:ascii="Verdana" w:hAnsi="Verdana" w:cs="Tahoma"/>
          <w:sz w:val="20"/>
        </w:rPr>
      </w:pPr>
      <w:r>
        <w:rPr>
          <w:rFonts w:ascii="Verdana" w:hAnsi="Verdana" w:cs="Georgia"/>
          <w:sz w:val="20"/>
        </w:rPr>
        <w:t>CEP 14781-545, Barretos – SP</w:t>
      </w:r>
    </w:p>
    <w:p w:rsidR="00DE19C8" w:rsidRDefault="00626B63">
      <w:pPr>
        <w:pStyle w:val="Corpodetexto3"/>
        <w:widowControl w:val="0"/>
        <w:spacing w:line="318" w:lineRule="exact"/>
        <w:contextualSpacing/>
        <w:jc w:val="left"/>
        <w:rPr>
          <w:rFonts w:ascii="Verdana" w:hAnsi="Verdana" w:cs="Tahoma"/>
          <w:sz w:val="20"/>
        </w:rPr>
      </w:pPr>
      <w:r>
        <w:rPr>
          <w:rFonts w:ascii="Verdana" w:hAnsi="Verdana" w:cs="Tahoma"/>
          <w:sz w:val="20"/>
        </w:rPr>
        <w:t xml:space="preserve">At.: Sr. Fernando </w:t>
      </w:r>
      <w:proofErr w:type="spellStart"/>
      <w:r>
        <w:rPr>
          <w:rFonts w:ascii="Verdana" w:hAnsi="Verdana" w:cs="Tahoma"/>
          <w:sz w:val="20"/>
        </w:rPr>
        <w:t>Galletti</w:t>
      </w:r>
      <w:proofErr w:type="spellEnd"/>
      <w:r>
        <w:rPr>
          <w:rFonts w:ascii="Verdana" w:hAnsi="Verdana" w:cs="Tahoma"/>
          <w:sz w:val="20"/>
        </w:rPr>
        <w:t xml:space="preserve"> de Queiroz</w:t>
      </w:r>
    </w:p>
    <w:p w:rsidR="00DE19C8" w:rsidRDefault="00626B63">
      <w:pPr>
        <w:pStyle w:val="Corpodetexto3"/>
        <w:widowControl w:val="0"/>
        <w:spacing w:line="318" w:lineRule="exact"/>
        <w:contextualSpacing/>
        <w:jc w:val="left"/>
        <w:rPr>
          <w:rFonts w:ascii="Verdana" w:hAnsi="Verdana" w:cs="Tahoma"/>
          <w:sz w:val="20"/>
        </w:rPr>
      </w:pPr>
      <w:r>
        <w:rPr>
          <w:rFonts w:ascii="Verdana" w:hAnsi="Verdana" w:cs="Tahoma"/>
          <w:sz w:val="20"/>
        </w:rPr>
        <w:t>Tel.: (17)</w:t>
      </w:r>
      <w:r>
        <w:rPr>
          <w:rFonts w:ascii="Verdana" w:hAnsi="Verdana"/>
          <w:sz w:val="20"/>
        </w:rPr>
        <w:t xml:space="preserve"> </w:t>
      </w:r>
      <w:r>
        <w:rPr>
          <w:rFonts w:ascii="Verdana" w:hAnsi="Verdana" w:cs="Tahoma"/>
          <w:sz w:val="20"/>
        </w:rPr>
        <w:t>3321-3333</w:t>
      </w:r>
    </w:p>
    <w:p w:rsidR="00DE19C8" w:rsidRDefault="00626B63">
      <w:pPr>
        <w:pStyle w:val="Corpodetexto3"/>
        <w:widowControl w:val="0"/>
        <w:spacing w:line="318" w:lineRule="exact"/>
        <w:contextualSpacing/>
        <w:jc w:val="left"/>
        <w:rPr>
          <w:rFonts w:ascii="Verdana" w:hAnsi="Verdana" w:cs="Tahoma"/>
          <w:sz w:val="20"/>
        </w:rPr>
      </w:pPr>
      <w:r>
        <w:rPr>
          <w:rFonts w:ascii="Verdana" w:hAnsi="Verdana" w:cs="Tahoma"/>
          <w:sz w:val="20"/>
        </w:rPr>
        <w:t>Fac-símile: (17) 3323-3041</w:t>
      </w:r>
    </w:p>
    <w:p w:rsidR="00DE19C8" w:rsidRDefault="00626B63">
      <w:pPr>
        <w:pStyle w:val="Corpodetexto3"/>
        <w:widowControl w:val="0"/>
        <w:spacing w:line="318" w:lineRule="exact"/>
        <w:contextualSpacing/>
        <w:jc w:val="left"/>
        <w:rPr>
          <w:rFonts w:ascii="Verdana" w:hAnsi="Verdana" w:cs="Tahoma"/>
          <w:sz w:val="20"/>
        </w:rPr>
      </w:pPr>
      <w:r>
        <w:rPr>
          <w:rFonts w:ascii="Verdana" w:hAnsi="Verdana" w:cs="Tahoma"/>
          <w:sz w:val="20"/>
        </w:rPr>
        <w:t>E-mail: fernando.queiroz@minervafoods.com</w:t>
      </w:r>
    </w:p>
    <w:p w:rsidR="00DE19C8" w:rsidRDefault="00626B63">
      <w:pPr>
        <w:widowControl w:val="0"/>
        <w:spacing w:line="318" w:lineRule="exact"/>
        <w:contextualSpacing/>
        <w:rPr>
          <w:rFonts w:ascii="Verdana" w:hAnsi="Verdana" w:cs="Tahoma"/>
          <w:sz w:val="20"/>
        </w:rPr>
      </w:pPr>
      <w:r>
        <w:rPr>
          <w:rFonts w:ascii="Verdana" w:hAnsi="Verdana" w:cs="Tahoma"/>
          <w:sz w:val="20"/>
        </w:rPr>
        <w:t xml:space="preserve">Com cópia: </w:t>
      </w:r>
    </w:p>
    <w:p w:rsidR="00DE19C8" w:rsidRDefault="00626B63">
      <w:pPr>
        <w:pStyle w:val="Corpodetexto"/>
        <w:widowControl w:val="0"/>
        <w:spacing w:line="318" w:lineRule="exact"/>
        <w:contextualSpacing/>
        <w:rPr>
          <w:rFonts w:ascii="Verdana" w:hAnsi="Verdana"/>
          <w:sz w:val="20"/>
        </w:rPr>
      </w:pPr>
      <w:r>
        <w:rPr>
          <w:rFonts w:ascii="Verdana" w:hAnsi="Verdana"/>
          <w:sz w:val="20"/>
        </w:rPr>
        <w:t xml:space="preserve">Departamento Jurídico: At. Sra. Flávia Regina </w:t>
      </w:r>
      <w:r>
        <w:rPr>
          <w:rFonts w:ascii="Verdana" w:hAnsi="Verdana"/>
          <w:sz w:val="20"/>
        </w:rPr>
        <w:t>Ribeiro da Silva Villa</w:t>
      </w:r>
    </w:p>
    <w:p w:rsidR="00DE19C8" w:rsidRDefault="00626B63">
      <w:pPr>
        <w:widowControl w:val="0"/>
        <w:spacing w:line="318" w:lineRule="exact"/>
        <w:contextualSpacing/>
        <w:rPr>
          <w:rFonts w:ascii="Verdana" w:hAnsi="Verdana" w:cs="Tahoma"/>
          <w:sz w:val="20"/>
        </w:rPr>
      </w:pPr>
      <w:proofErr w:type="spellStart"/>
      <w:r>
        <w:rPr>
          <w:rFonts w:ascii="Verdana" w:hAnsi="Verdana" w:cs="Tahoma"/>
          <w:sz w:val="20"/>
        </w:rPr>
        <w:t>Tel</w:t>
      </w:r>
      <w:proofErr w:type="spellEnd"/>
      <w:r>
        <w:rPr>
          <w:rFonts w:ascii="Verdana" w:hAnsi="Verdana" w:cs="Tahoma"/>
          <w:sz w:val="20"/>
        </w:rPr>
        <w:t>: (17) 3312-3538</w:t>
      </w:r>
    </w:p>
    <w:p w:rsidR="00DE19C8" w:rsidRDefault="00626B63">
      <w:pPr>
        <w:widowControl w:val="0"/>
        <w:spacing w:line="318" w:lineRule="exact"/>
        <w:contextualSpacing/>
        <w:rPr>
          <w:rFonts w:ascii="Verdana" w:hAnsi="Verdana" w:cs="Tahoma"/>
          <w:sz w:val="20"/>
        </w:rPr>
      </w:pPr>
      <w:r>
        <w:rPr>
          <w:rFonts w:ascii="Verdana" w:hAnsi="Verdana" w:cs="Tahoma"/>
          <w:sz w:val="20"/>
        </w:rPr>
        <w:t>Fac-símile: (17) 3323-3041</w:t>
      </w:r>
    </w:p>
    <w:p w:rsidR="00DE19C8" w:rsidRDefault="00626B63">
      <w:pPr>
        <w:widowControl w:val="0"/>
        <w:spacing w:line="318" w:lineRule="exact"/>
        <w:contextualSpacing/>
        <w:rPr>
          <w:rFonts w:ascii="Verdana" w:hAnsi="Verdana" w:cs="Tahoma"/>
          <w:sz w:val="20"/>
        </w:rPr>
      </w:pPr>
      <w:r>
        <w:rPr>
          <w:rFonts w:ascii="Verdana" w:hAnsi="Verdana" w:cs="Tahoma"/>
          <w:sz w:val="20"/>
        </w:rPr>
        <w:t>E-mail:</w:t>
      </w:r>
      <w:r>
        <w:rPr>
          <w:rFonts w:ascii="Verdana" w:hAnsi="Verdana"/>
          <w:sz w:val="20"/>
        </w:rPr>
        <w:t xml:space="preserve"> </w:t>
      </w:r>
      <w:hyperlink r:id="rId13" w:history="1">
        <w:r>
          <w:rPr>
            <w:rFonts w:ascii="Verdana" w:hAnsi="Verdana"/>
            <w:sz w:val="20"/>
          </w:rPr>
          <w:t>flavia.ribeiro@minervafoods.com</w:t>
        </w:r>
      </w:hyperlink>
    </w:p>
    <w:p w:rsidR="00DE19C8" w:rsidRDefault="00DE19C8">
      <w:pPr>
        <w:widowControl w:val="0"/>
        <w:spacing w:line="318" w:lineRule="exact"/>
        <w:contextualSpacing/>
        <w:rPr>
          <w:rFonts w:ascii="Verdana" w:hAnsi="Verdana" w:cs="Tahoma"/>
          <w:sz w:val="20"/>
        </w:rPr>
      </w:pPr>
    </w:p>
    <w:p w:rsidR="00DE19C8" w:rsidRDefault="00626B63">
      <w:pPr>
        <w:widowControl w:val="0"/>
        <w:shd w:val="clear" w:color="auto" w:fill="FFFFFF"/>
        <w:spacing w:line="318" w:lineRule="exact"/>
        <w:contextualSpacing/>
        <w:rPr>
          <w:rFonts w:ascii="Verdana" w:hAnsi="Verdana" w:cs="Tahoma"/>
          <w:b/>
          <w:sz w:val="20"/>
        </w:rPr>
      </w:pPr>
      <w:r>
        <w:rPr>
          <w:rFonts w:ascii="Verdana" w:hAnsi="Verdana" w:cs="Tahoma"/>
          <w:b/>
          <w:sz w:val="20"/>
        </w:rPr>
        <w:t xml:space="preserve">Para o Agente Fiduciário: </w:t>
      </w:r>
    </w:p>
    <w:p w:rsidR="00DE19C8" w:rsidRDefault="00626B63">
      <w:pPr>
        <w:widowControl w:val="0"/>
        <w:shd w:val="clear" w:color="auto" w:fill="FFFFFF"/>
        <w:spacing w:line="318" w:lineRule="exact"/>
        <w:contextualSpacing/>
        <w:rPr>
          <w:rFonts w:ascii="Verdana" w:eastAsia="Arial Unicode MS" w:hAnsi="Verdana" w:cs="Arial"/>
          <w:sz w:val="20"/>
        </w:rPr>
      </w:pPr>
      <w:r>
        <w:rPr>
          <w:rFonts w:ascii="Verdana" w:hAnsi="Verdana" w:cs="Arial"/>
          <w:b/>
          <w:bCs/>
          <w:caps/>
          <w:sz w:val="20"/>
          <w:lang w:eastAsia="x-none"/>
        </w:rPr>
        <w:t>OLIVEIRA TRUST DISTRIBUIDORA DE TÍTULOS E VALORES MOBILIÁRIOS S</w:t>
      </w:r>
      <w:r>
        <w:rPr>
          <w:rFonts w:ascii="Verdana" w:hAnsi="Verdana" w:cs="Arial"/>
          <w:b/>
          <w:bCs/>
          <w:caps/>
          <w:sz w:val="20"/>
          <w:lang w:eastAsia="x-none"/>
        </w:rPr>
        <w:t>.A.</w:t>
      </w:r>
      <w:r>
        <w:rPr>
          <w:rFonts w:ascii="Verdana" w:eastAsia="Arial Unicode MS" w:hAnsi="Verdana" w:cs="Arial"/>
          <w:b/>
          <w:sz w:val="20"/>
        </w:rPr>
        <w:t xml:space="preserve"> </w:t>
      </w:r>
    </w:p>
    <w:p w:rsidR="00DE19C8" w:rsidRDefault="00626B63">
      <w:pPr>
        <w:widowControl w:val="0"/>
        <w:shd w:val="clear" w:color="auto" w:fill="FFFFFF"/>
        <w:spacing w:line="318" w:lineRule="exact"/>
        <w:contextualSpacing/>
        <w:rPr>
          <w:rFonts w:ascii="Verdana" w:eastAsia="Arial Unicode MS" w:hAnsi="Verdana" w:cs="Arial"/>
          <w:sz w:val="20"/>
          <w:highlight w:val="green"/>
        </w:rPr>
      </w:pPr>
      <w:r>
        <w:rPr>
          <w:rFonts w:ascii="Verdana" w:hAnsi="Verdana" w:cs="Arial"/>
          <w:sz w:val="20"/>
          <w:lang w:eastAsia="x-none"/>
        </w:rPr>
        <w:t>Avenida das Américas, nº 3434, Bloco 07, sala 201, Barra da Tijuca</w:t>
      </w:r>
    </w:p>
    <w:p w:rsidR="00DE19C8" w:rsidRDefault="00626B63">
      <w:pPr>
        <w:widowControl w:val="0"/>
        <w:shd w:val="clear" w:color="auto" w:fill="FFFFFF"/>
        <w:spacing w:line="318" w:lineRule="exact"/>
        <w:contextualSpacing/>
        <w:rPr>
          <w:rFonts w:ascii="Verdana" w:eastAsia="Arial Unicode MS" w:hAnsi="Verdana" w:cs="Arial"/>
          <w:sz w:val="20"/>
        </w:rPr>
      </w:pPr>
      <w:r>
        <w:rPr>
          <w:rFonts w:ascii="Verdana" w:eastAsia="Arial Unicode MS" w:hAnsi="Verdana" w:cs="Arial"/>
          <w:sz w:val="20"/>
        </w:rPr>
        <w:t xml:space="preserve">CEP: </w:t>
      </w:r>
      <w:r>
        <w:rPr>
          <w:rFonts w:ascii="Verdana" w:hAnsi="Verdana" w:cs="Arial"/>
          <w:sz w:val="20"/>
          <w:lang w:eastAsia="x-none"/>
        </w:rPr>
        <w:t>22640-102,</w:t>
      </w:r>
      <w:r>
        <w:rPr>
          <w:rFonts w:ascii="Verdana" w:eastAsia="Arial Unicode MS" w:hAnsi="Verdana" w:cs="Arial"/>
          <w:sz w:val="20"/>
        </w:rPr>
        <w:t xml:space="preserve"> Rio de Janeiro - RJ</w:t>
      </w:r>
    </w:p>
    <w:p w:rsidR="00DE19C8" w:rsidRDefault="00626B63">
      <w:pPr>
        <w:widowControl w:val="0"/>
        <w:shd w:val="clear" w:color="auto" w:fill="FFFFFF"/>
        <w:spacing w:line="318" w:lineRule="exact"/>
        <w:contextualSpacing/>
        <w:rPr>
          <w:rFonts w:ascii="Verdana" w:eastAsia="Arial Unicode MS" w:hAnsi="Verdana" w:cs="Arial"/>
          <w:sz w:val="20"/>
        </w:rPr>
      </w:pPr>
      <w:r>
        <w:rPr>
          <w:rFonts w:ascii="Verdana" w:eastAsia="Arial Unicode MS" w:hAnsi="Verdana" w:cs="Arial"/>
          <w:sz w:val="20"/>
        </w:rPr>
        <w:t xml:space="preserve">At.: </w:t>
      </w:r>
      <w:proofErr w:type="spellStart"/>
      <w:r>
        <w:rPr>
          <w:rFonts w:ascii="Verdana" w:eastAsia="Arial Unicode MS" w:hAnsi="Verdana" w:cs="Arial"/>
          <w:sz w:val="20"/>
        </w:rPr>
        <w:t>Antonio</w:t>
      </w:r>
      <w:proofErr w:type="spellEnd"/>
      <w:r>
        <w:rPr>
          <w:rFonts w:ascii="Verdana" w:eastAsia="Arial Unicode MS" w:hAnsi="Verdana" w:cs="Arial"/>
          <w:sz w:val="20"/>
        </w:rPr>
        <w:t xml:space="preserve"> Amaro // Maria Carolina Abrantes </w:t>
      </w:r>
      <w:proofErr w:type="spellStart"/>
      <w:r>
        <w:rPr>
          <w:rFonts w:ascii="Verdana" w:eastAsia="Arial Unicode MS" w:hAnsi="Verdana" w:cs="Arial"/>
          <w:sz w:val="20"/>
        </w:rPr>
        <w:t>Lodi</w:t>
      </w:r>
      <w:proofErr w:type="spellEnd"/>
      <w:r>
        <w:rPr>
          <w:rFonts w:ascii="Verdana" w:eastAsia="Arial Unicode MS" w:hAnsi="Verdana" w:cs="Arial"/>
          <w:sz w:val="20"/>
        </w:rPr>
        <w:t xml:space="preserve"> de Oliveira</w:t>
      </w:r>
    </w:p>
    <w:p w:rsidR="00DE19C8" w:rsidRDefault="00626B63">
      <w:pPr>
        <w:keepNext/>
        <w:shd w:val="clear" w:color="auto" w:fill="FFFFFF"/>
        <w:spacing w:line="318" w:lineRule="exact"/>
        <w:contextualSpacing/>
        <w:rPr>
          <w:rFonts w:ascii="Verdana" w:eastAsia="Arial Unicode MS" w:hAnsi="Verdana" w:cs="Arial"/>
          <w:sz w:val="20"/>
        </w:rPr>
      </w:pPr>
      <w:r>
        <w:rPr>
          <w:rFonts w:ascii="Verdana" w:eastAsia="Arial Unicode MS" w:hAnsi="Verdana" w:cs="Arial"/>
          <w:sz w:val="20"/>
        </w:rPr>
        <w:t>Tel.:(21) 3514-0000</w:t>
      </w:r>
    </w:p>
    <w:p w:rsidR="00DE19C8" w:rsidRDefault="00626B63">
      <w:pPr>
        <w:keepNext/>
        <w:spacing w:line="318" w:lineRule="exact"/>
        <w:contextualSpacing/>
        <w:rPr>
          <w:rFonts w:ascii="Verdana" w:eastAsia="Arial Unicode MS" w:hAnsi="Verdana" w:cs="Arial"/>
          <w:sz w:val="20"/>
        </w:rPr>
      </w:pPr>
      <w:r>
        <w:rPr>
          <w:rFonts w:ascii="Verdana" w:eastAsia="Arial Unicode MS" w:hAnsi="Verdana" w:cs="Arial"/>
          <w:sz w:val="20"/>
        </w:rPr>
        <w:t xml:space="preserve">E-mail: </w:t>
      </w:r>
      <w:hyperlink r:id="rId14" w:history="1">
        <w:r>
          <w:rPr>
            <w:rStyle w:val="Hyperlink"/>
            <w:rFonts w:ascii="Verdana" w:eastAsia="Arial Unicode MS" w:hAnsi="Verdana" w:cs="Arial"/>
            <w:sz w:val="20"/>
          </w:rPr>
          <w:t>antonio.amaro@oliveiratrust.com.br</w:t>
        </w:r>
      </w:hyperlink>
      <w:r>
        <w:rPr>
          <w:rFonts w:ascii="Verdana" w:eastAsia="Arial Unicode MS" w:hAnsi="Verdana" w:cs="Arial"/>
          <w:sz w:val="20"/>
        </w:rPr>
        <w:t xml:space="preserve"> // ger2.agente@oliveiratrust.com.br </w:t>
      </w:r>
    </w:p>
    <w:p w:rsidR="00DE19C8" w:rsidRDefault="00DE19C8">
      <w:pPr>
        <w:pStyle w:val="Recuodecorpodetexto"/>
        <w:suppressAutoHyphens/>
        <w:spacing w:line="318" w:lineRule="exact"/>
        <w:ind w:left="0" w:firstLine="0"/>
        <w:contextualSpacing/>
        <w:rPr>
          <w:rFonts w:ascii="Verdana" w:hAnsi="Verdana" w:cs="Tahoma"/>
          <w:sz w:val="20"/>
        </w:rPr>
      </w:pPr>
    </w:p>
    <w:p w:rsidR="00DE19C8" w:rsidRDefault="00626B63">
      <w:pPr>
        <w:keepNext/>
        <w:tabs>
          <w:tab w:val="left" w:pos="2366"/>
        </w:tabs>
        <w:spacing w:line="300" w:lineRule="atLeast"/>
        <w:rPr>
          <w:rFonts w:ascii="Verdana" w:hAnsi="Verdana"/>
          <w:b/>
          <w:color w:val="000000"/>
          <w:sz w:val="20"/>
        </w:rPr>
      </w:pPr>
      <w:r>
        <w:rPr>
          <w:rFonts w:ascii="Verdana" w:hAnsi="Verdana"/>
          <w:b/>
          <w:color w:val="000000"/>
          <w:sz w:val="20"/>
        </w:rPr>
        <w:t xml:space="preserve">Para o </w:t>
      </w:r>
      <w:proofErr w:type="spellStart"/>
      <w:r>
        <w:rPr>
          <w:rFonts w:ascii="Verdana" w:hAnsi="Verdana"/>
          <w:b/>
          <w:sz w:val="20"/>
        </w:rPr>
        <w:t>Escriturador</w:t>
      </w:r>
      <w:proofErr w:type="spellEnd"/>
      <w:r>
        <w:rPr>
          <w:rFonts w:ascii="Verdana" w:hAnsi="Verdana"/>
          <w:b/>
          <w:sz w:val="20"/>
        </w:rPr>
        <w:t xml:space="preserve"> e </w:t>
      </w:r>
      <w:r>
        <w:rPr>
          <w:rFonts w:ascii="Verdana" w:hAnsi="Verdana" w:cs="Tahoma"/>
          <w:b/>
          <w:sz w:val="20"/>
        </w:rPr>
        <w:t>Banco Liquidante</w:t>
      </w:r>
      <w:r>
        <w:rPr>
          <w:rFonts w:ascii="Verdana" w:hAnsi="Verdana"/>
          <w:b/>
          <w:color w:val="000000"/>
          <w:sz w:val="20"/>
        </w:rPr>
        <w:t>:</w:t>
      </w:r>
    </w:p>
    <w:p w:rsidR="00DE19C8" w:rsidRDefault="00626B63">
      <w:pPr>
        <w:pStyle w:val="p3"/>
        <w:spacing w:line="300" w:lineRule="exact"/>
        <w:rPr>
          <w:rFonts w:ascii="Verdana" w:hAnsi="Verdana"/>
          <w:sz w:val="20"/>
          <w:szCs w:val="20"/>
        </w:rPr>
      </w:pPr>
      <w:r>
        <w:rPr>
          <w:rFonts w:ascii="Verdana" w:hAnsi="Verdana"/>
          <w:sz w:val="20"/>
          <w:szCs w:val="20"/>
        </w:rPr>
        <w:t xml:space="preserve">Cidade de Deus, s/nº, Prédio Amarelo, 2º andar, Bairro Vila Yara </w:t>
      </w:r>
    </w:p>
    <w:p w:rsidR="00DE19C8" w:rsidRDefault="00626B63">
      <w:pPr>
        <w:pStyle w:val="p3"/>
        <w:spacing w:line="300" w:lineRule="exact"/>
        <w:rPr>
          <w:rFonts w:ascii="Verdana" w:hAnsi="Verdana"/>
          <w:sz w:val="20"/>
          <w:szCs w:val="20"/>
        </w:rPr>
      </w:pPr>
      <w:r>
        <w:rPr>
          <w:rFonts w:ascii="Verdana" w:hAnsi="Verdana"/>
          <w:sz w:val="20"/>
          <w:szCs w:val="20"/>
        </w:rPr>
        <w:lastRenderedPageBreak/>
        <w:t>06.029-900, São Paulo – SP</w:t>
      </w:r>
    </w:p>
    <w:p w:rsidR="00DE19C8" w:rsidRDefault="00626B63">
      <w:pPr>
        <w:pStyle w:val="p3"/>
        <w:spacing w:line="300" w:lineRule="exact"/>
        <w:rPr>
          <w:rFonts w:ascii="Verdana" w:hAnsi="Verdana"/>
          <w:bCs/>
          <w:sz w:val="20"/>
          <w:szCs w:val="20"/>
        </w:rPr>
      </w:pPr>
      <w:r>
        <w:rPr>
          <w:rFonts w:ascii="Verdana" w:hAnsi="Verdana"/>
          <w:bCs/>
          <w:sz w:val="20"/>
          <w:szCs w:val="20"/>
        </w:rPr>
        <w:t xml:space="preserve">At.: Sra. Debora Andrade Teixeira / Sr. Douglas </w:t>
      </w:r>
      <w:r>
        <w:rPr>
          <w:rFonts w:ascii="Verdana" w:hAnsi="Verdana"/>
          <w:bCs/>
          <w:sz w:val="20"/>
          <w:szCs w:val="20"/>
        </w:rPr>
        <w:t>Marcos da Cruz</w:t>
      </w:r>
    </w:p>
    <w:p w:rsidR="00DE19C8" w:rsidRDefault="00626B63">
      <w:pPr>
        <w:pStyle w:val="p3"/>
        <w:spacing w:line="300" w:lineRule="exact"/>
        <w:rPr>
          <w:rFonts w:ascii="Verdana" w:hAnsi="Verdana"/>
          <w:bCs/>
          <w:sz w:val="20"/>
          <w:szCs w:val="20"/>
        </w:rPr>
      </w:pPr>
      <w:r>
        <w:rPr>
          <w:rFonts w:ascii="Verdana" w:hAnsi="Verdana"/>
          <w:bCs/>
          <w:sz w:val="20"/>
          <w:szCs w:val="20"/>
        </w:rPr>
        <w:t>Tel.: (11) 3684-9492 / (11) 3684-7911 / (11) 3684-7691</w:t>
      </w:r>
    </w:p>
    <w:p w:rsidR="00DE19C8" w:rsidRDefault="00626B63">
      <w:pPr>
        <w:pStyle w:val="p3"/>
        <w:spacing w:line="300" w:lineRule="exact"/>
        <w:rPr>
          <w:rFonts w:ascii="Verdana" w:hAnsi="Verdana"/>
          <w:bCs/>
          <w:sz w:val="20"/>
          <w:szCs w:val="20"/>
        </w:rPr>
      </w:pPr>
      <w:r>
        <w:rPr>
          <w:rFonts w:ascii="Verdana" w:hAnsi="Verdana"/>
          <w:bCs/>
          <w:sz w:val="20"/>
          <w:szCs w:val="20"/>
        </w:rPr>
        <w:t>E-mail: debora.teixeira@bradesco.com.br / 4010.custodiarf@bradesco.com.br / fabio.tomo@bradesco.com.br / douglas.cruz@bradesco.com.br / 4010.debentures@bradesco.com.br</w:t>
      </w:r>
    </w:p>
    <w:p w:rsidR="00DE19C8" w:rsidRDefault="00626B63">
      <w:pPr>
        <w:keepNext/>
        <w:spacing w:line="318" w:lineRule="exact"/>
        <w:contextualSpacing/>
        <w:rPr>
          <w:rFonts w:ascii="Verdana" w:hAnsi="Verdana" w:cs="Tahoma"/>
          <w:sz w:val="20"/>
        </w:rPr>
      </w:pPr>
      <w:r>
        <w:rPr>
          <w:rFonts w:ascii="Verdana" w:eastAsia="Arial Unicode MS" w:hAnsi="Verdana" w:cs="Arial"/>
          <w:b/>
          <w:sz w:val="20"/>
        </w:rPr>
        <w:t xml:space="preserve"> </w:t>
      </w:r>
    </w:p>
    <w:p w:rsidR="00DE19C8" w:rsidRDefault="00626B63">
      <w:pPr>
        <w:tabs>
          <w:tab w:val="left" w:pos="720"/>
          <w:tab w:val="left" w:pos="2366"/>
        </w:tabs>
        <w:spacing w:line="318" w:lineRule="exact"/>
        <w:contextualSpacing/>
        <w:rPr>
          <w:rFonts w:ascii="Verdana" w:hAnsi="Verdana" w:cs="Garamond"/>
          <w:b/>
          <w:bCs/>
          <w:color w:val="000000"/>
          <w:sz w:val="20"/>
        </w:rPr>
      </w:pPr>
      <w:bookmarkStart w:id="143" w:name="_Hlk514062964"/>
      <w:r>
        <w:rPr>
          <w:rFonts w:ascii="Verdana" w:hAnsi="Verdana" w:cs="Garamond"/>
          <w:b/>
          <w:bCs/>
          <w:color w:val="000000"/>
          <w:sz w:val="20"/>
        </w:rPr>
        <w:t>Para a B3</w:t>
      </w:r>
      <w:r>
        <w:rPr>
          <w:rFonts w:ascii="Verdana" w:hAnsi="Verdana" w:cs="Tahoma"/>
          <w:sz w:val="20"/>
        </w:rPr>
        <w:t xml:space="preserve"> </w:t>
      </w:r>
      <w:r>
        <w:rPr>
          <w:rFonts w:ascii="Verdana" w:hAnsi="Verdana"/>
          <w:b/>
          <w:sz w:val="20"/>
        </w:rPr>
        <w:t>– Segm</w:t>
      </w:r>
      <w:r>
        <w:rPr>
          <w:rFonts w:ascii="Verdana" w:hAnsi="Verdana"/>
          <w:b/>
          <w:sz w:val="20"/>
        </w:rPr>
        <w:t xml:space="preserve">ento </w:t>
      </w:r>
      <w:proofErr w:type="spellStart"/>
      <w:r>
        <w:rPr>
          <w:rFonts w:ascii="Verdana" w:hAnsi="Verdana"/>
          <w:b/>
          <w:sz w:val="20"/>
        </w:rPr>
        <w:t>Cetip</w:t>
      </w:r>
      <w:proofErr w:type="spellEnd"/>
      <w:r>
        <w:rPr>
          <w:rFonts w:ascii="Verdana" w:hAnsi="Verdana"/>
          <w:b/>
          <w:sz w:val="20"/>
        </w:rPr>
        <w:t xml:space="preserve"> UTVM</w:t>
      </w:r>
      <w:r>
        <w:rPr>
          <w:rFonts w:ascii="Verdana" w:hAnsi="Verdana" w:cs="Garamond"/>
          <w:b/>
          <w:bCs/>
          <w:color w:val="000000"/>
          <w:sz w:val="20"/>
        </w:rPr>
        <w:t>:</w:t>
      </w:r>
    </w:p>
    <w:p w:rsidR="00DE19C8" w:rsidRDefault="00626B63">
      <w:pPr>
        <w:pStyle w:val="Recuodecorpodetexto"/>
        <w:suppressAutoHyphens/>
        <w:spacing w:line="318" w:lineRule="exact"/>
        <w:ind w:left="0" w:firstLine="0"/>
        <w:contextualSpacing/>
        <w:rPr>
          <w:rFonts w:ascii="Verdana" w:hAnsi="Verdana" w:cs="Tahoma"/>
          <w:sz w:val="20"/>
        </w:rPr>
      </w:pPr>
      <w:r>
        <w:rPr>
          <w:rFonts w:ascii="Verdana" w:hAnsi="Verdana" w:cs="Tahoma"/>
          <w:sz w:val="20"/>
        </w:rPr>
        <w:t xml:space="preserve">B3 S.A. – BRASIL, BOLSA, BALCÃO - Segmento </w:t>
      </w:r>
      <w:proofErr w:type="spellStart"/>
      <w:r>
        <w:rPr>
          <w:rFonts w:ascii="Verdana" w:hAnsi="Verdana" w:cs="Tahoma"/>
          <w:sz w:val="20"/>
        </w:rPr>
        <w:t>Cetip</w:t>
      </w:r>
      <w:proofErr w:type="spellEnd"/>
      <w:r>
        <w:rPr>
          <w:rFonts w:ascii="Verdana" w:hAnsi="Verdana" w:cs="Tahoma"/>
          <w:sz w:val="20"/>
        </w:rPr>
        <w:t xml:space="preserve"> UTVM</w:t>
      </w:r>
    </w:p>
    <w:p w:rsidR="00DE19C8" w:rsidRDefault="00626B63">
      <w:pPr>
        <w:pStyle w:val="Recuodecorpodetexto"/>
        <w:suppressAutoHyphens/>
        <w:spacing w:line="318" w:lineRule="exact"/>
        <w:ind w:left="0" w:firstLine="0"/>
        <w:contextualSpacing/>
        <w:rPr>
          <w:rFonts w:ascii="Verdana" w:hAnsi="Verdana" w:cs="Tahoma"/>
          <w:sz w:val="20"/>
        </w:rPr>
      </w:pPr>
      <w:r>
        <w:rPr>
          <w:rFonts w:ascii="Verdana" w:hAnsi="Verdana" w:cs="Tahoma"/>
          <w:sz w:val="20"/>
        </w:rPr>
        <w:t>Praça Antônio Prado, 48, 4º andar</w:t>
      </w:r>
    </w:p>
    <w:p w:rsidR="00DE19C8" w:rsidRDefault="00626B63">
      <w:pPr>
        <w:pStyle w:val="Recuodecorpodetexto"/>
        <w:suppressAutoHyphens/>
        <w:spacing w:line="318" w:lineRule="exact"/>
        <w:ind w:left="0" w:firstLine="0"/>
        <w:contextualSpacing/>
        <w:rPr>
          <w:rFonts w:ascii="Verdana" w:hAnsi="Verdana" w:cs="Tahoma"/>
          <w:sz w:val="20"/>
        </w:rPr>
      </w:pPr>
      <w:r>
        <w:rPr>
          <w:rFonts w:ascii="Verdana" w:hAnsi="Verdana" w:cs="Tahoma"/>
          <w:sz w:val="20"/>
        </w:rPr>
        <w:t>CEP: 01010-901, São Paulo/SP</w:t>
      </w:r>
    </w:p>
    <w:p w:rsidR="00DE19C8" w:rsidRDefault="00626B63">
      <w:pPr>
        <w:pStyle w:val="Recuodecorpodetexto"/>
        <w:suppressAutoHyphens/>
        <w:spacing w:line="318" w:lineRule="exact"/>
        <w:ind w:left="0" w:firstLine="0"/>
        <w:contextualSpacing/>
        <w:rPr>
          <w:rFonts w:ascii="Verdana" w:hAnsi="Verdana" w:cs="Tahoma"/>
          <w:sz w:val="20"/>
        </w:rPr>
      </w:pPr>
      <w:r>
        <w:rPr>
          <w:rFonts w:ascii="Verdana" w:hAnsi="Verdana" w:cs="Tahoma"/>
          <w:sz w:val="20"/>
        </w:rPr>
        <w:t>At.: Superintendência de Ofertas de Valores Mobiliários de Renda Fixa</w:t>
      </w:r>
    </w:p>
    <w:p w:rsidR="00DE19C8" w:rsidRDefault="00626B63">
      <w:pPr>
        <w:pStyle w:val="Recuodecorpodetexto"/>
        <w:suppressAutoHyphens/>
        <w:spacing w:line="318" w:lineRule="exact"/>
        <w:ind w:left="0" w:firstLine="0"/>
        <w:contextualSpacing/>
        <w:rPr>
          <w:rFonts w:ascii="Verdana" w:hAnsi="Verdana" w:cs="Tahoma"/>
          <w:sz w:val="20"/>
        </w:rPr>
      </w:pPr>
      <w:proofErr w:type="spellStart"/>
      <w:r>
        <w:rPr>
          <w:rFonts w:ascii="Verdana" w:hAnsi="Verdana" w:cs="Tahoma"/>
          <w:sz w:val="20"/>
        </w:rPr>
        <w:t>Tel</w:t>
      </w:r>
      <w:proofErr w:type="spellEnd"/>
      <w:r>
        <w:rPr>
          <w:rFonts w:ascii="Verdana" w:hAnsi="Verdana" w:cs="Tahoma"/>
          <w:sz w:val="20"/>
        </w:rPr>
        <w:t>: 0300-111-1596</w:t>
      </w:r>
    </w:p>
    <w:p w:rsidR="00DE19C8" w:rsidRDefault="00626B63">
      <w:pPr>
        <w:pStyle w:val="Recuodecorpodetexto"/>
        <w:suppressAutoHyphens/>
        <w:spacing w:line="318" w:lineRule="exact"/>
        <w:ind w:left="0" w:firstLine="0"/>
        <w:contextualSpacing/>
        <w:rPr>
          <w:rFonts w:ascii="Verdana" w:hAnsi="Verdana" w:cs="Tahoma"/>
          <w:sz w:val="20"/>
        </w:rPr>
      </w:pPr>
      <w:r>
        <w:rPr>
          <w:rFonts w:ascii="Verdana" w:hAnsi="Verdana" w:cs="Tahoma"/>
          <w:sz w:val="20"/>
        </w:rPr>
        <w:t>E-mail: valores.mobiliarios@b3.co</w:t>
      </w:r>
      <w:r>
        <w:rPr>
          <w:rFonts w:ascii="Verdana" w:hAnsi="Verdana" w:cs="Tahoma"/>
          <w:sz w:val="20"/>
        </w:rPr>
        <w:t>m.br</w:t>
      </w:r>
    </w:p>
    <w:bookmarkEnd w:id="143"/>
    <w:p w:rsidR="00DE19C8" w:rsidRDefault="00DE19C8">
      <w:pPr>
        <w:pStyle w:val="Recuodecorpodetexto"/>
        <w:suppressAutoHyphens/>
        <w:spacing w:line="318" w:lineRule="exact"/>
        <w:ind w:left="0" w:firstLine="0"/>
        <w:contextualSpacing/>
        <w:rPr>
          <w:rFonts w:ascii="Verdana" w:hAnsi="Verdana" w:cs="Tahoma"/>
          <w:sz w:val="20"/>
        </w:rPr>
      </w:pPr>
    </w:p>
    <w:p w:rsidR="00DE19C8" w:rsidRDefault="00626B63">
      <w:pPr>
        <w:pStyle w:val="Corpodetexto3"/>
        <w:suppressAutoHyphens/>
        <w:spacing w:line="318" w:lineRule="exact"/>
        <w:contextualSpacing/>
        <w:rPr>
          <w:rFonts w:ascii="Verdana" w:hAnsi="Verdana" w:cs="Tahoma"/>
          <w:sz w:val="20"/>
        </w:rPr>
      </w:pPr>
      <w:r>
        <w:rPr>
          <w:rFonts w:ascii="Verdana" w:hAnsi="Verdana" w:cs="Tahoma"/>
          <w:sz w:val="20"/>
        </w:rPr>
        <w:t>9.2.</w:t>
      </w:r>
      <w:r>
        <w:rPr>
          <w:rFonts w:ascii="Verdana" w:hAnsi="Verdana" w:cs="Tahoma"/>
          <w:sz w:val="20"/>
        </w:rPr>
        <w:tab/>
        <w:t>As comunicações serão consideradas entregues quando recebidas sob protocolo ou com “aviso de recebimento” expedido pela Empresa Brasileira de Correios, por fax ou por telegrama nos endereços acima. Os originais dos documentos enviados por fac-sí</w:t>
      </w:r>
      <w:r>
        <w:rPr>
          <w:rFonts w:ascii="Verdana" w:hAnsi="Verdana" w:cs="Tahoma"/>
          <w:sz w:val="20"/>
        </w:rPr>
        <w:t xml:space="preserve">mile deverão ser encaminhados para os endereços acima em até 2 (dois) Dias Úteis após o envio da mensagem. </w:t>
      </w:r>
    </w:p>
    <w:p w:rsidR="00DE19C8" w:rsidRDefault="00DE19C8">
      <w:pPr>
        <w:suppressAutoHyphens/>
        <w:spacing w:line="318" w:lineRule="exact"/>
        <w:contextualSpacing/>
        <w:rPr>
          <w:rFonts w:ascii="Verdana" w:hAnsi="Verdana" w:cs="Tahoma"/>
          <w:sz w:val="20"/>
        </w:rPr>
      </w:pPr>
    </w:p>
    <w:p w:rsidR="00DE19C8" w:rsidRDefault="00626B63">
      <w:pPr>
        <w:pStyle w:val="Ttulo2"/>
        <w:suppressAutoHyphens/>
        <w:spacing w:line="318" w:lineRule="exact"/>
        <w:contextualSpacing/>
        <w:rPr>
          <w:rFonts w:ascii="Verdana" w:hAnsi="Verdana" w:cs="Tahoma"/>
          <w:sz w:val="20"/>
        </w:rPr>
      </w:pPr>
      <w:bookmarkStart w:id="144" w:name="_Toc514873578"/>
      <w:r>
        <w:rPr>
          <w:rFonts w:ascii="Verdana" w:hAnsi="Verdana" w:cs="Tahoma"/>
          <w:sz w:val="20"/>
        </w:rPr>
        <w:t xml:space="preserve">CLÁUSULA DEZ </w:t>
      </w:r>
      <w:r>
        <w:rPr>
          <w:rFonts w:ascii="Verdana" w:hAnsi="Verdana" w:cs="Tahoma"/>
          <w:b w:val="0"/>
          <w:sz w:val="20"/>
        </w:rPr>
        <w:t xml:space="preserve">– </w:t>
      </w:r>
      <w:r>
        <w:rPr>
          <w:rFonts w:ascii="Verdana" w:hAnsi="Verdana" w:cs="Tahoma"/>
          <w:sz w:val="20"/>
        </w:rPr>
        <w:t>DAS DISPOSIÇÕES GERAIS</w:t>
      </w:r>
      <w:bookmarkEnd w:id="144"/>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10.1.</w:t>
      </w:r>
      <w:r>
        <w:rPr>
          <w:rFonts w:ascii="Verdana" w:hAnsi="Verdana" w:cs="Tahoma"/>
          <w:sz w:val="20"/>
        </w:rPr>
        <w:tab/>
        <w:t xml:space="preserve">Não se presume a renúncia a qualquer dos direitos decorrentes da presente Escritura de Emissão. Dessa </w:t>
      </w:r>
      <w:r>
        <w:rPr>
          <w:rFonts w:ascii="Verdana" w:hAnsi="Verdana" w:cs="Tahoma"/>
          <w:sz w:val="20"/>
        </w:rPr>
        <w:t>forma, nenhum atraso, omissão ou liberalidade no exercício de qualquer direito, faculdade ou remédio que caiba ao Agente Fiduciário e/ou aos Debenturistas em razão de qualquer inadimplemento das obrigações da Emissora, prejudicará tais direitos, faculdades</w:t>
      </w:r>
      <w:r>
        <w:rPr>
          <w:rFonts w:ascii="Verdana" w:hAnsi="Verdana" w:cs="Tahoma"/>
          <w:sz w:val="20"/>
        </w:rPr>
        <w:t xml:space="preserve"> ou remédios, ou será interpretado como uma renúncia aos mesmos ou concordância com tal inadimplemento, nem constituirá novação ou modificação de quaisquer outras obrigações assumidas pela Emissora nesta Escritura de Emissão ou precedente no tocante a qual</w:t>
      </w:r>
      <w:r>
        <w:rPr>
          <w:rFonts w:ascii="Verdana" w:hAnsi="Verdana" w:cs="Tahoma"/>
          <w:sz w:val="20"/>
        </w:rPr>
        <w:t>quer outro inadimplemento ou atraso.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10.2.</w:t>
      </w:r>
      <w:r>
        <w:rPr>
          <w:rFonts w:ascii="Verdana" w:hAnsi="Verdana" w:cs="Tahoma"/>
          <w:sz w:val="20"/>
        </w:rPr>
        <w:tab/>
        <w:t xml:space="preserve">A presente Escritura de Emissão é firmada em caráter irrevogável e irretratável, salvo na hipótese de não preenchimento dos requisitos relacionados na Cláusula Segunda supra, obrigando as partes por si e seus </w:t>
      </w:r>
      <w:r>
        <w:rPr>
          <w:rFonts w:ascii="Verdana" w:hAnsi="Verdana" w:cs="Tahoma"/>
          <w:sz w:val="20"/>
        </w:rPr>
        <w:t>sucessores.</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10.3.</w:t>
      </w:r>
      <w:r>
        <w:rPr>
          <w:rFonts w:ascii="Verdana" w:hAnsi="Verdana" w:cs="Tahoma"/>
          <w:sz w:val="20"/>
        </w:rPr>
        <w:tab/>
        <w:t>Caso qualquer das disposições desta Escritura de Emissão venha a ser julgada ilegal, inválida ou ineficaz, prevalecerão todas as demais disposições não afetadas por tal julgamento, comprometendo-se as partes, em boa-fé, a substituir a di</w:t>
      </w:r>
      <w:r>
        <w:rPr>
          <w:rFonts w:ascii="Verdana" w:hAnsi="Verdana" w:cs="Tahoma"/>
          <w:sz w:val="20"/>
        </w:rPr>
        <w:t>sposição afetada por outra que, na medida do possível, produza o mesmo efeito.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10.4.</w:t>
      </w:r>
      <w:r>
        <w:rPr>
          <w:rFonts w:ascii="Verdana" w:hAnsi="Verdana" w:cs="Tahoma"/>
          <w:sz w:val="20"/>
        </w:rPr>
        <w:tab/>
        <w:t>A presente Escritura de Emissão, e as Debêntures constituem título executivo extrajudicial, nos termos do artigo 784 do Código de Processo Civil, e as obrigações nelas en</w:t>
      </w:r>
      <w:r>
        <w:rPr>
          <w:rFonts w:ascii="Verdana" w:hAnsi="Verdana" w:cs="Tahoma"/>
          <w:sz w:val="20"/>
        </w:rPr>
        <w:t>cerradas estão sujeitas a execução específica, de acordo com os artigos 815 e seguintes, do Código de Processo Civil.</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color w:val="000000"/>
          <w:sz w:val="20"/>
        </w:rPr>
      </w:pPr>
      <w:r>
        <w:rPr>
          <w:rFonts w:ascii="Verdana" w:hAnsi="Verdana" w:cs="Tahoma"/>
          <w:color w:val="000000"/>
          <w:sz w:val="20"/>
        </w:rPr>
        <w:t>10.5.</w:t>
      </w:r>
      <w:r>
        <w:rPr>
          <w:rFonts w:ascii="Verdana" w:hAnsi="Verdana" w:cs="Tahoma"/>
          <w:color w:val="000000"/>
          <w:sz w:val="20"/>
        </w:rPr>
        <w:tab/>
        <w:t>Todos e quaisquer custos incorridos em razão do registro desta Escritura e seus eventuais aditamentos, e dos atos societários relac</w:t>
      </w:r>
      <w:r>
        <w:rPr>
          <w:rFonts w:ascii="Verdana" w:hAnsi="Verdana" w:cs="Tahoma"/>
          <w:color w:val="000000"/>
          <w:sz w:val="20"/>
        </w:rPr>
        <w:t>ionados a esta Emissão, nos registros competentes, serão de responsabilidade exclusiva da Emissora.</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10.6.</w:t>
      </w:r>
      <w:r>
        <w:rPr>
          <w:rFonts w:ascii="Verdana" w:hAnsi="Verdana" w:cs="Tahoma"/>
          <w:sz w:val="20"/>
        </w:rPr>
        <w:tab/>
        <w:t>Esta Escritura de Emissão é regida pelas Leis da República Federativa do Brasil.</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u w:val="single"/>
        </w:rPr>
      </w:pPr>
      <w:r>
        <w:rPr>
          <w:rFonts w:ascii="Verdana" w:hAnsi="Verdana" w:cs="Tahoma"/>
          <w:sz w:val="20"/>
        </w:rPr>
        <w:t>10.7.</w:t>
      </w:r>
      <w:r>
        <w:rPr>
          <w:rFonts w:ascii="Verdana" w:hAnsi="Verdana" w:cs="Tahoma"/>
          <w:sz w:val="20"/>
        </w:rPr>
        <w:tab/>
        <w:t xml:space="preserve">Os prazos estabelecidos na presente Escritura de Emissão </w:t>
      </w:r>
      <w:r>
        <w:rPr>
          <w:rFonts w:ascii="Verdana" w:hAnsi="Verdana" w:cs="Tahoma"/>
          <w:sz w:val="20"/>
        </w:rPr>
        <w:t>serão computados de acordo com a regra prescrita no artigo 132 do Código Civil, sendo excluído o dia do começo e incluído o do vencimento.</w:t>
      </w:r>
      <w:r>
        <w:rPr>
          <w:rFonts w:ascii="Verdana" w:hAnsi="Verdana" w:cs="Tahoma"/>
          <w:sz w:val="20"/>
          <w:u w:val="single"/>
        </w:rPr>
        <w:t xml:space="preserve"> </w:t>
      </w:r>
    </w:p>
    <w:p w:rsidR="00DE19C8" w:rsidRDefault="00DE19C8">
      <w:pPr>
        <w:suppressAutoHyphens/>
        <w:spacing w:line="318" w:lineRule="exact"/>
        <w:contextualSpacing/>
        <w:rPr>
          <w:rFonts w:ascii="Verdana" w:hAnsi="Verdana" w:cs="Tahoma"/>
          <w:sz w:val="20"/>
          <w:u w:val="single"/>
        </w:rPr>
      </w:pPr>
    </w:p>
    <w:p w:rsidR="00DE19C8" w:rsidRDefault="00626B63">
      <w:pPr>
        <w:suppressAutoHyphens/>
        <w:spacing w:line="318" w:lineRule="exact"/>
        <w:contextualSpacing/>
        <w:rPr>
          <w:rFonts w:ascii="Verdana" w:hAnsi="Verdana" w:cs="Tahoma"/>
          <w:sz w:val="20"/>
        </w:rPr>
      </w:pPr>
      <w:r>
        <w:rPr>
          <w:rFonts w:ascii="Verdana" w:hAnsi="Verdana" w:cs="Tahoma"/>
          <w:sz w:val="20"/>
        </w:rPr>
        <w:t>10.8.</w:t>
      </w:r>
      <w:r>
        <w:rPr>
          <w:rFonts w:ascii="Verdana" w:hAnsi="Verdana" w:cs="Tahoma"/>
          <w:sz w:val="20"/>
        </w:rPr>
        <w:tab/>
        <w:t>Todos e quaisquer custos incorridos em razão do registro desta Escritura de Emissão e seus eventuais aditamen</w:t>
      </w:r>
      <w:r>
        <w:rPr>
          <w:rFonts w:ascii="Verdana" w:hAnsi="Verdana" w:cs="Tahoma"/>
          <w:sz w:val="20"/>
        </w:rPr>
        <w:t>tos, e dos atos societários relacionados a esta Emissão na JUCESP serão de responsabilidade exclusiva da Emissora.</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10.9.</w:t>
      </w:r>
      <w:r>
        <w:rPr>
          <w:rFonts w:ascii="Verdana" w:hAnsi="Verdana" w:cs="Tahoma"/>
          <w:sz w:val="20"/>
        </w:rPr>
        <w:tab/>
        <w:t xml:space="preserve">A Emissora obriga-se, neste ato, em caráter irrevogável e irretratável, a cuidar para que as operações que venha a praticar no âmbito </w:t>
      </w:r>
      <w:r>
        <w:rPr>
          <w:rFonts w:ascii="Verdana" w:hAnsi="Verdana" w:cs="Tahoma"/>
          <w:sz w:val="20"/>
        </w:rPr>
        <w:t xml:space="preserve">da </w:t>
      </w:r>
      <w:r>
        <w:rPr>
          <w:rFonts w:ascii="Verdana" w:hAnsi="Verdana" w:cs="Tahoma"/>
          <w:color w:val="000000"/>
          <w:sz w:val="20"/>
        </w:rPr>
        <w:t xml:space="preserve">B3 – Segmento </w:t>
      </w:r>
      <w:proofErr w:type="spellStart"/>
      <w:r>
        <w:rPr>
          <w:rFonts w:ascii="Verdana" w:hAnsi="Verdana" w:cs="Tahoma"/>
          <w:color w:val="000000"/>
          <w:sz w:val="20"/>
        </w:rPr>
        <w:t>Cetip</w:t>
      </w:r>
      <w:proofErr w:type="spellEnd"/>
      <w:r>
        <w:rPr>
          <w:rFonts w:ascii="Verdana" w:hAnsi="Verdana" w:cs="Tahoma"/>
          <w:color w:val="000000"/>
          <w:sz w:val="20"/>
        </w:rPr>
        <w:t xml:space="preserve"> UTVM</w:t>
      </w:r>
      <w:r>
        <w:rPr>
          <w:rFonts w:ascii="Verdana" w:hAnsi="Verdana"/>
          <w:color w:val="000000"/>
          <w:sz w:val="20"/>
        </w:rPr>
        <w:t xml:space="preserve"> </w:t>
      </w:r>
      <w:r>
        <w:rPr>
          <w:rFonts w:ascii="Verdana" w:hAnsi="Verdana" w:cs="Tahoma"/>
          <w:sz w:val="20"/>
        </w:rPr>
        <w:t>sejam sempre amparadas pelas boas práticas de mercado, com plena e perfeita observância das normas aplicáveis à matéria, isentando o Agente Fiduciário de toda e qualquer responsabilidade por reclamações, prejuízos, perdas e dano</w:t>
      </w:r>
      <w:r>
        <w:rPr>
          <w:rFonts w:ascii="Verdana" w:hAnsi="Verdana" w:cs="Tahoma"/>
          <w:sz w:val="20"/>
        </w:rPr>
        <w:t>s, lucros cessantes e/ou emergentes a que o não respeito às referidas normas der causa, desde que comprovadamente não tenham sido gerados por atuação do Agente Fiduciário.</w:t>
      </w:r>
    </w:p>
    <w:p w:rsidR="00DE19C8" w:rsidRDefault="00DE19C8">
      <w:pPr>
        <w:pStyle w:val="Ttulo2"/>
        <w:suppressAutoHyphens/>
        <w:spacing w:line="318" w:lineRule="exact"/>
        <w:contextualSpacing/>
        <w:rPr>
          <w:rFonts w:ascii="Verdana" w:hAnsi="Verdana" w:cs="Tahoma"/>
          <w:sz w:val="20"/>
        </w:rPr>
      </w:pPr>
    </w:p>
    <w:p w:rsidR="00DE19C8" w:rsidRDefault="00626B63">
      <w:pPr>
        <w:pStyle w:val="Ttulo2"/>
        <w:widowControl w:val="0"/>
        <w:suppressAutoHyphens/>
        <w:spacing w:line="318" w:lineRule="exact"/>
        <w:contextualSpacing/>
        <w:rPr>
          <w:rFonts w:ascii="Verdana" w:hAnsi="Verdana" w:cs="Tahoma"/>
          <w:sz w:val="20"/>
        </w:rPr>
      </w:pPr>
      <w:bookmarkStart w:id="145" w:name="_Toc514873579"/>
      <w:r>
        <w:rPr>
          <w:rFonts w:ascii="Verdana" w:hAnsi="Verdana" w:cs="Tahoma"/>
          <w:sz w:val="20"/>
        </w:rPr>
        <w:t>CLÁUSULA ONZE</w:t>
      </w:r>
      <w:r>
        <w:rPr>
          <w:rFonts w:ascii="Verdana" w:hAnsi="Verdana" w:cs="Tahoma"/>
          <w:b w:val="0"/>
          <w:sz w:val="20"/>
        </w:rPr>
        <w:t xml:space="preserve"> – </w:t>
      </w:r>
      <w:r>
        <w:rPr>
          <w:rFonts w:ascii="Verdana" w:hAnsi="Verdana" w:cs="Tahoma"/>
          <w:sz w:val="20"/>
        </w:rPr>
        <w:t>DO FORO</w:t>
      </w:r>
      <w:bookmarkEnd w:id="145"/>
    </w:p>
    <w:p w:rsidR="00DE19C8" w:rsidRDefault="00DE19C8">
      <w:pPr>
        <w:keepNext/>
        <w:widowControl w:val="0"/>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11.1.</w:t>
      </w:r>
      <w:r>
        <w:rPr>
          <w:rFonts w:ascii="Verdana" w:hAnsi="Verdana" w:cs="Tahoma"/>
          <w:sz w:val="20"/>
        </w:rPr>
        <w:tab/>
        <w:t>Fica eleito o foro da Comarca da Cidade de São Paulo</w:t>
      </w:r>
      <w:r>
        <w:rPr>
          <w:rFonts w:ascii="Verdana" w:hAnsi="Verdana" w:cs="Tahoma"/>
          <w:sz w:val="20"/>
        </w:rPr>
        <w:t>, com exclusão de qualquer outro, por mais privilegiado que seja, para dirimir as questões porventura oriundas desta Escritura de Emissão.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E por estarem assim justas e contratadas, firmam a presente Escritura de Emissão a Emissora, o Agente Fiduciário, em</w:t>
      </w:r>
      <w:r>
        <w:rPr>
          <w:rFonts w:ascii="Verdana" w:hAnsi="Verdana" w:cs="Tahoma"/>
          <w:sz w:val="20"/>
        </w:rPr>
        <w:t xml:space="preserve"> 5 (cinco) vias de igual forma e teor e para o mesmo fim, em conjunto com as 2 (duas) testemunhas abaixo assinadas.</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jc w:val="center"/>
        <w:rPr>
          <w:rFonts w:ascii="Verdana" w:hAnsi="Verdana" w:cs="Tahoma"/>
          <w:sz w:val="20"/>
        </w:rPr>
      </w:pPr>
      <w:r>
        <w:rPr>
          <w:rFonts w:ascii="Verdana" w:hAnsi="Verdana" w:cs="Tahoma"/>
          <w:sz w:val="20"/>
        </w:rPr>
        <w:t>São Paulo, [•] de abril de 2019.</w:t>
      </w:r>
    </w:p>
    <w:p w:rsidR="00DE19C8" w:rsidRDefault="00DE19C8">
      <w:pPr>
        <w:pStyle w:val="Ttulo2"/>
        <w:suppressAutoHyphens/>
        <w:spacing w:line="318" w:lineRule="exact"/>
        <w:contextualSpacing/>
        <w:rPr>
          <w:rFonts w:ascii="Verdana" w:hAnsi="Verdana" w:cs="Tahoma"/>
          <w:sz w:val="20"/>
        </w:rPr>
      </w:pPr>
    </w:p>
    <w:p w:rsidR="00DE19C8" w:rsidRDefault="00626B63">
      <w:pPr>
        <w:suppressAutoHyphens/>
        <w:spacing w:line="318" w:lineRule="exact"/>
        <w:contextualSpacing/>
        <w:jc w:val="center"/>
        <w:rPr>
          <w:rFonts w:ascii="Verdana" w:hAnsi="Verdana" w:cs="Tahoma"/>
          <w:sz w:val="20"/>
        </w:rPr>
      </w:pPr>
      <w:proofErr w:type="gramStart"/>
      <w:r>
        <w:rPr>
          <w:rFonts w:ascii="Verdana" w:hAnsi="Verdana" w:cs="Tahoma"/>
          <w:i/>
          <w:sz w:val="20"/>
        </w:rPr>
        <w:t>[As</w:t>
      </w:r>
      <w:proofErr w:type="gramEnd"/>
      <w:r>
        <w:rPr>
          <w:rFonts w:ascii="Verdana" w:hAnsi="Verdana" w:cs="Tahoma"/>
          <w:i/>
          <w:sz w:val="20"/>
        </w:rPr>
        <w:t xml:space="preserve"> assinaturas seguem nas páginas seguintes. </w:t>
      </w:r>
      <w:r>
        <w:rPr>
          <w:rFonts w:ascii="Verdana" w:hAnsi="Verdana"/>
          <w:i/>
          <w:sz w:val="20"/>
        </w:rPr>
        <w:t xml:space="preserve">O restante da página foi deixado intencionalmente em </w:t>
      </w:r>
      <w:r>
        <w:rPr>
          <w:rFonts w:ascii="Verdana" w:hAnsi="Verdana"/>
          <w:i/>
          <w:sz w:val="20"/>
        </w:rPr>
        <w:t>branco.</w:t>
      </w:r>
      <w:r>
        <w:rPr>
          <w:rFonts w:ascii="Verdana" w:hAnsi="Verdana" w:cs="Tahoma"/>
          <w:i/>
          <w:sz w:val="20"/>
        </w:rPr>
        <w:t>]</w:t>
      </w:r>
    </w:p>
    <w:p w:rsidR="00DE19C8" w:rsidRDefault="00DE19C8">
      <w:pPr>
        <w:suppressAutoHyphens/>
        <w:spacing w:line="318" w:lineRule="exact"/>
        <w:contextualSpacing/>
        <w:jc w:val="center"/>
        <w:rPr>
          <w:rFonts w:ascii="Verdana" w:hAnsi="Verdana" w:cs="Tahoma"/>
          <w:sz w:val="20"/>
        </w:rPr>
      </w:pPr>
    </w:p>
    <w:p w:rsidR="00DE19C8" w:rsidRDefault="00DE19C8">
      <w:pPr>
        <w:suppressAutoHyphens/>
        <w:spacing w:line="318" w:lineRule="exact"/>
        <w:contextualSpacing/>
        <w:jc w:val="center"/>
        <w:rPr>
          <w:rFonts w:ascii="Verdana" w:hAnsi="Verdana" w:cs="Tahoma"/>
          <w:sz w:val="20"/>
        </w:rPr>
        <w:sectPr w:rsidR="00DE19C8">
          <w:headerReference w:type="even" r:id="rId15"/>
          <w:headerReference w:type="default" r:id="rId16"/>
          <w:footerReference w:type="even" r:id="rId17"/>
          <w:footerReference w:type="default" r:id="rId18"/>
          <w:headerReference w:type="first" r:id="rId19"/>
          <w:footerReference w:type="first" r:id="rId20"/>
          <w:pgSz w:w="12242" w:h="15842" w:code="1"/>
          <w:pgMar w:top="1701" w:right="1418" w:bottom="1701" w:left="1418" w:header="567" w:footer="851" w:gutter="0"/>
          <w:paperSrc w:first="7" w:other="7"/>
          <w:pgNumType w:chapStyle="1"/>
          <w:cols w:space="720"/>
          <w:noEndnote/>
          <w:titlePg/>
          <w:docGrid w:linePitch="354"/>
        </w:sectPr>
      </w:pPr>
    </w:p>
    <w:p w:rsidR="00DE19C8" w:rsidRDefault="00626B63">
      <w:pPr>
        <w:suppressAutoHyphens/>
        <w:spacing w:line="318" w:lineRule="exact"/>
        <w:contextualSpacing/>
        <w:rPr>
          <w:rFonts w:ascii="Verdana" w:hAnsi="Verdana" w:cs="Tahoma"/>
          <w:i/>
          <w:color w:val="000000"/>
          <w:sz w:val="20"/>
        </w:rPr>
      </w:pPr>
      <w:r>
        <w:rPr>
          <w:rFonts w:ascii="Verdana" w:hAnsi="Verdana" w:cs="Tahoma"/>
          <w:i/>
          <w:color w:val="000000"/>
          <w:sz w:val="20"/>
        </w:rPr>
        <w:lastRenderedPageBreak/>
        <w:t xml:space="preserve">Página de assinaturas 1/3 do </w:t>
      </w:r>
      <w:r>
        <w:rPr>
          <w:rFonts w:ascii="Verdana" w:hAnsi="Verdana"/>
          <w:i/>
          <w:sz w:val="20"/>
        </w:rPr>
        <w:t>Instrumento Particular de Escritura da 6ª (Sexta) Emissão de Debêntures Simples, Não Conversíveis em Ações, da Espécie Quirografária, em Até Duas Séries, para Distribuição Pública, com Esforços Restritos de Distribuição, da Min</w:t>
      </w:r>
      <w:r>
        <w:rPr>
          <w:rFonts w:ascii="Verdana" w:hAnsi="Verdana"/>
          <w:i/>
          <w:sz w:val="20"/>
        </w:rPr>
        <w:t>erva S.A., celebrado em [•] de abril de 2019.</w:t>
      </w:r>
    </w:p>
    <w:p w:rsidR="00DE19C8" w:rsidRDefault="00DE19C8">
      <w:pPr>
        <w:suppressAutoHyphens/>
        <w:spacing w:line="318" w:lineRule="exact"/>
        <w:contextualSpacing/>
        <w:rPr>
          <w:rFonts w:ascii="Verdana" w:hAnsi="Verdana"/>
          <w:i/>
          <w:sz w:val="20"/>
        </w:rPr>
      </w:pPr>
    </w:p>
    <w:p w:rsidR="00DE19C8" w:rsidRDefault="00DE19C8">
      <w:pPr>
        <w:suppressAutoHyphens/>
        <w:spacing w:line="318" w:lineRule="exact"/>
        <w:contextualSpacing/>
        <w:rPr>
          <w:rFonts w:ascii="Verdana" w:hAnsi="Verdana" w:cs="Tahoma"/>
          <w:b/>
          <w:sz w:val="20"/>
        </w:rPr>
      </w:pPr>
    </w:p>
    <w:p w:rsidR="00DE19C8" w:rsidRDefault="00DE19C8">
      <w:pPr>
        <w:suppressAutoHyphens/>
        <w:spacing w:line="318" w:lineRule="exact"/>
        <w:contextualSpacing/>
        <w:rPr>
          <w:rFonts w:ascii="Verdana" w:hAnsi="Verdana" w:cs="Tahoma"/>
          <w:b/>
          <w:sz w:val="20"/>
        </w:rPr>
      </w:pPr>
    </w:p>
    <w:p w:rsidR="00DE19C8" w:rsidRDefault="00626B63">
      <w:pPr>
        <w:suppressAutoHyphens/>
        <w:spacing w:line="318" w:lineRule="exact"/>
        <w:contextualSpacing/>
        <w:jc w:val="center"/>
        <w:rPr>
          <w:rFonts w:ascii="Verdana" w:hAnsi="Verdana" w:cs="Tahoma"/>
          <w:b/>
          <w:sz w:val="20"/>
        </w:rPr>
      </w:pPr>
      <w:r>
        <w:rPr>
          <w:rFonts w:ascii="Verdana" w:hAnsi="Verdana" w:cs="Tahoma"/>
          <w:b/>
          <w:sz w:val="20"/>
        </w:rPr>
        <w:t>MINERVA S.A.</w:t>
      </w:r>
    </w:p>
    <w:p w:rsidR="00DE19C8" w:rsidRDefault="00DE19C8">
      <w:pPr>
        <w:suppressAutoHyphens/>
        <w:spacing w:line="318" w:lineRule="exact"/>
        <w:contextualSpacing/>
        <w:jc w:val="center"/>
        <w:rPr>
          <w:rFonts w:ascii="Verdana" w:hAnsi="Verdana" w:cs="Tahoma"/>
          <w:sz w:val="20"/>
        </w:rPr>
      </w:pPr>
    </w:p>
    <w:p w:rsidR="00DE19C8" w:rsidRDefault="00DE19C8">
      <w:pPr>
        <w:suppressAutoHyphens/>
        <w:spacing w:line="318" w:lineRule="exact"/>
        <w:contextualSpacing/>
        <w:rPr>
          <w:rFonts w:ascii="Verdana" w:hAnsi="Verdana" w:cs="Tahoma"/>
          <w:sz w:val="20"/>
        </w:rPr>
      </w:pP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___________________________</w:t>
      </w:r>
      <w:r>
        <w:rPr>
          <w:rFonts w:ascii="Verdana" w:hAnsi="Verdana" w:cs="Tahoma"/>
          <w:sz w:val="20"/>
        </w:rPr>
        <w:tab/>
      </w:r>
      <w:r>
        <w:rPr>
          <w:rFonts w:ascii="Verdana" w:hAnsi="Verdana" w:cs="Tahoma"/>
          <w:sz w:val="20"/>
        </w:rPr>
        <w:tab/>
      </w:r>
      <w:r>
        <w:rPr>
          <w:rFonts w:ascii="Verdana" w:hAnsi="Verdana" w:cs="Tahoma"/>
          <w:sz w:val="20"/>
        </w:rPr>
        <w:tab/>
        <w:t>______________________________</w:t>
      </w:r>
    </w:p>
    <w:p w:rsidR="00DE19C8" w:rsidRDefault="00626B63">
      <w:pPr>
        <w:suppressAutoHyphens/>
        <w:spacing w:line="318" w:lineRule="exact"/>
        <w:contextualSpacing/>
        <w:rPr>
          <w:rFonts w:ascii="Verdana" w:hAnsi="Verdana" w:cs="Tahoma"/>
          <w:sz w:val="20"/>
        </w:rPr>
      </w:pPr>
      <w:r>
        <w:rPr>
          <w:rFonts w:ascii="Verdana" w:hAnsi="Verdana" w:cs="Tahoma"/>
          <w:sz w:val="20"/>
        </w:rPr>
        <w:t>Nome:</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Nome:</w:t>
      </w:r>
    </w:p>
    <w:p w:rsidR="00DE19C8" w:rsidRDefault="00626B63">
      <w:pPr>
        <w:suppressAutoHyphens/>
        <w:spacing w:line="318" w:lineRule="exact"/>
        <w:contextualSpacing/>
        <w:rPr>
          <w:rFonts w:ascii="Verdana" w:hAnsi="Verdana" w:cs="Tahoma"/>
          <w:sz w:val="20"/>
        </w:rPr>
      </w:pPr>
      <w:r>
        <w:rPr>
          <w:rFonts w:ascii="Verdana" w:hAnsi="Verdana" w:cs="Tahoma"/>
          <w:sz w:val="20"/>
        </w:rPr>
        <w:t>Cargo:</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Cargo:</w:t>
      </w:r>
    </w:p>
    <w:p w:rsidR="00DE19C8" w:rsidRDefault="00DE19C8">
      <w:pPr>
        <w:suppressAutoHyphens/>
        <w:spacing w:line="318" w:lineRule="exact"/>
        <w:contextualSpacing/>
        <w:rPr>
          <w:rFonts w:ascii="Verdana" w:hAnsi="Verdana" w:cs="Tahoma"/>
          <w:sz w:val="20"/>
        </w:rPr>
      </w:pPr>
    </w:p>
    <w:p w:rsidR="00DE19C8" w:rsidRDefault="00DE19C8">
      <w:pPr>
        <w:suppressAutoHyphens/>
        <w:spacing w:line="318" w:lineRule="exact"/>
        <w:contextualSpacing/>
        <w:jc w:val="center"/>
        <w:rPr>
          <w:rFonts w:ascii="Verdana" w:hAnsi="Verdana" w:cs="Tahoma"/>
          <w:sz w:val="20"/>
        </w:rPr>
        <w:sectPr w:rsidR="00DE19C8">
          <w:footerReference w:type="default" r:id="rId21"/>
          <w:pgSz w:w="12242" w:h="15842" w:code="1"/>
          <w:pgMar w:top="1701" w:right="1418" w:bottom="1701" w:left="1418" w:header="567" w:footer="851" w:gutter="0"/>
          <w:paperSrc w:first="7" w:other="7"/>
          <w:pgNumType w:chapStyle="1"/>
          <w:cols w:space="720"/>
          <w:noEndnote/>
        </w:sectPr>
      </w:pPr>
    </w:p>
    <w:p w:rsidR="00DE19C8" w:rsidRDefault="00626B63">
      <w:pPr>
        <w:suppressAutoHyphens/>
        <w:spacing w:line="318" w:lineRule="exact"/>
        <w:contextualSpacing/>
        <w:rPr>
          <w:rFonts w:ascii="Verdana" w:hAnsi="Verdana" w:cs="Tahoma"/>
          <w:i/>
          <w:sz w:val="20"/>
        </w:rPr>
      </w:pPr>
      <w:r>
        <w:rPr>
          <w:rFonts w:ascii="Verdana" w:hAnsi="Verdana" w:cs="Tahoma"/>
          <w:i/>
          <w:color w:val="000000"/>
          <w:sz w:val="20"/>
        </w:rPr>
        <w:lastRenderedPageBreak/>
        <w:t xml:space="preserve">Página de assinaturas 2/3 do </w:t>
      </w:r>
      <w:r>
        <w:rPr>
          <w:rFonts w:ascii="Verdana" w:hAnsi="Verdana"/>
          <w:i/>
          <w:sz w:val="20"/>
        </w:rPr>
        <w:t xml:space="preserve">Instrumento Particular de Escritura da 6ª (Sexta) Emissão de Debêntures Simples, Não Conversíveis em Ações, da Espécie Quirografária, em Até Duas Séries, para Distribuição Pública, com Esforços </w:t>
      </w:r>
      <w:r>
        <w:rPr>
          <w:rFonts w:ascii="Verdana" w:hAnsi="Verdana"/>
          <w:i/>
          <w:sz w:val="20"/>
        </w:rPr>
        <w:t>Restritos de Distribuição, da Minerva S.A., celebrado em [•] de abril de 2019</w:t>
      </w:r>
      <w:r>
        <w:rPr>
          <w:rFonts w:ascii="Verdana" w:hAnsi="Verdana" w:cs="Tahoma"/>
          <w:i/>
          <w:color w:val="000000"/>
          <w:sz w:val="20"/>
        </w:rPr>
        <w:t>.</w:t>
      </w:r>
    </w:p>
    <w:p w:rsidR="00DE19C8" w:rsidRDefault="00DE19C8">
      <w:pPr>
        <w:suppressAutoHyphens/>
        <w:spacing w:line="318" w:lineRule="exact"/>
        <w:contextualSpacing/>
        <w:rPr>
          <w:rFonts w:ascii="Verdana" w:hAnsi="Verdana" w:cs="Tahoma"/>
          <w:i/>
          <w:sz w:val="20"/>
        </w:rPr>
      </w:pPr>
    </w:p>
    <w:p w:rsidR="00DE19C8" w:rsidRDefault="00DE19C8">
      <w:pPr>
        <w:suppressAutoHyphens/>
        <w:spacing w:line="318" w:lineRule="exact"/>
        <w:contextualSpacing/>
        <w:rPr>
          <w:rFonts w:ascii="Verdana" w:hAnsi="Verdana" w:cs="Tahoma"/>
          <w:b/>
          <w:sz w:val="20"/>
        </w:rPr>
      </w:pPr>
    </w:p>
    <w:p w:rsidR="00DE19C8" w:rsidRDefault="00DE19C8">
      <w:pPr>
        <w:suppressAutoHyphens/>
        <w:spacing w:line="318" w:lineRule="exact"/>
        <w:contextualSpacing/>
        <w:rPr>
          <w:rFonts w:ascii="Verdana" w:hAnsi="Verdana" w:cs="Tahoma"/>
          <w:b/>
          <w:sz w:val="20"/>
        </w:rPr>
      </w:pPr>
    </w:p>
    <w:p w:rsidR="00DE19C8" w:rsidRDefault="00626B63">
      <w:pPr>
        <w:suppressAutoHyphens/>
        <w:spacing w:line="318" w:lineRule="exact"/>
        <w:contextualSpacing/>
        <w:rPr>
          <w:rFonts w:ascii="Verdana" w:eastAsia="Arial Unicode MS" w:hAnsi="Verdana" w:cs="Arial"/>
          <w:b/>
          <w:sz w:val="20"/>
          <w:highlight w:val="green"/>
        </w:rPr>
      </w:pPr>
      <w:r>
        <w:rPr>
          <w:rFonts w:ascii="Verdana" w:hAnsi="Verdana" w:cs="Arial"/>
          <w:b/>
          <w:bCs/>
          <w:caps/>
          <w:sz w:val="20"/>
          <w:lang w:eastAsia="x-none"/>
        </w:rPr>
        <w:t>OLIVEIRA TRUST DISTRIBUIDORA DE TÍTULOS E VALORES MOBILIÁRIOS S.A.</w:t>
      </w:r>
      <w:r>
        <w:rPr>
          <w:rFonts w:ascii="Verdana" w:eastAsia="Arial Unicode MS" w:hAnsi="Verdana" w:cs="Arial"/>
          <w:b/>
          <w:sz w:val="20"/>
          <w:highlight w:val="green"/>
        </w:rPr>
        <w:t xml:space="preserve"> </w:t>
      </w:r>
    </w:p>
    <w:p w:rsidR="00DE19C8" w:rsidRDefault="00DE19C8">
      <w:pPr>
        <w:suppressAutoHyphens/>
        <w:spacing w:line="318" w:lineRule="exact"/>
        <w:contextualSpacing/>
        <w:rPr>
          <w:rFonts w:ascii="Verdana" w:hAnsi="Verdana" w:cs="Tahoma"/>
          <w:sz w:val="20"/>
        </w:rPr>
      </w:pPr>
    </w:p>
    <w:p w:rsidR="00DE19C8" w:rsidRDefault="00DE19C8">
      <w:pPr>
        <w:suppressAutoHyphens/>
        <w:spacing w:line="318" w:lineRule="exact"/>
        <w:contextualSpacing/>
        <w:rPr>
          <w:rFonts w:ascii="Verdana" w:hAnsi="Verdana" w:cs="Tahoma"/>
          <w:sz w:val="20"/>
        </w:rPr>
      </w:pPr>
    </w:p>
    <w:p w:rsidR="00DE19C8" w:rsidRDefault="00DE19C8">
      <w:pPr>
        <w:suppressAutoHyphens/>
        <w:spacing w:line="318" w:lineRule="exact"/>
        <w:contextualSpacing/>
        <w:rPr>
          <w:rFonts w:ascii="Verdana" w:hAnsi="Verdana" w:cs="Tahoma"/>
          <w:i/>
          <w:color w:val="000000"/>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___________________________</w:t>
      </w:r>
      <w:r>
        <w:rPr>
          <w:rFonts w:ascii="Verdana" w:hAnsi="Verdana" w:cs="Tahoma"/>
          <w:sz w:val="20"/>
        </w:rPr>
        <w:tab/>
      </w:r>
      <w:r>
        <w:rPr>
          <w:rFonts w:ascii="Verdana" w:hAnsi="Verdana" w:cs="Tahoma"/>
          <w:sz w:val="20"/>
        </w:rPr>
        <w:tab/>
      </w:r>
      <w:r>
        <w:rPr>
          <w:rFonts w:ascii="Verdana" w:hAnsi="Verdana" w:cs="Tahoma"/>
          <w:sz w:val="20"/>
        </w:rPr>
        <w:tab/>
        <w:t>______________________________</w:t>
      </w:r>
    </w:p>
    <w:p w:rsidR="00DE19C8" w:rsidRDefault="00626B63">
      <w:pPr>
        <w:suppressAutoHyphens/>
        <w:spacing w:line="318" w:lineRule="exact"/>
        <w:contextualSpacing/>
        <w:rPr>
          <w:rFonts w:ascii="Verdana" w:hAnsi="Verdana" w:cs="Tahoma"/>
          <w:sz w:val="20"/>
        </w:rPr>
      </w:pPr>
      <w:r>
        <w:rPr>
          <w:rFonts w:ascii="Verdana" w:hAnsi="Verdana" w:cs="Tahoma"/>
          <w:sz w:val="20"/>
        </w:rPr>
        <w:t>Nome:</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Nome:</w:t>
      </w:r>
    </w:p>
    <w:p w:rsidR="00DE19C8" w:rsidRDefault="00626B63">
      <w:pPr>
        <w:suppressAutoHyphens/>
        <w:spacing w:line="318" w:lineRule="exact"/>
        <w:contextualSpacing/>
        <w:rPr>
          <w:rFonts w:ascii="Verdana" w:hAnsi="Verdana" w:cs="Tahoma"/>
          <w:sz w:val="20"/>
        </w:rPr>
      </w:pPr>
      <w:r>
        <w:rPr>
          <w:rFonts w:ascii="Verdana" w:hAnsi="Verdana" w:cs="Tahoma"/>
          <w:sz w:val="20"/>
        </w:rPr>
        <w:t>Cargo:</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Cargo:</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i/>
          <w:sz w:val="20"/>
        </w:rPr>
      </w:pPr>
      <w:r>
        <w:rPr>
          <w:rFonts w:ascii="Verdana" w:hAnsi="Verdana" w:cs="Tahoma"/>
          <w:i/>
          <w:color w:val="000000"/>
          <w:sz w:val="20"/>
        </w:rPr>
        <w:br w:type="page"/>
      </w:r>
      <w:r>
        <w:rPr>
          <w:rFonts w:ascii="Verdana" w:hAnsi="Verdana" w:cs="Tahoma"/>
          <w:i/>
          <w:color w:val="000000"/>
          <w:sz w:val="20"/>
        </w:rPr>
        <w:lastRenderedPageBreak/>
        <w:t>Pá</w:t>
      </w:r>
      <w:r>
        <w:rPr>
          <w:rFonts w:ascii="Verdana" w:hAnsi="Verdana" w:cs="Tahoma"/>
          <w:i/>
          <w:color w:val="000000"/>
          <w:sz w:val="20"/>
        </w:rPr>
        <w:t xml:space="preserve">gina de assinaturas 3/3 do </w:t>
      </w:r>
      <w:r>
        <w:rPr>
          <w:rFonts w:ascii="Verdana" w:hAnsi="Verdana"/>
          <w:i/>
          <w:sz w:val="20"/>
        </w:rPr>
        <w:t>Instrumento Particular de Escritura da 6ª (Sexta) Emissão de Debêntures Simples, Não Conversíveis em Ações, da Espécie Quirografária, em Até Duas Séries, para Distribuição Pública, com Esforços Restritos de Distribuição, da Miner</w:t>
      </w:r>
      <w:r>
        <w:rPr>
          <w:rFonts w:ascii="Verdana" w:hAnsi="Verdana"/>
          <w:i/>
          <w:sz w:val="20"/>
        </w:rPr>
        <w:t>va S.A., celebrado em [•] de abril de 2019</w:t>
      </w:r>
      <w:r>
        <w:rPr>
          <w:rFonts w:ascii="Verdana" w:hAnsi="Verdana" w:cs="Tahoma"/>
          <w:i/>
          <w:color w:val="000000"/>
          <w:sz w:val="20"/>
        </w:rPr>
        <w:t>.</w:t>
      </w:r>
    </w:p>
    <w:p w:rsidR="00DE19C8" w:rsidRDefault="00DE19C8">
      <w:pPr>
        <w:suppressAutoHyphens/>
        <w:spacing w:line="318" w:lineRule="exact"/>
        <w:contextualSpacing/>
        <w:rPr>
          <w:rFonts w:ascii="Verdana" w:hAnsi="Verdana" w:cs="Tahoma"/>
          <w:b/>
          <w:sz w:val="20"/>
        </w:rPr>
      </w:pPr>
    </w:p>
    <w:p w:rsidR="00DE19C8" w:rsidRDefault="00DE19C8">
      <w:pPr>
        <w:suppressAutoHyphens/>
        <w:spacing w:line="318" w:lineRule="exact"/>
        <w:contextualSpacing/>
        <w:rPr>
          <w:rFonts w:ascii="Verdana" w:hAnsi="Verdana" w:cs="Tahoma"/>
          <w:b/>
          <w:sz w:val="20"/>
        </w:rPr>
      </w:pPr>
    </w:p>
    <w:p w:rsidR="00DE19C8" w:rsidRDefault="00DE19C8">
      <w:pPr>
        <w:suppressAutoHyphens/>
        <w:spacing w:line="318" w:lineRule="exact"/>
        <w:contextualSpacing/>
        <w:rPr>
          <w:rFonts w:ascii="Verdana" w:hAnsi="Verdana" w:cs="Tahoma"/>
          <w:b/>
          <w:sz w:val="20"/>
        </w:rPr>
      </w:pPr>
    </w:p>
    <w:p w:rsidR="00DE19C8" w:rsidRDefault="00626B63">
      <w:pPr>
        <w:suppressAutoHyphens/>
        <w:spacing w:line="318" w:lineRule="exact"/>
        <w:contextualSpacing/>
        <w:rPr>
          <w:rFonts w:ascii="Verdana" w:hAnsi="Verdana" w:cs="Tahoma"/>
          <w:sz w:val="20"/>
        </w:rPr>
      </w:pPr>
      <w:r>
        <w:rPr>
          <w:rFonts w:ascii="Verdana" w:hAnsi="Verdana" w:cs="Tahoma"/>
          <w:b/>
          <w:sz w:val="20"/>
        </w:rPr>
        <w:t>Testemunhas</w:t>
      </w:r>
      <w:r>
        <w:rPr>
          <w:rFonts w:ascii="Verdana" w:hAnsi="Verdana" w:cs="Tahoma"/>
          <w:sz w:val="20"/>
        </w:rPr>
        <w:t>:</w:t>
      </w:r>
    </w:p>
    <w:p w:rsidR="00DE19C8" w:rsidRDefault="00DE19C8">
      <w:pPr>
        <w:suppressAutoHyphens/>
        <w:spacing w:line="318" w:lineRule="exact"/>
        <w:contextualSpacing/>
        <w:rPr>
          <w:rFonts w:ascii="Verdana" w:hAnsi="Verdana" w:cs="Tahoma"/>
          <w:sz w:val="20"/>
        </w:rPr>
      </w:pPr>
    </w:p>
    <w:p w:rsidR="00DE19C8" w:rsidRDefault="00DE19C8">
      <w:pPr>
        <w:suppressAutoHyphens/>
        <w:spacing w:line="318" w:lineRule="exact"/>
        <w:contextualSpacing/>
        <w:rPr>
          <w:rFonts w:ascii="Verdana" w:hAnsi="Verdana" w:cs="Tahoma"/>
          <w:sz w:val="20"/>
        </w:rPr>
      </w:pP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___________________________</w:t>
      </w:r>
      <w:r>
        <w:rPr>
          <w:rFonts w:ascii="Verdana" w:hAnsi="Verdana" w:cs="Tahoma"/>
          <w:sz w:val="20"/>
        </w:rPr>
        <w:tab/>
      </w:r>
      <w:r>
        <w:rPr>
          <w:rFonts w:ascii="Verdana" w:hAnsi="Verdana" w:cs="Tahoma"/>
          <w:sz w:val="20"/>
        </w:rPr>
        <w:tab/>
      </w:r>
      <w:r>
        <w:rPr>
          <w:rFonts w:ascii="Verdana" w:hAnsi="Verdana" w:cs="Tahoma"/>
          <w:sz w:val="20"/>
        </w:rPr>
        <w:tab/>
        <w:t>______________________________</w:t>
      </w:r>
    </w:p>
    <w:p w:rsidR="00DE19C8" w:rsidRDefault="00626B63">
      <w:pPr>
        <w:suppressAutoHyphens/>
        <w:spacing w:line="318" w:lineRule="exact"/>
        <w:contextualSpacing/>
        <w:rPr>
          <w:rFonts w:ascii="Verdana" w:hAnsi="Verdana" w:cs="Tahoma"/>
          <w:sz w:val="20"/>
        </w:rPr>
      </w:pPr>
      <w:r>
        <w:rPr>
          <w:rFonts w:ascii="Verdana" w:hAnsi="Verdana" w:cs="Tahoma"/>
          <w:sz w:val="20"/>
        </w:rPr>
        <w:t>Nome:</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Nome:</w:t>
      </w:r>
    </w:p>
    <w:p w:rsidR="00DE19C8" w:rsidRDefault="00626B63">
      <w:pPr>
        <w:suppressAutoHyphens/>
        <w:spacing w:line="318" w:lineRule="exact"/>
        <w:contextualSpacing/>
        <w:rPr>
          <w:rFonts w:ascii="Verdana" w:hAnsi="Verdana" w:cs="Tahoma"/>
          <w:sz w:val="20"/>
        </w:rPr>
      </w:pPr>
      <w:r>
        <w:rPr>
          <w:rFonts w:ascii="Verdana" w:hAnsi="Verdana" w:cs="Tahoma"/>
          <w:sz w:val="20"/>
        </w:rPr>
        <w:t>RG:</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RG:</w:t>
      </w:r>
    </w:p>
    <w:p w:rsidR="00DE19C8" w:rsidRDefault="00626B63">
      <w:pPr>
        <w:suppressAutoHyphens/>
        <w:spacing w:line="318" w:lineRule="exact"/>
        <w:contextualSpacing/>
        <w:rPr>
          <w:rFonts w:ascii="Verdana" w:hAnsi="Verdana" w:cs="Tahoma"/>
          <w:sz w:val="20"/>
        </w:rPr>
      </w:pPr>
      <w:r>
        <w:rPr>
          <w:rFonts w:ascii="Verdana" w:hAnsi="Verdana" w:cs="Tahoma"/>
          <w:sz w:val="20"/>
        </w:rPr>
        <w:t>CPF:</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CPF:</w:t>
      </w:r>
    </w:p>
    <w:p w:rsidR="00DE19C8" w:rsidRDefault="00DE19C8">
      <w:pPr>
        <w:suppressAutoHyphens/>
        <w:spacing w:line="318" w:lineRule="exact"/>
        <w:contextualSpacing/>
        <w:rPr>
          <w:rFonts w:ascii="Verdana" w:hAnsi="Verdana" w:cs="Tahoma"/>
          <w:sz w:val="20"/>
        </w:rPr>
      </w:pPr>
    </w:p>
    <w:p w:rsidR="00DE19C8" w:rsidRDefault="00626B63">
      <w:pPr>
        <w:spacing w:line="320" w:lineRule="exact"/>
        <w:contextualSpacing/>
        <w:rPr>
          <w:rFonts w:ascii="Verdana" w:hAnsi="Verdana"/>
          <w:b/>
          <w:sz w:val="20"/>
        </w:rPr>
      </w:pPr>
      <w:r>
        <w:rPr>
          <w:rFonts w:ascii="Verdana" w:hAnsi="Verdana"/>
          <w:sz w:val="20"/>
        </w:rPr>
        <w:br w:type="page"/>
      </w:r>
      <w:r>
        <w:rPr>
          <w:rFonts w:ascii="Verdana" w:hAnsi="Verdana"/>
          <w:b/>
          <w:sz w:val="20"/>
        </w:rPr>
        <w:lastRenderedPageBreak/>
        <w:t>ANEXO I AO INSTRUMENTO PARTICULAR DE ESCRITURA DA 6ª (SEXTA) EMISSÃO DE DEBÊNTURES</w:t>
      </w:r>
      <w:r>
        <w:rPr>
          <w:rFonts w:ascii="Verdana" w:hAnsi="Verdana"/>
          <w:b/>
          <w:sz w:val="20"/>
        </w:rPr>
        <w:t xml:space="preserve"> SIMPLES, NÃO CONVERSÍVEIS EM AÇÕES, DA ESPÉCIE QUIROGRAFÁRIA, EM ATÉ DUAS SÉRIES, PARA DISTRIBUIÇÃO PÚBLICA, COM ESFORÇOS RESTRITOS DE DISTRIBUIÇÃO, DA MINERVA S.A.</w:t>
      </w:r>
    </w:p>
    <w:p w:rsidR="00DE19C8" w:rsidRDefault="00626B63">
      <w:pPr>
        <w:spacing w:line="318" w:lineRule="exact"/>
        <w:contextualSpacing/>
        <w:rPr>
          <w:rFonts w:ascii="Verdana" w:hAnsi="Verdana"/>
          <w:sz w:val="20"/>
        </w:rPr>
      </w:pPr>
      <w:r>
        <w:rPr>
          <w:rFonts w:ascii="Verdana" w:hAnsi="Verdana"/>
          <w:sz w:val="20"/>
        </w:rPr>
        <w:t>_________________________________________________________________________</w:t>
      </w:r>
    </w:p>
    <w:p w:rsidR="00DE19C8" w:rsidRDefault="00DE19C8">
      <w:pPr>
        <w:spacing w:line="318" w:lineRule="exact"/>
        <w:contextualSpacing/>
        <w:jc w:val="center"/>
        <w:rPr>
          <w:rFonts w:ascii="Verdana" w:hAnsi="Verdana"/>
          <w:b/>
          <w:sz w:val="20"/>
        </w:rPr>
      </w:pPr>
    </w:p>
    <w:p w:rsidR="00DE19C8" w:rsidRDefault="00626B63">
      <w:pPr>
        <w:pStyle w:val="Corpodetexto2"/>
        <w:suppressAutoHyphens/>
        <w:spacing w:line="318" w:lineRule="exact"/>
        <w:contextualSpacing/>
        <w:jc w:val="both"/>
        <w:rPr>
          <w:rFonts w:ascii="Verdana" w:hAnsi="Verdana" w:cs="Tahoma"/>
          <w:sz w:val="20"/>
        </w:rPr>
      </w:pPr>
      <w:r>
        <w:rPr>
          <w:rFonts w:ascii="Verdana" w:hAnsi="Verdana"/>
          <w:sz w:val="20"/>
        </w:rPr>
        <w:t>PRIMEIRO ADITAM</w:t>
      </w:r>
      <w:r>
        <w:rPr>
          <w:rFonts w:ascii="Verdana" w:hAnsi="Verdana"/>
          <w:sz w:val="20"/>
        </w:rPr>
        <w:t>ENTO AO INSTRUMENTO PARTICULAR DE ESCRITURA DA 6ª (SEXTA) EMISSÃO DE DEBÊNTURES SIMPLES, NÃO CONVERSÍVEIS EM AÇÕES, DA ESPÉCIE QUIROGRAFÁRIA, EM [DUAS SÉRIES], PARA DISTRIBUIÇÃO PÚBLICA, COM ESFORÇOS RESTRITOS DE DISTRIBUIÇÃO, DA MINERVA S.A.</w:t>
      </w:r>
    </w:p>
    <w:p w:rsidR="00DE19C8" w:rsidRDefault="00DE19C8">
      <w:pPr>
        <w:pStyle w:val="p0"/>
        <w:tabs>
          <w:tab w:val="clear" w:pos="720"/>
        </w:tabs>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Pelo present</w:t>
      </w:r>
      <w:r>
        <w:rPr>
          <w:rFonts w:ascii="Verdana" w:hAnsi="Verdana" w:cs="Tahoma"/>
          <w:sz w:val="20"/>
        </w:rPr>
        <w:t xml:space="preserve">e instrumento particular, como emissora, </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 xml:space="preserve">(a) </w:t>
      </w:r>
      <w:r>
        <w:rPr>
          <w:rFonts w:ascii="Verdana" w:hAnsi="Verdana" w:cs="Tahoma"/>
          <w:b/>
          <w:sz w:val="20"/>
        </w:rPr>
        <w:t>MINERVA S.A.</w:t>
      </w:r>
      <w:r>
        <w:rPr>
          <w:rFonts w:ascii="Verdana" w:hAnsi="Verdana" w:cs="Tahoma"/>
          <w:sz w:val="20"/>
        </w:rPr>
        <w:t xml:space="preserve">, companhia aberta, com sede na Cidade de Barretos, Estado de São Paulo, no prolongamento </w:t>
      </w:r>
      <w:r>
        <w:rPr>
          <w:rFonts w:ascii="Verdana" w:hAnsi="Verdana" w:cs="Georgia"/>
          <w:sz w:val="20"/>
        </w:rPr>
        <w:t xml:space="preserve">da Avenida </w:t>
      </w:r>
      <w:proofErr w:type="spellStart"/>
      <w:r>
        <w:rPr>
          <w:rFonts w:ascii="Verdana" w:hAnsi="Verdana" w:cs="Georgia"/>
          <w:sz w:val="20"/>
        </w:rPr>
        <w:t>Antonio</w:t>
      </w:r>
      <w:proofErr w:type="spellEnd"/>
      <w:r>
        <w:rPr>
          <w:rFonts w:ascii="Verdana" w:hAnsi="Verdana" w:cs="Georgia"/>
          <w:sz w:val="20"/>
        </w:rPr>
        <w:t xml:space="preserve"> </w:t>
      </w:r>
      <w:proofErr w:type="spellStart"/>
      <w:r>
        <w:rPr>
          <w:rFonts w:ascii="Verdana" w:hAnsi="Verdana" w:cs="Georgia"/>
          <w:sz w:val="20"/>
        </w:rPr>
        <w:t>Manço</w:t>
      </w:r>
      <w:proofErr w:type="spellEnd"/>
      <w:r>
        <w:rPr>
          <w:rFonts w:ascii="Verdana" w:hAnsi="Verdana" w:cs="Georgia"/>
          <w:sz w:val="20"/>
        </w:rPr>
        <w:t xml:space="preserve"> Bernardes, s/n°, Rotatória Família Vilela de Queiroz, Chácara Minerva - CEP 14781-</w:t>
      </w:r>
      <w:r>
        <w:rPr>
          <w:rFonts w:ascii="Verdana" w:hAnsi="Verdana" w:cs="Georgia"/>
          <w:sz w:val="20"/>
        </w:rPr>
        <w:t>545</w:t>
      </w:r>
      <w:r>
        <w:rPr>
          <w:rFonts w:ascii="Verdana" w:hAnsi="Verdana" w:cs="Tahoma"/>
          <w:sz w:val="20"/>
        </w:rPr>
        <w:t>, inscrita no Cadastro Nacional da Pessoa Jurídica do Ministério da Economia (“</w:t>
      </w:r>
      <w:r>
        <w:rPr>
          <w:rFonts w:ascii="Verdana" w:hAnsi="Verdana" w:cs="Tahoma"/>
          <w:sz w:val="20"/>
          <w:u w:val="single"/>
        </w:rPr>
        <w:t>CNPJ/ME</w:t>
      </w:r>
      <w:r>
        <w:rPr>
          <w:rFonts w:ascii="Verdana" w:hAnsi="Verdana" w:cs="Tahoma"/>
          <w:sz w:val="20"/>
        </w:rPr>
        <w:t xml:space="preserve">”) sob o nº </w:t>
      </w:r>
      <w:r>
        <w:rPr>
          <w:rFonts w:ascii="Verdana" w:hAnsi="Verdana" w:cs="Georgia"/>
          <w:sz w:val="20"/>
        </w:rPr>
        <w:t>67.620.377/0001-14</w:t>
      </w:r>
      <w:r>
        <w:rPr>
          <w:rFonts w:ascii="Verdana" w:hAnsi="Verdana" w:cs="Tahoma"/>
          <w:sz w:val="20"/>
        </w:rPr>
        <w:t>, com seus atos constitutivos arquivados na Junta Comercial do Estado de São Paulo (“</w:t>
      </w:r>
      <w:r>
        <w:rPr>
          <w:rFonts w:ascii="Verdana" w:hAnsi="Verdana" w:cs="Tahoma"/>
          <w:sz w:val="20"/>
          <w:u w:val="single"/>
        </w:rPr>
        <w:t>JUCESP</w:t>
      </w:r>
      <w:r>
        <w:rPr>
          <w:rFonts w:ascii="Verdana" w:hAnsi="Verdana" w:cs="Tahoma"/>
          <w:sz w:val="20"/>
        </w:rPr>
        <w:t xml:space="preserve">”) sob o NIRE </w:t>
      </w:r>
      <w:r>
        <w:rPr>
          <w:rFonts w:ascii="Verdana" w:hAnsi="Verdana" w:cs="Georgia"/>
          <w:sz w:val="20"/>
        </w:rPr>
        <w:t>35.300.344.022</w:t>
      </w:r>
      <w:r>
        <w:rPr>
          <w:rFonts w:ascii="Verdana" w:hAnsi="Verdana" w:cs="Tahoma"/>
          <w:sz w:val="20"/>
        </w:rPr>
        <w:t>, neste ato repres</w:t>
      </w:r>
      <w:r>
        <w:rPr>
          <w:rFonts w:ascii="Verdana" w:hAnsi="Verdana" w:cs="Tahoma"/>
          <w:sz w:val="20"/>
        </w:rPr>
        <w:t>entada na forma de seu estatuto social (“</w:t>
      </w:r>
      <w:r>
        <w:rPr>
          <w:rFonts w:ascii="Verdana" w:hAnsi="Verdana" w:cs="Tahoma"/>
          <w:sz w:val="20"/>
          <w:u w:val="single"/>
        </w:rPr>
        <w:t>Emissora</w:t>
      </w:r>
      <w:r>
        <w:rPr>
          <w:rFonts w:ascii="Verdana" w:hAnsi="Verdana" w:cs="Tahoma"/>
          <w:sz w:val="20"/>
        </w:rPr>
        <w:t>”);</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e, como agente fiduciário representando a comunhão dos titulares das debêntures da 6ª (sexta) emissão pública de debêntures da Emissora (“</w:t>
      </w:r>
      <w:r>
        <w:rPr>
          <w:rFonts w:ascii="Verdana" w:hAnsi="Verdana" w:cs="Tahoma"/>
          <w:sz w:val="20"/>
          <w:u w:val="single"/>
        </w:rPr>
        <w:t>Debenturistas</w:t>
      </w:r>
      <w:r>
        <w:rPr>
          <w:rFonts w:ascii="Verdana" w:hAnsi="Verdana" w:cs="Tahoma"/>
          <w:sz w:val="20"/>
        </w:rPr>
        <w:t>” e, individualmente, “</w:t>
      </w:r>
      <w:r>
        <w:rPr>
          <w:rFonts w:ascii="Verdana" w:hAnsi="Verdana" w:cs="Tahoma"/>
          <w:sz w:val="20"/>
          <w:u w:val="single"/>
        </w:rPr>
        <w:t>Debenturista</w:t>
      </w:r>
      <w:r>
        <w:rPr>
          <w:rFonts w:ascii="Verdana" w:hAnsi="Verdana" w:cs="Tahoma"/>
          <w:sz w:val="20"/>
        </w:rPr>
        <w:t xml:space="preserve">”), </w:t>
      </w:r>
    </w:p>
    <w:p w:rsidR="00DE19C8" w:rsidRDefault="00DE19C8">
      <w:pPr>
        <w:suppressAutoHyphens/>
        <w:spacing w:line="318" w:lineRule="exact"/>
        <w:contextualSpacing/>
        <w:rPr>
          <w:rFonts w:ascii="Verdana" w:hAnsi="Verdana" w:cs="Tahoma"/>
          <w:sz w:val="20"/>
        </w:rPr>
      </w:pPr>
    </w:p>
    <w:p w:rsidR="00DE19C8" w:rsidRDefault="00626B63">
      <w:pPr>
        <w:spacing w:line="318" w:lineRule="exact"/>
        <w:contextualSpacing/>
        <w:rPr>
          <w:rFonts w:ascii="Verdana" w:hAnsi="Verdana" w:cs="Tahoma"/>
          <w:bCs/>
          <w:sz w:val="20"/>
        </w:rPr>
      </w:pPr>
      <w:r>
        <w:rPr>
          <w:rFonts w:ascii="Verdana" w:hAnsi="Verdana" w:cs="Tahoma"/>
          <w:bCs/>
          <w:sz w:val="20"/>
        </w:rPr>
        <w:t xml:space="preserve">(b) </w:t>
      </w:r>
      <w:r>
        <w:rPr>
          <w:rFonts w:ascii="Verdana" w:hAnsi="Verdana" w:cs="Arial"/>
          <w:b/>
          <w:bCs/>
          <w:caps/>
          <w:sz w:val="20"/>
          <w:lang w:eastAsia="x-none"/>
        </w:rPr>
        <w:t>OLIVEI</w:t>
      </w:r>
      <w:r>
        <w:rPr>
          <w:rFonts w:ascii="Verdana" w:hAnsi="Verdana" w:cs="Arial"/>
          <w:b/>
          <w:bCs/>
          <w:caps/>
          <w:sz w:val="20"/>
          <w:lang w:eastAsia="x-none"/>
        </w:rPr>
        <w:t>RA TRUST DISTRIBUIDORA DE TÍTULOS E VALORES MOBILIÁRIOS S.A.</w:t>
      </w:r>
      <w:r>
        <w:rPr>
          <w:rFonts w:ascii="Verdana" w:hAnsi="Verdana" w:cs="Arial"/>
          <w:sz w:val="20"/>
          <w:lang w:eastAsia="x-none"/>
        </w:rPr>
        <w:t xml:space="preserve">, instituição financeira, com sede na Cidade do Rio de Janeiro, Estado do Rio de Janeiro, na Avenida das Américas, nº 3434, Bloco 07, sala 201, Barra da Tijuca, CEP 22640-102, inscrita no CNPJ/ME </w:t>
      </w:r>
      <w:r>
        <w:rPr>
          <w:rFonts w:ascii="Verdana" w:hAnsi="Verdana" w:cs="Arial"/>
          <w:sz w:val="20"/>
          <w:lang w:eastAsia="x-none"/>
        </w:rPr>
        <w:t>sob o nº 36.113.876/0001-91</w:t>
      </w:r>
      <w:r>
        <w:rPr>
          <w:rFonts w:ascii="Verdana" w:hAnsi="Verdana" w:cs="Tahoma"/>
          <w:bCs/>
          <w:sz w:val="20"/>
        </w:rPr>
        <w:t xml:space="preserve">, neste ato representada </w:t>
      </w:r>
      <w:r>
        <w:rPr>
          <w:rFonts w:ascii="Verdana" w:hAnsi="Verdana" w:cs="Tahoma"/>
          <w:sz w:val="20"/>
        </w:rPr>
        <w:t>na forma de</w:t>
      </w:r>
      <w:r>
        <w:rPr>
          <w:rFonts w:ascii="Verdana" w:hAnsi="Verdana" w:cs="Tahoma"/>
          <w:bCs/>
          <w:sz w:val="20"/>
        </w:rPr>
        <w:t xml:space="preserve"> seu estatuto social, por seus representantes legais ao final assinados (“</w:t>
      </w:r>
      <w:r>
        <w:rPr>
          <w:rFonts w:ascii="Verdana" w:hAnsi="Verdana" w:cs="Tahoma"/>
          <w:bCs/>
          <w:sz w:val="20"/>
          <w:u w:val="single"/>
        </w:rPr>
        <w:t>Agente Fiduciário</w:t>
      </w:r>
      <w:r>
        <w:rPr>
          <w:rFonts w:ascii="Verdana" w:hAnsi="Verdana" w:cs="Tahoma"/>
          <w:bCs/>
          <w:sz w:val="20"/>
        </w:rPr>
        <w:t>”); e</w:t>
      </w:r>
    </w:p>
    <w:p w:rsidR="00DE19C8" w:rsidRDefault="00DE19C8">
      <w:pPr>
        <w:suppressAutoHyphens/>
        <w:spacing w:line="318" w:lineRule="exact"/>
        <w:contextualSpacing/>
        <w:rPr>
          <w:rFonts w:ascii="Verdana" w:hAnsi="Verdana" w:cs="Tahoma"/>
          <w:bCs/>
          <w:sz w:val="20"/>
        </w:rPr>
      </w:pPr>
    </w:p>
    <w:p w:rsidR="00DE19C8" w:rsidRDefault="00626B63">
      <w:pPr>
        <w:suppressAutoHyphens/>
        <w:spacing w:line="318" w:lineRule="exact"/>
        <w:contextualSpacing/>
        <w:rPr>
          <w:rFonts w:ascii="Verdana" w:hAnsi="Verdana" w:cs="Tahoma"/>
          <w:b/>
          <w:bCs/>
          <w:sz w:val="20"/>
        </w:rPr>
      </w:pPr>
      <w:r>
        <w:rPr>
          <w:rFonts w:ascii="Verdana" w:hAnsi="Verdana" w:cs="Tahoma"/>
          <w:b/>
          <w:bCs/>
          <w:sz w:val="20"/>
        </w:rPr>
        <w:t>CONSIDERANDO QUE:</w:t>
      </w:r>
    </w:p>
    <w:p w:rsidR="00DE19C8" w:rsidRDefault="00DE19C8">
      <w:pPr>
        <w:suppressAutoHyphens/>
        <w:spacing w:line="318" w:lineRule="exact"/>
        <w:contextualSpacing/>
        <w:rPr>
          <w:rFonts w:ascii="Verdana" w:hAnsi="Verdana" w:cs="Tahoma"/>
          <w:bCs/>
          <w:sz w:val="20"/>
        </w:rPr>
      </w:pPr>
    </w:p>
    <w:p w:rsidR="00DE19C8" w:rsidRDefault="00626B63">
      <w:pPr>
        <w:pStyle w:val="PargrafodaLista"/>
        <w:numPr>
          <w:ilvl w:val="0"/>
          <w:numId w:val="73"/>
        </w:numPr>
        <w:suppressAutoHyphens/>
        <w:spacing w:line="318" w:lineRule="exact"/>
        <w:ind w:left="0" w:firstLine="0"/>
        <w:contextualSpacing/>
        <w:rPr>
          <w:rFonts w:ascii="Verdana" w:hAnsi="Verdana"/>
          <w:sz w:val="20"/>
        </w:rPr>
      </w:pPr>
      <w:r>
        <w:rPr>
          <w:rFonts w:ascii="Verdana" w:hAnsi="Verdana" w:cs="Tahoma"/>
          <w:bCs/>
          <w:sz w:val="20"/>
        </w:rPr>
        <w:t>em [</w:t>
      </w:r>
      <w:r>
        <w:rPr>
          <w:rFonts w:ascii="Verdana" w:hAnsi="Verdana" w:cs="Tahoma"/>
          <w:bCs/>
          <w:sz w:val="20"/>
        </w:rPr>
        <w:sym w:font="Symbol" w:char="F0B7"/>
      </w:r>
      <w:r>
        <w:rPr>
          <w:rFonts w:ascii="Verdana" w:hAnsi="Verdana" w:cs="Tahoma"/>
          <w:bCs/>
          <w:sz w:val="20"/>
        </w:rPr>
        <w:t>] de [</w:t>
      </w:r>
      <w:r>
        <w:rPr>
          <w:rFonts w:ascii="Verdana" w:hAnsi="Verdana" w:cs="Tahoma"/>
          <w:bCs/>
          <w:sz w:val="20"/>
        </w:rPr>
        <w:sym w:font="Symbol" w:char="F0B7"/>
      </w:r>
      <w:r>
        <w:rPr>
          <w:rFonts w:ascii="Verdana" w:hAnsi="Verdana" w:cs="Tahoma"/>
          <w:bCs/>
          <w:sz w:val="20"/>
        </w:rPr>
        <w:t>] de 2019, as Partes celebraram o “</w:t>
      </w:r>
      <w:r>
        <w:rPr>
          <w:rFonts w:ascii="Verdana" w:hAnsi="Verdana"/>
          <w:i/>
          <w:sz w:val="20"/>
        </w:rPr>
        <w:t xml:space="preserve">Instrumento Particular de </w:t>
      </w:r>
      <w:r>
        <w:rPr>
          <w:rFonts w:ascii="Verdana" w:hAnsi="Verdana"/>
          <w:i/>
          <w:sz w:val="20"/>
        </w:rPr>
        <w:t>Escritura da 6ª (Sexta) Emissão de Debêntures Simples, Não Conversíveis em Ações, da Espécie Quirografária, em Até Duas Séries, para Distribuição Pública, com Esforços Restritos de Distribuição, da Minerva S.A.</w:t>
      </w:r>
      <w:r>
        <w:rPr>
          <w:rFonts w:ascii="Verdana" w:hAnsi="Verdana"/>
          <w:sz w:val="20"/>
        </w:rPr>
        <w:t>” (“</w:t>
      </w:r>
      <w:r>
        <w:rPr>
          <w:rFonts w:ascii="Verdana" w:hAnsi="Verdana"/>
          <w:sz w:val="20"/>
          <w:u w:val="single"/>
        </w:rPr>
        <w:t>Escritura de Emissão</w:t>
      </w:r>
      <w:r>
        <w:rPr>
          <w:rFonts w:ascii="Verdana" w:hAnsi="Verdana"/>
          <w:sz w:val="20"/>
        </w:rPr>
        <w:t>”), para reger os term</w:t>
      </w:r>
      <w:r>
        <w:rPr>
          <w:rFonts w:ascii="Verdana" w:hAnsi="Verdana"/>
          <w:sz w:val="20"/>
        </w:rPr>
        <w:t>os e condições da 6ª (sexta) emissão de debêntures simples, não conversíveis em ações, da espécie quirografária, em [2 (duas) séries], da Emissora, para distribuição pública, com esforços restritos de distribuição, nos termos da Instrução da CVM nº 476, de</w:t>
      </w:r>
      <w:r>
        <w:rPr>
          <w:rFonts w:ascii="Verdana" w:hAnsi="Verdana"/>
          <w:sz w:val="20"/>
        </w:rPr>
        <w:t xml:space="preserve"> 16 de janeiro de 2009, </w:t>
      </w:r>
      <w:r>
        <w:rPr>
          <w:rFonts w:ascii="Verdana" w:hAnsi="Verdana"/>
          <w:sz w:val="20"/>
        </w:rPr>
        <w:lastRenderedPageBreak/>
        <w:t>conforme alterada (“</w:t>
      </w:r>
      <w:r>
        <w:rPr>
          <w:rFonts w:ascii="Verdana" w:hAnsi="Verdana"/>
          <w:sz w:val="20"/>
          <w:u w:val="single"/>
        </w:rPr>
        <w:t>Emissão</w:t>
      </w:r>
      <w:r>
        <w:rPr>
          <w:rFonts w:ascii="Verdana" w:hAnsi="Verdana"/>
          <w:sz w:val="20"/>
        </w:rPr>
        <w:t>”, “</w:t>
      </w:r>
      <w:r>
        <w:rPr>
          <w:rFonts w:ascii="Verdana" w:hAnsi="Verdana"/>
          <w:sz w:val="20"/>
          <w:u w:val="single"/>
        </w:rPr>
        <w:t>Debêntures</w:t>
      </w:r>
      <w:r>
        <w:rPr>
          <w:rFonts w:ascii="Verdana" w:hAnsi="Verdana"/>
          <w:sz w:val="20"/>
        </w:rPr>
        <w:t>”, “</w:t>
      </w:r>
      <w:r>
        <w:rPr>
          <w:rFonts w:ascii="Verdana" w:hAnsi="Verdana"/>
          <w:sz w:val="20"/>
          <w:u w:val="single"/>
        </w:rPr>
        <w:t>Oferta Restrita</w:t>
      </w:r>
      <w:r>
        <w:rPr>
          <w:rFonts w:ascii="Verdana" w:hAnsi="Verdana"/>
          <w:sz w:val="20"/>
        </w:rPr>
        <w:t>” e “</w:t>
      </w:r>
      <w:r>
        <w:rPr>
          <w:rFonts w:ascii="Verdana" w:hAnsi="Verdana"/>
          <w:sz w:val="20"/>
          <w:u w:val="single"/>
        </w:rPr>
        <w:t>Instrução CVM 476</w:t>
      </w:r>
      <w:r>
        <w:rPr>
          <w:rFonts w:ascii="Verdana" w:hAnsi="Verdana"/>
          <w:sz w:val="20"/>
        </w:rPr>
        <w:t xml:space="preserve">”, respectivamente); </w:t>
      </w:r>
    </w:p>
    <w:p w:rsidR="00DE19C8" w:rsidRDefault="00DE19C8">
      <w:pPr>
        <w:pStyle w:val="PargrafodaLista"/>
        <w:suppressAutoHyphens/>
        <w:spacing w:line="318" w:lineRule="exact"/>
        <w:ind w:left="0"/>
        <w:contextualSpacing/>
        <w:rPr>
          <w:rFonts w:ascii="Verdana" w:hAnsi="Verdana"/>
          <w:sz w:val="20"/>
        </w:rPr>
      </w:pPr>
    </w:p>
    <w:p w:rsidR="00DE19C8" w:rsidRDefault="00626B63">
      <w:pPr>
        <w:pStyle w:val="PargrafodaLista"/>
        <w:numPr>
          <w:ilvl w:val="0"/>
          <w:numId w:val="73"/>
        </w:numPr>
        <w:suppressAutoHyphens/>
        <w:spacing w:line="318" w:lineRule="exact"/>
        <w:ind w:left="0" w:firstLine="0"/>
        <w:contextualSpacing/>
        <w:rPr>
          <w:rFonts w:ascii="Verdana" w:hAnsi="Verdana"/>
          <w:sz w:val="20"/>
        </w:rPr>
      </w:pPr>
      <w:r>
        <w:rPr>
          <w:rFonts w:ascii="Verdana" w:hAnsi="Verdana"/>
          <w:sz w:val="20"/>
        </w:rPr>
        <w:t>conforme previsto na Escritura de Emissão, foi realizado, em [</w:t>
      </w:r>
      <w:r>
        <w:rPr>
          <w:rFonts w:ascii="Verdana" w:hAnsi="Verdana"/>
          <w:i/>
          <w:sz w:val="20"/>
          <w:highlight w:val="lightGray"/>
        </w:rPr>
        <w:t>data</w:t>
      </w:r>
      <w:r>
        <w:rPr>
          <w:rFonts w:ascii="Verdana" w:hAnsi="Verdana"/>
          <w:sz w:val="20"/>
        </w:rPr>
        <w:t xml:space="preserve">], o Procedimento de </w:t>
      </w:r>
      <w:proofErr w:type="spellStart"/>
      <w:r>
        <w:rPr>
          <w:rFonts w:ascii="Verdana" w:hAnsi="Verdana"/>
          <w:i/>
          <w:sz w:val="20"/>
        </w:rPr>
        <w:t>Bookbuilding</w:t>
      </w:r>
      <w:proofErr w:type="spellEnd"/>
      <w:r>
        <w:rPr>
          <w:rFonts w:ascii="Verdana" w:hAnsi="Verdana"/>
          <w:sz w:val="20"/>
        </w:rPr>
        <w:t xml:space="preserve"> (conforme definido na Escritura de Emissão) no qual foram definidos [</w:t>
      </w:r>
      <w:r>
        <w:rPr>
          <w:rFonts w:ascii="Verdana" w:hAnsi="Verdana"/>
          <w:i/>
          <w:sz w:val="20"/>
          <w:highlight w:val="lightGray"/>
        </w:rPr>
        <w:t xml:space="preserve">parâmetros a serem definidos no Procedimento de </w:t>
      </w:r>
      <w:proofErr w:type="spellStart"/>
      <w:r>
        <w:rPr>
          <w:rFonts w:ascii="Verdana" w:hAnsi="Verdana"/>
          <w:i/>
          <w:sz w:val="20"/>
          <w:highlight w:val="lightGray"/>
        </w:rPr>
        <w:t>Bookbuilding</w:t>
      </w:r>
      <w:proofErr w:type="spellEnd"/>
      <w:r>
        <w:rPr>
          <w:rFonts w:ascii="Verdana" w:hAnsi="Verdana"/>
          <w:i/>
          <w:sz w:val="20"/>
          <w:highlight w:val="lightGray"/>
        </w:rPr>
        <w:t>, observadas as restrições descritas na Escritura de Emissão</w:t>
      </w:r>
      <w:r>
        <w:rPr>
          <w:rFonts w:ascii="Verdana" w:hAnsi="Verdana"/>
          <w:sz w:val="20"/>
        </w:rPr>
        <w:t>];</w:t>
      </w:r>
    </w:p>
    <w:p w:rsidR="00DE19C8" w:rsidRDefault="00DE19C8">
      <w:pPr>
        <w:pStyle w:val="PargrafodaLista"/>
        <w:suppressAutoHyphens/>
        <w:spacing w:line="318" w:lineRule="exact"/>
        <w:ind w:left="0"/>
        <w:contextualSpacing/>
        <w:rPr>
          <w:rFonts w:ascii="Verdana" w:hAnsi="Verdana"/>
          <w:sz w:val="20"/>
        </w:rPr>
      </w:pPr>
    </w:p>
    <w:p w:rsidR="00DE19C8" w:rsidRDefault="00626B63">
      <w:pPr>
        <w:pStyle w:val="PargrafodaLista"/>
        <w:numPr>
          <w:ilvl w:val="0"/>
          <w:numId w:val="73"/>
        </w:numPr>
        <w:suppressAutoHyphens/>
        <w:spacing w:line="318" w:lineRule="exact"/>
        <w:ind w:left="0" w:firstLine="0"/>
        <w:contextualSpacing/>
        <w:rPr>
          <w:rFonts w:ascii="Verdana" w:hAnsi="Verdana"/>
          <w:sz w:val="20"/>
        </w:rPr>
      </w:pPr>
      <w:r>
        <w:rPr>
          <w:rFonts w:ascii="Verdana" w:hAnsi="Verdana"/>
          <w:sz w:val="20"/>
        </w:rPr>
        <w:t>em [</w:t>
      </w:r>
      <w:r>
        <w:rPr>
          <w:rFonts w:ascii="Verdana" w:hAnsi="Verdana"/>
          <w:i/>
          <w:sz w:val="20"/>
          <w:highlight w:val="lightGray"/>
        </w:rPr>
        <w:t>data</w:t>
      </w:r>
      <w:r>
        <w:rPr>
          <w:rFonts w:ascii="Verdana" w:hAnsi="Verdana"/>
          <w:sz w:val="20"/>
        </w:rPr>
        <w:t xml:space="preserve">], foi realizada reunião do Conselho de Administração </w:t>
      </w:r>
      <w:r>
        <w:rPr>
          <w:rFonts w:ascii="Verdana" w:hAnsi="Verdana"/>
          <w:sz w:val="20"/>
        </w:rPr>
        <w:t xml:space="preserve">da Emissora, na qual foram aprovados os termos e condições definidos no Procedimento de </w:t>
      </w:r>
      <w:proofErr w:type="spellStart"/>
      <w:r>
        <w:rPr>
          <w:rFonts w:ascii="Verdana" w:hAnsi="Verdana"/>
          <w:i/>
          <w:sz w:val="20"/>
        </w:rPr>
        <w:t>Bookbuilding</w:t>
      </w:r>
      <w:proofErr w:type="spellEnd"/>
      <w:r>
        <w:rPr>
          <w:rFonts w:ascii="Verdana" w:hAnsi="Verdana"/>
          <w:i/>
          <w:sz w:val="20"/>
        </w:rPr>
        <w:t xml:space="preserve"> </w:t>
      </w:r>
      <w:r>
        <w:rPr>
          <w:rFonts w:ascii="Verdana" w:hAnsi="Verdana"/>
          <w:sz w:val="20"/>
        </w:rPr>
        <w:t>(“</w:t>
      </w:r>
      <w:r>
        <w:rPr>
          <w:rFonts w:ascii="Verdana" w:hAnsi="Verdana"/>
          <w:sz w:val="20"/>
          <w:u w:val="single"/>
        </w:rPr>
        <w:t xml:space="preserve">RCA do </w:t>
      </w:r>
      <w:proofErr w:type="spellStart"/>
      <w:r>
        <w:rPr>
          <w:rFonts w:ascii="Verdana" w:hAnsi="Verdana"/>
          <w:i/>
          <w:sz w:val="20"/>
          <w:u w:val="single"/>
        </w:rPr>
        <w:t>Bookbuilding</w:t>
      </w:r>
      <w:proofErr w:type="spellEnd"/>
      <w:r>
        <w:rPr>
          <w:rFonts w:ascii="Verdana" w:hAnsi="Verdana"/>
          <w:sz w:val="20"/>
        </w:rPr>
        <w:t>”);</w:t>
      </w:r>
    </w:p>
    <w:p w:rsidR="00DE19C8" w:rsidRDefault="00DE19C8">
      <w:pPr>
        <w:pStyle w:val="PargrafodaLista"/>
        <w:suppressAutoHyphens/>
        <w:spacing w:line="318" w:lineRule="exact"/>
        <w:ind w:left="0"/>
        <w:contextualSpacing/>
        <w:rPr>
          <w:rFonts w:ascii="Verdana" w:hAnsi="Verdana"/>
          <w:sz w:val="20"/>
        </w:rPr>
      </w:pPr>
    </w:p>
    <w:p w:rsidR="00DE19C8" w:rsidRDefault="00626B63">
      <w:pPr>
        <w:pStyle w:val="PargrafodaLista"/>
        <w:numPr>
          <w:ilvl w:val="0"/>
          <w:numId w:val="73"/>
        </w:numPr>
        <w:suppressAutoHyphens/>
        <w:spacing w:line="318" w:lineRule="exact"/>
        <w:ind w:left="0" w:firstLine="0"/>
        <w:contextualSpacing/>
        <w:rPr>
          <w:rFonts w:ascii="Verdana" w:hAnsi="Verdana"/>
          <w:sz w:val="20"/>
        </w:rPr>
      </w:pPr>
      <w:r>
        <w:rPr>
          <w:rFonts w:ascii="Verdana" w:hAnsi="Verdana"/>
          <w:sz w:val="20"/>
        </w:rPr>
        <w:t xml:space="preserve">as Partes, em conjunto, decidiram alterar determinados termos e condições da Escritura de Emissão, nos termos aqui dispostos, de </w:t>
      </w:r>
      <w:r>
        <w:rPr>
          <w:rFonts w:ascii="Verdana" w:hAnsi="Verdana"/>
          <w:sz w:val="20"/>
        </w:rPr>
        <w:t xml:space="preserve">forma a refletir o resultado do Procedimento de </w:t>
      </w:r>
      <w:proofErr w:type="spellStart"/>
      <w:r>
        <w:rPr>
          <w:rFonts w:ascii="Verdana" w:hAnsi="Verdana"/>
          <w:i/>
          <w:sz w:val="20"/>
        </w:rPr>
        <w:t>Bookbuilding</w:t>
      </w:r>
      <w:proofErr w:type="spellEnd"/>
      <w:r>
        <w:rPr>
          <w:rFonts w:ascii="Verdana" w:hAnsi="Verdana"/>
          <w:sz w:val="20"/>
        </w:rPr>
        <w:t xml:space="preserve">; e </w:t>
      </w:r>
    </w:p>
    <w:p w:rsidR="00DE19C8" w:rsidRDefault="00DE19C8">
      <w:pPr>
        <w:pStyle w:val="PargrafodaLista"/>
        <w:ind w:left="0"/>
        <w:rPr>
          <w:rFonts w:ascii="Verdana" w:hAnsi="Verdana"/>
          <w:sz w:val="20"/>
        </w:rPr>
      </w:pPr>
    </w:p>
    <w:p w:rsidR="00DE19C8" w:rsidRDefault="00626B63">
      <w:pPr>
        <w:pStyle w:val="PargrafodaLista"/>
        <w:numPr>
          <w:ilvl w:val="0"/>
          <w:numId w:val="73"/>
        </w:numPr>
        <w:suppressAutoHyphens/>
        <w:spacing w:line="318" w:lineRule="exact"/>
        <w:ind w:left="0" w:firstLine="0"/>
        <w:contextualSpacing/>
        <w:rPr>
          <w:rFonts w:ascii="Verdana" w:hAnsi="Verdana"/>
          <w:sz w:val="20"/>
        </w:rPr>
      </w:pPr>
      <w:r>
        <w:rPr>
          <w:rFonts w:ascii="Verdana" w:hAnsi="Verdana"/>
          <w:sz w:val="20"/>
        </w:rPr>
        <w:t xml:space="preserve">a colocação das Debêntures ainda não foi iniciada, de modo que não se faz necessária a realização de Assembleia Geral de Debenturistas, para ratificar o resultado do Procedimento de </w:t>
      </w:r>
      <w:proofErr w:type="spellStart"/>
      <w:r>
        <w:rPr>
          <w:rFonts w:ascii="Verdana" w:hAnsi="Verdana"/>
          <w:i/>
          <w:sz w:val="20"/>
        </w:rPr>
        <w:t>Bookbuil</w:t>
      </w:r>
      <w:r>
        <w:rPr>
          <w:rFonts w:ascii="Verdana" w:hAnsi="Verdana"/>
          <w:i/>
          <w:sz w:val="20"/>
        </w:rPr>
        <w:t>ding</w:t>
      </w:r>
      <w:proofErr w:type="spellEnd"/>
      <w:r>
        <w:rPr>
          <w:rFonts w:ascii="Verdana" w:hAnsi="Verdana"/>
          <w:i/>
          <w:sz w:val="20"/>
        </w:rPr>
        <w:t xml:space="preserve"> </w:t>
      </w:r>
      <w:r>
        <w:rPr>
          <w:rFonts w:ascii="Verdana" w:hAnsi="Verdana"/>
          <w:sz w:val="20"/>
        </w:rPr>
        <w:t>e celebrar o presente instrumento;</w:t>
      </w:r>
    </w:p>
    <w:p w:rsidR="00DE19C8" w:rsidRDefault="00DE19C8">
      <w:pPr>
        <w:suppressAutoHyphens/>
        <w:spacing w:line="318" w:lineRule="exact"/>
        <w:contextualSpacing/>
        <w:rPr>
          <w:rFonts w:ascii="Verdana" w:hAnsi="Verdana" w:cs="Tahoma"/>
          <w:bCs/>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vêm por esta e na melhor forma de direito firmar o presente “</w:t>
      </w:r>
      <w:r>
        <w:rPr>
          <w:rFonts w:ascii="Verdana" w:hAnsi="Verdana" w:cs="Tahoma"/>
          <w:i/>
          <w:sz w:val="20"/>
        </w:rPr>
        <w:t xml:space="preserve">Primeiro Aditamento ao </w:t>
      </w:r>
      <w:r>
        <w:rPr>
          <w:rFonts w:ascii="Verdana" w:hAnsi="Verdana"/>
          <w:i/>
          <w:sz w:val="20"/>
        </w:rPr>
        <w:t xml:space="preserve">Instrumento Particular de Escritura da 6ª (Sexta) Emissão de Debêntures Simples, Não Conversíveis em Ações, da Espécie </w:t>
      </w:r>
      <w:r>
        <w:rPr>
          <w:rFonts w:ascii="Verdana" w:hAnsi="Verdana"/>
          <w:i/>
          <w:sz w:val="20"/>
        </w:rPr>
        <w:t>Quirografária, em [Duas Séries], para Distribuição Pública, com Esforços Restritos de Distribuição, da Minerva S.A.</w:t>
      </w:r>
      <w:r>
        <w:rPr>
          <w:rFonts w:ascii="Verdana" w:hAnsi="Verdana" w:cs="Tahoma"/>
          <w:sz w:val="20"/>
        </w:rPr>
        <w:t>” (“</w:t>
      </w:r>
      <w:r>
        <w:rPr>
          <w:rFonts w:ascii="Verdana" w:hAnsi="Verdana" w:cs="Tahoma"/>
          <w:sz w:val="20"/>
          <w:u w:val="single"/>
        </w:rPr>
        <w:t>Aditamento</w:t>
      </w:r>
      <w:r>
        <w:rPr>
          <w:rFonts w:ascii="Verdana" w:hAnsi="Verdana" w:cs="Tahoma"/>
          <w:sz w:val="20"/>
        </w:rPr>
        <w:t>”), que será regido pelas cláusulas e condições a seguir.</w:t>
      </w:r>
    </w:p>
    <w:p w:rsidR="00DE19C8" w:rsidRDefault="00DE19C8">
      <w:pPr>
        <w:suppressAutoHyphens/>
        <w:spacing w:line="318" w:lineRule="exact"/>
        <w:contextualSpacing/>
        <w:rPr>
          <w:rFonts w:ascii="Verdana" w:hAnsi="Verdana" w:cs="Tahoma"/>
          <w:sz w:val="20"/>
        </w:rPr>
      </w:pPr>
    </w:p>
    <w:p w:rsidR="00DE19C8" w:rsidRDefault="00626B63">
      <w:pPr>
        <w:tabs>
          <w:tab w:val="left" w:pos="2366"/>
        </w:tabs>
        <w:spacing w:line="318" w:lineRule="exact"/>
        <w:contextualSpacing/>
        <w:rPr>
          <w:rFonts w:ascii="Verdana" w:hAnsi="Verdana" w:cs="Garamond"/>
          <w:color w:val="000000"/>
          <w:sz w:val="20"/>
        </w:rPr>
      </w:pPr>
      <w:r>
        <w:rPr>
          <w:rFonts w:ascii="Verdana" w:hAnsi="Verdana" w:cs="Garamond"/>
          <w:color w:val="000000"/>
          <w:sz w:val="20"/>
        </w:rPr>
        <w:t xml:space="preserve">Os termos aqui iniciados em letra maiúscula, estejam no singular ou </w:t>
      </w:r>
      <w:r>
        <w:rPr>
          <w:rFonts w:ascii="Verdana" w:hAnsi="Verdana" w:cs="Garamond"/>
          <w:color w:val="000000"/>
          <w:sz w:val="20"/>
        </w:rPr>
        <w:t>no plural, terão o significado a eles atribuído nesta Escritura de Emissão, ainda que posteriormente ao seu uso.</w:t>
      </w:r>
    </w:p>
    <w:p w:rsidR="00DE19C8" w:rsidRDefault="00DE19C8">
      <w:pPr>
        <w:suppressAutoHyphens/>
        <w:spacing w:line="318" w:lineRule="exact"/>
        <w:contextualSpacing/>
        <w:rPr>
          <w:rFonts w:ascii="Verdana" w:hAnsi="Verdana" w:cs="Tahoma"/>
          <w:sz w:val="20"/>
        </w:rPr>
      </w:pPr>
    </w:p>
    <w:p w:rsidR="00DE19C8" w:rsidRDefault="00626B63">
      <w:pPr>
        <w:jc w:val="center"/>
        <w:rPr>
          <w:rFonts w:ascii="Verdana" w:hAnsi="Verdana" w:cs="Tahoma"/>
          <w:b/>
          <w:sz w:val="20"/>
        </w:rPr>
      </w:pPr>
      <w:r>
        <w:rPr>
          <w:rFonts w:ascii="Verdana" w:hAnsi="Verdana" w:cs="Tahoma"/>
          <w:b/>
          <w:sz w:val="20"/>
        </w:rPr>
        <w:t>CLÁUSULA PRIMEIRA – DA AUTORIZAÇÃO</w:t>
      </w:r>
    </w:p>
    <w:p w:rsidR="00DE19C8" w:rsidRDefault="00DE19C8">
      <w:pPr>
        <w:suppressAutoHyphens/>
        <w:spacing w:line="318" w:lineRule="exact"/>
        <w:contextualSpacing/>
        <w:rPr>
          <w:rFonts w:ascii="Verdana" w:hAnsi="Verdana" w:cs="Tahoma"/>
          <w:sz w:val="20"/>
        </w:rPr>
      </w:pPr>
    </w:p>
    <w:p w:rsidR="00DE19C8" w:rsidRDefault="00626B63">
      <w:pPr>
        <w:pStyle w:val="PargrafodaLista"/>
        <w:numPr>
          <w:ilvl w:val="1"/>
          <w:numId w:val="74"/>
        </w:numPr>
        <w:spacing w:line="318" w:lineRule="exact"/>
        <w:ind w:left="0" w:firstLine="0"/>
        <w:contextualSpacing/>
        <w:rPr>
          <w:rFonts w:ascii="Verdana" w:hAnsi="Verdana"/>
          <w:sz w:val="20"/>
        </w:rPr>
      </w:pPr>
      <w:r>
        <w:rPr>
          <w:rFonts w:ascii="Verdana" w:hAnsi="Verdana"/>
          <w:sz w:val="20"/>
        </w:rPr>
        <w:t xml:space="preserve">Este Aditamento é celebrado pela Emissora com base nas deliberações da RCA do </w:t>
      </w:r>
      <w:proofErr w:type="spellStart"/>
      <w:r>
        <w:rPr>
          <w:rFonts w:ascii="Verdana" w:hAnsi="Verdana"/>
          <w:i/>
          <w:sz w:val="20"/>
        </w:rPr>
        <w:t>Bookbuilding</w:t>
      </w:r>
      <w:proofErr w:type="spellEnd"/>
      <w:r>
        <w:rPr>
          <w:rFonts w:ascii="Verdana" w:hAnsi="Verdana"/>
          <w:sz w:val="20"/>
        </w:rPr>
        <w:t xml:space="preserve">, na qual foram </w:t>
      </w:r>
      <w:r>
        <w:rPr>
          <w:rFonts w:ascii="Verdana" w:hAnsi="Verdana"/>
          <w:sz w:val="20"/>
        </w:rPr>
        <w:t xml:space="preserve">deliberadas: (a) a alteração de determinados termos e condições da Escritura de Emissão, para refletir o resultado do Procedimento de </w:t>
      </w:r>
      <w:proofErr w:type="spellStart"/>
      <w:r>
        <w:rPr>
          <w:rFonts w:ascii="Verdana" w:hAnsi="Verdana"/>
          <w:i/>
          <w:sz w:val="20"/>
        </w:rPr>
        <w:t>Bookbuilding</w:t>
      </w:r>
      <w:proofErr w:type="spellEnd"/>
      <w:r>
        <w:rPr>
          <w:rFonts w:ascii="Verdana" w:hAnsi="Verdana"/>
          <w:sz w:val="20"/>
        </w:rPr>
        <w:t>; e (b) a autorização à Diretoria da Emissora para adotar todas e quaisquer medidas e celebrar todos os docume</w:t>
      </w:r>
      <w:r>
        <w:rPr>
          <w:rFonts w:ascii="Verdana" w:hAnsi="Verdana"/>
          <w:sz w:val="20"/>
        </w:rPr>
        <w:t>ntos necessários à implementação do item (a) acima, podendo, sem limitação, celebrar o presente Aditamento, tudo em conformidade com o disposto no artigo 59 da Lei nº 6.404 de 15 de dezembro de 1976, conforme alterada (“</w:t>
      </w:r>
      <w:r>
        <w:rPr>
          <w:rFonts w:ascii="Verdana" w:hAnsi="Verdana"/>
          <w:sz w:val="20"/>
          <w:u w:val="single"/>
        </w:rPr>
        <w:t>Lei das Sociedades por Ações</w:t>
      </w:r>
      <w:r>
        <w:rPr>
          <w:rFonts w:ascii="Verdana" w:hAnsi="Verdana"/>
          <w:sz w:val="20"/>
        </w:rPr>
        <w:t xml:space="preserve">”), e </w:t>
      </w:r>
      <w:r>
        <w:rPr>
          <w:rFonts w:ascii="Verdana" w:hAnsi="Verdana"/>
          <w:sz w:val="20"/>
        </w:rPr>
        <w:lastRenderedPageBreak/>
        <w:t>ra</w:t>
      </w:r>
      <w:r>
        <w:rPr>
          <w:rFonts w:ascii="Verdana" w:hAnsi="Verdana"/>
          <w:sz w:val="20"/>
        </w:rPr>
        <w:t>tificar todos os demais atos já praticados pela Diretoria da Emissora com relação aos itens acima.</w:t>
      </w:r>
    </w:p>
    <w:p w:rsidR="00DE19C8" w:rsidRDefault="00DE19C8">
      <w:pPr>
        <w:suppressAutoHyphens/>
        <w:spacing w:line="318" w:lineRule="exact"/>
        <w:contextualSpacing/>
        <w:rPr>
          <w:rFonts w:ascii="Verdana" w:hAnsi="Verdana" w:cs="Tahoma"/>
          <w:sz w:val="20"/>
        </w:rPr>
      </w:pPr>
    </w:p>
    <w:p w:rsidR="00DE19C8" w:rsidRDefault="00626B63">
      <w:pPr>
        <w:suppressAutoHyphens/>
        <w:spacing w:line="318" w:lineRule="exact"/>
        <w:contextualSpacing/>
        <w:rPr>
          <w:rFonts w:ascii="Verdana" w:hAnsi="Verdana" w:cs="Tahoma"/>
          <w:sz w:val="20"/>
        </w:rPr>
      </w:pPr>
      <w:r>
        <w:rPr>
          <w:rFonts w:ascii="Verdana" w:hAnsi="Verdana" w:cs="Tahoma"/>
          <w:sz w:val="20"/>
        </w:rPr>
        <w:t>1.2.</w:t>
      </w:r>
      <w:r>
        <w:rPr>
          <w:rFonts w:ascii="Verdana" w:hAnsi="Verdana" w:cs="Tahoma"/>
          <w:sz w:val="20"/>
        </w:rPr>
        <w:tab/>
        <w:t xml:space="preserve">A ata da RCA do </w:t>
      </w:r>
      <w:proofErr w:type="spellStart"/>
      <w:r>
        <w:rPr>
          <w:rFonts w:ascii="Verdana" w:hAnsi="Verdana" w:cs="Tahoma"/>
          <w:i/>
          <w:sz w:val="20"/>
        </w:rPr>
        <w:t>Bookbuilding</w:t>
      </w:r>
      <w:proofErr w:type="spellEnd"/>
      <w:r>
        <w:rPr>
          <w:rFonts w:ascii="Verdana" w:hAnsi="Verdana" w:cs="Tahoma"/>
          <w:sz w:val="20"/>
        </w:rPr>
        <w:t xml:space="preserve"> será arquivada na JUCESP e será publicada no (i) Diário Oficial do Estado de São Paulo; e (</w:t>
      </w:r>
      <w:proofErr w:type="spellStart"/>
      <w:r>
        <w:rPr>
          <w:rFonts w:ascii="Verdana" w:hAnsi="Verdana" w:cs="Tahoma"/>
          <w:sz w:val="20"/>
        </w:rPr>
        <w:t>ii</w:t>
      </w:r>
      <w:proofErr w:type="spellEnd"/>
      <w:r>
        <w:rPr>
          <w:rFonts w:ascii="Verdana" w:hAnsi="Verdana" w:cs="Tahoma"/>
          <w:sz w:val="20"/>
        </w:rPr>
        <w:t xml:space="preserve">) no [jornal </w:t>
      </w:r>
      <w:r>
        <w:rPr>
          <w:rFonts w:ascii="Verdana" w:hAnsi="Verdana"/>
          <w:sz w:val="20"/>
        </w:rPr>
        <w:t>“Diário de Barre</w:t>
      </w:r>
      <w:r>
        <w:rPr>
          <w:rFonts w:ascii="Verdana" w:hAnsi="Verdana"/>
          <w:sz w:val="20"/>
        </w:rPr>
        <w:t>tos</w:t>
      </w:r>
      <w:r>
        <w:rPr>
          <w:rFonts w:ascii="Verdana" w:hAnsi="Verdana" w:cs="Tahoma"/>
          <w:sz w:val="20"/>
        </w:rPr>
        <w:t>”]. O presente Aditamento será registrado na JUCESP, de acordo com o artigo 62, inciso II, da Lei das Sociedades por Ações.</w:t>
      </w:r>
    </w:p>
    <w:p w:rsidR="00DE19C8" w:rsidRDefault="00DE19C8">
      <w:pPr>
        <w:suppressAutoHyphens/>
        <w:spacing w:line="318" w:lineRule="exact"/>
        <w:contextualSpacing/>
        <w:rPr>
          <w:rFonts w:ascii="Verdana" w:hAnsi="Verdana" w:cs="Tahoma"/>
          <w:sz w:val="20"/>
        </w:rPr>
      </w:pPr>
    </w:p>
    <w:p w:rsidR="00DE19C8" w:rsidRDefault="00DE19C8">
      <w:pPr>
        <w:spacing w:line="318" w:lineRule="exact"/>
        <w:contextualSpacing/>
        <w:rPr>
          <w:rFonts w:ascii="Verdana" w:hAnsi="Verdana"/>
          <w:sz w:val="20"/>
        </w:rPr>
      </w:pPr>
    </w:p>
    <w:p w:rsidR="00DE19C8" w:rsidRDefault="00626B63">
      <w:pPr>
        <w:jc w:val="center"/>
        <w:rPr>
          <w:rFonts w:ascii="Verdana" w:hAnsi="Verdana" w:cs="Tahoma"/>
          <w:b/>
          <w:sz w:val="20"/>
        </w:rPr>
      </w:pPr>
      <w:r>
        <w:rPr>
          <w:rFonts w:ascii="Verdana" w:hAnsi="Verdana" w:cs="Tahoma"/>
          <w:b/>
          <w:sz w:val="20"/>
        </w:rPr>
        <w:t>CLÁUSULA SEGUNDA – DAS ALTERAÇÕES</w:t>
      </w:r>
    </w:p>
    <w:p w:rsidR="00DE19C8" w:rsidRDefault="00DE19C8">
      <w:pPr>
        <w:spacing w:line="318" w:lineRule="exact"/>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sz w:val="20"/>
        </w:rPr>
        <w:t>2.1.</w:t>
      </w:r>
      <w:r>
        <w:rPr>
          <w:rFonts w:ascii="Verdana" w:hAnsi="Verdana"/>
          <w:sz w:val="20"/>
        </w:rPr>
        <w:tab/>
        <w:t>[</w:t>
      </w:r>
      <w:r>
        <w:rPr>
          <w:rFonts w:ascii="Verdana" w:hAnsi="Verdana"/>
          <w:sz w:val="20"/>
          <w:highlight w:val="lightGray"/>
        </w:rPr>
        <w:t xml:space="preserve">As Partes reconhecem que, em razão do resultado do Procedimento de </w:t>
      </w:r>
      <w:proofErr w:type="spellStart"/>
      <w:r>
        <w:rPr>
          <w:rFonts w:ascii="Verdana" w:hAnsi="Verdana"/>
          <w:i/>
          <w:sz w:val="20"/>
          <w:highlight w:val="lightGray"/>
        </w:rPr>
        <w:t>Bookbuilding</w:t>
      </w:r>
      <w:proofErr w:type="spellEnd"/>
      <w:r>
        <w:rPr>
          <w:rFonts w:ascii="Verdana" w:hAnsi="Verdana"/>
          <w:sz w:val="20"/>
          <w:highlight w:val="lightGray"/>
        </w:rPr>
        <w:t xml:space="preserve">, </w:t>
      </w:r>
      <w:r>
        <w:rPr>
          <w:rFonts w:ascii="Verdana" w:hAnsi="Verdana"/>
          <w:sz w:val="20"/>
          <w:highlight w:val="lightGray"/>
        </w:rPr>
        <w:t>resolvem cancelar as [Debêntures da Primeira Série] {ou} [Debêntures da Segunda Série], sendo certo que todas as referências às [Debêntures da Primeira Série] {ou} [Debêntures da Segunda Série] serão consideradas como excluídas da Escritura de Emissão e to</w:t>
      </w:r>
      <w:r>
        <w:rPr>
          <w:rFonts w:ascii="Verdana" w:hAnsi="Verdana"/>
          <w:sz w:val="20"/>
          <w:highlight w:val="lightGray"/>
        </w:rPr>
        <w:t>das as referências às [Debêntures da Primeira Série] {ou} [Debêntures da Segunda Série] serão entendidas como a totalidade das Debêntures</w:t>
      </w:r>
      <w:r>
        <w:rPr>
          <w:rFonts w:ascii="Verdana" w:hAnsi="Verdana"/>
          <w:sz w:val="20"/>
        </w:rPr>
        <w:t>]</w:t>
      </w:r>
      <w:r>
        <w:rPr>
          <w:rStyle w:val="Refdenotaderodap"/>
          <w:rFonts w:ascii="Verdana" w:hAnsi="Verdana"/>
          <w:sz w:val="20"/>
        </w:rPr>
        <w:footnoteReference w:id="2"/>
      </w:r>
    </w:p>
    <w:p w:rsidR="00DE19C8" w:rsidRDefault="00DE19C8">
      <w:pPr>
        <w:spacing w:line="318" w:lineRule="exact"/>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sz w:val="20"/>
        </w:rPr>
        <w:t>2.2.</w:t>
      </w:r>
      <w:r>
        <w:rPr>
          <w:rFonts w:ascii="Verdana" w:hAnsi="Verdana"/>
          <w:sz w:val="20"/>
        </w:rPr>
        <w:tab/>
        <w:t>As Partes resolvem incluir a Cláusula 1.1.3 da Escritura de Emissão, que passa a vigorar com a seguinte redaçã</w:t>
      </w:r>
      <w:r>
        <w:rPr>
          <w:rFonts w:ascii="Verdana" w:hAnsi="Verdana"/>
          <w:sz w:val="20"/>
        </w:rPr>
        <w:t>o:</w:t>
      </w:r>
    </w:p>
    <w:p w:rsidR="00DE19C8" w:rsidRDefault="00DE19C8">
      <w:pPr>
        <w:spacing w:line="318" w:lineRule="exact"/>
        <w:contextualSpacing/>
        <w:rPr>
          <w:rFonts w:ascii="Verdana" w:hAnsi="Verdana"/>
          <w:sz w:val="20"/>
        </w:rPr>
      </w:pPr>
    </w:p>
    <w:p w:rsidR="00DE19C8" w:rsidRDefault="00626B63">
      <w:pPr>
        <w:spacing w:line="318" w:lineRule="exact"/>
        <w:ind w:left="1418"/>
        <w:contextualSpacing/>
        <w:rPr>
          <w:rFonts w:ascii="Verdana" w:hAnsi="Verdana"/>
          <w:sz w:val="20"/>
        </w:rPr>
      </w:pPr>
      <w:r>
        <w:rPr>
          <w:rFonts w:ascii="Verdana" w:hAnsi="Verdana"/>
          <w:sz w:val="20"/>
        </w:rPr>
        <w:t>“</w:t>
      </w:r>
      <w:r>
        <w:rPr>
          <w:rFonts w:ascii="Verdana" w:hAnsi="Verdana"/>
          <w:i/>
          <w:sz w:val="20"/>
        </w:rPr>
        <w:t>1.1.3.</w:t>
      </w:r>
      <w:r>
        <w:rPr>
          <w:rFonts w:ascii="Verdana" w:hAnsi="Verdana"/>
          <w:i/>
          <w:sz w:val="20"/>
        </w:rPr>
        <w:tab/>
      </w:r>
      <w:r>
        <w:rPr>
          <w:rFonts w:ascii="Verdana" w:hAnsi="Verdana"/>
          <w:i/>
          <w:color w:val="000000"/>
          <w:sz w:val="20"/>
        </w:rPr>
        <w:t>Em [</w:t>
      </w:r>
      <w:r>
        <w:rPr>
          <w:rFonts w:ascii="Verdana" w:hAnsi="Verdana"/>
          <w:i/>
          <w:color w:val="000000"/>
          <w:sz w:val="20"/>
          <w:highlight w:val="lightGray"/>
        </w:rPr>
        <w:t>data</w:t>
      </w:r>
      <w:r>
        <w:rPr>
          <w:rFonts w:ascii="Verdana" w:hAnsi="Verdana"/>
          <w:i/>
          <w:color w:val="000000"/>
          <w:sz w:val="20"/>
        </w:rPr>
        <w:t xml:space="preserve">], foi realizada reunião do Conselho de Administração da Emissora, na qual foram aprovadas </w:t>
      </w:r>
      <w:r>
        <w:rPr>
          <w:rFonts w:ascii="Verdana" w:hAnsi="Verdana"/>
          <w:i/>
          <w:sz w:val="20"/>
        </w:rPr>
        <w:t xml:space="preserve">: (a) a alteração de determinados termos e condições da Escritura de Emissão, para refletir o resultado do Procedimento de </w:t>
      </w:r>
      <w:proofErr w:type="spellStart"/>
      <w:r>
        <w:rPr>
          <w:rFonts w:ascii="Verdana" w:hAnsi="Verdana"/>
          <w:i/>
          <w:sz w:val="20"/>
        </w:rPr>
        <w:t>Bookbuilding</w:t>
      </w:r>
      <w:proofErr w:type="spellEnd"/>
      <w:r>
        <w:rPr>
          <w:rFonts w:ascii="Verdana" w:hAnsi="Verdana"/>
          <w:i/>
          <w:sz w:val="20"/>
        </w:rPr>
        <w:t xml:space="preserve">; e (b) a </w:t>
      </w:r>
      <w:r>
        <w:rPr>
          <w:rFonts w:ascii="Verdana" w:hAnsi="Verdana"/>
          <w:i/>
          <w:sz w:val="20"/>
        </w:rPr>
        <w:t xml:space="preserve">autorização à Diretoria da Emissora para adotar todas e quaisquer medidas e celebrar todos os documentos necessários à implementação do item (a) acima, podendo, sem limitação, celebrar aditamento à Escritura de Emissão, tudo em conformidade com o disposto </w:t>
      </w:r>
      <w:r>
        <w:rPr>
          <w:rFonts w:ascii="Verdana" w:hAnsi="Verdana"/>
          <w:i/>
          <w:sz w:val="20"/>
        </w:rPr>
        <w:t>no artigo 59 da Lei das Sociedades por Ações, e ratificar todos os demais atos já praticados pela Diretoria da Emissora com relação aos itens acima (“</w:t>
      </w:r>
      <w:r>
        <w:rPr>
          <w:rFonts w:ascii="Verdana" w:hAnsi="Verdana"/>
          <w:i/>
          <w:sz w:val="20"/>
          <w:u w:val="single"/>
        </w:rPr>
        <w:t xml:space="preserve">RCA do </w:t>
      </w:r>
      <w:proofErr w:type="spellStart"/>
      <w:r>
        <w:rPr>
          <w:rFonts w:ascii="Verdana" w:hAnsi="Verdana"/>
          <w:i/>
          <w:sz w:val="20"/>
          <w:u w:val="single"/>
        </w:rPr>
        <w:t>Bookbuilding</w:t>
      </w:r>
      <w:proofErr w:type="spellEnd"/>
      <w:r>
        <w:rPr>
          <w:rFonts w:ascii="Verdana" w:hAnsi="Verdana"/>
          <w:i/>
          <w:sz w:val="20"/>
        </w:rPr>
        <w:t>” e, em conjunto com a RCA da Emissão, “</w:t>
      </w:r>
      <w:r>
        <w:rPr>
          <w:rFonts w:ascii="Verdana" w:hAnsi="Verdana"/>
          <w:i/>
          <w:sz w:val="20"/>
          <w:u w:val="single"/>
        </w:rPr>
        <w:t>Atos Societários da Emissão</w:t>
      </w:r>
      <w:r>
        <w:rPr>
          <w:rFonts w:ascii="Verdana" w:hAnsi="Verdana"/>
          <w:i/>
          <w:sz w:val="20"/>
        </w:rPr>
        <w:t>”).</w:t>
      </w:r>
      <w:r>
        <w:rPr>
          <w:rFonts w:ascii="Verdana" w:hAnsi="Verdana"/>
          <w:sz w:val="20"/>
        </w:rPr>
        <w:t>”</w:t>
      </w:r>
    </w:p>
    <w:p w:rsidR="00DE19C8" w:rsidRDefault="00DE19C8">
      <w:pPr>
        <w:spacing w:line="318" w:lineRule="exact"/>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sz w:val="20"/>
        </w:rPr>
        <w:t>2.3.</w:t>
      </w:r>
      <w:r>
        <w:rPr>
          <w:rFonts w:ascii="Verdana" w:hAnsi="Verdana"/>
          <w:sz w:val="20"/>
        </w:rPr>
        <w:tab/>
        <w:t>As Partes</w:t>
      </w:r>
      <w:r>
        <w:rPr>
          <w:rFonts w:ascii="Verdana" w:hAnsi="Verdana"/>
          <w:sz w:val="20"/>
        </w:rPr>
        <w:t xml:space="preserve"> resolvem alterar a redação das Cláusulas 2.2 e 2.2.1 da Escritura de Emissão e incluir a Cláusula 2.2.2 na Escritura de Emissão, que passam a vigorar com a seguinte redação:</w:t>
      </w:r>
    </w:p>
    <w:p w:rsidR="00DE19C8" w:rsidRDefault="00DE19C8">
      <w:pPr>
        <w:spacing w:line="318" w:lineRule="exact"/>
        <w:contextualSpacing/>
        <w:rPr>
          <w:rFonts w:ascii="Verdana" w:hAnsi="Verdana"/>
          <w:sz w:val="20"/>
        </w:rPr>
      </w:pPr>
    </w:p>
    <w:p w:rsidR="00DE19C8" w:rsidRDefault="00626B63">
      <w:pPr>
        <w:spacing w:line="318" w:lineRule="exact"/>
        <w:ind w:left="1418"/>
        <w:contextualSpacing/>
        <w:rPr>
          <w:rFonts w:ascii="Verdana" w:hAnsi="Verdana"/>
          <w:i/>
          <w:sz w:val="20"/>
        </w:rPr>
      </w:pPr>
      <w:r>
        <w:rPr>
          <w:rFonts w:ascii="Verdana" w:hAnsi="Verdana"/>
          <w:sz w:val="20"/>
        </w:rPr>
        <w:t>“</w:t>
      </w:r>
      <w:r>
        <w:rPr>
          <w:rFonts w:ascii="Verdana" w:hAnsi="Verdana"/>
          <w:i/>
          <w:sz w:val="20"/>
        </w:rPr>
        <w:t>2.2. Arquivamento na JUCESP e Publicação dos Atos Societários da Emissão</w:t>
      </w:r>
    </w:p>
    <w:p w:rsidR="00DE19C8" w:rsidRDefault="00DE19C8">
      <w:pPr>
        <w:spacing w:line="318" w:lineRule="exact"/>
        <w:ind w:left="1418"/>
        <w:contextualSpacing/>
        <w:rPr>
          <w:rFonts w:ascii="Verdana" w:hAnsi="Verdana"/>
          <w:i/>
          <w:sz w:val="20"/>
        </w:rPr>
      </w:pPr>
    </w:p>
    <w:p w:rsidR="00DE19C8" w:rsidRDefault="00626B63">
      <w:pPr>
        <w:spacing w:line="318" w:lineRule="exact"/>
        <w:ind w:left="1418"/>
        <w:contextualSpacing/>
        <w:rPr>
          <w:rFonts w:ascii="Verdana" w:hAnsi="Verdana" w:cs="Tahoma"/>
          <w:i/>
          <w:sz w:val="20"/>
        </w:rPr>
      </w:pPr>
      <w:r>
        <w:rPr>
          <w:rFonts w:ascii="Verdana" w:hAnsi="Verdana"/>
          <w:i/>
          <w:sz w:val="20"/>
        </w:rPr>
        <w:t>2.2.1</w:t>
      </w:r>
      <w:r>
        <w:rPr>
          <w:rFonts w:ascii="Verdana" w:hAnsi="Verdana"/>
          <w:i/>
          <w:sz w:val="20"/>
        </w:rPr>
        <w:t xml:space="preserve">. </w:t>
      </w:r>
      <w:r>
        <w:rPr>
          <w:rFonts w:ascii="Verdana" w:hAnsi="Verdana" w:cs="Tahoma"/>
          <w:i/>
          <w:sz w:val="20"/>
        </w:rPr>
        <w:t>A ata da RCA da Emissão que deliberou a Emissão foi arquivada na JUCESP em [</w:t>
      </w:r>
      <w:r>
        <w:rPr>
          <w:rFonts w:ascii="Verdana" w:hAnsi="Verdana" w:cs="Tahoma"/>
          <w:i/>
          <w:sz w:val="20"/>
          <w:highlight w:val="lightGray"/>
        </w:rPr>
        <w:t>data</w:t>
      </w:r>
      <w:r>
        <w:rPr>
          <w:rFonts w:ascii="Verdana" w:hAnsi="Verdana" w:cs="Tahoma"/>
          <w:i/>
          <w:sz w:val="20"/>
        </w:rPr>
        <w:t>], sob o nº [</w:t>
      </w:r>
      <w:r>
        <w:rPr>
          <w:rFonts w:ascii="Verdana" w:hAnsi="Verdana" w:cs="Tahoma"/>
          <w:i/>
          <w:sz w:val="20"/>
          <w:highlight w:val="lightGray"/>
        </w:rPr>
        <w:t>--</w:t>
      </w:r>
      <w:r>
        <w:rPr>
          <w:rFonts w:ascii="Verdana" w:hAnsi="Verdana" w:cs="Tahoma"/>
          <w:i/>
          <w:sz w:val="20"/>
        </w:rPr>
        <w:t>], e foi publicada no (i) Diário Oficial do Estado de São Paulo; e (</w:t>
      </w:r>
      <w:proofErr w:type="spellStart"/>
      <w:r>
        <w:rPr>
          <w:rFonts w:ascii="Verdana" w:hAnsi="Verdana" w:cs="Tahoma"/>
          <w:i/>
          <w:sz w:val="20"/>
        </w:rPr>
        <w:t>ii</w:t>
      </w:r>
      <w:proofErr w:type="spellEnd"/>
      <w:r>
        <w:rPr>
          <w:rFonts w:ascii="Verdana" w:hAnsi="Verdana" w:cs="Tahoma"/>
          <w:i/>
          <w:sz w:val="20"/>
        </w:rPr>
        <w:t xml:space="preserve">) no jornal </w:t>
      </w:r>
      <w:r>
        <w:rPr>
          <w:rFonts w:ascii="Verdana" w:hAnsi="Verdana"/>
          <w:i/>
          <w:sz w:val="20"/>
        </w:rPr>
        <w:t>“Diário de Barretos</w:t>
      </w:r>
      <w:r>
        <w:rPr>
          <w:rFonts w:ascii="Verdana" w:hAnsi="Verdana" w:cs="Tahoma"/>
          <w:i/>
          <w:sz w:val="20"/>
        </w:rPr>
        <w:t>” (“</w:t>
      </w:r>
      <w:r>
        <w:rPr>
          <w:rFonts w:ascii="Verdana" w:hAnsi="Verdana" w:cs="Tahoma"/>
          <w:i/>
          <w:sz w:val="20"/>
          <w:u w:val="single"/>
        </w:rPr>
        <w:t>Jornais de Publicação</w:t>
      </w:r>
      <w:r>
        <w:rPr>
          <w:rFonts w:ascii="Verdana" w:hAnsi="Verdana" w:cs="Tahoma"/>
          <w:i/>
          <w:sz w:val="20"/>
        </w:rPr>
        <w:t>”) em [</w:t>
      </w:r>
      <w:r>
        <w:rPr>
          <w:rFonts w:ascii="Verdana" w:hAnsi="Verdana" w:cs="Tahoma"/>
          <w:i/>
          <w:sz w:val="20"/>
          <w:highlight w:val="lightGray"/>
        </w:rPr>
        <w:t>data</w:t>
      </w:r>
      <w:r>
        <w:rPr>
          <w:rFonts w:ascii="Verdana" w:hAnsi="Verdana" w:cs="Tahoma"/>
          <w:i/>
          <w:sz w:val="20"/>
        </w:rPr>
        <w:t>].</w:t>
      </w:r>
    </w:p>
    <w:p w:rsidR="00DE19C8" w:rsidRDefault="00DE19C8">
      <w:pPr>
        <w:spacing w:line="318" w:lineRule="exact"/>
        <w:contextualSpacing/>
        <w:rPr>
          <w:rFonts w:ascii="Verdana" w:hAnsi="Verdana"/>
          <w:i/>
          <w:sz w:val="20"/>
        </w:rPr>
      </w:pPr>
    </w:p>
    <w:p w:rsidR="00DE19C8" w:rsidRDefault="00626B63">
      <w:pPr>
        <w:spacing w:line="318" w:lineRule="exact"/>
        <w:ind w:left="1418"/>
        <w:contextualSpacing/>
        <w:rPr>
          <w:rFonts w:ascii="Verdana" w:hAnsi="Verdana" w:cs="Tahoma"/>
          <w:sz w:val="20"/>
        </w:rPr>
      </w:pPr>
      <w:r>
        <w:rPr>
          <w:rFonts w:ascii="Verdana" w:hAnsi="Verdana"/>
          <w:i/>
          <w:sz w:val="20"/>
        </w:rPr>
        <w:t xml:space="preserve">2.2.2. </w:t>
      </w:r>
      <w:r>
        <w:rPr>
          <w:rFonts w:ascii="Verdana" w:hAnsi="Verdana" w:cs="Tahoma"/>
          <w:i/>
          <w:sz w:val="20"/>
        </w:rPr>
        <w:t>A ata da RC</w:t>
      </w:r>
      <w:r>
        <w:rPr>
          <w:rFonts w:ascii="Verdana" w:hAnsi="Verdana" w:cs="Tahoma"/>
          <w:i/>
          <w:sz w:val="20"/>
        </w:rPr>
        <w:t xml:space="preserve">A do </w:t>
      </w:r>
      <w:proofErr w:type="spellStart"/>
      <w:r>
        <w:rPr>
          <w:rFonts w:ascii="Verdana" w:hAnsi="Verdana" w:cs="Tahoma"/>
          <w:i/>
          <w:sz w:val="20"/>
        </w:rPr>
        <w:t>Bookbuilding</w:t>
      </w:r>
      <w:proofErr w:type="spellEnd"/>
      <w:r>
        <w:rPr>
          <w:rFonts w:ascii="Verdana" w:hAnsi="Verdana" w:cs="Tahoma"/>
          <w:i/>
          <w:sz w:val="20"/>
        </w:rPr>
        <w:t xml:space="preserve"> foi arquivada na JUCESP em [</w:t>
      </w:r>
      <w:r>
        <w:rPr>
          <w:rFonts w:ascii="Verdana" w:hAnsi="Verdana" w:cs="Tahoma"/>
          <w:i/>
          <w:sz w:val="20"/>
          <w:highlight w:val="lightGray"/>
        </w:rPr>
        <w:t>data</w:t>
      </w:r>
      <w:r>
        <w:rPr>
          <w:rFonts w:ascii="Verdana" w:hAnsi="Verdana" w:cs="Tahoma"/>
          <w:i/>
          <w:sz w:val="20"/>
        </w:rPr>
        <w:t>], sob o nº [</w:t>
      </w:r>
      <w:r>
        <w:rPr>
          <w:rFonts w:ascii="Verdana" w:hAnsi="Verdana" w:cs="Tahoma"/>
          <w:i/>
          <w:sz w:val="20"/>
          <w:highlight w:val="lightGray"/>
        </w:rPr>
        <w:t>--</w:t>
      </w:r>
      <w:r>
        <w:rPr>
          <w:rFonts w:ascii="Verdana" w:hAnsi="Verdana" w:cs="Tahoma"/>
          <w:i/>
          <w:sz w:val="20"/>
        </w:rPr>
        <w:t>], e foi publicada no (i) Diário Oficial do Estado de São Paulo; e (</w:t>
      </w:r>
      <w:proofErr w:type="spellStart"/>
      <w:r>
        <w:rPr>
          <w:rFonts w:ascii="Verdana" w:hAnsi="Verdana" w:cs="Tahoma"/>
          <w:i/>
          <w:sz w:val="20"/>
        </w:rPr>
        <w:t>ii</w:t>
      </w:r>
      <w:proofErr w:type="spellEnd"/>
      <w:r>
        <w:rPr>
          <w:rFonts w:ascii="Verdana" w:hAnsi="Verdana" w:cs="Tahoma"/>
          <w:i/>
          <w:sz w:val="20"/>
        </w:rPr>
        <w:t xml:space="preserve">) no jornal </w:t>
      </w:r>
      <w:r>
        <w:rPr>
          <w:rFonts w:ascii="Verdana" w:hAnsi="Verdana"/>
          <w:i/>
          <w:sz w:val="20"/>
        </w:rPr>
        <w:t>“Diário de Barretos</w:t>
      </w:r>
      <w:r>
        <w:rPr>
          <w:rFonts w:ascii="Verdana" w:hAnsi="Verdana" w:cs="Tahoma"/>
          <w:i/>
          <w:sz w:val="20"/>
        </w:rPr>
        <w:t>” (“</w:t>
      </w:r>
      <w:r>
        <w:rPr>
          <w:rFonts w:ascii="Verdana" w:hAnsi="Verdana" w:cs="Tahoma"/>
          <w:i/>
          <w:sz w:val="20"/>
          <w:u w:val="single"/>
        </w:rPr>
        <w:t>Jornais de Publicação</w:t>
      </w:r>
      <w:r>
        <w:rPr>
          <w:rFonts w:ascii="Verdana" w:hAnsi="Verdana" w:cs="Tahoma"/>
          <w:i/>
          <w:sz w:val="20"/>
        </w:rPr>
        <w:t>”) em [</w:t>
      </w:r>
      <w:r>
        <w:rPr>
          <w:rFonts w:ascii="Verdana" w:hAnsi="Verdana" w:cs="Tahoma"/>
          <w:i/>
          <w:sz w:val="20"/>
          <w:highlight w:val="lightGray"/>
        </w:rPr>
        <w:t>data</w:t>
      </w:r>
      <w:r>
        <w:rPr>
          <w:rFonts w:ascii="Verdana" w:hAnsi="Verdana" w:cs="Tahoma"/>
          <w:i/>
          <w:sz w:val="20"/>
        </w:rPr>
        <w:t>].</w:t>
      </w:r>
      <w:r>
        <w:rPr>
          <w:rFonts w:ascii="Verdana" w:hAnsi="Verdana" w:cs="Tahoma"/>
          <w:sz w:val="20"/>
        </w:rPr>
        <w:t>”</w:t>
      </w:r>
    </w:p>
    <w:p w:rsidR="00DE19C8" w:rsidRDefault="00DE19C8">
      <w:pPr>
        <w:spacing w:line="318" w:lineRule="exact"/>
        <w:ind w:left="1418"/>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sz w:val="20"/>
        </w:rPr>
        <w:t>2.4.</w:t>
      </w:r>
      <w:r>
        <w:rPr>
          <w:rFonts w:ascii="Verdana" w:hAnsi="Verdana"/>
          <w:sz w:val="20"/>
        </w:rPr>
        <w:tab/>
        <w:t xml:space="preserve">As Partes resolvem alterar a redação da </w:t>
      </w:r>
      <w:r>
        <w:rPr>
          <w:rFonts w:ascii="Verdana" w:hAnsi="Verdana"/>
          <w:sz w:val="20"/>
        </w:rPr>
        <w:t>Cláusula 3.2.1 da Escritura de Emissão, que passa a vigorar com a seguinte redação:</w:t>
      </w:r>
    </w:p>
    <w:p w:rsidR="00DE19C8" w:rsidRDefault="00DE19C8">
      <w:pPr>
        <w:spacing w:line="318" w:lineRule="exact"/>
        <w:contextualSpacing/>
        <w:rPr>
          <w:rFonts w:ascii="Verdana" w:hAnsi="Verdana"/>
          <w:sz w:val="20"/>
        </w:rPr>
      </w:pPr>
    </w:p>
    <w:p w:rsidR="00DE19C8" w:rsidRDefault="00626B63">
      <w:pPr>
        <w:spacing w:line="318" w:lineRule="exact"/>
        <w:ind w:left="1418"/>
        <w:contextualSpacing/>
        <w:rPr>
          <w:rFonts w:ascii="Verdana" w:hAnsi="Verdana"/>
          <w:sz w:val="20"/>
        </w:rPr>
      </w:pPr>
      <w:r>
        <w:rPr>
          <w:rFonts w:ascii="Verdana" w:hAnsi="Verdana"/>
          <w:sz w:val="20"/>
        </w:rPr>
        <w:t>“</w:t>
      </w:r>
      <w:r>
        <w:rPr>
          <w:rFonts w:ascii="Verdana" w:hAnsi="Verdana"/>
          <w:i/>
          <w:sz w:val="20"/>
        </w:rPr>
        <w:t>3.2.1. [</w:t>
      </w:r>
      <w:r>
        <w:rPr>
          <w:rFonts w:ascii="Verdana" w:hAnsi="Verdana"/>
          <w:i/>
          <w:sz w:val="20"/>
          <w:highlight w:val="lightGray"/>
        </w:rPr>
        <w:t>A Emissão será realizada em duas séries</w:t>
      </w:r>
      <w:r>
        <w:rPr>
          <w:rFonts w:ascii="Verdana" w:hAnsi="Verdana"/>
          <w:i/>
          <w:sz w:val="20"/>
        </w:rPr>
        <w:t xml:space="preserve"> {ou} [</w:t>
      </w:r>
      <w:r>
        <w:rPr>
          <w:rFonts w:ascii="Verdana" w:hAnsi="Verdana"/>
          <w:i/>
          <w:sz w:val="20"/>
          <w:highlight w:val="lightGray"/>
        </w:rPr>
        <w:t xml:space="preserve">A Emissão será realizada em série </w:t>
      </w:r>
      <w:proofErr w:type="gramStart"/>
      <w:r>
        <w:rPr>
          <w:rFonts w:ascii="Verdana" w:hAnsi="Verdana"/>
          <w:i/>
          <w:sz w:val="20"/>
          <w:highlight w:val="lightGray"/>
        </w:rPr>
        <w:t>única,.</w:t>
      </w:r>
      <w:proofErr w:type="gramEnd"/>
      <w:r>
        <w:rPr>
          <w:rFonts w:ascii="Verdana" w:hAnsi="Verdana"/>
          <w:i/>
          <w:sz w:val="20"/>
        </w:rPr>
        <w:t>]</w:t>
      </w:r>
      <w:r>
        <w:rPr>
          <w:rFonts w:ascii="Verdana" w:hAnsi="Verdana"/>
          <w:sz w:val="20"/>
        </w:rPr>
        <w:t xml:space="preserve">” </w:t>
      </w:r>
    </w:p>
    <w:p w:rsidR="00DE19C8" w:rsidRDefault="00DE19C8">
      <w:pPr>
        <w:spacing w:line="318" w:lineRule="exact"/>
        <w:ind w:left="1418"/>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sz w:val="20"/>
        </w:rPr>
        <w:t>2.5.</w:t>
      </w:r>
      <w:r>
        <w:rPr>
          <w:rFonts w:ascii="Verdana" w:hAnsi="Verdana"/>
          <w:sz w:val="20"/>
        </w:rPr>
        <w:tab/>
        <w:t>As Partes resolvem alterar a redação da Cláusula 3.3.1 da Escritu</w:t>
      </w:r>
      <w:r>
        <w:rPr>
          <w:rFonts w:ascii="Verdana" w:hAnsi="Verdana"/>
          <w:sz w:val="20"/>
        </w:rPr>
        <w:t>ra de Emissão, que passa a vigorar com a seguinte redação:</w:t>
      </w:r>
    </w:p>
    <w:p w:rsidR="00DE19C8" w:rsidRDefault="00DE19C8">
      <w:pPr>
        <w:spacing w:line="318" w:lineRule="exact"/>
        <w:contextualSpacing/>
        <w:rPr>
          <w:rFonts w:ascii="Verdana" w:hAnsi="Verdana"/>
          <w:sz w:val="20"/>
        </w:rPr>
      </w:pPr>
    </w:p>
    <w:p w:rsidR="00DE19C8" w:rsidRDefault="00626B63">
      <w:pPr>
        <w:spacing w:line="318" w:lineRule="exact"/>
        <w:ind w:left="1418"/>
        <w:contextualSpacing/>
        <w:rPr>
          <w:rFonts w:ascii="Verdana" w:hAnsi="Verdana"/>
          <w:sz w:val="20"/>
        </w:rPr>
      </w:pPr>
      <w:r>
        <w:rPr>
          <w:rFonts w:ascii="Verdana" w:hAnsi="Verdana"/>
          <w:sz w:val="20"/>
        </w:rPr>
        <w:t>“</w:t>
      </w:r>
      <w:r>
        <w:rPr>
          <w:rFonts w:ascii="Verdana" w:hAnsi="Verdana"/>
          <w:i/>
          <w:sz w:val="20"/>
        </w:rPr>
        <w:t xml:space="preserve">3.3.1. </w:t>
      </w:r>
      <w:r>
        <w:rPr>
          <w:rFonts w:ascii="Verdana" w:hAnsi="Verdana" w:cs="Tahoma"/>
          <w:i/>
          <w:sz w:val="20"/>
        </w:rPr>
        <w:t>O valor total da Emissão é de R$ [</w:t>
      </w:r>
      <w:r>
        <w:rPr>
          <w:rFonts w:ascii="Verdana" w:hAnsi="Verdana" w:cs="Tahoma"/>
          <w:i/>
          <w:sz w:val="20"/>
          <w:highlight w:val="lightGray"/>
        </w:rPr>
        <w:t>--</w:t>
      </w:r>
      <w:r>
        <w:rPr>
          <w:rFonts w:ascii="Verdana" w:hAnsi="Verdana" w:cs="Tahoma"/>
          <w:i/>
          <w:sz w:val="20"/>
        </w:rPr>
        <w:t>] ([</w:t>
      </w:r>
      <w:r>
        <w:rPr>
          <w:rFonts w:ascii="Verdana" w:hAnsi="Verdana" w:cs="Tahoma"/>
          <w:i/>
          <w:sz w:val="20"/>
          <w:highlight w:val="lightGray"/>
        </w:rPr>
        <w:t>--</w:t>
      </w:r>
      <w:r>
        <w:rPr>
          <w:rFonts w:ascii="Verdana" w:hAnsi="Verdana" w:cs="Tahoma"/>
          <w:i/>
          <w:sz w:val="20"/>
        </w:rPr>
        <w:t>]), na Data de Emissão.</w:t>
      </w:r>
      <w:r>
        <w:rPr>
          <w:rFonts w:ascii="Verdana" w:hAnsi="Verdana" w:cs="Tahoma"/>
          <w:sz w:val="20"/>
        </w:rPr>
        <w:t>”</w:t>
      </w:r>
    </w:p>
    <w:p w:rsidR="00DE19C8" w:rsidRDefault="00DE19C8">
      <w:pPr>
        <w:spacing w:line="318" w:lineRule="exact"/>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sz w:val="20"/>
        </w:rPr>
        <w:t>2.6.</w:t>
      </w:r>
      <w:r>
        <w:rPr>
          <w:rFonts w:ascii="Verdana" w:hAnsi="Verdana"/>
          <w:sz w:val="20"/>
        </w:rPr>
        <w:tab/>
        <w:t xml:space="preserve">As Partes resolvem alterar a redação da Cláusula 3.4.1 da Escritura de Emissão, que passa a vigorar com a seguinte </w:t>
      </w:r>
      <w:r>
        <w:rPr>
          <w:rFonts w:ascii="Verdana" w:hAnsi="Verdana"/>
          <w:sz w:val="20"/>
        </w:rPr>
        <w:t>redação:</w:t>
      </w:r>
    </w:p>
    <w:p w:rsidR="00DE19C8" w:rsidRDefault="00DE19C8">
      <w:pPr>
        <w:spacing w:line="318" w:lineRule="exact"/>
        <w:ind w:left="1418"/>
        <w:contextualSpacing/>
        <w:rPr>
          <w:rFonts w:ascii="Verdana" w:hAnsi="Verdana"/>
          <w:sz w:val="20"/>
        </w:rPr>
      </w:pPr>
    </w:p>
    <w:p w:rsidR="00DE19C8" w:rsidRDefault="00626B63">
      <w:pPr>
        <w:spacing w:line="318" w:lineRule="exact"/>
        <w:ind w:left="1418"/>
        <w:contextualSpacing/>
        <w:rPr>
          <w:rFonts w:ascii="Verdana" w:hAnsi="Verdana"/>
          <w:sz w:val="20"/>
        </w:rPr>
      </w:pPr>
      <w:r>
        <w:rPr>
          <w:rFonts w:ascii="Verdana" w:hAnsi="Verdana"/>
          <w:sz w:val="20"/>
        </w:rPr>
        <w:t>“</w:t>
      </w:r>
      <w:r>
        <w:rPr>
          <w:rFonts w:ascii="Verdana" w:hAnsi="Verdana"/>
          <w:i/>
          <w:sz w:val="20"/>
        </w:rPr>
        <w:t xml:space="preserve">3.4.1. </w:t>
      </w:r>
      <w:r>
        <w:rPr>
          <w:rFonts w:ascii="Verdana" w:hAnsi="Verdana" w:cs="Tahoma"/>
          <w:i/>
          <w:sz w:val="20"/>
        </w:rPr>
        <w:t>Serão emitidas [</w:t>
      </w:r>
      <w:r>
        <w:rPr>
          <w:rFonts w:ascii="Verdana" w:hAnsi="Verdana" w:cs="Tahoma"/>
          <w:i/>
          <w:sz w:val="20"/>
          <w:highlight w:val="lightGray"/>
        </w:rPr>
        <w:t>--</w:t>
      </w:r>
      <w:r>
        <w:rPr>
          <w:rFonts w:ascii="Verdana" w:hAnsi="Verdana" w:cs="Tahoma"/>
          <w:i/>
          <w:sz w:val="20"/>
        </w:rPr>
        <w:t>] ([</w:t>
      </w:r>
      <w:r>
        <w:rPr>
          <w:rFonts w:ascii="Verdana" w:hAnsi="Verdana" w:cs="Tahoma"/>
          <w:i/>
          <w:sz w:val="20"/>
          <w:highlight w:val="lightGray"/>
        </w:rPr>
        <w:t>--</w:t>
      </w:r>
      <w:r>
        <w:rPr>
          <w:rFonts w:ascii="Verdana" w:hAnsi="Verdana" w:cs="Tahoma"/>
          <w:i/>
          <w:sz w:val="20"/>
        </w:rPr>
        <w:t xml:space="preserve">]) </w:t>
      </w:r>
      <w:proofErr w:type="gramStart"/>
      <w:r>
        <w:rPr>
          <w:rFonts w:ascii="Verdana" w:hAnsi="Verdana" w:cs="Tahoma"/>
          <w:i/>
          <w:sz w:val="20"/>
        </w:rPr>
        <w:t>Debêntures[</w:t>
      </w:r>
      <w:proofErr w:type="gramEnd"/>
      <w:r>
        <w:rPr>
          <w:rFonts w:ascii="Verdana" w:hAnsi="Verdana" w:cs="Tahoma"/>
          <w:i/>
          <w:sz w:val="20"/>
          <w:highlight w:val="lightGray"/>
        </w:rPr>
        <w:t>, sendo que [--] ([--]) Debêntures da Primeira Série e [--] ([--]) de Debêntures da Segunda Série,</w:t>
      </w:r>
      <w:r>
        <w:rPr>
          <w:rFonts w:ascii="Verdana" w:hAnsi="Verdana" w:cs="Tahoma"/>
          <w:i/>
          <w:sz w:val="20"/>
        </w:rPr>
        <w:t>]</w:t>
      </w:r>
      <w:r>
        <w:rPr>
          <w:rFonts w:ascii="Verdana" w:hAnsi="Verdana"/>
          <w:sz w:val="20"/>
        </w:rPr>
        <w:t>”</w:t>
      </w:r>
    </w:p>
    <w:p w:rsidR="00DE19C8" w:rsidRDefault="00DE19C8">
      <w:pPr>
        <w:spacing w:line="318" w:lineRule="exact"/>
        <w:ind w:left="1418"/>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sz w:val="20"/>
        </w:rPr>
        <w:t>2.7.</w:t>
      </w:r>
      <w:r>
        <w:rPr>
          <w:rFonts w:ascii="Verdana" w:hAnsi="Verdana"/>
          <w:sz w:val="20"/>
        </w:rPr>
        <w:tab/>
        <w:t>As Partes resolvem excluir a Cláusula 4.1.4 da Escritura de Emissão.</w:t>
      </w:r>
    </w:p>
    <w:p w:rsidR="00DE19C8" w:rsidRDefault="00DE19C8">
      <w:pPr>
        <w:spacing w:line="318" w:lineRule="exact"/>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sz w:val="20"/>
        </w:rPr>
        <w:t>2.8. As Partes resolvem</w:t>
      </w:r>
      <w:r>
        <w:rPr>
          <w:rFonts w:ascii="Verdana" w:hAnsi="Verdana"/>
          <w:sz w:val="20"/>
        </w:rPr>
        <w:t xml:space="preserve"> alterar a redação da Cláusula 4.6.1 da Escritura de Emissão, que passa a vigorar com a seguinte redação:</w:t>
      </w:r>
    </w:p>
    <w:p w:rsidR="00DE19C8" w:rsidRDefault="00DE19C8">
      <w:pPr>
        <w:spacing w:line="318" w:lineRule="exact"/>
        <w:contextualSpacing/>
        <w:rPr>
          <w:rFonts w:ascii="Verdana" w:hAnsi="Verdana"/>
          <w:sz w:val="20"/>
        </w:rPr>
      </w:pPr>
    </w:p>
    <w:p w:rsidR="00DE19C8" w:rsidRDefault="00626B63">
      <w:pPr>
        <w:spacing w:line="300" w:lineRule="exact"/>
        <w:ind w:left="1276"/>
        <w:rPr>
          <w:rFonts w:ascii="Verdana" w:hAnsi="Verdana" w:cs="Tahoma"/>
          <w:i/>
          <w:sz w:val="20"/>
        </w:rPr>
      </w:pPr>
      <w:r>
        <w:rPr>
          <w:rFonts w:ascii="Verdana" w:hAnsi="Verdana" w:cs="Tahoma"/>
          <w:i/>
          <w:sz w:val="20"/>
        </w:rPr>
        <w:t>“4.6.1.</w:t>
      </w:r>
      <w:r>
        <w:rPr>
          <w:rFonts w:ascii="Verdana" w:hAnsi="Verdana" w:cs="Tahoma"/>
          <w:i/>
          <w:sz w:val="20"/>
        </w:rPr>
        <w:tab/>
        <w:t>As Debêntures serão subscritas e integralizadas, no mercado primário, no prazo de [</w:t>
      </w:r>
      <w:r>
        <w:rPr>
          <w:rFonts w:ascii="Verdana" w:hAnsi="Verdana" w:cs="Tahoma"/>
          <w:i/>
          <w:sz w:val="20"/>
        </w:rPr>
        <w:sym w:font="Symbol" w:char="F0B7"/>
      </w:r>
      <w:r>
        <w:rPr>
          <w:rFonts w:ascii="Verdana" w:hAnsi="Verdana" w:cs="Tahoma"/>
          <w:i/>
          <w:sz w:val="20"/>
        </w:rPr>
        <w:t>] Dias Úteis contados da data de [</w:t>
      </w:r>
      <w:r>
        <w:rPr>
          <w:rFonts w:ascii="Verdana" w:hAnsi="Verdana" w:cs="Tahoma"/>
          <w:i/>
          <w:sz w:val="20"/>
        </w:rPr>
        <w:sym w:font="Symbol" w:char="F0B7"/>
      </w:r>
      <w:r>
        <w:rPr>
          <w:rFonts w:ascii="Verdana" w:hAnsi="Verdana" w:cs="Tahoma"/>
          <w:i/>
          <w:sz w:val="20"/>
        </w:rPr>
        <w:t>] (“Data de Integraliz</w:t>
      </w:r>
      <w:r>
        <w:rPr>
          <w:rFonts w:ascii="Verdana" w:hAnsi="Verdana" w:cs="Tahoma"/>
          <w:i/>
          <w:sz w:val="20"/>
        </w:rPr>
        <w:t xml:space="preserve">ação”), pelo seu Valor Nominal Unitário. Caso não ocorra a subscrição e a integralização da totalidade das Debêntures na Data de Integralização, o que será admitido exclusivamente em caso de problemas operacionais, o preço de subscrição para as Debêntures </w:t>
      </w:r>
      <w:r>
        <w:rPr>
          <w:rFonts w:ascii="Verdana" w:hAnsi="Verdana" w:cs="Tahoma"/>
          <w:i/>
          <w:sz w:val="20"/>
        </w:rPr>
        <w:t xml:space="preserve">que forem integralizadas após a Data de Integralização será o Valor Nominal Unitário, acrescido dos Juros Remuneratórios (conforme definido </w:t>
      </w:r>
      <w:r>
        <w:rPr>
          <w:rFonts w:ascii="Verdana" w:hAnsi="Verdana" w:cs="Tahoma"/>
          <w:i/>
          <w:sz w:val="20"/>
        </w:rPr>
        <w:lastRenderedPageBreak/>
        <w:t xml:space="preserve">abaixo) calculados pro rata </w:t>
      </w:r>
      <w:proofErr w:type="spellStart"/>
      <w:r>
        <w:rPr>
          <w:rFonts w:ascii="Verdana" w:hAnsi="Verdana" w:cs="Tahoma"/>
          <w:i/>
          <w:sz w:val="20"/>
        </w:rPr>
        <w:t>temporis</w:t>
      </w:r>
      <w:proofErr w:type="spellEnd"/>
      <w:r>
        <w:rPr>
          <w:rFonts w:ascii="Verdana" w:hAnsi="Verdana" w:cs="Tahoma"/>
          <w:i/>
          <w:sz w:val="20"/>
        </w:rPr>
        <w:t xml:space="preserve"> desde a primeira Data de Integralização até a data do seu efetivo pagamento (“</w:t>
      </w:r>
      <w:r>
        <w:rPr>
          <w:rFonts w:ascii="Verdana" w:hAnsi="Verdana" w:cs="Tahoma"/>
          <w:i/>
          <w:sz w:val="20"/>
          <w:u w:val="single"/>
        </w:rPr>
        <w:t>P</w:t>
      </w:r>
      <w:r>
        <w:rPr>
          <w:rFonts w:ascii="Verdana" w:hAnsi="Verdana" w:cs="Tahoma"/>
          <w:i/>
          <w:sz w:val="20"/>
          <w:u w:val="single"/>
        </w:rPr>
        <w:t>reço de Subscrição</w:t>
      </w:r>
      <w:r>
        <w:rPr>
          <w:rFonts w:ascii="Verdana" w:hAnsi="Verdana" w:cs="Tahoma"/>
          <w:i/>
          <w:sz w:val="20"/>
        </w:rPr>
        <w:t>”).”</w:t>
      </w:r>
    </w:p>
    <w:p w:rsidR="00DE19C8" w:rsidRDefault="00DE19C8">
      <w:pPr>
        <w:spacing w:line="318" w:lineRule="exact"/>
        <w:contextualSpacing/>
        <w:rPr>
          <w:rFonts w:ascii="Verdana" w:hAnsi="Verdana"/>
          <w:sz w:val="20"/>
        </w:rPr>
      </w:pPr>
    </w:p>
    <w:p w:rsidR="00DE19C8" w:rsidRDefault="00626B63">
      <w:pPr>
        <w:spacing w:line="318" w:lineRule="exact"/>
        <w:contextualSpacing/>
        <w:rPr>
          <w:rFonts w:ascii="Verdana" w:hAnsi="Verdana"/>
          <w:sz w:val="20"/>
        </w:rPr>
      </w:pPr>
      <w:r>
        <w:rPr>
          <w:rFonts w:ascii="Verdana" w:hAnsi="Verdana"/>
          <w:sz w:val="20"/>
        </w:rPr>
        <w:t>2.9.</w:t>
      </w:r>
      <w:r>
        <w:rPr>
          <w:rFonts w:ascii="Verdana" w:hAnsi="Verdana"/>
          <w:sz w:val="20"/>
        </w:rPr>
        <w:tab/>
        <w:t>As Partes resolvem alterar a redação das Cláusulas 4.9.2 e 4.9.3 da Escritura de Emissão, que passam a vigorar com a seguinte redação:</w:t>
      </w:r>
    </w:p>
    <w:p w:rsidR="00DE19C8" w:rsidRDefault="00DE19C8">
      <w:pPr>
        <w:spacing w:line="318" w:lineRule="exact"/>
        <w:contextualSpacing/>
        <w:rPr>
          <w:rFonts w:ascii="Verdana" w:hAnsi="Verdana"/>
          <w:sz w:val="20"/>
        </w:rPr>
      </w:pPr>
    </w:p>
    <w:p w:rsidR="00DE19C8" w:rsidRDefault="00626B63">
      <w:pPr>
        <w:spacing w:line="300" w:lineRule="exact"/>
        <w:ind w:left="1276"/>
        <w:rPr>
          <w:rFonts w:ascii="Verdana" w:hAnsi="Verdana" w:cs="Tahoma"/>
          <w:i/>
          <w:sz w:val="20"/>
        </w:rPr>
      </w:pPr>
      <w:r>
        <w:rPr>
          <w:rFonts w:ascii="Verdana" w:hAnsi="Verdana" w:cs="Tahoma"/>
          <w:i/>
          <w:sz w:val="20"/>
        </w:rPr>
        <w:t>“4.9.2. Juros Remuneratórios das Debêntures da Primeira Série: Sobre o Valor Nominal Unitár</w:t>
      </w:r>
      <w:r>
        <w:rPr>
          <w:rFonts w:ascii="Verdana" w:hAnsi="Verdana" w:cs="Tahoma"/>
          <w:i/>
          <w:sz w:val="20"/>
        </w:rPr>
        <w:t>io (ou sobre o saldo do Valor Nominal Unitário, conforme aplicável) das Debêntures da Primeira Série incidirão juros remuneratórios correspondentes a 100% (cem por cento) da variação acumulada das taxas médias diárias dos DI – Depósitos Interfinanceiros de</w:t>
      </w:r>
      <w:r>
        <w:rPr>
          <w:rFonts w:ascii="Verdana" w:hAnsi="Verdana" w:cs="Tahoma"/>
          <w:i/>
          <w:sz w:val="20"/>
        </w:rPr>
        <w:t xml:space="preserve"> um dia, over </w:t>
      </w:r>
      <w:proofErr w:type="spellStart"/>
      <w:r>
        <w:rPr>
          <w:rFonts w:ascii="Verdana" w:hAnsi="Verdana" w:cs="Tahoma"/>
          <w:i/>
          <w:sz w:val="20"/>
        </w:rPr>
        <w:t>extra-grupo</w:t>
      </w:r>
      <w:proofErr w:type="spellEnd"/>
      <w:r>
        <w:rPr>
          <w:rFonts w:ascii="Verdana" w:hAnsi="Verdana" w:cs="Tahoma"/>
          <w:i/>
          <w:sz w:val="20"/>
        </w:rPr>
        <w:t xml:space="preserve">, calculadas e divulgadas diariamente pela B3 – Segmento </w:t>
      </w:r>
      <w:proofErr w:type="spellStart"/>
      <w:r>
        <w:rPr>
          <w:rFonts w:ascii="Verdana" w:hAnsi="Verdana" w:cs="Tahoma"/>
          <w:i/>
          <w:sz w:val="20"/>
        </w:rPr>
        <w:t>Cetip</w:t>
      </w:r>
      <w:proofErr w:type="spellEnd"/>
      <w:r>
        <w:rPr>
          <w:rFonts w:ascii="Verdana" w:hAnsi="Verdana" w:cs="Tahoma"/>
          <w:i/>
          <w:sz w:val="20"/>
        </w:rPr>
        <w:t xml:space="preserve"> UTVM, na forma percentual ao ano, base 252 (duzentos e cinquenta e dois) Dias Úteis, no informativo diário disponível em sua página na Internet (</w:t>
      </w:r>
      <w:hyperlink w:history="1"/>
      <w:r>
        <w:rPr>
          <w:rFonts w:ascii="Verdana" w:hAnsi="Verdana"/>
          <w:sz w:val="20"/>
        </w:rPr>
        <w:t>http://ww</w:t>
      </w:r>
      <w:r>
        <w:rPr>
          <w:rFonts w:ascii="Verdana" w:hAnsi="Verdana"/>
          <w:sz w:val="20"/>
        </w:rPr>
        <w:t>w.</w:t>
      </w:r>
      <w:r>
        <w:t>b3</w:t>
      </w:r>
      <w:r>
        <w:rPr>
          <w:rFonts w:ascii="Verdana" w:hAnsi="Verdana"/>
          <w:sz w:val="20"/>
        </w:rPr>
        <w:t>.com.br</w:t>
      </w:r>
      <w:r>
        <w:rPr>
          <w:rFonts w:ascii="Verdana" w:hAnsi="Verdana" w:cs="Tahoma"/>
          <w:i/>
          <w:sz w:val="20"/>
        </w:rPr>
        <w:t>) (“Taxa DI Over”), capitalizada de uma sobretaxa equivalente a [</w:t>
      </w:r>
      <w:r>
        <w:rPr>
          <w:rFonts w:ascii="Verdana" w:hAnsi="Verdana" w:cs="Tahoma"/>
          <w:i/>
          <w:sz w:val="20"/>
        </w:rPr>
        <w:sym w:font="Symbol" w:char="F0B7"/>
      </w:r>
      <w:r>
        <w:rPr>
          <w:rFonts w:ascii="Verdana" w:hAnsi="Verdana" w:cs="Tahoma"/>
          <w:i/>
          <w:sz w:val="20"/>
        </w:rPr>
        <w:t>]% ([</w:t>
      </w:r>
      <w:r>
        <w:rPr>
          <w:rFonts w:ascii="Verdana" w:hAnsi="Verdana" w:cs="Tahoma"/>
          <w:i/>
          <w:sz w:val="20"/>
        </w:rPr>
        <w:sym w:font="Symbol" w:char="F0B7"/>
      </w:r>
      <w:r>
        <w:rPr>
          <w:rFonts w:ascii="Verdana" w:hAnsi="Verdana" w:cs="Tahoma"/>
          <w:i/>
          <w:sz w:val="20"/>
        </w:rPr>
        <w:t xml:space="preserve">]) ao ano, base 252 (duzentos e cinquenta e dois) Dias Úteis, apurada por meio do Procedimento de </w:t>
      </w:r>
      <w:proofErr w:type="spellStart"/>
      <w:r>
        <w:rPr>
          <w:rFonts w:ascii="Verdana" w:hAnsi="Verdana" w:cs="Tahoma"/>
          <w:i/>
          <w:sz w:val="20"/>
        </w:rPr>
        <w:t>Bookbuilding</w:t>
      </w:r>
      <w:proofErr w:type="spellEnd"/>
      <w:r>
        <w:rPr>
          <w:rFonts w:ascii="Verdana" w:hAnsi="Verdana" w:cs="Tahoma"/>
          <w:i/>
          <w:sz w:val="20"/>
        </w:rPr>
        <w:t xml:space="preserve"> (“Juros Remuneratórios das Debêntures da Primeira Série”).</w:t>
      </w:r>
    </w:p>
    <w:p w:rsidR="00DE19C8" w:rsidRDefault="00DE19C8">
      <w:pPr>
        <w:pStyle w:val="p0"/>
        <w:keepNext/>
        <w:widowControl w:val="0"/>
        <w:suppressAutoHyphens/>
        <w:spacing w:line="318" w:lineRule="exact"/>
        <w:ind w:left="1418"/>
        <w:rPr>
          <w:rFonts w:ascii="Verdana" w:hAnsi="Verdana" w:cs="Tahoma"/>
          <w:i/>
          <w:sz w:val="20"/>
        </w:rPr>
      </w:pPr>
    </w:p>
    <w:p w:rsidR="00DE19C8" w:rsidRDefault="00626B63">
      <w:pPr>
        <w:pStyle w:val="p0"/>
        <w:keepNext/>
        <w:widowControl w:val="0"/>
        <w:suppressAutoHyphens/>
        <w:spacing w:line="318" w:lineRule="exact"/>
        <w:ind w:left="1418"/>
        <w:rPr>
          <w:rFonts w:ascii="Verdana" w:hAnsi="Verdana" w:cs="Tahoma"/>
          <w:sz w:val="20"/>
        </w:rPr>
      </w:pPr>
      <w:r>
        <w:rPr>
          <w:rFonts w:ascii="Verdana" w:hAnsi="Verdana" w:cs="Tahoma"/>
          <w:i/>
          <w:sz w:val="20"/>
        </w:rPr>
        <w:t>4.9.3. Sobre o Valor Nominal Unitário (ou sobre o saldo do Valor Nominal Unitário, conforme aplicável) das Debêntures da Segunda Série incidirão juros remuneratórios correspondentes a 100% (cem por cento) da variação acumulada da Taxa DI Over, capitalizada</w:t>
      </w:r>
      <w:r>
        <w:rPr>
          <w:rFonts w:ascii="Verdana" w:hAnsi="Verdana" w:cs="Tahoma"/>
          <w:i/>
          <w:sz w:val="20"/>
        </w:rPr>
        <w:t xml:space="preserve"> de uma sobretaxa máxima equivalente a [</w:t>
      </w:r>
      <w:r>
        <w:rPr>
          <w:rFonts w:ascii="Verdana" w:hAnsi="Verdana" w:cs="Tahoma"/>
          <w:i/>
          <w:sz w:val="20"/>
        </w:rPr>
        <w:sym w:font="Symbol" w:char="F0B7"/>
      </w:r>
      <w:r>
        <w:rPr>
          <w:rFonts w:ascii="Verdana" w:hAnsi="Verdana" w:cs="Tahoma"/>
          <w:i/>
          <w:sz w:val="20"/>
        </w:rPr>
        <w:t>]% ([</w:t>
      </w:r>
      <w:r>
        <w:rPr>
          <w:rFonts w:ascii="Verdana" w:hAnsi="Verdana" w:cs="Tahoma"/>
          <w:i/>
          <w:sz w:val="20"/>
        </w:rPr>
        <w:sym w:font="Symbol" w:char="F0B7"/>
      </w:r>
      <w:r>
        <w:rPr>
          <w:rFonts w:ascii="Verdana" w:hAnsi="Verdana" w:cs="Tahoma"/>
          <w:i/>
          <w:sz w:val="20"/>
        </w:rPr>
        <w:t xml:space="preserve">]) ao ano, base 252 (duzentos e cinquenta e dois) Dias Úteis, apurada por meio do Procedimento de </w:t>
      </w:r>
      <w:proofErr w:type="spellStart"/>
      <w:r>
        <w:rPr>
          <w:rFonts w:ascii="Verdana" w:hAnsi="Verdana" w:cs="Tahoma"/>
          <w:i/>
          <w:sz w:val="20"/>
        </w:rPr>
        <w:t>Bookbuilding</w:t>
      </w:r>
      <w:proofErr w:type="spellEnd"/>
      <w:r>
        <w:rPr>
          <w:rFonts w:ascii="Verdana" w:hAnsi="Verdana" w:cs="Tahoma"/>
          <w:i/>
          <w:sz w:val="20"/>
        </w:rPr>
        <w:t xml:space="preserve"> (“</w:t>
      </w:r>
      <w:r>
        <w:rPr>
          <w:rFonts w:ascii="Verdana" w:hAnsi="Verdana" w:cs="Tahoma"/>
          <w:i/>
          <w:sz w:val="20"/>
          <w:u w:val="single"/>
        </w:rPr>
        <w:t>Juros Remuneratórios das Debêntures da Segunda Série</w:t>
      </w:r>
      <w:r>
        <w:rPr>
          <w:rFonts w:ascii="Verdana" w:hAnsi="Verdana" w:cs="Tahoma"/>
          <w:i/>
          <w:sz w:val="20"/>
        </w:rPr>
        <w:t>” e, em conjunto com os Juros Remuneratórios</w:t>
      </w:r>
      <w:r>
        <w:rPr>
          <w:rFonts w:ascii="Verdana" w:hAnsi="Verdana" w:cs="Tahoma"/>
          <w:i/>
          <w:sz w:val="20"/>
        </w:rPr>
        <w:t xml:space="preserve"> das Debêntures da Primeira Série, os “</w:t>
      </w:r>
      <w:r>
        <w:rPr>
          <w:rFonts w:ascii="Verdana" w:hAnsi="Verdana" w:cs="Tahoma"/>
          <w:i/>
          <w:sz w:val="20"/>
          <w:u w:val="single"/>
        </w:rPr>
        <w:t>Juros Remuneratórios</w:t>
      </w:r>
      <w:r>
        <w:rPr>
          <w:rFonts w:ascii="Verdana" w:hAnsi="Verdana" w:cs="Tahoma"/>
          <w:i/>
          <w:sz w:val="20"/>
        </w:rPr>
        <w:t>”).</w:t>
      </w:r>
      <w:r>
        <w:rPr>
          <w:rFonts w:ascii="Verdana" w:hAnsi="Verdana" w:cs="Tahoma"/>
          <w:sz w:val="20"/>
        </w:rPr>
        <w:t>”</w:t>
      </w:r>
    </w:p>
    <w:p w:rsidR="00DE19C8" w:rsidRDefault="00DE19C8">
      <w:pPr>
        <w:spacing w:line="318" w:lineRule="exact"/>
        <w:ind w:left="1418"/>
        <w:contextualSpacing/>
        <w:rPr>
          <w:rFonts w:ascii="Verdana" w:hAnsi="Verdana"/>
          <w:i/>
          <w:sz w:val="20"/>
        </w:rPr>
      </w:pPr>
    </w:p>
    <w:p w:rsidR="00DE19C8" w:rsidRDefault="00626B63">
      <w:pPr>
        <w:spacing w:line="318" w:lineRule="exact"/>
        <w:contextualSpacing/>
        <w:rPr>
          <w:rFonts w:ascii="Verdana" w:hAnsi="Verdana"/>
          <w:sz w:val="20"/>
        </w:rPr>
      </w:pPr>
      <w:r>
        <w:rPr>
          <w:rFonts w:ascii="Verdana" w:hAnsi="Verdana"/>
          <w:sz w:val="20"/>
        </w:rPr>
        <w:t>2.10.</w:t>
      </w:r>
      <w:r>
        <w:rPr>
          <w:rFonts w:ascii="Verdana" w:hAnsi="Verdana"/>
          <w:sz w:val="20"/>
        </w:rPr>
        <w:tab/>
        <w:t>As Partes resolvem alterar a redação da Cláusula 4.9.4.1 da Escritura de Emissão, que passa a vigorar com a seguinte redação:</w:t>
      </w:r>
    </w:p>
    <w:p w:rsidR="00DE19C8" w:rsidRDefault="00DE19C8">
      <w:pPr>
        <w:spacing w:line="318" w:lineRule="exact"/>
        <w:contextualSpacing/>
        <w:rPr>
          <w:rFonts w:ascii="Verdana" w:hAnsi="Verdana"/>
          <w:sz w:val="20"/>
        </w:rPr>
      </w:pPr>
    </w:p>
    <w:p w:rsidR="00DE19C8" w:rsidRDefault="00626B63">
      <w:pPr>
        <w:spacing w:line="318" w:lineRule="exact"/>
        <w:ind w:left="1418"/>
        <w:contextualSpacing/>
        <w:rPr>
          <w:rFonts w:ascii="Verdana" w:hAnsi="Verdana" w:cs="Tahoma"/>
          <w:i/>
          <w:color w:val="000000"/>
          <w:sz w:val="20"/>
        </w:rPr>
      </w:pPr>
      <w:r>
        <w:rPr>
          <w:rFonts w:ascii="Verdana" w:hAnsi="Verdana"/>
          <w:i/>
          <w:sz w:val="20"/>
        </w:rPr>
        <w:t xml:space="preserve">“4.9.4.1. </w:t>
      </w:r>
      <w:r>
        <w:rPr>
          <w:rFonts w:ascii="Verdana" w:hAnsi="Verdana" w:cs="Tahoma"/>
          <w:i/>
          <w:color w:val="000000"/>
          <w:sz w:val="20"/>
        </w:rPr>
        <w:t>O cálculo dos Juros Remuneratórios obedecerá a s</w:t>
      </w:r>
      <w:r>
        <w:rPr>
          <w:rFonts w:ascii="Verdana" w:hAnsi="Verdana" w:cs="Tahoma"/>
          <w:i/>
          <w:color w:val="000000"/>
          <w:sz w:val="20"/>
        </w:rPr>
        <w:t>eguinte fórmula.</w:t>
      </w:r>
    </w:p>
    <w:p w:rsidR="00DE19C8" w:rsidRDefault="00DE19C8">
      <w:pPr>
        <w:spacing w:line="318" w:lineRule="exact"/>
        <w:ind w:left="1418"/>
        <w:contextualSpacing/>
        <w:rPr>
          <w:rFonts w:ascii="Verdana" w:hAnsi="Verdana"/>
          <w:i/>
          <w:sz w:val="20"/>
        </w:rPr>
      </w:pPr>
    </w:p>
    <w:p w:rsidR="00DE19C8" w:rsidRDefault="00626B63">
      <w:pPr>
        <w:spacing w:line="318" w:lineRule="exact"/>
        <w:ind w:left="1418"/>
        <w:contextualSpacing/>
        <w:rPr>
          <w:rFonts w:ascii="Verdana" w:hAnsi="Verdana"/>
          <w:i/>
          <w:sz w:val="20"/>
        </w:rPr>
      </w:pPr>
      <w:r>
        <w:rPr>
          <w:rFonts w:ascii="Verdana" w:hAnsi="Verdana"/>
          <w:i/>
          <w:sz w:val="20"/>
        </w:rPr>
        <w:t>(...)</w:t>
      </w:r>
    </w:p>
    <w:p w:rsidR="00DE19C8" w:rsidRDefault="00DE19C8">
      <w:pPr>
        <w:spacing w:line="318" w:lineRule="exact"/>
        <w:ind w:left="1418"/>
        <w:contextualSpacing/>
        <w:rPr>
          <w:rFonts w:ascii="Verdana" w:hAnsi="Verdana"/>
          <w:i/>
          <w:sz w:val="20"/>
        </w:rPr>
      </w:pPr>
    </w:p>
    <w:p w:rsidR="00DE19C8" w:rsidRDefault="00626B63">
      <w:pPr>
        <w:spacing w:line="318" w:lineRule="exact"/>
        <w:ind w:left="1418"/>
        <w:contextualSpacing/>
        <w:rPr>
          <w:rFonts w:ascii="Verdana" w:hAnsi="Verdana"/>
          <w:i/>
          <w:sz w:val="20"/>
        </w:rPr>
      </w:pPr>
      <w:r>
        <w:rPr>
          <w:rFonts w:ascii="Verdana" w:hAnsi="Verdana"/>
          <w:i/>
          <w:sz w:val="20"/>
        </w:rPr>
        <w:t>Spread = (A) para as Debêntures da Primeira Série, [</w:t>
      </w:r>
      <w:r>
        <w:rPr>
          <w:rFonts w:ascii="Verdana" w:hAnsi="Verdana"/>
          <w:i/>
          <w:sz w:val="20"/>
        </w:rPr>
        <w:sym w:font="Symbol" w:char="F0B7"/>
      </w:r>
      <w:r>
        <w:rPr>
          <w:rFonts w:ascii="Verdana" w:hAnsi="Verdana"/>
          <w:i/>
          <w:sz w:val="20"/>
        </w:rPr>
        <w:t>] ([</w:t>
      </w:r>
      <w:r>
        <w:rPr>
          <w:rFonts w:ascii="Verdana" w:hAnsi="Verdana"/>
          <w:i/>
          <w:sz w:val="20"/>
        </w:rPr>
        <w:sym w:font="Symbol" w:char="F0B7"/>
      </w:r>
      <w:r>
        <w:rPr>
          <w:rFonts w:ascii="Verdana" w:hAnsi="Verdana"/>
          <w:i/>
          <w:sz w:val="20"/>
        </w:rPr>
        <w:t>]), e (B) para as Debêntures da Segunda Série, [</w:t>
      </w:r>
      <w:r>
        <w:rPr>
          <w:rFonts w:ascii="Verdana" w:hAnsi="Verdana"/>
          <w:i/>
          <w:sz w:val="20"/>
        </w:rPr>
        <w:sym w:font="Symbol" w:char="F0B7"/>
      </w:r>
      <w:r>
        <w:rPr>
          <w:rFonts w:ascii="Verdana" w:hAnsi="Verdana"/>
          <w:i/>
          <w:sz w:val="20"/>
        </w:rPr>
        <w:t>] ([</w:t>
      </w:r>
      <w:r>
        <w:rPr>
          <w:rFonts w:ascii="Verdana" w:hAnsi="Verdana"/>
          <w:i/>
          <w:sz w:val="20"/>
        </w:rPr>
        <w:sym w:font="Symbol" w:char="F0B7"/>
      </w:r>
      <w:r>
        <w:rPr>
          <w:rFonts w:ascii="Verdana" w:hAnsi="Verdana"/>
          <w:i/>
          <w:sz w:val="20"/>
        </w:rPr>
        <w:t xml:space="preserve">]), conforme definido no Procedimento de </w:t>
      </w:r>
      <w:proofErr w:type="spellStart"/>
      <w:r>
        <w:rPr>
          <w:rFonts w:ascii="Verdana" w:hAnsi="Verdana"/>
          <w:i/>
          <w:sz w:val="20"/>
        </w:rPr>
        <w:t>Bookbuilding</w:t>
      </w:r>
      <w:proofErr w:type="spellEnd"/>
      <w:r>
        <w:rPr>
          <w:rFonts w:ascii="Verdana" w:hAnsi="Verdana"/>
          <w:i/>
          <w:sz w:val="20"/>
        </w:rPr>
        <w:t>;</w:t>
      </w:r>
    </w:p>
    <w:p w:rsidR="00DE19C8" w:rsidRDefault="00DE19C8">
      <w:pPr>
        <w:spacing w:line="318" w:lineRule="exact"/>
        <w:ind w:left="1418"/>
        <w:contextualSpacing/>
        <w:rPr>
          <w:rFonts w:ascii="Verdana" w:hAnsi="Verdana"/>
          <w:i/>
          <w:sz w:val="20"/>
        </w:rPr>
      </w:pPr>
    </w:p>
    <w:p w:rsidR="00DE19C8" w:rsidRDefault="00626B63">
      <w:pPr>
        <w:spacing w:line="318" w:lineRule="exact"/>
        <w:ind w:left="1418"/>
        <w:contextualSpacing/>
        <w:rPr>
          <w:rFonts w:ascii="Verdana" w:hAnsi="Verdana"/>
          <w:i/>
          <w:sz w:val="20"/>
        </w:rPr>
      </w:pPr>
      <w:r>
        <w:rPr>
          <w:rFonts w:ascii="Verdana" w:hAnsi="Verdana"/>
          <w:i/>
          <w:sz w:val="20"/>
        </w:rPr>
        <w:t>(...)”</w:t>
      </w:r>
    </w:p>
    <w:p w:rsidR="00DE19C8" w:rsidRDefault="00DE19C8">
      <w:pPr>
        <w:spacing w:line="318" w:lineRule="exact"/>
        <w:ind w:left="1418"/>
        <w:contextualSpacing/>
        <w:rPr>
          <w:rFonts w:ascii="Verdana" w:hAnsi="Verdana"/>
          <w:i/>
          <w:sz w:val="20"/>
        </w:rPr>
      </w:pPr>
    </w:p>
    <w:p w:rsidR="00DE19C8" w:rsidRDefault="00626B63">
      <w:pPr>
        <w:spacing w:line="318" w:lineRule="exact"/>
        <w:contextualSpacing/>
        <w:rPr>
          <w:rFonts w:ascii="Verdana" w:hAnsi="Verdana"/>
          <w:sz w:val="20"/>
        </w:rPr>
      </w:pPr>
      <w:r>
        <w:rPr>
          <w:rFonts w:ascii="Verdana" w:hAnsi="Verdana"/>
          <w:sz w:val="20"/>
        </w:rPr>
        <w:t>2.11.</w:t>
      </w:r>
      <w:r>
        <w:rPr>
          <w:rFonts w:ascii="Verdana" w:hAnsi="Verdana"/>
          <w:sz w:val="20"/>
        </w:rPr>
        <w:tab/>
        <w:t xml:space="preserve">As Partes resolvem excluir o Anexo I à Escritura </w:t>
      </w:r>
      <w:r>
        <w:rPr>
          <w:rFonts w:ascii="Verdana" w:hAnsi="Verdana"/>
          <w:sz w:val="20"/>
        </w:rPr>
        <w:t>de Emissão.</w:t>
      </w:r>
    </w:p>
    <w:p w:rsidR="00DE19C8" w:rsidRDefault="00DE19C8">
      <w:pPr>
        <w:spacing w:line="318" w:lineRule="exact"/>
        <w:contextualSpacing/>
        <w:rPr>
          <w:rFonts w:ascii="Verdana" w:hAnsi="Verdana"/>
          <w:sz w:val="20"/>
        </w:rPr>
      </w:pPr>
    </w:p>
    <w:p w:rsidR="00DE19C8" w:rsidRDefault="00626B63">
      <w:pPr>
        <w:keepNext/>
        <w:jc w:val="center"/>
        <w:rPr>
          <w:rFonts w:ascii="Verdana" w:hAnsi="Verdana" w:cs="Tahoma"/>
          <w:b/>
          <w:sz w:val="20"/>
        </w:rPr>
      </w:pPr>
      <w:r>
        <w:rPr>
          <w:rFonts w:ascii="Verdana" w:hAnsi="Verdana" w:cs="Tahoma"/>
          <w:b/>
          <w:sz w:val="20"/>
        </w:rPr>
        <w:t>CLÁUSULA TERCEIRA – DAS DISPOSIÇÕES GERAIS</w:t>
      </w:r>
    </w:p>
    <w:p w:rsidR="00DE19C8" w:rsidRDefault="00DE19C8">
      <w:pPr>
        <w:keepNext/>
        <w:spacing w:line="318" w:lineRule="exact"/>
        <w:contextualSpacing/>
        <w:rPr>
          <w:rFonts w:ascii="Verdana" w:hAnsi="Verdana"/>
          <w:sz w:val="20"/>
        </w:rPr>
      </w:pPr>
    </w:p>
    <w:p w:rsidR="00DE19C8" w:rsidRDefault="00626B63">
      <w:pPr>
        <w:keepNext/>
        <w:spacing w:line="318" w:lineRule="exact"/>
        <w:contextualSpacing/>
        <w:rPr>
          <w:rFonts w:ascii="Verdana" w:hAnsi="Verdana" w:cs="Tahoma"/>
          <w:sz w:val="20"/>
        </w:rPr>
      </w:pPr>
      <w:r>
        <w:rPr>
          <w:rFonts w:ascii="Verdana" w:hAnsi="Verdana" w:cs="Tahoma"/>
          <w:sz w:val="20"/>
        </w:rPr>
        <w:t>3.1.</w:t>
      </w:r>
      <w:r>
        <w:rPr>
          <w:rFonts w:ascii="Verdana" w:hAnsi="Verdana" w:cs="Tahoma"/>
          <w:sz w:val="20"/>
        </w:rPr>
        <w:tab/>
        <w:t>O presente Aditamento é firmado em caráter irrevogável e irretratável, obrigando as partes por si e seus sucessores.</w:t>
      </w:r>
    </w:p>
    <w:p w:rsidR="00DE19C8" w:rsidRDefault="00DE19C8">
      <w:pPr>
        <w:spacing w:line="318" w:lineRule="exact"/>
        <w:contextualSpacing/>
        <w:rPr>
          <w:rFonts w:ascii="Verdana" w:hAnsi="Verdana" w:cs="Tahoma"/>
          <w:sz w:val="20"/>
        </w:rPr>
      </w:pPr>
    </w:p>
    <w:p w:rsidR="00DE19C8" w:rsidRDefault="00626B63">
      <w:pPr>
        <w:spacing w:line="318" w:lineRule="exact"/>
        <w:contextualSpacing/>
        <w:rPr>
          <w:rFonts w:ascii="Verdana" w:hAnsi="Verdana" w:cs="Tahoma"/>
          <w:sz w:val="20"/>
        </w:rPr>
      </w:pPr>
      <w:r>
        <w:rPr>
          <w:rFonts w:ascii="Verdana" w:hAnsi="Verdana" w:cs="Tahoma"/>
          <w:sz w:val="20"/>
        </w:rPr>
        <w:t>3.2.</w:t>
      </w:r>
      <w:r>
        <w:rPr>
          <w:rFonts w:ascii="Verdana" w:hAnsi="Verdana" w:cs="Tahoma"/>
          <w:sz w:val="20"/>
        </w:rPr>
        <w:tab/>
        <w:t xml:space="preserve">Caso qualquer das disposições deste Aditamento venha a ser julgada </w:t>
      </w:r>
      <w:r>
        <w:rPr>
          <w:rFonts w:ascii="Verdana" w:hAnsi="Verdana" w:cs="Tahoma"/>
          <w:sz w:val="20"/>
        </w:rPr>
        <w:t>ilegal, inválida ou ineficaz, prevalecerão todas as demais disposições não afetadas por tal julgamento, comprometendo-se as partes, em boa-fé, a substituir a disposição afetada por outra que, na medida do possível, produza o mesmo efeito.</w:t>
      </w:r>
    </w:p>
    <w:p w:rsidR="00DE19C8" w:rsidRDefault="00DE19C8">
      <w:pPr>
        <w:spacing w:line="318" w:lineRule="exact"/>
        <w:contextualSpacing/>
        <w:rPr>
          <w:rFonts w:ascii="Verdana" w:hAnsi="Verdana" w:cs="Tahoma"/>
          <w:sz w:val="20"/>
        </w:rPr>
      </w:pPr>
    </w:p>
    <w:p w:rsidR="00DE19C8" w:rsidRDefault="00626B63">
      <w:pPr>
        <w:spacing w:line="318" w:lineRule="exact"/>
        <w:contextualSpacing/>
        <w:rPr>
          <w:rFonts w:ascii="Verdana" w:hAnsi="Verdana" w:cs="Tahoma"/>
          <w:sz w:val="20"/>
        </w:rPr>
      </w:pPr>
      <w:r>
        <w:rPr>
          <w:rFonts w:ascii="Verdana" w:hAnsi="Verdana" w:cs="Tahoma"/>
          <w:sz w:val="20"/>
        </w:rPr>
        <w:t>3.3.</w:t>
      </w:r>
      <w:r>
        <w:rPr>
          <w:rFonts w:ascii="Verdana" w:hAnsi="Verdana" w:cs="Tahoma"/>
          <w:sz w:val="20"/>
        </w:rPr>
        <w:tab/>
        <w:t xml:space="preserve">O presente </w:t>
      </w:r>
      <w:r>
        <w:rPr>
          <w:rFonts w:ascii="Verdana" w:hAnsi="Verdana" w:cs="Tahoma"/>
          <w:sz w:val="20"/>
        </w:rPr>
        <w:t>Aditamento, a Escritura de Emissão e as Debêntures constituem título executivo extrajudicial, nos termos do artigo 784 do Código de Processo Civil, e as obrigações nelas encerradas estão sujeitas a execução específica, de acordo com os artigos 815 e seguin</w:t>
      </w:r>
      <w:r>
        <w:rPr>
          <w:rFonts w:ascii="Verdana" w:hAnsi="Verdana" w:cs="Tahoma"/>
          <w:sz w:val="20"/>
        </w:rPr>
        <w:t>tes, do Código de Processo Civil.</w:t>
      </w:r>
    </w:p>
    <w:p w:rsidR="00DE19C8" w:rsidRDefault="00DE19C8">
      <w:pPr>
        <w:spacing w:line="318" w:lineRule="exact"/>
        <w:contextualSpacing/>
        <w:rPr>
          <w:rFonts w:ascii="Verdana" w:hAnsi="Verdana" w:cs="Tahoma"/>
          <w:sz w:val="20"/>
        </w:rPr>
      </w:pPr>
    </w:p>
    <w:p w:rsidR="00DE19C8" w:rsidRDefault="00626B63">
      <w:pPr>
        <w:suppressAutoHyphens/>
        <w:spacing w:line="318" w:lineRule="exact"/>
        <w:rPr>
          <w:rFonts w:ascii="Verdana" w:hAnsi="Verdana" w:cs="Tahoma"/>
          <w:color w:val="000000"/>
          <w:sz w:val="20"/>
        </w:rPr>
      </w:pPr>
      <w:r>
        <w:rPr>
          <w:rFonts w:ascii="Verdana" w:hAnsi="Verdana" w:cs="Tahoma"/>
          <w:sz w:val="20"/>
        </w:rPr>
        <w:t>3.4.</w:t>
      </w:r>
      <w:r>
        <w:rPr>
          <w:rFonts w:ascii="Verdana" w:hAnsi="Verdana" w:cs="Tahoma"/>
          <w:sz w:val="20"/>
        </w:rPr>
        <w:tab/>
      </w:r>
      <w:r>
        <w:rPr>
          <w:rFonts w:ascii="Verdana" w:hAnsi="Verdana" w:cs="Tahoma"/>
          <w:color w:val="000000"/>
          <w:sz w:val="20"/>
        </w:rPr>
        <w:t>Todos e quaisquer custos incorridos em razão do registro deste Aditamento, e dos atos societários relacionados a este Aditamento, nos registros competentes, serão de responsabilidade exclusiva da Emissora.</w:t>
      </w:r>
    </w:p>
    <w:p w:rsidR="00DE19C8" w:rsidRDefault="00DE19C8">
      <w:pPr>
        <w:spacing w:line="318" w:lineRule="exact"/>
        <w:contextualSpacing/>
        <w:rPr>
          <w:rFonts w:ascii="Verdana" w:hAnsi="Verdana"/>
          <w:sz w:val="20"/>
        </w:rPr>
      </w:pPr>
    </w:p>
    <w:p w:rsidR="00DE19C8" w:rsidRDefault="00626B63">
      <w:pPr>
        <w:spacing w:line="318" w:lineRule="exact"/>
        <w:contextualSpacing/>
        <w:rPr>
          <w:rFonts w:ascii="Verdana" w:hAnsi="Verdana" w:cs="Tahoma"/>
          <w:sz w:val="20"/>
        </w:rPr>
      </w:pPr>
      <w:r>
        <w:rPr>
          <w:rFonts w:ascii="Verdana" w:hAnsi="Verdana"/>
          <w:sz w:val="20"/>
        </w:rPr>
        <w:t>3.5.</w:t>
      </w:r>
      <w:r>
        <w:rPr>
          <w:rFonts w:ascii="Verdana" w:hAnsi="Verdana"/>
          <w:sz w:val="20"/>
        </w:rPr>
        <w:tab/>
      </w:r>
      <w:r>
        <w:rPr>
          <w:rFonts w:ascii="Verdana" w:hAnsi="Verdana" w:cs="Tahoma"/>
          <w:sz w:val="20"/>
        </w:rPr>
        <w:t>Este</w:t>
      </w:r>
      <w:r>
        <w:rPr>
          <w:rFonts w:ascii="Verdana" w:hAnsi="Verdana" w:cs="Tahoma"/>
          <w:sz w:val="20"/>
        </w:rPr>
        <w:t xml:space="preserve"> Aditamento é regido pelas Leis da República Federativa do Brasil.</w:t>
      </w:r>
    </w:p>
    <w:p w:rsidR="00DE19C8" w:rsidRDefault="00DE19C8">
      <w:pPr>
        <w:spacing w:line="318" w:lineRule="exact"/>
        <w:contextualSpacing/>
        <w:rPr>
          <w:rFonts w:ascii="Verdana" w:hAnsi="Verdana" w:cs="Tahoma"/>
          <w:sz w:val="20"/>
        </w:rPr>
      </w:pPr>
    </w:p>
    <w:p w:rsidR="00DE19C8" w:rsidRDefault="00626B63">
      <w:pPr>
        <w:spacing w:line="318" w:lineRule="exact"/>
        <w:contextualSpacing/>
        <w:rPr>
          <w:rFonts w:ascii="Verdana" w:hAnsi="Verdana" w:cs="Tahoma"/>
          <w:sz w:val="20"/>
        </w:rPr>
      </w:pPr>
      <w:r>
        <w:rPr>
          <w:rFonts w:ascii="Verdana" w:hAnsi="Verdana" w:cs="Tahoma"/>
          <w:sz w:val="20"/>
        </w:rPr>
        <w:t>3.6.</w:t>
      </w:r>
      <w:r>
        <w:rPr>
          <w:rFonts w:ascii="Verdana" w:hAnsi="Verdana" w:cs="Tahoma"/>
          <w:sz w:val="20"/>
        </w:rPr>
        <w:tab/>
        <w:t>Os prazos estabelecidos no presente Aditamento serão computados de acordo com a regra prescrita no artigo 132 do Código Civil, sendo excluído o dia do começo e incluído o do venciment</w:t>
      </w:r>
      <w:r>
        <w:rPr>
          <w:rFonts w:ascii="Verdana" w:hAnsi="Verdana" w:cs="Tahoma"/>
          <w:sz w:val="20"/>
        </w:rPr>
        <w:t>o.</w:t>
      </w:r>
    </w:p>
    <w:p w:rsidR="00DE19C8" w:rsidRDefault="00DE19C8">
      <w:pPr>
        <w:spacing w:line="318" w:lineRule="exact"/>
        <w:contextualSpacing/>
        <w:rPr>
          <w:rFonts w:ascii="Verdana" w:hAnsi="Verdana" w:cs="Tahoma"/>
          <w:sz w:val="20"/>
        </w:rPr>
      </w:pPr>
    </w:p>
    <w:p w:rsidR="00DE19C8" w:rsidRDefault="00626B63">
      <w:pPr>
        <w:spacing w:line="318" w:lineRule="exact"/>
        <w:contextualSpacing/>
        <w:rPr>
          <w:rFonts w:ascii="Verdana" w:hAnsi="Verdana" w:cs="Tahoma"/>
          <w:sz w:val="20"/>
        </w:rPr>
      </w:pPr>
      <w:r>
        <w:rPr>
          <w:rFonts w:ascii="Verdana" w:hAnsi="Verdana" w:cs="Tahoma"/>
          <w:sz w:val="20"/>
        </w:rPr>
        <w:t>3.7.</w:t>
      </w:r>
      <w:r>
        <w:rPr>
          <w:rFonts w:ascii="Verdana" w:hAnsi="Verdana" w:cs="Tahoma"/>
          <w:sz w:val="20"/>
        </w:rPr>
        <w:tab/>
        <w:t>Fica eleito o foro da Comarca da Cidade de São Paulo, com exclusão de qualquer outro, por mais privilegiado que seja, para dirimir as questões porventura oriundas deste Aditamento.</w:t>
      </w:r>
    </w:p>
    <w:p w:rsidR="00DE19C8" w:rsidRDefault="00DE19C8">
      <w:pPr>
        <w:spacing w:line="318" w:lineRule="exact"/>
        <w:contextualSpacing/>
        <w:rPr>
          <w:rFonts w:ascii="Verdana" w:hAnsi="Verdana" w:cs="Tahoma"/>
          <w:sz w:val="20"/>
        </w:rPr>
      </w:pPr>
    </w:p>
    <w:p w:rsidR="00DE19C8" w:rsidRDefault="00626B63">
      <w:pPr>
        <w:suppressAutoHyphens/>
        <w:spacing w:line="318" w:lineRule="exact"/>
        <w:rPr>
          <w:rFonts w:ascii="Verdana" w:hAnsi="Verdana" w:cs="Tahoma"/>
          <w:sz w:val="20"/>
        </w:rPr>
      </w:pPr>
      <w:r>
        <w:rPr>
          <w:rFonts w:ascii="Verdana" w:hAnsi="Verdana" w:cs="Tahoma"/>
          <w:sz w:val="20"/>
        </w:rPr>
        <w:t>E por estarem assim justas e contratadas, firmam o presente Adita</w:t>
      </w:r>
      <w:r>
        <w:rPr>
          <w:rFonts w:ascii="Verdana" w:hAnsi="Verdana" w:cs="Tahoma"/>
          <w:sz w:val="20"/>
        </w:rPr>
        <w:t>mento a Emissora, o Agente Fiduciário, em 5 (cinco) vias de igual forma e teor e para o mesmo fim, em conjunto com as 2 (duas) testemunhas abaixo assinadas.</w:t>
      </w:r>
    </w:p>
    <w:p w:rsidR="00DE19C8" w:rsidRDefault="00DE19C8">
      <w:pPr>
        <w:suppressAutoHyphens/>
        <w:spacing w:line="318" w:lineRule="exact"/>
        <w:rPr>
          <w:rFonts w:ascii="Verdana" w:hAnsi="Verdana" w:cs="Tahoma"/>
          <w:sz w:val="20"/>
        </w:rPr>
      </w:pPr>
    </w:p>
    <w:p w:rsidR="00DE19C8" w:rsidRDefault="00626B63">
      <w:pPr>
        <w:suppressAutoHyphens/>
        <w:spacing w:line="318" w:lineRule="exact"/>
        <w:jc w:val="center"/>
        <w:rPr>
          <w:rFonts w:ascii="Verdana" w:hAnsi="Verdana" w:cs="Tahoma"/>
          <w:sz w:val="20"/>
        </w:rPr>
      </w:pPr>
      <w:r>
        <w:rPr>
          <w:rFonts w:ascii="Verdana" w:hAnsi="Verdana" w:cs="Tahoma"/>
          <w:sz w:val="20"/>
        </w:rPr>
        <w:t>São Paulo, [</w:t>
      </w:r>
      <w:r>
        <w:rPr>
          <w:rFonts w:ascii="Verdana" w:hAnsi="Verdana" w:cs="Tahoma"/>
          <w:sz w:val="20"/>
          <w:highlight w:val="lightGray"/>
        </w:rPr>
        <w:t>•</w:t>
      </w:r>
      <w:r>
        <w:rPr>
          <w:rFonts w:ascii="Verdana" w:hAnsi="Verdana" w:cs="Tahoma"/>
          <w:sz w:val="20"/>
        </w:rPr>
        <w:t>] de [</w:t>
      </w:r>
      <w:r>
        <w:rPr>
          <w:rFonts w:ascii="Verdana" w:hAnsi="Verdana" w:cs="Tahoma"/>
          <w:sz w:val="20"/>
        </w:rPr>
        <w:sym w:font="Symbol" w:char="F0B7"/>
      </w:r>
      <w:r>
        <w:rPr>
          <w:rFonts w:ascii="Verdana" w:hAnsi="Verdana" w:cs="Tahoma"/>
          <w:sz w:val="20"/>
        </w:rPr>
        <w:t>] de 2019.</w:t>
      </w:r>
    </w:p>
    <w:p w:rsidR="00DE19C8" w:rsidRDefault="00DE19C8">
      <w:pPr>
        <w:pStyle w:val="Ttulo2"/>
        <w:suppressAutoHyphens/>
        <w:spacing w:line="318" w:lineRule="exact"/>
        <w:rPr>
          <w:rFonts w:ascii="Verdana" w:hAnsi="Verdana" w:cs="Tahoma"/>
          <w:sz w:val="20"/>
        </w:rPr>
      </w:pPr>
    </w:p>
    <w:p w:rsidR="00DE19C8" w:rsidRDefault="00626B63">
      <w:pPr>
        <w:spacing w:line="318" w:lineRule="exact"/>
        <w:contextualSpacing/>
        <w:rPr>
          <w:rFonts w:ascii="Verdana" w:hAnsi="Verdana" w:cs="Tahoma"/>
          <w:i/>
          <w:sz w:val="20"/>
        </w:rPr>
      </w:pPr>
      <w:proofErr w:type="gramStart"/>
      <w:r>
        <w:rPr>
          <w:rFonts w:ascii="Verdana" w:hAnsi="Verdana" w:cs="Tahoma"/>
          <w:i/>
          <w:sz w:val="20"/>
        </w:rPr>
        <w:t>[As</w:t>
      </w:r>
      <w:proofErr w:type="gramEnd"/>
      <w:r>
        <w:rPr>
          <w:rFonts w:ascii="Verdana" w:hAnsi="Verdana" w:cs="Tahoma"/>
          <w:i/>
          <w:sz w:val="20"/>
        </w:rPr>
        <w:t xml:space="preserve"> assinaturas seguem nas páginas seguintes. </w:t>
      </w:r>
      <w:r>
        <w:rPr>
          <w:rFonts w:ascii="Verdana" w:hAnsi="Verdana"/>
          <w:i/>
          <w:sz w:val="20"/>
        </w:rPr>
        <w:t>O restante da página</w:t>
      </w:r>
      <w:r>
        <w:rPr>
          <w:rFonts w:ascii="Verdana" w:hAnsi="Verdana"/>
          <w:i/>
          <w:sz w:val="20"/>
        </w:rPr>
        <w:t xml:space="preserve"> foi deixado intencionalmente em branco.</w:t>
      </w:r>
      <w:r>
        <w:rPr>
          <w:rFonts w:ascii="Verdana" w:hAnsi="Verdana" w:cs="Tahoma"/>
          <w:i/>
          <w:sz w:val="20"/>
        </w:rPr>
        <w:t>]</w:t>
      </w:r>
    </w:p>
    <w:p w:rsidR="00DE19C8" w:rsidRDefault="00626B63">
      <w:pPr>
        <w:jc w:val="left"/>
        <w:rPr>
          <w:rFonts w:ascii="Verdana" w:hAnsi="Verdana" w:cs="Tahoma"/>
          <w:i/>
          <w:sz w:val="20"/>
        </w:rPr>
      </w:pPr>
      <w:r>
        <w:rPr>
          <w:rFonts w:ascii="Verdana" w:hAnsi="Verdana" w:cs="Tahoma"/>
          <w:i/>
          <w:sz w:val="20"/>
        </w:rPr>
        <w:br w:type="page"/>
      </w:r>
    </w:p>
    <w:p w:rsidR="00DE19C8" w:rsidRDefault="00626B63">
      <w:pPr>
        <w:suppressAutoHyphens/>
        <w:spacing w:line="318" w:lineRule="exact"/>
        <w:rPr>
          <w:rFonts w:ascii="Verdana" w:hAnsi="Verdana" w:cs="Tahoma"/>
          <w:i/>
          <w:color w:val="000000"/>
          <w:sz w:val="20"/>
        </w:rPr>
      </w:pPr>
      <w:r>
        <w:rPr>
          <w:rFonts w:ascii="Verdana" w:hAnsi="Verdana" w:cs="Tahoma"/>
          <w:i/>
          <w:color w:val="000000"/>
          <w:sz w:val="20"/>
        </w:rPr>
        <w:lastRenderedPageBreak/>
        <w:t xml:space="preserve">Página de assinaturas 1/3 do Primeiro Aditamento ao </w:t>
      </w:r>
      <w:r>
        <w:rPr>
          <w:rFonts w:ascii="Verdana" w:hAnsi="Verdana"/>
          <w:i/>
          <w:sz w:val="20"/>
        </w:rPr>
        <w:t xml:space="preserve">Instrumento Particular de Escritura da 6ª (Sexta) Emissão de Debêntures Simples, Não Conversíveis em Ações, da Espécie Quirografária, em Até Duas Séries, para </w:t>
      </w:r>
      <w:r>
        <w:rPr>
          <w:rFonts w:ascii="Verdana" w:hAnsi="Verdana"/>
          <w:i/>
          <w:sz w:val="20"/>
        </w:rPr>
        <w:t>Distribuição Pública, com Esforços Restritos de Distribuição, da Minerva S.A., celebrado em [</w:t>
      </w:r>
      <w:r>
        <w:rPr>
          <w:rFonts w:ascii="Verdana" w:hAnsi="Verdana"/>
          <w:i/>
          <w:sz w:val="20"/>
          <w:highlight w:val="lightGray"/>
        </w:rPr>
        <w:t>•</w:t>
      </w:r>
      <w:r>
        <w:rPr>
          <w:rFonts w:ascii="Verdana" w:hAnsi="Verdana"/>
          <w:i/>
          <w:sz w:val="20"/>
        </w:rPr>
        <w:t>].</w:t>
      </w:r>
    </w:p>
    <w:p w:rsidR="00DE19C8" w:rsidRDefault="00DE19C8">
      <w:pPr>
        <w:suppressAutoHyphens/>
        <w:spacing w:line="318" w:lineRule="exact"/>
        <w:rPr>
          <w:rFonts w:ascii="Verdana" w:hAnsi="Verdana"/>
          <w:i/>
          <w:sz w:val="20"/>
        </w:rPr>
      </w:pPr>
    </w:p>
    <w:p w:rsidR="00DE19C8" w:rsidRDefault="00DE19C8">
      <w:pPr>
        <w:suppressAutoHyphens/>
        <w:spacing w:line="318" w:lineRule="exact"/>
        <w:rPr>
          <w:rFonts w:ascii="Verdana" w:hAnsi="Verdana" w:cs="Tahoma"/>
          <w:b/>
          <w:sz w:val="20"/>
        </w:rPr>
      </w:pPr>
    </w:p>
    <w:p w:rsidR="00DE19C8" w:rsidRDefault="00DE19C8">
      <w:pPr>
        <w:suppressAutoHyphens/>
        <w:spacing w:line="318" w:lineRule="exact"/>
        <w:rPr>
          <w:rFonts w:ascii="Verdana" w:hAnsi="Verdana" w:cs="Tahoma"/>
          <w:b/>
          <w:sz w:val="20"/>
        </w:rPr>
      </w:pPr>
    </w:p>
    <w:p w:rsidR="00DE19C8" w:rsidRDefault="00626B63">
      <w:pPr>
        <w:suppressAutoHyphens/>
        <w:spacing w:line="318" w:lineRule="exact"/>
        <w:jc w:val="center"/>
        <w:rPr>
          <w:rFonts w:ascii="Verdana" w:hAnsi="Verdana" w:cs="Tahoma"/>
          <w:b/>
          <w:sz w:val="20"/>
        </w:rPr>
      </w:pPr>
      <w:r>
        <w:rPr>
          <w:rFonts w:ascii="Verdana" w:hAnsi="Verdana" w:cs="Tahoma"/>
          <w:b/>
          <w:sz w:val="20"/>
        </w:rPr>
        <w:t>MINERVA S.A.</w:t>
      </w:r>
    </w:p>
    <w:p w:rsidR="00DE19C8" w:rsidRDefault="00DE19C8">
      <w:pPr>
        <w:suppressAutoHyphens/>
        <w:spacing w:line="318" w:lineRule="exact"/>
        <w:jc w:val="center"/>
        <w:rPr>
          <w:rFonts w:ascii="Verdana" w:hAnsi="Verdana" w:cs="Tahoma"/>
          <w:sz w:val="20"/>
        </w:rPr>
      </w:pPr>
    </w:p>
    <w:p w:rsidR="00DE19C8" w:rsidRDefault="00DE19C8">
      <w:pPr>
        <w:suppressAutoHyphens/>
        <w:spacing w:line="318" w:lineRule="exact"/>
        <w:rPr>
          <w:rFonts w:ascii="Verdana" w:hAnsi="Verdana" w:cs="Tahoma"/>
          <w:sz w:val="20"/>
        </w:rPr>
      </w:pPr>
    </w:p>
    <w:p w:rsidR="00DE19C8" w:rsidRDefault="00DE19C8">
      <w:pPr>
        <w:suppressAutoHyphens/>
        <w:spacing w:line="318" w:lineRule="exact"/>
        <w:rPr>
          <w:rFonts w:ascii="Verdana" w:hAnsi="Verdana" w:cs="Tahoma"/>
          <w:sz w:val="20"/>
        </w:rPr>
      </w:pPr>
    </w:p>
    <w:p w:rsidR="00DE19C8" w:rsidRDefault="00626B63">
      <w:pPr>
        <w:suppressAutoHyphens/>
        <w:spacing w:line="318" w:lineRule="exact"/>
        <w:rPr>
          <w:rFonts w:ascii="Verdana" w:hAnsi="Verdana" w:cs="Tahoma"/>
          <w:sz w:val="20"/>
        </w:rPr>
      </w:pPr>
      <w:r>
        <w:rPr>
          <w:rFonts w:ascii="Verdana" w:hAnsi="Verdana" w:cs="Tahoma"/>
          <w:sz w:val="20"/>
        </w:rPr>
        <w:t>___________________________</w:t>
      </w:r>
      <w:r>
        <w:rPr>
          <w:rFonts w:ascii="Verdana" w:hAnsi="Verdana" w:cs="Tahoma"/>
          <w:sz w:val="20"/>
        </w:rPr>
        <w:tab/>
      </w:r>
      <w:r>
        <w:rPr>
          <w:rFonts w:ascii="Verdana" w:hAnsi="Verdana" w:cs="Tahoma"/>
          <w:sz w:val="20"/>
        </w:rPr>
        <w:tab/>
      </w:r>
      <w:r>
        <w:rPr>
          <w:rFonts w:ascii="Verdana" w:hAnsi="Verdana" w:cs="Tahoma"/>
          <w:sz w:val="20"/>
        </w:rPr>
        <w:tab/>
        <w:t>______________________________</w:t>
      </w:r>
    </w:p>
    <w:p w:rsidR="00DE19C8" w:rsidRDefault="00626B63">
      <w:pPr>
        <w:suppressAutoHyphens/>
        <w:spacing w:line="318" w:lineRule="exact"/>
        <w:rPr>
          <w:rFonts w:ascii="Verdana" w:hAnsi="Verdana" w:cs="Tahoma"/>
          <w:sz w:val="20"/>
        </w:rPr>
      </w:pPr>
      <w:r>
        <w:rPr>
          <w:rFonts w:ascii="Verdana" w:hAnsi="Verdana" w:cs="Tahoma"/>
          <w:sz w:val="20"/>
        </w:rPr>
        <w:t>Nome:</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Nome:</w:t>
      </w:r>
    </w:p>
    <w:p w:rsidR="00DE19C8" w:rsidRDefault="00626B63">
      <w:pPr>
        <w:suppressAutoHyphens/>
        <w:spacing w:line="318" w:lineRule="exact"/>
        <w:rPr>
          <w:rFonts w:ascii="Verdana" w:hAnsi="Verdana" w:cs="Tahoma"/>
          <w:sz w:val="20"/>
        </w:rPr>
      </w:pPr>
      <w:r>
        <w:rPr>
          <w:rFonts w:ascii="Verdana" w:hAnsi="Verdana" w:cs="Tahoma"/>
          <w:sz w:val="20"/>
        </w:rPr>
        <w:t>Cargo:</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Cargo:</w:t>
      </w:r>
    </w:p>
    <w:p w:rsidR="00DE19C8" w:rsidRDefault="00DE19C8">
      <w:pPr>
        <w:suppressAutoHyphens/>
        <w:spacing w:line="318" w:lineRule="exact"/>
        <w:rPr>
          <w:rFonts w:ascii="Verdana" w:hAnsi="Verdana" w:cs="Tahoma"/>
          <w:sz w:val="20"/>
        </w:rPr>
      </w:pPr>
    </w:p>
    <w:p w:rsidR="00DE19C8" w:rsidRDefault="00DE19C8">
      <w:pPr>
        <w:jc w:val="left"/>
        <w:rPr>
          <w:rFonts w:ascii="Verdana" w:hAnsi="Verdana" w:cs="Tahoma"/>
          <w:sz w:val="20"/>
        </w:rPr>
        <w:sectPr w:rsidR="00DE19C8">
          <w:pgSz w:w="12242" w:h="15842"/>
          <w:pgMar w:top="1701" w:right="1418" w:bottom="1701" w:left="1418" w:header="567" w:footer="851" w:gutter="0"/>
          <w:paperSrc w:first="7" w:other="7"/>
          <w:pgNumType w:chapStyle="1"/>
          <w:cols w:space="720"/>
        </w:sectPr>
      </w:pPr>
    </w:p>
    <w:p w:rsidR="00DE19C8" w:rsidRDefault="00626B63">
      <w:pPr>
        <w:suppressAutoHyphens/>
        <w:spacing w:line="318" w:lineRule="exact"/>
        <w:rPr>
          <w:rFonts w:ascii="Verdana" w:hAnsi="Verdana" w:cs="Tahoma"/>
          <w:i/>
          <w:sz w:val="20"/>
        </w:rPr>
      </w:pPr>
      <w:r>
        <w:rPr>
          <w:rFonts w:ascii="Verdana" w:hAnsi="Verdana" w:cs="Tahoma"/>
          <w:i/>
          <w:color w:val="000000"/>
          <w:sz w:val="20"/>
        </w:rPr>
        <w:lastRenderedPageBreak/>
        <w:t xml:space="preserve">Página de assinaturas 2/3 do Primeiro Aditamento ao </w:t>
      </w:r>
      <w:r>
        <w:rPr>
          <w:rFonts w:ascii="Verdana" w:hAnsi="Verdana"/>
          <w:i/>
          <w:sz w:val="20"/>
        </w:rPr>
        <w:t xml:space="preserve">Instrumento Particular de Escritura da 6ª (Sexta) Emissão de Debêntures Simples, Não Conversíveis em Ações, da Espécie Quirografária, em Até Duas Séries, para Distribuição Pública, com Esforços Restritos </w:t>
      </w:r>
      <w:r>
        <w:rPr>
          <w:rFonts w:ascii="Verdana" w:hAnsi="Verdana"/>
          <w:i/>
          <w:sz w:val="20"/>
        </w:rPr>
        <w:t>de Distribuição, da Minerva S.A., celebrado em [</w:t>
      </w:r>
      <w:r>
        <w:rPr>
          <w:rFonts w:ascii="Verdana" w:hAnsi="Verdana"/>
          <w:i/>
          <w:sz w:val="20"/>
          <w:highlight w:val="lightGray"/>
        </w:rPr>
        <w:t>•</w:t>
      </w:r>
      <w:r>
        <w:rPr>
          <w:rFonts w:ascii="Verdana" w:hAnsi="Verdana"/>
          <w:i/>
          <w:sz w:val="20"/>
        </w:rPr>
        <w:t>]</w:t>
      </w:r>
      <w:r>
        <w:rPr>
          <w:rFonts w:ascii="Verdana" w:hAnsi="Verdana" w:cs="Tahoma"/>
          <w:i/>
          <w:color w:val="000000"/>
          <w:sz w:val="20"/>
        </w:rPr>
        <w:t>.</w:t>
      </w:r>
    </w:p>
    <w:p w:rsidR="00DE19C8" w:rsidRDefault="00DE19C8">
      <w:pPr>
        <w:suppressAutoHyphens/>
        <w:spacing w:line="318" w:lineRule="exact"/>
        <w:rPr>
          <w:rFonts w:ascii="Verdana" w:hAnsi="Verdana" w:cs="Tahoma"/>
          <w:i/>
          <w:sz w:val="20"/>
        </w:rPr>
      </w:pPr>
    </w:p>
    <w:p w:rsidR="00DE19C8" w:rsidRDefault="00DE19C8">
      <w:pPr>
        <w:suppressAutoHyphens/>
        <w:spacing w:line="318" w:lineRule="exact"/>
        <w:rPr>
          <w:rFonts w:ascii="Verdana" w:hAnsi="Verdana" w:cs="Tahoma"/>
          <w:b/>
          <w:sz w:val="20"/>
        </w:rPr>
      </w:pPr>
    </w:p>
    <w:p w:rsidR="00DE19C8" w:rsidRDefault="00DE19C8">
      <w:pPr>
        <w:suppressAutoHyphens/>
        <w:spacing w:line="318" w:lineRule="exact"/>
        <w:jc w:val="center"/>
        <w:rPr>
          <w:rFonts w:ascii="Verdana" w:hAnsi="Verdana" w:cs="Tahoma"/>
          <w:b/>
          <w:sz w:val="20"/>
        </w:rPr>
      </w:pPr>
    </w:p>
    <w:p w:rsidR="00DE19C8" w:rsidRDefault="00626B63">
      <w:pPr>
        <w:suppressAutoHyphens/>
        <w:spacing w:line="318" w:lineRule="exact"/>
        <w:jc w:val="center"/>
        <w:rPr>
          <w:rFonts w:ascii="Verdana" w:eastAsia="Arial Unicode MS" w:hAnsi="Verdana" w:cs="Arial"/>
          <w:b/>
          <w:sz w:val="20"/>
        </w:rPr>
      </w:pPr>
      <w:r>
        <w:rPr>
          <w:rFonts w:ascii="Verdana" w:hAnsi="Verdana" w:cs="Arial"/>
          <w:b/>
          <w:bCs/>
          <w:caps/>
          <w:sz w:val="20"/>
          <w:lang w:eastAsia="x-none"/>
        </w:rPr>
        <w:t>OLIVEIRA TRUST DISTRIBUIDORA DE TÍTULOS E VALORES MOBILIÁRIOS S.A</w:t>
      </w:r>
    </w:p>
    <w:p w:rsidR="00DE19C8" w:rsidRDefault="00DE19C8">
      <w:pPr>
        <w:suppressAutoHyphens/>
        <w:spacing w:line="318" w:lineRule="exact"/>
        <w:rPr>
          <w:rFonts w:ascii="Verdana" w:hAnsi="Verdana" w:cs="Tahoma"/>
          <w:sz w:val="20"/>
        </w:rPr>
      </w:pPr>
    </w:p>
    <w:p w:rsidR="00DE19C8" w:rsidRDefault="00DE19C8">
      <w:pPr>
        <w:suppressAutoHyphens/>
        <w:spacing w:line="318" w:lineRule="exact"/>
        <w:rPr>
          <w:rFonts w:ascii="Verdana" w:hAnsi="Verdana" w:cs="Tahoma"/>
          <w:sz w:val="20"/>
        </w:rPr>
      </w:pPr>
    </w:p>
    <w:p w:rsidR="00DE19C8" w:rsidRDefault="00DE19C8">
      <w:pPr>
        <w:suppressAutoHyphens/>
        <w:spacing w:line="318" w:lineRule="exact"/>
        <w:rPr>
          <w:rFonts w:ascii="Verdana" w:hAnsi="Verdana" w:cs="Tahoma"/>
          <w:i/>
          <w:color w:val="000000"/>
          <w:sz w:val="20"/>
        </w:rPr>
      </w:pPr>
    </w:p>
    <w:p w:rsidR="00DE19C8" w:rsidRDefault="00626B63">
      <w:pPr>
        <w:suppressAutoHyphens/>
        <w:spacing w:line="318" w:lineRule="exact"/>
        <w:rPr>
          <w:rFonts w:ascii="Verdana" w:hAnsi="Verdana" w:cs="Tahoma"/>
          <w:color w:val="000000"/>
          <w:sz w:val="20"/>
        </w:rPr>
      </w:pPr>
      <w:r>
        <w:rPr>
          <w:rFonts w:ascii="Verdana" w:hAnsi="Verdana" w:cs="Tahoma"/>
          <w:color w:val="000000"/>
          <w:sz w:val="20"/>
        </w:rPr>
        <w:t>_________________________________________</w:t>
      </w:r>
    </w:p>
    <w:p w:rsidR="00DE19C8" w:rsidRDefault="00626B63">
      <w:pPr>
        <w:suppressAutoHyphens/>
        <w:spacing w:line="318" w:lineRule="exact"/>
        <w:rPr>
          <w:rFonts w:ascii="Verdana" w:hAnsi="Verdana" w:cs="Tahoma"/>
          <w:color w:val="000000"/>
          <w:sz w:val="20"/>
        </w:rPr>
      </w:pPr>
      <w:r>
        <w:rPr>
          <w:rFonts w:ascii="Verdana" w:hAnsi="Verdana" w:cs="Tahoma"/>
          <w:color w:val="000000"/>
          <w:sz w:val="20"/>
        </w:rPr>
        <w:t>Nome:</w:t>
      </w:r>
    </w:p>
    <w:p w:rsidR="00DE19C8" w:rsidRDefault="00626B63">
      <w:pPr>
        <w:suppressAutoHyphens/>
        <w:spacing w:line="318" w:lineRule="exact"/>
        <w:rPr>
          <w:rFonts w:ascii="Verdana" w:hAnsi="Verdana" w:cs="Tahoma"/>
          <w:color w:val="000000"/>
          <w:sz w:val="20"/>
        </w:rPr>
      </w:pPr>
      <w:r>
        <w:rPr>
          <w:rFonts w:ascii="Verdana" w:hAnsi="Verdana" w:cs="Tahoma"/>
          <w:color w:val="000000"/>
          <w:sz w:val="20"/>
        </w:rPr>
        <w:t>Cargo:</w:t>
      </w:r>
    </w:p>
    <w:p w:rsidR="00DE19C8" w:rsidRDefault="00DE19C8">
      <w:pPr>
        <w:suppressAutoHyphens/>
        <w:spacing w:line="318" w:lineRule="exact"/>
        <w:rPr>
          <w:rFonts w:ascii="Verdana" w:hAnsi="Verdana" w:cs="Tahoma"/>
          <w:i/>
          <w:color w:val="000000"/>
          <w:sz w:val="20"/>
        </w:rPr>
      </w:pPr>
    </w:p>
    <w:p w:rsidR="00DE19C8" w:rsidRDefault="00626B63">
      <w:pPr>
        <w:jc w:val="left"/>
        <w:rPr>
          <w:rFonts w:ascii="Verdana" w:hAnsi="Verdana"/>
          <w:sz w:val="20"/>
        </w:rPr>
      </w:pPr>
      <w:r>
        <w:rPr>
          <w:rFonts w:ascii="Verdana" w:hAnsi="Verdana"/>
          <w:sz w:val="20"/>
        </w:rPr>
        <w:br w:type="page"/>
      </w:r>
    </w:p>
    <w:p w:rsidR="00DE19C8" w:rsidRDefault="00626B63">
      <w:pPr>
        <w:suppressAutoHyphens/>
        <w:spacing w:line="318" w:lineRule="exact"/>
        <w:rPr>
          <w:rFonts w:ascii="Verdana" w:hAnsi="Verdana" w:cs="Tahoma"/>
          <w:i/>
          <w:sz w:val="20"/>
        </w:rPr>
      </w:pPr>
      <w:r>
        <w:rPr>
          <w:rFonts w:ascii="Verdana" w:hAnsi="Verdana" w:cs="Tahoma"/>
          <w:i/>
          <w:color w:val="000000"/>
          <w:sz w:val="20"/>
        </w:rPr>
        <w:lastRenderedPageBreak/>
        <w:t xml:space="preserve">Página de assinaturas 3/3 do Primeiro Aditamento ao </w:t>
      </w:r>
      <w:r>
        <w:rPr>
          <w:rFonts w:ascii="Verdana" w:hAnsi="Verdana"/>
          <w:i/>
          <w:sz w:val="20"/>
        </w:rPr>
        <w:t>Instrumento Particular</w:t>
      </w:r>
      <w:r>
        <w:rPr>
          <w:rFonts w:ascii="Verdana" w:hAnsi="Verdana"/>
          <w:i/>
          <w:sz w:val="20"/>
        </w:rPr>
        <w:t xml:space="preserve"> de Escritura da 6ª (Sexta) Emissão de Debêntures Simples, Não Conversíveis em Ações, da Espécie Quirografária, em Até Duas Séries, para Distribuição Pública, com Esforços Restritos de Distribuição, da Minerva S.A., celebrado em [</w:t>
      </w:r>
      <w:r>
        <w:rPr>
          <w:rFonts w:ascii="Verdana" w:hAnsi="Verdana"/>
          <w:i/>
          <w:sz w:val="20"/>
          <w:highlight w:val="lightGray"/>
        </w:rPr>
        <w:t>•</w:t>
      </w:r>
      <w:r>
        <w:rPr>
          <w:rFonts w:ascii="Verdana" w:hAnsi="Verdana"/>
          <w:i/>
          <w:sz w:val="20"/>
        </w:rPr>
        <w:t>]</w:t>
      </w:r>
      <w:r>
        <w:rPr>
          <w:rFonts w:ascii="Verdana" w:hAnsi="Verdana" w:cs="Tahoma"/>
          <w:i/>
          <w:color w:val="000000"/>
          <w:sz w:val="20"/>
        </w:rPr>
        <w:t>.</w:t>
      </w:r>
    </w:p>
    <w:p w:rsidR="00DE19C8" w:rsidRDefault="00DE19C8">
      <w:pPr>
        <w:suppressAutoHyphens/>
        <w:spacing w:line="318" w:lineRule="exact"/>
        <w:rPr>
          <w:rFonts w:ascii="Verdana" w:hAnsi="Verdana" w:cs="Tahoma"/>
          <w:b/>
          <w:sz w:val="20"/>
        </w:rPr>
      </w:pPr>
    </w:p>
    <w:p w:rsidR="00DE19C8" w:rsidRDefault="00DE19C8">
      <w:pPr>
        <w:suppressAutoHyphens/>
        <w:spacing w:line="318" w:lineRule="exact"/>
        <w:rPr>
          <w:rFonts w:ascii="Verdana" w:hAnsi="Verdana" w:cs="Tahoma"/>
          <w:b/>
          <w:sz w:val="20"/>
        </w:rPr>
      </w:pPr>
    </w:p>
    <w:p w:rsidR="00DE19C8" w:rsidRDefault="00DE19C8">
      <w:pPr>
        <w:suppressAutoHyphens/>
        <w:spacing w:line="318" w:lineRule="exact"/>
        <w:rPr>
          <w:rFonts w:ascii="Verdana" w:hAnsi="Verdana" w:cs="Tahoma"/>
          <w:b/>
          <w:sz w:val="20"/>
        </w:rPr>
      </w:pPr>
    </w:p>
    <w:p w:rsidR="00DE19C8" w:rsidRDefault="00626B63">
      <w:pPr>
        <w:suppressAutoHyphens/>
        <w:spacing w:line="318" w:lineRule="exact"/>
        <w:rPr>
          <w:rFonts w:ascii="Verdana" w:hAnsi="Verdana" w:cs="Tahoma"/>
          <w:sz w:val="20"/>
        </w:rPr>
      </w:pPr>
      <w:r>
        <w:rPr>
          <w:rFonts w:ascii="Verdana" w:hAnsi="Verdana" w:cs="Tahoma"/>
          <w:b/>
          <w:sz w:val="20"/>
        </w:rPr>
        <w:t>Testemunhas</w:t>
      </w:r>
      <w:r>
        <w:rPr>
          <w:rFonts w:ascii="Verdana" w:hAnsi="Verdana" w:cs="Tahoma"/>
          <w:sz w:val="20"/>
        </w:rPr>
        <w:t>:</w:t>
      </w:r>
    </w:p>
    <w:p w:rsidR="00DE19C8" w:rsidRDefault="00DE19C8">
      <w:pPr>
        <w:suppressAutoHyphens/>
        <w:spacing w:line="318" w:lineRule="exact"/>
        <w:rPr>
          <w:rFonts w:ascii="Verdana" w:hAnsi="Verdana" w:cs="Tahoma"/>
          <w:sz w:val="20"/>
        </w:rPr>
      </w:pPr>
    </w:p>
    <w:p w:rsidR="00DE19C8" w:rsidRDefault="00DE19C8">
      <w:pPr>
        <w:suppressAutoHyphens/>
        <w:spacing w:line="318" w:lineRule="exact"/>
        <w:rPr>
          <w:rFonts w:ascii="Verdana" w:hAnsi="Verdana" w:cs="Tahoma"/>
          <w:sz w:val="20"/>
        </w:rPr>
      </w:pPr>
    </w:p>
    <w:p w:rsidR="00DE19C8" w:rsidRDefault="00DE19C8">
      <w:pPr>
        <w:suppressAutoHyphens/>
        <w:spacing w:line="318" w:lineRule="exact"/>
        <w:rPr>
          <w:rFonts w:ascii="Verdana" w:hAnsi="Verdana" w:cs="Tahoma"/>
          <w:sz w:val="20"/>
        </w:rPr>
      </w:pPr>
    </w:p>
    <w:p w:rsidR="00DE19C8" w:rsidRDefault="00626B63">
      <w:pPr>
        <w:suppressAutoHyphens/>
        <w:spacing w:line="318" w:lineRule="exact"/>
        <w:rPr>
          <w:rFonts w:ascii="Verdana" w:hAnsi="Verdana" w:cs="Tahoma"/>
          <w:sz w:val="20"/>
        </w:rPr>
      </w:pPr>
      <w:r>
        <w:rPr>
          <w:rFonts w:ascii="Verdana" w:hAnsi="Verdana" w:cs="Tahoma"/>
          <w:sz w:val="20"/>
        </w:rPr>
        <w:t>___________________________</w:t>
      </w:r>
      <w:r>
        <w:rPr>
          <w:rFonts w:ascii="Verdana" w:hAnsi="Verdana" w:cs="Tahoma"/>
          <w:sz w:val="20"/>
        </w:rPr>
        <w:tab/>
      </w:r>
      <w:r>
        <w:rPr>
          <w:rFonts w:ascii="Verdana" w:hAnsi="Verdana" w:cs="Tahoma"/>
          <w:sz w:val="20"/>
        </w:rPr>
        <w:tab/>
      </w:r>
      <w:r>
        <w:rPr>
          <w:rFonts w:ascii="Verdana" w:hAnsi="Verdana" w:cs="Tahoma"/>
          <w:sz w:val="20"/>
        </w:rPr>
        <w:tab/>
        <w:t>______________________________</w:t>
      </w:r>
    </w:p>
    <w:p w:rsidR="00DE19C8" w:rsidRDefault="00626B63">
      <w:pPr>
        <w:suppressAutoHyphens/>
        <w:spacing w:line="318" w:lineRule="exact"/>
        <w:rPr>
          <w:rFonts w:ascii="Verdana" w:hAnsi="Verdana" w:cs="Tahoma"/>
          <w:sz w:val="20"/>
        </w:rPr>
      </w:pPr>
      <w:r>
        <w:rPr>
          <w:rFonts w:ascii="Verdana" w:hAnsi="Verdana" w:cs="Tahoma"/>
          <w:sz w:val="20"/>
        </w:rPr>
        <w:t>Nome:</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Nome:</w:t>
      </w:r>
    </w:p>
    <w:p w:rsidR="00DE19C8" w:rsidRDefault="00626B63">
      <w:pPr>
        <w:suppressAutoHyphens/>
        <w:spacing w:line="318" w:lineRule="exact"/>
        <w:rPr>
          <w:rFonts w:ascii="Verdana" w:hAnsi="Verdana" w:cs="Tahoma"/>
          <w:sz w:val="20"/>
        </w:rPr>
      </w:pPr>
      <w:r>
        <w:rPr>
          <w:rFonts w:ascii="Verdana" w:hAnsi="Verdana" w:cs="Tahoma"/>
          <w:sz w:val="20"/>
        </w:rPr>
        <w:t>RG:</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RG:</w:t>
      </w:r>
    </w:p>
    <w:p w:rsidR="00DE19C8" w:rsidRDefault="00626B63">
      <w:pPr>
        <w:suppressAutoHyphens/>
        <w:spacing w:line="318" w:lineRule="exact"/>
        <w:rPr>
          <w:rFonts w:ascii="Verdana" w:hAnsi="Verdana" w:cs="Tahoma"/>
          <w:sz w:val="20"/>
        </w:rPr>
      </w:pPr>
      <w:r>
        <w:rPr>
          <w:rFonts w:ascii="Verdana" w:hAnsi="Verdana" w:cs="Tahoma"/>
          <w:sz w:val="20"/>
        </w:rPr>
        <w:t>CPF:</w:t>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r>
      <w:r>
        <w:rPr>
          <w:rFonts w:ascii="Verdana" w:hAnsi="Verdana" w:cs="Tahoma"/>
          <w:sz w:val="20"/>
        </w:rPr>
        <w:tab/>
        <w:t>CPF:</w:t>
      </w:r>
    </w:p>
    <w:p w:rsidR="00DE19C8" w:rsidRDefault="00DE19C8">
      <w:pPr>
        <w:spacing w:line="318" w:lineRule="exact"/>
        <w:contextualSpacing/>
        <w:rPr>
          <w:rFonts w:ascii="Verdana" w:hAnsi="Verdana"/>
          <w:sz w:val="20"/>
        </w:rPr>
      </w:pPr>
    </w:p>
    <w:sectPr w:rsidR="00DE19C8">
      <w:pgSz w:w="12242" w:h="15842" w:code="1"/>
      <w:pgMar w:top="1701" w:right="1418" w:bottom="1701" w:left="1418" w:header="567" w:footer="851" w:gutter="0"/>
      <w:paperSrc w:first="7" w:other="7"/>
      <w:pgNumType w:chapStyle="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9C8" w:rsidRDefault="00626B63">
      <w:r>
        <w:separator/>
      </w:r>
    </w:p>
  </w:endnote>
  <w:endnote w:type="continuationSeparator" w:id="0">
    <w:p w:rsidR="00DE19C8" w:rsidRDefault="00626B63">
      <w:r>
        <w:continuationSeparator/>
      </w:r>
    </w:p>
  </w:endnote>
  <w:endnote w:type="continuationNotice" w:id="1">
    <w:p w:rsidR="00DE19C8" w:rsidRDefault="00DE19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Negrito">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lbany">
    <w:altName w:val="Arial"/>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Swiss">
    <w:altName w:val="Times New Roman"/>
    <w:panose1 w:val="00000000000000000000"/>
    <w:charset w:val="00"/>
    <w:family w:val="auto"/>
    <w:notTrueType/>
    <w:pitch w:val="default"/>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9C8" w:rsidRDefault="00626B63">
    <w:pPr>
      <w:pStyle w:val="Rodap"/>
      <w:framePr w:wrap="around" w:vAnchor="text" w:hAnchor="margin" w:xAlign="right" w:y="1"/>
      <w:rPr>
        <w:rStyle w:val="Nmerodepgina"/>
        <w:color w:val="FFFFFF" w:themeColor="background1"/>
      </w:rPr>
    </w:pPr>
    <w:r>
      <w:rPr>
        <w:rStyle w:val="Nmerodepgina"/>
        <w:color w:val="FFFFFF" w:themeColor="background1"/>
      </w:rPr>
      <w:fldChar w:fldCharType="begin"/>
    </w:r>
    <w:r>
      <w:rPr>
        <w:rStyle w:val="Nmerodepgina"/>
        <w:color w:val="FFFFFF" w:themeColor="background1"/>
      </w:rPr>
      <w:instrText xml:space="preserve">PAGE  </w:instrText>
    </w:r>
    <w:r>
      <w:rPr>
        <w:rStyle w:val="Nmerodepgina"/>
        <w:color w:val="FFFFFF" w:themeColor="background1"/>
      </w:rPr>
      <w:fldChar w:fldCharType="separate"/>
    </w:r>
    <w:r>
      <w:rPr>
        <w:rStyle w:val="Nmerodepgina"/>
        <w:noProof/>
        <w:color w:val="FFFFFF" w:themeColor="background1"/>
      </w:rPr>
      <w:t>26</w:t>
    </w:r>
    <w:r>
      <w:rPr>
        <w:rStyle w:val="Nmerodepgina"/>
        <w:color w:val="FFFFFF" w:themeColor="background1"/>
      </w:rPr>
      <w:fldChar w:fldCharType="end"/>
    </w:r>
  </w:p>
  <w:p w:rsidR="00DE19C8" w:rsidRDefault="00DE19C8">
    <w:pPr>
      <w:pStyle w:val="Rodap"/>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9C8" w:rsidRDefault="00626B63">
    <w:pPr>
      <w:pStyle w:val="Rodap"/>
      <w:ind w:right="360"/>
      <w:rPr>
        <w:rFonts w:ascii="Times New Roman" w:hAnsi="Times New Roman"/>
        <w:color w:val="FFFFFF" w:themeColor="background1"/>
        <w:sz w:val="16"/>
      </w:rPr>
    </w:pPr>
    <w:r>
      <w:rPr>
        <w:rFonts w:ascii="Times New Roman" w:hAnsi="Times New Roman"/>
        <w:color w:val="FFFFFF" w:themeColor="background1"/>
        <w:sz w:val="16"/>
      </w:rPr>
      <w:fldChar w:fldCharType="begin"/>
    </w:r>
    <w:r>
      <w:rPr>
        <w:rFonts w:ascii="Times New Roman" w:hAnsi="Times New Roman"/>
        <w:color w:val="FFFFFF" w:themeColor="background1"/>
        <w:sz w:val="16"/>
      </w:rPr>
      <w:instrText xml:space="preserve"> DOCPROPERTY iManageFooter \* MERGEFORMAT </w:instrText>
    </w:r>
    <w:r>
      <w:rPr>
        <w:rFonts w:ascii="Times New Roman" w:hAnsi="Times New Roman"/>
        <w:color w:val="FFFFFF" w:themeColor="background1"/>
        <w:sz w:val="16"/>
      </w:rPr>
      <w:fldChar w:fldCharType="separate"/>
    </w:r>
    <w:r>
      <w:rPr>
        <w:rFonts w:ascii="Times New Roman" w:hAnsi="Times New Roman"/>
        <w:color w:val="FFFFFF" w:themeColor="background1"/>
        <w:sz w:val="16"/>
      </w:rPr>
      <w:t>JUR_SP - 33052360v15 - 4555005.441131</w:t>
    </w:r>
    <w:r>
      <w:rPr>
        <w:rFonts w:ascii="Times New Roman" w:hAnsi="Times New Roman"/>
        <w:color w:val="FFFFFF" w:themeColor="background1"/>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9C8" w:rsidRDefault="00626B63">
    <w:pPr>
      <w:pStyle w:val="Rodap"/>
      <w:rPr>
        <w:color w:val="FFFFFF" w:themeColor="background1"/>
      </w:rPr>
    </w:pPr>
    <w:r>
      <w:rPr>
        <w:color w:val="FFFFFF" w:themeColor="background1"/>
      </w:rPr>
      <w:fldChar w:fldCharType="begin"/>
    </w:r>
    <w:r>
      <w:rPr>
        <w:color w:val="FFFFFF" w:themeColor="background1"/>
      </w:rPr>
      <w:instrText xml:space="preserve"> DOCPROPERTY iManageFooter \* MERGEFORMAT </w:instrText>
    </w:r>
    <w:r>
      <w:rPr>
        <w:color w:val="FFFFFF" w:themeColor="background1"/>
      </w:rPr>
      <w:fldChar w:fldCharType="separate"/>
    </w:r>
    <w:r>
      <w:rPr>
        <w:color w:val="FFFFFF" w:themeColor="background1"/>
      </w:rPr>
      <w:t>JUR_SP - 33052360v14 - 4555005.441131</w:t>
    </w:r>
    <w:r>
      <w:rPr>
        <w:color w:val="FFFFFF" w:themeColor="background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9C8" w:rsidRDefault="00626B63">
    <w:pPr>
      <w:pStyle w:val="Rodap"/>
      <w:ind w:right="360"/>
      <w:rPr>
        <w:rFonts w:ascii="Times New Roman" w:hAnsi="Times New Roman"/>
        <w:color w:val="FFFFFF" w:themeColor="background1"/>
        <w:sz w:val="16"/>
      </w:rPr>
    </w:pPr>
    <w:r>
      <w:rPr>
        <w:rFonts w:ascii="Times New Roman" w:hAnsi="Times New Roman"/>
        <w:color w:val="FFFFFF" w:themeColor="background1"/>
        <w:sz w:val="16"/>
      </w:rPr>
      <w:fldChar w:fldCharType="begin"/>
    </w:r>
    <w:r>
      <w:rPr>
        <w:rFonts w:ascii="Times New Roman" w:hAnsi="Times New Roman"/>
        <w:color w:val="FFFFFF" w:themeColor="background1"/>
        <w:sz w:val="16"/>
      </w:rPr>
      <w:instrText xml:space="preserve"> DOCPROPERTY iManageFooter \* MERGEFORMAT </w:instrText>
    </w:r>
    <w:r>
      <w:rPr>
        <w:rFonts w:ascii="Times New Roman" w:hAnsi="Times New Roman"/>
        <w:color w:val="FFFFFF" w:themeColor="background1"/>
        <w:sz w:val="16"/>
      </w:rPr>
      <w:fldChar w:fldCharType="separate"/>
    </w:r>
    <w:r>
      <w:rPr>
        <w:rFonts w:ascii="Times New Roman" w:hAnsi="Times New Roman"/>
        <w:color w:val="FFFFFF" w:themeColor="background1"/>
        <w:sz w:val="16"/>
      </w:rPr>
      <w:t>JUR_SP - 33052360v11 - 4555005.441131</w:t>
    </w:r>
    <w:r>
      <w:rPr>
        <w:rFonts w:ascii="Times New Roman" w:hAnsi="Times New Roman"/>
        <w:color w:val="FFFFFF" w:themeColor="background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9C8" w:rsidRDefault="00626B63">
      <w:r>
        <w:separator/>
      </w:r>
    </w:p>
  </w:footnote>
  <w:footnote w:type="continuationSeparator" w:id="0">
    <w:p w:rsidR="00DE19C8" w:rsidRDefault="00626B63">
      <w:r>
        <w:continuationSeparator/>
      </w:r>
    </w:p>
  </w:footnote>
  <w:footnote w:type="continuationNotice" w:id="1">
    <w:p w:rsidR="00DE19C8" w:rsidRDefault="00DE19C8"/>
  </w:footnote>
  <w:footnote w:id="2">
    <w:p w:rsidR="00DE19C8" w:rsidRDefault="00626B63">
      <w:pPr>
        <w:pStyle w:val="Textodenotaderodap"/>
        <w:rPr>
          <w:rFonts w:ascii="Garamond" w:hAnsi="Garamond"/>
        </w:rPr>
      </w:pPr>
      <w:r>
        <w:rPr>
          <w:rStyle w:val="Refdenotaderodap"/>
          <w:rFonts w:ascii="Garamond" w:hAnsi="Garamond"/>
        </w:rPr>
        <w:footnoteRef/>
      </w:r>
      <w:r>
        <w:rPr>
          <w:rFonts w:ascii="Garamond" w:hAnsi="Garamond"/>
        </w:rPr>
        <w:t xml:space="preserve"> Cláusula a ser incluída em caso de definição pelo cancelamento das debêntures da primeira série ou debêntures da segunda série, no âmbito do Procedimento de </w:t>
      </w:r>
      <w:r>
        <w:rPr>
          <w:rFonts w:ascii="Garamond" w:hAnsi="Garamond"/>
          <w:i/>
        </w:rPr>
        <w:t>Bookbuilding</w:t>
      </w:r>
      <w:r>
        <w:rPr>
          <w:rFonts w:ascii="Garamond" w:hAnsi="Garamond"/>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9C8" w:rsidRDefault="00DE19C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9C8" w:rsidRDefault="00DE19C8">
    <w:pPr>
      <w:pStyle w:val="Cabealho"/>
      <w:tabs>
        <w:tab w:val="left" w:pos="8222"/>
      </w:tabs>
      <w:jc w:val="right"/>
    </w:pPr>
  </w:p>
  <w:p w:rsidR="00DE19C8" w:rsidRDefault="00DE19C8">
    <w:pPr>
      <w:pStyle w:val="Cabealho"/>
      <w:jc w:val="right"/>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9C8" w:rsidRDefault="00626B63">
    <w:pPr>
      <w:pStyle w:val="Cabealho"/>
      <w:ind w:left="8508"/>
      <w:rPr>
        <w:rFonts w:ascii="Verdana" w:hAnsi="Verdana"/>
        <w:b/>
        <w:i/>
        <w:sz w:val="20"/>
        <w:szCs w:val="24"/>
      </w:rPr>
    </w:pPr>
    <w:r>
      <w:rPr>
        <w:rFonts w:ascii="Verdana" w:hAnsi="Verdana"/>
        <w:b/>
        <w:i/>
        <w:sz w:val="20"/>
        <w:szCs w:val="24"/>
      </w:rPr>
      <w:t xml:space="preserve">Versão </w:t>
    </w:r>
    <w:proofErr w:type="spellStart"/>
    <w:r>
      <w:rPr>
        <w:rFonts w:ascii="Verdana" w:hAnsi="Verdana"/>
        <w:b/>
        <w:i/>
        <w:sz w:val="20"/>
        <w:szCs w:val="24"/>
      </w:rPr>
      <w:t>Sign</w:t>
    </w:r>
    <w:proofErr w:type="spellEnd"/>
    <w:r>
      <w:rPr>
        <w:rFonts w:ascii="Verdana" w:hAnsi="Verdana"/>
        <w:b/>
        <w:i/>
        <w:sz w:val="20"/>
        <w:szCs w:val="24"/>
      </w:rPr>
      <w:t xml:space="preserve"> Off</w:t>
    </w:r>
  </w:p>
  <w:p w:rsidR="00DE19C8" w:rsidRDefault="00DE19C8">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50"/>
    <w:multiLevelType w:val="hybridMultilevel"/>
    <w:tmpl w:val="9A785BF2"/>
    <w:lvl w:ilvl="0" w:tplc="FFFFFFFF">
      <w:start w:val="1"/>
      <w:numFmt w:val="lowerLetter"/>
      <w:lvlText w:val="%1)"/>
      <w:lvlJc w:val="left"/>
      <w:pPr>
        <w:tabs>
          <w:tab w:val="num" w:pos="1068"/>
        </w:tabs>
        <w:ind w:left="1068" w:hanging="360"/>
      </w:pPr>
      <w:rPr>
        <w:rFonts w:hint="default"/>
        <w:spacing w:val="0"/>
      </w:rPr>
    </w:lvl>
    <w:lvl w:ilvl="1" w:tplc="FFFFFFFF">
      <w:start w:val="1"/>
      <w:numFmt w:val="lowerLetter"/>
      <w:lvlText w:val="%2."/>
      <w:lvlJc w:val="left"/>
      <w:pPr>
        <w:tabs>
          <w:tab w:val="num" w:pos="1788"/>
        </w:tabs>
        <w:ind w:left="1788" w:hanging="360"/>
      </w:pPr>
      <w:rPr>
        <w:spacing w:val="0"/>
      </w:rPr>
    </w:lvl>
    <w:lvl w:ilvl="2" w:tplc="FFFFFFFF">
      <w:start w:val="1"/>
      <w:numFmt w:val="lowerRoman"/>
      <w:lvlText w:val="%3."/>
      <w:lvlJc w:val="right"/>
      <w:pPr>
        <w:tabs>
          <w:tab w:val="num" w:pos="2508"/>
        </w:tabs>
        <w:ind w:left="2508" w:hanging="180"/>
      </w:pPr>
      <w:rPr>
        <w:spacing w:val="0"/>
      </w:rPr>
    </w:lvl>
    <w:lvl w:ilvl="3" w:tplc="FFFFFFFF">
      <w:start w:val="1"/>
      <w:numFmt w:val="decimal"/>
      <w:lvlText w:val="%4."/>
      <w:lvlJc w:val="left"/>
      <w:pPr>
        <w:tabs>
          <w:tab w:val="num" w:pos="3228"/>
        </w:tabs>
        <w:ind w:left="3228" w:hanging="360"/>
      </w:pPr>
      <w:rPr>
        <w:spacing w:val="0"/>
      </w:rPr>
    </w:lvl>
    <w:lvl w:ilvl="4" w:tplc="FFFFFFFF">
      <w:start w:val="1"/>
      <w:numFmt w:val="lowerLetter"/>
      <w:lvlText w:val="%5."/>
      <w:lvlJc w:val="left"/>
      <w:pPr>
        <w:tabs>
          <w:tab w:val="num" w:pos="3948"/>
        </w:tabs>
        <w:ind w:left="3948" w:hanging="360"/>
      </w:pPr>
      <w:rPr>
        <w:spacing w:val="0"/>
      </w:rPr>
    </w:lvl>
    <w:lvl w:ilvl="5" w:tplc="FFFFFFFF">
      <w:start w:val="1"/>
      <w:numFmt w:val="lowerRoman"/>
      <w:lvlText w:val="%6."/>
      <w:lvlJc w:val="right"/>
      <w:pPr>
        <w:tabs>
          <w:tab w:val="num" w:pos="4668"/>
        </w:tabs>
        <w:ind w:left="4668" w:hanging="180"/>
      </w:pPr>
      <w:rPr>
        <w:spacing w:val="0"/>
      </w:rPr>
    </w:lvl>
    <w:lvl w:ilvl="6" w:tplc="FFFFFFFF">
      <w:start w:val="1"/>
      <w:numFmt w:val="decimal"/>
      <w:lvlText w:val="%7."/>
      <w:lvlJc w:val="left"/>
      <w:pPr>
        <w:tabs>
          <w:tab w:val="num" w:pos="5388"/>
        </w:tabs>
        <w:ind w:left="5388" w:hanging="360"/>
      </w:pPr>
      <w:rPr>
        <w:spacing w:val="0"/>
      </w:rPr>
    </w:lvl>
    <w:lvl w:ilvl="7" w:tplc="FFFFFFFF">
      <w:start w:val="1"/>
      <w:numFmt w:val="lowerLetter"/>
      <w:lvlText w:val="%8."/>
      <w:lvlJc w:val="left"/>
      <w:pPr>
        <w:tabs>
          <w:tab w:val="num" w:pos="6108"/>
        </w:tabs>
        <w:ind w:left="6108" w:hanging="360"/>
      </w:pPr>
      <w:rPr>
        <w:spacing w:val="0"/>
      </w:rPr>
    </w:lvl>
    <w:lvl w:ilvl="8" w:tplc="FFFFFFFF">
      <w:start w:val="1"/>
      <w:numFmt w:val="lowerRoman"/>
      <w:lvlText w:val="%9."/>
      <w:lvlJc w:val="right"/>
      <w:pPr>
        <w:tabs>
          <w:tab w:val="num" w:pos="6828"/>
        </w:tabs>
        <w:ind w:left="6828" w:hanging="180"/>
      </w:pPr>
      <w:rPr>
        <w:spacing w:val="0"/>
      </w:rPr>
    </w:lvl>
  </w:abstractNum>
  <w:abstractNum w:abstractNumId="2" w15:restartNumberingAfterBreak="0">
    <w:nsid w:val="0185749F"/>
    <w:multiLevelType w:val="hybridMultilevel"/>
    <w:tmpl w:val="E6805920"/>
    <w:lvl w:ilvl="0" w:tplc="5A840652">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426477F"/>
    <w:multiLevelType w:val="multilevel"/>
    <w:tmpl w:val="27FC524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931F3B"/>
    <w:multiLevelType w:val="multilevel"/>
    <w:tmpl w:val="0FD49B62"/>
    <w:numStyleLink w:val="Teo"/>
  </w:abstractNum>
  <w:abstractNum w:abstractNumId="5" w15:restartNumberingAfterBreak="0">
    <w:nsid w:val="086C4C61"/>
    <w:multiLevelType w:val="multilevel"/>
    <w:tmpl w:val="E0328C2E"/>
    <w:lvl w:ilvl="0">
      <w:start w:val="4"/>
      <w:numFmt w:val="decimal"/>
      <w:lvlText w:val="%1"/>
      <w:lvlJc w:val="left"/>
      <w:pPr>
        <w:ind w:left="660" w:hanging="660"/>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636858"/>
    <w:multiLevelType w:val="hybridMultilevel"/>
    <w:tmpl w:val="D0721D4C"/>
    <w:lvl w:ilvl="0" w:tplc="D0AA7FF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D05397A"/>
    <w:multiLevelType w:val="hybridMultilevel"/>
    <w:tmpl w:val="562A0FAC"/>
    <w:lvl w:ilvl="0" w:tplc="B7385A12">
      <w:start w:val="1"/>
      <w:numFmt w:val="lowerLetter"/>
      <w:lvlText w:val="(%1)"/>
      <w:lvlJc w:val="left"/>
      <w:pPr>
        <w:tabs>
          <w:tab w:val="num" w:pos="1658"/>
        </w:tabs>
        <w:ind w:left="1658" w:hanging="360"/>
      </w:pPr>
      <w:rPr>
        <w:rFonts w:cs="Times New Roman" w:hint="default"/>
        <w:b w:val="0"/>
      </w:rPr>
    </w:lvl>
    <w:lvl w:ilvl="1" w:tplc="04160019">
      <w:start w:val="1"/>
      <w:numFmt w:val="lowerLetter"/>
      <w:lvlText w:val="%2."/>
      <w:lvlJc w:val="left"/>
      <w:pPr>
        <w:tabs>
          <w:tab w:val="num" w:pos="2825"/>
        </w:tabs>
        <w:ind w:left="2825" w:hanging="360"/>
      </w:pPr>
      <w:rPr>
        <w:rFonts w:cs="Times New Roman"/>
      </w:rPr>
    </w:lvl>
    <w:lvl w:ilvl="2" w:tplc="0416001B">
      <w:start w:val="1"/>
      <w:numFmt w:val="lowerRoman"/>
      <w:lvlText w:val="%3."/>
      <w:lvlJc w:val="right"/>
      <w:pPr>
        <w:tabs>
          <w:tab w:val="num" w:pos="3545"/>
        </w:tabs>
        <w:ind w:left="3545" w:hanging="180"/>
      </w:pPr>
      <w:rPr>
        <w:rFonts w:cs="Times New Roman"/>
      </w:rPr>
    </w:lvl>
    <w:lvl w:ilvl="3" w:tplc="0416000F">
      <w:start w:val="1"/>
      <w:numFmt w:val="decimal"/>
      <w:lvlText w:val="%4."/>
      <w:lvlJc w:val="left"/>
      <w:pPr>
        <w:tabs>
          <w:tab w:val="num" w:pos="4265"/>
        </w:tabs>
        <w:ind w:left="4265" w:hanging="360"/>
      </w:pPr>
      <w:rPr>
        <w:rFonts w:cs="Times New Roman"/>
      </w:rPr>
    </w:lvl>
    <w:lvl w:ilvl="4" w:tplc="04160019">
      <w:start w:val="1"/>
      <w:numFmt w:val="lowerLetter"/>
      <w:lvlText w:val="%5."/>
      <w:lvlJc w:val="left"/>
      <w:pPr>
        <w:tabs>
          <w:tab w:val="num" w:pos="4985"/>
        </w:tabs>
        <w:ind w:left="4985" w:hanging="360"/>
      </w:pPr>
      <w:rPr>
        <w:rFonts w:cs="Times New Roman"/>
      </w:rPr>
    </w:lvl>
    <w:lvl w:ilvl="5" w:tplc="0416001B">
      <w:start w:val="1"/>
      <w:numFmt w:val="lowerRoman"/>
      <w:lvlText w:val="%6."/>
      <w:lvlJc w:val="right"/>
      <w:pPr>
        <w:tabs>
          <w:tab w:val="num" w:pos="5705"/>
        </w:tabs>
        <w:ind w:left="5705" w:hanging="180"/>
      </w:pPr>
      <w:rPr>
        <w:rFonts w:cs="Times New Roman"/>
      </w:rPr>
    </w:lvl>
    <w:lvl w:ilvl="6" w:tplc="0416000F">
      <w:start w:val="1"/>
      <w:numFmt w:val="decimal"/>
      <w:lvlText w:val="%7."/>
      <w:lvlJc w:val="left"/>
      <w:pPr>
        <w:tabs>
          <w:tab w:val="num" w:pos="6425"/>
        </w:tabs>
        <w:ind w:left="6425" w:hanging="360"/>
      </w:pPr>
      <w:rPr>
        <w:rFonts w:cs="Times New Roman"/>
      </w:rPr>
    </w:lvl>
    <w:lvl w:ilvl="7" w:tplc="04160019">
      <w:start w:val="1"/>
      <w:numFmt w:val="lowerLetter"/>
      <w:lvlText w:val="%8."/>
      <w:lvlJc w:val="left"/>
      <w:pPr>
        <w:tabs>
          <w:tab w:val="num" w:pos="7145"/>
        </w:tabs>
        <w:ind w:left="7145" w:hanging="360"/>
      </w:pPr>
      <w:rPr>
        <w:rFonts w:cs="Times New Roman"/>
      </w:rPr>
    </w:lvl>
    <w:lvl w:ilvl="8" w:tplc="0416001B">
      <w:start w:val="1"/>
      <w:numFmt w:val="lowerRoman"/>
      <w:lvlText w:val="%9."/>
      <w:lvlJc w:val="right"/>
      <w:pPr>
        <w:tabs>
          <w:tab w:val="num" w:pos="7865"/>
        </w:tabs>
        <w:ind w:left="7865" w:hanging="180"/>
      </w:pPr>
      <w:rPr>
        <w:rFonts w:cs="Times New Roman"/>
      </w:rPr>
    </w:lvl>
  </w:abstractNum>
  <w:abstractNum w:abstractNumId="8" w15:restartNumberingAfterBreak="0">
    <w:nsid w:val="0E586C8E"/>
    <w:multiLevelType w:val="hybridMultilevel"/>
    <w:tmpl w:val="1F44BAD4"/>
    <w:lvl w:ilvl="0" w:tplc="113EF6C8">
      <w:start w:val="1"/>
      <w:numFmt w:val="decimal"/>
      <w:lvlText w:val="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F1D02CC"/>
    <w:multiLevelType w:val="hybridMultilevel"/>
    <w:tmpl w:val="D396BFA0"/>
    <w:lvl w:ilvl="0" w:tplc="7F4AD384">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11550B6E"/>
    <w:multiLevelType w:val="multilevel"/>
    <w:tmpl w:val="39143812"/>
    <w:lvl w:ilvl="0">
      <w:start w:val="3"/>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1807FFB"/>
    <w:multiLevelType w:val="hybridMultilevel"/>
    <w:tmpl w:val="204A2AB6"/>
    <w:lvl w:ilvl="0" w:tplc="622ED88C">
      <w:start w:val="1"/>
      <w:numFmt w:val="lowerLetter"/>
      <w:lvlText w:val="(%1)"/>
      <w:lvlJc w:val="left"/>
      <w:pPr>
        <w:tabs>
          <w:tab w:val="num" w:pos="709"/>
        </w:tabs>
        <w:ind w:left="992" w:hanging="283"/>
      </w:pPr>
      <w:rPr>
        <w:rFonts w:hint="default"/>
      </w:r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2" w15:restartNumberingAfterBreak="0">
    <w:nsid w:val="123B0E3B"/>
    <w:multiLevelType w:val="hybridMultilevel"/>
    <w:tmpl w:val="1E5E8046"/>
    <w:lvl w:ilvl="0" w:tplc="5A840652">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140955BF"/>
    <w:multiLevelType w:val="multilevel"/>
    <w:tmpl w:val="AA5ABDBC"/>
    <w:lvl w:ilvl="0">
      <w:start w:val="4"/>
      <w:numFmt w:val="decimal"/>
      <w:lvlText w:val="%1."/>
      <w:lvlJc w:val="left"/>
      <w:pPr>
        <w:ind w:left="720" w:hanging="720"/>
      </w:pPr>
      <w:rPr>
        <w:rFonts w:hint="default"/>
      </w:rPr>
    </w:lvl>
    <w:lvl w:ilvl="1">
      <w:start w:val="9"/>
      <w:numFmt w:val="decimal"/>
      <w:lvlText w:val="%1.%2."/>
      <w:lvlJc w:val="left"/>
      <w:pPr>
        <w:ind w:left="720" w:hanging="720"/>
      </w:pPr>
      <w:rPr>
        <w:rFonts w:hint="default"/>
        <w:sz w:val="24"/>
        <w:szCs w:val="24"/>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5A33F41"/>
    <w:multiLevelType w:val="multilevel"/>
    <w:tmpl w:val="C882B23C"/>
    <w:lvl w:ilvl="0">
      <w:start w:val="4"/>
      <w:numFmt w:val="decimal"/>
      <w:lvlText w:val="%1."/>
      <w:lvlJc w:val="left"/>
      <w:pPr>
        <w:ind w:left="720" w:hanging="72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705486B"/>
    <w:multiLevelType w:val="hybridMultilevel"/>
    <w:tmpl w:val="FB64B3DA"/>
    <w:lvl w:ilvl="0" w:tplc="7F4AD384">
      <w:start w:val="1"/>
      <w:numFmt w:val="lowerLetter"/>
      <w:lvlText w:val="(%1)"/>
      <w:lvlJc w:val="left"/>
      <w:pPr>
        <w:ind w:left="720" w:hanging="360"/>
      </w:pPr>
      <w:rPr>
        <w:rFonts w:hint="default"/>
      </w:rPr>
    </w:lvl>
    <w:lvl w:ilvl="1" w:tplc="7F4AD384">
      <w:start w:val="1"/>
      <w:numFmt w:val="lowerLetter"/>
      <w:lvlText w:val="(%2)"/>
      <w:lvlJc w:val="left"/>
      <w:pPr>
        <w:ind w:left="1440" w:hanging="360"/>
      </w:pPr>
      <w:rPr>
        <w:rFonts w:hint="default"/>
      </w:rPr>
    </w:lvl>
    <w:lvl w:ilvl="2" w:tplc="54049B9C">
      <w:start w:val="2"/>
      <w:numFmt w:val="lowerRoman"/>
      <w:lvlText w:val="(%3)"/>
      <w:lvlJc w:val="left"/>
      <w:pPr>
        <w:ind w:left="2700" w:hanging="72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B066FE8"/>
    <w:multiLevelType w:val="hybridMultilevel"/>
    <w:tmpl w:val="2A0C90A6"/>
    <w:lvl w:ilvl="0" w:tplc="FFFFFFFF">
      <w:start w:val="1"/>
      <w:numFmt w:val="lowerLetter"/>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C8B2672"/>
    <w:multiLevelType w:val="singleLevel"/>
    <w:tmpl w:val="27BEF732"/>
    <w:lvl w:ilvl="0">
      <w:start w:val="1"/>
      <w:numFmt w:val="decimal"/>
      <w:pStyle w:val="MF1"/>
      <w:lvlText w:val="%1."/>
      <w:lvlJc w:val="left"/>
      <w:pPr>
        <w:tabs>
          <w:tab w:val="num" w:pos="360"/>
        </w:tabs>
        <w:ind w:left="360" w:hanging="360"/>
      </w:pPr>
      <w:rPr>
        <w:rFonts w:hint="default"/>
      </w:rPr>
    </w:lvl>
  </w:abstractNum>
  <w:abstractNum w:abstractNumId="18" w15:restartNumberingAfterBreak="0">
    <w:nsid w:val="1CB91BDA"/>
    <w:multiLevelType w:val="hybridMultilevel"/>
    <w:tmpl w:val="F11ECC64"/>
    <w:lvl w:ilvl="0" w:tplc="0AD84BDE">
      <w:start w:val="1"/>
      <w:numFmt w:val="lowerRoman"/>
      <w:lvlText w:val="(%1)"/>
      <w:lvlJc w:val="left"/>
      <w:pPr>
        <w:ind w:left="2070" w:hanging="720"/>
      </w:pPr>
      <w:rPr>
        <w:rFonts w:hint="default"/>
        <w:b w:val="0"/>
      </w:rPr>
    </w:lvl>
    <w:lvl w:ilvl="1" w:tplc="04160019" w:tentative="1">
      <w:start w:val="1"/>
      <w:numFmt w:val="lowerLetter"/>
      <w:lvlText w:val="%2."/>
      <w:lvlJc w:val="left"/>
      <w:pPr>
        <w:ind w:left="2430" w:hanging="360"/>
      </w:pPr>
    </w:lvl>
    <w:lvl w:ilvl="2" w:tplc="0416001B" w:tentative="1">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19" w15:restartNumberingAfterBreak="0">
    <w:nsid w:val="203135DF"/>
    <w:multiLevelType w:val="multilevel"/>
    <w:tmpl w:val="477CE4B2"/>
    <w:lvl w:ilvl="0">
      <w:start w:val="7"/>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Letter"/>
      <w:lvlText w:val="(%3)"/>
      <w:lvlJc w:val="left"/>
      <w:pPr>
        <w:tabs>
          <w:tab w:val="num" w:pos="1701"/>
        </w:tabs>
        <w:ind w:left="1701" w:hanging="992"/>
      </w:pPr>
      <w:rPr>
        <w:rFonts w:hint="default"/>
        <w:b w:val="0"/>
        <w:i w:val="0"/>
        <w:sz w:val="20"/>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225666E4"/>
    <w:multiLevelType w:val="hybridMultilevel"/>
    <w:tmpl w:val="057E15BC"/>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227238F9"/>
    <w:multiLevelType w:val="hybridMultilevel"/>
    <w:tmpl w:val="6F0A56EE"/>
    <w:lvl w:ilvl="0" w:tplc="71AE9406">
      <w:start w:val="1"/>
      <w:numFmt w:val="decimal"/>
      <w:lvlText w:val="4.%1."/>
      <w:lvlJc w:val="left"/>
      <w:pPr>
        <w:tabs>
          <w:tab w:val="num" w:pos="360"/>
        </w:tabs>
        <w:ind w:left="0" w:firstLine="0"/>
      </w:pPr>
      <w:rPr>
        <w:rFonts w:ascii="Times New Roman Negrito" w:hAnsi="Times New Roman Negrito" w:hint="default"/>
        <w:b/>
        <w:i w:val="0"/>
        <w:sz w:val="24"/>
      </w:rPr>
    </w:lvl>
    <w:lvl w:ilvl="1" w:tplc="7FD0B3D6">
      <w:start w:val="1"/>
      <w:numFmt w:val="decimal"/>
      <w:lvlText w:val="4.3.%2"/>
      <w:lvlJc w:val="left"/>
      <w:pPr>
        <w:tabs>
          <w:tab w:val="num" w:pos="0"/>
        </w:tabs>
        <w:ind w:left="0" w:firstLine="0"/>
      </w:pPr>
      <w:rPr>
        <w:rFonts w:ascii="Times New Roman" w:hAnsi="Times New Roman" w:hint="default"/>
        <w:b w:val="0"/>
        <w:i w:val="0"/>
        <w:sz w:val="24"/>
        <w:u w:val="none"/>
      </w:rPr>
    </w:lvl>
    <w:lvl w:ilvl="2" w:tplc="A4CCD7C0">
      <w:start w:val="1"/>
      <w:numFmt w:val="decimal"/>
      <w:lvlText w:val="4.2.1.%3"/>
      <w:lvlJc w:val="left"/>
      <w:pPr>
        <w:tabs>
          <w:tab w:val="num" w:pos="1980"/>
        </w:tabs>
        <w:ind w:left="1980" w:firstLine="0"/>
      </w:pPr>
      <w:rPr>
        <w:rFonts w:ascii="Times New Roman" w:hAnsi="Times New Roman" w:hint="default"/>
        <w:b w:val="0"/>
        <w:i w:val="0"/>
        <w:sz w:val="24"/>
      </w:rPr>
    </w:lvl>
    <w:lvl w:ilvl="3" w:tplc="A894BB4A">
      <w:start w:val="1"/>
      <w:numFmt w:val="lowerLetter"/>
      <w:lvlText w:val="(%4)"/>
      <w:lvlJc w:val="left"/>
      <w:pPr>
        <w:tabs>
          <w:tab w:val="num" w:pos="2520"/>
        </w:tabs>
        <w:ind w:left="2520" w:firstLine="0"/>
      </w:pPr>
      <w:rPr>
        <w:rFonts w:ascii="Times New Roman" w:hAnsi="Times New Roman" w:hint="default"/>
        <w:b w:val="0"/>
        <w:i w:val="0"/>
        <w:sz w:val="24"/>
      </w:r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2381382C"/>
    <w:multiLevelType w:val="hybridMultilevel"/>
    <w:tmpl w:val="54024210"/>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23B50810"/>
    <w:multiLevelType w:val="multilevel"/>
    <w:tmpl w:val="26004E5E"/>
    <w:lvl w:ilvl="0">
      <w:start w:val="7"/>
      <w:numFmt w:val="decimal"/>
      <w:lvlText w:val="%1."/>
      <w:lvlJc w:val="left"/>
      <w:pPr>
        <w:tabs>
          <w:tab w:val="num" w:pos="709"/>
        </w:tabs>
        <w:ind w:left="709" w:hanging="709"/>
      </w:pPr>
      <w:rPr>
        <w:rFonts w:ascii="Times New Roman" w:hAnsi="Times New Roman" w:hint="default"/>
        <w:b w:val="0"/>
        <w:i w:val="0"/>
        <w:sz w:val="26"/>
      </w:rPr>
    </w:lvl>
    <w:lvl w:ilvl="1">
      <w:start w:val="2"/>
      <w:numFmt w:val="decimal"/>
      <w:lvlText w:val="8.%2."/>
      <w:lvlJc w:val="left"/>
      <w:pPr>
        <w:tabs>
          <w:tab w:val="num" w:pos="709"/>
        </w:tabs>
        <w:ind w:left="709" w:hanging="709"/>
      </w:pPr>
      <w:rPr>
        <w:rFonts w:hint="default"/>
        <w:b w:val="0"/>
        <w:i w:val="0"/>
        <w:sz w:val="24"/>
        <w:szCs w:val="24"/>
      </w:rPr>
    </w:lvl>
    <w:lvl w:ilvl="2">
      <w:start w:val="1"/>
      <w:numFmt w:val="lowerLetter"/>
      <w:lvlText w:val="(%3)"/>
      <w:lvlJc w:val="left"/>
      <w:pPr>
        <w:tabs>
          <w:tab w:val="num" w:pos="1701"/>
        </w:tabs>
        <w:ind w:left="1701" w:hanging="992"/>
      </w:pPr>
      <w:rPr>
        <w:rFonts w:hint="default"/>
        <w:b w:val="0"/>
        <w:i w:val="0"/>
        <w:sz w:val="20"/>
        <w:szCs w:val="20"/>
      </w:rPr>
    </w:lvl>
    <w:lvl w:ilvl="3">
      <w:start w:val="1"/>
      <w:numFmt w:val="lowerRoman"/>
      <w:lvlText w:val="(%4)"/>
      <w:lvlJc w:val="left"/>
      <w:pPr>
        <w:tabs>
          <w:tab w:val="num" w:pos="2126"/>
        </w:tabs>
        <w:ind w:left="2126" w:hanging="425"/>
      </w:pPr>
      <w:rPr>
        <w:rFonts w:cs="Times New Roman" w:hint="eastAsia"/>
        <w:b w:val="0"/>
        <w:i w:val="0"/>
        <w:color w:val="auto"/>
        <w:spacing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4" w15:restartNumberingAfterBreak="0">
    <w:nsid w:val="2685690F"/>
    <w:multiLevelType w:val="multilevel"/>
    <w:tmpl w:val="16D2DDCE"/>
    <w:lvl w:ilvl="0">
      <w:start w:val="3"/>
      <w:numFmt w:val="decimal"/>
      <w:lvlText w:val="%1."/>
      <w:lvlJc w:val="left"/>
      <w:pPr>
        <w:tabs>
          <w:tab w:val="num" w:pos="720"/>
        </w:tabs>
        <w:ind w:left="720" w:hanging="720"/>
      </w:pPr>
      <w:rPr>
        <w:rFonts w:ascii="Times New Roman" w:hAnsi="Times New Roman" w:cs="Times New Roman" w:hint="default"/>
      </w:rPr>
    </w:lvl>
    <w:lvl w:ilvl="1">
      <w:start w:val="1"/>
      <w:numFmt w:val="decimal"/>
      <w:lvlText w:val="%1.%2."/>
      <w:lvlJc w:val="left"/>
      <w:pPr>
        <w:tabs>
          <w:tab w:val="num" w:pos="720"/>
        </w:tabs>
        <w:ind w:left="720" w:hanging="720"/>
      </w:pPr>
      <w:rPr>
        <w:rFonts w:ascii="Times New Roman" w:hAnsi="Times New Roman" w:cs="Times New Roman" w:hint="default"/>
        <w:b/>
        <w:bCs/>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25" w15:restartNumberingAfterBreak="0">
    <w:nsid w:val="28573936"/>
    <w:multiLevelType w:val="hybridMultilevel"/>
    <w:tmpl w:val="5F08221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2B3953BC"/>
    <w:multiLevelType w:val="hybridMultilevel"/>
    <w:tmpl w:val="0CD213AA"/>
    <w:lvl w:ilvl="0" w:tplc="DB587956">
      <w:start w:val="1"/>
      <w:numFmt w:val="decimal"/>
      <w:lvlText w:val="6.%1."/>
      <w:lvlJc w:val="left"/>
      <w:pPr>
        <w:tabs>
          <w:tab w:val="num" w:pos="360"/>
        </w:tabs>
        <w:ind w:left="0" w:firstLine="0"/>
      </w:pPr>
      <w:rPr>
        <w:rFonts w:ascii="Times New Roman Negrito" w:hAnsi="Times New Roman Negrito" w:hint="default"/>
        <w:b/>
        <w:i w:val="0"/>
        <w:sz w:val="24"/>
      </w:rPr>
    </w:lvl>
    <w:lvl w:ilvl="1" w:tplc="4358F344">
      <w:start w:val="1"/>
      <w:numFmt w:val="decimal"/>
      <w:lvlText w:val="6.2.%2"/>
      <w:lvlJc w:val="left"/>
      <w:pPr>
        <w:tabs>
          <w:tab w:val="num" w:pos="1080"/>
        </w:tabs>
        <w:ind w:left="1080" w:firstLine="0"/>
      </w:pPr>
      <w:rPr>
        <w:rFonts w:ascii="Times New Roman" w:hAnsi="Times New Roman" w:hint="default"/>
        <w:b w:val="0"/>
        <w:i w:val="0"/>
        <w:sz w:val="24"/>
        <w:u w:val="none"/>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2BDC5AEF"/>
    <w:multiLevelType w:val="hybridMultilevel"/>
    <w:tmpl w:val="AED239BA"/>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2CA023E9"/>
    <w:multiLevelType w:val="multilevel"/>
    <w:tmpl w:val="64E88898"/>
    <w:lvl w:ilvl="0">
      <w:start w:val="1"/>
      <w:numFmt w:val="decimal"/>
      <w:lvlText w:val="6.1.%1."/>
      <w:lvlJc w:val="left"/>
      <w:pPr>
        <w:tabs>
          <w:tab w:val="num" w:pos="720"/>
        </w:tabs>
        <w:ind w:left="720" w:hanging="720"/>
      </w:pPr>
      <w:rPr>
        <w:rFonts w:hint="default"/>
      </w:rPr>
    </w:lvl>
    <w:lvl w:ilvl="1">
      <w:start w:val="1"/>
      <w:numFmt w:val="decimal"/>
      <w:lvlText w:val="6.1.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2E506E2C"/>
    <w:multiLevelType w:val="hybridMultilevel"/>
    <w:tmpl w:val="90A81378"/>
    <w:lvl w:ilvl="0" w:tplc="388EEA9E">
      <w:start w:val="1"/>
      <w:numFmt w:val="lowerLetter"/>
      <w:lvlText w:val="(%1)"/>
      <w:lvlJc w:val="left"/>
      <w:pPr>
        <w:tabs>
          <w:tab w:val="num" w:pos="928"/>
        </w:tabs>
        <w:ind w:left="928" w:hanging="360"/>
      </w:pPr>
      <w:rPr>
        <w:rFonts w:hint="default"/>
        <w:b w:val="0"/>
      </w:rPr>
    </w:lvl>
    <w:lvl w:ilvl="1" w:tplc="6D4EAE10">
      <w:start w:val="1"/>
      <w:numFmt w:val="lowerRoman"/>
      <w:lvlText w:val="(%2)"/>
      <w:lvlJc w:val="left"/>
      <w:pPr>
        <w:tabs>
          <w:tab w:val="num" w:pos="1288"/>
        </w:tabs>
        <w:ind w:left="1288" w:hanging="360"/>
      </w:pPr>
      <w:rPr>
        <w:rFonts w:ascii="Garamond" w:hAnsi="Garamond" w:cs="Times New Roman" w:hint="default"/>
        <w:sz w:val="24"/>
        <w:szCs w:val="24"/>
      </w:rPr>
    </w:lvl>
    <w:lvl w:ilvl="2" w:tplc="FFFFFFFF" w:tentative="1">
      <w:start w:val="1"/>
      <w:numFmt w:val="lowerRoman"/>
      <w:lvlText w:val="%3."/>
      <w:lvlJc w:val="right"/>
      <w:pPr>
        <w:tabs>
          <w:tab w:val="num" w:pos="2008"/>
        </w:tabs>
        <w:ind w:left="2008" w:hanging="180"/>
      </w:pPr>
    </w:lvl>
    <w:lvl w:ilvl="3" w:tplc="FFFFFFFF" w:tentative="1">
      <w:start w:val="1"/>
      <w:numFmt w:val="decimal"/>
      <w:lvlText w:val="%4."/>
      <w:lvlJc w:val="left"/>
      <w:pPr>
        <w:tabs>
          <w:tab w:val="num" w:pos="2728"/>
        </w:tabs>
        <w:ind w:left="2728" w:hanging="360"/>
      </w:pPr>
    </w:lvl>
    <w:lvl w:ilvl="4" w:tplc="FFFFFFFF" w:tentative="1">
      <w:start w:val="1"/>
      <w:numFmt w:val="lowerLetter"/>
      <w:lvlText w:val="%5."/>
      <w:lvlJc w:val="left"/>
      <w:pPr>
        <w:tabs>
          <w:tab w:val="num" w:pos="3448"/>
        </w:tabs>
        <w:ind w:left="3448" w:hanging="360"/>
      </w:pPr>
    </w:lvl>
    <w:lvl w:ilvl="5" w:tplc="FFFFFFFF" w:tentative="1">
      <w:start w:val="1"/>
      <w:numFmt w:val="lowerRoman"/>
      <w:lvlText w:val="%6."/>
      <w:lvlJc w:val="right"/>
      <w:pPr>
        <w:tabs>
          <w:tab w:val="num" w:pos="4168"/>
        </w:tabs>
        <w:ind w:left="4168" w:hanging="180"/>
      </w:pPr>
    </w:lvl>
    <w:lvl w:ilvl="6" w:tplc="FFFFFFFF" w:tentative="1">
      <w:start w:val="1"/>
      <w:numFmt w:val="decimal"/>
      <w:lvlText w:val="%7."/>
      <w:lvlJc w:val="left"/>
      <w:pPr>
        <w:tabs>
          <w:tab w:val="num" w:pos="4888"/>
        </w:tabs>
        <w:ind w:left="4888" w:hanging="360"/>
      </w:pPr>
    </w:lvl>
    <w:lvl w:ilvl="7" w:tplc="FFFFFFFF" w:tentative="1">
      <w:start w:val="1"/>
      <w:numFmt w:val="lowerLetter"/>
      <w:lvlText w:val="%8."/>
      <w:lvlJc w:val="left"/>
      <w:pPr>
        <w:tabs>
          <w:tab w:val="num" w:pos="5608"/>
        </w:tabs>
        <w:ind w:left="5608" w:hanging="360"/>
      </w:pPr>
    </w:lvl>
    <w:lvl w:ilvl="8" w:tplc="FFFFFFFF" w:tentative="1">
      <w:start w:val="1"/>
      <w:numFmt w:val="lowerRoman"/>
      <w:lvlText w:val="%9."/>
      <w:lvlJc w:val="right"/>
      <w:pPr>
        <w:tabs>
          <w:tab w:val="num" w:pos="6328"/>
        </w:tabs>
        <w:ind w:left="6328" w:hanging="180"/>
      </w:pPr>
    </w:lvl>
  </w:abstractNum>
  <w:abstractNum w:abstractNumId="30" w15:restartNumberingAfterBreak="0">
    <w:nsid w:val="2E826000"/>
    <w:multiLevelType w:val="hybridMultilevel"/>
    <w:tmpl w:val="AE603D44"/>
    <w:lvl w:ilvl="0" w:tplc="61E63438">
      <w:start w:val="1"/>
      <w:numFmt w:val="decimal"/>
      <w:lvlText w:val="4.2.2.%1."/>
      <w:lvlJc w:val="left"/>
      <w:pPr>
        <w:ind w:left="720" w:hanging="360"/>
      </w:pPr>
      <w:rPr>
        <w:rFonts w:ascii="Garamond" w:hAnsi="Garamond" w:cs="Times New Roman"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2F366646"/>
    <w:multiLevelType w:val="hybridMultilevel"/>
    <w:tmpl w:val="C4987856"/>
    <w:lvl w:ilvl="0" w:tplc="D8CA3E98">
      <w:start w:val="1"/>
      <w:numFmt w:val="decimal"/>
      <w:lvlText w:val="4.%1."/>
      <w:lvlJc w:val="left"/>
      <w:pPr>
        <w:ind w:left="36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2F644C96"/>
    <w:multiLevelType w:val="multilevel"/>
    <w:tmpl w:val="F63045D2"/>
    <w:lvl w:ilvl="0">
      <w:start w:val="1"/>
      <w:numFmt w:val="lowerRoman"/>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2F8259DE"/>
    <w:multiLevelType w:val="hybridMultilevel"/>
    <w:tmpl w:val="FFF4F4B2"/>
    <w:lvl w:ilvl="0" w:tplc="E9E8F480">
      <w:start w:val="1"/>
      <w:numFmt w:val="lowerLetter"/>
      <w:lvlText w:val="(%1)"/>
      <w:lvlJc w:val="left"/>
      <w:pPr>
        <w:tabs>
          <w:tab w:val="num" w:pos="1800"/>
        </w:tabs>
        <w:ind w:left="1800" w:hanging="360"/>
      </w:pPr>
      <w:rPr>
        <w:rFonts w:cs="Times New Roman" w:hint="default"/>
      </w:rPr>
    </w:lvl>
    <w:lvl w:ilvl="1" w:tplc="04160019">
      <w:start w:val="1"/>
      <w:numFmt w:val="lowerLetter"/>
      <w:lvlText w:val="%2."/>
      <w:lvlJc w:val="left"/>
      <w:pPr>
        <w:tabs>
          <w:tab w:val="num" w:pos="2520"/>
        </w:tabs>
        <w:ind w:left="2520" w:hanging="360"/>
      </w:pPr>
      <w:rPr>
        <w:rFonts w:cs="Times New Roman"/>
      </w:rPr>
    </w:lvl>
    <w:lvl w:ilvl="2" w:tplc="0416001B">
      <w:start w:val="1"/>
      <w:numFmt w:val="lowerRoman"/>
      <w:lvlText w:val="%3."/>
      <w:lvlJc w:val="right"/>
      <w:pPr>
        <w:tabs>
          <w:tab w:val="num" w:pos="3240"/>
        </w:tabs>
        <w:ind w:left="3240" w:hanging="180"/>
      </w:pPr>
      <w:rPr>
        <w:rFonts w:cs="Times New Roman"/>
      </w:rPr>
    </w:lvl>
    <w:lvl w:ilvl="3" w:tplc="0416000F">
      <w:start w:val="1"/>
      <w:numFmt w:val="decimal"/>
      <w:lvlText w:val="%4."/>
      <w:lvlJc w:val="left"/>
      <w:pPr>
        <w:tabs>
          <w:tab w:val="num" w:pos="3960"/>
        </w:tabs>
        <w:ind w:left="3960" w:hanging="360"/>
      </w:pPr>
      <w:rPr>
        <w:rFonts w:cs="Times New Roman"/>
      </w:rPr>
    </w:lvl>
    <w:lvl w:ilvl="4" w:tplc="04160019">
      <w:start w:val="1"/>
      <w:numFmt w:val="lowerLetter"/>
      <w:lvlText w:val="%5."/>
      <w:lvlJc w:val="left"/>
      <w:pPr>
        <w:tabs>
          <w:tab w:val="num" w:pos="4680"/>
        </w:tabs>
        <w:ind w:left="4680" w:hanging="360"/>
      </w:pPr>
      <w:rPr>
        <w:rFonts w:cs="Times New Roman"/>
      </w:rPr>
    </w:lvl>
    <w:lvl w:ilvl="5" w:tplc="0416001B">
      <w:start w:val="1"/>
      <w:numFmt w:val="lowerRoman"/>
      <w:lvlText w:val="%6."/>
      <w:lvlJc w:val="right"/>
      <w:pPr>
        <w:tabs>
          <w:tab w:val="num" w:pos="5400"/>
        </w:tabs>
        <w:ind w:left="5400" w:hanging="180"/>
      </w:pPr>
      <w:rPr>
        <w:rFonts w:cs="Times New Roman"/>
      </w:rPr>
    </w:lvl>
    <w:lvl w:ilvl="6" w:tplc="0416000F">
      <w:start w:val="1"/>
      <w:numFmt w:val="decimal"/>
      <w:lvlText w:val="%7."/>
      <w:lvlJc w:val="left"/>
      <w:pPr>
        <w:tabs>
          <w:tab w:val="num" w:pos="6120"/>
        </w:tabs>
        <w:ind w:left="6120" w:hanging="360"/>
      </w:pPr>
      <w:rPr>
        <w:rFonts w:cs="Times New Roman"/>
      </w:rPr>
    </w:lvl>
    <w:lvl w:ilvl="7" w:tplc="04160019">
      <w:start w:val="1"/>
      <w:numFmt w:val="lowerLetter"/>
      <w:lvlText w:val="%8."/>
      <w:lvlJc w:val="left"/>
      <w:pPr>
        <w:tabs>
          <w:tab w:val="num" w:pos="6840"/>
        </w:tabs>
        <w:ind w:left="6840" w:hanging="360"/>
      </w:pPr>
      <w:rPr>
        <w:rFonts w:cs="Times New Roman"/>
      </w:rPr>
    </w:lvl>
    <w:lvl w:ilvl="8" w:tplc="0416001B">
      <w:start w:val="1"/>
      <w:numFmt w:val="lowerRoman"/>
      <w:lvlText w:val="%9."/>
      <w:lvlJc w:val="right"/>
      <w:pPr>
        <w:tabs>
          <w:tab w:val="num" w:pos="7560"/>
        </w:tabs>
        <w:ind w:left="7560" w:hanging="180"/>
      </w:pPr>
      <w:rPr>
        <w:rFonts w:cs="Times New Roman"/>
      </w:rPr>
    </w:lvl>
  </w:abstractNum>
  <w:abstractNum w:abstractNumId="34" w15:restartNumberingAfterBreak="0">
    <w:nsid w:val="320410EA"/>
    <w:multiLevelType w:val="hybridMultilevel"/>
    <w:tmpl w:val="7206D8A0"/>
    <w:lvl w:ilvl="0" w:tplc="687854BE">
      <w:start w:val="1"/>
      <w:numFmt w:val="decimal"/>
      <w:lvlText w:val="3.6.%1."/>
      <w:lvlJc w:val="left"/>
      <w:pPr>
        <w:ind w:left="720" w:hanging="360"/>
      </w:pPr>
      <w:rPr>
        <w:rFonts w:ascii="Garamond" w:hAnsi="Garamond" w:cs="Times New Roman"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27209AF"/>
    <w:multiLevelType w:val="multilevel"/>
    <w:tmpl w:val="FFC6DE8C"/>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6" w15:restartNumberingAfterBreak="0">
    <w:nsid w:val="372F4509"/>
    <w:multiLevelType w:val="multilevel"/>
    <w:tmpl w:val="F93060BE"/>
    <w:lvl w:ilvl="0">
      <w:start w:val="1"/>
      <w:numFmt w:val="decimal"/>
      <w:lvlText w:val="%1."/>
      <w:lvlJc w:val="left"/>
      <w:pPr>
        <w:tabs>
          <w:tab w:val="num" w:pos="709"/>
        </w:tabs>
        <w:ind w:left="709" w:hanging="709"/>
      </w:pPr>
      <w:rPr>
        <w:rFonts w:cs="Times New Roman" w:hint="default"/>
        <w:b/>
      </w:rPr>
    </w:lvl>
    <w:lvl w:ilvl="1">
      <w:start w:val="1"/>
      <w:numFmt w:val="decimal"/>
      <w:lvlText w:val="%1.%2"/>
      <w:lvlJc w:val="left"/>
      <w:pPr>
        <w:tabs>
          <w:tab w:val="num" w:pos="709"/>
        </w:tabs>
        <w:ind w:left="709" w:hanging="709"/>
      </w:pPr>
      <w:rPr>
        <w:rFonts w:cs="Times New Roman" w:hint="default"/>
        <w:b w:val="0"/>
        <w:i w:val="0"/>
        <w:sz w:val="20"/>
        <w:szCs w:val="20"/>
      </w:rPr>
    </w:lvl>
    <w:lvl w:ilvl="2">
      <w:start w:val="1"/>
      <w:numFmt w:val="decimal"/>
      <w:lvlText w:val="%1.%2.%3"/>
      <w:lvlJc w:val="left"/>
      <w:pPr>
        <w:tabs>
          <w:tab w:val="num" w:pos="709"/>
        </w:tabs>
        <w:ind w:left="709" w:hanging="709"/>
      </w:pPr>
      <w:rPr>
        <w:rFonts w:ascii="Garamond" w:hAnsi="Garamond" w:cs="Times New Roman" w:hint="default"/>
        <w:sz w:val="24"/>
        <w:szCs w:val="24"/>
      </w:rPr>
    </w:lvl>
    <w:lvl w:ilvl="3">
      <w:start w:val="1"/>
      <w:numFmt w:val="decimal"/>
      <w:lvlText w:val="%1.%2.%3.%4"/>
      <w:lvlJc w:val="left"/>
      <w:pPr>
        <w:tabs>
          <w:tab w:val="num" w:pos="709"/>
        </w:tabs>
        <w:ind w:left="709" w:hanging="709"/>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7" w15:restartNumberingAfterBreak="0">
    <w:nsid w:val="3E3250B3"/>
    <w:multiLevelType w:val="hybridMultilevel"/>
    <w:tmpl w:val="1EA85980"/>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417145DA"/>
    <w:multiLevelType w:val="multilevel"/>
    <w:tmpl w:val="07746C3C"/>
    <w:lvl w:ilvl="0">
      <w:start w:val="6"/>
      <w:numFmt w:val="decimal"/>
      <w:lvlText w:val="%1"/>
      <w:lvlJc w:val="left"/>
      <w:pPr>
        <w:tabs>
          <w:tab w:val="num" w:pos="525"/>
        </w:tabs>
        <w:ind w:left="525" w:hanging="525"/>
      </w:pPr>
      <w:rPr>
        <w:rFonts w:hint="default"/>
      </w:rPr>
    </w:lvl>
    <w:lvl w:ilvl="1">
      <w:start w:val="4"/>
      <w:numFmt w:val="decimal"/>
      <w:lvlText w:val="%1.%2"/>
      <w:lvlJc w:val="left"/>
      <w:pPr>
        <w:tabs>
          <w:tab w:val="num" w:pos="879"/>
        </w:tabs>
        <w:ind w:left="879" w:hanging="525"/>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39" w15:restartNumberingAfterBreak="0">
    <w:nsid w:val="41A81844"/>
    <w:multiLevelType w:val="multilevel"/>
    <w:tmpl w:val="50A0A038"/>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4219703D"/>
    <w:multiLevelType w:val="multilevel"/>
    <w:tmpl w:val="0FD49B62"/>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Restart w:val="0"/>
      <w:isLg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1" w15:restartNumberingAfterBreak="0">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42" w15:restartNumberingAfterBreak="0">
    <w:nsid w:val="458E2ECE"/>
    <w:multiLevelType w:val="multilevel"/>
    <w:tmpl w:val="974841E8"/>
    <w:lvl w:ilvl="0">
      <w:start w:val="2"/>
      <w:numFmt w:val="decimal"/>
      <w:lvlText w:val="%1."/>
      <w:lvlJc w:val="left"/>
      <w:pPr>
        <w:ind w:left="540" w:hanging="540"/>
      </w:pPr>
      <w:rPr>
        <w:rFonts w:cs="Tahoma" w:hint="default"/>
        <w:sz w:val="24"/>
      </w:rPr>
    </w:lvl>
    <w:lvl w:ilvl="1">
      <w:start w:val="2"/>
      <w:numFmt w:val="decimal"/>
      <w:lvlText w:val="%1.%2."/>
      <w:lvlJc w:val="left"/>
      <w:pPr>
        <w:ind w:left="720" w:hanging="720"/>
      </w:pPr>
      <w:rPr>
        <w:rFonts w:cs="Tahoma" w:hint="default"/>
        <w:sz w:val="24"/>
      </w:rPr>
    </w:lvl>
    <w:lvl w:ilvl="2">
      <w:start w:val="2"/>
      <w:numFmt w:val="decimal"/>
      <w:lvlText w:val="%1.%2.%3."/>
      <w:lvlJc w:val="left"/>
      <w:pPr>
        <w:ind w:left="720" w:hanging="720"/>
      </w:pPr>
      <w:rPr>
        <w:rFonts w:cs="Tahoma" w:hint="default"/>
        <w:sz w:val="24"/>
      </w:rPr>
    </w:lvl>
    <w:lvl w:ilvl="3">
      <w:start w:val="1"/>
      <w:numFmt w:val="decimal"/>
      <w:lvlText w:val="%1.%2.%3.%4."/>
      <w:lvlJc w:val="left"/>
      <w:pPr>
        <w:ind w:left="1080" w:hanging="1080"/>
      </w:pPr>
      <w:rPr>
        <w:rFonts w:cs="Tahoma" w:hint="default"/>
        <w:sz w:val="24"/>
      </w:rPr>
    </w:lvl>
    <w:lvl w:ilvl="4">
      <w:start w:val="1"/>
      <w:numFmt w:val="decimal"/>
      <w:lvlText w:val="%1.%2.%3.%4.%5."/>
      <w:lvlJc w:val="left"/>
      <w:pPr>
        <w:ind w:left="1440" w:hanging="1440"/>
      </w:pPr>
      <w:rPr>
        <w:rFonts w:cs="Tahoma" w:hint="default"/>
        <w:sz w:val="24"/>
      </w:rPr>
    </w:lvl>
    <w:lvl w:ilvl="5">
      <w:start w:val="1"/>
      <w:numFmt w:val="decimal"/>
      <w:lvlText w:val="%1.%2.%3.%4.%5.%6."/>
      <w:lvlJc w:val="left"/>
      <w:pPr>
        <w:ind w:left="1440" w:hanging="1440"/>
      </w:pPr>
      <w:rPr>
        <w:rFonts w:cs="Tahoma" w:hint="default"/>
        <w:sz w:val="24"/>
      </w:rPr>
    </w:lvl>
    <w:lvl w:ilvl="6">
      <w:start w:val="1"/>
      <w:numFmt w:val="decimal"/>
      <w:lvlText w:val="%1.%2.%3.%4.%5.%6.%7."/>
      <w:lvlJc w:val="left"/>
      <w:pPr>
        <w:ind w:left="1800" w:hanging="1800"/>
      </w:pPr>
      <w:rPr>
        <w:rFonts w:cs="Tahoma" w:hint="default"/>
        <w:sz w:val="24"/>
      </w:rPr>
    </w:lvl>
    <w:lvl w:ilvl="7">
      <w:start w:val="1"/>
      <w:numFmt w:val="decimal"/>
      <w:lvlText w:val="%1.%2.%3.%4.%5.%6.%7.%8."/>
      <w:lvlJc w:val="left"/>
      <w:pPr>
        <w:ind w:left="2160" w:hanging="2160"/>
      </w:pPr>
      <w:rPr>
        <w:rFonts w:cs="Tahoma" w:hint="default"/>
        <w:sz w:val="24"/>
      </w:rPr>
    </w:lvl>
    <w:lvl w:ilvl="8">
      <w:start w:val="1"/>
      <w:numFmt w:val="decimal"/>
      <w:lvlText w:val="%1.%2.%3.%4.%5.%6.%7.%8.%9."/>
      <w:lvlJc w:val="left"/>
      <w:pPr>
        <w:ind w:left="2160" w:hanging="2160"/>
      </w:pPr>
      <w:rPr>
        <w:rFonts w:cs="Tahoma" w:hint="default"/>
        <w:sz w:val="24"/>
      </w:rPr>
    </w:lvl>
  </w:abstractNum>
  <w:abstractNum w:abstractNumId="43" w15:restartNumberingAfterBreak="0">
    <w:nsid w:val="484D0628"/>
    <w:multiLevelType w:val="multilevel"/>
    <w:tmpl w:val="E8AE147E"/>
    <w:lvl w:ilvl="0">
      <w:start w:val="1"/>
      <w:numFmt w:val="decimal"/>
      <w:lvlRestart w:val="0"/>
      <w:pStyle w:val="Level1"/>
      <w:lvlText w:val="%1"/>
      <w:lvlJc w:val="left"/>
      <w:pPr>
        <w:tabs>
          <w:tab w:val="num" w:pos="680"/>
        </w:tabs>
        <w:ind w:left="680" w:hanging="680"/>
      </w:pPr>
      <w:rPr>
        <w:rFonts w:ascii="Verdana" w:hAnsi="Verdana" w:cs="Arial" w:hint="default"/>
        <w:b/>
        <w:i w:val="0"/>
        <w:caps w:val="0"/>
        <w:strike w:val="0"/>
        <w:dstrike w:val="0"/>
        <w:vanish w:val="0"/>
        <w:color w:val="000000"/>
        <w:sz w:val="20"/>
        <w:szCs w:val="20"/>
        <w:vertAlign w:val="baseline"/>
      </w:rPr>
    </w:lvl>
    <w:lvl w:ilvl="1">
      <w:start w:val="1"/>
      <w:numFmt w:val="decimal"/>
      <w:pStyle w:val="Level2"/>
      <w:lvlText w:val="%1.%2"/>
      <w:lvlJc w:val="left"/>
      <w:pPr>
        <w:tabs>
          <w:tab w:val="num" w:pos="680"/>
        </w:tabs>
        <w:ind w:left="680" w:hanging="680"/>
      </w:pPr>
      <w:rPr>
        <w:rFonts w:ascii="Verdana" w:hAnsi="Verdana"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1361"/>
        </w:tabs>
        <w:ind w:left="1361" w:hanging="681"/>
      </w:pPr>
      <w:rPr>
        <w:rFonts w:ascii="Verdana" w:hAnsi="Verdana" w:cs="Arial" w:hint="default"/>
        <w:b/>
        <w:i w:val="0"/>
        <w:caps w:val="0"/>
        <w:strike w:val="0"/>
        <w:dstrike w:val="0"/>
        <w:vanish w:val="0"/>
        <w:color w:val="000000"/>
        <w:sz w:val="20"/>
        <w:szCs w:val="20"/>
        <w:vertAlign w:val="baseline"/>
      </w:rPr>
    </w:lvl>
    <w:lvl w:ilvl="3">
      <w:start w:val="1"/>
      <w:numFmt w:val="lowerRoman"/>
      <w:pStyle w:val="Level4"/>
      <w:lvlText w:val="(%4)"/>
      <w:lvlJc w:val="left"/>
      <w:pPr>
        <w:tabs>
          <w:tab w:val="num" w:pos="2041"/>
        </w:tabs>
        <w:ind w:left="2041" w:hanging="680"/>
      </w:pPr>
      <w:rPr>
        <w:rFonts w:ascii="Verdana" w:hAnsi="Verdana" w:cs="Arial" w:hint="default"/>
        <w:b w:val="0"/>
        <w:i w:val="0"/>
        <w:caps w:val="0"/>
        <w:strike w:val="0"/>
        <w:dstrike w:val="0"/>
        <w:vanish w:val="0"/>
        <w:color w:val="000000"/>
        <w:sz w:val="20"/>
        <w:szCs w:val="20"/>
        <w:vertAlign w:val="baseline"/>
      </w:rPr>
    </w:lvl>
    <w:lvl w:ilvl="4">
      <w:start w:val="1"/>
      <w:numFmt w:val="lowerLetter"/>
      <w:pStyle w:val="Level5"/>
      <w:lvlText w:val="(%5)"/>
      <w:lvlJc w:val="left"/>
      <w:pPr>
        <w:tabs>
          <w:tab w:val="num" w:pos="2721"/>
        </w:tabs>
        <w:ind w:left="2721" w:hanging="680"/>
      </w:pPr>
      <w:rPr>
        <w:rFonts w:ascii="Verdana" w:hAnsi="Verdana"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CharChar1Char"/>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4AEE6118"/>
    <w:multiLevelType w:val="multilevel"/>
    <w:tmpl w:val="3ECC7D9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4C546EDA"/>
    <w:multiLevelType w:val="hybridMultilevel"/>
    <w:tmpl w:val="2D628AF6"/>
    <w:lvl w:ilvl="0" w:tplc="A38840A4">
      <w:start w:val="1"/>
      <w:numFmt w:val="decimal"/>
      <w:lvlText w:val="3.%1."/>
      <w:lvlJc w:val="left"/>
      <w:pPr>
        <w:ind w:left="502" w:hanging="360"/>
      </w:pPr>
      <w:rPr>
        <w:rFonts w:ascii="Garamond" w:hAnsi="Garamond" w:cs="Times New Roman" w:hint="default"/>
        <w:b/>
        <w:i w:val="0"/>
        <w:sz w:val="22"/>
        <w:szCs w:val="22"/>
      </w:rPr>
    </w:lvl>
    <w:lvl w:ilvl="1" w:tplc="04160019">
      <w:start w:val="1"/>
      <w:numFmt w:val="lowerLetter"/>
      <w:lvlText w:val="%2."/>
      <w:lvlJc w:val="left"/>
      <w:pPr>
        <w:ind w:left="1222" w:hanging="360"/>
      </w:pPr>
    </w:lvl>
    <w:lvl w:ilvl="2" w:tplc="0416001B">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7" w15:restartNumberingAfterBreak="0">
    <w:nsid w:val="4C90730B"/>
    <w:multiLevelType w:val="multilevel"/>
    <w:tmpl w:val="957C5B8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8" w15:restartNumberingAfterBreak="0">
    <w:nsid w:val="54713A91"/>
    <w:multiLevelType w:val="hybridMultilevel"/>
    <w:tmpl w:val="1BD650A6"/>
    <w:lvl w:ilvl="0" w:tplc="3B6054AC">
      <w:start w:val="1"/>
      <w:numFmt w:val="decimal"/>
      <w:lvlText w:val="2.4.%1."/>
      <w:lvlJc w:val="left"/>
      <w:pPr>
        <w:ind w:left="720" w:hanging="360"/>
      </w:pPr>
      <w:rPr>
        <w:rFonts w:ascii="Garamond" w:hAnsi="Garamond" w:cs="Times New Roman" w:hint="default"/>
        <w:b w:val="0"/>
        <w:i w:val="0"/>
        <w:sz w:val="22"/>
        <w:szCs w:val="22"/>
      </w:rPr>
    </w:lvl>
    <w:lvl w:ilvl="1" w:tplc="5A22482C">
      <w:start w:val="1"/>
      <w:numFmt w:val="lowerLetter"/>
      <w:lvlText w:val="(%2)"/>
      <w:lvlJc w:val="left"/>
      <w:pPr>
        <w:ind w:left="1755" w:hanging="675"/>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56F00261"/>
    <w:multiLevelType w:val="singleLevel"/>
    <w:tmpl w:val="D406A36C"/>
    <w:lvl w:ilvl="0">
      <w:start w:val="1"/>
      <w:numFmt w:val="lowerLetter"/>
      <w:lvlText w:val="(%1)"/>
      <w:lvlJc w:val="left"/>
      <w:pPr>
        <w:tabs>
          <w:tab w:val="num" w:pos="1080"/>
        </w:tabs>
        <w:ind w:left="1080" w:hanging="360"/>
      </w:pPr>
      <w:rPr>
        <w:rFonts w:hint="default"/>
      </w:rPr>
    </w:lvl>
  </w:abstractNum>
  <w:abstractNum w:abstractNumId="50"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szCs w:val="2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7953280"/>
    <w:multiLevelType w:val="hybridMultilevel"/>
    <w:tmpl w:val="F112D090"/>
    <w:lvl w:ilvl="0" w:tplc="7DB03FAA">
      <w:start w:val="2"/>
      <w:numFmt w:val="lowerRoman"/>
      <w:lvlText w:val="(%1)"/>
      <w:lvlJc w:val="left"/>
      <w:pPr>
        <w:tabs>
          <w:tab w:val="num" w:pos="1146"/>
        </w:tabs>
        <w:ind w:left="1146" w:hanging="720"/>
      </w:pPr>
      <w:rPr>
        <w:rFonts w:hint="default"/>
      </w:rPr>
    </w:lvl>
    <w:lvl w:ilvl="1" w:tplc="04160019">
      <w:start w:val="1"/>
      <w:numFmt w:val="lowerLetter"/>
      <w:lvlText w:val="%2."/>
      <w:lvlJc w:val="left"/>
      <w:pPr>
        <w:tabs>
          <w:tab w:val="num" w:pos="1506"/>
        </w:tabs>
        <w:ind w:left="1506" w:hanging="360"/>
      </w:pPr>
    </w:lvl>
    <w:lvl w:ilvl="2" w:tplc="0416001B" w:tentative="1">
      <w:start w:val="1"/>
      <w:numFmt w:val="lowerRoman"/>
      <w:lvlText w:val="%3."/>
      <w:lvlJc w:val="right"/>
      <w:pPr>
        <w:tabs>
          <w:tab w:val="num" w:pos="2226"/>
        </w:tabs>
        <w:ind w:left="2226" w:hanging="180"/>
      </w:pPr>
    </w:lvl>
    <w:lvl w:ilvl="3" w:tplc="0416000F" w:tentative="1">
      <w:start w:val="1"/>
      <w:numFmt w:val="decimal"/>
      <w:lvlText w:val="%4."/>
      <w:lvlJc w:val="left"/>
      <w:pPr>
        <w:tabs>
          <w:tab w:val="num" w:pos="2946"/>
        </w:tabs>
        <w:ind w:left="2946" w:hanging="360"/>
      </w:pPr>
    </w:lvl>
    <w:lvl w:ilvl="4" w:tplc="04160019" w:tentative="1">
      <w:start w:val="1"/>
      <w:numFmt w:val="lowerLetter"/>
      <w:lvlText w:val="%5."/>
      <w:lvlJc w:val="left"/>
      <w:pPr>
        <w:tabs>
          <w:tab w:val="num" w:pos="3666"/>
        </w:tabs>
        <w:ind w:left="3666" w:hanging="360"/>
      </w:pPr>
    </w:lvl>
    <w:lvl w:ilvl="5" w:tplc="0416001B" w:tentative="1">
      <w:start w:val="1"/>
      <w:numFmt w:val="lowerRoman"/>
      <w:lvlText w:val="%6."/>
      <w:lvlJc w:val="right"/>
      <w:pPr>
        <w:tabs>
          <w:tab w:val="num" w:pos="4386"/>
        </w:tabs>
        <w:ind w:left="4386" w:hanging="180"/>
      </w:pPr>
    </w:lvl>
    <w:lvl w:ilvl="6" w:tplc="0416000F" w:tentative="1">
      <w:start w:val="1"/>
      <w:numFmt w:val="decimal"/>
      <w:lvlText w:val="%7."/>
      <w:lvlJc w:val="left"/>
      <w:pPr>
        <w:tabs>
          <w:tab w:val="num" w:pos="5106"/>
        </w:tabs>
        <w:ind w:left="5106" w:hanging="360"/>
      </w:pPr>
    </w:lvl>
    <w:lvl w:ilvl="7" w:tplc="04160019" w:tentative="1">
      <w:start w:val="1"/>
      <w:numFmt w:val="lowerLetter"/>
      <w:lvlText w:val="%8."/>
      <w:lvlJc w:val="left"/>
      <w:pPr>
        <w:tabs>
          <w:tab w:val="num" w:pos="5826"/>
        </w:tabs>
        <w:ind w:left="5826" w:hanging="360"/>
      </w:pPr>
    </w:lvl>
    <w:lvl w:ilvl="8" w:tplc="0416001B" w:tentative="1">
      <w:start w:val="1"/>
      <w:numFmt w:val="lowerRoman"/>
      <w:lvlText w:val="%9."/>
      <w:lvlJc w:val="right"/>
      <w:pPr>
        <w:tabs>
          <w:tab w:val="num" w:pos="6546"/>
        </w:tabs>
        <w:ind w:left="6546" w:hanging="180"/>
      </w:pPr>
    </w:lvl>
  </w:abstractNum>
  <w:abstractNum w:abstractNumId="52" w15:restartNumberingAfterBreak="0">
    <w:nsid w:val="57F40273"/>
    <w:multiLevelType w:val="hybridMultilevel"/>
    <w:tmpl w:val="3826645A"/>
    <w:lvl w:ilvl="0" w:tplc="1BE0C348">
      <w:start w:val="1"/>
      <w:numFmt w:val="upperRoman"/>
      <w:lvlText w:val="(%1)"/>
      <w:lvlJc w:val="left"/>
      <w:pPr>
        <w:ind w:left="1080" w:hanging="72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9E61275"/>
    <w:multiLevelType w:val="multilevel"/>
    <w:tmpl w:val="A7FE31CA"/>
    <w:lvl w:ilvl="0">
      <w:start w:val="3"/>
      <w:numFmt w:val="decimal"/>
      <w:lvlText w:val="%1."/>
      <w:lvlJc w:val="left"/>
      <w:pPr>
        <w:ind w:left="360" w:hanging="360"/>
      </w:pPr>
      <w:rPr>
        <w:rFonts w:ascii="Garamond" w:eastAsia="MS Mincho" w:hAnsi="Garamond" w:hint="default"/>
        <w:b/>
        <w:sz w:val="22"/>
      </w:rPr>
    </w:lvl>
    <w:lvl w:ilvl="1">
      <w:start w:val="7"/>
      <w:numFmt w:val="decimal"/>
      <w:lvlText w:val="%1.%2."/>
      <w:lvlJc w:val="left"/>
      <w:pPr>
        <w:ind w:left="720" w:hanging="720"/>
      </w:pPr>
      <w:rPr>
        <w:rFonts w:ascii="Garamond" w:eastAsia="MS Mincho" w:hAnsi="Garamond" w:hint="default"/>
        <w:b/>
        <w:sz w:val="22"/>
      </w:rPr>
    </w:lvl>
    <w:lvl w:ilvl="2">
      <w:start w:val="1"/>
      <w:numFmt w:val="decimal"/>
      <w:lvlText w:val="%1.%2.%3."/>
      <w:lvlJc w:val="left"/>
      <w:pPr>
        <w:ind w:left="720" w:hanging="720"/>
      </w:pPr>
      <w:rPr>
        <w:rFonts w:ascii="Garamond" w:eastAsia="MS Mincho" w:hAnsi="Garamond" w:hint="default"/>
        <w:b/>
        <w:sz w:val="22"/>
      </w:rPr>
    </w:lvl>
    <w:lvl w:ilvl="3">
      <w:start w:val="1"/>
      <w:numFmt w:val="decimal"/>
      <w:lvlText w:val="%1.%2.%3.%4."/>
      <w:lvlJc w:val="left"/>
      <w:pPr>
        <w:ind w:left="1080" w:hanging="1080"/>
      </w:pPr>
      <w:rPr>
        <w:rFonts w:ascii="Garamond" w:eastAsia="MS Mincho" w:hAnsi="Garamond" w:hint="default"/>
        <w:b/>
        <w:sz w:val="22"/>
      </w:rPr>
    </w:lvl>
    <w:lvl w:ilvl="4">
      <w:start w:val="1"/>
      <w:numFmt w:val="decimal"/>
      <w:lvlText w:val="%1.%2.%3.%4.%5."/>
      <w:lvlJc w:val="left"/>
      <w:pPr>
        <w:ind w:left="1080" w:hanging="1080"/>
      </w:pPr>
      <w:rPr>
        <w:rFonts w:ascii="Garamond" w:eastAsia="MS Mincho" w:hAnsi="Garamond" w:hint="default"/>
        <w:b/>
        <w:sz w:val="22"/>
      </w:rPr>
    </w:lvl>
    <w:lvl w:ilvl="5">
      <w:start w:val="1"/>
      <w:numFmt w:val="decimal"/>
      <w:lvlText w:val="%1.%2.%3.%4.%5.%6."/>
      <w:lvlJc w:val="left"/>
      <w:pPr>
        <w:ind w:left="1440" w:hanging="1440"/>
      </w:pPr>
      <w:rPr>
        <w:rFonts w:ascii="Garamond" w:eastAsia="MS Mincho" w:hAnsi="Garamond" w:hint="default"/>
        <w:b/>
        <w:sz w:val="22"/>
      </w:rPr>
    </w:lvl>
    <w:lvl w:ilvl="6">
      <w:start w:val="1"/>
      <w:numFmt w:val="decimal"/>
      <w:lvlText w:val="%1.%2.%3.%4.%5.%6.%7."/>
      <w:lvlJc w:val="left"/>
      <w:pPr>
        <w:ind w:left="1440" w:hanging="1440"/>
      </w:pPr>
      <w:rPr>
        <w:rFonts w:ascii="Garamond" w:eastAsia="MS Mincho" w:hAnsi="Garamond" w:hint="default"/>
        <w:b/>
        <w:sz w:val="22"/>
      </w:rPr>
    </w:lvl>
    <w:lvl w:ilvl="7">
      <w:start w:val="1"/>
      <w:numFmt w:val="decimal"/>
      <w:lvlText w:val="%1.%2.%3.%4.%5.%6.%7.%8."/>
      <w:lvlJc w:val="left"/>
      <w:pPr>
        <w:ind w:left="1800" w:hanging="1800"/>
      </w:pPr>
      <w:rPr>
        <w:rFonts w:ascii="Garamond" w:eastAsia="MS Mincho" w:hAnsi="Garamond" w:hint="default"/>
        <w:b/>
        <w:sz w:val="22"/>
      </w:rPr>
    </w:lvl>
    <w:lvl w:ilvl="8">
      <w:start w:val="1"/>
      <w:numFmt w:val="decimal"/>
      <w:lvlText w:val="%1.%2.%3.%4.%5.%6.%7.%8.%9."/>
      <w:lvlJc w:val="left"/>
      <w:pPr>
        <w:ind w:left="1800" w:hanging="1800"/>
      </w:pPr>
      <w:rPr>
        <w:rFonts w:ascii="Garamond" w:eastAsia="MS Mincho" w:hAnsi="Garamond" w:hint="default"/>
        <w:b/>
        <w:sz w:val="22"/>
      </w:rPr>
    </w:lvl>
  </w:abstractNum>
  <w:abstractNum w:abstractNumId="54" w15:restartNumberingAfterBreak="0">
    <w:nsid w:val="5A2B7DB3"/>
    <w:multiLevelType w:val="hybridMultilevel"/>
    <w:tmpl w:val="330820F6"/>
    <w:lvl w:ilvl="0" w:tplc="0F42A1EA">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5" w15:restartNumberingAfterBreak="0">
    <w:nsid w:val="5C502CE5"/>
    <w:multiLevelType w:val="hybridMultilevel"/>
    <w:tmpl w:val="277C2DC0"/>
    <w:lvl w:ilvl="0" w:tplc="7C622790">
      <w:start w:val="1"/>
      <w:numFmt w:val="lowerRoman"/>
      <w:lvlText w:val="(%1)"/>
      <w:lvlJc w:val="left"/>
      <w:pPr>
        <w:tabs>
          <w:tab w:val="num" w:pos="1146"/>
        </w:tabs>
        <w:ind w:left="1146" w:hanging="720"/>
      </w:pPr>
      <w:rPr>
        <w:rFonts w:hint="default"/>
      </w:rPr>
    </w:lvl>
    <w:lvl w:ilvl="1" w:tplc="04160019" w:tentative="1">
      <w:start w:val="1"/>
      <w:numFmt w:val="lowerLetter"/>
      <w:lvlText w:val="%2."/>
      <w:lvlJc w:val="left"/>
      <w:pPr>
        <w:tabs>
          <w:tab w:val="num" w:pos="1506"/>
        </w:tabs>
        <w:ind w:left="1506" w:hanging="360"/>
      </w:pPr>
    </w:lvl>
    <w:lvl w:ilvl="2" w:tplc="0416001B" w:tentative="1">
      <w:start w:val="1"/>
      <w:numFmt w:val="lowerRoman"/>
      <w:lvlText w:val="%3."/>
      <w:lvlJc w:val="right"/>
      <w:pPr>
        <w:tabs>
          <w:tab w:val="num" w:pos="2226"/>
        </w:tabs>
        <w:ind w:left="2226" w:hanging="180"/>
      </w:pPr>
    </w:lvl>
    <w:lvl w:ilvl="3" w:tplc="0416000F" w:tentative="1">
      <w:start w:val="1"/>
      <w:numFmt w:val="decimal"/>
      <w:lvlText w:val="%4."/>
      <w:lvlJc w:val="left"/>
      <w:pPr>
        <w:tabs>
          <w:tab w:val="num" w:pos="2946"/>
        </w:tabs>
        <w:ind w:left="2946" w:hanging="360"/>
      </w:pPr>
    </w:lvl>
    <w:lvl w:ilvl="4" w:tplc="04160019" w:tentative="1">
      <w:start w:val="1"/>
      <w:numFmt w:val="lowerLetter"/>
      <w:lvlText w:val="%5."/>
      <w:lvlJc w:val="left"/>
      <w:pPr>
        <w:tabs>
          <w:tab w:val="num" w:pos="3666"/>
        </w:tabs>
        <w:ind w:left="3666" w:hanging="360"/>
      </w:pPr>
    </w:lvl>
    <w:lvl w:ilvl="5" w:tplc="0416001B" w:tentative="1">
      <w:start w:val="1"/>
      <w:numFmt w:val="lowerRoman"/>
      <w:lvlText w:val="%6."/>
      <w:lvlJc w:val="right"/>
      <w:pPr>
        <w:tabs>
          <w:tab w:val="num" w:pos="4386"/>
        </w:tabs>
        <w:ind w:left="4386" w:hanging="180"/>
      </w:pPr>
    </w:lvl>
    <w:lvl w:ilvl="6" w:tplc="0416000F" w:tentative="1">
      <w:start w:val="1"/>
      <w:numFmt w:val="decimal"/>
      <w:lvlText w:val="%7."/>
      <w:lvlJc w:val="left"/>
      <w:pPr>
        <w:tabs>
          <w:tab w:val="num" w:pos="5106"/>
        </w:tabs>
        <w:ind w:left="5106" w:hanging="360"/>
      </w:pPr>
    </w:lvl>
    <w:lvl w:ilvl="7" w:tplc="04160019" w:tentative="1">
      <w:start w:val="1"/>
      <w:numFmt w:val="lowerLetter"/>
      <w:lvlText w:val="%8."/>
      <w:lvlJc w:val="left"/>
      <w:pPr>
        <w:tabs>
          <w:tab w:val="num" w:pos="5826"/>
        </w:tabs>
        <w:ind w:left="5826" w:hanging="360"/>
      </w:pPr>
    </w:lvl>
    <w:lvl w:ilvl="8" w:tplc="0416001B" w:tentative="1">
      <w:start w:val="1"/>
      <w:numFmt w:val="lowerRoman"/>
      <w:lvlText w:val="%9."/>
      <w:lvlJc w:val="right"/>
      <w:pPr>
        <w:tabs>
          <w:tab w:val="num" w:pos="6546"/>
        </w:tabs>
        <w:ind w:left="6546" w:hanging="180"/>
      </w:pPr>
    </w:lvl>
  </w:abstractNum>
  <w:abstractNum w:abstractNumId="56" w15:restartNumberingAfterBreak="0">
    <w:nsid w:val="5E1C2616"/>
    <w:multiLevelType w:val="multilevel"/>
    <w:tmpl w:val="BA7CBC98"/>
    <w:lvl w:ilvl="0">
      <w:start w:val="3"/>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7"/>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6242427B"/>
    <w:multiLevelType w:val="hybridMultilevel"/>
    <w:tmpl w:val="70DE8912"/>
    <w:lvl w:ilvl="0" w:tplc="5A22482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4672074"/>
    <w:multiLevelType w:val="hybridMultilevel"/>
    <w:tmpl w:val="EEB2D21E"/>
    <w:lvl w:ilvl="0" w:tplc="423EC638">
      <w:start w:val="1"/>
      <w:numFmt w:val="decimal"/>
      <w:lvlText w:val="4.%1."/>
      <w:lvlJc w:val="left"/>
      <w:pPr>
        <w:ind w:left="720" w:hanging="360"/>
      </w:pPr>
      <w:rPr>
        <w:rFonts w:ascii="Garamond" w:hAnsi="Garamond" w:cs="Times New Roman" w:hint="default"/>
        <w:b/>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5A065DA"/>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0" w15:restartNumberingAfterBreak="0">
    <w:nsid w:val="694F46F4"/>
    <w:multiLevelType w:val="hybridMultilevel"/>
    <w:tmpl w:val="03B44A84"/>
    <w:lvl w:ilvl="0" w:tplc="5E00ACA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1" w15:restartNumberingAfterBreak="0">
    <w:nsid w:val="69EB20C5"/>
    <w:multiLevelType w:val="hybridMultilevel"/>
    <w:tmpl w:val="9FC4B964"/>
    <w:lvl w:ilvl="0" w:tplc="62A4921C">
      <w:start w:val="9"/>
      <w:numFmt w:val="lowerRoman"/>
      <w:lvlText w:val="(%1)"/>
      <w:lvlJc w:val="left"/>
      <w:pPr>
        <w:tabs>
          <w:tab w:val="num" w:pos="1080"/>
        </w:tabs>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A057EF9"/>
    <w:multiLevelType w:val="hybridMultilevel"/>
    <w:tmpl w:val="1B920FEC"/>
    <w:lvl w:ilvl="0" w:tplc="03624764">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3" w15:restartNumberingAfterBreak="0">
    <w:nsid w:val="6BFA15C6"/>
    <w:multiLevelType w:val="multilevel"/>
    <w:tmpl w:val="1E949F8A"/>
    <w:lvl w:ilvl="0">
      <w:start w:val="3"/>
      <w:numFmt w:val="decimal"/>
      <w:lvlText w:val="%1."/>
      <w:lvlJc w:val="left"/>
      <w:pPr>
        <w:ind w:left="450" w:hanging="45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6CF1363C"/>
    <w:multiLevelType w:val="hybridMultilevel"/>
    <w:tmpl w:val="AA949E52"/>
    <w:lvl w:ilvl="0" w:tplc="2848DFEA">
      <w:start w:val="2"/>
      <w:numFmt w:val="lowerLetter"/>
      <w:lvlText w:val="(%1)"/>
      <w:lvlJc w:val="left"/>
      <w:pPr>
        <w:tabs>
          <w:tab w:val="num" w:pos="1425"/>
        </w:tabs>
        <w:ind w:left="1425" w:hanging="705"/>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0F9497D"/>
    <w:multiLevelType w:val="multilevel"/>
    <w:tmpl w:val="F6281974"/>
    <w:lvl w:ilvl="0">
      <w:start w:val="7"/>
      <w:numFmt w:val="decimal"/>
      <w:lvlText w:val="%1."/>
      <w:lvlJc w:val="left"/>
      <w:pPr>
        <w:tabs>
          <w:tab w:val="num" w:pos="709"/>
        </w:tabs>
        <w:ind w:left="709" w:hanging="709"/>
      </w:pPr>
      <w:rPr>
        <w:rFonts w:ascii="Times New Roman" w:hAnsi="Times New Roman" w:hint="default"/>
        <w:b w:val="0"/>
        <w:i w:val="0"/>
        <w:sz w:val="26"/>
      </w:rPr>
    </w:lvl>
    <w:lvl w:ilvl="1">
      <w:start w:val="2"/>
      <w:numFmt w:val="decimal"/>
      <w:lvlText w:val="8.%2."/>
      <w:lvlJc w:val="left"/>
      <w:pPr>
        <w:tabs>
          <w:tab w:val="num" w:pos="709"/>
        </w:tabs>
        <w:ind w:left="709" w:hanging="709"/>
      </w:pPr>
      <w:rPr>
        <w:rFonts w:hint="default"/>
        <w:b w:val="0"/>
        <w:i w:val="0"/>
        <w:sz w:val="24"/>
        <w:szCs w:val="24"/>
      </w:rPr>
    </w:lvl>
    <w:lvl w:ilvl="2">
      <w:start w:val="1"/>
      <w:numFmt w:val="lowerLetter"/>
      <w:lvlText w:val="(%3)"/>
      <w:lvlJc w:val="left"/>
      <w:pPr>
        <w:tabs>
          <w:tab w:val="num" w:pos="1701"/>
        </w:tabs>
        <w:ind w:left="1701" w:hanging="992"/>
      </w:pPr>
      <w:rPr>
        <w:rFonts w:hint="default"/>
        <w:b w:val="0"/>
        <w:i w:val="0"/>
        <w:sz w:val="20"/>
        <w:szCs w:val="24"/>
      </w:rPr>
    </w:lvl>
    <w:lvl w:ilvl="3">
      <w:start w:val="1"/>
      <w:numFmt w:val="lowerRoman"/>
      <w:lvlText w:val="(%4)"/>
      <w:lvlJc w:val="left"/>
      <w:pPr>
        <w:tabs>
          <w:tab w:val="num" w:pos="2126"/>
        </w:tabs>
        <w:ind w:left="2126" w:hanging="425"/>
      </w:pPr>
      <w:rPr>
        <w:rFonts w:cs="Times New Roman" w:hint="eastAsia"/>
        <w:b w:val="0"/>
        <w:i w:val="0"/>
        <w:color w:val="auto"/>
        <w:spacing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6" w15:restartNumberingAfterBreak="0">
    <w:nsid w:val="743F5802"/>
    <w:multiLevelType w:val="multilevel"/>
    <w:tmpl w:val="67744A98"/>
    <w:lvl w:ilvl="0">
      <w:start w:val="1"/>
      <w:numFmt w:val="decimal"/>
      <w:pStyle w:val="Nvel1"/>
      <w:lvlText w:val="%1."/>
      <w:lvlJc w:val="left"/>
      <w:pPr>
        <w:tabs>
          <w:tab w:val="num" w:pos="1418"/>
        </w:tabs>
        <w:ind w:left="0" w:firstLine="0"/>
      </w:pPr>
      <w:rPr>
        <w:rFonts w:ascii="Garamond" w:hAnsi="Garamond" w:hint="default"/>
        <w:b/>
        <w:i w:val="0"/>
        <w:caps w:val="0"/>
        <w:strike w:val="0"/>
        <w:dstrike w:val="0"/>
        <w:vanish w:val="0"/>
        <w:color w:val="auto"/>
        <w:sz w:val="24"/>
        <w:szCs w:val="24"/>
        <w:u w:val="none"/>
        <w:effect w:val="none"/>
        <w:vertAlign w:val="baseline"/>
      </w:rPr>
    </w:lvl>
    <w:lvl w:ilvl="1">
      <w:start w:val="1"/>
      <w:numFmt w:val="decimal"/>
      <w:pStyle w:val="Nvel11"/>
      <w:isLgl/>
      <w:lvlText w:val="%1.%2"/>
      <w:lvlJc w:val="left"/>
      <w:pPr>
        <w:tabs>
          <w:tab w:val="num" w:pos="1418"/>
        </w:tabs>
        <w:ind w:left="0" w:firstLine="0"/>
      </w:pPr>
      <w:rPr>
        <w:rFonts w:ascii="Garamond" w:hAnsi="Garamond" w:hint="default"/>
        <w:b w:val="0"/>
        <w:i w:val="0"/>
        <w:caps w:val="0"/>
        <w:strike w:val="0"/>
        <w:dstrike w:val="0"/>
        <w:vanish w:val="0"/>
        <w:color w:val="auto"/>
        <w:kern w:val="0"/>
        <w:sz w:val="24"/>
        <w:szCs w:val="24"/>
        <w:u w:val="none"/>
        <w:effect w:val="none"/>
        <w:vertAlign w:val="baseline"/>
      </w:rPr>
    </w:lvl>
    <w:lvl w:ilvl="2">
      <w:start w:val="1"/>
      <w:numFmt w:val="lowerLetter"/>
      <w:pStyle w:val="Nvel11a"/>
      <w:lvlText w:val="(%3)"/>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vel11a1"/>
      <w:lvlText w:val="(%4)"/>
      <w:lvlJc w:val="left"/>
      <w:pPr>
        <w:tabs>
          <w:tab w:val="num" w:pos="1418"/>
        </w:tabs>
        <w:ind w:left="1418" w:hanging="709"/>
      </w:pPr>
      <w:rPr>
        <w:rFonts w:ascii="Garamond" w:hAnsi="Garamond" w:hint="default"/>
        <w:b w:val="0"/>
        <w:i w:val="0"/>
        <w:caps w:val="0"/>
        <w:strike w:val="0"/>
        <w:dstrike w:val="0"/>
        <w:vanish w:val="0"/>
        <w:color w:val="auto"/>
        <w:sz w:val="24"/>
        <w:szCs w:val="24"/>
        <w:vertAlign w:val="baseline"/>
      </w:rPr>
    </w:lvl>
    <w:lvl w:ilvl="4">
      <w:start w:val="1"/>
      <w:numFmt w:val="decimal"/>
      <w:pStyle w:val="Nvel111"/>
      <w:lvlText w:val="%1.%2.%5"/>
      <w:lvlJc w:val="left"/>
      <w:pPr>
        <w:tabs>
          <w:tab w:val="num" w:pos="1985"/>
        </w:tabs>
        <w:ind w:left="568" w:firstLine="0"/>
      </w:pPr>
      <w:rPr>
        <w:rFonts w:ascii="Garamond" w:hAnsi="Garamond" w:cs="Times New Roman" w:hint="default"/>
        <w:b w:val="0"/>
        <w:bCs w:val="0"/>
        <w:i w:val="0"/>
        <w:iCs w:val="0"/>
        <w:caps w:val="0"/>
        <w:smallCaps w:val="0"/>
        <w:strike w:val="0"/>
        <w:dstrike w:val="0"/>
        <w:noProof w:val="0"/>
        <w:vanish w:val="0"/>
        <w:color w:val="auto"/>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pStyle w:val="Nvel111a"/>
      <w:lvlText w:val="(%6)"/>
      <w:lvlJc w:val="left"/>
      <w:pPr>
        <w:tabs>
          <w:tab w:val="num" w:pos="1418"/>
        </w:tabs>
        <w:ind w:left="1418" w:hanging="709"/>
      </w:pPr>
      <w:rPr>
        <w:rFonts w:ascii="Garamond" w:hAnsi="Garamond" w:cs="Times New Roman"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vel111a1"/>
      <w:lvlText w:val="(%7)"/>
      <w:lvlJc w:val="left"/>
      <w:pPr>
        <w:tabs>
          <w:tab w:val="num" w:pos="2126"/>
        </w:tabs>
        <w:ind w:left="2126" w:hanging="708"/>
      </w:pPr>
      <w:rPr>
        <w:rFonts w:ascii="Cambria" w:hAnsi="Cambria" w:hint="default"/>
        <w:b w:val="0"/>
        <w:i w:val="0"/>
        <w:sz w:val="22"/>
      </w:rPr>
    </w:lvl>
    <w:lvl w:ilvl="7">
      <w:start w:val="1"/>
      <w:numFmt w:val="decimal"/>
      <w:pStyle w:val="Nvel1111"/>
      <w:lvlText w:val="%1.%2.%5.%8"/>
      <w:lvlJc w:val="left"/>
      <w:pPr>
        <w:tabs>
          <w:tab w:val="num" w:pos="2835"/>
        </w:tabs>
        <w:ind w:left="1418" w:firstLine="0"/>
      </w:pPr>
      <w:rPr>
        <w:rFonts w:ascii="Garamond" w:hAnsi="Garamond" w:hint="default"/>
        <w:b w:val="0"/>
        <w:i w:val="0"/>
        <w:caps w:val="0"/>
        <w:strike w:val="0"/>
        <w:dstrike w:val="0"/>
        <w:vanish w:val="0"/>
        <w:color w:val="auto"/>
        <w:sz w:val="24"/>
        <w:szCs w:val="24"/>
        <w:u w:val="none"/>
        <w:vertAlign w:val="baseline"/>
      </w:rPr>
    </w:lvl>
    <w:lvl w:ilvl="8">
      <w:start w:val="1"/>
      <w:numFmt w:val="lowerLetter"/>
      <w:pStyle w:val="Nvel1111a"/>
      <w:lvlText w:val="(%9)"/>
      <w:lvlJc w:val="left"/>
      <w:pPr>
        <w:tabs>
          <w:tab w:val="num" w:pos="2126"/>
        </w:tabs>
        <w:ind w:left="2126" w:hanging="708"/>
      </w:pPr>
      <w:rPr>
        <w:rFonts w:ascii="Cambria" w:hAnsi="Cambria" w:hint="default"/>
        <w:b w:val="0"/>
        <w:i w:val="0"/>
        <w:sz w:val="22"/>
      </w:rPr>
    </w:lvl>
  </w:abstractNum>
  <w:abstractNum w:abstractNumId="67" w15:restartNumberingAfterBreak="0">
    <w:nsid w:val="75034898"/>
    <w:multiLevelType w:val="multilevel"/>
    <w:tmpl w:val="81C842B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782F0081"/>
    <w:multiLevelType w:val="multilevel"/>
    <w:tmpl w:val="07862308"/>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78355D7B"/>
    <w:multiLevelType w:val="multilevel"/>
    <w:tmpl w:val="6B7C0D4A"/>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78D3041D"/>
    <w:multiLevelType w:val="hybridMultilevel"/>
    <w:tmpl w:val="D728DCAE"/>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1" w15:restartNumberingAfterBreak="0">
    <w:nsid w:val="7C0B7798"/>
    <w:multiLevelType w:val="hybridMultilevel"/>
    <w:tmpl w:val="9B70C894"/>
    <w:lvl w:ilvl="0" w:tplc="3548702A">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B45687"/>
    <w:multiLevelType w:val="hybridMultilevel"/>
    <w:tmpl w:val="93C0C46E"/>
    <w:lvl w:ilvl="0" w:tplc="5A840652">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3" w15:restartNumberingAfterBreak="0">
    <w:nsid w:val="7DEA3DFF"/>
    <w:multiLevelType w:val="hybridMultilevel"/>
    <w:tmpl w:val="DE7843BC"/>
    <w:lvl w:ilvl="0" w:tplc="2766E81A">
      <w:start w:val="1"/>
      <w:numFmt w:val="lowerLetter"/>
      <w:lvlText w:val="(%1)"/>
      <w:lvlJc w:val="left"/>
      <w:pPr>
        <w:tabs>
          <w:tab w:val="num" w:pos="1065"/>
        </w:tabs>
        <w:ind w:left="1065" w:hanging="705"/>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4" w15:restartNumberingAfterBreak="0">
    <w:nsid w:val="7EAD76AA"/>
    <w:multiLevelType w:val="multilevel"/>
    <w:tmpl w:val="4B600500"/>
    <w:lvl w:ilvl="0">
      <w:start w:val="3"/>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49"/>
  </w:num>
  <w:num w:numId="3">
    <w:abstractNumId w:val="41"/>
  </w:num>
  <w:num w:numId="4">
    <w:abstractNumId w:val="27"/>
  </w:num>
  <w:num w:numId="5">
    <w:abstractNumId w:val="70"/>
  </w:num>
  <w:num w:numId="6">
    <w:abstractNumId w:val="29"/>
  </w:num>
  <w:num w:numId="7">
    <w:abstractNumId w:val="22"/>
  </w:num>
  <w:num w:numId="8">
    <w:abstractNumId w:val="25"/>
  </w:num>
  <w:num w:numId="9">
    <w:abstractNumId w:val="44"/>
  </w:num>
  <w:num w:numId="10">
    <w:abstractNumId w:val="0"/>
  </w:num>
  <w:num w:numId="11">
    <w:abstractNumId w:val="73"/>
  </w:num>
  <w:num w:numId="12">
    <w:abstractNumId w:val="38"/>
  </w:num>
  <w:num w:numId="13">
    <w:abstractNumId w:val="72"/>
  </w:num>
  <w:num w:numId="14">
    <w:abstractNumId w:val="33"/>
  </w:num>
  <w:num w:numId="15">
    <w:abstractNumId w:val="64"/>
  </w:num>
  <w:num w:numId="16">
    <w:abstractNumId w:val="55"/>
  </w:num>
  <w:num w:numId="17">
    <w:abstractNumId w:val="51"/>
  </w:num>
  <w:num w:numId="18">
    <w:abstractNumId w:val="21"/>
  </w:num>
  <w:num w:numId="19">
    <w:abstractNumId w:val="26"/>
  </w:num>
  <w:num w:numId="20">
    <w:abstractNumId w:val="32"/>
  </w:num>
  <w:num w:numId="21">
    <w:abstractNumId w:val="12"/>
  </w:num>
  <w:num w:numId="22">
    <w:abstractNumId w:val="1"/>
    <w:lvlOverride w:ilvl="0">
      <w:lvl w:ilvl="0" w:tplc="FFFFFFFF">
        <w:start w:val="1"/>
        <w:numFmt w:val="lowerLetter"/>
        <w:lvlText w:val="(%1)"/>
        <w:lvlJc w:val="left"/>
        <w:pPr>
          <w:tabs>
            <w:tab w:val="num" w:pos="720"/>
          </w:tabs>
          <w:ind w:left="720" w:hanging="720"/>
        </w:pPr>
        <w:rPr>
          <w:rFonts w:ascii="Times New Roman" w:hAnsi="Times New Roman" w:hint="default"/>
          <w:sz w:val="26"/>
        </w:rPr>
      </w:lvl>
    </w:lvlOverride>
    <w:lvlOverride w:ilvl="1">
      <w:lvl w:ilvl="1" w:tplc="FFFFFFFF" w:tentative="1">
        <w:start w:val="1"/>
        <w:numFmt w:val="lowerLetter"/>
        <w:lvlText w:val="%2."/>
        <w:lvlJc w:val="left"/>
        <w:pPr>
          <w:tabs>
            <w:tab w:val="num" w:pos="1440"/>
          </w:tabs>
          <w:ind w:left="1440" w:hanging="360"/>
        </w:pPr>
      </w:lvl>
    </w:lvlOverride>
    <w:lvlOverride w:ilvl="2">
      <w:lvl w:ilvl="2" w:tplc="FFFFFFFF" w:tentative="1">
        <w:start w:val="1"/>
        <w:numFmt w:val="lowerRoman"/>
        <w:lvlText w:val="%3."/>
        <w:lvlJc w:val="right"/>
        <w:pPr>
          <w:tabs>
            <w:tab w:val="num" w:pos="2160"/>
          </w:tabs>
          <w:ind w:left="2160" w:hanging="180"/>
        </w:pPr>
      </w:lvl>
    </w:lvlOverride>
    <w:lvlOverride w:ilvl="3">
      <w:lvl w:ilvl="3" w:tplc="FFFFFFFF" w:tentative="1">
        <w:start w:val="1"/>
        <w:numFmt w:val="decimal"/>
        <w:lvlText w:val="%4."/>
        <w:lvlJc w:val="left"/>
        <w:pPr>
          <w:tabs>
            <w:tab w:val="num" w:pos="2880"/>
          </w:tabs>
          <w:ind w:left="2880" w:hanging="360"/>
        </w:pPr>
      </w:lvl>
    </w:lvlOverride>
    <w:lvlOverride w:ilvl="4">
      <w:lvl w:ilvl="4" w:tplc="FFFFFFFF" w:tentative="1">
        <w:start w:val="1"/>
        <w:numFmt w:val="lowerLetter"/>
        <w:lvlText w:val="%5."/>
        <w:lvlJc w:val="left"/>
        <w:pPr>
          <w:tabs>
            <w:tab w:val="num" w:pos="3600"/>
          </w:tabs>
          <w:ind w:left="3600" w:hanging="360"/>
        </w:pPr>
      </w:lvl>
    </w:lvlOverride>
    <w:lvlOverride w:ilvl="5">
      <w:lvl w:ilvl="5" w:tplc="FFFFFFFF" w:tentative="1">
        <w:start w:val="1"/>
        <w:numFmt w:val="lowerRoman"/>
        <w:lvlText w:val="%6."/>
        <w:lvlJc w:val="right"/>
        <w:pPr>
          <w:tabs>
            <w:tab w:val="num" w:pos="4320"/>
          </w:tabs>
          <w:ind w:left="4320" w:hanging="180"/>
        </w:pPr>
      </w:lvl>
    </w:lvlOverride>
    <w:lvlOverride w:ilvl="6">
      <w:lvl w:ilvl="6" w:tplc="FFFFFFFF" w:tentative="1">
        <w:start w:val="1"/>
        <w:numFmt w:val="decimal"/>
        <w:lvlText w:val="%7."/>
        <w:lvlJc w:val="left"/>
        <w:pPr>
          <w:tabs>
            <w:tab w:val="num" w:pos="5040"/>
          </w:tabs>
          <w:ind w:left="5040" w:hanging="360"/>
        </w:pPr>
      </w:lvl>
    </w:lvlOverride>
    <w:lvlOverride w:ilvl="7">
      <w:lvl w:ilvl="7" w:tplc="FFFFFFFF" w:tentative="1">
        <w:start w:val="1"/>
        <w:numFmt w:val="lowerLetter"/>
        <w:lvlText w:val="%8."/>
        <w:lvlJc w:val="left"/>
        <w:pPr>
          <w:tabs>
            <w:tab w:val="num" w:pos="5760"/>
          </w:tabs>
          <w:ind w:left="5760" w:hanging="360"/>
        </w:pPr>
      </w:lvl>
    </w:lvlOverride>
    <w:lvlOverride w:ilvl="8">
      <w:lvl w:ilvl="8" w:tplc="FFFFFFFF" w:tentative="1">
        <w:start w:val="1"/>
        <w:numFmt w:val="lowerRoman"/>
        <w:lvlText w:val="%9."/>
        <w:lvlJc w:val="right"/>
        <w:pPr>
          <w:tabs>
            <w:tab w:val="num" w:pos="6480"/>
          </w:tabs>
          <w:ind w:left="6480" w:hanging="180"/>
        </w:pPr>
      </w:lvl>
    </w:lvlOverride>
  </w:num>
  <w:num w:numId="23">
    <w:abstractNumId w:val="2"/>
  </w:num>
  <w:num w:numId="24">
    <w:abstractNumId w:val="62"/>
  </w:num>
  <w:num w:numId="25">
    <w:abstractNumId w:val="54"/>
  </w:num>
  <w:num w:numId="26">
    <w:abstractNumId w:val="59"/>
  </w:num>
  <w:num w:numId="27">
    <w:abstractNumId w:val="20"/>
  </w:num>
  <w:num w:numId="28">
    <w:abstractNumId w:val="37"/>
  </w:num>
  <w:num w:numId="29">
    <w:abstractNumId w:val="11"/>
  </w:num>
  <w:num w:numId="30">
    <w:abstractNumId w:val="7"/>
  </w:num>
  <w:num w:numId="31">
    <w:abstractNumId w:val="60"/>
  </w:num>
  <w:num w:numId="32">
    <w:abstractNumId w:val="1"/>
  </w:num>
  <w:num w:numId="33">
    <w:abstractNumId w:val="47"/>
  </w:num>
  <w:num w:numId="34">
    <w:abstractNumId w:val="50"/>
  </w:num>
  <w:num w:numId="35">
    <w:abstractNumId w:val="48"/>
  </w:num>
  <w:num w:numId="36">
    <w:abstractNumId w:val="15"/>
  </w:num>
  <w:num w:numId="37">
    <w:abstractNumId w:val="57"/>
  </w:num>
  <w:num w:numId="38">
    <w:abstractNumId w:val="30"/>
  </w:num>
  <w:num w:numId="39">
    <w:abstractNumId w:val="34"/>
  </w:num>
  <w:num w:numId="40">
    <w:abstractNumId w:val="24"/>
  </w:num>
  <w:num w:numId="41">
    <w:abstractNumId w:val="68"/>
  </w:num>
  <w:num w:numId="42">
    <w:abstractNumId w:val="46"/>
  </w:num>
  <w:num w:numId="43">
    <w:abstractNumId w:val="53"/>
  </w:num>
  <w:num w:numId="44">
    <w:abstractNumId w:val="13"/>
  </w:num>
  <w:num w:numId="45">
    <w:abstractNumId w:val="14"/>
  </w:num>
  <w:num w:numId="46">
    <w:abstractNumId w:val="5"/>
  </w:num>
  <w:num w:numId="47">
    <w:abstractNumId w:val="58"/>
  </w:num>
  <w:num w:numId="48">
    <w:abstractNumId w:val="9"/>
  </w:num>
  <w:num w:numId="49">
    <w:abstractNumId w:val="40"/>
  </w:num>
  <w:num w:numId="50">
    <w:abstractNumId w:val="4"/>
    <w:lvlOverride w:ilvl="0">
      <w:lvl w:ilvl="0">
        <w:start w:val="1"/>
        <w:numFmt w:val="upperRoman"/>
        <w:lvlText w:val="Cláusula %1."/>
        <w:lvlJc w:val="left"/>
        <w:pPr>
          <w:ind w:left="4188" w:hanging="360"/>
        </w:pPr>
        <w:rPr>
          <w:rFonts w:ascii="Garamond" w:hAnsi="Garamond" w:hint="default"/>
          <w:b/>
          <w:i w:val="0"/>
          <w:caps/>
          <w:smallCaps/>
          <w:sz w:val="24"/>
          <w:u w:val="none"/>
        </w:rPr>
      </w:lvl>
    </w:lvlOverride>
    <w:lvlOverride w:ilvl="1">
      <w:lvl w:ilvl="1">
        <w:start w:val="1"/>
        <w:numFmt w:val="decimal"/>
        <w:isLgl/>
        <w:lvlText w:val="%1.%2."/>
        <w:lvlJc w:val="left"/>
        <w:pPr>
          <w:ind w:left="928" w:hanging="360"/>
        </w:pPr>
        <w:rPr>
          <w:rFonts w:ascii="Garamond" w:hAnsi="Garamond" w:hint="default"/>
          <w:b/>
          <w:sz w:val="24"/>
          <w:szCs w:val="24"/>
          <w:u w:val="none"/>
        </w:rPr>
      </w:lvl>
    </w:lvlOverride>
    <w:lvlOverride w:ilvl="2">
      <w:lvl w:ilvl="2">
        <w:start w:val="1"/>
        <w:numFmt w:val="decimal"/>
        <w:isLgl/>
        <w:lvlText w:val="%1.%2.%3."/>
        <w:lvlJc w:val="left"/>
        <w:pPr>
          <w:ind w:left="862" w:hanging="720"/>
        </w:pPr>
        <w:rPr>
          <w:rFonts w:hint="default"/>
          <w:b w:val="0"/>
          <w:sz w:val="24"/>
          <w:szCs w:val="24"/>
          <w:u w:val="none"/>
        </w:rPr>
      </w:lvl>
    </w:lvlOverride>
    <w:lvlOverride w:ilvl="3">
      <w:lvl w:ilvl="3">
        <w:start w:val="1"/>
        <w:numFmt w:val="decimal"/>
        <w:lvlRestart w:val="0"/>
        <w:isLgl/>
        <w:lvlText w:val="%1.%2.%3.%4."/>
        <w:lvlJc w:val="left"/>
        <w:pPr>
          <w:ind w:left="720" w:hanging="720"/>
        </w:pPr>
        <w:rPr>
          <w:rFonts w:hint="default"/>
          <w:b w:val="0"/>
          <w:u w:val="none"/>
        </w:rPr>
      </w:lvl>
    </w:lvlOverride>
  </w:num>
  <w:num w:numId="51">
    <w:abstractNumId w:val="35"/>
  </w:num>
  <w:num w:numId="52">
    <w:abstractNumId w:val="42"/>
  </w:num>
  <w:num w:numId="53">
    <w:abstractNumId w:val="36"/>
  </w:num>
  <w:num w:numId="54">
    <w:abstractNumId w:val="10"/>
  </w:num>
  <w:num w:numId="55">
    <w:abstractNumId w:val="56"/>
  </w:num>
  <w:num w:numId="56">
    <w:abstractNumId w:val="61"/>
  </w:num>
  <w:num w:numId="57">
    <w:abstractNumId w:val="28"/>
  </w:num>
  <w:num w:numId="58">
    <w:abstractNumId w:val="45"/>
  </w:num>
  <w:num w:numId="59">
    <w:abstractNumId w:val="74"/>
  </w:num>
  <w:num w:numId="60">
    <w:abstractNumId w:val="71"/>
  </w:num>
  <w:num w:numId="61">
    <w:abstractNumId w:val="16"/>
  </w:num>
  <w:num w:numId="62">
    <w:abstractNumId w:val="18"/>
  </w:num>
  <w:num w:numId="63">
    <w:abstractNumId w:val="3"/>
  </w:num>
  <w:num w:numId="64">
    <w:abstractNumId w:val="63"/>
  </w:num>
  <w:num w:numId="65">
    <w:abstractNumId w:val="39"/>
  </w:num>
  <w:num w:numId="66">
    <w:abstractNumId w:val="19"/>
  </w:num>
  <w:num w:numId="67">
    <w:abstractNumId w:val="65"/>
  </w:num>
  <w:num w:numId="68">
    <w:abstractNumId w:val="23"/>
  </w:num>
  <w:num w:numId="69">
    <w:abstractNumId w:val="8"/>
  </w:num>
  <w:num w:numId="70">
    <w:abstractNumId w:val="31"/>
  </w:num>
  <w:num w:numId="71">
    <w:abstractNumId w:val="6"/>
  </w:num>
  <w:num w:numId="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2"/>
  </w:num>
  <w:num w:numId="74">
    <w:abstractNumId w:val="67"/>
  </w:num>
  <w:num w:numId="75">
    <w:abstractNumId w:val="43"/>
  </w:num>
  <w:num w:numId="76">
    <w:abstractNumId w:val="66"/>
  </w:num>
  <w:num w:numId="77">
    <w:abstractNumId w:val="6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9"/>
  <w:hyphenationZone w:val="425"/>
  <w:characterSpacingControl w:val="doNotCompress"/>
  <w:hdrShapeDefaults>
    <o:shapedefaults v:ext="edit" spidmax="2457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C8"/>
    <w:rsid w:val="00626B63"/>
    <w:rsid w:val="00DE19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sz w:val="26"/>
    </w:rPr>
  </w:style>
  <w:style w:type="paragraph" w:styleId="Ttulo1">
    <w:name w:val="heading 1"/>
    <w:basedOn w:val="Normal"/>
    <w:next w:val="Normal"/>
    <w:qFormat/>
    <w:pPr>
      <w:keepNext/>
      <w:spacing w:line="360" w:lineRule="exact"/>
      <w:jc w:val="left"/>
      <w:outlineLvl w:val="0"/>
    </w:pPr>
    <w:rPr>
      <w:b/>
      <w:sz w:val="24"/>
    </w:rPr>
  </w:style>
  <w:style w:type="paragraph" w:styleId="Ttulo2">
    <w:name w:val="heading 2"/>
    <w:basedOn w:val="Normal"/>
    <w:next w:val="Normal"/>
    <w:link w:val="Ttulo2Char"/>
    <w:qFormat/>
    <w:pPr>
      <w:keepNext/>
      <w:spacing w:line="360" w:lineRule="exact"/>
      <w:jc w:val="center"/>
      <w:outlineLvl w:val="1"/>
    </w:pPr>
    <w:rPr>
      <w:b/>
      <w:sz w:val="24"/>
    </w:rPr>
  </w:style>
  <w:style w:type="paragraph" w:styleId="Ttulo3">
    <w:name w:val="heading 3"/>
    <w:basedOn w:val="Normal"/>
    <w:next w:val="Normal"/>
    <w:qFormat/>
    <w:pPr>
      <w:keepNext/>
      <w:spacing w:line="360" w:lineRule="exact"/>
      <w:outlineLvl w:val="2"/>
    </w:pPr>
    <w:rPr>
      <w:b/>
      <w:sz w:val="24"/>
    </w:rPr>
  </w:style>
  <w:style w:type="paragraph" w:styleId="Ttulo4">
    <w:name w:val="heading 4"/>
    <w:basedOn w:val="Normal"/>
    <w:next w:val="Normal"/>
    <w:qFormat/>
    <w:pPr>
      <w:keepNext/>
      <w:spacing w:before="120" w:line="320" w:lineRule="exact"/>
      <w:jc w:val="center"/>
      <w:outlineLvl w:val="3"/>
    </w:pPr>
    <w:rPr>
      <w:b/>
    </w:rPr>
  </w:style>
  <w:style w:type="paragraph" w:styleId="Ttulo5">
    <w:name w:val="heading 5"/>
    <w:basedOn w:val="Normal"/>
    <w:next w:val="Normal"/>
    <w:qFormat/>
    <w:pPr>
      <w:keepNext/>
      <w:spacing w:before="600" w:line="320" w:lineRule="atLeast"/>
      <w:jc w:val="center"/>
      <w:outlineLvl w:val="4"/>
    </w:pPr>
    <w:rPr>
      <w:b/>
      <w:sz w:val="23"/>
    </w:rPr>
  </w:style>
  <w:style w:type="paragraph" w:styleId="Ttulo6">
    <w:name w:val="heading 6"/>
    <w:basedOn w:val="Normal"/>
    <w:next w:val="Normal"/>
    <w:qFormat/>
    <w:pPr>
      <w:keepNext/>
      <w:spacing w:line="320" w:lineRule="exact"/>
      <w:ind w:left="708"/>
      <w:outlineLvl w:val="5"/>
    </w:pPr>
  </w:style>
  <w:style w:type="paragraph" w:styleId="Ttulo7">
    <w:name w:val="heading 7"/>
    <w:basedOn w:val="Normal"/>
    <w:next w:val="Normal"/>
    <w:qFormat/>
    <w:pPr>
      <w:keepNext/>
      <w:spacing w:line="320" w:lineRule="exact"/>
      <w:jc w:val="right"/>
      <w:outlineLvl w:val="6"/>
    </w:pPr>
    <w:rPr>
      <w:rFonts w:ascii="Frutiger Light" w:hAnsi="Frutiger Light"/>
      <w:u w:val="single"/>
    </w:rPr>
  </w:style>
  <w:style w:type="paragraph" w:styleId="Ttulo8">
    <w:name w:val="heading 8"/>
    <w:basedOn w:val="Normal"/>
    <w:next w:val="Normal"/>
    <w:qFormat/>
    <w:pPr>
      <w:keepNext/>
      <w:spacing w:line="320" w:lineRule="exact"/>
      <w:outlineLvl w:val="7"/>
    </w:pPr>
    <w:rPr>
      <w:rFonts w:ascii="Frutiger Light" w:hAnsi="Frutiger Light"/>
      <w:u w:val="single"/>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harCharCharCharChar2CharCharChar1CharChar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har2CharCharCharCharCharCharCharCharChar">
    <w:name w:val="Char2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itcar">
    <w:name w:val="citcar"/>
    <w:basedOn w:val="Normal"/>
    <w:pPr>
      <w:widowControl w:val="0"/>
      <w:spacing w:line="240" w:lineRule="exact"/>
      <w:ind w:left="1134" w:right="1134"/>
    </w:pPr>
  </w:style>
  <w:style w:type="paragraph" w:customStyle="1" w:styleId="citpet">
    <w:name w:val="citpet"/>
    <w:basedOn w:val="citcar"/>
    <w:pPr>
      <w:ind w:left="1418" w:right="1418"/>
    </w:pPr>
    <w:rPr>
      <w:sz w:val="20"/>
    </w:rPr>
  </w:style>
  <w:style w:type="paragraph" w:customStyle="1" w:styleId="MF1">
    <w:name w:val="MF1"/>
    <w:basedOn w:val="Normal"/>
    <w:autoRedefine/>
    <w:pPr>
      <w:numPr>
        <w:numId w:val="1"/>
      </w:numPr>
      <w:tabs>
        <w:tab w:val="clear" w:pos="360"/>
      </w:tabs>
      <w:spacing w:line="320" w:lineRule="exact"/>
      <w:ind w:left="0" w:firstLine="0"/>
      <w:jc w:val="center"/>
    </w:pPr>
    <w:rPr>
      <w:b/>
      <w:smallCaps/>
      <w:sz w:val="24"/>
    </w:rPr>
  </w:style>
  <w:style w:type="paragraph" w:customStyle="1" w:styleId="MF2">
    <w:name w:val="MF2"/>
    <w:basedOn w:val="Normal"/>
    <w:autoRedefine/>
    <w:pPr>
      <w:tabs>
        <w:tab w:val="num" w:pos="360"/>
      </w:tabs>
      <w:spacing w:line="320" w:lineRule="exact"/>
      <w:ind w:left="360" w:hanging="360"/>
    </w:pPr>
    <w:rPr>
      <w:b/>
      <w:sz w:val="20"/>
    </w:rPr>
  </w:style>
  <w:style w:type="paragraph" w:styleId="Corpodetexto2">
    <w:name w:val="Body Text 2"/>
    <w:basedOn w:val="Normal"/>
    <w:pPr>
      <w:spacing w:line="360" w:lineRule="exact"/>
      <w:jc w:val="center"/>
    </w:pPr>
    <w:rPr>
      <w:b/>
      <w:sz w:val="24"/>
    </w:rPr>
  </w:style>
  <w:style w:type="paragraph" w:styleId="Cabealho">
    <w:name w:val="header"/>
    <w:basedOn w:val="Normal"/>
    <w:link w:val="CabealhoChar"/>
    <w:uiPriority w:val="99"/>
    <w:pPr>
      <w:widowControl w:val="0"/>
      <w:tabs>
        <w:tab w:val="center" w:pos="4419"/>
        <w:tab w:val="right" w:pos="8838"/>
      </w:tabs>
    </w:pPr>
  </w:style>
  <w:style w:type="paragraph" w:styleId="Recuodecorpodetexto">
    <w:name w:val="Body Text Indent"/>
    <w:basedOn w:val="Normal"/>
    <w:link w:val="RecuodecorpodetextoChar"/>
    <w:pPr>
      <w:ind w:left="2127" w:hanging="711"/>
    </w:pPr>
  </w:style>
  <w:style w:type="character" w:customStyle="1" w:styleId="RecuodecorpodetextoChar">
    <w:name w:val="Recuo de corpo de texto Char"/>
    <w:link w:val="Recuodecorpodetexto"/>
    <w:rPr>
      <w:sz w:val="26"/>
      <w:lang w:val="pt-BR" w:eastAsia="pt-BR" w:bidi="ar-SA"/>
    </w:rPr>
  </w:style>
  <w:style w:type="paragraph" w:customStyle="1" w:styleId="p0">
    <w:name w:val="p0"/>
    <w:basedOn w:val="Normal"/>
    <w:pPr>
      <w:tabs>
        <w:tab w:val="left" w:pos="720"/>
      </w:tabs>
      <w:spacing w:line="240" w:lineRule="atLeast"/>
    </w:pPr>
    <w:rPr>
      <w:rFonts w:ascii="Times" w:hAnsi="Times"/>
      <w:sz w:val="24"/>
    </w:rPr>
  </w:style>
  <w:style w:type="paragraph" w:styleId="Corpodetexto3">
    <w:name w:val="Body Text 3"/>
    <w:basedOn w:val="Normal"/>
    <w:pPr>
      <w:spacing w:line="320" w:lineRule="atLeast"/>
    </w:pPr>
  </w:style>
  <w:style w:type="paragraph" w:customStyle="1" w:styleId="c3">
    <w:name w:val="c3"/>
    <w:basedOn w:val="Normal"/>
    <w:pPr>
      <w:spacing w:line="240" w:lineRule="atLeast"/>
      <w:jc w:val="center"/>
    </w:pPr>
    <w:rPr>
      <w:rFonts w:ascii="Times" w:hAnsi="Times"/>
      <w:sz w:val="24"/>
    </w:rPr>
  </w:style>
  <w:style w:type="paragraph" w:styleId="Corpodetexto">
    <w:name w:val="Body Text"/>
    <w:aliases w:val="bt,BT"/>
    <w:basedOn w:val="Normal"/>
    <w:pPr>
      <w:tabs>
        <w:tab w:val="left" w:pos="576"/>
        <w:tab w:val="left" w:pos="1152"/>
      </w:tabs>
      <w:spacing w:line="360" w:lineRule="exact"/>
      <w:ind w:right="-6"/>
    </w:pPr>
    <w:rPr>
      <w:sz w:val="24"/>
    </w:rPr>
  </w:style>
  <w:style w:type="paragraph" w:styleId="Recuodecorpodetexto2">
    <w:name w:val="Body Text Indent 2"/>
    <w:basedOn w:val="Normal"/>
    <w:pPr>
      <w:spacing w:line="360" w:lineRule="exact"/>
      <w:ind w:left="720"/>
    </w:pPr>
    <w:rPr>
      <w:sz w:val="24"/>
    </w:rPr>
  </w:style>
  <w:style w:type="character" w:styleId="Nmerodepgina">
    <w:name w:val="page number"/>
    <w:basedOn w:val="Fontepargpadro"/>
  </w:style>
  <w:style w:type="paragraph" w:styleId="Rodap">
    <w:name w:val="footer"/>
    <w:basedOn w:val="Normal"/>
    <w:link w:val="RodapChar"/>
    <w:uiPriority w:val="99"/>
    <w:pPr>
      <w:tabs>
        <w:tab w:val="center" w:pos="4419"/>
        <w:tab w:val="right" w:pos="8838"/>
      </w:tabs>
      <w:jc w:val="left"/>
    </w:pPr>
    <w:rPr>
      <w:rFonts w:ascii="Times" w:hAnsi="Times"/>
      <w:sz w:val="24"/>
    </w:rPr>
  </w:style>
  <w:style w:type="paragraph" w:styleId="Textoembloco">
    <w:name w:val="Block Text"/>
    <w:basedOn w:val="Normal"/>
    <w:pPr>
      <w:tabs>
        <w:tab w:val="left" w:pos="9072"/>
      </w:tabs>
      <w:spacing w:line="240" w:lineRule="atLeast"/>
      <w:ind w:left="426" w:right="-1"/>
    </w:pPr>
    <w:rPr>
      <w:sz w:val="24"/>
    </w:rPr>
  </w:style>
  <w:style w:type="paragraph" w:customStyle="1" w:styleId="t7">
    <w:name w:val="t7"/>
    <w:basedOn w:val="Normal"/>
    <w:pPr>
      <w:tabs>
        <w:tab w:val="left" w:pos="1540"/>
        <w:tab w:val="left" w:pos="3500"/>
        <w:tab w:val="left" w:pos="5020"/>
      </w:tabs>
      <w:spacing w:line="240" w:lineRule="atLeast"/>
      <w:jc w:val="left"/>
    </w:pPr>
    <w:rPr>
      <w:rFonts w:ascii="Times" w:hAnsi="Times"/>
      <w:sz w:val="24"/>
    </w:rPr>
  </w:style>
  <w:style w:type="character" w:styleId="Hyperlink">
    <w:name w:val="Hyperlink"/>
    <w:uiPriority w:val="99"/>
    <w:rPr>
      <w:color w:val="0000FF"/>
      <w:u w:val="single"/>
    </w:rPr>
  </w:style>
  <w:style w:type="paragraph" w:customStyle="1" w:styleId="Estilo2">
    <w:name w:val="Estilo2"/>
    <w:basedOn w:val="Normal"/>
    <w:pPr>
      <w:tabs>
        <w:tab w:val="left" w:pos="2835"/>
      </w:tabs>
      <w:spacing w:after="120"/>
      <w:ind w:left="2977" w:hanging="853"/>
      <w:jc w:val="left"/>
    </w:pPr>
    <w:rPr>
      <w:rFonts w:ascii="Arial" w:hAnsi="Arial"/>
      <w:sz w:val="22"/>
    </w:rPr>
  </w:style>
  <w:style w:type="paragraph" w:styleId="Textodecomentrio">
    <w:name w:val="annotation text"/>
    <w:basedOn w:val="Normal"/>
    <w:link w:val="TextodecomentrioChar"/>
    <w:semiHidden/>
    <w:rPr>
      <w:sz w:val="20"/>
    </w:rPr>
  </w:style>
  <w:style w:type="character" w:customStyle="1" w:styleId="TextodecomentrioChar">
    <w:name w:val="Texto de comentário Char"/>
    <w:link w:val="Textodecomentrio"/>
    <w:semiHidden/>
    <w:rPr>
      <w:lang w:val="pt-BR" w:eastAsia="pt-BR" w:bidi="ar-SA"/>
    </w:rPr>
  </w:style>
  <w:style w:type="paragraph" w:styleId="Recuodecorpodetexto3">
    <w:name w:val="Body Text Indent 3"/>
    <w:basedOn w:val="Normal"/>
    <w:pPr>
      <w:spacing w:after="120"/>
      <w:ind w:left="360"/>
    </w:pPr>
    <w:rPr>
      <w:sz w:val="16"/>
      <w:szCs w:val="16"/>
    </w:rPr>
  </w:style>
  <w:style w:type="paragraph" w:customStyle="1" w:styleId="para10">
    <w:name w:val="para10"/>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pPr>
      <w:jc w:val="both"/>
    </w:pPr>
    <w:rPr>
      <w:snapToGrid w:val="0"/>
      <w:color w:val="000000"/>
      <w:sz w:val="26"/>
    </w:rPr>
  </w:style>
  <w:style w:type="paragraph" w:styleId="Ttulo">
    <w:name w:val="Title"/>
    <w:basedOn w:val="Normal"/>
    <w:next w:val="Corpodetexto"/>
    <w:qFormat/>
    <w:pPr>
      <w:keepNext/>
      <w:widowControl w:val="0"/>
      <w:suppressAutoHyphens/>
      <w:spacing w:before="240" w:after="120"/>
      <w:jc w:val="left"/>
    </w:pPr>
    <w:rPr>
      <w:rFonts w:ascii="Albany" w:eastAsia="HG Mincho Light J" w:hAnsi="Albany"/>
      <w:color w:val="000000"/>
      <w:sz w:val="28"/>
    </w:rPr>
  </w:style>
  <w:style w:type="paragraph" w:styleId="Subttulo">
    <w:name w:val="Subtitle"/>
    <w:basedOn w:val="Normal"/>
    <w:next w:val="Corpodetexto"/>
    <w:qFormat/>
    <w:pPr>
      <w:widowControl w:val="0"/>
      <w:suppressAutoHyphens/>
      <w:jc w:val="center"/>
    </w:pPr>
    <w:rPr>
      <w:rFonts w:eastAsia="HG Mincho Light J"/>
      <w:b/>
      <w:color w:val="000000"/>
      <w:sz w:val="24"/>
    </w:rPr>
  </w:style>
  <w:style w:type="paragraph" w:customStyle="1" w:styleId="BodyText21">
    <w:name w:val="Body Text 21"/>
    <w:basedOn w:val="Normal"/>
    <w:pPr>
      <w:widowControl w:val="0"/>
      <w:ind w:left="567"/>
    </w:pPr>
    <w:rPr>
      <w:sz w:val="24"/>
      <w:lang w:val="en-AU"/>
    </w:rPr>
  </w:style>
  <w:style w:type="paragraph" w:styleId="NormalWeb">
    <w:name w:val="Normal (Web)"/>
    <w:basedOn w:val="Normal"/>
    <w:uiPriority w:val="99"/>
    <w:pPr>
      <w:spacing w:before="100" w:after="100"/>
      <w:jc w:val="left"/>
    </w:pPr>
    <w:rPr>
      <w:rFonts w:ascii="Arial Unicode MS" w:eastAsia="Arial Unicode MS" w:hAnsi="Arial Unicode MS"/>
      <w:color w:val="000000"/>
      <w:sz w:val="24"/>
    </w:rPr>
  </w:style>
  <w:style w:type="character" w:customStyle="1" w:styleId="DeltaViewInsertion">
    <w:name w:val="DeltaView Insertion"/>
    <w:uiPriority w:val="99"/>
    <w:rPr>
      <w:color w:val="0000FF"/>
      <w:spacing w:val="0"/>
      <w:u w:val="double"/>
    </w:rPr>
  </w:style>
  <w:style w:type="paragraph" w:customStyle="1" w:styleId="Ttulo1AgmtArticleNumber">
    <w:name w:val="Título 1.Agmt Article Number"/>
    <w:basedOn w:val="Normal"/>
    <w:next w:val="Normal"/>
    <w:pPr>
      <w:keepNext/>
      <w:jc w:val="left"/>
      <w:outlineLvl w:val="0"/>
    </w:pPr>
    <w:rPr>
      <w:b/>
      <w:sz w:val="18"/>
    </w:rPr>
  </w:style>
  <w:style w:type="character" w:customStyle="1" w:styleId="Normal1">
    <w:name w:val="Normal1"/>
    <w:rPr>
      <w:rFonts w:ascii="Helvetica" w:hAnsi="Helvetica"/>
      <w:sz w:val="24"/>
    </w:rPr>
  </w:style>
  <w:style w:type="paragraph" w:customStyle="1" w:styleId="DeltaViewTableBody">
    <w:name w:val="DeltaView Table Body"/>
    <w:basedOn w:val="Normal"/>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Pr>
      <w:color w:val="00C000"/>
      <w:spacing w:val="0"/>
      <w:u w:val="double"/>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Textodebalo">
    <w:name w:val="Balloon Text"/>
    <w:basedOn w:val="Normal"/>
    <w:semiHidden/>
    <w:rPr>
      <w:rFonts w:ascii="Tahoma" w:hAnsi="Tahoma" w:cs="Tahoma"/>
      <w:sz w:val="16"/>
      <w:szCs w:val="16"/>
    </w:rPr>
  </w:style>
  <w:style w:type="paragraph" w:customStyle="1" w:styleId="CharCharCharCharCharCharCharCharCharCharChar">
    <w:name w:val="Char Char Char Char Char Char Char Char Char Char Char"/>
    <w:basedOn w:val="Normal"/>
    <w:pPr>
      <w:spacing w:after="160" w:line="240" w:lineRule="exact"/>
      <w:jc w:val="left"/>
    </w:pPr>
    <w:rPr>
      <w:rFonts w:ascii="Verdana" w:hAnsi="Verdana"/>
      <w:sz w:val="20"/>
      <w:lang w:val="en-US" w:eastAsia="en-US"/>
    </w:rPr>
  </w:style>
  <w:style w:type="character" w:styleId="MquinadeescreverHTML">
    <w:name w:val="HTML Typewriter"/>
    <w:rPr>
      <w:rFonts w:ascii="Courier New" w:eastAsia="Times New Roman" w:hAnsi="Courier New" w:cs="Courier New"/>
      <w:sz w:val="20"/>
      <w:szCs w:val="20"/>
    </w:rPr>
  </w:style>
  <w:style w:type="character" w:customStyle="1" w:styleId="deltaviewinsertion0">
    <w:name w:val="deltaviewinsertion"/>
    <w:basedOn w:val="Fontepargpadro"/>
  </w:style>
  <w:style w:type="character" w:styleId="HiperlinkVisitado">
    <w:name w:val="FollowedHyperlink"/>
    <w:rPr>
      <w:color w:val="800080"/>
      <w:u w:val="single"/>
    </w:rPr>
  </w:style>
  <w:style w:type="paragraph" w:customStyle="1" w:styleId="CharChar1Char">
    <w:name w:val="Char Char1 Char"/>
    <w:basedOn w:val="Normal"/>
    <w:pPr>
      <w:numPr>
        <w:ilvl w:val="1"/>
        <w:numId w:val="9"/>
      </w:numPr>
      <w:tabs>
        <w:tab w:val="clear" w:pos="450"/>
      </w:tabs>
      <w:spacing w:after="160" w:line="240" w:lineRule="exact"/>
      <w:ind w:left="0" w:firstLine="0"/>
      <w:jc w:val="left"/>
    </w:pPr>
    <w:rPr>
      <w:rFonts w:ascii="Verdana" w:eastAsia="MS Mincho" w:hAnsi="Verdana"/>
      <w:sz w:val="20"/>
      <w:lang w:val="en-US" w:eastAsia="en-US"/>
    </w:rPr>
  </w:style>
  <w:style w:type="paragraph" w:customStyle="1" w:styleId="CharChar2Char">
    <w:name w:val="Char Char2 Char"/>
    <w:basedOn w:val="Normal"/>
    <w:pPr>
      <w:spacing w:after="160" w:line="240" w:lineRule="exact"/>
      <w:jc w:val="left"/>
    </w:pPr>
    <w:rPr>
      <w:rFonts w:ascii="Verdana" w:hAnsi="Verdana"/>
      <w:sz w:val="20"/>
      <w:lang w:val="en-US" w:eastAsia="en-US"/>
    </w:rPr>
  </w:style>
  <w:style w:type="paragraph" w:customStyle="1" w:styleId="TEXTO">
    <w:name w:val="TEXTO"/>
    <w:autoRedefine/>
    <w:pPr>
      <w:keepNext/>
      <w:keepLines/>
      <w:widowControl w:val="0"/>
      <w:spacing w:line="300" w:lineRule="exact"/>
      <w:ind w:left="707" w:hanging="707"/>
      <w:jc w:val="both"/>
    </w:pPr>
    <w:rPr>
      <w:rFonts w:ascii="Frutiger Light" w:hAnsi="Frutiger Light"/>
      <w:sz w:val="26"/>
      <w:lang w:eastAsia="en-US"/>
    </w:rPr>
  </w:style>
  <w:style w:type="paragraph" w:styleId="PargrafodaLista">
    <w:name w:val="List Paragraph"/>
    <w:basedOn w:val="Normal"/>
    <w:link w:val="PargrafodaListaChar"/>
    <w:uiPriority w:val="34"/>
    <w:qFormat/>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1CharCharCharCharCharCharCharCharCharCharCharChar">
    <w:name w:val="Char1 Char Char Char Char Char Char Char Char Char Char Char Char"/>
    <w:basedOn w:val="Normal"/>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
    <w:name w:val="Char Char"/>
    <w:basedOn w:val="Normal"/>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link w:val="Assuntodocomentrio"/>
    <w:rPr>
      <w:b/>
      <w:bCs/>
      <w:lang w:val="pt-BR" w:eastAsia="pt-BR" w:bidi="ar-SA"/>
    </w:rPr>
  </w:style>
  <w:style w:type="paragraph" w:styleId="Commarcadores">
    <w:name w:val="List Bullet"/>
    <w:basedOn w:val="Normal"/>
    <w:link w:val="CommarcadoresChar"/>
    <w:pPr>
      <w:numPr>
        <w:numId w:val="10"/>
      </w:numPr>
    </w:pPr>
  </w:style>
  <w:style w:type="character" w:customStyle="1" w:styleId="CommarcadoresChar">
    <w:name w:val="Com marcadores Char"/>
    <w:link w:val="Commarcadores"/>
    <w:rPr>
      <w:sz w:val="26"/>
      <w:lang w:val="pt-BR" w:eastAsia="pt-BR" w:bidi="ar-SA"/>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har2CharCharCharChar">
    <w:name w:val="Char2 Char Char Char Char"/>
    <w:basedOn w:val="Normal"/>
    <w:pPr>
      <w:spacing w:after="160" w:line="240" w:lineRule="exact"/>
      <w:jc w:val="left"/>
    </w:pPr>
    <w:rPr>
      <w:rFonts w:ascii="Verdana" w:eastAsia="MS Mincho" w:hAnsi="Verdana"/>
      <w:sz w:val="20"/>
      <w:lang w:val="en-US" w:eastAsia="en-US"/>
    </w:rPr>
  </w:style>
  <w:style w:type="paragraph" w:customStyle="1" w:styleId="axx">
    <w:name w:val="a.x.x)"/>
    <w:basedOn w:val="Normal"/>
    <w:pPr>
      <w:autoSpaceDE w:val="0"/>
      <w:autoSpaceDN w:val="0"/>
      <w:adjustRightInd w:val="0"/>
      <w:spacing w:after="120"/>
      <w:ind w:left="2268" w:hanging="992"/>
    </w:pPr>
    <w:rPr>
      <w:rFonts w:ascii="Arial" w:hAnsi="Arial" w:cs="Arial"/>
      <w:sz w:val="24"/>
      <w:szCs w:val="24"/>
    </w:rPr>
  </w:style>
  <w:style w:type="paragraph" w:customStyle="1" w:styleId="CharCharCharCharChar2CharCharChar1CharCharCharChar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1CharCharCharCharCharCharCharCharCharCharCharCharCharCharCharCharCharCharCharChar1CharCharCharCharChar">
    <w:name w:val="Char Char1 Char Char Char Char Char Char Char Char Char Char Char Char Char Char Char Char Char Char Char Char1 Char Char Char Char Char"/>
    <w:basedOn w:val="Normal"/>
    <w:pPr>
      <w:spacing w:after="160" w:line="240" w:lineRule="exact"/>
      <w:jc w:val="left"/>
    </w:pPr>
    <w:rPr>
      <w:rFonts w:ascii="Verdana" w:eastAsia="MS Mincho" w:hAnsi="Verdana"/>
      <w:sz w:val="20"/>
      <w:lang w:val="en-US" w:eastAsia="en-US"/>
    </w:rPr>
  </w:style>
  <w:style w:type="paragraph" w:customStyle="1" w:styleId="CharCharCharCharChar2CharCharChar1Char">
    <w:name w:val="Char Char Char Char Char2 Char Char Char1 Char"/>
    <w:basedOn w:val="Normal"/>
    <w:pPr>
      <w:spacing w:after="160" w:line="240" w:lineRule="exact"/>
      <w:jc w:val="left"/>
    </w:pPr>
    <w:rPr>
      <w:rFonts w:ascii="Verdana" w:eastAsia="MS Mincho" w:hAnsi="Verdana"/>
      <w:sz w:val="20"/>
      <w:lang w:val="en-US" w:eastAsia="en-US"/>
    </w:rPr>
  </w:style>
  <w:style w:type="paragraph" w:customStyle="1" w:styleId="CorpodetextobtBT">
    <w:name w:val="Corpo de texto.bt.BT"/>
    <w:basedOn w:val="Normal"/>
    <w:rPr>
      <w:rFonts w:ascii="Arial" w:hAnsi="Arial"/>
      <w:snapToGrid w:val="0"/>
      <w:sz w:val="24"/>
    </w:rPr>
  </w:style>
  <w:style w:type="paragraph" w:customStyle="1" w:styleId="CharChar1CharCharCharCharCharCharCharChar1CharCharCharCharCharCharCharCharCharCharCharCharCharCharCharCharCharCharCharCharCharCharCharCharCharChar1CharCharCharChar">
    <w:name w:val="Char Char1 Char Char Char Char Char Char Char Char1 Char Char Char Char Char Char Char Char Char Char Char Char Char Char Char Char Char Char Char Char Char Char Char Char Char Char1 Char Char Char Char"/>
    <w:basedOn w:val="Normal"/>
    <w:pPr>
      <w:spacing w:after="160" w:line="240" w:lineRule="exact"/>
      <w:jc w:val="left"/>
    </w:pPr>
    <w:rPr>
      <w:rFonts w:ascii="Verdana" w:eastAsia="MS Mincho" w:hAnsi="Verdana"/>
      <w:sz w:val="20"/>
      <w:lang w:val="en-US" w:eastAsia="en-US"/>
    </w:rPr>
  </w:style>
  <w:style w:type="paragraph" w:customStyle="1" w:styleId="para">
    <w:name w:val="para"/>
    <w:basedOn w:val="Normal"/>
    <w:autoRedefine/>
    <w:pPr>
      <w:widowControl w:val="0"/>
      <w:tabs>
        <w:tab w:val="left" w:pos="2552"/>
      </w:tabs>
      <w:autoSpaceDE w:val="0"/>
      <w:autoSpaceDN w:val="0"/>
      <w:adjustRightInd w:val="0"/>
      <w:spacing w:line="300" w:lineRule="atLeast"/>
    </w:pPr>
    <w:rPr>
      <w:rFonts w:ascii="Arial" w:hAnsi="Arial" w:cs="Arial"/>
      <w:b/>
      <w:bCs/>
      <w:color w:val="000000"/>
      <w:sz w:val="22"/>
      <w:szCs w:val="22"/>
      <w:lang w:eastAsia="en-US"/>
    </w:rPr>
  </w:style>
  <w:style w:type="paragraph" w:styleId="Sumrio1">
    <w:name w:val="toc 1"/>
    <w:basedOn w:val="Normal"/>
    <w:next w:val="Normal"/>
    <w:autoRedefine/>
    <w:uiPriority w:val="39"/>
    <w:pPr>
      <w:spacing w:line="300" w:lineRule="atLeast"/>
    </w:pPr>
    <w:rPr>
      <w:rFonts w:ascii="Garamond" w:hAnsi="Garamond"/>
      <w:sz w:val="22"/>
      <w:szCs w:val="24"/>
    </w:rPr>
  </w:style>
  <w:style w:type="paragraph" w:customStyle="1" w:styleId="ColorfulList-Accent11">
    <w:name w:val="Colorful List - Accent 11"/>
    <w:basedOn w:val="Normal"/>
    <w:uiPriority w:val="34"/>
    <w:qFormat/>
    <w:pPr>
      <w:ind w:left="708"/>
      <w:jc w:val="left"/>
    </w:pPr>
    <w:rPr>
      <w:rFonts w:eastAsia="MS Mincho"/>
      <w:sz w:val="24"/>
      <w:szCs w:val="24"/>
    </w:rPr>
  </w:style>
  <w:style w:type="character" w:styleId="CitaoHTML">
    <w:name w:val="HTML Cite"/>
    <w:uiPriority w:val="99"/>
    <w:unhideWhenUsed/>
    <w:rPr>
      <w:i/>
      <w:iCs/>
    </w:rPr>
  </w:style>
  <w:style w:type="paragraph" w:styleId="CabealhodoSumrio">
    <w:name w:val="TOC Heading"/>
    <w:basedOn w:val="Ttulo1"/>
    <w:next w:val="Normal"/>
    <w:uiPriority w:val="39"/>
    <w:semiHidden/>
    <w:unhideWhenUsed/>
    <w:qFormat/>
    <w:pPr>
      <w:keepLines/>
      <w:spacing w:before="480" w:line="276" w:lineRule="auto"/>
      <w:outlineLvl w:val="9"/>
    </w:pPr>
    <w:rPr>
      <w:rFonts w:ascii="Cambria" w:hAnsi="Cambria"/>
      <w:bCs/>
      <w:color w:val="365F91"/>
      <w:sz w:val="28"/>
      <w:szCs w:val="28"/>
    </w:rPr>
  </w:style>
  <w:style w:type="paragraph" w:styleId="Sumrio2">
    <w:name w:val="toc 2"/>
    <w:basedOn w:val="Normal"/>
    <w:next w:val="Normal"/>
    <w:autoRedefine/>
    <w:uiPriority w:val="39"/>
    <w:pPr>
      <w:ind w:left="260"/>
    </w:pPr>
  </w:style>
  <w:style w:type="character" w:customStyle="1" w:styleId="CabealhoChar">
    <w:name w:val="Cabeçalho Char"/>
    <w:link w:val="Cabealho"/>
    <w:uiPriority w:val="99"/>
    <w:rPr>
      <w:sz w:val="26"/>
    </w:rPr>
  </w:style>
  <w:style w:type="paragraph" w:customStyle="1" w:styleId="SFTtulo2">
    <w:name w:val="SF_Título 2"/>
    <w:basedOn w:val="Normal"/>
    <w:link w:val="SFTtulo2Char"/>
    <w:qFormat/>
    <w:pPr>
      <w:keepNext/>
      <w:keepLines/>
      <w:tabs>
        <w:tab w:val="left" w:pos="709"/>
        <w:tab w:val="left" w:pos="2366"/>
      </w:tabs>
      <w:spacing w:line="300" w:lineRule="atLeast"/>
    </w:pPr>
    <w:rPr>
      <w:rFonts w:ascii="Garamond" w:eastAsia="MS Mincho" w:hAnsi="Garamond"/>
      <w:b/>
      <w:sz w:val="22"/>
      <w:szCs w:val="22"/>
    </w:rPr>
  </w:style>
  <w:style w:type="character" w:customStyle="1" w:styleId="SFTtulo2Char">
    <w:name w:val="SF_Título 2 Char"/>
    <w:link w:val="SFTtulo2"/>
    <w:rPr>
      <w:rFonts w:ascii="Garamond" w:eastAsia="MS Mincho" w:hAnsi="Garamond"/>
      <w:b/>
      <w:sz w:val="22"/>
      <w:szCs w:val="22"/>
    </w:rPr>
  </w:style>
  <w:style w:type="table" w:styleId="Tabelacomgrade">
    <w:name w:val="Table Grid"/>
    <w:basedOn w:val="Tabe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Pr>
      <w:rFonts w:ascii="Times" w:hAnsi="Times"/>
      <w:sz w:val="24"/>
    </w:rPr>
  </w:style>
  <w:style w:type="numbering" w:customStyle="1" w:styleId="Teo">
    <w:name w:val="Teo"/>
    <w:basedOn w:val="Semlista"/>
    <w:pPr>
      <w:numPr>
        <w:numId w:val="49"/>
      </w:numPr>
    </w:pPr>
  </w:style>
  <w:style w:type="character" w:customStyle="1" w:styleId="DeltaViewDeletion">
    <w:name w:val="DeltaView Deletion"/>
    <w:uiPriority w:val="99"/>
    <w:rPr>
      <w:strike/>
      <w:color w:val="FF0000"/>
    </w:rPr>
  </w:style>
  <w:style w:type="character" w:styleId="Refdecomentrio">
    <w:name w:val="annotation reference"/>
    <w:uiPriority w:val="99"/>
    <w:rPr>
      <w:sz w:val="16"/>
      <w:szCs w:val="16"/>
    </w:rPr>
  </w:style>
  <w:style w:type="character" w:customStyle="1" w:styleId="PargrafodaListaChar">
    <w:name w:val="Parágrafo da Lista Char"/>
    <w:link w:val="PargrafodaLista"/>
    <w:uiPriority w:val="34"/>
    <w:locked/>
    <w:rPr>
      <w:sz w:val="26"/>
    </w:rPr>
  </w:style>
  <w:style w:type="character" w:customStyle="1" w:styleId="MenoPendente1">
    <w:name w:val="Menção Pendente1"/>
    <w:basedOn w:val="Fontepargpadro"/>
    <w:uiPriority w:val="99"/>
    <w:semiHidden/>
    <w:unhideWhenUsed/>
    <w:rPr>
      <w:color w:val="808080"/>
      <w:shd w:val="clear" w:color="auto" w:fill="E6E6E6"/>
    </w:rPr>
  </w:style>
  <w:style w:type="paragraph" w:styleId="Textodenotaderodap">
    <w:name w:val="footnote text"/>
    <w:basedOn w:val="Normal"/>
    <w:link w:val="TextodenotaderodapChar"/>
    <w:rPr>
      <w:sz w:val="20"/>
    </w:rPr>
  </w:style>
  <w:style w:type="character" w:customStyle="1" w:styleId="TextodenotaderodapChar">
    <w:name w:val="Texto de nota de rodapé Char"/>
    <w:basedOn w:val="Fontepargpadro"/>
    <w:link w:val="Textodenotaderodap"/>
  </w:style>
  <w:style w:type="character" w:styleId="Refdenotaderodap">
    <w:name w:val="footnote reference"/>
    <w:basedOn w:val="Fontepargpadro"/>
    <w:rPr>
      <w:vertAlign w:val="superscript"/>
    </w:rPr>
  </w:style>
  <w:style w:type="paragraph" w:styleId="Reviso">
    <w:name w:val="Revision"/>
    <w:hidden/>
    <w:uiPriority w:val="99"/>
    <w:semiHidden/>
    <w:rPr>
      <w:sz w:val="26"/>
    </w:rPr>
  </w:style>
  <w:style w:type="character" w:customStyle="1" w:styleId="Ttulo2Char">
    <w:name w:val="Título 2 Char"/>
    <w:basedOn w:val="Fontepargpadro"/>
    <w:link w:val="Ttulo2"/>
    <w:rPr>
      <w:b/>
      <w:sz w:val="24"/>
    </w:rPr>
  </w:style>
  <w:style w:type="paragraph" w:customStyle="1" w:styleId="Level2">
    <w:name w:val="Level 2"/>
    <w:basedOn w:val="Normal"/>
    <w:uiPriority w:val="99"/>
    <w:qFormat/>
    <w:pPr>
      <w:numPr>
        <w:ilvl w:val="1"/>
        <w:numId w:val="75"/>
      </w:numPr>
      <w:spacing w:after="140" w:line="290" w:lineRule="auto"/>
      <w:outlineLvl w:val="1"/>
    </w:pPr>
    <w:rPr>
      <w:rFonts w:ascii="Arial" w:eastAsia="TT108t00" w:hAnsi="Arial" w:cs="Arial"/>
      <w:sz w:val="20"/>
      <w:szCs w:val="22"/>
    </w:rPr>
  </w:style>
  <w:style w:type="paragraph" w:customStyle="1" w:styleId="Level1">
    <w:name w:val="Level 1"/>
    <w:basedOn w:val="Normal"/>
    <w:uiPriority w:val="99"/>
    <w:pPr>
      <w:keepNext/>
      <w:numPr>
        <w:numId w:val="75"/>
      </w:numPr>
      <w:spacing w:before="280" w:after="140" w:line="290" w:lineRule="auto"/>
      <w:outlineLvl w:val="0"/>
    </w:pPr>
    <w:rPr>
      <w:rFonts w:ascii="Arial" w:hAnsi="Arial" w:cs="Arial"/>
      <w:b/>
      <w:sz w:val="22"/>
      <w:szCs w:val="22"/>
    </w:rPr>
  </w:style>
  <w:style w:type="paragraph" w:customStyle="1" w:styleId="Level3">
    <w:name w:val="Level 3"/>
    <w:basedOn w:val="Normal"/>
    <w:link w:val="Level3Char"/>
    <w:uiPriority w:val="99"/>
    <w:pPr>
      <w:numPr>
        <w:ilvl w:val="2"/>
        <w:numId w:val="75"/>
      </w:numPr>
      <w:spacing w:after="140" w:line="290" w:lineRule="auto"/>
      <w:outlineLvl w:val="2"/>
    </w:pPr>
    <w:rPr>
      <w:rFonts w:ascii="Arial" w:eastAsia="TT108t00" w:hAnsi="Arial" w:cs="Arial"/>
      <w:sz w:val="20"/>
      <w:szCs w:val="22"/>
    </w:rPr>
  </w:style>
  <w:style w:type="paragraph" w:customStyle="1" w:styleId="Level4">
    <w:name w:val="Level 4"/>
    <w:basedOn w:val="Normal"/>
    <w:uiPriority w:val="99"/>
    <w:pPr>
      <w:numPr>
        <w:ilvl w:val="3"/>
        <w:numId w:val="75"/>
      </w:numPr>
      <w:spacing w:after="140" w:line="290" w:lineRule="auto"/>
      <w:outlineLvl w:val="3"/>
    </w:pPr>
    <w:rPr>
      <w:rFonts w:ascii="Arial" w:eastAsia="TT108t00" w:hAnsi="Arial" w:cs="Arial"/>
      <w:sz w:val="20"/>
      <w:szCs w:val="22"/>
    </w:rPr>
  </w:style>
  <w:style w:type="paragraph" w:customStyle="1" w:styleId="Level5">
    <w:name w:val="Level 5"/>
    <w:basedOn w:val="Normal"/>
    <w:uiPriority w:val="99"/>
    <w:pPr>
      <w:numPr>
        <w:ilvl w:val="4"/>
        <w:numId w:val="75"/>
      </w:numPr>
      <w:spacing w:after="140" w:line="290" w:lineRule="auto"/>
    </w:pPr>
    <w:rPr>
      <w:rFonts w:ascii="Arial" w:eastAsia="TT108t00" w:hAnsi="Arial" w:cs="Arial"/>
      <w:sz w:val="20"/>
      <w:szCs w:val="22"/>
    </w:rPr>
  </w:style>
  <w:style w:type="paragraph" w:customStyle="1" w:styleId="Level6">
    <w:name w:val="Level 6"/>
    <w:basedOn w:val="Normal"/>
    <w:uiPriority w:val="99"/>
    <w:pPr>
      <w:numPr>
        <w:ilvl w:val="5"/>
        <w:numId w:val="75"/>
      </w:numPr>
      <w:spacing w:after="140" w:line="290" w:lineRule="auto"/>
    </w:pPr>
    <w:rPr>
      <w:rFonts w:ascii="Arial" w:eastAsia="TT108t00" w:hAnsi="Arial" w:cs="Arial"/>
      <w:sz w:val="20"/>
      <w:szCs w:val="22"/>
    </w:rPr>
  </w:style>
  <w:style w:type="character" w:customStyle="1" w:styleId="Level3Char">
    <w:name w:val="Level 3 Char"/>
    <w:link w:val="Level3"/>
    <w:uiPriority w:val="99"/>
    <w:locked/>
    <w:rPr>
      <w:rFonts w:ascii="Arial" w:eastAsia="TT108t00" w:hAnsi="Arial" w:cs="Arial"/>
      <w:szCs w:val="22"/>
    </w:rPr>
  </w:style>
  <w:style w:type="paragraph" w:customStyle="1" w:styleId="Nvel1">
    <w:name w:val="Nível 1"/>
    <w:basedOn w:val="Normal"/>
    <w:next w:val="Nvel11"/>
    <w:qFormat/>
    <w:pPr>
      <w:keepNext/>
      <w:numPr>
        <w:numId w:val="76"/>
      </w:numPr>
      <w:spacing w:line="288" w:lineRule="auto"/>
      <w:outlineLvl w:val="0"/>
    </w:pPr>
    <w:rPr>
      <w:rFonts w:ascii="Cambria" w:eastAsiaTheme="minorHAnsi" w:hAnsi="Cambria" w:cstheme="minorBidi"/>
      <w:b/>
      <w:sz w:val="22"/>
      <w:szCs w:val="22"/>
      <w:lang w:val="pt-PT" w:eastAsia="en-US"/>
    </w:rPr>
  </w:style>
  <w:style w:type="paragraph" w:customStyle="1" w:styleId="Nvel11">
    <w:name w:val="Nível 1.1"/>
    <w:basedOn w:val="Normal"/>
    <w:qFormat/>
    <w:pPr>
      <w:numPr>
        <w:ilvl w:val="1"/>
        <w:numId w:val="76"/>
      </w:numPr>
      <w:spacing w:line="288" w:lineRule="auto"/>
    </w:pPr>
    <w:rPr>
      <w:rFonts w:ascii="Cambria" w:eastAsiaTheme="minorHAnsi" w:hAnsi="Cambria" w:cstheme="minorBidi"/>
      <w:sz w:val="22"/>
      <w:szCs w:val="22"/>
      <w:lang w:val="en-US" w:eastAsia="en-US"/>
    </w:rPr>
  </w:style>
  <w:style w:type="paragraph" w:customStyle="1" w:styleId="Nvel11a">
    <w:name w:val="Nível 1.1 (a)"/>
    <w:basedOn w:val="Normal"/>
    <w:qFormat/>
    <w:pPr>
      <w:numPr>
        <w:ilvl w:val="2"/>
        <w:numId w:val="76"/>
      </w:numPr>
      <w:spacing w:line="288" w:lineRule="auto"/>
    </w:pPr>
    <w:rPr>
      <w:rFonts w:ascii="Cambria" w:eastAsiaTheme="minorHAnsi" w:hAnsi="Cambria" w:cstheme="minorBidi"/>
      <w:sz w:val="22"/>
      <w:szCs w:val="22"/>
      <w:lang w:val="en-US" w:eastAsia="en-US"/>
    </w:rPr>
  </w:style>
  <w:style w:type="paragraph" w:customStyle="1" w:styleId="Nvel11a1">
    <w:name w:val="Nível 1.1 (a) (1)"/>
    <w:basedOn w:val="Normal"/>
    <w:qFormat/>
    <w:pPr>
      <w:numPr>
        <w:ilvl w:val="3"/>
        <w:numId w:val="76"/>
      </w:numPr>
      <w:spacing w:line="288" w:lineRule="auto"/>
    </w:pPr>
    <w:rPr>
      <w:rFonts w:ascii="Cambria" w:eastAsiaTheme="minorHAnsi" w:hAnsi="Cambria" w:cstheme="minorBidi"/>
      <w:sz w:val="22"/>
      <w:szCs w:val="22"/>
      <w:lang w:val="en-US" w:eastAsia="en-US"/>
    </w:rPr>
  </w:style>
  <w:style w:type="paragraph" w:customStyle="1" w:styleId="Nvel111">
    <w:name w:val="Nível 1.1.1"/>
    <w:basedOn w:val="Normal"/>
    <w:qFormat/>
    <w:pPr>
      <w:numPr>
        <w:ilvl w:val="4"/>
        <w:numId w:val="76"/>
      </w:numPr>
      <w:spacing w:line="288" w:lineRule="auto"/>
    </w:pPr>
    <w:rPr>
      <w:rFonts w:ascii="Cambria" w:eastAsiaTheme="minorHAnsi" w:hAnsi="Cambria" w:cstheme="minorBidi"/>
      <w:sz w:val="22"/>
      <w:szCs w:val="22"/>
      <w:lang w:val="en-US" w:eastAsia="en-US"/>
    </w:rPr>
  </w:style>
  <w:style w:type="paragraph" w:customStyle="1" w:styleId="Nvel111a">
    <w:name w:val="Nível 1.1.1 (a)"/>
    <w:basedOn w:val="Normal"/>
    <w:qFormat/>
    <w:pPr>
      <w:numPr>
        <w:ilvl w:val="5"/>
        <w:numId w:val="76"/>
      </w:numPr>
      <w:spacing w:line="288" w:lineRule="auto"/>
    </w:pPr>
    <w:rPr>
      <w:rFonts w:ascii="Cambria" w:eastAsiaTheme="minorHAnsi" w:hAnsi="Cambria" w:cstheme="minorBidi"/>
      <w:sz w:val="22"/>
      <w:szCs w:val="22"/>
      <w:lang w:val="en-US" w:eastAsia="en-US"/>
    </w:rPr>
  </w:style>
  <w:style w:type="paragraph" w:customStyle="1" w:styleId="Nvel111a1">
    <w:name w:val="Nível 1.1.1 (a) (1)"/>
    <w:basedOn w:val="Normal"/>
    <w:qFormat/>
    <w:pPr>
      <w:numPr>
        <w:ilvl w:val="6"/>
        <w:numId w:val="76"/>
      </w:numPr>
      <w:spacing w:line="288" w:lineRule="auto"/>
    </w:pPr>
    <w:rPr>
      <w:rFonts w:ascii="Cambria" w:eastAsiaTheme="minorHAnsi" w:hAnsi="Cambria" w:cstheme="minorBidi"/>
      <w:sz w:val="22"/>
      <w:szCs w:val="22"/>
      <w:lang w:val="pt-PT" w:eastAsia="en-US"/>
    </w:rPr>
  </w:style>
  <w:style w:type="paragraph" w:customStyle="1" w:styleId="Nvel1111">
    <w:name w:val="Nível 1.1.1.1"/>
    <w:basedOn w:val="Nvel111a1"/>
    <w:qFormat/>
    <w:pPr>
      <w:numPr>
        <w:ilvl w:val="7"/>
      </w:numPr>
    </w:pPr>
  </w:style>
  <w:style w:type="paragraph" w:customStyle="1" w:styleId="Nvel1111a">
    <w:name w:val="Nível 1.1.1.1 (a)"/>
    <w:basedOn w:val="Nvel1111"/>
    <w:qFormat/>
    <w:pPr>
      <w:numPr>
        <w:ilvl w:val="8"/>
      </w:numPr>
    </w:pPr>
  </w:style>
  <w:style w:type="paragraph" w:customStyle="1" w:styleId="p3">
    <w:name w:val="p3"/>
    <w:basedOn w:val="Normal"/>
    <w:pPr>
      <w:tabs>
        <w:tab w:val="left" w:pos="720"/>
      </w:tabs>
      <w:spacing w:line="240" w:lineRule="atLeast"/>
    </w:pPr>
    <w:rPr>
      <w:rFonts w:ascii="Times" w:eastAsia="MS Mincho" w:hAnsi="Times" w:cs="Time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4616">
      <w:bodyDiv w:val="1"/>
      <w:marLeft w:val="0"/>
      <w:marRight w:val="0"/>
      <w:marTop w:val="0"/>
      <w:marBottom w:val="0"/>
      <w:divBdr>
        <w:top w:val="none" w:sz="0" w:space="0" w:color="auto"/>
        <w:left w:val="none" w:sz="0" w:space="0" w:color="auto"/>
        <w:bottom w:val="none" w:sz="0" w:space="0" w:color="auto"/>
        <w:right w:val="none" w:sz="0" w:space="0" w:color="auto"/>
      </w:divBdr>
    </w:div>
    <w:div w:id="675425645">
      <w:bodyDiv w:val="1"/>
      <w:marLeft w:val="0"/>
      <w:marRight w:val="0"/>
      <w:marTop w:val="0"/>
      <w:marBottom w:val="0"/>
      <w:divBdr>
        <w:top w:val="none" w:sz="0" w:space="0" w:color="auto"/>
        <w:left w:val="none" w:sz="0" w:space="0" w:color="auto"/>
        <w:bottom w:val="none" w:sz="0" w:space="0" w:color="auto"/>
        <w:right w:val="none" w:sz="0" w:space="0" w:color="auto"/>
      </w:divBdr>
    </w:div>
    <w:div w:id="915018985">
      <w:bodyDiv w:val="1"/>
      <w:marLeft w:val="0"/>
      <w:marRight w:val="0"/>
      <w:marTop w:val="0"/>
      <w:marBottom w:val="0"/>
      <w:divBdr>
        <w:top w:val="none" w:sz="0" w:space="0" w:color="auto"/>
        <w:left w:val="none" w:sz="0" w:space="0" w:color="auto"/>
        <w:bottom w:val="none" w:sz="0" w:space="0" w:color="auto"/>
        <w:right w:val="none" w:sz="0" w:space="0" w:color="auto"/>
      </w:divBdr>
    </w:div>
    <w:div w:id="917713863">
      <w:bodyDiv w:val="1"/>
      <w:marLeft w:val="0"/>
      <w:marRight w:val="0"/>
      <w:marTop w:val="0"/>
      <w:marBottom w:val="0"/>
      <w:divBdr>
        <w:top w:val="none" w:sz="0" w:space="0" w:color="auto"/>
        <w:left w:val="none" w:sz="0" w:space="0" w:color="auto"/>
        <w:bottom w:val="none" w:sz="0" w:space="0" w:color="auto"/>
        <w:right w:val="none" w:sz="0" w:space="0" w:color="auto"/>
      </w:divBdr>
    </w:div>
    <w:div w:id="1041787859">
      <w:bodyDiv w:val="1"/>
      <w:marLeft w:val="0"/>
      <w:marRight w:val="0"/>
      <w:marTop w:val="0"/>
      <w:marBottom w:val="0"/>
      <w:divBdr>
        <w:top w:val="none" w:sz="0" w:space="0" w:color="auto"/>
        <w:left w:val="none" w:sz="0" w:space="0" w:color="auto"/>
        <w:bottom w:val="none" w:sz="0" w:space="0" w:color="auto"/>
        <w:right w:val="none" w:sz="0" w:space="0" w:color="auto"/>
      </w:divBdr>
    </w:div>
    <w:div w:id="1099184616">
      <w:bodyDiv w:val="1"/>
      <w:marLeft w:val="0"/>
      <w:marRight w:val="0"/>
      <w:marTop w:val="0"/>
      <w:marBottom w:val="0"/>
      <w:divBdr>
        <w:top w:val="none" w:sz="0" w:space="0" w:color="auto"/>
        <w:left w:val="none" w:sz="0" w:space="0" w:color="auto"/>
        <w:bottom w:val="none" w:sz="0" w:space="0" w:color="auto"/>
        <w:right w:val="none" w:sz="0" w:space="0" w:color="auto"/>
      </w:divBdr>
    </w:div>
    <w:div w:id="1851866914">
      <w:bodyDiv w:val="1"/>
      <w:marLeft w:val="0"/>
      <w:marRight w:val="0"/>
      <w:marTop w:val="0"/>
      <w:marBottom w:val="0"/>
      <w:divBdr>
        <w:top w:val="none" w:sz="0" w:space="0" w:color="auto"/>
        <w:left w:val="none" w:sz="0" w:space="0" w:color="auto"/>
        <w:bottom w:val="none" w:sz="0" w:space="0" w:color="auto"/>
        <w:right w:val="none" w:sz="0" w:space="0" w:color="auto"/>
      </w:divBdr>
    </w:div>
    <w:div w:id="209389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flavia.ribeiro@minervafoods.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antonio.amaro@oliveiratrust.com.br"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01049-DD54-4D4E-9AA8-655BD035E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21851</Words>
  <Characters>125363</Characters>
  <Application>Microsoft Office Word</Application>
  <DocSecurity>0</DocSecurity>
  <Lines>1044</Lines>
  <Paragraphs>293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Manager/>
  <Company/>
  <LinksUpToDate>false</LinksUpToDate>
  <CharactersWithSpaces>146921</CharactersWithSpaces>
  <SharedDoc>false</SharedDoc>
  <HLinks>
    <vt:vector size="84" baseType="variant">
      <vt:variant>
        <vt:i4>1179773</vt:i4>
      </vt:variant>
      <vt:variant>
        <vt:i4>81</vt:i4>
      </vt:variant>
      <vt:variant>
        <vt:i4>0</vt:i4>
      </vt:variant>
      <vt:variant>
        <vt:i4>5</vt:i4>
      </vt:variant>
      <vt:variant>
        <vt:lpwstr>mailto:flavia.ribeiro@minervafoods.com</vt:lpwstr>
      </vt:variant>
      <vt:variant>
        <vt:lpwstr/>
      </vt:variant>
      <vt:variant>
        <vt:i4>6160478</vt:i4>
      </vt:variant>
      <vt:variant>
        <vt:i4>75</vt:i4>
      </vt:variant>
      <vt:variant>
        <vt:i4>0</vt:i4>
      </vt:variant>
      <vt:variant>
        <vt:i4>5</vt:i4>
      </vt:variant>
      <vt:variant>
        <vt:lpwstr>http://www.minervafoods.com/</vt:lpwstr>
      </vt:variant>
      <vt:variant>
        <vt:lpwstr/>
      </vt:variant>
      <vt:variant>
        <vt:i4>983105</vt:i4>
      </vt:variant>
      <vt:variant>
        <vt:i4>72</vt:i4>
      </vt:variant>
      <vt:variant>
        <vt:i4>0</vt:i4>
      </vt:variant>
      <vt:variant>
        <vt:i4>5</vt:i4>
      </vt:variant>
      <vt:variant>
        <vt:lpwstr>http://www.cetip.com.br/</vt:lpwstr>
      </vt:variant>
      <vt:variant>
        <vt:lpwstr/>
      </vt:variant>
      <vt:variant>
        <vt:i4>1310781</vt:i4>
      </vt:variant>
      <vt:variant>
        <vt:i4>62</vt:i4>
      </vt:variant>
      <vt:variant>
        <vt:i4>0</vt:i4>
      </vt:variant>
      <vt:variant>
        <vt:i4>5</vt:i4>
      </vt:variant>
      <vt:variant>
        <vt:lpwstr/>
      </vt:variant>
      <vt:variant>
        <vt:lpwstr>_Toc358656366</vt:lpwstr>
      </vt:variant>
      <vt:variant>
        <vt:i4>1310781</vt:i4>
      </vt:variant>
      <vt:variant>
        <vt:i4>56</vt:i4>
      </vt:variant>
      <vt:variant>
        <vt:i4>0</vt:i4>
      </vt:variant>
      <vt:variant>
        <vt:i4>5</vt:i4>
      </vt:variant>
      <vt:variant>
        <vt:lpwstr/>
      </vt:variant>
      <vt:variant>
        <vt:lpwstr>_Toc358656365</vt:lpwstr>
      </vt:variant>
      <vt:variant>
        <vt:i4>1310781</vt:i4>
      </vt:variant>
      <vt:variant>
        <vt:i4>50</vt:i4>
      </vt:variant>
      <vt:variant>
        <vt:i4>0</vt:i4>
      </vt:variant>
      <vt:variant>
        <vt:i4>5</vt:i4>
      </vt:variant>
      <vt:variant>
        <vt:lpwstr/>
      </vt:variant>
      <vt:variant>
        <vt:lpwstr>_Toc358656364</vt:lpwstr>
      </vt:variant>
      <vt:variant>
        <vt:i4>1310781</vt:i4>
      </vt:variant>
      <vt:variant>
        <vt:i4>44</vt:i4>
      </vt:variant>
      <vt:variant>
        <vt:i4>0</vt:i4>
      </vt:variant>
      <vt:variant>
        <vt:i4>5</vt:i4>
      </vt:variant>
      <vt:variant>
        <vt:lpwstr/>
      </vt:variant>
      <vt:variant>
        <vt:lpwstr>_Toc358656363</vt:lpwstr>
      </vt:variant>
      <vt:variant>
        <vt:i4>1310781</vt:i4>
      </vt:variant>
      <vt:variant>
        <vt:i4>38</vt:i4>
      </vt:variant>
      <vt:variant>
        <vt:i4>0</vt:i4>
      </vt:variant>
      <vt:variant>
        <vt:i4>5</vt:i4>
      </vt:variant>
      <vt:variant>
        <vt:lpwstr/>
      </vt:variant>
      <vt:variant>
        <vt:lpwstr>_Toc358656362</vt:lpwstr>
      </vt:variant>
      <vt:variant>
        <vt:i4>1310781</vt:i4>
      </vt:variant>
      <vt:variant>
        <vt:i4>32</vt:i4>
      </vt:variant>
      <vt:variant>
        <vt:i4>0</vt:i4>
      </vt:variant>
      <vt:variant>
        <vt:i4>5</vt:i4>
      </vt:variant>
      <vt:variant>
        <vt:lpwstr/>
      </vt:variant>
      <vt:variant>
        <vt:lpwstr>_Toc358656361</vt:lpwstr>
      </vt:variant>
      <vt:variant>
        <vt:i4>1310781</vt:i4>
      </vt:variant>
      <vt:variant>
        <vt:i4>26</vt:i4>
      </vt:variant>
      <vt:variant>
        <vt:i4>0</vt:i4>
      </vt:variant>
      <vt:variant>
        <vt:i4>5</vt:i4>
      </vt:variant>
      <vt:variant>
        <vt:lpwstr/>
      </vt:variant>
      <vt:variant>
        <vt:lpwstr>_Toc358656360</vt:lpwstr>
      </vt:variant>
      <vt:variant>
        <vt:i4>1507389</vt:i4>
      </vt:variant>
      <vt:variant>
        <vt:i4>20</vt:i4>
      </vt:variant>
      <vt:variant>
        <vt:i4>0</vt:i4>
      </vt:variant>
      <vt:variant>
        <vt:i4>5</vt:i4>
      </vt:variant>
      <vt:variant>
        <vt:lpwstr/>
      </vt:variant>
      <vt:variant>
        <vt:lpwstr>_Toc358656359</vt:lpwstr>
      </vt:variant>
      <vt:variant>
        <vt:i4>1507389</vt:i4>
      </vt:variant>
      <vt:variant>
        <vt:i4>14</vt:i4>
      </vt:variant>
      <vt:variant>
        <vt:i4>0</vt:i4>
      </vt:variant>
      <vt:variant>
        <vt:i4>5</vt:i4>
      </vt:variant>
      <vt:variant>
        <vt:lpwstr/>
      </vt:variant>
      <vt:variant>
        <vt:lpwstr>_Toc358656358</vt:lpwstr>
      </vt:variant>
      <vt:variant>
        <vt:i4>1507389</vt:i4>
      </vt:variant>
      <vt:variant>
        <vt:i4>8</vt:i4>
      </vt:variant>
      <vt:variant>
        <vt:i4>0</vt:i4>
      </vt:variant>
      <vt:variant>
        <vt:i4>5</vt:i4>
      </vt:variant>
      <vt:variant>
        <vt:lpwstr/>
      </vt:variant>
      <vt:variant>
        <vt:lpwstr>_Toc358656357</vt:lpwstr>
      </vt:variant>
      <vt:variant>
        <vt:i4>1507389</vt:i4>
      </vt:variant>
      <vt:variant>
        <vt:i4>2</vt:i4>
      </vt:variant>
      <vt:variant>
        <vt:i4>0</vt:i4>
      </vt:variant>
      <vt:variant>
        <vt:i4>5</vt:i4>
      </vt:variant>
      <vt:variant>
        <vt:lpwstr/>
      </vt:variant>
      <vt:variant>
        <vt:lpwstr>_Toc358656356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subject> </dc:subject>
  <dc:creator/>
  <cp:keywords> </cp:keywords>
  <dc:description> </dc:description>
  <cp:lastModifiedBy/>
  <cp:revision>1</cp:revision>
  <dcterms:created xsi:type="dcterms:W3CDTF">2019-04-26T15:40:00Z</dcterms:created>
  <dcterms:modified xsi:type="dcterms:W3CDTF">2019-04-26T15:40:00Z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UFAA9qelww5tp41TlZtIti2uAPL4HXIbLU2S+zsARFsMxmZa1HsSso2kpZcveEENkIaSed7eAjxokqgO_x000d_
V+GDHrLQprBYvUNHea1kKg/DEtcv7nfQM5/XCNI3QFbOkjzab4U6MXabNoQPC+wOV+GDHrLQprBY_x000d_
vUNHea1kKg/DEtcv7nfQM5/XCNI3QF7qhTX4xwMhCsujkbMtcjc7JMt/J/K/R1t1nQh1xnD6YFnl_x000d_
Rt9q5Kr5DPqoNoF8S</vt:lpwstr>
  </property>
  <property fmtid="{D5CDD505-2E9C-101B-9397-08002B2CF9AE}" pid="3" name="MAIL_MSG_ID2">
    <vt:lpwstr>owdmvYhx6cVjAIPcP1VrOi3Rr096P3QBRjUr21LlwOkzwjN5U0z5OUIZDdJ_x000d_
kQzsu2GOahqEkOY5wffeo60T/8s=</vt:lpwstr>
  </property>
  <property fmtid="{D5CDD505-2E9C-101B-9397-08002B2CF9AE}" pid="4" name="RESPONSE_SENDER_NAME">
    <vt:lpwstr>gAAAdya76B99d4hLGUR1rQ+8TxTv0GGEPdix</vt:lpwstr>
  </property>
  <property fmtid="{D5CDD505-2E9C-101B-9397-08002B2CF9AE}" pid="5" name="EMAIL_OWNER_ADDRESS">
    <vt:lpwstr>ABAAMV6B7YzPbaIbJvI4myXEmanV3InSkD8cgGfRnl4thpLMyQRt4Eozr6Zdh3pg96qo</vt:lpwstr>
  </property>
  <property fmtid="{D5CDD505-2E9C-101B-9397-08002B2CF9AE}" pid="6" name="iManageFooter">
    <vt:lpwstr>JUR_SP - 33052360v15 - 4555005.441131</vt:lpwstr>
  </property>
</Properties>
</file>