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53945" w14:textId="77777777" w:rsidR="002D5261" w:rsidRPr="00190686" w:rsidRDefault="002D5261" w:rsidP="002D5261">
      <w:pPr>
        <w:pBdr>
          <w:top w:val="double" w:sz="4" w:space="1" w:color="auto"/>
        </w:pBdr>
        <w:tabs>
          <w:tab w:val="left" w:pos="851"/>
        </w:tabs>
        <w:spacing w:after="0" w:line="300" w:lineRule="exact"/>
        <w:rPr>
          <w:rFonts w:ascii="Verdana" w:hAnsi="Verdana"/>
          <w:sz w:val="20"/>
        </w:rPr>
      </w:pPr>
    </w:p>
    <w:p w14:paraId="5752DBA4" w14:textId="77777777" w:rsidR="002D5261" w:rsidRPr="00190686" w:rsidRDefault="002D5261" w:rsidP="002D5261">
      <w:pPr>
        <w:tabs>
          <w:tab w:val="left" w:pos="851"/>
        </w:tabs>
        <w:spacing w:after="0" w:line="300" w:lineRule="exact"/>
        <w:jc w:val="center"/>
        <w:rPr>
          <w:rFonts w:ascii="Verdana" w:hAnsi="Verdana"/>
          <w:b/>
          <w:smallCaps/>
          <w:sz w:val="20"/>
        </w:rPr>
      </w:pPr>
      <w:r w:rsidRPr="00190686">
        <w:rPr>
          <w:rFonts w:ascii="Verdana" w:hAnsi="Verdana"/>
          <w:b/>
          <w:smallCaps/>
          <w:sz w:val="20"/>
        </w:rPr>
        <w:t xml:space="preserve">Instrumento Particular de Escritura de 4ª Emissão de Debêntures Simples, Não Conversíveis em Ações, da Espécie Quirografária, em </w:t>
      </w:r>
      <w:proofErr w:type="gramStart"/>
      <w:r w:rsidRPr="00190686">
        <w:rPr>
          <w:rFonts w:ascii="Verdana" w:hAnsi="Verdana"/>
          <w:b/>
          <w:smallCaps/>
          <w:sz w:val="20"/>
        </w:rPr>
        <w:t>2</w:t>
      </w:r>
      <w:proofErr w:type="gramEnd"/>
      <w:r w:rsidRPr="00190686">
        <w:rPr>
          <w:rFonts w:ascii="Verdana" w:hAnsi="Verdana"/>
          <w:b/>
          <w:smallCaps/>
          <w:sz w:val="20"/>
        </w:rPr>
        <w:t xml:space="preserve"> (duas) Séries, para Distribuição Pública com Esforços Restritos, da Randon S.A. Implementos e Participações  </w:t>
      </w:r>
    </w:p>
    <w:p w14:paraId="20C10FAD" w14:textId="77777777" w:rsidR="002D5261" w:rsidRPr="00190686" w:rsidRDefault="002D5261" w:rsidP="002D5261">
      <w:pPr>
        <w:tabs>
          <w:tab w:val="left" w:pos="851"/>
        </w:tabs>
        <w:spacing w:after="0" w:line="300" w:lineRule="exact"/>
        <w:jc w:val="center"/>
        <w:rPr>
          <w:rFonts w:ascii="Verdana" w:hAnsi="Verdana"/>
          <w:sz w:val="20"/>
        </w:rPr>
      </w:pPr>
    </w:p>
    <w:p w14:paraId="2983254F" w14:textId="77777777" w:rsidR="002D5261" w:rsidRPr="00190686" w:rsidRDefault="002D5261" w:rsidP="002D5261">
      <w:pPr>
        <w:tabs>
          <w:tab w:val="left" w:pos="851"/>
        </w:tabs>
        <w:spacing w:after="0" w:line="300" w:lineRule="exact"/>
        <w:jc w:val="center"/>
        <w:rPr>
          <w:rFonts w:ascii="Verdana" w:hAnsi="Verdana"/>
          <w:sz w:val="20"/>
        </w:rPr>
      </w:pPr>
    </w:p>
    <w:p w14:paraId="273B09CA" w14:textId="77777777" w:rsidR="002D5261" w:rsidRPr="00190686" w:rsidRDefault="002D5261" w:rsidP="002D5261">
      <w:pPr>
        <w:tabs>
          <w:tab w:val="left" w:pos="851"/>
        </w:tabs>
        <w:spacing w:after="0" w:line="300" w:lineRule="exact"/>
        <w:jc w:val="center"/>
        <w:rPr>
          <w:rFonts w:ascii="Verdana" w:hAnsi="Verdana"/>
          <w:sz w:val="20"/>
        </w:rPr>
      </w:pPr>
    </w:p>
    <w:p w14:paraId="1EF345CE" w14:textId="77777777" w:rsidR="002D5261" w:rsidRPr="00190686" w:rsidRDefault="002D5261" w:rsidP="002D5261">
      <w:pPr>
        <w:tabs>
          <w:tab w:val="left" w:pos="851"/>
        </w:tabs>
        <w:spacing w:after="0" w:line="300" w:lineRule="exact"/>
        <w:jc w:val="center"/>
        <w:rPr>
          <w:rFonts w:ascii="Verdana" w:hAnsi="Verdana"/>
          <w:sz w:val="20"/>
        </w:rPr>
      </w:pPr>
    </w:p>
    <w:p w14:paraId="75C9A4E2" w14:textId="77777777" w:rsidR="002D5261" w:rsidRPr="00190686" w:rsidRDefault="002D5261" w:rsidP="002D5261">
      <w:pPr>
        <w:tabs>
          <w:tab w:val="left" w:pos="769"/>
          <w:tab w:val="left" w:pos="851"/>
        </w:tabs>
        <w:spacing w:after="0" w:line="300" w:lineRule="exact"/>
        <w:rPr>
          <w:rFonts w:ascii="Verdana" w:hAnsi="Verdana"/>
          <w:sz w:val="20"/>
        </w:rPr>
      </w:pPr>
      <w:r w:rsidRPr="00190686">
        <w:rPr>
          <w:rFonts w:ascii="Verdana" w:hAnsi="Verdana"/>
          <w:sz w:val="20"/>
        </w:rPr>
        <w:tab/>
      </w:r>
      <w:r w:rsidRPr="00190686">
        <w:rPr>
          <w:rFonts w:ascii="Verdana" w:hAnsi="Verdana"/>
          <w:sz w:val="20"/>
        </w:rPr>
        <w:tab/>
      </w:r>
    </w:p>
    <w:p w14:paraId="53C76305" w14:textId="77777777" w:rsidR="002D5261" w:rsidRPr="00190686" w:rsidRDefault="002D5261" w:rsidP="002D5261">
      <w:pPr>
        <w:tabs>
          <w:tab w:val="left" w:pos="851"/>
        </w:tabs>
        <w:spacing w:after="0" w:line="300" w:lineRule="exact"/>
        <w:jc w:val="center"/>
        <w:rPr>
          <w:rFonts w:ascii="Verdana" w:hAnsi="Verdana"/>
          <w:sz w:val="20"/>
        </w:rPr>
      </w:pPr>
      <w:proofErr w:type="gramStart"/>
      <w:r w:rsidRPr="00190686">
        <w:rPr>
          <w:rFonts w:ascii="Verdana" w:hAnsi="Verdana"/>
          <w:sz w:val="20"/>
        </w:rPr>
        <w:t>entre</w:t>
      </w:r>
      <w:proofErr w:type="gramEnd"/>
    </w:p>
    <w:p w14:paraId="232E8678" w14:textId="77777777" w:rsidR="002D5261" w:rsidRPr="00190686" w:rsidRDefault="002D5261" w:rsidP="002D5261">
      <w:pPr>
        <w:tabs>
          <w:tab w:val="left" w:pos="851"/>
        </w:tabs>
        <w:spacing w:after="0" w:line="300" w:lineRule="exact"/>
        <w:jc w:val="center"/>
        <w:rPr>
          <w:rFonts w:ascii="Verdana" w:hAnsi="Verdana"/>
          <w:sz w:val="20"/>
        </w:rPr>
      </w:pPr>
    </w:p>
    <w:p w14:paraId="4AE9604B" w14:textId="77777777" w:rsidR="002D5261" w:rsidRPr="00190686" w:rsidRDefault="002D5261" w:rsidP="002D5261">
      <w:pPr>
        <w:tabs>
          <w:tab w:val="left" w:pos="851"/>
        </w:tabs>
        <w:spacing w:after="0" w:line="300" w:lineRule="exact"/>
        <w:jc w:val="center"/>
        <w:rPr>
          <w:rFonts w:ascii="Verdana" w:hAnsi="Verdana"/>
          <w:sz w:val="20"/>
        </w:rPr>
      </w:pPr>
    </w:p>
    <w:p w14:paraId="761FE7A6" w14:textId="77777777" w:rsidR="002D5261" w:rsidRPr="00190686" w:rsidRDefault="002D5261" w:rsidP="002D5261">
      <w:pPr>
        <w:tabs>
          <w:tab w:val="left" w:pos="851"/>
        </w:tabs>
        <w:spacing w:after="0" w:line="300" w:lineRule="exact"/>
        <w:jc w:val="center"/>
        <w:rPr>
          <w:rFonts w:ascii="Verdana" w:hAnsi="Verdana"/>
          <w:sz w:val="20"/>
        </w:rPr>
      </w:pPr>
    </w:p>
    <w:p w14:paraId="4106B34E" w14:textId="77777777" w:rsidR="002D5261" w:rsidRPr="00190686" w:rsidRDefault="002D5261" w:rsidP="002D5261">
      <w:pPr>
        <w:tabs>
          <w:tab w:val="left" w:pos="851"/>
        </w:tabs>
        <w:spacing w:after="0" w:line="300" w:lineRule="exact"/>
        <w:jc w:val="center"/>
        <w:rPr>
          <w:rFonts w:ascii="Verdana" w:hAnsi="Verdana"/>
          <w:sz w:val="20"/>
        </w:rPr>
      </w:pPr>
    </w:p>
    <w:p w14:paraId="391995AC" w14:textId="77777777" w:rsidR="002D5261" w:rsidRPr="00190686" w:rsidRDefault="002D5261" w:rsidP="002D5261">
      <w:pPr>
        <w:tabs>
          <w:tab w:val="left" w:pos="851"/>
        </w:tabs>
        <w:spacing w:after="0" w:line="300" w:lineRule="exact"/>
        <w:jc w:val="center"/>
        <w:rPr>
          <w:rFonts w:ascii="Verdana" w:hAnsi="Verdana"/>
          <w:sz w:val="20"/>
        </w:rPr>
      </w:pPr>
    </w:p>
    <w:p w14:paraId="258FB543" w14:textId="77777777" w:rsidR="002D5261" w:rsidRPr="00190686" w:rsidRDefault="002D5261" w:rsidP="002D5261">
      <w:pPr>
        <w:tabs>
          <w:tab w:val="left" w:pos="851"/>
        </w:tabs>
        <w:spacing w:after="0" w:line="300" w:lineRule="exact"/>
        <w:jc w:val="center"/>
        <w:outlineLvl w:val="0"/>
        <w:rPr>
          <w:rFonts w:ascii="Verdana" w:hAnsi="Verdana"/>
          <w:b/>
          <w:smallCaps/>
          <w:sz w:val="20"/>
        </w:rPr>
      </w:pPr>
      <w:r w:rsidRPr="00190686">
        <w:rPr>
          <w:rFonts w:ascii="Verdana" w:hAnsi="Verdana"/>
          <w:b/>
          <w:smallCaps/>
          <w:sz w:val="20"/>
        </w:rPr>
        <w:t xml:space="preserve">Randon S.A. Implementos e </w:t>
      </w:r>
      <w:proofErr w:type="gramStart"/>
      <w:r w:rsidRPr="00190686">
        <w:rPr>
          <w:rFonts w:ascii="Verdana" w:hAnsi="Verdana"/>
          <w:b/>
          <w:smallCaps/>
          <w:sz w:val="20"/>
        </w:rPr>
        <w:t>Participações</w:t>
      </w:r>
      <w:proofErr w:type="gramEnd"/>
    </w:p>
    <w:p w14:paraId="152993A6" w14:textId="77777777" w:rsidR="002D5261" w:rsidRPr="00190686" w:rsidRDefault="002D5261" w:rsidP="002D5261">
      <w:pPr>
        <w:tabs>
          <w:tab w:val="left" w:pos="851"/>
        </w:tabs>
        <w:spacing w:after="0" w:line="300" w:lineRule="exact"/>
        <w:jc w:val="center"/>
        <w:outlineLvl w:val="0"/>
        <w:rPr>
          <w:rFonts w:ascii="Verdana" w:hAnsi="Verdana"/>
          <w:i/>
          <w:sz w:val="20"/>
        </w:rPr>
      </w:pPr>
      <w:proofErr w:type="gramStart"/>
      <w:r w:rsidRPr="00190686">
        <w:rPr>
          <w:rFonts w:ascii="Verdana" w:hAnsi="Verdana"/>
          <w:i/>
          <w:sz w:val="20"/>
        </w:rPr>
        <w:t>como</w:t>
      </w:r>
      <w:proofErr w:type="gramEnd"/>
      <w:r w:rsidRPr="00190686">
        <w:rPr>
          <w:rFonts w:ascii="Verdana" w:hAnsi="Verdana"/>
          <w:i/>
          <w:sz w:val="20"/>
        </w:rPr>
        <w:t xml:space="preserve"> Emissora</w:t>
      </w:r>
    </w:p>
    <w:p w14:paraId="771205A4" w14:textId="77777777" w:rsidR="002D5261" w:rsidRPr="00190686" w:rsidRDefault="002D5261" w:rsidP="002D5261">
      <w:pPr>
        <w:tabs>
          <w:tab w:val="left" w:pos="851"/>
        </w:tabs>
        <w:spacing w:after="0" w:line="300" w:lineRule="exact"/>
        <w:jc w:val="center"/>
        <w:rPr>
          <w:rFonts w:ascii="Verdana" w:hAnsi="Verdana"/>
          <w:sz w:val="20"/>
        </w:rPr>
      </w:pPr>
    </w:p>
    <w:p w14:paraId="096F6994" w14:textId="77777777" w:rsidR="002D5261" w:rsidRPr="00190686" w:rsidRDefault="002D5261" w:rsidP="002D5261">
      <w:pPr>
        <w:tabs>
          <w:tab w:val="left" w:pos="851"/>
        </w:tabs>
        <w:spacing w:after="0" w:line="300" w:lineRule="exact"/>
        <w:jc w:val="center"/>
        <w:rPr>
          <w:rFonts w:ascii="Verdana" w:hAnsi="Verdana"/>
          <w:sz w:val="20"/>
        </w:rPr>
      </w:pPr>
    </w:p>
    <w:p w14:paraId="12321621" w14:textId="77777777" w:rsidR="002D5261" w:rsidRPr="00190686" w:rsidRDefault="002D5261" w:rsidP="002D5261">
      <w:pPr>
        <w:tabs>
          <w:tab w:val="left" w:pos="851"/>
        </w:tabs>
        <w:spacing w:after="0" w:line="300" w:lineRule="exact"/>
        <w:jc w:val="center"/>
        <w:rPr>
          <w:rFonts w:ascii="Verdana" w:hAnsi="Verdana"/>
          <w:sz w:val="20"/>
        </w:rPr>
      </w:pPr>
      <w:proofErr w:type="gramStart"/>
      <w:r w:rsidRPr="00190686">
        <w:rPr>
          <w:rFonts w:ascii="Verdana" w:hAnsi="Verdana"/>
          <w:sz w:val="20"/>
        </w:rPr>
        <w:t>e</w:t>
      </w:r>
      <w:proofErr w:type="gramEnd"/>
    </w:p>
    <w:p w14:paraId="2687AEC8" w14:textId="77777777" w:rsidR="002D5261" w:rsidRPr="00190686" w:rsidRDefault="002D5261" w:rsidP="002D5261">
      <w:pPr>
        <w:tabs>
          <w:tab w:val="left" w:pos="851"/>
        </w:tabs>
        <w:spacing w:after="0" w:line="300" w:lineRule="exact"/>
        <w:jc w:val="center"/>
        <w:rPr>
          <w:rFonts w:ascii="Verdana" w:hAnsi="Verdana"/>
          <w:sz w:val="20"/>
        </w:rPr>
      </w:pPr>
    </w:p>
    <w:p w14:paraId="3E48EA60" w14:textId="77777777" w:rsidR="002D5261" w:rsidRPr="00190686" w:rsidRDefault="002D5261" w:rsidP="002D5261">
      <w:pPr>
        <w:tabs>
          <w:tab w:val="left" w:pos="851"/>
        </w:tabs>
        <w:spacing w:after="0" w:line="300" w:lineRule="exact"/>
        <w:jc w:val="center"/>
        <w:rPr>
          <w:rFonts w:ascii="Verdana" w:hAnsi="Verdana"/>
          <w:sz w:val="20"/>
        </w:rPr>
      </w:pPr>
    </w:p>
    <w:p w14:paraId="0E5435CD" w14:textId="77777777" w:rsidR="002D5261" w:rsidRPr="00190686" w:rsidRDefault="002D5261" w:rsidP="002D5261">
      <w:pPr>
        <w:tabs>
          <w:tab w:val="left" w:pos="851"/>
        </w:tabs>
        <w:spacing w:after="0" w:line="300" w:lineRule="exact"/>
        <w:jc w:val="center"/>
        <w:rPr>
          <w:rFonts w:ascii="Verdana" w:hAnsi="Verdana"/>
          <w:sz w:val="20"/>
        </w:rPr>
      </w:pPr>
    </w:p>
    <w:p w14:paraId="4FA0B38B" w14:textId="77777777" w:rsidR="002D5261" w:rsidRPr="00190686" w:rsidRDefault="002D5261" w:rsidP="002D5261">
      <w:pPr>
        <w:tabs>
          <w:tab w:val="left" w:pos="851"/>
        </w:tabs>
        <w:spacing w:after="0" w:line="300" w:lineRule="exact"/>
        <w:jc w:val="center"/>
        <w:rPr>
          <w:rFonts w:ascii="Verdana" w:hAnsi="Verdana"/>
          <w:sz w:val="20"/>
        </w:rPr>
      </w:pPr>
    </w:p>
    <w:p w14:paraId="6314AC91" w14:textId="77777777" w:rsidR="002D5261" w:rsidRPr="00190686" w:rsidRDefault="002D5261" w:rsidP="002D5261">
      <w:pPr>
        <w:tabs>
          <w:tab w:val="left" w:pos="851"/>
        </w:tabs>
        <w:spacing w:after="0" w:line="300" w:lineRule="exact"/>
        <w:jc w:val="center"/>
        <w:rPr>
          <w:rFonts w:ascii="Verdana" w:hAnsi="Verdana"/>
          <w:sz w:val="20"/>
        </w:rPr>
      </w:pPr>
    </w:p>
    <w:p w14:paraId="2B2D250C" w14:textId="77777777" w:rsidR="002D5261" w:rsidRPr="00190686" w:rsidRDefault="002D5261" w:rsidP="002D5261">
      <w:pPr>
        <w:tabs>
          <w:tab w:val="left" w:pos="851"/>
        </w:tabs>
        <w:spacing w:after="0" w:line="300" w:lineRule="exact"/>
        <w:jc w:val="center"/>
        <w:rPr>
          <w:rFonts w:ascii="Verdana" w:hAnsi="Verdana"/>
          <w:sz w:val="20"/>
        </w:rPr>
      </w:pPr>
    </w:p>
    <w:p w14:paraId="7DF30630" w14:textId="77777777" w:rsidR="002D5261" w:rsidRPr="00190686" w:rsidRDefault="002D5261" w:rsidP="002D5261">
      <w:pPr>
        <w:tabs>
          <w:tab w:val="left" w:pos="851"/>
        </w:tabs>
        <w:spacing w:after="0" w:line="300" w:lineRule="exact"/>
        <w:jc w:val="center"/>
        <w:rPr>
          <w:rFonts w:ascii="Verdana" w:hAnsi="Verdana"/>
          <w:sz w:val="20"/>
        </w:rPr>
      </w:pPr>
    </w:p>
    <w:p w14:paraId="6F414E8E" w14:textId="77777777" w:rsidR="002D5261" w:rsidRPr="00190686" w:rsidRDefault="002D5261" w:rsidP="002D5261">
      <w:pPr>
        <w:tabs>
          <w:tab w:val="left" w:pos="851"/>
        </w:tabs>
        <w:spacing w:after="0" w:line="300" w:lineRule="exact"/>
        <w:jc w:val="center"/>
        <w:rPr>
          <w:rFonts w:ascii="Verdana" w:hAnsi="Verdana"/>
          <w:sz w:val="20"/>
        </w:rPr>
      </w:pPr>
    </w:p>
    <w:p w14:paraId="565C7C46" w14:textId="77777777" w:rsidR="00F61CBE" w:rsidRDefault="002D5261" w:rsidP="002D5261">
      <w:pPr>
        <w:tabs>
          <w:tab w:val="left" w:pos="851"/>
        </w:tabs>
        <w:spacing w:after="0" w:line="300" w:lineRule="exact"/>
        <w:jc w:val="center"/>
        <w:rPr>
          <w:rFonts w:ascii="Verdana" w:hAnsi="Verdana"/>
          <w:b/>
          <w:smallCaps/>
          <w:sz w:val="20"/>
        </w:rPr>
      </w:pPr>
      <w:r w:rsidRPr="00190686">
        <w:rPr>
          <w:rFonts w:ascii="Verdana" w:hAnsi="Verdana"/>
          <w:b/>
          <w:smallCaps/>
          <w:sz w:val="20"/>
        </w:rPr>
        <w:t xml:space="preserve">Oliveira </w:t>
      </w:r>
      <w:proofErr w:type="spellStart"/>
      <w:r w:rsidRPr="00190686">
        <w:rPr>
          <w:rFonts w:ascii="Verdana" w:hAnsi="Verdana"/>
          <w:b/>
          <w:smallCaps/>
          <w:sz w:val="20"/>
        </w:rPr>
        <w:t>Trust</w:t>
      </w:r>
      <w:proofErr w:type="spellEnd"/>
      <w:r w:rsidRPr="00190686">
        <w:rPr>
          <w:rFonts w:ascii="Verdana" w:hAnsi="Verdana"/>
          <w:b/>
          <w:smallCaps/>
          <w:sz w:val="20"/>
        </w:rPr>
        <w:t xml:space="preserve"> Distribuidora de Títulos e Valores Mobiliários S.A.</w:t>
      </w:r>
    </w:p>
    <w:p w14:paraId="376F85D0" w14:textId="351869A3" w:rsidR="002D5261" w:rsidRPr="00190686" w:rsidRDefault="002D5261" w:rsidP="002D5261">
      <w:pPr>
        <w:tabs>
          <w:tab w:val="left" w:pos="851"/>
        </w:tabs>
        <w:spacing w:after="0" w:line="300" w:lineRule="exact"/>
        <w:jc w:val="center"/>
        <w:rPr>
          <w:rFonts w:ascii="Verdana" w:hAnsi="Verdana"/>
          <w:i/>
          <w:sz w:val="20"/>
        </w:rPr>
      </w:pPr>
      <w:proofErr w:type="gramStart"/>
      <w:r w:rsidRPr="00190686">
        <w:rPr>
          <w:rFonts w:ascii="Verdana" w:hAnsi="Verdana"/>
          <w:i/>
          <w:sz w:val="20"/>
        </w:rPr>
        <w:t>como</w:t>
      </w:r>
      <w:proofErr w:type="gramEnd"/>
      <w:r w:rsidRPr="00190686">
        <w:rPr>
          <w:rFonts w:ascii="Verdana" w:hAnsi="Verdana"/>
          <w:i/>
          <w:sz w:val="20"/>
        </w:rPr>
        <w:t xml:space="preserve"> Agente Fiduciário, representando a comunhão de Debenturistas</w:t>
      </w:r>
    </w:p>
    <w:p w14:paraId="4C6D4983" w14:textId="77777777" w:rsidR="002D5261" w:rsidRPr="00190686" w:rsidRDefault="002D5261" w:rsidP="002D5261">
      <w:pPr>
        <w:tabs>
          <w:tab w:val="left" w:pos="851"/>
        </w:tabs>
        <w:spacing w:after="0" w:line="300" w:lineRule="exact"/>
        <w:jc w:val="center"/>
        <w:rPr>
          <w:rFonts w:ascii="Verdana" w:hAnsi="Verdana"/>
          <w:sz w:val="20"/>
        </w:rPr>
      </w:pPr>
    </w:p>
    <w:p w14:paraId="17AA1556" w14:textId="77777777" w:rsidR="002D5261" w:rsidRPr="00190686" w:rsidRDefault="002D5261" w:rsidP="002D5261">
      <w:pPr>
        <w:tabs>
          <w:tab w:val="left" w:pos="851"/>
        </w:tabs>
        <w:spacing w:after="0" w:line="300" w:lineRule="exact"/>
        <w:jc w:val="center"/>
        <w:rPr>
          <w:rFonts w:ascii="Verdana" w:hAnsi="Verdana"/>
          <w:sz w:val="20"/>
        </w:rPr>
      </w:pPr>
    </w:p>
    <w:p w14:paraId="7301498C" w14:textId="77777777" w:rsidR="002D5261" w:rsidRPr="00190686" w:rsidRDefault="002D5261" w:rsidP="002D5261">
      <w:pPr>
        <w:tabs>
          <w:tab w:val="left" w:pos="851"/>
        </w:tabs>
        <w:spacing w:after="0" w:line="300" w:lineRule="exact"/>
        <w:jc w:val="center"/>
        <w:rPr>
          <w:rFonts w:ascii="Verdana" w:hAnsi="Verdana"/>
          <w:sz w:val="20"/>
        </w:rPr>
      </w:pPr>
    </w:p>
    <w:p w14:paraId="136F80BD" w14:textId="77777777" w:rsidR="002D5261" w:rsidRPr="00190686" w:rsidRDefault="002D5261" w:rsidP="002D5261">
      <w:pPr>
        <w:tabs>
          <w:tab w:val="left" w:pos="851"/>
        </w:tabs>
        <w:spacing w:after="0" w:line="300" w:lineRule="exact"/>
        <w:jc w:val="center"/>
        <w:rPr>
          <w:rFonts w:ascii="Verdana" w:hAnsi="Verdana"/>
          <w:sz w:val="20"/>
        </w:rPr>
      </w:pPr>
    </w:p>
    <w:p w14:paraId="37AA9652" w14:textId="77777777" w:rsidR="002D5261" w:rsidRPr="00190686" w:rsidRDefault="002D5261" w:rsidP="002D5261">
      <w:pPr>
        <w:tabs>
          <w:tab w:val="left" w:pos="851"/>
        </w:tabs>
        <w:spacing w:after="0" w:line="300" w:lineRule="exact"/>
        <w:jc w:val="center"/>
        <w:rPr>
          <w:rFonts w:ascii="Verdana" w:hAnsi="Verdana"/>
          <w:sz w:val="20"/>
        </w:rPr>
      </w:pPr>
    </w:p>
    <w:p w14:paraId="2655A274" w14:textId="77777777" w:rsidR="002D5261" w:rsidRPr="00190686" w:rsidRDefault="002D5261" w:rsidP="002D5261">
      <w:pPr>
        <w:tabs>
          <w:tab w:val="left" w:pos="851"/>
        </w:tabs>
        <w:spacing w:after="0" w:line="300" w:lineRule="exact"/>
        <w:jc w:val="center"/>
        <w:rPr>
          <w:rFonts w:ascii="Verdana" w:hAnsi="Verdana"/>
          <w:sz w:val="20"/>
        </w:rPr>
      </w:pPr>
    </w:p>
    <w:p w14:paraId="3E460DBD" w14:textId="77777777" w:rsidR="002D5261" w:rsidRPr="00190686" w:rsidRDefault="002D5261" w:rsidP="002D5261">
      <w:pPr>
        <w:tabs>
          <w:tab w:val="left" w:pos="851"/>
        </w:tabs>
        <w:spacing w:after="0" w:line="300" w:lineRule="exact"/>
        <w:jc w:val="center"/>
        <w:rPr>
          <w:rFonts w:ascii="Verdana" w:hAnsi="Verdana"/>
          <w:sz w:val="20"/>
        </w:rPr>
      </w:pPr>
    </w:p>
    <w:p w14:paraId="2089DE15" w14:textId="77777777" w:rsidR="002D5261" w:rsidRPr="00190686" w:rsidRDefault="002D5261" w:rsidP="002D5261">
      <w:pPr>
        <w:tabs>
          <w:tab w:val="left" w:pos="851"/>
        </w:tabs>
        <w:spacing w:after="0" w:line="300" w:lineRule="exact"/>
        <w:jc w:val="center"/>
        <w:rPr>
          <w:rFonts w:ascii="Verdana" w:hAnsi="Verdana"/>
          <w:sz w:val="20"/>
        </w:rPr>
      </w:pPr>
      <w:r w:rsidRPr="00190686">
        <w:rPr>
          <w:rFonts w:ascii="Verdana" w:hAnsi="Verdana"/>
          <w:sz w:val="20"/>
        </w:rPr>
        <w:t>___________________</w:t>
      </w:r>
    </w:p>
    <w:p w14:paraId="64199DF9" w14:textId="77777777" w:rsidR="002D5261" w:rsidRPr="00190686" w:rsidRDefault="002D5261" w:rsidP="002D5261">
      <w:pPr>
        <w:tabs>
          <w:tab w:val="left" w:pos="851"/>
        </w:tabs>
        <w:spacing w:after="0" w:line="300" w:lineRule="exact"/>
        <w:jc w:val="center"/>
        <w:outlineLvl w:val="0"/>
        <w:rPr>
          <w:rFonts w:ascii="Verdana" w:hAnsi="Verdana"/>
          <w:sz w:val="20"/>
        </w:rPr>
      </w:pPr>
      <w:r w:rsidRPr="00190686">
        <w:rPr>
          <w:rFonts w:ascii="Verdana" w:hAnsi="Verdana"/>
          <w:sz w:val="20"/>
        </w:rPr>
        <w:t>Datado de</w:t>
      </w:r>
    </w:p>
    <w:p w14:paraId="45CE4B33" w14:textId="1159CC37" w:rsidR="002D5261" w:rsidRPr="00190686" w:rsidRDefault="00F50AEC" w:rsidP="002D5261">
      <w:pPr>
        <w:tabs>
          <w:tab w:val="left" w:pos="851"/>
        </w:tabs>
        <w:spacing w:after="0" w:line="300" w:lineRule="exact"/>
        <w:jc w:val="center"/>
        <w:rPr>
          <w:rFonts w:ascii="Verdana" w:hAnsi="Verdana"/>
          <w:sz w:val="20"/>
        </w:rPr>
      </w:pPr>
      <w:r>
        <w:rPr>
          <w:rFonts w:ascii="Verdana" w:hAnsi="Verdana"/>
          <w:sz w:val="20"/>
        </w:rPr>
        <w:t xml:space="preserve">10 </w:t>
      </w:r>
      <w:r w:rsidR="002D5261" w:rsidRPr="00190686">
        <w:rPr>
          <w:rFonts w:ascii="Verdana" w:hAnsi="Verdana"/>
          <w:sz w:val="20"/>
        </w:rPr>
        <w:t>de novembro de 2016</w:t>
      </w:r>
    </w:p>
    <w:p w14:paraId="1627B307" w14:textId="77777777" w:rsidR="002D5261" w:rsidRPr="00190686" w:rsidRDefault="002D5261" w:rsidP="002D5261">
      <w:pPr>
        <w:tabs>
          <w:tab w:val="left" w:pos="851"/>
        </w:tabs>
        <w:spacing w:after="0" w:line="300" w:lineRule="exact"/>
        <w:jc w:val="center"/>
        <w:rPr>
          <w:rFonts w:ascii="Verdana" w:hAnsi="Verdana"/>
          <w:sz w:val="20"/>
        </w:rPr>
      </w:pPr>
      <w:r w:rsidRPr="00190686">
        <w:rPr>
          <w:rFonts w:ascii="Verdana" w:hAnsi="Verdana"/>
          <w:sz w:val="20"/>
        </w:rPr>
        <w:t>___________________</w:t>
      </w:r>
    </w:p>
    <w:p w14:paraId="0C0BE2AC" w14:textId="77777777" w:rsidR="002D5261" w:rsidRPr="00190686" w:rsidRDefault="002D5261" w:rsidP="002D5261">
      <w:pPr>
        <w:tabs>
          <w:tab w:val="left" w:pos="851"/>
        </w:tabs>
        <w:spacing w:after="0" w:line="300" w:lineRule="exact"/>
        <w:jc w:val="center"/>
        <w:rPr>
          <w:rFonts w:ascii="Verdana" w:hAnsi="Verdana"/>
          <w:b/>
          <w:smallCaps/>
          <w:sz w:val="20"/>
        </w:rPr>
      </w:pPr>
      <w:r w:rsidRPr="00190686">
        <w:rPr>
          <w:rFonts w:ascii="Verdana" w:hAnsi="Verdana"/>
          <w:b/>
          <w:smallCaps/>
          <w:sz w:val="20"/>
        </w:rPr>
        <w:lastRenderedPageBreak/>
        <w:t xml:space="preserve">Instrumento Particular de Escritura de 4ª Emissão de Debêntures Simples, Não Conversíveis em Ações, da Espécie Quirografária, em </w:t>
      </w:r>
      <w:proofErr w:type="gramStart"/>
      <w:r w:rsidRPr="00190686">
        <w:rPr>
          <w:rFonts w:ascii="Verdana" w:hAnsi="Verdana"/>
          <w:b/>
          <w:smallCaps/>
          <w:sz w:val="20"/>
        </w:rPr>
        <w:t>2</w:t>
      </w:r>
      <w:proofErr w:type="gramEnd"/>
      <w:r w:rsidRPr="00190686">
        <w:rPr>
          <w:rFonts w:ascii="Verdana" w:hAnsi="Verdana"/>
          <w:b/>
          <w:smallCaps/>
          <w:sz w:val="20"/>
        </w:rPr>
        <w:t xml:space="preserve"> (duas) Séries, para Distribuição Pública com Esforços Restritos, da Randon S.A. Implementos e Participações </w:t>
      </w:r>
    </w:p>
    <w:p w14:paraId="3F038CC4" w14:textId="77777777" w:rsidR="002D5261" w:rsidRPr="00190686" w:rsidRDefault="002D5261" w:rsidP="002D5261">
      <w:pPr>
        <w:tabs>
          <w:tab w:val="left" w:pos="851"/>
        </w:tabs>
        <w:spacing w:after="0" w:line="300" w:lineRule="exact"/>
        <w:rPr>
          <w:rFonts w:ascii="Verdana" w:hAnsi="Verdana"/>
          <w:sz w:val="20"/>
        </w:rPr>
      </w:pPr>
    </w:p>
    <w:p w14:paraId="063C2275"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Celebram este “Instrumento Particular de Escritura de 4ª Emissão de Debêntures Simples, Não Conversíveis em Ações, da Espécie Quirografária, em </w:t>
      </w:r>
      <w:proofErr w:type="gramStart"/>
      <w:r w:rsidRPr="00190686">
        <w:rPr>
          <w:rFonts w:ascii="Verdana" w:hAnsi="Verdana"/>
          <w:sz w:val="20"/>
        </w:rPr>
        <w:t>2</w:t>
      </w:r>
      <w:proofErr w:type="gramEnd"/>
      <w:r w:rsidRPr="00190686">
        <w:rPr>
          <w:rFonts w:ascii="Verdana" w:hAnsi="Verdana"/>
          <w:sz w:val="20"/>
        </w:rPr>
        <w:t xml:space="preserve"> (duas) Séries, para Distribuição Pública com Esforços Restritos, da Randon S.A. Implementos e Participações” (“</w:t>
      </w:r>
      <w:r w:rsidRPr="00190686">
        <w:rPr>
          <w:rFonts w:ascii="Verdana" w:hAnsi="Verdana"/>
          <w:sz w:val="20"/>
          <w:u w:val="single"/>
        </w:rPr>
        <w:t>Escritura de Emissão</w:t>
      </w:r>
      <w:r w:rsidRPr="00190686">
        <w:rPr>
          <w:rFonts w:ascii="Verdana" w:hAnsi="Verdana"/>
          <w:sz w:val="20"/>
        </w:rPr>
        <w:t>”):</w:t>
      </w:r>
    </w:p>
    <w:p w14:paraId="4C02A185" w14:textId="77777777" w:rsidR="002D5261" w:rsidRPr="00190686" w:rsidRDefault="002D5261" w:rsidP="002D5261">
      <w:pPr>
        <w:tabs>
          <w:tab w:val="left" w:pos="851"/>
        </w:tabs>
        <w:spacing w:after="0" w:line="300" w:lineRule="exact"/>
        <w:rPr>
          <w:rFonts w:ascii="Verdana" w:hAnsi="Verdana"/>
          <w:sz w:val="20"/>
        </w:rPr>
      </w:pPr>
    </w:p>
    <w:p w14:paraId="1BFB3BF1" w14:textId="77777777" w:rsidR="002D5261" w:rsidRPr="00190686" w:rsidRDefault="002D5261" w:rsidP="002D5261">
      <w:pPr>
        <w:keepNext/>
        <w:keepLines/>
        <w:numPr>
          <w:ilvl w:val="0"/>
          <w:numId w:val="2"/>
        </w:numPr>
        <w:tabs>
          <w:tab w:val="clear" w:pos="1418"/>
          <w:tab w:val="left" w:pos="851"/>
        </w:tabs>
        <w:spacing w:after="0" w:line="300" w:lineRule="exact"/>
        <w:ind w:left="0" w:firstLine="0"/>
        <w:rPr>
          <w:rFonts w:ascii="Verdana" w:hAnsi="Verdana"/>
          <w:sz w:val="20"/>
        </w:rPr>
      </w:pPr>
      <w:r w:rsidRPr="00190686">
        <w:rPr>
          <w:rFonts w:ascii="Verdana" w:hAnsi="Verdana"/>
          <w:sz w:val="20"/>
        </w:rPr>
        <w:t xml:space="preserve">Como emissora e ofertante das Debêntures (conforme abaixo definidas), </w:t>
      </w:r>
      <w:r w:rsidRPr="00190686">
        <w:rPr>
          <w:rFonts w:ascii="Verdana" w:hAnsi="Verdana"/>
          <w:b/>
          <w:smallCaps/>
          <w:sz w:val="20"/>
        </w:rPr>
        <w:t>Randon S.A. Implementos e Participações</w:t>
      </w:r>
      <w:r w:rsidRPr="00190686">
        <w:rPr>
          <w:rFonts w:ascii="Verdana" w:hAnsi="Verdana"/>
          <w:sz w:val="20"/>
        </w:rPr>
        <w:t>, sociedade por ações com registro de companhia aberta perante a Comissão de Valores Mobiliários (“</w:t>
      </w:r>
      <w:r w:rsidRPr="00190686">
        <w:rPr>
          <w:rFonts w:ascii="Verdana" w:hAnsi="Verdana"/>
          <w:sz w:val="20"/>
          <w:u w:val="single"/>
        </w:rPr>
        <w:t>CVM</w:t>
      </w:r>
      <w:r w:rsidRPr="00190686">
        <w:rPr>
          <w:rFonts w:ascii="Verdana" w:hAnsi="Verdana"/>
          <w:sz w:val="20"/>
        </w:rPr>
        <w:t xml:space="preserve">”), com sede na Cidade de Caxias do Sul, Estado do Rio Grande do Sul, na Avenida </w:t>
      </w:r>
      <w:proofErr w:type="spellStart"/>
      <w:r w:rsidRPr="00190686">
        <w:rPr>
          <w:rFonts w:ascii="Verdana" w:hAnsi="Verdana"/>
          <w:sz w:val="20"/>
        </w:rPr>
        <w:t>Abramo</w:t>
      </w:r>
      <w:proofErr w:type="spellEnd"/>
      <w:r w:rsidRPr="00190686">
        <w:rPr>
          <w:rFonts w:ascii="Verdana" w:hAnsi="Verdana"/>
          <w:sz w:val="20"/>
        </w:rPr>
        <w:t xml:space="preserve"> Randon, nº 770, inscrita no Cadastro Nacional da Pessoa Jurídica do Ministério da Fazenda (“</w:t>
      </w:r>
      <w:r w:rsidRPr="00190686">
        <w:rPr>
          <w:rFonts w:ascii="Verdana" w:hAnsi="Verdana"/>
          <w:sz w:val="20"/>
          <w:u w:val="single"/>
        </w:rPr>
        <w:t>CNPJ/MF</w:t>
      </w:r>
      <w:r w:rsidRPr="00190686">
        <w:rPr>
          <w:rFonts w:ascii="Verdana" w:hAnsi="Verdana"/>
          <w:sz w:val="20"/>
        </w:rPr>
        <w:t>”) sob o nº 89.086.144/0011-98, com seus atos constitutivos registrados perante a Junta Comercial do Estado do Rio Grande do Sul (“</w:t>
      </w:r>
      <w:r w:rsidRPr="00190686">
        <w:rPr>
          <w:rFonts w:ascii="Verdana" w:hAnsi="Verdana"/>
          <w:sz w:val="20"/>
          <w:u w:val="single"/>
        </w:rPr>
        <w:t>JUCERGS</w:t>
      </w:r>
      <w:r w:rsidRPr="00190686">
        <w:rPr>
          <w:rFonts w:ascii="Verdana" w:hAnsi="Verdana"/>
          <w:sz w:val="20"/>
        </w:rPr>
        <w:t xml:space="preserve">”) sob o NIRE 43.300.032.680, neste </w:t>
      </w:r>
      <w:proofErr w:type="gramStart"/>
      <w:r w:rsidRPr="00190686">
        <w:rPr>
          <w:rFonts w:ascii="Verdana" w:hAnsi="Verdana"/>
          <w:sz w:val="20"/>
        </w:rPr>
        <w:t>ato representada nos termos de seu estatuto social</w:t>
      </w:r>
      <w:proofErr w:type="gramEnd"/>
      <w:r w:rsidRPr="00190686">
        <w:rPr>
          <w:rFonts w:ascii="Verdana" w:hAnsi="Verdana"/>
          <w:sz w:val="20"/>
        </w:rPr>
        <w:t xml:space="preserve"> (“</w:t>
      </w:r>
      <w:r w:rsidRPr="00190686">
        <w:rPr>
          <w:rFonts w:ascii="Verdana" w:hAnsi="Verdana"/>
          <w:sz w:val="20"/>
          <w:u w:val="single"/>
        </w:rPr>
        <w:t>Emissora</w:t>
      </w:r>
      <w:r w:rsidRPr="00190686">
        <w:rPr>
          <w:rFonts w:ascii="Verdana" w:hAnsi="Verdana"/>
          <w:sz w:val="20"/>
        </w:rPr>
        <w:t>”); e</w:t>
      </w:r>
    </w:p>
    <w:p w14:paraId="1037511D" w14:textId="77777777" w:rsidR="002D5261" w:rsidRPr="00190686" w:rsidRDefault="002D5261" w:rsidP="002D5261">
      <w:pPr>
        <w:keepNext/>
        <w:keepLines/>
        <w:tabs>
          <w:tab w:val="left" w:pos="851"/>
        </w:tabs>
        <w:spacing w:after="0" w:line="300" w:lineRule="exact"/>
        <w:ind w:left="709"/>
        <w:rPr>
          <w:rFonts w:ascii="Verdana" w:hAnsi="Verdana"/>
          <w:sz w:val="20"/>
        </w:rPr>
      </w:pPr>
    </w:p>
    <w:p w14:paraId="352F80BB" w14:textId="3D14F67F" w:rsidR="002D5261" w:rsidRPr="00190686" w:rsidRDefault="002D5261" w:rsidP="002D5261">
      <w:pPr>
        <w:keepNext/>
        <w:keepLines/>
        <w:numPr>
          <w:ilvl w:val="0"/>
          <w:numId w:val="2"/>
        </w:numPr>
        <w:tabs>
          <w:tab w:val="clear" w:pos="1418"/>
          <w:tab w:val="left" w:pos="851"/>
        </w:tabs>
        <w:spacing w:after="0" w:line="300" w:lineRule="exact"/>
        <w:ind w:left="0" w:firstLine="0"/>
        <w:rPr>
          <w:rFonts w:ascii="Verdana" w:hAnsi="Verdana"/>
          <w:sz w:val="20"/>
        </w:rPr>
      </w:pPr>
      <w:r w:rsidRPr="00190686">
        <w:rPr>
          <w:rFonts w:ascii="Verdana" w:hAnsi="Verdana"/>
          <w:sz w:val="20"/>
        </w:rPr>
        <w:t>Como agente fiduciário, nomeado nesta Escritura de Emissão</w:t>
      </w:r>
      <w:r>
        <w:rPr>
          <w:rFonts w:ascii="Verdana" w:hAnsi="Verdana"/>
          <w:sz w:val="20"/>
        </w:rPr>
        <w:t xml:space="preserve"> nos termos da </w:t>
      </w:r>
      <w:r w:rsidRPr="00190686">
        <w:rPr>
          <w:rFonts w:ascii="Verdana" w:hAnsi="Verdana"/>
          <w:sz w:val="20"/>
        </w:rPr>
        <w:t>Lei nº 6.404, de 15 de dezembro de 1976, conforme alterada (“</w:t>
      </w:r>
      <w:r w:rsidRPr="00190686">
        <w:rPr>
          <w:rFonts w:ascii="Verdana" w:hAnsi="Verdana"/>
          <w:sz w:val="20"/>
          <w:u w:val="single"/>
        </w:rPr>
        <w:t>Lei das Sociedades por Ações</w:t>
      </w:r>
      <w:r w:rsidRPr="00190686">
        <w:rPr>
          <w:rFonts w:ascii="Verdana" w:hAnsi="Verdana"/>
          <w:sz w:val="20"/>
        </w:rPr>
        <w:t>”), representando a comunhão dos titulares das Debêntures (“</w:t>
      </w:r>
      <w:r w:rsidRPr="00190686">
        <w:rPr>
          <w:rFonts w:ascii="Verdana" w:hAnsi="Verdana"/>
          <w:sz w:val="20"/>
          <w:u w:val="single"/>
        </w:rPr>
        <w:t>Debenturistas</w:t>
      </w:r>
      <w:r w:rsidRPr="00190686">
        <w:rPr>
          <w:rFonts w:ascii="Verdana" w:hAnsi="Verdana"/>
          <w:sz w:val="20"/>
        </w:rPr>
        <w:t xml:space="preserve">”), </w:t>
      </w:r>
      <w:r w:rsidRPr="00190686">
        <w:rPr>
          <w:rFonts w:ascii="Verdana" w:hAnsi="Verdana"/>
          <w:b/>
          <w:smallCaps/>
          <w:sz w:val="20"/>
        </w:rPr>
        <w:t xml:space="preserve">Oliveira </w:t>
      </w:r>
      <w:proofErr w:type="spellStart"/>
      <w:r w:rsidRPr="00190686">
        <w:rPr>
          <w:rFonts w:ascii="Verdana" w:hAnsi="Verdana"/>
          <w:b/>
          <w:smallCaps/>
          <w:sz w:val="20"/>
        </w:rPr>
        <w:t>Trust</w:t>
      </w:r>
      <w:proofErr w:type="spellEnd"/>
      <w:r w:rsidRPr="00190686">
        <w:rPr>
          <w:rFonts w:ascii="Verdana" w:hAnsi="Verdana"/>
          <w:b/>
          <w:smallCaps/>
          <w:sz w:val="20"/>
        </w:rPr>
        <w:t xml:space="preserve"> Distribuidora de Títulos e Valores Mobiliários S.A.</w:t>
      </w:r>
      <w:r w:rsidRPr="00190686">
        <w:rPr>
          <w:rFonts w:ascii="Verdana" w:hAnsi="Verdana"/>
          <w:sz w:val="20"/>
        </w:rPr>
        <w:t xml:space="preserve">, instituição financeira com sede na Cidade do Rio de Janeiro, Estado do Rio de Janeiro, na Avenida das Américas, nº </w:t>
      </w:r>
      <w:r w:rsidR="000A1FA1">
        <w:rPr>
          <w:rFonts w:ascii="Verdana" w:hAnsi="Verdana"/>
          <w:sz w:val="20"/>
        </w:rPr>
        <w:t>3434</w:t>
      </w:r>
      <w:r w:rsidRPr="00190686">
        <w:rPr>
          <w:rFonts w:ascii="Verdana" w:hAnsi="Verdana"/>
          <w:sz w:val="20"/>
        </w:rPr>
        <w:t xml:space="preserve">, Bloco </w:t>
      </w:r>
      <w:r>
        <w:rPr>
          <w:rFonts w:ascii="Verdana" w:hAnsi="Verdana"/>
          <w:sz w:val="20"/>
        </w:rPr>
        <w:t>07</w:t>
      </w:r>
      <w:r w:rsidRPr="00190686">
        <w:rPr>
          <w:rFonts w:ascii="Verdana" w:hAnsi="Verdana"/>
          <w:sz w:val="20"/>
        </w:rPr>
        <w:t xml:space="preserve"> – Grupo </w:t>
      </w:r>
      <w:r>
        <w:rPr>
          <w:rFonts w:ascii="Verdana" w:hAnsi="Verdana"/>
          <w:sz w:val="20"/>
        </w:rPr>
        <w:t>201</w:t>
      </w:r>
      <w:r w:rsidRPr="00190686">
        <w:rPr>
          <w:rFonts w:ascii="Verdana" w:hAnsi="Verdana"/>
          <w:sz w:val="20"/>
        </w:rPr>
        <w:t xml:space="preserve">, inscrita no CNPJ/MF sob o nº 36.113.876/0001-91, neste </w:t>
      </w:r>
      <w:proofErr w:type="gramStart"/>
      <w:r w:rsidRPr="00190686">
        <w:rPr>
          <w:rFonts w:ascii="Verdana" w:hAnsi="Verdana"/>
          <w:sz w:val="20"/>
        </w:rPr>
        <w:t xml:space="preserve">ato representada </w:t>
      </w:r>
      <w:r>
        <w:rPr>
          <w:rFonts w:ascii="Verdana" w:hAnsi="Verdana"/>
          <w:sz w:val="20"/>
        </w:rPr>
        <w:t>na forma do seu estatuto social</w:t>
      </w:r>
      <w:proofErr w:type="gramEnd"/>
      <w:r w:rsidRPr="00190686">
        <w:rPr>
          <w:rFonts w:ascii="Verdana" w:hAnsi="Verdana"/>
          <w:sz w:val="20"/>
        </w:rPr>
        <w:t xml:space="preserve"> (“</w:t>
      </w:r>
      <w:r w:rsidRPr="00190686">
        <w:rPr>
          <w:rFonts w:ascii="Verdana" w:hAnsi="Verdana"/>
          <w:sz w:val="20"/>
          <w:u w:val="single"/>
        </w:rPr>
        <w:t>Agente Fiduciário</w:t>
      </w:r>
      <w:r w:rsidRPr="00190686">
        <w:rPr>
          <w:rFonts w:ascii="Verdana" w:hAnsi="Verdana"/>
          <w:sz w:val="20"/>
        </w:rPr>
        <w:t>”);</w:t>
      </w:r>
    </w:p>
    <w:p w14:paraId="7A6A4C70" w14:textId="77777777" w:rsidR="002D5261" w:rsidRPr="00190686" w:rsidRDefault="002D5261" w:rsidP="002D5261">
      <w:pPr>
        <w:keepNext/>
        <w:keepLines/>
        <w:tabs>
          <w:tab w:val="left" w:pos="851"/>
        </w:tabs>
        <w:spacing w:after="0" w:line="300" w:lineRule="exact"/>
        <w:rPr>
          <w:rFonts w:ascii="Verdana" w:hAnsi="Verdana"/>
          <w:sz w:val="20"/>
        </w:rPr>
      </w:pPr>
      <w:r w:rsidRPr="00190686">
        <w:rPr>
          <w:rFonts w:ascii="Verdana" w:hAnsi="Verdana"/>
          <w:sz w:val="20"/>
        </w:rPr>
        <w:t xml:space="preserve"> </w:t>
      </w:r>
    </w:p>
    <w:p w14:paraId="5B0361F7" w14:textId="77777777" w:rsidR="002D5261" w:rsidRPr="00190686" w:rsidRDefault="002D5261" w:rsidP="002D5261">
      <w:pPr>
        <w:tabs>
          <w:tab w:val="left" w:pos="851"/>
        </w:tabs>
        <w:spacing w:after="0" w:line="300" w:lineRule="exact"/>
        <w:rPr>
          <w:rFonts w:ascii="Verdana" w:hAnsi="Verdana"/>
          <w:sz w:val="20"/>
        </w:rPr>
      </w:pPr>
      <w:proofErr w:type="gramStart"/>
      <w:r w:rsidRPr="00190686">
        <w:rPr>
          <w:rFonts w:ascii="Verdana" w:hAnsi="Verdana"/>
          <w:sz w:val="20"/>
        </w:rPr>
        <w:t>que</w:t>
      </w:r>
      <w:proofErr w:type="gramEnd"/>
      <w:r w:rsidRPr="00190686">
        <w:rPr>
          <w:rFonts w:ascii="Verdana" w:hAnsi="Verdana"/>
          <w:sz w:val="20"/>
        </w:rPr>
        <w:t xml:space="preserve"> resolvem celebrar esta Escritura de Emissão, de acordo com os seguintes termos e condições:</w:t>
      </w:r>
    </w:p>
    <w:p w14:paraId="2BD2358C" w14:textId="77777777" w:rsidR="002D5261" w:rsidRPr="00190686" w:rsidRDefault="002D5261" w:rsidP="002D5261">
      <w:pPr>
        <w:tabs>
          <w:tab w:val="left" w:pos="851"/>
        </w:tabs>
        <w:spacing w:after="0" w:line="300" w:lineRule="exact"/>
        <w:rPr>
          <w:rFonts w:ascii="Verdana" w:hAnsi="Verdana"/>
          <w:sz w:val="20"/>
        </w:rPr>
      </w:pPr>
    </w:p>
    <w:p w14:paraId="3A5CF627" w14:textId="77777777" w:rsidR="002D5261" w:rsidRPr="00190686" w:rsidRDefault="002D5261" w:rsidP="002D5261">
      <w:pPr>
        <w:keepNext/>
        <w:tabs>
          <w:tab w:val="left" w:pos="851"/>
        </w:tabs>
        <w:spacing w:after="0" w:line="300" w:lineRule="exact"/>
        <w:jc w:val="center"/>
        <w:rPr>
          <w:rFonts w:ascii="Verdana" w:hAnsi="Verdana"/>
          <w:b/>
          <w:smallCaps/>
          <w:sz w:val="20"/>
        </w:rPr>
      </w:pPr>
      <w:bookmarkStart w:id="0" w:name="_Ref532040236"/>
    </w:p>
    <w:p w14:paraId="1B5C1C26" w14:textId="77777777" w:rsidR="002D5261" w:rsidRPr="00190686" w:rsidRDefault="002D5261" w:rsidP="002D5261">
      <w:pPr>
        <w:keepNext/>
        <w:tabs>
          <w:tab w:val="left" w:pos="851"/>
        </w:tabs>
        <w:spacing w:after="0" w:line="300" w:lineRule="exact"/>
        <w:jc w:val="center"/>
        <w:rPr>
          <w:rFonts w:ascii="Verdana" w:hAnsi="Verdana"/>
          <w:b/>
          <w:smallCaps/>
          <w:sz w:val="20"/>
        </w:rPr>
      </w:pPr>
      <w:r w:rsidRPr="00190686">
        <w:rPr>
          <w:rFonts w:ascii="Verdana" w:hAnsi="Verdana"/>
          <w:b/>
          <w:smallCaps/>
          <w:sz w:val="20"/>
        </w:rPr>
        <w:t>Cláusula I</w:t>
      </w:r>
    </w:p>
    <w:p w14:paraId="37B09973" w14:textId="77777777" w:rsidR="002D5261" w:rsidRPr="00190686" w:rsidRDefault="002D5261" w:rsidP="002D5261">
      <w:pPr>
        <w:keepNext/>
        <w:tabs>
          <w:tab w:val="left" w:pos="851"/>
        </w:tabs>
        <w:spacing w:after="0" w:line="300" w:lineRule="exact"/>
        <w:jc w:val="center"/>
        <w:rPr>
          <w:rFonts w:ascii="Verdana" w:hAnsi="Verdana"/>
          <w:b/>
          <w:smallCaps/>
          <w:sz w:val="20"/>
        </w:rPr>
      </w:pPr>
      <w:r w:rsidRPr="00190686">
        <w:rPr>
          <w:rFonts w:ascii="Verdana" w:hAnsi="Verdana"/>
          <w:b/>
          <w:smallCaps/>
          <w:sz w:val="20"/>
        </w:rPr>
        <w:t>Autorização</w:t>
      </w:r>
    </w:p>
    <w:p w14:paraId="0CFB9ABC" w14:textId="77777777" w:rsidR="002D5261" w:rsidRPr="00190686" w:rsidRDefault="002D5261" w:rsidP="002D5261">
      <w:pPr>
        <w:keepNext/>
        <w:tabs>
          <w:tab w:val="left" w:pos="851"/>
        </w:tabs>
        <w:spacing w:after="0" w:line="300" w:lineRule="exact"/>
        <w:ind w:left="709"/>
        <w:jc w:val="center"/>
        <w:rPr>
          <w:rFonts w:ascii="Verdana" w:hAnsi="Verdana"/>
          <w:smallCaps/>
          <w:sz w:val="20"/>
          <w:u w:val="single"/>
        </w:rPr>
      </w:pPr>
    </w:p>
    <w:bookmarkEnd w:id="0"/>
    <w:p w14:paraId="2B6BDC7D" w14:textId="659698E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A presente 4ª emissão de debêntures da Emissora (“</w:t>
      </w:r>
      <w:r w:rsidRPr="00190686">
        <w:rPr>
          <w:rFonts w:ascii="Verdana" w:hAnsi="Verdana"/>
          <w:sz w:val="20"/>
          <w:u w:val="single"/>
        </w:rPr>
        <w:t>Emissão</w:t>
      </w:r>
      <w:r w:rsidRPr="00190686">
        <w:rPr>
          <w:rFonts w:ascii="Verdana" w:hAnsi="Verdana"/>
          <w:sz w:val="20"/>
        </w:rPr>
        <w:t xml:space="preserve">”), nos termos da Lei </w:t>
      </w:r>
      <w:r w:rsidRPr="006922EF">
        <w:rPr>
          <w:rFonts w:ascii="Verdana" w:hAnsi="Verdana"/>
          <w:sz w:val="20"/>
        </w:rPr>
        <w:t>das Sociedades por Ações</w:t>
      </w:r>
      <w:r w:rsidRPr="00190686">
        <w:rPr>
          <w:rFonts w:ascii="Verdana" w:hAnsi="Verdana"/>
          <w:sz w:val="20"/>
        </w:rPr>
        <w:t xml:space="preserve">, e a oferta pública de distribuição com esforços restritos de distribuição das Debêntures, nos termos da Lei nº 6.385, de </w:t>
      </w:r>
      <w:proofErr w:type="gramStart"/>
      <w:r w:rsidRPr="00190686">
        <w:rPr>
          <w:rFonts w:ascii="Verdana" w:hAnsi="Verdana"/>
          <w:sz w:val="20"/>
        </w:rPr>
        <w:t>7</w:t>
      </w:r>
      <w:proofErr w:type="gramEnd"/>
      <w:r w:rsidRPr="00190686">
        <w:rPr>
          <w:rFonts w:ascii="Verdana" w:hAnsi="Verdana"/>
          <w:sz w:val="20"/>
        </w:rPr>
        <w:t> de dezembro de 1976, conforme alterada (“</w:t>
      </w:r>
      <w:r w:rsidRPr="00190686">
        <w:rPr>
          <w:rFonts w:ascii="Verdana" w:hAnsi="Verdana"/>
          <w:sz w:val="20"/>
          <w:u w:val="single"/>
        </w:rPr>
        <w:t>Lei do Mercado de Valores Mobiliários</w:t>
      </w:r>
      <w:r w:rsidRPr="00190686">
        <w:rPr>
          <w:rFonts w:ascii="Verdana" w:hAnsi="Verdana"/>
          <w:sz w:val="20"/>
        </w:rPr>
        <w:t>”), da Instrução da CVM nº 476, de 16 de janeiro de 2009, conforme alterada (“</w:t>
      </w:r>
      <w:r w:rsidRPr="00190686">
        <w:rPr>
          <w:rFonts w:ascii="Verdana" w:hAnsi="Verdana"/>
          <w:sz w:val="20"/>
          <w:u w:val="single"/>
        </w:rPr>
        <w:t>Instrução CVM 476</w:t>
      </w:r>
      <w:r w:rsidRPr="00190686">
        <w:rPr>
          <w:rFonts w:ascii="Verdana" w:hAnsi="Verdana"/>
          <w:sz w:val="20"/>
        </w:rPr>
        <w:t>”), e das demais disposições legais e regulamentares aplicáveis (“</w:t>
      </w:r>
      <w:r w:rsidRPr="00190686">
        <w:rPr>
          <w:rFonts w:ascii="Verdana" w:hAnsi="Verdana"/>
          <w:sz w:val="20"/>
          <w:u w:val="single"/>
        </w:rPr>
        <w:t>Oferta</w:t>
      </w:r>
      <w:r w:rsidRPr="00190686">
        <w:rPr>
          <w:rFonts w:ascii="Verdana" w:hAnsi="Verdana"/>
          <w:sz w:val="20"/>
        </w:rPr>
        <w:t xml:space="preserve">”), dentre outros, serão realizadas com base nas deliberações tomadas na Reunião do Conselho de </w:t>
      </w:r>
      <w:r w:rsidRPr="00190686">
        <w:rPr>
          <w:rFonts w:ascii="Verdana" w:hAnsi="Verdana"/>
          <w:sz w:val="20"/>
        </w:rPr>
        <w:lastRenderedPageBreak/>
        <w:t xml:space="preserve">Administração da Emissora, realizada em </w:t>
      </w:r>
      <w:r w:rsidR="00F50AEC">
        <w:rPr>
          <w:rFonts w:ascii="Verdana" w:hAnsi="Verdana"/>
          <w:sz w:val="20"/>
        </w:rPr>
        <w:t xml:space="preserve">10 </w:t>
      </w:r>
      <w:r w:rsidRPr="00190686">
        <w:rPr>
          <w:rFonts w:ascii="Verdana" w:hAnsi="Verdana"/>
          <w:sz w:val="20"/>
        </w:rPr>
        <w:t>de novembro de 2016, nos termos da Lei das Sociedades por Ações e do Estatuto Social da Emissora (“</w:t>
      </w:r>
      <w:r w:rsidRPr="00190686">
        <w:rPr>
          <w:rFonts w:ascii="Verdana" w:hAnsi="Verdana"/>
          <w:sz w:val="20"/>
          <w:u w:val="single"/>
        </w:rPr>
        <w:t>RCA da Emissora</w:t>
      </w:r>
      <w:r w:rsidRPr="00190686">
        <w:rPr>
          <w:rFonts w:ascii="Verdana" w:hAnsi="Verdana"/>
          <w:sz w:val="20"/>
        </w:rPr>
        <w:t xml:space="preserve">”). </w:t>
      </w:r>
    </w:p>
    <w:p w14:paraId="63F6781B" w14:textId="77777777" w:rsidR="002D5261" w:rsidRPr="00190686" w:rsidRDefault="002D5261" w:rsidP="002D5261">
      <w:pPr>
        <w:tabs>
          <w:tab w:val="left" w:pos="851"/>
        </w:tabs>
        <w:spacing w:after="0" w:line="300" w:lineRule="exact"/>
        <w:rPr>
          <w:rFonts w:ascii="Verdana" w:hAnsi="Verdana"/>
          <w:sz w:val="20"/>
        </w:rPr>
      </w:pPr>
    </w:p>
    <w:p w14:paraId="016A95B4" w14:textId="77777777" w:rsidR="002D5261" w:rsidRPr="00190686" w:rsidRDefault="002D5261" w:rsidP="002D5261">
      <w:pPr>
        <w:tabs>
          <w:tab w:val="left" w:pos="851"/>
        </w:tabs>
        <w:spacing w:after="0" w:line="300" w:lineRule="exact"/>
        <w:rPr>
          <w:rFonts w:ascii="Verdana" w:hAnsi="Verdana"/>
          <w:sz w:val="20"/>
        </w:rPr>
      </w:pPr>
    </w:p>
    <w:p w14:paraId="70FDD176" w14:textId="77777777" w:rsidR="002D5261" w:rsidRPr="00190686" w:rsidRDefault="002D5261" w:rsidP="002D5261">
      <w:pPr>
        <w:keepNext/>
        <w:tabs>
          <w:tab w:val="left" w:pos="851"/>
        </w:tabs>
        <w:spacing w:after="0" w:line="300" w:lineRule="exact"/>
        <w:jc w:val="center"/>
        <w:rPr>
          <w:rFonts w:ascii="Verdana" w:hAnsi="Verdana"/>
          <w:b/>
          <w:smallCaps/>
          <w:sz w:val="20"/>
        </w:rPr>
      </w:pPr>
      <w:r w:rsidRPr="00190686">
        <w:rPr>
          <w:rFonts w:ascii="Verdana" w:hAnsi="Verdana"/>
          <w:b/>
          <w:smallCaps/>
          <w:sz w:val="20"/>
        </w:rPr>
        <w:t>Cláusula II</w:t>
      </w:r>
    </w:p>
    <w:p w14:paraId="5459891D" w14:textId="77777777" w:rsidR="002D5261" w:rsidRPr="00190686" w:rsidRDefault="002D5261" w:rsidP="002D5261">
      <w:pPr>
        <w:keepNext/>
        <w:tabs>
          <w:tab w:val="left" w:pos="851"/>
        </w:tabs>
        <w:spacing w:after="0" w:line="300" w:lineRule="exact"/>
        <w:jc w:val="center"/>
        <w:rPr>
          <w:rFonts w:ascii="Verdana" w:hAnsi="Verdana"/>
          <w:b/>
          <w:smallCaps/>
          <w:sz w:val="20"/>
        </w:rPr>
      </w:pPr>
      <w:r w:rsidRPr="00190686">
        <w:rPr>
          <w:rFonts w:ascii="Verdana" w:hAnsi="Verdana"/>
          <w:b/>
          <w:smallCaps/>
          <w:sz w:val="20"/>
        </w:rPr>
        <w:t>Requisitos</w:t>
      </w:r>
    </w:p>
    <w:p w14:paraId="09EDFC79" w14:textId="77777777" w:rsidR="002D5261" w:rsidRPr="00190686" w:rsidRDefault="002D5261" w:rsidP="002D5261">
      <w:pPr>
        <w:keepNext/>
        <w:tabs>
          <w:tab w:val="left" w:pos="851"/>
        </w:tabs>
        <w:spacing w:after="0" w:line="300" w:lineRule="exact"/>
        <w:jc w:val="center"/>
        <w:rPr>
          <w:rFonts w:ascii="Verdana" w:hAnsi="Verdana"/>
          <w:smallCaps/>
          <w:sz w:val="20"/>
          <w:u w:val="single"/>
        </w:rPr>
      </w:pPr>
    </w:p>
    <w:p w14:paraId="09FB66C2" w14:textId="77777777" w:rsidR="002D5261" w:rsidRPr="00190686" w:rsidRDefault="002D5261" w:rsidP="002D5261">
      <w:pPr>
        <w:numPr>
          <w:ilvl w:val="0"/>
          <w:numId w:val="43"/>
        </w:numPr>
        <w:spacing w:after="0" w:line="300" w:lineRule="exact"/>
        <w:ind w:hanging="720"/>
        <w:rPr>
          <w:rFonts w:ascii="Verdana" w:hAnsi="Verdana"/>
          <w:b/>
          <w:sz w:val="20"/>
        </w:rPr>
      </w:pPr>
      <w:r w:rsidRPr="00190686">
        <w:rPr>
          <w:rFonts w:ascii="Verdana" w:hAnsi="Verdana"/>
          <w:b/>
          <w:sz w:val="20"/>
        </w:rPr>
        <w:t xml:space="preserve">Dispensa de Registro na CVM e Registro na Associação Brasileira das Entidades dos </w:t>
      </w:r>
      <w:proofErr w:type="gramStart"/>
      <w:r w:rsidRPr="00190686">
        <w:rPr>
          <w:rFonts w:ascii="Verdana" w:hAnsi="Verdana"/>
          <w:b/>
          <w:sz w:val="20"/>
        </w:rPr>
        <w:t>Mercados Financeiro</w:t>
      </w:r>
      <w:proofErr w:type="gramEnd"/>
      <w:r w:rsidRPr="00190686">
        <w:rPr>
          <w:rFonts w:ascii="Verdana" w:hAnsi="Verdana"/>
          <w:b/>
          <w:sz w:val="20"/>
        </w:rPr>
        <w:t xml:space="preserve"> e de Capitais</w:t>
      </w:r>
    </w:p>
    <w:p w14:paraId="0CA1C7D1" w14:textId="77777777" w:rsidR="002D5261" w:rsidRPr="00190686" w:rsidRDefault="002D5261" w:rsidP="002D5261">
      <w:pPr>
        <w:keepNext/>
        <w:tabs>
          <w:tab w:val="left" w:pos="851"/>
        </w:tabs>
        <w:spacing w:after="0" w:line="300" w:lineRule="exact"/>
        <w:ind w:left="709"/>
        <w:rPr>
          <w:rFonts w:ascii="Verdana" w:hAnsi="Verdana"/>
          <w:b/>
          <w:sz w:val="20"/>
        </w:rPr>
      </w:pPr>
    </w:p>
    <w:p w14:paraId="357B5E44" w14:textId="77777777" w:rsidR="002D5261" w:rsidRPr="00190686" w:rsidRDefault="002D5261" w:rsidP="002D5261">
      <w:pPr>
        <w:numPr>
          <w:ilvl w:val="2"/>
          <w:numId w:val="2"/>
        </w:numPr>
        <w:tabs>
          <w:tab w:val="left" w:pos="851"/>
        </w:tabs>
        <w:spacing w:after="0" w:line="300" w:lineRule="exact"/>
        <w:ind w:left="0" w:hanging="11"/>
        <w:rPr>
          <w:rFonts w:ascii="Verdana" w:hAnsi="Verdana"/>
          <w:sz w:val="20"/>
        </w:rPr>
      </w:pPr>
      <w:r w:rsidRPr="00190686">
        <w:rPr>
          <w:rFonts w:ascii="Verdana" w:hAnsi="Verdana"/>
          <w:sz w:val="20"/>
        </w:rPr>
        <w:t>A Oferta está automaticamente dispensada de registro pela CVM, de que trata o artigo 19 da Lei do Mercado de Capitais, nos termos do artigo 6º da Instrução CVM 476, por se tratar de oferta pública de distribuição com esforços restritos de distribuição.</w:t>
      </w:r>
    </w:p>
    <w:p w14:paraId="58DC192A" w14:textId="77777777" w:rsidR="002D5261" w:rsidRPr="00190686" w:rsidRDefault="002D5261" w:rsidP="002D5261">
      <w:pPr>
        <w:tabs>
          <w:tab w:val="left" w:pos="851"/>
        </w:tabs>
        <w:spacing w:after="0" w:line="300" w:lineRule="exact"/>
        <w:ind w:left="709"/>
        <w:rPr>
          <w:rFonts w:ascii="Verdana" w:hAnsi="Verdana"/>
          <w:sz w:val="20"/>
        </w:rPr>
      </w:pPr>
    </w:p>
    <w:p w14:paraId="0EBE3E85" w14:textId="77777777" w:rsidR="002D5261" w:rsidRPr="00190686" w:rsidRDefault="002D5261" w:rsidP="002D5261">
      <w:pPr>
        <w:numPr>
          <w:ilvl w:val="2"/>
          <w:numId w:val="2"/>
        </w:numPr>
        <w:tabs>
          <w:tab w:val="left" w:pos="851"/>
        </w:tabs>
        <w:spacing w:after="0" w:line="300" w:lineRule="exact"/>
        <w:ind w:left="0" w:hanging="11"/>
        <w:rPr>
          <w:rFonts w:ascii="Verdana" w:hAnsi="Verdana"/>
          <w:sz w:val="20"/>
        </w:rPr>
      </w:pPr>
      <w:r w:rsidRPr="00190686">
        <w:rPr>
          <w:rFonts w:ascii="Verdana" w:hAnsi="Verdana"/>
          <w:sz w:val="20"/>
        </w:rPr>
        <w:t xml:space="preserve">Por se tratar de oferta pública, com esforços restritos, a Oferta poderá ser objeto de registro na Associação Brasileira das Entidades dos </w:t>
      </w:r>
      <w:proofErr w:type="gramStart"/>
      <w:r w:rsidRPr="00190686">
        <w:rPr>
          <w:rFonts w:ascii="Verdana" w:hAnsi="Verdana"/>
          <w:sz w:val="20"/>
        </w:rPr>
        <w:t>Mercados Financeiro</w:t>
      </w:r>
      <w:proofErr w:type="gramEnd"/>
      <w:r w:rsidRPr="00190686">
        <w:rPr>
          <w:rFonts w:ascii="Verdana" w:hAnsi="Verdana"/>
          <w:sz w:val="20"/>
        </w:rPr>
        <w:t xml:space="preserve"> e de Capitais (“</w:t>
      </w:r>
      <w:r w:rsidRPr="00190686">
        <w:rPr>
          <w:rFonts w:ascii="Verdana" w:hAnsi="Verdana"/>
          <w:sz w:val="20"/>
          <w:u w:val="single"/>
        </w:rPr>
        <w:t>ANBIMA</w:t>
      </w:r>
      <w:r w:rsidRPr="00190686">
        <w:rPr>
          <w:rFonts w:ascii="Verdana" w:hAnsi="Verdana"/>
          <w:sz w:val="20"/>
        </w:rPr>
        <w:t>”), exclusivamente para fins de informar a base de dados da ANBIMA, nos termos do parágrafo 1º, inciso I, e do parágrafo 2º, ambos do artigo 1º do “Código ANBIMA de Regulação e Melhores Práticas para as Ofertas Públicas de Distribuição e Aquisição de Valores Mobiliários”, atualmente em vigor, desde que expedidas diretrizes específicas nesse sentido pelo Conselho de Regulação e Melhores Práticas da ANBIMA até o protocolo do aviso de encerramento da Oferta.</w:t>
      </w:r>
    </w:p>
    <w:p w14:paraId="33713B20" w14:textId="77777777" w:rsidR="002D5261" w:rsidRPr="00190686" w:rsidRDefault="002D5261" w:rsidP="002D5261">
      <w:pPr>
        <w:keepNext/>
        <w:tabs>
          <w:tab w:val="left" w:pos="851"/>
        </w:tabs>
        <w:spacing w:after="0" w:line="300" w:lineRule="exact"/>
        <w:rPr>
          <w:rFonts w:ascii="Verdana" w:hAnsi="Verdana"/>
          <w:sz w:val="20"/>
        </w:rPr>
      </w:pPr>
    </w:p>
    <w:p w14:paraId="19F6070E" w14:textId="77777777" w:rsidR="002D5261" w:rsidRPr="00190686" w:rsidRDefault="002D5261" w:rsidP="002D5261">
      <w:pPr>
        <w:numPr>
          <w:ilvl w:val="0"/>
          <w:numId w:val="43"/>
        </w:numPr>
        <w:spacing w:after="0" w:line="300" w:lineRule="exact"/>
        <w:ind w:hanging="720"/>
        <w:rPr>
          <w:rFonts w:ascii="Verdana" w:hAnsi="Verdana"/>
          <w:b/>
          <w:sz w:val="20"/>
        </w:rPr>
      </w:pPr>
      <w:r w:rsidRPr="00190686">
        <w:rPr>
          <w:rFonts w:ascii="Verdana" w:hAnsi="Verdana"/>
          <w:b/>
          <w:sz w:val="20"/>
        </w:rPr>
        <w:t>Arquivamento</w:t>
      </w:r>
      <w:r w:rsidRPr="00190686">
        <w:rPr>
          <w:rFonts w:ascii="Verdana" w:hAnsi="Verdana"/>
          <w:b/>
          <w:iCs/>
          <w:sz w:val="20"/>
        </w:rPr>
        <w:t xml:space="preserve"> e Publicação da RCA da Emissora.</w:t>
      </w:r>
      <w:r w:rsidRPr="00190686">
        <w:rPr>
          <w:rFonts w:ascii="Verdana" w:hAnsi="Verdana"/>
          <w:b/>
          <w:sz w:val="20"/>
        </w:rPr>
        <w:t xml:space="preserve"> </w:t>
      </w:r>
    </w:p>
    <w:p w14:paraId="0E79620E" w14:textId="77777777" w:rsidR="002D5261" w:rsidRPr="00190686" w:rsidRDefault="002D5261" w:rsidP="002D5261">
      <w:pPr>
        <w:tabs>
          <w:tab w:val="left" w:pos="851"/>
        </w:tabs>
        <w:spacing w:after="0" w:line="300" w:lineRule="exact"/>
        <w:rPr>
          <w:rFonts w:ascii="Verdana" w:hAnsi="Verdana"/>
          <w:sz w:val="20"/>
        </w:rPr>
      </w:pPr>
    </w:p>
    <w:p w14:paraId="61B36EE1" w14:textId="77777777" w:rsidR="002D5261" w:rsidRPr="00190686" w:rsidRDefault="002D5261" w:rsidP="002D5261">
      <w:pPr>
        <w:numPr>
          <w:ilvl w:val="0"/>
          <w:numId w:val="18"/>
        </w:numPr>
        <w:tabs>
          <w:tab w:val="left" w:pos="851"/>
        </w:tabs>
        <w:spacing w:after="0" w:line="300" w:lineRule="exact"/>
        <w:ind w:left="0" w:firstLine="0"/>
        <w:rPr>
          <w:rFonts w:ascii="Verdana" w:hAnsi="Verdana"/>
          <w:sz w:val="20"/>
        </w:rPr>
      </w:pPr>
      <w:r w:rsidRPr="00190686">
        <w:rPr>
          <w:rFonts w:ascii="Verdana" w:hAnsi="Verdana"/>
          <w:sz w:val="20"/>
        </w:rPr>
        <w:t>A ata da RCA da Emissora será arquivada na JUCERGS e publicada no Diário Oficial do Estado do Rio Grande do Sul (“</w:t>
      </w:r>
      <w:r w:rsidRPr="00190686">
        <w:rPr>
          <w:rFonts w:ascii="Verdana" w:hAnsi="Verdana"/>
          <w:sz w:val="20"/>
          <w:u w:val="single"/>
        </w:rPr>
        <w:t>DOERG</w:t>
      </w:r>
      <w:r w:rsidRPr="00190686">
        <w:rPr>
          <w:rFonts w:ascii="Verdana" w:hAnsi="Verdana"/>
          <w:sz w:val="20"/>
        </w:rPr>
        <w:t xml:space="preserve">”) e no jornal “Folha de Caxias” de Caxias do Sul, Estado do Rio Grande do Sul, conforme disposto no artigo 62, inciso I, no artigo 142, parágrafo 1º, e no artigo 289 da Lei das Sociedades por Ações. </w:t>
      </w:r>
    </w:p>
    <w:p w14:paraId="3BB185A1" w14:textId="77777777" w:rsidR="002D5261" w:rsidRPr="00190686" w:rsidRDefault="002D5261" w:rsidP="002D5261">
      <w:pPr>
        <w:tabs>
          <w:tab w:val="left" w:pos="851"/>
        </w:tabs>
        <w:spacing w:after="0" w:line="300" w:lineRule="exact"/>
        <w:rPr>
          <w:rFonts w:ascii="Verdana" w:hAnsi="Verdana"/>
          <w:sz w:val="20"/>
        </w:rPr>
      </w:pPr>
    </w:p>
    <w:p w14:paraId="24604DCD" w14:textId="77777777" w:rsidR="002D5261" w:rsidRPr="00190686" w:rsidRDefault="002D5261" w:rsidP="002D5261">
      <w:pPr>
        <w:numPr>
          <w:ilvl w:val="0"/>
          <w:numId w:val="43"/>
        </w:numPr>
        <w:spacing w:after="0" w:line="300" w:lineRule="exact"/>
        <w:ind w:hanging="720"/>
        <w:rPr>
          <w:rFonts w:ascii="Verdana" w:hAnsi="Verdana"/>
          <w:b/>
          <w:sz w:val="20"/>
        </w:rPr>
      </w:pPr>
      <w:bookmarkStart w:id="1" w:name="_Ref201729546"/>
      <w:r w:rsidRPr="00190686">
        <w:rPr>
          <w:rFonts w:ascii="Verdana" w:hAnsi="Verdana"/>
          <w:b/>
          <w:sz w:val="20"/>
        </w:rPr>
        <w:t>Inscrição desta Escritura de Emissão e Seus Eventuais Aditamentos na JUCERGS.</w:t>
      </w:r>
    </w:p>
    <w:p w14:paraId="1D9582EC" w14:textId="77777777" w:rsidR="002D5261" w:rsidRPr="00190686" w:rsidRDefault="002D5261" w:rsidP="002D5261">
      <w:pPr>
        <w:spacing w:after="0" w:line="300" w:lineRule="exact"/>
        <w:rPr>
          <w:rFonts w:ascii="Verdana" w:hAnsi="Verdana"/>
          <w:i/>
          <w:sz w:val="20"/>
        </w:rPr>
      </w:pPr>
    </w:p>
    <w:p w14:paraId="0BCC5C39"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Nos termos do artigo 62, inciso II e parágrafo 3º, da Lei das Sociedades por Ações, esta Escritura de Emissão e seus eventuais aditamentos serão protocolados na JUCERGS no prazo de </w:t>
      </w:r>
      <w:proofErr w:type="gramStart"/>
      <w:r w:rsidRPr="00190686">
        <w:rPr>
          <w:rFonts w:ascii="Verdana" w:hAnsi="Verdana"/>
          <w:sz w:val="20"/>
        </w:rPr>
        <w:t>5</w:t>
      </w:r>
      <w:proofErr w:type="gramEnd"/>
      <w:r w:rsidRPr="00190686">
        <w:rPr>
          <w:rFonts w:ascii="Verdana" w:hAnsi="Verdana"/>
          <w:sz w:val="20"/>
        </w:rPr>
        <w:t xml:space="preserve"> (cinco) Dias Úteis (conforme definidos a seguir) contados da respectiva data de assinatura, devendo uma via original (ou, se for o caso, cópia eletrônica (PDF) da referida Escritura de Emissão e seus eventuais aditamentos com a devida chancela digital da JUCERGS que comprove o efetivo registro) ser enviada ao Agente Fiduciário em até 5 (cinco) Dias Úteis após seu efetivo arquivamento.</w:t>
      </w:r>
    </w:p>
    <w:p w14:paraId="39FAAAEF" w14:textId="77777777" w:rsidR="002D5261" w:rsidRPr="00190686" w:rsidRDefault="002D5261" w:rsidP="002D5261">
      <w:pPr>
        <w:spacing w:after="0" w:line="300" w:lineRule="exact"/>
        <w:rPr>
          <w:rFonts w:ascii="Verdana" w:hAnsi="Verdana"/>
          <w:sz w:val="20"/>
        </w:rPr>
      </w:pPr>
    </w:p>
    <w:bookmarkEnd w:id="1"/>
    <w:p w14:paraId="607C5D73" w14:textId="77777777" w:rsidR="002D5261" w:rsidRPr="00190686" w:rsidRDefault="002D5261" w:rsidP="002D5261">
      <w:pPr>
        <w:numPr>
          <w:ilvl w:val="0"/>
          <w:numId w:val="43"/>
        </w:numPr>
        <w:spacing w:after="0" w:line="300" w:lineRule="exact"/>
        <w:ind w:hanging="720"/>
        <w:rPr>
          <w:rFonts w:ascii="Verdana" w:hAnsi="Verdana"/>
          <w:sz w:val="20"/>
        </w:rPr>
      </w:pPr>
      <w:r w:rsidRPr="00190686">
        <w:rPr>
          <w:rFonts w:ascii="Verdana" w:hAnsi="Verdana"/>
          <w:b/>
          <w:sz w:val="20"/>
        </w:rPr>
        <w:t>Distribuição, Negociação e</w:t>
      </w:r>
      <w:r w:rsidRPr="00190686">
        <w:rPr>
          <w:rFonts w:ascii="Verdana" w:hAnsi="Verdana"/>
          <w:b/>
          <w:i/>
          <w:sz w:val="20"/>
        </w:rPr>
        <w:t xml:space="preserve"> </w:t>
      </w:r>
      <w:r w:rsidRPr="00190686">
        <w:rPr>
          <w:rFonts w:ascii="Verdana" w:hAnsi="Verdana"/>
          <w:b/>
          <w:sz w:val="20"/>
        </w:rPr>
        <w:t>Custódia Eletrônica.</w:t>
      </w:r>
    </w:p>
    <w:p w14:paraId="1E1A01AF" w14:textId="77777777" w:rsidR="002D5261" w:rsidRPr="00190686" w:rsidRDefault="002D5261" w:rsidP="002D5261">
      <w:pPr>
        <w:tabs>
          <w:tab w:val="left" w:pos="851"/>
        </w:tabs>
        <w:spacing w:after="0" w:line="300" w:lineRule="exact"/>
        <w:rPr>
          <w:rFonts w:ascii="Verdana" w:hAnsi="Verdana"/>
          <w:sz w:val="20"/>
        </w:rPr>
      </w:pPr>
    </w:p>
    <w:p w14:paraId="66BF688B"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2.4.1.</w:t>
      </w:r>
      <w:r w:rsidRPr="00190686">
        <w:rPr>
          <w:rFonts w:ascii="Verdana" w:hAnsi="Verdana"/>
          <w:sz w:val="20"/>
        </w:rPr>
        <w:tab/>
        <w:t>As Debêntures serão depositadas para (i) distribuição pública no mercado primário por meio do MDA – Módulo de Distribuição de Ativos (“</w:t>
      </w:r>
      <w:r w:rsidRPr="00190686">
        <w:rPr>
          <w:rFonts w:ascii="Verdana" w:hAnsi="Verdana"/>
          <w:sz w:val="20"/>
          <w:u w:val="single"/>
        </w:rPr>
        <w:t>MDA</w:t>
      </w:r>
      <w:r w:rsidRPr="00190686">
        <w:rPr>
          <w:rFonts w:ascii="Verdana" w:hAnsi="Verdana"/>
          <w:sz w:val="20"/>
        </w:rPr>
        <w:t>”), administrado e operacionalizado pela CETIP S.A. – Mercados Organizados (“</w:t>
      </w:r>
      <w:r w:rsidRPr="00190686">
        <w:rPr>
          <w:rFonts w:ascii="Verdana" w:hAnsi="Verdana"/>
          <w:sz w:val="20"/>
          <w:u w:val="single"/>
        </w:rPr>
        <w:t>CETIP</w:t>
      </w:r>
      <w:r w:rsidRPr="00190686">
        <w:rPr>
          <w:rFonts w:ascii="Verdana" w:hAnsi="Verdana"/>
          <w:sz w:val="20"/>
        </w:rPr>
        <w:t>”), sendo a distribuição liquidada financeiramente por meio da CETIP; e (</w:t>
      </w:r>
      <w:proofErr w:type="spellStart"/>
      <w:r w:rsidRPr="00190686">
        <w:rPr>
          <w:rFonts w:ascii="Verdana" w:hAnsi="Verdana"/>
          <w:sz w:val="20"/>
        </w:rPr>
        <w:t>ii</w:t>
      </w:r>
      <w:proofErr w:type="spellEnd"/>
      <w:r w:rsidRPr="00190686">
        <w:rPr>
          <w:rFonts w:ascii="Verdana" w:hAnsi="Verdana"/>
          <w:sz w:val="20"/>
        </w:rPr>
        <w:t>) negociação e custódia eletrônica no mercado secundário por meio do CETIP21 – Títulos e Valores Mobiliários (“</w:t>
      </w:r>
      <w:r w:rsidRPr="00190686">
        <w:rPr>
          <w:rFonts w:ascii="Verdana" w:hAnsi="Verdana"/>
          <w:sz w:val="20"/>
          <w:u w:val="single"/>
        </w:rPr>
        <w:t>CETIP21</w:t>
      </w:r>
      <w:r w:rsidRPr="00190686">
        <w:rPr>
          <w:rFonts w:ascii="Verdana" w:hAnsi="Verdana"/>
          <w:sz w:val="20"/>
        </w:rPr>
        <w:t>”), também administrado e operacionalizado pela CETIP, sendo as negociações liquidadas financeiramente e as Debêntures custodiadas eletronicamente na CETIP.</w:t>
      </w:r>
    </w:p>
    <w:p w14:paraId="581A91C2" w14:textId="77777777" w:rsidR="002D5261" w:rsidRPr="00190686" w:rsidRDefault="002D5261" w:rsidP="002D5261">
      <w:pPr>
        <w:tabs>
          <w:tab w:val="left" w:pos="851"/>
        </w:tabs>
        <w:spacing w:after="0" w:line="300" w:lineRule="exact"/>
        <w:rPr>
          <w:rFonts w:ascii="Verdana" w:hAnsi="Verdana"/>
          <w:sz w:val="20"/>
          <w:u w:val="single"/>
        </w:rPr>
      </w:pPr>
      <w:bookmarkStart w:id="2" w:name="_Ref310606049"/>
    </w:p>
    <w:p w14:paraId="0E56A396" w14:textId="77777777" w:rsidR="002D5261" w:rsidRPr="00190686" w:rsidRDefault="002D5261" w:rsidP="002D5261">
      <w:pPr>
        <w:tabs>
          <w:tab w:val="left" w:pos="851"/>
        </w:tabs>
        <w:spacing w:after="0" w:line="300" w:lineRule="exact"/>
        <w:rPr>
          <w:rFonts w:ascii="Verdana" w:hAnsi="Verdana"/>
          <w:sz w:val="20"/>
          <w:highlight w:val="yellow"/>
        </w:rPr>
      </w:pPr>
      <w:r w:rsidRPr="00190686">
        <w:rPr>
          <w:rFonts w:ascii="Verdana" w:hAnsi="Verdana"/>
          <w:sz w:val="20"/>
        </w:rPr>
        <w:t>2.4.2.</w:t>
      </w:r>
      <w:bookmarkEnd w:id="2"/>
      <w:r w:rsidRPr="00190686">
        <w:rPr>
          <w:rFonts w:ascii="Verdana" w:hAnsi="Verdana"/>
          <w:sz w:val="20"/>
        </w:rPr>
        <w:tab/>
        <w:t xml:space="preserve">Não obstante o descrito na Cláusula 2.4.1. </w:t>
      </w:r>
      <w:proofErr w:type="gramStart"/>
      <w:r w:rsidRPr="00190686">
        <w:rPr>
          <w:rFonts w:ascii="Verdana" w:hAnsi="Verdana"/>
          <w:sz w:val="20"/>
        </w:rPr>
        <w:t>acima</w:t>
      </w:r>
      <w:proofErr w:type="gramEnd"/>
      <w:r w:rsidRPr="00190686">
        <w:rPr>
          <w:rFonts w:ascii="Verdana" w:hAnsi="Verdana"/>
          <w:sz w:val="20"/>
        </w:rPr>
        <w:t>, as Debêntures somente poderão ser negociadas, entre Investidores Qualificados (conforme definidos a seguir) nos mercados regulamentados de valores mobiliários depois de decorridos 90 (noventa) dias da data de cada subscrição pelo Investidor Profissional (conforme definido a seguir), conforme disposto nos Artigos 13 e 15 da Instrução CVM 476, e uma vez verificado o cumprimento, pela Emissora, de suas obrigações previstas no Artigo 17 da Instrução CVM 476, sendo que a negociação das Debêntures deverá sempre respeitar as disposições legais e regulamentares aplicáveis</w:t>
      </w:r>
      <w:r w:rsidRPr="00190686">
        <w:rPr>
          <w:rFonts w:ascii="Verdana" w:hAnsi="Verdana"/>
          <w:smallCaps/>
          <w:sz w:val="20"/>
        </w:rPr>
        <w:t>.</w:t>
      </w:r>
    </w:p>
    <w:p w14:paraId="2CCE5862" w14:textId="77777777" w:rsidR="002D5261" w:rsidRPr="00190686" w:rsidRDefault="002D5261" w:rsidP="002D5261">
      <w:pPr>
        <w:tabs>
          <w:tab w:val="left" w:pos="851"/>
        </w:tabs>
        <w:spacing w:after="0" w:line="300" w:lineRule="exact"/>
        <w:rPr>
          <w:rFonts w:ascii="Verdana" w:hAnsi="Verdana"/>
          <w:sz w:val="20"/>
        </w:rPr>
      </w:pPr>
    </w:p>
    <w:p w14:paraId="0321657F" w14:textId="77777777" w:rsidR="002D5261" w:rsidRPr="00190686" w:rsidRDefault="002D5261" w:rsidP="002D5261">
      <w:pPr>
        <w:tabs>
          <w:tab w:val="left" w:pos="851"/>
        </w:tabs>
        <w:spacing w:after="0" w:line="300" w:lineRule="exact"/>
        <w:jc w:val="center"/>
        <w:rPr>
          <w:rFonts w:ascii="Verdana" w:hAnsi="Verdana"/>
          <w:smallCaps/>
          <w:sz w:val="20"/>
          <w:u w:val="single"/>
        </w:rPr>
      </w:pPr>
    </w:p>
    <w:p w14:paraId="333F6DF6" w14:textId="77777777" w:rsidR="002D5261" w:rsidRPr="00190686" w:rsidRDefault="002D5261" w:rsidP="002D5261">
      <w:pPr>
        <w:tabs>
          <w:tab w:val="left" w:pos="851"/>
        </w:tabs>
        <w:spacing w:after="0" w:line="300" w:lineRule="exact"/>
        <w:jc w:val="center"/>
        <w:rPr>
          <w:rFonts w:ascii="Verdana" w:hAnsi="Verdana"/>
          <w:b/>
          <w:smallCaps/>
          <w:sz w:val="20"/>
        </w:rPr>
      </w:pPr>
      <w:r w:rsidRPr="00190686">
        <w:rPr>
          <w:rFonts w:ascii="Verdana" w:hAnsi="Verdana"/>
          <w:b/>
          <w:smallCaps/>
          <w:sz w:val="20"/>
        </w:rPr>
        <w:t>Cláusula III</w:t>
      </w:r>
    </w:p>
    <w:p w14:paraId="236A5262" w14:textId="77777777" w:rsidR="002D5261" w:rsidRPr="00190686" w:rsidRDefault="002D5261" w:rsidP="002D5261">
      <w:pPr>
        <w:tabs>
          <w:tab w:val="left" w:pos="851"/>
        </w:tabs>
        <w:spacing w:after="0" w:line="300" w:lineRule="exact"/>
        <w:jc w:val="center"/>
        <w:rPr>
          <w:rFonts w:ascii="Verdana" w:hAnsi="Verdana"/>
          <w:b/>
          <w:smallCaps/>
          <w:sz w:val="20"/>
        </w:rPr>
      </w:pPr>
      <w:r w:rsidRPr="00190686">
        <w:rPr>
          <w:rFonts w:ascii="Verdana" w:hAnsi="Verdana"/>
          <w:b/>
          <w:smallCaps/>
          <w:sz w:val="20"/>
        </w:rPr>
        <w:t>Características da Emissão</w:t>
      </w:r>
    </w:p>
    <w:p w14:paraId="40E7462E" w14:textId="77777777" w:rsidR="002D5261" w:rsidRPr="00190686" w:rsidRDefault="002D5261" w:rsidP="002D5261">
      <w:pPr>
        <w:tabs>
          <w:tab w:val="left" w:pos="851"/>
        </w:tabs>
        <w:spacing w:after="0" w:line="300" w:lineRule="exact"/>
        <w:rPr>
          <w:rFonts w:ascii="Verdana" w:hAnsi="Verdana"/>
          <w:sz w:val="20"/>
        </w:rPr>
      </w:pPr>
    </w:p>
    <w:p w14:paraId="037C1E9E" w14:textId="77777777" w:rsidR="002D5261" w:rsidRPr="00190686" w:rsidRDefault="002D5261" w:rsidP="002D5261">
      <w:pPr>
        <w:numPr>
          <w:ilvl w:val="1"/>
          <w:numId w:val="5"/>
        </w:numPr>
        <w:tabs>
          <w:tab w:val="left" w:pos="851"/>
        </w:tabs>
        <w:spacing w:after="0" w:line="300" w:lineRule="exact"/>
        <w:rPr>
          <w:rFonts w:ascii="Verdana" w:hAnsi="Verdana"/>
          <w:b/>
          <w:sz w:val="20"/>
        </w:rPr>
      </w:pPr>
      <w:r w:rsidRPr="00190686">
        <w:rPr>
          <w:rFonts w:ascii="Verdana" w:hAnsi="Verdana"/>
          <w:b/>
          <w:sz w:val="20"/>
        </w:rPr>
        <w:t>Objeto Social da Emissora</w:t>
      </w:r>
    </w:p>
    <w:p w14:paraId="4BAF46F3" w14:textId="77777777" w:rsidR="002D5261" w:rsidRPr="00190686" w:rsidRDefault="002D5261" w:rsidP="002D5261">
      <w:pPr>
        <w:tabs>
          <w:tab w:val="left" w:pos="851"/>
        </w:tabs>
        <w:spacing w:after="0" w:line="300" w:lineRule="exact"/>
        <w:rPr>
          <w:rFonts w:ascii="Verdana" w:hAnsi="Verdana"/>
          <w:sz w:val="20"/>
        </w:rPr>
      </w:pPr>
    </w:p>
    <w:p w14:paraId="1E41B0EB" w14:textId="77777777" w:rsidR="002D5261" w:rsidRPr="00190686" w:rsidRDefault="002D5261" w:rsidP="002D5261">
      <w:pPr>
        <w:tabs>
          <w:tab w:val="left" w:pos="851"/>
        </w:tabs>
        <w:spacing w:after="0" w:line="300" w:lineRule="exact"/>
        <w:rPr>
          <w:rFonts w:ascii="Verdana" w:hAnsi="Verdana"/>
          <w:sz w:val="20"/>
          <w:lang w:eastAsia="en-US"/>
        </w:rPr>
      </w:pPr>
      <w:r w:rsidRPr="00190686">
        <w:rPr>
          <w:rFonts w:ascii="Verdana" w:hAnsi="Verdana"/>
          <w:sz w:val="20"/>
        </w:rPr>
        <w:t xml:space="preserve">A Emissora tem por objeto social </w:t>
      </w:r>
      <w:r w:rsidRPr="00190686">
        <w:rPr>
          <w:rFonts w:ascii="Verdana" w:hAnsi="Verdana"/>
          <w:sz w:val="20"/>
          <w:lang w:eastAsia="en-US"/>
        </w:rPr>
        <w:t>(a) indústria, comércio, importação e exportação: de veículos automotores e rebocados, para a movimentação e o transporte de materiais; de implementos para o transporte rodoviário e ferroviário; e de aparelhos mecânicos, equipamentos, máquinas, peças, partes e componentes, concernentes ao ramo; (b) participação no capital social de outras sociedades; (c) administração de bens móveis e imóveis próprios; (d</w:t>
      </w:r>
      <w:proofErr w:type="gramStart"/>
      <w:r w:rsidRPr="00190686">
        <w:rPr>
          <w:rFonts w:ascii="Verdana" w:hAnsi="Verdana"/>
          <w:sz w:val="20"/>
          <w:lang w:eastAsia="en-US"/>
        </w:rPr>
        <w:t>)</w:t>
      </w:r>
      <w:proofErr w:type="gramEnd"/>
      <w:r w:rsidRPr="00190686">
        <w:rPr>
          <w:rFonts w:ascii="Verdana" w:hAnsi="Verdana"/>
          <w:sz w:val="20"/>
          <w:lang w:eastAsia="en-US"/>
        </w:rPr>
        <w:tab/>
        <w:t>transporte rodoviário de cargas; e (e) prestação de serviços atinentes aos seus ramos de atividades.</w:t>
      </w:r>
    </w:p>
    <w:p w14:paraId="592CFCA3" w14:textId="77777777" w:rsidR="002D5261" w:rsidRPr="00190686" w:rsidRDefault="002D5261" w:rsidP="002D5261">
      <w:pPr>
        <w:tabs>
          <w:tab w:val="left" w:pos="851"/>
        </w:tabs>
        <w:spacing w:after="0" w:line="300" w:lineRule="exact"/>
        <w:rPr>
          <w:rFonts w:ascii="Verdana" w:hAnsi="Verdana"/>
          <w:sz w:val="20"/>
          <w:lang w:eastAsia="en-US"/>
        </w:rPr>
      </w:pPr>
    </w:p>
    <w:p w14:paraId="2DE4EE2E" w14:textId="77777777" w:rsidR="002D5261" w:rsidRPr="00190686" w:rsidRDefault="002D5261" w:rsidP="002D5261">
      <w:pPr>
        <w:numPr>
          <w:ilvl w:val="1"/>
          <w:numId w:val="5"/>
        </w:numPr>
        <w:tabs>
          <w:tab w:val="left" w:pos="851"/>
        </w:tabs>
        <w:spacing w:after="0" w:line="300" w:lineRule="exact"/>
        <w:rPr>
          <w:rFonts w:ascii="Verdana" w:hAnsi="Verdana"/>
          <w:b/>
          <w:sz w:val="20"/>
        </w:rPr>
      </w:pPr>
      <w:r w:rsidRPr="00190686">
        <w:rPr>
          <w:rFonts w:ascii="Verdana" w:hAnsi="Verdana"/>
          <w:b/>
          <w:sz w:val="20"/>
        </w:rPr>
        <w:t>Número da Emissão</w:t>
      </w:r>
    </w:p>
    <w:p w14:paraId="429222F1" w14:textId="77777777" w:rsidR="002D5261" w:rsidRPr="00190686" w:rsidRDefault="002D5261" w:rsidP="002D5261">
      <w:pPr>
        <w:tabs>
          <w:tab w:val="left" w:pos="851"/>
        </w:tabs>
        <w:autoSpaceDE w:val="0"/>
        <w:autoSpaceDN w:val="0"/>
        <w:adjustRightInd w:val="0"/>
        <w:spacing w:after="0" w:line="300" w:lineRule="exact"/>
        <w:rPr>
          <w:rFonts w:ascii="Verdana" w:hAnsi="Verdana"/>
          <w:sz w:val="20"/>
        </w:rPr>
      </w:pPr>
    </w:p>
    <w:p w14:paraId="7B535548" w14:textId="77777777" w:rsidR="002D5261" w:rsidRPr="00190686" w:rsidRDefault="002D5261" w:rsidP="002D5261">
      <w:pPr>
        <w:tabs>
          <w:tab w:val="left" w:pos="851"/>
        </w:tabs>
        <w:autoSpaceDE w:val="0"/>
        <w:autoSpaceDN w:val="0"/>
        <w:adjustRightInd w:val="0"/>
        <w:spacing w:after="0" w:line="300" w:lineRule="exact"/>
        <w:rPr>
          <w:rFonts w:ascii="Verdana" w:hAnsi="Verdana"/>
          <w:sz w:val="20"/>
        </w:rPr>
      </w:pPr>
      <w:r w:rsidRPr="00190686">
        <w:rPr>
          <w:rFonts w:ascii="Verdana" w:hAnsi="Verdana"/>
          <w:sz w:val="20"/>
        </w:rPr>
        <w:t>A presente Emissão contempla a 4</w:t>
      </w:r>
      <w:r w:rsidRPr="00190686">
        <w:rPr>
          <w:rFonts w:ascii="Verdana" w:hAnsi="Verdana"/>
          <w:sz w:val="20"/>
          <w:vertAlign w:val="superscript"/>
        </w:rPr>
        <w:t>a</w:t>
      </w:r>
      <w:r w:rsidRPr="00190686">
        <w:rPr>
          <w:rFonts w:ascii="Verdana" w:hAnsi="Verdana"/>
          <w:sz w:val="20"/>
        </w:rPr>
        <w:t xml:space="preserve"> (quarta) emissão de debêntures da Emissora, que será objeto de distribuição pública com esforços restritos de distribuição, nos termos da Instrução CVM 476.</w:t>
      </w:r>
    </w:p>
    <w:p w14:paraId="46FBB446" w14:textId="77777777" w:rsidR="002D5261" w:rsidRPr="00190686" w:rsidRDefault="002D5261" w:rsidP="002D5261">
      <w:pPr>
        <w:tabs>
          <w:tab w:val="left" w:pos="851"/>
        </w:tabs>
        <w:autoSpaceDE w:val="0"/>
        <w:autoSpaceDN w:val="0"/>
        <w:adjustRightInd w:val="0"/>
        <w:spacing w:after="0" w:line="300" w:lineRule="exact"/>
        <w:rPr>
          <w:rFonts w:ascii="Verdana" w:hAnsi="Verdana"/>
          <w:sz w:val="20"/>
        </w:rPr>
      </w:pPr>
    </w:p>
    <w:p w14:paraId="413FCADB" w14:textId="77777777" w:rsidR="002D5261" w:rsidRPr="00190686" w:rsidRDefault="002D5261" w:rsidP="002D5261">
      <w:pPr>
        <w:numPr>
          <w:ilvl w:val="1"/>
          <w:numId w:val="5"/>
        </w:numPr>
        <w:tabs>
          <w:tab w:val="left" w:pos="851"/>
        </w:tabs>
        <w:spacing w:after="0" w:line="300" w:lineRule="exact"/>
        <w:rPr>
          <w:rFonts w:ascii="Verdana" w:hAnsi="Verdana"/>
          <w:b/>
          <w:sz w:val="20"/>
        </w:rPr>
      </w:pPr>
      <w:r w:rsidRPr="00190686">
        <w:rPr>
          <w:rFonts w:ascii="Verdana" w:hAnsi="Verdana"/>
          <w:b/>
          <w:sz w:val="20"/>
        </w:rPr>
        <w:t>Valor Total da Emissão</w:t>
      </w:r>
    </w:p>
    <w:p w14:paraId="4755FCD7" w14:textId="77777777" w:rsidR="002D5261" w:rsidRPr="00190686" w:rsidRDefault="002D5261" w:rsidP="002D5261">
      <w:pPr>
        <w:tabs>
          <w:tab w:val="left" w:pos="851"/>
        </w:tabs>
        <w:spacing w:after="0" w:line="300" w:lineRule="exact"/>
        <w:rPr>
          <w:rFonts w:ascii="Verdana" w:hAnsi="Verdana"/>
          <w:sz w:val="20"/>
        </w:rPr>
      </w:pPr>
    </w:p>
    <w:p w14:paraId="48D1904F"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O valor total da Emissão será de R$200.000.000,00 (duzentos milhões de reais), na Data de Emissão (conforme abaixo definida) (“</w:t>
      </w:r>
      <w:r w:rsidRPr="00190686">
        <w:rPr>
          <w:rFonts w:ascii="Verdana" w:hAnsi="Verdana"/>
          <w:sz w:val="20"/>
          <w:u w:val="single"/>
        </w:rPr>
        <w:t>Valor Total da Emissão</w:t>
      </w:r>
      <w:r w:rsidRPr="00190686">
        <w:rPr>
          <w:rFonts w:ascii="Verdana" w:hAnsi="Verdana"/>
          <w:sz w:val="20"/>
        </w:rPr>
        <w:t>”).</w:t>
      </w:r>
    </w:p>
    <w:p w14:paraId="2A99F620" w14:textId="77777777" w:rsidR="002D5261" w:rsidRPr="00190686" w:rsidRDefault="002D5261" w:rsidP="002D5261">
      <w:pPr>
        <w:tabs>
          <w:tab w:val="left" w:pos="851"/>
        </w:tabs>
        <w:autoSpaceDE w:val="0"/>
        <w:autoSpaceDN w:val="0"/>
        <w:adjustRightInd w:val="0"/>
        <w:spacing w:after="0" w:line="300" w:lineRule="exact"/>
        <w:rPr>
          <w:rFonts w:ascii="Verdana" w:hAnsi="Verdana"/>
          <w:smallCaps/>
          <w:sz w:val="20"/>
          <w:u w:val="single"/>
        </w:rPr>
      </w:pPr>
    </w:p>
    <w:p w14:paraId="6F83F1C7" w14:textId="77777777" w:rsidR="002D5261" w:rsidRPr="00190686" w:rsidRDefault="002D5261" w:rsidP="002D5261">
      <w:pPr>
        <w:numPr>
          <w:ilvl w:val="1"/>
          <w:numId w:val="5"/>
        </w:numPr>
        <w:tabs>
          <w:tab w:val="left" w:pos="851"/>
        </w:tabs>
        <w:spacing w:after="0" w:line="300" w:lineRule="exact"/>
        <w:rPr>
          <w:rFonts w:ascii="Verdana" w:hAnsi="Verdana"/>
          <w:b/>
          <w:sz w:val="20"/>
        </w:rPr>
      </w:pPr>
      <w:r w:rsidRPr="00190686">
        <w:rPr>
          <w:rFonts w:ascii="Verdana" w:hAnsi="Verdana"/>
          <w:b/>
          <w:sz w:val="20"/>
        </w:rPr>
        <w:t>Destinação dos Recursos</w:t>
      </w:r>
    </w:p>
    <w:p w14:paraId="33DF5C6D" w14:textId="77777777" w:rsidR="002D5261" w:rsidRPr="00190686" w:rsidRDefault="002D5261" w:rsidP="002D5261">
      <w:pPr>
        <w:tabs>
          <w:tab w:val="left" w:pos="851"/>
        </w:tabs>
        <w:autoSpaceDE w:val="0"/>
        <w:autoSpaceDN w:val="0"/>
        <w:adjustRightInd w:val="0"/>
        <w:spacing w:after="0" w:line="300" w:lineRule="exact"/>
        <w:rPr>
          <w:rFonts w:ascii="Verdana" w:hAnsi="Verdana"/>
          <w:sz w:val="20"/>
        </w:rPr>
      </w:pPr>
      <w:bookmarkStart w:id="3" w:name="_Ref264564155"/>
      <w:bookmarkStart w:id="4" w:name="_Ref164254172"/>
    </w:p>
    <w:p w14:paraId="1AE98243" w14:textId="77777777" w:rsidR="002D5261" w:rsidRPr="00190686" w:rsidRDefault="002D5261" w:rsidP="002D5261">
      <w:pPr>
        <w:tabs>
          <w:tab w:val="left" w:pos="851"/>
        </w:tabs>
        <w:autoSpaceDE w:val="0"/>
        <w:autoSpaceDN w:val="0"/>
        <w:adjustRightInd w:val="0"/>
        <w:spacing w:after="0" w:line="300" w:lineRule="exact"/>
        <w:rPr>
          <w:rFonts w:ascii="Verdana" w:hAnsi="Verdana"/>
          <w:sz w:val="20"/>
        </w:rPr>
      </w:pPr>
      <w:r w:rsidRPr="00190686">
        <w:rPr>
          <w:rFonts w:ascii="Verdana" w:hAnsi="Verdana"/>
          <w:sz w:val="20"/>
        </w:rPr>
        <w:t>Os recursos líquidos obtidos pela Emissora com a Emissão serão integralmente utilizados para (a) reforço de capital de giro da Emissora; e (b) usos gerais de caixa.</w:t>
      </w:r>
      <w:bookmarkEnd w:id="3"/>
    </w:p>
    <w:p w14:paraId="0B3714D1" w14:textId="77777777" w:rsidR="002D5261" w:rsidRPr="00190686" w:rsidRDefault="002D5261" w:rsidP="002D5261">
      <w:pPr>
        <w:tabs>
          <w:tab w:val="left" w:pos="851"/>
        </w:tabs>
        <w:autoSpaceDE w:val="0"/>
        <w:autoSpaceDN w:val="0"/>
        <w:adjustRightInd w:val="0"/>
        <w:spacing w:after="0" w:line="300" w:lineRule="exact"/>
        <w:rPr>
          <w:rFonts w:ascii="Verdana" w:hAnsi="Verdana"/>
          <w:sz w:val="20"/>
        </w:rPr>
      </w:pPr>
    </w:p>
    <w:p w14:paraId="5B264C8C" w14:textId="77777777" w:rsidR="002D5261" w:rsidRPr="00190686" w:rsidRDefault="002D5261" w:rsidP="002D5261">
      <w:pPr>
        <w:numPr>
          <w:ilvl w:val="1"/>
          <w:numId w:val="5"/>
        </w:numPr>
        <w:tabs>
          <w:tab w:val="left" w:pos="851"/>
        </w:tabs>
        <w:spacing w:after="0" w:line="300" w:lineRule="exact"/>
        <w:rPr>
          <w:rFonts w:ascii="Verdana" w:hAnsi="Verdana"/>
          <w:b/>
          <w:sz w:val="20"/>
        </w:rPr>
      </w:pPr>
      <w:r w:rsidRPr="00190686">
        <w:rPr>
          <w:rFonts w:ascii="Verdana" w:hAnsi="Verdana"/>
          <w:b/>
          <w:sz w:val="20"/>
        </w:rPr>
        <w:t>Colocação e Procedimento de Distribuição</w:t>
      </w:r>
    </w:p>
    <w:p w14:paraId="675380A8" w14:textId="77777777" w:rsidR="002D5261" w:rsidRPr="00190686" w:rsidRDefault="002D5261" w:rsidP="002D5261">
      <w:pPr>
        <w:keepNext/>
        <w:tabs>
          <w:tab w:val="left" w:pos="851"/>
        </w:tabs>
        <w:spacing w:after="0" w:line="300" w:lineRule="exact"/>
        <w:ind w:left="720"/>
        <w:rPr>
          <w:rFonts w:ascii="Verdana" w:hAnsi="Verdana"/>
          <w:b/>
          <w:sz w:val="20"/>
        </w:rPr>
      </w:pPr>
    </w:p>
    <w:p w14:paraId="097B9928" w14:textId="77777777" w:rsidR="002D5261" w:rsidRPr="00190686" w:rsidRDefault="002D5261" w:rsidP="002D5261">
      <w:pPr>
        <w:numPr>
          <w:ilvl w:val="2"/>
          <w:numId w:val="5"/>
        </w:numPr>
        <w:tabs>
          <w:tab w:val="left" w:pos="851"/>
        </w:tabs>
        <w:spacing w:after="0" w:line="300" w:lineRule="exact"/>
        <w:ind w:left="0" w:firstLine="0"/>
        <w:rPr>
          <w:rFonts w:ascii="Verdana" w:hAnsi="Verdana"/>
          <w:sz w:val="20"/>
        </w:rPr>
      </w:pPr>
      <w:r w:rsidRPr="00190686">
        <w:rPr>
          <w:rFonts w:ascii="Verdana" w:hAnsi="Verdana"/>
          <w:sz w:val="20"/>
        </w:rPr>
        <w:t>As Debêntures serão objeto de oferta pública de distribuição com esforços restritos de distribuição, nos termos da Lei do Mercado de Valores Mobiliários, da Instrução CVM 476 e das demais disposições legais e regulamentares aplicáveis, sob o regime de garantia firme de colocação para o Valor Total da Emissão</w:t>
      </w:r>
      <w:r w:rsidRPr="00190686">
        <w:rPr>
          <w:rFonts w:ascii="Verdana" w:hAnsi="Verdana"/>
          <w:bCs/>
          <w:sz w:val="20"/>
        </w:rPr>
        <w:t xml:space="preserve">, </w:t>
      </w:r>
      <w:r w:rsidRPr="00190686">
        <w:rPr>
          <w:rFonts w:ascii="Verdana" w:hAnsi="Verdana"/>
          <w:sz w:val="20"/>
        </w:rPr>
        <w:t xml:space="preserve">nos termos do “Contrato de Coordenação e Distribuição Pública de Debêntures Simples, Não Conversíveis em Ações, da Espécie </w:t>
      </w:r>
      <w:r>
        <w:rPr>
          <w:rFonts w:ascii="Verdana" w:hAnsi="Verdana"/>
          <w:sz w:val="20"/>
        </w:rPr>
        <w:t>Q</w:t>
      </w:r>
      <w:r w:rsidRPr="00190686">
        <w:rPr>
          <w:rFonts w:ascii="Verdana" w:hAnsi="Verdana"/>
          <w:sz w:val="20"/>
        </w:rPr>
        <w:t xml:space="preserve">uirografária, em </w:t>
      </w:r>
      <w:proofErr w:type="gramStart"/>
      <w:r w:rsidRPr="00190686">
        <w:rPr>
          <w:rFonts w:ascii="Verdana" w:hAnsi="Verdana"/>
          <w:sz w:val="20"/>
        </w:rPr>
        <w:t>2</w:t>
      </w:r>
      <w:proofErr w:type="gramEnd"/>
      <w:r w:rsidRPr="00190686">
        <w:rPr>
          <w:rFonts w:ascii="Verdana" w:hAnsi="Verdana"/>
          <w:sz w:val="20"/>
        </w:rPr>
        <w:t xml:space="preserve"> (duas) séries, da 4ª Emissão </w:t>
      </w:r>
      <w:r w:rsidRPr="00190686">
        <w:rPr>
          <w:rFonts w:ascii="Verdana" w:hAnsi="Verdana"/>
          <w:snapToGrid w:val="0"/>
          <w:sz w:val="20"/>
        </w:rPr>
        <w:t>de Debêntures da Randon S.A. Implementos e Participações</w:t>
      </w:r>
      <w:r w:rsidRPr="00190686">
        <w:rPr>
          <w:rFonts w:ascii="Verdana" w:hAnsi="Verdana"/>
          <w:sz w:val="20"/>
        </w:rPr>
        <w:t>”, a ser celebrado entre a Emissora e o Coordenador Líder (conforme a seguir definido) (“</w:t>
      </w:r>
      <w:r w:rsidRPr="00190686">
        <w:rPr>
          <w:rFonts w:ascii="Verdana" w:hAnsi="Verdana"/>
          <w:sz w:val="20"/>
          <w:u w:val="single"/>
        </w:rPr>
        <w:t>Contrato de Distribuição</w:t>
      </w:r>
      <w:r w:rsidRPr="00190686">
        <w:rPr>
          <w:rFonts w:ascii="Verdana" w:hAnsi="Verdana"/>
          <w:sz w:val="20"/>
        </w:rPr>
        <w:t>”), com a intermediação de instituição financeira integrante do sistema de distribuição de valores mobiliários (“</w:t>
      </w:r>
      <w:r w:rsidRPr="00190686">
        <w:rPr>
          <w:rFonts w:ascii="Verdana" w:hAnsi="Verdana"/>
          <w:sz w:val="20"/>
          <w:u w:val="single"/>
        </w:rPr>
        <w:t>Coordenador Líder</w:t>
      </w:r>
      <w:r w:rsidRPr="00190686">
        <w:rPr>
          <w:rFonts w:ascii="Verdana" w:hAnsi="Verdana"/>
          <w:sz w:val="20"/>
        </w:rPr>
        <w:t>”), tendo como público alvo Investidores Profissionais (conforme definidos a seguir).</w:t>
      </w:r>
    </w:p>
    <w:p w14:paraId="65AF4B20" w14:textId="77777777" w:rsidR="002D5261" w:rsidRPr="00190686" w:rsidRDefault="002D5261" w:rsidP="002D5261">
      <w:pPr>
        <w:tabs>
          <w:tab w:val="left" w:pos="851"/>
        </w:tabs>
        <w:spacing w:after="0" w:line="300" w:lineRule="exact"/>
        <w:rPr>
          <w:rFonts w:ascii="Verdana" w:hAnsi="Verdana"/>
          <w:sz w:val="20"/>
        </w:rPr>
      </w:pPr>
    </w:p>
    <w:p w14:paraId="10E2024A" w14:textId="77777777" w:rsidR="002D5261" w:rsidRPr="00190686" w:rsidRDefault="002D5261" w:rsidP="002D5261">
      <w:pPr>
        <w:numPr>
          <w:ilvl w:val="2"/>
          <w:numId w:val="5"/>
        </w:numPr>
        <w:tabs>
          <w:tab w:val="left" w:pos="851"/>
        </w:tabs>
        <w:spacing w:after="0" w:line="300" w:lineRule="exact"/>
        <w:ind w:left="0" w:firstLine="0"/>
        <w:rPr>
          <w:rFonts w:ascii="Verdana" w:hAnsi="Verdana"/>
          <w:sz w:val="20"/>
        </w:rPr>
      </w:pPr>
      <w:r w:rsidRPr="00190686">
        <w:rPr>
          <w:rFonts w:ascii="Verdana" w:hAnsi="Verdana"/>
          <w:sz w:val="20"/>
        </w:rPr>
        <w:t xml:space="preserve">O Coordenador Líder, com expressa e prévia anuência da Emissora, organizará o plano de distribuição das Debêntures, observado o disposto na Instrução CVM 476, tendo como público </w:t>
      </w:r>
      <w:proofErr w:type="gramStart"/>
      <w:r w:rsidRPr="00190686">
        <w:rPr>
          <w:rFonts w:ascii="Verdana" w:hAnsi="Verdana"/>
          <w:sz w:val="20"/>
        </w:rPr>
        <w:t>alvo Investidores Profissionais</w:t>
      </w:r>
      <w:proofErr w:type="gramEnd"/>
      <w:r w:rsidRPr="00190686">
        <w:rPr>
          <w:rFonts w:ascii="Verdana" w:hAnsi="Verdana"/>
          <w:sz w:val="20"/>
        </w:rPr>
        <w:t>. O Coordenador Líder poderá acessar até, no máximo, 75 (setenta e cinco) Investidores Profissionais, sendo possível a subscrição ou aquisição das Debêntures por, no máximo, 50 (cinquenta) Investidores Profissionais, nos termos do artigo 3º da Instrução CVM 476.</w:t>
      </w:r>
    </w:p>
    <w:p w14:paraId="497E876E" w14:textId="77777777" w:rsidR="002D5261" w:rsidRPr="00190686" w:rsidRDefault="002D5261" w:rsidP="002D5261">
      <w:pPr>
        <w:tabs>
          <w:tab w:val="left" w:pos="851"/>
        </w:tabs>
        <w:spacing w:after="0" w:line="300" w:lineRule="exact"/>
        <w:rPr>
          <w:rFonts w:ascii="Verdana" w:hAnsi="Verdana"/>
          <w:sz w:val="20"/>
        </w:rPr>
      </w:pPr>
    </w:p>
    <w:p w14:paraId="161E69CB" w14:textId="77777777" w:rsidR="002D5261" w:rsidRPr="00190686" w:rsidRDefault="002D5261" w:rsidP="002D5261">
      <w:pPr>
        <w:numPr>
          <w:ilvl w:val="3"/>
          <w:numId w:val="5"/>
        </w:numPr>
        <w:tabs>
          <w:tab w:val="left" w:pos="851"/>
        </w:tabs>
        <w:spacing w:after="0" w:line="300" w:lineRule="exact"/>
        <w:ind w:left="851" w:hanging="851"/>
        <w:rPr>
          <w:rFonts w:ascii="Verdana" w:hAnsi="Verdana"/>
          <w:sz w:val="20"/>
        </w:rPr>
      </w:pPr>
      <w:r w:rsidRPr="00190686">
        <w:rPr>
          <w:rFonts w:ascii="Verdana" w:hAnsi="Verdana"/>
          <w:sz w:val="20"/>
        </w:rPr>
        <w:t>Os fundos de investimento e carteiras administradas de valores mobiliários cujas decisões de investimento sejam tomadas pelo mesmo gestor serão considerados como um único investidor para os fins dos limites previstos na Cláusula 3.5.2 acima, conforme disposto no artigo 3º, parágrafo 1º, da Instrução CVM 476.</w:t>
      </w:r>
    </w:p>
    <w:p w14:paraId="27CD5AA1" w14:textId="77777777" w:rsidR="002D5261" w:rsidRPr="00190686" w:rsidRDefault="002D5261" w:rsidP="002D5261">
      <w:pPr>
        <w:tabs>
          <w:tab w:val="left" w:pos="851"/>
        </w:tabs>
        <w:spacing w:after="0" w:line="300" w:lineRule="exact"/>
        <w:rPr>
          <w:rFonts w:ascii="Verdana" w:hAnsi="Verdana"/>
          <w:sz w:val="20"/>
        </w:rPr>
      </w:pPr>
    </w:p>
    <w:p w14:paraId="0C1A89B7" w14:textId="77777777" w:rsidR="002D5261" w:rsidRPr="00190686" w:rsidRDefault="002D5261" w:rsidP="002D5261">
      <w:pPr>
        <w:numPr>
          <w:ilvl w:val="2"/>
          <w:numId w:val="5"/>
        </w:numPr>
        <w:tabs>
          <w:tab w:val="left" w:pos="851"/>
        </w:tabs>
        <w:spacing w:after="0" w:line="300" w:lineRule="exact"/>
        <w:ind w:left="0" w:firstLine="0"/>
        <w:rPr>
          <w:rFonts w:ascii="Verdana" w:hAnsi="Verdana"/>
          <w:sz w:val="20"/>
          <w:lang w:eastAsia="en-US"/>
        </w:rPr>
      </w:pPr>
      <w:r w:rsidRPr="00190686">
        <w:rPr>
          <w:rFonts w:ascii="Verdana" w:hAnsi="Verdana"/>
          <w:sz w:val="20"/>
          <w:lang w:eastAsia="en-US"/>
        </w:rPr>
        <w:t xml:space="preserve">Nos </w:t>
      </w:r>
      <w:r w:rsidRPr="00190686">
        <w:rPr>
          <w:rFonts w:ascii="Verdana" w:hAnsi="Verdana"/>
          <w:sz w:val="20"/>
        </w:rPr>
        <w:t>termos</w:t>
      </w:r>
      <w:r w:rsidRPr="00190686">
        <w:rPr>
          <w:rFonts w:ascii="Verdana" w:hAnsi="Verdana"/>
          <w:sz w:val="20"/>
          <w:lang w:eastAsia="en-US"/>
        </w:rPr>
        <w:t xml:space="preserve"> da Instrução da CVM nº 539</w:t>
      </w:r>
      <w:r w:rsidRPr="00190686">
        <w:rPr>
          <w:rFonts w:ascii="Verdana" w:hAnsi="Verdana"/>
          <w:sz w:val="20"/>
        </w:rPr>
        <w:t xml:space="preserve">, de 13 de novembro de 2013, conforme alterada inclusive pela Instrução da CVM </w:t>
      </w:r>
      <w:proofErr w:type="gramStart"/>
      <w:r w:rsidRPr="00190686">
        <w:rPr>
          <w:rFonts w:ascii="Verdana" w:hAnsi="Verdana"/>
          <w:sz w:val="20"/>
        </w:rPr>
        <w:t>n</w:t>
      </w:r>
      <w:r w:rsidRPr="00190686">
        <w:rPr>
          <w:rFonts w:ascii="Verdana" w:hAnsi="Verdana"/>
          <w:sz w:val="20"/>
          <w:vertAlign w:val="superscript"/>
        </w:rPr>
        <w:t>o</w:t>
      </w:r>
      <w:r w:rsidRPr="00190686">
        <w:rPr>
          <w:rFonts w:ascii="Verdana" w:hAnsi="Verdana"/>
          <w:sz w:val="20"/>
          <w:lang w:eastAsia="en-US"/>
        </w:rPr>
        <w:t xml:space="preserve"> 554</w:t>
      </w:r>
      <w:proofErr w:type="gramEnd"/>
      <w:r w:rsidRPr="00190686">
        <w:rPr>
          <w:rFonts w:ascii="Verdana" w:hAnsi="Verdana"/>
          <w:sz w:val="20"/>
          <w:lang w:eastAsia="en-US"/>
        </w:rPr>
        <w:t>, de 17 de dezembro de 2014 (</w:t>
      </w:r>
      <w:r w:rsidRPr="00190686">
        <w:rPr>
          <w:rFonts w:ascii="Verdana" w:hAnsi="Verdana"/>
          <w:sz w:val="20"/>
        </w:rPr>
        <w:t>“</w:t>
      </w:r>
      <w:r w:rsidRPr="00190686">
        <w:rPr>
          <w:rFonts w:ascii="Verdana" w:hAnsi="Verdana"/>
          <w:sz w:val="20"/>
          <w:u w:val="single"/>
        </w:rPr>
        <w:t>Instrução CVM 539</w:t>
      </w:r>
      <w:r w:rsidRPr="00190686">
        <w:rPr>
          <w:rFonts w:ascii="Verdana" w:hAnsi="Verdana"/>
          <w:sz w:val="20"/>
        </w:rPr>
        <w:t>” e</w:t>
      </w:r>
      <w:r w:rsidRPr="00190686">
        <w:rPr>
          <w:rFonts w:ascii="Verdana" w:hAnsi="Verdana"/>
          <w:sz w:val="20"/>
          <w:lang w:eastAsia="en-US"/>
        </w:rPr>
        <w:t xml:space="preserve"> </w:t>
      </w:r>
      <w:r w:rsidRPr="00190686">
        <w:rPr>
          <w:rFonts w:ascii="Verdana" w:hAnsi="Verdana"/>
          <w:sz w:val="20"/>
        </w:rPr>
        <w:t>“</w:t>
      </w:r>
      <w:r w:rsidRPr="00190686">
        <w:rPr>
          <w:rFonts w:ascii="Verdana" w:hAnsi="Verdana"/>
          <w:sz w:val="20"/>
          <w:u w:val="single"/>
          <w:lang w:eastAsia="en-US"/>
        </w:rPr>
        <w:t>Instrução CVM 554</w:t>
      </w:r>
      <w:r w:rsidRPr="00190686">
        <w:rPr>
          <w:rFonts w:ascii="Verdana" w:hAnsi="Verdana"/>
          <w:sz w:val="20"/>
        </w:rPr>
        <w:t>”</w:t>
      </w:r>
      <w:r w:rsidRPr="00190686">
        <w:rPr>
          <w:rFonts w:ascii="Verdana" w:hAnsi="Verdana"/>
          <w:sz w:val="20"/>
          <w:lang w:eastAsia="en-US"/>
        </w:rPr>
        <w:t>, respectivamente) e para fins da Oferta, serão considerados:</w:t>
      </w:r>
    </w:p>
    <w:p w14:paraId="7121DFEF" w14:textId="77777777" w:rsidR="002D5261" w:rsidRPr="00190686" w:rsidRDefault="002D5261" w:rsidP="002D5261">
      <w:pPr>
        <w:tabs>
          <w:tab w:val="left" w:pos="851"/>
          <w:tab w:val="left" w:pos="1843"/>
          <w:tab w:val="left" w:pos="5103"/>
        </w:tabs>
        <w:spacing w:after="0" w:line="300" w:lineRule="exact"/>
        <w:ind w:left="1134"/>
        <w:rPr>
          <w:rFonts w:ascii="Verdana" w:hAnsi="Verdana"/>
          <w:sz w:val="20"/>
          <w:lang w:eastAsia="en-US"/>
        </w:rPr>
      </w:pPr>
    </w:p>
    <w:p w14:paraId="3B98C557" w14:textId="77777777" w:rsidR="002D5261" w:rsidRPr="00190686" w:rsidRDefault="002D5261" w:rsidP="002D5261">
      <w:pPr>
        <w:numPr>
          <w:ilvl w:val="0"/>
          <w:numId w:val="37"/>
        </w:numPr>
        <w:tabs>
          <w:tab w:val="left" w:pos="851"/>
        </w:tabs>
        <w:spacing w:after="0" w:line="300" w:lineRule="exact"/>
        <w:ind w:left="851" w:hanging="851"/>
        <w:contextualSpacing/>
        <w:rPr>
          <w:rFonts w:ascii="Verdana" w:hAnsi="Verdana"/>
          <w:sz w:val="20"/>
        </w:rPr>
      </w:pPr>
      <w:r w:rsidRPr="00190686">
        <w:rPr>
          <w:rFonts w:ascii="Verdana" w:hAnsi="Verdana"/>
          <w:sz w:val="20"/>
        </w:rPr>
        <w:t>“</w:t>
      </w:r>
      <w:r w:rsidRPr="00190686">
        <w:rPr>
          <w:rFonts w:ascii="Verdana" w:hAnsi="Verdana"/>
          <w:sz w:val="20"/>
          <w:u w:val="single"/>
          <w:lang w:eastAsia="en-US"/>
        </w:rPr>
        <w:t>Investidores Profissionais</w:t>
      </w:r>
      <w:r w:rsidRPr="00190686">
        <w:rPr>
          <w:rFonts w:ascii="Verdana" w:hAnsi="Verdana"/>
          <w:sz w:val="20"/>
        </w:rPr>
        <w:t>”</w:t>
      </w:r>
      <w:r w:rsidRPr="00190686">
        <w:rPr>
          <w:rFonts w:ascii="Verdana" w:hAnsi="Verdana"/>
          <w:sz w:val="20"/>
          <w:lang w:eastAsia="en-US"/>
        </w:rPr>
        <w:t>: (i)</w:t>
      </w:r>
      <w:r w:rsidRPr="00190686">
        <w:rPr>
          <w:rFonts w:ascii="Verdana" w:hAnsi="Verdana"/>
          <w:sz w:val="20"/>
        </w:rPr>
        <w:t xml:space="preserve"> instituições financeiras e demais instituições autorizadas a funcionar pelo Banco Central do Brasil; (</w:t>
      </w:r>
      <w:proofErr w:type="spellStart"/>
      <w:proofErr w:type="gramStart"/>
      <w:r w:rsidRPr="00190686">
        <w:rPr>
          <w:rFonts w:ascii="Verdana" w:hAnsi="Verdana"/>
          <w:sz w:val="20"/>
        </w:rPr>
        <w:t>ii</w:t>
      </w:r>
      <w:proofErr w:type="spellEnd"/>
      <w:proofErr w:type="gramEnd"/>
      <w:r w:rsidRPr="00190686">
        <w:rPr>
          <w:rFonts w:ascii="Verdana" w:hAnsi="Verdana"/>
          <w:sz w:val="20"/>
        </w:rPr>
        <w:t>) companhias seguradoras e sociedades de capitalização; (</w:t>
      </w:r>
      <w:proofErr w:type="spellStart"/>
      <w:r w:rsidRPr="00190686">
        <w:rPr>
          <w:rFonts w:ascii="Verdana" w:hAnsi="Verdana"/>
          <w:sz w:val="20"/>
        </w:rPr>
        <w:t>iii</w:t>
      </w:r>
      <w:proofErr w:type="spellEnd"/>
      <w:r w:rsidRPr="00190686">
        <w:rPr>
          <w:rFonts w:ascii="Verdana" w:hAnsi="Verdana"/>
          <w:sz w:val="20"/>
        </w:rPr>
        <w:t>) entidades abertas e fechadas de previdência complementar; (</w:t>
      </w:r>
      <w:proofErr w:type="spellStart"/>
      <w:r w:rsidRPr="00190686">
        <w:rPr>
          <w:rFonts w:ascii="Verdana" w:hAnsi="Verdana"/>
          <w:sz w:val="20"/>
        </w:rPr>
        <w:t>iv</w:t>
      </w:r>
      <w:proofErr w:type="spellEnd"/>
      <w:r w:rsidRPr="00190686">
        <w:rPr>
          <w:rFonts w:ascii="Verdana" w:hAnsi="Verdana"/>
          <w:sz w:val="20"/>
        </w:rPr>
        <w:t xml:space="preserve">) pessoas naturais ou jurídicas que possuam investimentos financeiros em valor superior a R$ 10.000.000,00 (dez milhões </w:t>
      </w:r>
      <w:r w:rsidRPr="00190686">
        <w:rPr>
          <w:rFonts w:ascii="Verdana" w:hAnsi="Verdana"/>
          <w:sz w:val="20"/>
        </w:rPr>
        <w:lastRenderedPageBreak/>
        <w:t>de reais) e que, adicionalmente, atestem por escrito sua condição de investidor profissional mediante termo próprio, de acordo com o Anexo 9-A da Instrução CVM 539; (v) fundos de investimento; (vi) clubes de investimento, desde que tenham a carteira gerida por administrador de carteira de valores mobiliários autorizado pela CVM; (</w:t>
      </w:r>
      <w:proofErr w:type="spellStart"/>
      <w:r w:rsidRPr="00190686">
        <w:rPr>
          <w:rFonts w:ascii="Verdana" w:hAnsi="Verdana"/>
          <w:sz w:val="20"/>
        </w:rPr>
        <w:t>vii</w:t>
      </w:r>
      <w:proofErr w:type="spellEnd"/>
      <w:r w:rsidRPr="00190686">
        <w:rPr>
          <w:rFonts w:ascii="Verdana" w:hAnsi="Verdana"/>
          <w:sz w:val="20"/>
        </w:rPr>
        <w:t>) agentes autônomos de investimento, administradores de carteira, analistas e consultores de valores mobiliários autorizados pela CVM, em relação a seus recursos próprios; e (</w:t>
      </w:r>
      <w:proofErr w:type="spellStart"/>
      <w:r w:rsidRPr="00190686">
        <w:rPr>
          <w:rFonts w:ascii="Verdana" w:hAnsi="Verdana"/>
          <w:sz w:val="20"/>
        </w:rPr>
        <w:t>viii</w:t>
      </w:r>
      <w:proofErr w:type="spellEnd"/>
      <w:r w:rsidRPr="00190686">
        <w:rPr>
          <w:rFonts w:ascii="Verdana" w:hAnsi="Verdana"/>
          <w:sz w:val="20"/>
        </w:rPr>
        <w:t xml:space="preserve">) investidores não residentes; e </w:t>
      </w:r>
    </w:p>
    <w:p w14:paraId="6ED77BA3" w14:textId="77777777" w:rsidR="002D5261" w:rsidRPr="00190686" w:rsidRDefault="002D5261" w:rsidP="002D5261">
      <w:pPr>
        <w:tabs>
          <w:tab w:val="left" w:pos="851"/>
          <w:tab w:val="left" w:pos="1843"/>
          <w:tab w:val="left" w:pos="5103"/>
        </w:tabs>
        <w:spacing w:after="0" w:line="300" w:lineRule="exact"/>
        <w:ind w:left="1534"/>
        <w:rPr>
          <w:rFonts w:ascii="Verdana" w:hAnsi="Verdana"/>
          <w:sz w:val="20"/>
        </w:rPr>
      </w:pPr>
    </w:p>
    <w:p w14:paraId="5BAEFEAB" w14:textId="77777777" w:rsidR="002D5261" w:rsidRPr="00190686" w:rsidRDefault="002D5261" w:rsidP="002D5261">
      <w:pPr>
        <w:numPr>
          <w:ilvl w:val="0"/>
          <w:numId w:val="37"/>
        </w:numPr>
        <w:tabs>
          <w:tab w:val="left" w:pos="851"/>
        </w:tabs>
        <w:spacing w:after="0" w:line="300" w:lineRule="exact"/>
        <w:ind w:left="851" w:hanging="851"/>
        <w:contextualSpacing/>
        <w:rPr>
          <w:rFonts w:ascii="Verdana" w:hAnsi="Verdana"/>
          <w:sz w:val="20"/>
          <w:lang w:eastAsia="en-US"/>
        </w:rPr>
      </w:pPr>
      <w:r w:rsidRPr="00190686">
        <w:rPr>
          <w:rFonts w:ascii="Verdana" w:hAnsi="Verdana"/>
          <w:sz w:val="20"/>
        </w:rPr>
        <w:t>“</w:t>
      </w:r>
      <w:r w:rsidRPr="00190686">
        <w:rPr>
          <w:rFonts w:ascii="Verdana" w:hAnsi="Verdana"/>
          <w:sz w:val="20"/>
          <w:u w:val="single"/>
          <w:lang w:eastAsia="en-US"/>
        </w:rPr>
        <w:t>Investidores Qualificados</w:t>
      </w:r>
      <w:r w:rsidRPr="00190686">
        <w:rPr>
          <w:rFonts w:ascii="Verdana" w:hAnsi="Verdana"/>
          <w:sz w:val="20"/>
        </w:rPr>
        <w:t>”</w:t>
      </w:r>
      <w:r w:rsidRPr="00190686">
        <w:rPr>
          <w:rFonts w:ascii="Verdana" w:hAnsi="Verdana"/>
          <w:sz w:val="20"/>
          <w:lang w:eastAsia="en-US"/>
        </w:rPr>
        <w:t xml:space="preserve">: </w:t>
      </w:r>
      <w:r w:rsidRPr="00190686">
        <w:rPr>
          <w:rFonts w:ascii="Verdana" w:hAnsi="Verdana"/>
          <w:sz w:val="20"/>
        </w:rPr>
        <w:t>(i) os Investidores Profissionais; (</w:t>
      </w:r>
      <w:proofErr w:type="spellStart"/>
      <w:proofErr w:type="gramStart"/>
      <w:r w:rsidRPr="00190686">
        <w:rPr>
          <w:rFonts w:ascii="Verdana" w:hAnsi="Verdana"/>
          <w:sz w:val="20"/>
        </w:rPr>
        <w:t>ii</w:t>
      </w:r>
      <w:proofErr w:type="spellEnd"/>
      <w:proofErr w:type="gramEnd"/>
      <w:r w:rsidRPr="00190686">
        <w:rPr>
          <w:rFonts w:ascii="Verdana" w:hAnsi="Verdana"/>
          <w:sz w:val="20"/>
        </w:rPr>
        <w:t>) pessoas naturais ou jurídicas que possuam investimentos financeiros em valor superior a R$ 1.000.000,00 (um milhão de reais) e que, adicionalmente, atestem por escrito sua condição de investidor qualificado mediante termo próprio, de acordo com o Anexo 9-B da Instrução CVM 539; (</w:t>
      </w:r>
      <w:proofErr w:type="spellStart"/>
      <w:r w:rsidRPr="00190686">
        <w:rPr>
          <w:rFonts w:ascii="Verdana" w:hAnsi="Verdana"/>
          <w:sz w:val="20"/>
        </w:rPr>
        <w:t>iii</w:t>
      </w:r>
      <w:proofErr w:type="spellEnd"/>
      <w:r w:rsidRPr="00190686">
        <w:rPr>
          <w:rFonts w:ascii="Verdana" w:hAnsi="Verdana"/>
          <w:sz w:val="20"/>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190686">
        <w:rPr>
          <w:rFonts w:ascii="Verdana" w:hAnsi="Verdana"/>
          <w:sz w:val="20"/>
        </w:rPr>
        <w:t>iv</w:t>
      </w:r>
      <w:proofErr w:type="spellEnd"/>
      <w:r w:rsidRPr="00190686">
        <w:rPr>
          <w:rFonts w:ascii="Verdana" w:hAnsi="Verdana"/>
          <w:sz w:val="20"/>
        </w:rPr>
        <w:t>) clubes de investimento, desde que tenham a carteira gerida por um ou mais cotistas, que sejam investidores qualificados.</w:t>
      </w:r>
    </w:p>
    <w:p w14:paraId="636CDA09" w14:textId="77777777" w:rsidR="002D5261" w:rsidRPr="00190686" w:rsidRDefault="002D5261" w:rsidP="002D5261">
      <w:pPr>
        <w:tabs>
          <w:tab w:val="left" w:pos="851"/>
        </w:tabs>
        <w:spacing w:after="0" w:line="300" w:lineRule="exact"/>
        <w:rPr>
          <w:rFonts w:ascii="Verdana" w:hAnsi="Verdana"/>
          <w:sz w:val="20"/>
          <w:lang w:eastAsia="en-US"/>
        </w:rPr>
      </w:pPr>
    </w:p>
    <w:p w14:paraId="61F56508" w14:textId="77777777" w:rsidR="002D5261" w:rsidRPr="00190686" w:rsidRDefault="002D5261" w:rsidP="002D5261">
      <w:pPr>
        <w:pStyle w:val="GradeMdia1-nfase21"/>
        <w:tabs>
          <w:tab w:val="left" w:pos="851"/>
          <w:tab w:val="left" w:pos="1843"/>
          <w:tab w:val="left" w:pos="5103"/>
        </w:tabs>
        <w:spacing w:after="0" w:line="300" w:lineRule="exact"/>
        <w:ind w:left="851" w:hanging="851"/>
        <w:rPr>
          <w:rFonts w:ascii="Verdana" w:hAnsi="Verdana"/>
          <w:sz w:val="20"/>
          <w:lang w:val="pt-PT"/>
        </w:rPr>
      </w:pPr>
      <w:r w:rsidRPr="00190686">
        <w:rPr>
          <w:rFonts w:ascii="Verdana" w:hAnsi="Verdana"/>
          <w:sz w:val="20"/>
        </w:rPr>
        <w:t xml:space="preserve">3.5.3.1. Os </w:t>
      </w:r>
      <w:r w:rsidRPr="00190686">
        <w:rPr>
          <w:rFonts w:ascii="Verdana" w:hAnsi="Verdana"/>
          <w:sz w:val="20"/>
          <w:lang w:eastAsia="en-US"/>
        </w:rPr>
        <w:t>regimes</w:t>
      </w:r>
      <w:r w:rsidRPr="00190686">
        <w:rPr>
          <w:rFonts w:ascii="Verdana" w:hAnsi="Verdana"/>
          <w:sz w:val="20"/>
        </w:rPr>
        <w:t xml:space="preserve"> próprios de previdência </w:t>
      </w:r>
      <w:proofErr w:type="gramStart"/>
      <w:r w:rsidRPr="00190686">
        <w:rPr>
          <w:rFonts w:ascii="Verdana" w:hAnsi="Verdana"/>
          <w:sz w:val="20"/>
        </w:rPr>
        <w:t>social instituídos</w:t>
      </w:r>
      <w:proofErr w:type="gramEnd"/>
      <w:r w:rsidRPr="00190686">
        <w:rPr>
          <w:rFonts w:ascii="Verdana" w:hAnsi="Verdana"/>
          <w:sz w:val="20"/>
        </w:rPr>
        <w:t xml:space="preserve"> pela União, pelos Estados, pelo Distrito Federal ou por Municípios serão considerados Investidores Profissionais ou Investidores Qualificados apenas se reconhecidos como tais conforme regulamentação específica </w:t>
      </w:r>
      <w:r w:rsidRPr="00190686">
        <w:rPr>
          <w:rFonts w:ascii="Verdana" w:hAnsi="Verdana"/>
          <w:sz w:val="20"/>
          <w:lang w:val="pt-PT"/>
        </w:rPr>
        <w:t>do Ministério da Previdência Social.</w:t>
      </w:r>
    </w:p>
    <w:p w14:paraId="1E31D4FA" w14:textId="77777777" w:rsidR="002D5261" w:rsidRPr="00190686" w:rsidRDefault="002D5261" w:rsidP="002D5261">
      <w:pPr>
        <w:tabs>
          <w:tab w:val="left" w:pos="851"/>
        </w:tabs>
        <w:spacing w:after="0" w:line="300" w:lineRule="exact"/>
        <w:rPr>
          <w:rFonts w:ascii="Verdana" w:hAnsi="Verdana"/>
          <w:sz w:val="20"/>
        </w:rPr>
      </w:pPr>
    </w:p>
    <w:p w14:paraId="78C431F7" w14:textId="77777777" w:rsidR="002D5261" w:rsidRPr="00190686" w:rsidRDefault="002D5261" w:rsidP="002D5261">
      <w:pPr>
        <w:numPr>
          <w:ilvl w:val="2"/>
          <w:numId w:val="5"/>
        </w:numPr>
        <w:tabs>
          <w:tab w:val="left" w:pos="851"/>
        </w:tabs>
        <w:spacing w:after="0" w:line="300" w:lineRule="exact"/>
        <w:ind w:left="0" w:firstLine="0"/>
        <w:rPr>
          <w:rFonts w:ascii="Verdana" w:hAnsi="Verdana"/>
          <w:sz w:val="20"/>
        </w:rPr>
      </w:pPr>
      <w:r w:rsidRPr="00190686">
        <w:rPr>
          <w:rFonts w:ascii="Verdana" w:hAnsi="Verdana"/>
          <w:sz w:val="20"/>
        </w:rPr>
        <w:t>A Emissora compromete-se a não realizar a busca de Investidores Profissionais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19BDC4F2" w14:textId="77777777" w:rsidR="002D5261" w:rsidRPr="00190686" w:rsidRDefault="002D5261" w:rsidP="002D5261">
      <w:pPr>
        <w:tabs>
          <w:tab w:val="left" w:pos="851"/>
        </w:tabs>
        <w:spacing w:after="0" w:line="300" w:lineRule="exact"/>
        <w:rPr>
          <w:rFonts w:ascii="Verdana" w:hAnsi="Verdana"/>
          <w:sz w:val="20"/>
        </w:rPr>
      </w:pPr>
    </w:p>
    <w:p w14:paraId="20394744" w14:textId="77777777" w:rsidR="002D5261" w:rsidRPr="00190686" w:rsidRDefault="002D5261" w:rsidP="002D5261">
      <w:pPr>
        <w:numPr>
          <w:ilvl w:val="2"/>
          <w:numId w:val="5"/>
        </w:numPr>
        <w:tabs>
          <w:tab w:val="left" w:pos="851"/>
        </w:tabs>
        <w:spacing w:after="0" w:line="300" w:lineRule="exact"/>
        <w:ind w:left="0" w:firstLine="0"/>
        <w:rPr>
          <w:rFonts w:ascii="Verdana" w:hAnsi="Verdana"/>
          <w:sz w:val="20"/>
        </w:rPr>
      </w:pPr>
      <w:r w:rsidRPr="00190686">
        <w:rPr>
          <w:rFonts w:ascii="Verdana" w:hAnsi="Verdana"/>
          <w:sz w:val="20"/>
        </w:rPr>
        <w:t>A Emissora obriga-se a: (i) não contatar ou fornecer informações acerca da Emissão a qualquer investidor, exceto se previamente acordado com o Coordenador Líder e (</w:t>
      </w:r>
      <w:proofErr w:type="spellStart"/>
      <w:proofErr w:type="gramStart"/>
      <w:r w:rsidRPr="00190686">
        <w:rPr>
          <w:rFonts w:ascii="Verdana" w:hAnsi="Verdana"/>
          <w:sz w:val="20"/>
        </w:rPr>
        <w:t>ii</w:t>
      </w:r>
      <w:proofErr w:type="spellEnd"/>
      <w:proofErr w:type="gramEnd"/>
      <w:r w:rsidRPr="00190686">
        <w:rPr>
          <w:rFonts w:ascii="Verdana" w:hAnsi="Verdana"/>
          <w:sz w:val="20"/>
        </w:rPr>
        <w:t>) informar ao Coordenador Líder até o Dia Útil imediatamente subsequente a ocorrência de contato que receba de potenciais investidores que venham a manifestar seu interesse na Emissão.</w:t>
      </w:r>
    </w:p>
    <w:p w14:paraId="506FBCE4" w14:textId="77777777" w:rsidR="002D5261" w:rsidRPr="00190686" w:rsidRDefault="002D5261" w:rsidP="002D5261">
      <w:pPr>
        <w:tabs>
          <w:tab w:val="left" w:pos="851"/>
        </w:tabs>
        <w:spacing w:after="0" w:line="300" w:lineRule="exact"/>
        <w:rPr>
          <w:rFonts w:ascii="Verdana" w:hAnsi="Verdana"/>
          <w:sz w:val="20"/>
        </w:rPr>
      </w:pPr>
    </w:p>
    <w:p w14:paraId="69AE51B7" w14:textId="77777777" w:rsidR="002D5261" w:rsidRPr="00355952" w:rsidRDefault="002D5261" w:rsidP="002D5261">
      <w:pPr>
        <w:numPr>
          <w:ilvl w:val="1"/>
          <w:numId w:val="5"/>
        </w:numPr>
        <w:tabs>
          <w:tab w:val="left" w:pos="851"/>
        </w:tabs>
        <w:spacing w:after="0" w:line="300" w:lineRule="exact"/>
        <w:rPr>
          <w:rFonts w:ascii="Verdana" w:hAnsi="Verdana"/>
          <w:b/>
          <w:sz w:val="20"/>
        </w:rPr>
      </w:pPr>
      <w:r w:rsidRPr="00190686">
        <w:rPr>
          <w:rFonts w:ascii="Verdana" w:hAnsi="Verdana"/>
          <w:b/>
          <w:sz w:val="20"/>
        </w:rPr>
        <w:t xml:space="preserve">Banco Liquidante e </w:t>
      </w:r>
      <w:proofErr w:type="spellStart"/>
      <w:r w:rsidRPr="00190686">
        <w:rPr>
          <w:rFonts w:ascii="Verdana" w:hAnsi="Verdana"/>
          <w:b/>
          <w:sz w:val="20"/>
        </w:rPr>
        <w:t>Escriturador</w:t>
      </w:r>
      <w:proofErr w:type="spellEnd"/>
    </w:p>
    <w:p w14:paraId="5F81BFFB" w14:textId="77777777" w:rsidR="002D5261" w:rsidRPr="00355952" w:rsidRDefault="002D5261" w:rsidP="002D5261">
      <w:pPr>
        <w:tabs>
          <w:tab w:val="left" w:pos="851"/>
        </w:tabs>
        <w:spacing w:after="0" w:line="300" w:lineRule="exact"/>
        <w:rPr>
          <w:rFonts w:ascii="Verdana" w:hAnsi="Verdana"/>
          <w:sz w:val="20"/>
        </w:rPr>
      </w:pPr>
    </w:p>
    <w:p w14:paraId="0FAEEC9C" w14:textId="77777777" w:rsidR="002D5261" w:rsidRDefault="002D5261" w:rsidP="002D5261">
      <w:pPr>
        <w:numPr>
          <w:ilvl w:val="2"/>
          <w:numId w:val="5"/>
        </w:numPr>
        <w:tabs>
          <w:tab w:val="left" w:pos="851"/>
        </w:tabs>
        <w:spacing w:after="0" w:line="300" w:lineRule="exact"/>
        <w:ind w:left="0" w:firstLine="0"/>
        <w:rPr>
          <w:rFonts w:ascii="Verdana" w:hAnsi="Verdana"/>
          <w:sz w:val="20"/>
        </w:rPr>
      </w:pPr>
      <w:r w:rsidRPr="00190686">
        <w:rPr>
          <w:rFonts w:ascii="Verdana" w:hAnsi="Verdana"/>
          <w:sz w:val="20"/>
        </w:rPr>
        <w:t xml:space="preserve">O banco liquidante da Emissão será o </w:t>
      </w:r>
      <w:r>
        <w:rPr>
          <w:rFonts w:ascii="Verdana" w:hAnsi="Verdana"/>
          <w:sz w:val="20"/>
        </w:rPr>
        <w:t>Itaú Unibanco S.A.</w:t>
      </w:r>
      <w:r w:rsidRPr="00190686">
        <w:rPr>
          <w:rFonts w:ascii="Verdana" w:hAnsi="Verdana"/>
          <w:sz w:val="20"/>
        </w:rPr>
        <w:t xml:space="preserve">, instituição financeira com sede na Cidade de São Paulo, Estado de São Paulo, na </w:t>
      </w:r>
      <w:r>
        <w:rPr>
          <w:rFonts w:ascii="Verdana" w:hAnsi="Verdana"/>
          <w:sz w:val="20"/>
        </w:rPr>
        <w:t xml:space="preserve">Praça Alfredo Egydio de </w:t>
      </w:r>
      <w:r>
        <w:rPr>
          <w:rFonts w:ascii="Verdana" w:hAnsi="Verdana"/>
          <w:sz w:val="20"/>
        </w:rPr>
        <w:lastRenderedPageBreak/>
        <w:t>Souza Aranha</w:t>
      </w:r>
      <w:r w:rsidRPr="00190686">
        <w:rPr>
          <w:rFonts w:ascii="Verdana" w:hAnsi="Verdana"/>
          <w:sz w:val="20"/>
        </w:rPr>
        <w:t>,</w:t>
      </w:r>
      <w:r>
        <w:rPr>
          <w:rFonts w:ascii="Verdana" w:hAnsi="Verdana"/>
          <w:sz w:val="20"/>
        </w:rPr>
        <w:t xml:space="preserve"> nº 100, </w:t>
      </w:r>
      <w:r w:rsidRPr="00190686">
        <w:rPr>
          <w:rFonts w:ascii="Verdana" w:hAnsi="Verdana"/>
          <w:sz w:val="20"/>
        </w:rPr>
        <w:t xml:space="preserve">inscrita no CNPJ/MF sob o nº </w:t>
      </w:r>
      <w:r>
        <w:rPr>
          <w:rFonts w:ascii="Verdana" w:hAnsi="Verdana"/>
          <w:sz w:val="20"/>
        </w:rPr>
        <w:t>60.701.190/0001-04</w:t>
      </w:r>
      <w:r w:rsidRPr="00190686" w:rsidDel="00D25D04">
        <w:rPr>
          <w:rFonts w:ascii="Verdana" w:hAnsi="Verdana"/>
          <w:sz w:val="20"/>
        </w:rPr>
        <w:t xml:space="preserve"> </w:t>
      </w:r>
      <w:r w:rsidRPr="00190686">
        <w:rPr>
          <w:rFonts w:ascii="Verdana" w:hAnsi="Verdana"/>
          <w:sz w:val="20"/>
        </w:rPr>
        <w:t>(“</w:t>
      </w:r>
      <w:r w:rsidRPr="00190686">
        <w:rPr>
          <w:rFonts w:ascii="Verdana" w:hAnsi="Verdana"/>
          <w:sz w:val="20"/>
          <w:u w:val="single"/>
        </w:rPr>
        <w:t>Banco Liquidante</w:t>
      </w:r>
      <w:r w:rsidRPr="00190686">
        <w:rPr>
          <w:rFonts w:ascii="Verdana" w:hAnsi="Verdana"/>
          <w:sz w:val="20"/>
        </w:rPr>
        <w:t>”, cuja definição inclui qualquer outra instituição que venha a suceder o Banco Liquidante na prestação dos serviços de banco liquidante da Emissão).</w:t>
      </w:r>
    </w:p>
    <w:p w14:paraId="44B7C9C7" w14:textId="77777777" w:rsidR="002D5261" w:rsidRDefault="002D5261" w:rsidP="002D5261">
      <w:pPr>
        <w:tabs>
          <w:tab w:val="left" w:pos="851"/>
        </w:tabs>
        <w:spacing w:after="0" w:line="300" w:lineRule="exact"/>
        <w:rPr>
          <w:rFonts w:ascii="Verdana" w:hAnsi="Verdana"/>
          <w:sz w:val="20"/>
        </w:rPr>
      </w:pPr>
    </w:p>
    <w:p w14:paraId="59C4BE78" w14:textId="77777777" w:rsidR="002D5261" w:rsidRDefault="002D5261" w:rsidP="002D5261">
      <w:pPr>
        <w:numPr>
          <w:ilvl w:val="2"/>
          <w:numId w:val="5"/>
        </w:numPr>
        <w:tabs>
          <w:tab w:val="left" w:pos="851"/>
        </w:tabs>
        <w:spacing w:after="0" w:line="300" w:lineRule="exact"/>
        <w:ind w:left="0" w:firstLine="0"/>
        <w:rPr>
          <w:rFonts w:ascii="Verdana" w:hAnsi="Verdana"/>
          <w:sz w:val="20"/>
        </w:rPr>
      </w:pPr>
      <w:r>
        <w:rPr>
          <w:rFonts w:ascii="Verdana" w:hAnsi="Verdana"/>
          <w:sz w:val="20"/>
        </w:rPr>
        <w:t xml:space="preserve">O </w:t>
      </w:r>
      <w:proofErr w:type="spellStart"/>
      <w:r>
        <w:rPr>
          <w:rFonts w:ascii="Verdana" w:hAnsi="Verdana"/>
          <w:sz w:val="20"/>
        </w:rPr>
        <w:t>escriturador</w:t>
      </w:r>
      <w:proofErr w:type="spellEnd"/>
      <w:r>
        <w:rPr>
          <w:rFonts w:ascii="Verdana" w:hAnsi="Verdana"/>
          <w:sz w:val="20"/>
        </w:rPr>
        <w:t xml:space="preserve"> da Emissão será a Itaú Corretora de Valores S.A., instituição financeira com sede na Cidade de São Paulo, Estado de São Paulo, na Avenida Brigadeiro Faria Lima, nº 3.400, 10º andar, inscrita no CNPJ/MF sob o nº 61.194.353/0001-64 </w:t>
      </w:r>
      <w:r w:rsidRPr="00190686">
        <w:rPr>
          <w:rFonts w:ascii="Verdana" w:hAnsi="Verdana"/>
          <w:sz w:val="20"/>
        </w:rPr>
        <w:t>(“</w:t>
      </w:r>
      <w:proofErr w:type="spellStart"/>
      <w:r>
        <w:rPr>
          <w:rFonts w:ascii="Verdana" w:hAnsi="Verdana"/>
          <w:sz w:val="20"/>
          <w:u w:val="single"/>
        </w:rPr>
        <w:t>Escriturador</w:t>
      </w:r>
      <w:proofErr w:type="spellEnd"/>
      <w:r w:rsidRPr="00190686">
        <w:rPr>
          <w:rFonts w:ascii="Verdana" w:hAnsi="Verdana"/>
          <w:sz w:val="20"/>
        </w:rPr>
        <w:t xml:space="preserve">”, cuja definição inclui qualquer outra instituição que venha a suceder o </w:t>
      </w:r>
      <w:proofErr w:type="spellStart"/>
      <w:r>
        <w:rPr>
          <w:rFonts w:ascii="Verdana" w:hAnsi="Verdana"/>
          <w:sz w:val="20"/>
        </w:rPr>
        <w:t>Escriturador</w:t>
      </w:r>
      <w:proofErr w:type="spellEnd"/>
      <w:r>
        <w:rPr>
          <w:rFonts w:ascii="Verdana" w:hAnsi="Verdana"/>
          <w:sz w:val="20"/>
        </w:rPr>
        <w:t xml:space="preserve"> </w:t>
      </w:r>
      <w:r w:rsidRPr="00190686">
        <w:rPr>
          <w:rFonts w:ascii="Verdana" w:hAnsi="Verdana"/>
          <w:sz w:val="20"/>
        </w:rPr>
        <w:t xml:space="preserve">na prestação dos serviços de </w:t>
      </w:r>
      <w:r>
        <w:rPr>
          <w:rFonts w:ascii="Verdana" w:hAnsi="Verdana"/>
          <w:sz w:val="20"/>
        </w:rPr>
        <w:t xml:space="preserve">escrituração </w:t>
      </w:r>
      <w:r w:rsidRPr="00190686">
        <w:rPr>
          <w:rFonts w:ascii="Verdana" w:hAnsi="Verdana"/>
          <w:sz w:val="20"/>
        </w:rPr>
        <w:t>da Emissão).</w:t>
      </w:r>
    </w:p>
    <w:p w14:paraId="6BCBE000" w14:textId="77777777" w:rsidR="002D5261" w:rsidRPr="00190686" w:rsidRDefault="002D5261" w:rsidP="002D5261">
      <w:pPr>
        <w:tabs>
          <w:tab w:val="left" w:pos="851"/>
        </w:tabs>
        <w:autoSpaceDE w:val="0"/>
        <w:autoSpaceDN w:val="0"/>
        <w:adjustRightInd w:val="0"/>
        <w:spacing w:after="0" w:line="300" w:lineRule="exact"/>
        <w:rPr>
          <w:rFonts w:ascii="Verdana" w:hAnsi="Verdana"/>
          <w:sz w:val="20"/>
        </w:rPr>
      </w:pPr>
    </w:p>
    <w:p w14:paraId="075D5B1C" w14:textId="77777777" w:rsidR="002D5261" w:rsidRPr="00190686" w:rsidRDefault="002D5261" w:rsidP="002D5261">
      <w:pPr>
        <w:tabs>
          <w:tab w:val="left" w:pos="851"/>
        </w:tabs>
        <w:autoSpaceDE w:val="0"/>
        <w:autoSpaceDN w:val="0"/>
        <w:adjustRightInd w:val="0"/>
        <w:spacing w:after="0" w:line="300" w:lineRule="exact"/>
        <w:rPr>
          <w:rFonts w:ascii="Verdana" w:hAnsi="Verdana"/>
          <w:sz w:val="20"/>
        </w:rPr>
      </w:pPr>
    </w:p>
    <w:bookmarkEnd w:id="4"/>
    <w:p w14:paraId="237D056F" w14:textId="77777777" w:rsidR="002D5261" w:rsidRPr="00190686" w:rsidRDefault="002D5261" w:rsidP="002D5261">
      <w:pPr>
        <w:keepNext/>
        <w:tabs>
          <w:tab w:val="left" w:pos="851"/>
        </w:tabs>
        <w:spacing w:after="0" w:line="300" w:lineRule="exact"/>
        <w:jc w:val="center"/>
        <w:rPr>
          <w:rFonts w:ascii="Verdana" w:hAnsi="Verdana"/>
          <w:b/>
          <w:smallCaps/>
          <w:sz w:val="20"/>
        </w:rPr>
      </w:pPr>
      <w:r w:rsidRPr="00190686">
        <w:rPr>
          <w:rFonts w:ascii="Verdana" w:hAnsi="Verdana"/>
          <w:b/>
          <w:smallCaps/>
          <w:sz w:val="20"/>
        </w:rPr>
        <w:t>Cláusula IV</w:t>
      </w:r>
    </w:p>
    <w:p w14:paraId="0E463903" w14:textId="77777777" w:rsidR="002D5261" w:rsidRPr="00190686" w:rsidRDefault="002D5261" w:rsidP="002D5261">
      <w:pPr>
        <w:keepNext/>
        <w:tabs>
          <w:tab w:val="left" w:pos="851"/>
        </w:tabs>
        <w:spacing w:after="0" w:line="300" w:lineRule="exact"/>
        <w:jc w:val="center"/>
        <w:rPr>
          <w:rFonts w:ascii="Verdana" w:hAnsi="Verdana"/>
          <w:b/>
          <w:smallCaps/>
          <w:sz w:val="20"/>
        </w:rPr>
      </w:pPr>
      <w:r w:rsidRPr="00190686">
        <w:rPr>
          <w:rFonts w:ascii="Verdana" w:hAnsi="Verdana"/>
          <w:b/>
          <w:smallCaps/>
          <w:sz w:val="20"/>
        </w:rPr>
        <w:t>Características da Oferta</w:t>
      </w:r>
    </w:p>
    <w:p w14:paraId="3705D8B8" w14:textId="77777777" w:rsidR="002D5261" w:rsidRPr="00190686" w:rsidRDefault="002D5261" w:rsidP="002D5261">
      <w:pPr>
        <w:tabs>
          <w:tab w:val="left" w:pos="851"/>
        </w:tabs>
        <w:spacing w:after="0" w:line="300" w:lineRule="exact"/>
        <w:rPr>
          <w:rFonts w:ascii="Verdana" w:hAnsi="Verdana"/>
          <w:sz w:val="20"/>
        </w:rPr>
      </w:pPr>
    </w:p>
    <w:p w14:paraId="7657E042" w14:textId="77777777" w:rsidR="002D5261" w:rsidRPr="00190686" w:rsidRDefault="002D5261" w:rsidP="002D5261">
      <w:pPr>
        <w:numPr>
          <w:ilvl w:val="0"/>
          <w:numId w:val="19"/>
        </w:numPr>
        <w:tabs>
          <w:tab w:val="left" w:pos="851"/>
        </w:tabs>
        <w:spacing w:after="0" w:line="300" w:lineRule="exact"/>
        <w:ind w:left="0" w:firstLine="0"/>
        <w:rPr>
          <w:rFonts w:ascii="Verdana" w:hAnsi="Verdana"/>
          <w:b/>
          <w:sz w:val="20"/>
        </w:rPr>
      </w:pPr>
      <w:r w:rsidRPr="00190686">
        <w:rPr>
          <w:rFonts w:ascii="Verdana" w:hAnsi="Verdana"/>
          <w:b/>
          <w:sz w:val="20"/>
        </w:rPr>
        <w:t>Características Básicas</w:t>
      </w:r>
    </w:p>
    <w:p w14:paraId="244346E1" w14:textId="77777777" w:rsidR="002D5261" w:rsidRPr="00190686" w:rsidRDefault="002D5261" w:rsidP="002D5261">
      <w:pPr>
        <w:tabs>
          <w:tab w:val="left" w:pos="851"/>
        </w:tabs>
        <w:spacing w:after="0" w:line="300" w:lineRule="exact"/>
        <w:rPr>
          <w:rFonts w:ascii="Verdana" w:hAnsi="Verdana"/>
          <w:sz w:val="20"/>
        </w:rPr>
      </w:pPr>
    </w:p>
    <w:p w14:paraId="4402E5CD" w14:textId="77777777" w:rsidR="002D5261" w:rsidRPr="00190686" w:rsidRDefault="002D5261" w:rsidP="002D5261">
      <w:pPr>
        <w:numPr>
          <w:ilvl w:val="0"/>
          <w:numId w:val="20"/>
        </w:numPr>
        <w:tabs>
          <w:tab w:val="left" w:pos="851"/>
        </w:tabs>
        <w:spacing w:after="0" w:line="300" w:lineRule="exact"/>
        <w:ind w:left="0" w:firstLine="0"/>
        <w:rPr>
          <w:rFonts w:ascii="Verdana" w:hAnsi="Verdana"/>
          <w:sz w:val="20"/>
        </w:rPr>
      </w:pPr>
      <w:bookmarkStart w:id="5" w:name="_Ref264653613"/>
      <w:r w:rsidRPr="00190686">
        <w:rPr>
          <w:rFonts w:ascii="Verdana" w:hAnsi="Verdana"/>
          <w:sz w:val="20"/>
          <w:u w:val="single"/>
        </w:rPr>
        <w:t>Valor Nominal Unitário</w:t>
      </w:r>
      <w:r w:rsidRPr="00190686">
        <w:rPr>
          <w:rFonts w:ascii="Verdana" w:hAnsi="Verdana"/>
          <w:sz w:val="20"/>
        </w:rPr>
        <w:t>. As Debêntures terão valor nominal unitário de R$1.000.000,00 (um milhão de reais), na Data de Emissão (“</w:t>
      </w:r>
      <w:r w:rsidRPr="00190686">
        <w:rPr>
          <w:rFonts w:ascii="Verdana" w:hAnsi="Verdana"/>
          <w:sz w:val="20"/>
          <w:u w:val="single"/>
        </w:rPr>
        <w:t>Valor Nominal</w:t>
      </w:r>
      <w:r w:rsidRPr="00190686">
        <w:rPr>
          <w:rFonts w:ascii="Verdana" w:hAnsi="Verdana"/>
          <w:sz w:val="20"/>
        </w:rPr>
        <w:t>”)</w:t>
      </w:r>
      <w:bookmarkEnd w:id="5"/>
      <w:r w:rsidRPr="00190686">
        <w:rPr>
          <w:rFonts w:ascii="Verdana" w:hAnsi="Verdana"/>
          <w:sz w:val="20"/>
        </w:rPr>
        <w:t>.</w:t>
      </w:r>
    </w:p>
    <w:p w14:paraId="3E36CEED" w14:textId="77777777" w:rsidR="002D5261" w:rsidRPr="00190686" w:rsidRDefault="002D5261" w:rsidP="002D5261">
      <w:pPr>
        <w:tabs>
          <w:tab w:val="left" w:pos="851"/>
        </w:tabs>
        <w:spacing w:after="0" w:line="300" w:lineRule="exact"/>
        <w:rPr>
          <w:rFonts w:ascii="Verdana" w:hAnsi="Verdana"/>
          <w:sz w:val="20"/>
        </w:rPr>
      </w:pPr>
    </w:p>
    <w:p w14:paraId="57AD31B0" w14:textId="77777777" w:rsidR="002D5261" w:rsidRPr="00190686" w:rsidRDefault="002D5261" w:rsidP="002D5261">
      <w:pPr>
        <w:numPr>
          <w:ilvl w:val="0"/>
          <w:numId w:val="20"/>
        </w:numPr>
        <w:tabs>
          <w:tab w:val="left" w:pos="851"/>
        </w:tabs>
        <w:spacing w:after="0" w:line="300" w:lineRule="exact"/>
        <w:ind w:left="0" w:firstLine="0"/>
        <w:rPr>
          <w:rFonts w:ascii="Verdana" w:hAnsi="Verdana"/>
          <w:sz w:val="20"/>
        </w:rPr>
      </w:pPr>
      <w:bookmarkStart w:id="6" w:name="_Ref130282609"/>
      <w:bookmarkStart w:id="7" w:name="_Ref191891558"/>
      <w:bookmarkStart w:id="8" w:name="_Ref310951543"/>
      <w:r w:rsidRPr="00190686">
        <w:rPr>
          <w:rFonts w:ascii="Verdana" w:hAnsi="Verdana"/>
          <w:sz w:val="20"/>
          <w:u w:val="single"/>
        </w:rPr>
        <w:t>Quantidade de Debêntures</w:t>
      </w:r>
      <w:r w:rsidRPr="00190686">
        <w:rPr>
          <w:rFonts w:ascii="Verdana" w:hAnsi="Verdana"/>
          <w:sz w:val="20"/>
        </w:rPr>
        <w:t>. Serão emitidas 200 (duzentas) Debêntures, sendo 130 (cento e trinta) Debêntures da primeira série (“</w:t>
      </w:r>
      <w:r w:rsidRPr="00E96AD7">
        <w:rPr>
          <w:rFonts w:ascii="Verdana" w:hAnsi="Verdana"/>
          <w:sz w:val="20"/>
          <w:u w:val="single"/>
        </w:rPr>
        <w:t>Debêntures da Primeira Série</w:t>
      </w:r>
      <w:r w:rsidRPr="00190686">
        <w:rPr>
          <w:rFonts w:ascii="Verdana" w:hAnsi="Verdana"/>
          <w:sz w:val="20"/>
        </w:rPr>
        <w:t>”) e 70 (setenta) Debêntures da segunda série (“</w:t>
      </w:r>
      <w:r w:rsidRPr="00E96AD7">
        <w:rPr>
          <w:rFonts w:ascii="Verdana" w:hAnsi="Verdana"/>
          <w:sz w:val="20"/>
          <w:u w:val="single"/>
        </w:rPr>
        <w:t>Debêntures da Segunda Série</w:t>
      </w:r>
      <w:r w:rsidRPr="00190686">
        <w:rPr>
          <w:rFonts w:ascii="Verdana" w:hAnsi="Verdana"/>
          <w:sz w:val="20"/>
        </w:rPr>
        <w:t xml:space="preserve">”). </w:t>
      </w:r>
      <w:bookmarkEnd w:id="6"/>
      <w:bookmarkEnd w:id="7"/>
      <w:bookmarkEnd w:id="8"/>
    </w:p>
    <w:p w14:paraId="2A5813BE" w14:textId="77777777" w:rsidR="002D5261" w:rsidRPr="00190686" w:rsidRDefault="002D5261" w:rsidP="002D5261">
      <w:pPr>
        <w:tabs>
          <w:tab w:val="left" w:pos="851"/>
        </w:tabs>
        <w:spacing w:after="0" w:line="300" w:lineRule="exact"/>
        <w:rPr>
          <w:rFonts w:ascii="Verdana" w:hAnsi="Verdana"/>
          <w:sz w:val="20"/>
        </w:rPr>
      </w:pPr>
    </w:p>
    <w:p w14:paraId="0FFA1B98" w14:textId="77777777" w:rsidR="002D5261" w:rsidRPr="00190686" w:rsidRDefault="002D5261" w:rsidP="002D5261">
      <w:pPr>
        <w:numPr>
          <w:ilvl w:val="0"/>
          <w:numId w:val="20"/>
        </w:numPr>
        <w:tabs>
          <w:tab w:val="left" w:pos="851"/>
        </w:tabs>
        <w:spacing w:after="0" w:line="300" w:lineRule="exact"/>
        <w:ind w:left="0" w:firstLine="0"/>
        <w:rPr>
          <w:rFonts w:ascii="Verdana" w:hAnsi="Verdana"/>
          <w:sz w:val="20"/>
        </w:rPr>
      </w:pPr>
      <w:bookmarkStart w:id="9" w:name="_Ref137548372"/>
      <w:bookmarkStart w:id="10" w:name="_Ref168458019"/>
      <w:bookmarkStart w:id="11" w:name="_Ref191891571"/>
      <w:bookmarkStart w:id="12" w:name="_Ref130363099"/>
      <w:r w:rsidRPr="00190686">
        <w:rPr>
          <w:rFonts w:ascii="Verdana" w:hAnsi="Verdana"/>
          <w:sz w:val="20"/>
          <w:u w:val="single"/>
        </w:rPr>
        <w:t>Número de Séries</w:t>
      </w:r>
      <w:r w:rsidRPr="00190686">
        <w:rPr>
          <w:rFonts w:ascii="Verdana" w:hAnsi="Verdana"/>
          <w:sz w:val="20"/>
        </w:rPr>
        <w:t xml:space="preserve">. </w:t>
      </w:r>
      <w:bookmarkEnd w:id="9"/>
      <w:r w:rsidRPr="00190686">
        <w:rPr>
          <w:rFonts w:ascii="Verdana" w:hAnsi="Verdana"/>
          <w:sz w:val="20"/>
        </w:rPr>
        <w:t xml:space="preserve">A Emissão será realizada em </w:t>
      </w:r>
      <w:proofErr w:type="gramStart"/>
      <w:r w:rsidRPr="00190686">
        <w:rPr>
          <w:rFonts w:ascii="Verdana" w:hAnsi="Verdana"/>
          <w:sz w:val="20"/>
        </w:rPr>
        <w:t>2</w:t>
      </w:r>
      <w:proofErr w:type="gramEnd"/>
      <w:r w:rsidRPr="00190686">
        <w:rPr>
          <w:rFonts w:ascii="Verdana" w:hAnsi="Verdana"/>
          <w:sz w:val="20"/>
        </w:rPr>
        <w:t xml:space="preserve"> (duas) séries, observado que o somatório das Debêntures da Primeira Série e das Debêntures da Segunda Série não poderá exceder a quantidade prevista na Cláusula 4.1.2 acima.</w:t>
      </w:r>
      <w:bookmarkEnd w:id="10"/>
      <w:bookmarkEnd w:id="11"/>
    </w:p>
    <w:p w14:paraId="09015935" w14:textId="77777777" w:rsidR="002D5261" w:rsidRPr="00190686" w:rsidRDefault="002D5261" w:rsidP="002D5261">
      <w:pPr>
        <w:pStyle w:val="GradeMdia1-nfase21"/>
        <w:tabs>
          <w:tab w:val="left" w:pos="851"/>
        </w:tabs>
        <w:spacing w:after="0" w:line="300" w:lineRule="exact"/>
        <w:rPr>
          <w:rFonts w:ascii="Verdana" w:hAnsi="Verdana"/>
          <w:sz w:val="20"/>
        </w:rPr>
      </w:pPr>
    </w:p>
    <w:p w14:paraId="13C80892" w14:textId="77777777" w:rsidR="002D5261" w:rsidRPr="00190686" w:rsidRDefault="002D5261" w:rsidP="002D5261">
      <w:pPr>
        <w:numPr>
          <w:ilvl w:val="3"/>
          <w:numId w:val="36"/>
        </w:numPr>
        <w:tabs>
          <w:tab w:val="left" w:pos="851"/>
        </w:tabs>
        <w:spacing w:after="0" w:line="300" w:lineRule="exact"/>
        <w:ind w:left="851" w:hanging="851"/>
        <w:rPr>
          <w:rFonts w:ascii="Verdana" w:hAnsi="Verdana"/>
          <w:sz w:val="20"/>
        </w:rPr>
      </w:pPr>
      <w:r w:rsidRPr="00190686">
        <w:rPr>
          <w:rFonts w:ascii="Verdana" w:hAnsi="Verdana"/>
          <w:sz w:val="20"/>
        </w:rPr>
        <w:t>Ressalvadas as referências expressas às Debêntures da Primeira Série ou às Debêntures da Segunda Série, todas as referências às “</w:t>
      </w:r>
      <w:r w:rsidRPr="00190686">
        <w:rPr>
          <w:rFonts w:ascii="Verdana" w:hAnsi="Verdana"/>
          <w:sz w:val="20"/>
          <w:u w:val="single"/>
        </w:rPr>
        <w:t>Debêntures</w:t>
      </w:r>
      <w:r w:rsidRPr="00190686">
        <w:rPr>
          <w:rFonts w:ascii="Verdana" w:hAnsi="Verdana"/>
          <w:sz w:val="20"/>
        </w:rPr>
        <w:t>” devem ser entendidas como referências às Debêntures da Primeira Série e às Debêntures da Segunda Série, em conjunto.</w:t>
      </w:r>
    </w:p>
    <w:p w14:paraId="7BFD72FF" w14:textId="77777777" w:rsidR="002D5261" w:rsidRPr="00190686" w:rsidRDefault="002D5261" w:rsidP="002D5261">
      <w:pPr>
        <w:tabs>
          <w:tab w:val="left" w:pos="851"/>
          <w:tab w:val="left" w:pos="1560"/>
        </w:tabs>
        <w:spacing w:after="0" w:line="300" w:lineRule="exact"/>
        <w:rPr>
          <w:rFonts w:ascii="Verdana" w:hAnsi="Verdana"/>
          <w:sz w:val="20"/>
        </w:rPr>
      </w:pPr>
    </w:p>
    <w:bookmarkEnd w:id="12"/>
    <w:p w14:paraId="4531960D" w14:textId="77777777" w:rsidR="002D5261" w:rsidRPr="00190686" w:rsidRDefault="002D5261" w:rsidP="002D5261">
      <w:pPr>
        <w:numPr>
          <w:ilvl w:val="0"/>
          <w:numId w:val="20"/>
        </w:numPr>
        <w:tabs>
          <w:tab w:val="left" w:pos="851"/>
        </w:tabs>
        <w:spacing w:after="0" w:line="300" w:lineRule="exact"/>
        <w:ind w:left="0" w:firstLine="0"/>
        <w:rPr>
          <w:rFonts w:ascii="Verdana" w:hAnsi="Verdana"/>
          <w:sz w:val="20"/>
        </w:rPr>
      </w:pPr>
      <w:r w:rsidRPr="00190686">
        <w:rPr>
          <w:rFonts w:ascii="Verdana" w:hAnsi="Verdana"/>
          <w:sz w:val="20"/>
          <w:u w:val="single"/>
        </w:rPr>
        <w:t>Tipo e Forma</w:t>
      </w:r>
      <w:r w:rsidRPr="00190686">
        <w:rPr>
          <w:rFonts w:ascii="Verdana" w:hAnsi="Verdana"/>
          <w:sz w:val="20"/>
        </w:rPr>
        <w:t>. As Debêntures serão emitidas sob a forma nominativa, escritural, sem emissão de certificados.</w:t>
      </w:r>
    </w:p>
    <w:p w14:paraId="1A563C7A" w14:textId="77777777" w:rsidR="002D5261" w:rsidRPr="00190686" w:rsidRDefault="002D5261" w:rsidP="002D5261">
      <w:pPr>
        <w:tabs>
          <w:tab w:val="left" w:pos="851"/>
        </w:tabs>
        <w:spacing w:after="0" w:line="300" w:lineRule="exact"/>
        <w:rPr>
          <w:rFonts w:ascii="Verdana" w:hAnsi="Verdana"/>
          <w:sz w:val="20"/>
        </w:rPr>
      </w:pPr>
    </w:p>
    <w:p w14:paraId="795AE04B" w14:textId="276BCC16" w:rsidR="002D5261" w:rsidRPr="00190686" w:rsidRDefault="002D5261" w:rsidP="002D5261">
      <w:pPr>
        <w:numPr>
          <w:ilvl w:val="0"/>
          <w:numId w:val="20"/>
        </w:numPr>
        <w:tabs>
          <w:tab w:val="left" w:pos="851"/>
        </w:tabs>
        <w:spacing w:after="0" w:line="300" w:lineRule="exact"/>
        <w:ind w:left="0" w:firstLine="0"/>
        <w:rPr>
          <w:rFonts w:ascii="Verdana" w:hAnsi="Verdana"/>
          <w:sz w:val="20"/>
        </w:rPr>
      </w:pPr>
      <w:r w:rsidRPr="00190686">
        <w:rPr>
          <w:rFonts w:ascii="Verdana" w:hAnsi="Verdana"/>
          <w:sz w:val="20"/>
          <w:u w:val="single"/>
        </w:rPr>
        <w:t>Comprovação de Titularidade das Debêntures</w:t>
      </w:r>
      <w:r w:rsidRPr="00190686">
        <w:rPr>
          <w:rFonts w:ascii="Verdana" w:hAnsi="Verdana"/>
          <w:sz w:val="20"/>
        </w:rPr>
        <w:t xml:space="preserve">. Para todos os fins de direito, a titularidade das Debêntures será comprovada pelo extrato emitido pelo </w:t>
      </w:r>
      <w:proofErr w:type="spellStart"/>
      <w:r w:rsidRPr="00190686">
        <w:rPr>
          <w:rFonts w:ascii="Verdana" w:hAnsi="Verdana"/>
          <w:sz w:val="20"/>
        </w:rPr>
        <w:t>Escriturador</w:t>
      </w:r>
      <w:proofErr w:type="spellEnd"/>
      <w:r w:rsidRPr="00190686">
        <w:rPr>
          <w:rFonts w:ascii="Verdana" w:hAnsi="Verdana"/>
          <w:sz w:val="20"/>
        </w:rPr>
        <w:t xml:space="preserve">. Adicionalmente, com relação às Debêntures que estiverem custodiadas </w:t>
      </w:r>
      <w:r w:rsidRPr="00190686">
        <w:rPr>
          <w:rFonts w:ascii="Verdana" w:hAnsi="Verdana"/>
          <w:iCs/>
          <w:sz w:val="20"/>
        </w:rPr>
        <w:t xml:space="preserve">eletronicamente </w:t>
      </w:r>
      <w:r w:rsidRPr="00190686">
        <w:rPr>
          <w:rFonts w:ascii="Verdana" w:hAnsi="Verdana"/>
          <w:sz w:val="20"/>
        </w:rPr>
        <w:t xml:space="preserve">na CETIP, será expedido por </w:t>
      </w:r>
      <w:proofErr w:type="gramStart"/>
      <w:r w:rsidRPr="00190686">
        <w:rPr>
          <w:rFonts w:ascii="Verdana" w:hAnsi="Verdana"/>
          <w:sz w:val="20"/>
        </w:rPr>
        <w:t>esta extrato</w:t>
      </w:r>
      <w:proofErr w:type="gramEnd"/>
      <w:r w:rsidRPr="00190686">
        <w:rPr>
          <w:rFonts w:ascii="Verdana" w:hAnsi="Verdana"/>
          <w:sz w:val="20"/>
        </w:rPr>
        <w:t xml:space="preserve"> em nome do Debenturista, que servirá de comprovante de titularidade de tais Debêntures.</w:t>
      </w:r>
    </w:p>
    <w:p w14:paraId="2E5BA47E" w14:textId="77777777" w:rsidR="002D5261" w:rsidRPr="00190686" w:rsidRDefault="002D5261" w:rsidP="002D5261">
      <w:pPr>
        <w:pStyle w:val="GradeMdia1-nfase21"/>
        <w:tabs>
          <w:tab w:val="left" w:pos="851"/>
        </w:tabs>
        <w:spacing w:after="0" w:line="300" w:lineRule="exact"/>
        <w:rPr>
          <w:rFonts w:ascii="Verdana" w:hAnsi="Verdana"/>
          <w:sz w:val="20"/>
        </w:rPr>
      </w:pPr>
    </w:p>
    <w:p w14:paraId="0CC24A5F" w14:textId="77777777" w:rsidR="002D5261" w:rsidRPr="00190686" w:rsidRDefault="002D5261" w:rsidP="002D5261">
      <w:pPr>
        <w:numPr>
          <w:ilvl w:val="0"/>
          <w:numId w:val="20"/>
        </w:numPr>
        <w:tabs>
          <w:tab w:val="left" w:pos="851"/>
        </w:tabs>
        <w:spacing w:after="0" w:line="300" w:lineRule="exact"/>
        <w:ind w:left="0" w:firstLine="0"/>
        <w:rPr>
          <w:rFonts w:ascii="Verdana" w:hAnsi="Verdana"/>
          <w:sz w:val="20"/>
        </w:rPr>
      </w:pPr>
      <w:r w:rsidRPr="00190686">
        <w:rPr>
          <w:rFonts w:ascii="Verdana" w:hAnsi="Verdana"/>
          <w:sz w:val="20"/>
          <w:u w:val="single"/>
        </w:rPr>
        <w:lastRenderedPageBreak/>
        <w:t>Espécie</w:t>
      </w:r>
      <w:r w:rsidRPr="00190686">
        <w:rPr>
          <w:rFonts w:ascii="Verdana" w:hAnsi="Verdana"/>
          <w:sz w:val="20"/>
        </w:rPr>
        <w:t xml:space="preserve">. As Debêntures serão da espécie quirografária, nos termos do artigo 58, </w:t>
      </w:r>
      <w:r w:rsidRPr="00190686">
        <w:rPr>
          <w:rFonts w:ascii="Verdana" w:hAnsi="Verdana"/>
          <w:i/>
          <w:sz w:val="20"/>
        </w:rPr>
        <w:t>caput</w:t>
      </w:r>
      <w:r w:rsidRPr="00190686">
        <w:rPr>
          <w:rFonts w:ascii="Verdana" w:hAnsi="Verdana"/>
          <w:sz w:val="20"/>
        </w:rPr>
        <w:t>, da Lei das Sociedades por Ações, não contando com garantia real ou fidejussória, ou qualquer segregação de bens da Emissora como garantia aos Debenturistas em caso de necessidade de execução judicial ou extrajudicial das obrigações da Emissora decorrentes das Debêntures e desta Escritura de Emissão, e não conferindo qualquer privilégio, especial ou geral, aos Debenturistas.</w:t>
      </w:r>
    </w:p>
    <w:p w14:paraId="14ABD4C3" w14:textId="77777777" w:rsidR="002D5261" w:rsidRPr="00190686" w:rsidRDefault="002D5261" w:rsidP="002D5261">
      <w:pPr>
        <w:pStyle w:val="GradeMdia1-nfase21"/>
        <w:tabs>
          <w:tab w:val="left" w:pos="851"/>
        </w:tabs>
        <w:spacing w:after="0" w:line="300" w:lineRule="exact"/>
        <w:rPr>
          <w:rFonts w:ascii="Verdana" w:hAnsi="Verdana"/>
          <w:sz w:val="20"/>
        </w:rPr>
      </w:pPr>
    </w:p>
    <w:p w14:paraId="1F0E03CD" w14:textId="77777777" w:rsidR="002D5261" w:rsidRPr="00190686" w:rsidRDefault="002D5261" w:rsidP="002D5261">
      <w:pPr>
        <w:numPr>
          <w:ilvl w:val="0"/>
          <w:numId w:val="20"/>
        </w:numPr>
        <w:tabs>
          <w:tab w:val="left" w:pos="851"/>
        </w:tabs>
        <w:spacing w:after="0" w:line="300" w:lineRule="exact"/>
        <w:ind w:left="0" w:firstLine="0"/>
        <w:rPr>
          <w:rFonts w:ascii="Verdana" w:hAnsi="Verdana"/>
          <w:sz w:val="20"/>
        </w:rPr>
      </w:pPr>
      <w:r w:rsidRPr="00190686">
        <w:rPr>
          <w:rFonts w:ascii="Verdana" w:hAnsi="Verdana"/>
          <w:sz w:val="20"/>
          <w:u w:val="single"/>
        </w:rPr>
        <w:t>Conversibilidade</w:t>
      </w:r>
      <w:r w:rsidRPr="00190686">
        <w:rPr>
          <w:rFonts w:ascii="Verdana" w:hAnsi="Verdana"/>
          <w:sz w:val="20"/>
        </w:rPr>
        <w:t>. As Debêntures serão simples, não serão conversíveis em ações de emissão da Emissora.</w:t>
      </w:r>
    </w:p>
    <w:p w14:paraId="77B48378" w14:textId="77777777" w:rsidR="002D5261" w:rsidRPr="00190686" w:rsidRDefault="002D5261" w:rsidP="002D5261">
      <w:pPr>
        <w:tabs>
          <w:tab w:val="left" w:pos="851"/>
        </w:tabs>
        <w:spacing w:after="0" w:line="300" w:lineRule="exact"/>
        <w:rPr>
          <w:rFonts w:ascii="Verdana" w:hAnsi="Verdana"/>
          <w:sz w:val="20"/>
        </w:rPr>
      </w:pPr>
    </w:p>
    <w:p w14:paraId="6324950B" w14:textId="77777777" w:rsidR="002D5261" w:rsidRPr="00190686" w:rsidRDefault="002D5261" w:rsidP="002D5261">
      <w:pPr>
        <w:numPr>
          <w:ilvl w:val="0"/>
          <w:numId w:val="20"/>
        </w:numPr>
        <w:tabs>
          <w:tab w:val="left" w:pos="851"/>
        </w:tabs>
        <w:spacing w:after="0" w:line="300" w:lineRule="exact"/>
        <w:ind w:left="0" w:firstLine="0"/>
        <w:rPr>
          <w:rFonts w:ascii="Verdana" w:hAnsi="Verdana"/>
          <w:sz w:val="20"/>
        </w:rPr>
      </w:pPr>
      <w:bookmarkStart w:id="13" w:name="_Ref264653840"/>
      <w:bookmarkStart w:id="14" w:name="_Ref278297550"/>
      <w:bookmarkStart w:id="15" w:name="_Ref279826913"/>
      <w:r w:rsidRPr="00190686">
        <w:rPr>
          <w:rFonts w:ascii="Verdana" w:hAnsi="Verdana"/>
          <w:sz w:val="20"/>
          <w:u w:val="single"/>
        </w:rPr>
        <w:t>Data de Emissão</w:t>
      </w:r>
      <w:r w:rsidRPr="00190686">
        <w:rPr>
          <w:rFonts w:ascii="Verdana" w:hAnsi="Verdana"/>
          <w:sz w:val="20"/>
        </w:rPr>
        <w:t xml:space="preserve">. Para todos os efeitos legais, a data de emissão das Debêntures será </w:t>
      </w:r>
      <w:r>
        <w:rPr>
          <w:rFonts w:ascii="Verdana" w:hAnsi="Verdana"/>
          <w:sz w:val="20"/>
        </w:rPr>
        <w:t xml:space="preserve">30 </w:t>
      </w:r>
      <w:r w:rsidRPr="00190686">
        <w:rPr>
          <w:rFonts w:ascii="Verdana" w:hAnsi="Verdana"/>
          <w:sz w:val="20"/>
        </w:rPr>
        <w:t>de novembro de 2016 (“</w:t>
      </w:r>
      <w:r w:rsidRPr="00190686">
        <w:rPr>
          <w:rFonts w:ascii="Verdana" w:hAnsi="Verdana"/>
          <w:sz w:val="20"/>
          <w:u w:val="single"/>
        </w:rPr>
        <w:t>Data de Emissão</w:t>
      </w:r>
      <w:r w:rsidRPr="00190686">
        <w:rPr>
          <w:rFonts w:ascii="Verdana" w:hAnsi="Verdana"/>
          <w:sz w:val="20"/>
        </w:rPr>
        <w:t>”).</w:t>
      </w:r>
      <w:bookmarkEnd w:id="13"/>
      <w:bookmarkEnd w:id="14"/>
      <w:bookmarkEnd w:id="15"/>
      <w:r w:rsidRPr="00190686">
        <w:rPr>
          <w:rFonts w:ascii="Verdana" w:hAnsi="Verdana"/>
          <w:sz w:val="20"/>
        </w:rPr>
        <w:t xml:space="preserve"> </w:t>
      </w:r>
    </w:p>
    <w:p w14:paraId="0D76A9FB" w14:textId="77777777" w:rsidR="002D5261" w:rsidRPr="00190686" w:rsidRDefault="002D5261" w:rsidP="002D5261">
      <w:pPr>
        <w:tabs>
          <w:tab w:val="left" w:pos="851"/>
        </w:tabs>
        <w:spacing w:after="0" w:line="300" w:lineRule="exact"/>
        <w:rPr>
          <w:rFonts w:ascii="Verdana" w:hAnsi="Verdana"/>
          <w:sz w:val="20"/>
        </w:rPr>
      </w:pPr>
    </w:p>
    <w:p w14:paraId="1C63B3A4" w14:textId="77777777" w:rsidR="002D5261" w:rsidRPr="00190686" w:rsidRDefault="002D5261" w:rsidP="002D5261">
      <w:pPr>
        <w:numPr>
          <w:ilvl w:val="0"/>
          <w:numId w:val="20"/>
        </w:numPr>
        <w:tabs>
          <w:tab w:val="left" w:pos="851"/>
        </w:tabs>
        <w:spacing w:after="0" w:line="300" w:lineRule="exact"/>
        <w:ind w:left="0" w:firstLine="0"/>
        <w:rPr>
          <w:rFonts w:ascii="Verdana" w:hAnsi="Verdana"/>
          <w:sz w:val="20"/>
        </w:rPr>
      </w:pPr>
      <w:bookmarkStart w:id="16" w:name="_Ref272250319"/>
      <w:r w:rsidRPr="00190686">
        <w:rPr>
          <w:rFonts w:ascii="Verdana" w:hAnsi="Verdana"/>
          <w:sz w:val="20"/>
          <w:u w:val="single"/>
        </w:rPr>
        <w:t>Prazo e Data de Vencimento.</w:t>
      </w:r>
      <w:r w:rsidRPr="00190686">
        <w:rPr>
          <w:rFonts w:ascii="Verdana" w:hAnsi="Verdana"/>
          <w:sz w:val="20"/>
        </w:rPr>
        <w:t xml:space="preserve"> Ressalvadas as hipóteses de resgate antecipado das Debêntures e/ou de vencimento antecipado das obrigações decorrentes das Debêntures, nos termos desta Escritura de Emissão: (a) </w:t>
      </w:r>
      <w:bookmarkEnd w:id="16"/>
      <w:r w:rsidRPr="00190686">
        <w:rPr>
          <w:rFonts w:ascii="Verdana" w:hAnsi="Verdana"/>
          <w:sz w:val="20"/>
        </w:rPr>
        <w:t xml:space="preserve">as Debêntures da Primeira Série terão prazo de vencimento de </w:t>
      </w:r>
      <w:proofErr w:type="gramStart"/>
      <w:r w:rsidRPr="00190686">
        <w:rPr>
          <w:rFonts w:ascii="Verdana" w:hAnsi="Verdana"/>
          <w:sz w:val="20"/>
        </w:rPr>
        <w:t>3</w:t>
      </w:r>
      <w:proofErr w:type="gramEnd"/>
      <w:r w:rsidRPr="00190686">
        <w:rPr>
          <w:rFonts w:ascii="Verdana" w:hAnsi="Verdana"/>
          <w:sz w:val="20"/>
        </w:rPr>
        <w:t xml:space="preserve"> (três) anos a contar da Data de Emissão, vencendo-se, portanto, em </w:t>
      </w:r>
      <w:r>
        <w:rPr>
          <w:rFonts w:ascii="Verdana" w:hAnsi="Verdana"/>
          <w:sz w:val="20"/>
        </w:rPr>
        <w:t xml:space="preserve">30 </w:t>
      </w:r>
      <w:r w:rsidRPr="00190686">
        <w:rPr>
          <w:rFonts w:ascii="Verdana" w:hAnsi="Verdana"/>
          <w:sz w:val="20"/>
        </w:rPr>
        <w:t>de novembro de 2019 (“</w:t>
      </w:r>
      <w:r w:rsidRPr="00190686">
        <w:rPr>
          <w:rFonts w:ascii="Verdana" w:hAnsi="Verdana"/>
          <w:sz w:val="20"/>
          <w:u w:val="single"/>
        </w:rPr>
        <w:t>Data de Vencimento da Primeira Série</w:t>
      </w:r>
      <w:r w:rsidRPr="00190686">
        <w:rPr>
          <w:rFonts w:ascii="Verdana" w:hAnsi="Verdana"/>
          <w:sz w:val="20"/>
        </w:rPr>
        <w:t xml:space="preserve">”); e (b) as Debêntures da Segunda Série terão prazo de vencimento de 5 (cinco) anos a contar da Data de Emissão, vencendo-se, portanto, em </w:t>
      </w:r>
      <w:r>
        <w:rPr>
          <w:rFonts w:ascii="Verdana" w:hAnsi="Verdana"/>
          <w:sz w:val="20"/>
        </w:rPr>
        <w:t xml:space="preserve">30 </w:t>
      </w:r>
      <w:r w:rsidRPr="00190686">
        <w:rPr>
          <w:rFonts w:ascii="Verdana" w:hAnsi="Verdana"/>
          <w:sz w:val="20"/>
        </w:rPr>
        <w:t>de novembro de 2021 (“</w:t>
      </w:r>
      <w:r w:rsidRPr="00190686">
        <w:rPr>
          <w:rFonts w:ascii="Verdana" w:hAnsi="Verdana"/>
          <w:sz w:val="20"/>
          <w:u w:val="single"/>
        </w:rPr>
        <w:t>Data de Vencimento da Segunda Série</w:t>
      </w:r>
      <w:r w:rsidRPr="00190686">
        <w:rPr>
          <w:rFonts w:ascii="Verdana" w:hAnsi="Verdana"/>
          <w:sz w:val="20"/>
        </w:rPr>
        <w:t xml:space="preserve">”). </w:t>
      </w:r>
    </w:p>
    <w:p w14:paraId="37EF498F" w14:textId="77777777" w:rsidR="002D5261" w:rsidRPr="00190686" w:rsidRDefault="002D5261" w:rsidP="002D5261">
      <w:pPr>
        <w:tabs>
          <w:tab w:val="left" w:pos="851"/>
        </w:tabs>
        <w:spacing w:after="0" w:line="300" w:lineRule="exact"/>
        <w:rPr>
          <w:rFonts w:ascii="Verdana" w:hAnsi="Verdana"/>
          <w:sz w:val="20"/>
        </w:rPr>
      </w:pPr>
    </w:p>
    <w:p w14:paraId="71E5C884" w14:textId="77777777" w:rsidR="002D5261" w:rsidRPr="00190686" w:rsidRDefault="002D5261" w:rsidP="002D5261">
      <w:pPr>
        <w:numPr>
          <w:ilvl w:val="0"/>
          <w:numId w:val="19"/>
        </w:numPr>
        <w:tabs>
          <w:tab w:val="left" w:pos="851"/>
        </w:tabs>
        <w:spacing w:after="0" w:line="300" w:lineRule="exact"/>
        <w:ind w:left="0" w:firstLine="0"/>
        <w:rPr>
          <w:rFonts w:ascii="Verdana" w:hAnsi="Verdana"/>
          <w:b/>
          <w:sz w:val="20"/>
        </w:rPr>
      </w:pPr>
      <w:r w:rsidRPr="00190686">
        <w:rPr>
          <w:rFonts w:ascii="Verdana" w:hAnsi="Verdana"/>
          <w:b/>
          <w:sz w:val="20"/>
        </w:rPr>
        <w:t>Atualização Monetária, Amortização e Remuneração</w:t>
      </w:r>
      <w:bookmarkStart w:id="17" w:name="_Ref137107211"/>
      <w:bookmarkStart w:id="18" w:name="_Ref264551489"/>
      <w:bookmarkStart w:id="19" w:name="_Ref279826774"/>
      <w:r w:rsidRPr="00190686">
        <w:rPr>
          <w:rFonts w:ascii="Verdana" w:hAnsi="Verdana"/>
          <w:b/>
          <w:sz w:val="20"/>
        </w:rPr>
        <w:t xml:space="preserve"> das Debêntures da Primeira </w:t>
      </w:r>
      <w:proofErr w:type="gramStart"/>
      <w:r w:rsidRPr="00190686">
        <w:rPr>
          <w:rFonts w:ascii="Verdana" w:hAnsi="Verdana"/>
          <w:b/>
          <w:sz w:val="20"/>
        </w:rPr>
        <w:t>Série</w:t>
      </w:r>
      <w:proofErr w:type="gramEnd"/>
    </w:p>
    <w:p w14:paraId="174A5A6E" w14:textId="77777777" w:rsidR="002D5261" w:rsidRPr="00190686" w:rsidRDefault="002D5261" w:rsidP="002D5261">
      <w:pPr>
        <w:tabs>
          <w:tab w:val="left" w:pos="851"/>
        </w:tabs>
        <w:spacing w:after="0" w:line="300" w:lineRule="exact"/>
        <w:rPr>
          <w:rFonts w:ascii="Verdana" w:hAnsi="Verdana"/>
          <w:sz w:val="20"/>
        </w:rPr>
      </w:pPr>
    </w:p>
    <w:p w14:paraId="1A7BE5C9" w14:textId="77777777" w:rsidR="002D5261" w:rsidRPr="00190686" w:rsidRDefault="002D5261" w:rsidP="002D5261">
      <w:pPr>
        <w:numPr>
          <w:ilvl w:val="0"/>
          <w:numId w:val="21"/>
        </w:numPr>
        <w:tabs>
          <w:tab w:val="left" w:pos="851"/>
        </w:tabs>
        <w:spacing w:after="0" w:line="300" w:lineRule="exact"/>
        <w:ind w:left="0" w:firstLine="0"/>
        <w:rPr>
          <w:rFonts w:ascii="Verdana" w:hAnsi="Verdana"/>
          <w:sz w:val="20"/>
        </w:rPr>
      </w:pPr>
      <w:bookmarkStart w:id="20" w:name="_Ref130286776"/>
      <w:bookmarkStart w:id="21" w:name="_Ref130611431"/>
      <w:bookmarkStart w:id="22" w:name="_Ref168843122"/>
      <w:bookmarkEnd w:id="17"/>
      <w:bookmarkEnd w:id="18"/>
      <w:bookmarkEnd w:id="19"/>
      <w:r w:rsidRPr="00190686">
        <w:rPr>
          <w:rFonts w:ascii="Verdana" w:hAnsi="Verdana"/>
          <w:sz w:val="20"/>
          <w:u w:val="single"/>
        </w:rPr>
        <w:t>Atualização Monetária</w:t>
      </w:r>
      <w:r w:rsidRPr="00190686">
        <w:rPr>
          <w:rFonts w:ascii="Verdana" w:hAnsi="Verdana"/>
          <w:sz w:val="20"/>
        </w:rPr>
        <w:t xml:space="preserve">. </w:t>
      </w:r>
      <w:bookmarkStart w:id="23" w:name="_Ref164156803"/>
      <w:r w:rsidRPr="00190686">
        <w:rPr>
          <w:rFonts w:ascii="Verdana" w:hAnsi="Verdana"/>
          <w:sz w:val="20"/>
        </w:rPr>
        <w:t>O Valor Nominal de cada uma das Debêntures da Primeira Série não será atualizado monetariamente.</w:t>
      </w:r>
    </w:p>
    <w:p w14:paraId="1E2B0FDC" w14:textId="77777777" w:rsidR="002D5261" w:rsidRPr="00190686" w:rsidRDefault="002D5261" w:rsidP="002D5261">
      <w:pPr>
        <w:tabs>
          <w:tab w:val="left" w:pos="851"/>
        </w:tabs>
        <w:spacing w:after="0" w:line="300" w:lineRule="exact"/>
        <w:rPr>
          <w:rFonts w:ascii="Verdana" w:hAnsi="Verdana"/>
          <w:sz w:val="20"/>
        </w:rPr>
      </w:pPr>
    </w:p>
    <w:p w14:paraId="750C3B78" w14:textId="77777777" w:rsidR="002D5261" w:rsidRPr="00190686" w:rsidRDefault="002D5261" w:rsidP="002D5261">
      <w:pPr>
        <w:numPr>
          <w:ilvl w:val="0"/>
          <w:numId w:val="21"/>
        </w:numPr>
        <w:tabs>
          <w:tab w:val="left" w:pos="851"/>
        </w:tabs>
        <w:spacing w:after="0" w:line="300" w:lineRule="exact"/>
        <w:ind w:left="0" w:firstLine="0"/>
        <w:rPr>
          <w:rFonts w:ascii="Verdana" w:hAnsi="Verdana"/>
          <w:color w:val="000000"/>
          <w:sz w:val="20"/>
        </w:rPr>
      </w:pPr>
      <w:r w:rsidRPr="00190686">
        <w:rPr>
          <w:rFonts w:ascii="Verdana" w:hAnsi="Verdana"/>
          <w:sz w:val="20"/>
          <w:u w:val="single"/>
        </w:rPr>
        <w:t>Amortização</w:t>
      </w:r>
      <w:r w:rsidRPr="00190686">
        <w:rPr>
          <w:rFonts w:ascii="Verdana" w:hAnsi="Verdana"/>
          <w:sz w:val="20"/>
        </w:rPr>
        <w:t xml:space="preserve">. </w:t>
      </w:r>
      <w:r w:rsidRPr="00190686">
        <w:rPr>
          <w:rFonts w:ascii="Verdana" w:hAnsi="Verdana"/>
          <w:color w:val="000000"/>
          <w:sz w:val="20"/>
        </w:rPr>
        <w:t xml:space="preserve">O Valor Nominal das Debêntures da Primeira Série será amortizado integralmente, em uma única parcela, na Data de Vencimento da Primeira Série </w:t>
      </w:r>
      <w:r w:rsidRPr="00190686">
        <w:rPr>
          <w:rFonts w:ascii="Verdana" w:hAnsi="Verdana"/>
          <w:sz w:val="20"/>
        </w:rPr>
        <w:t>ou na data da liquidação antecipada resultante (a) do vencimento antecipado das Debêntures da Primeira Série em razão da ocorrência de um dos Eventos de Inadimplemento (conforme definidos a seguir) ou (b) do resgate antecipado das Debêntures da Primeira Série, nos termos desta Escritura de Emissão</w:t>
      </w:r>
      <w:r w:rsidRPr="00190686">
        <w:rPr>
          <w:rFonts w:ascii="Verdana" w:hAnsi="Verdana"/>
          <w:color w:val="000000"/>
          <w:sz w:val="20"/>
        </w:rPr>
        <w:t>.</w:t>
      </w:r>
    </w:p>
    <w:p w14:paraId="71524E8C" w14:textId="77777777" w:rsidR="002D5261" w:rsidRPr="00190686" w:rsidRDefault="002D5261" w:rsidP="002D5261">
      <w:pPr>
        <w:tabs>
          <w:tab w:val="left" w:pos="851"/>
        </w:tabs>
        <w:spacing w:after="0" w:line="300" w:lineRule="exact"/>
        <w:rPr>
          <w:rFonts w:ascii="Verdana" w:hAnsi="Verdana"/>
          <w:sz w:val="20"/>
        </w:rPr>
      </w:pPr>
    </w:p>
    <w:p w14:paraId="7D9C36AF" w14:textId="7E01EB06" w:rsidR="002D5261" w:rsidRPr="00006DF1" w:rsidRDefault="002D5261" w:rsidP="002D5261">
      <w:pPr>
        <w:numPr>
          <w:ilvl w:val="0"/>
          <w:numId w:val="21"/>
        </w:numPr>
        <w:tabs>
          <w:tab w:val="left" w:pos="709"/>
          <w:tab w:val="left" w:pos="851"/>
        </w:tabs>
        <w:spacing w:after="0" w:line="300" w:lineRule="exact"/>
        <w:ind w:left="0" w:firstLine="0"/>
        <w:rPr>
          <w:rFonts w:ascii="Verdana" w:hAnsi="Verdana"/>
          <w:sz w:val="20"/>
        </w:rPr>
      </w:pPr>
      <w:bookmarkStart w:id="24" w:name="_Ref328665579"/>
      <w:bookmarkStart w:id="25" w:name="_Ref279828381"/>
      <w:bookmarkStart w:id="26" w:name="_Ref289698191"/>
      <w:r w:rsidRPr="00190686">
        <w:rPr>
          <w:rFonts w:ascii="Verdana" w:hAnsi="Verdana"/>
          <w:sz w:val="20"/>
          <w:u w:val="single"/>
        </w:rPr>
        <w:t>Juros</w:t>
      </w:r>
      <w:r w:rsidRPr="00190686">
        <w:rPr>
          <w:rFonts w:ascii="Verdana" w:hAnsi="Verdana"/>
          <w:i/>
          <w:sz w:val="20"/>
          <w:u w:val="single"/>
        </w:rPr>
        <w:t xml:space="preserve"> </w:t>
      </w:r>
      <w:r w:rsidRPr="00190686">
        <w:rPr>
          <w:rFonts w:ascii="Verdana" w:hAnsi="Verdana"/>
          <w:sz w:val="20"/>
          <w:u w:val="single"/>
        </w:rPr>
        <w:t>Remuneratórios</w:t>
      </w:r>
      <w:r w:rsidRPr="00190686">
        <w:rPr>
          <w:rFonts w:ascii="Verdana" w:hAnsi="Verdana"/>
          <w:sz w:val="20"/>
        </w:rPr>
        <w:t xml:space="preserve">. Sobre o Valor Nominal </w:t>
      </w:r>
      <w:bookmarkStart w:id="27" w:name="_Ref137107209"/>
      <w:r w:rsidRPr="00190686">
        <w:rPr>
          <w:rFonts w:ascii="Verdana" w:hAnsi="Verdana"/>
          <w:sz w:val="20"/>
        </w:rPr>
        <w:t xml:space="preserve">de cada uma das Debêntures da Primeira Série incidirão juros remuneratórios correspondentes a 100% (cem por cento) da variação acumulada das taxas médias diárias dos DI – Depósitos Interfinanceiros de um dia, “over </w:t>
      </w:r>
      <w:proofErr w:type="spellStart"/>
      <w:proofErr w:type="gramStart"/>
      <w:r w:rsidRPr="00190686">
        <w:rPr>
          <w:rFonts w:ascii="Verdana" w:hAnsi="Verdana"/>
          <w:sz w:val="20"/>
        </w:rPr>
        <w:t>extra-grupo</w:t>
      </w:r>
      <w:proofErr w:type="spellEnd"/>
      <w:proofErr w:type="gramEnd"/>
      <w:r w:rsidRPr="00190686">
        <w:rPr>
          <w:rFonts w:ascii="Verdana" w:hAnsi="Verdana"/>
          <w:sz w:val="20"/>
        </w:rPr>
        <w:t>”, expressas na forma percentual ao ano, base 252 (duzentos e cinquenta e dois) Dias Úteis, calculadas e divulgadas diariamente pela CETIP, no informativo diário disponível em sua página na Internet (</w:t>
      </w:r>
      <w:hyperlink r:id="rId8" w:history="1">
        <w:r w:rsidRPr="00190686">
          <w:rPr>
            <w:rStyle w:val="Hyperlink"/>
            <w:rFonts w:ascii="Verdana" w:hAnsi="Verdana"/>
            <w:sz w:val="20"/>
          </w:rPr>
          <w:t>http://www.cetip.com.br</w:t>
        </w:r>
      </w:hyperlink>
      <w:r w:rsidRPr="00190686">
        <w:rPr>
          <w:rFonts w:ascii="Verdana" w:hAnsi="Verdana"/>
          <w:sz w:val="20"/>
        </w:rPr>
        <w:t>) (“</w:t>
      </w:r>
      <w:r w:rsidRPr="00190686">
        <w:rPr>
          <w:rFonts w:ascii="Verdana" w:hAnsi="Verdana"/>
          <w:sz w:val="20"/>
          <w:u w:val="single"/>
        </w:rPr>
        <w:t>Taxa DI</w:t>
      </w:r>
      <w:r w:rsidRPr="00190686">
        <w:rPr>
          <w:rFonts w:ascii="Verdana" w:hAnsi="Verdana"/>
          <w:sz w:val="20"/>
        </w:rPr>
        <w:t xml:space="preserve">”), acrescida de uma sobretaxa ou </w:t>
      </w:r>
      <w:r w:rsidRPr="00190686">
        <w:rPr>
          <w:rFonts w:ascii="Verdana" w:hAnsi="Verdana"/>
          <w:i/>
          <w:sz w:val="20"/>
        </w:rPr>
        <w:t>spread</w:t>
      </w:r>
      <w:r w:rsidRPr="00190686">
        <w:rPr>
          <w:rFonts w:ascii="Verdana" w:hAnsi="Verdana"/>
          <w:sz w:val="20"/>
        </w:rPr>
        <w:t xml:space="preserve"> de 2,70% (dois inteiros e setenta centésimos por cento) ao ano, base 252 (duzentos e </w:t>
      </w:r>
      <w:r w:rsidRPr="00190686">
        <w:rPr>
          <w:rFonts w:ascii="Verdana" w:hAnsi="Verdana"/>
          <w:sz w:val="20"/>
        </w:rPr>
        <w:lastRenderedPageBreak/>
        <w:t>cinquenta e dois) Dias Úteis (“</w:t>
      </w:r>
      <w:r w:rsidRPr="00190686">
        <w:rPr>
          <w:rFonts w:ascii="Verdana" w:hAnsi="Verdana"/>
          <w:sz w:val="20"/>
          <w:u w:val="single"/>
        </w:rPr>
        <w:t>Sobretaxa da Primeira Série</w:t>
      </w:r>
      <w:r w:rsidRPr="00190686">
        <w:rPr>
          <w:rFonts w:ascii="Verdana" w:hAnsi="Verdana"/>
          <w:sz w:val="20"/>
        </w:rPr>
        <w:t>”, e, em conjunto com a Taxa DI, “</w:t>
      </w:r>
      <w:r w:rsidRPr="00190686">
        <w:rPr>
          <w:rFonts w:ascii="Verdana" w:hAnsi="Verdana"/>
          <w:sz w:val="20"/>
          <w:u w:val="single"/>
        </w:rPr>
        <w:t>Remuneração da Primeira Série</w:t>
      </w:r>
      <w:r w:rsidRPr="00190686">
        <w:rPr>
          <w:rFonts w:ascii="Verdana" w:hAnsi="Verdana"/>
          <w:sz w:val="20"/>
        </w:rPr>
        <w:t xml:space="preserve">”), calculados de forma exponencial e cumulativa </w:t>
      </w:r>
      <w:r w:rsidRPr="00190686">
        <w:rPr>
          <w:rFonts w:ascii="Verdana" w:hAnsi="Verdana"/>
          <w:i/>
          <w:sz w:val="20"/>
        </w:rPr>
        <w:t xml:space="preserve">pro rata </w:t>
      </w:r>
      <w:proofErr w:type="spellStart"/>
      <w:r w:rsidRPr="00190686">
        <w:rPr>
          <w:rFonts w:ascii="Verdana" w:hAnsi="Verdana"/>
          <w:i/>
          <w:sz w:val="20"/>
        </w:rPr>
        <w:t>temporis</w:t>
      </w:r>
      <w:proofErr w:type="spellEnd"/>
      <w:r w:rsidRPr="00190686">
        <w:rPr>
          <w:rFonts w:ascii="Verdana" w:hAnsi="Verdana"/>
          <w:sz w:val="20"/>
        </w:rPr>
        <w:t xml:space="preserve"> por Dias Úteis decorridos, desde a 1ª (primeira) Data de Integralização das Debêntures da Primeira Série ou a data de pagamento de Remuneração da Primeira Série imediatamente anterior, conforme o caso, até a data do efetivo </w:t>
      </w:r>
      <w:r w:rsidRPr="00A078A0">
        <w:rPr>
          <w:rFonts w:ascii="Verdana" w:hAnsi="Verdana"/>
          <w:sz w:val="20"/>
        </w:rPr>
        <w:t>pagamento</w:t>
      </w:r>
      <w:bookmarkEnd w:id="27"/>
      <w:r w:rsidRPr="00006DF1">
        <w:rPr>
          <w:rFonts w:ascii="Verdana" w:hAnsi="Verdana"/>
          <w:sz w:val="20"/>
        </w:rPr>
        <w:t>.</w:t>
      </w:r>
    </w:p>
    <w:p w14:paraId="6CEAD214" w14:textId="77777777" w:rsidR="002D5261" w:rsidRPr="00190686" w:rsidRDefault="002D5261" w:rsidP="002D5261">
      <w:pPr>
        <w:tabs>
          <w:tab w:val="left" w:pos="851"/>
        </w:tabs>
        <w:spacing w:after="0" w:line="300" w:lineRule="exact"/>
        <w:rPr>
          <w:rFonts w:ascii="Verdana" w:hAnsi="Verdana"/>
          <w:sz w:val="20"/>
        </w:rPr>
      </w:pPr>
    </w:p>
    <w:p w14:paraId="4F2953D8" w14:textId="46AA0420" w:rsidR="00084FA8" w:rsidRDefault="002D5261" w:rsidP="002D5261">
      <w:pPr>
        <w:spacing w:after="0" w:line="300" w:lineRule="exact"/>
        <w:ind w:left="851" w:hanging="851"/>
        <w:rPr>
          <w:rFonts w:ascii="Verdana" w:hAnsi="Verdana"/>
          <w:sz w:val="20"/>
        </w:rPr>
      </w:pPr>
      <w:r w:rsidRPr="00190686">
        <w:rPr>
          <w:rFonts w:ascii="Verdana" w:hAnsi="Verdana"/>
          <w:sz w:val="20"/>
        </w:rPr>
        <w:t>4.2.3.1.</w:t>
      </w:r>
      <w:r w:rsidRPr="00190686">
        <w:rPr>
          <w:rFonts w:ascii="Verdana" w:hAnsi="Verdana"/>
          <w:sz w:val="20"/>
        </w:rPr>
        <w:tab/>
        <w:t>Caso, em 31 de dezembro de 2017, o Índice Financeiro da Emissora, apurado nos termos desta Escritura de Emissão, esteja inferior a 2,0 vezes, a Sobretaxa da Primeira Série deverá ser alterada para 2,60% (dois inteiros e sessenta centésimos por cento), que passará a ser a nova sobretaxa da primeira série</w:t>
      </w:r>
      <w:r>
        <w:rPr>
          <w:rFonts w:ascii="Verdana" w:hAnsi="Verdana"/>
          <w:sz w:val="20"/>
        </w:rPr>
        <w:t xml:space="preserve"> a </w:t>
      </w:r>
      <w:r w:rsidR="000A1FA1">
        <w:rPr>
          <w:rFonts w:ascii="Verdana" w:hAnsi="Verdana"/>
          <w:sz w:val="20"/>
        </w:rPr>
        <w:t xml:space="preserve">partir da </w:t>
      </w:r>
      <w:r w:rsidRPr="00190686">
        <w:rPr>
          <w:rFonts w:ascii="Verdana" w:hAnsi="Verdana"/>
          <w:sz w:val="20"/>
        </w:rPr>
        <w:t xml:space="preserve">data de pagamento de Remuneração da Primeira Série imediatamente </w:t>
      </w:r>
      <w:r w:rsidR="000A1FA1">
        <w:rPr>
          <w:rFonts w:ascii="Verdana" w:hAnsi="Verdana"/>
          <w:sz w:val="20"/>
        </w:rPr>
        <w:t xml:space="preserve">posterior à </w:t>
      </w:r>
      <w:r w:rsidRPr="00190686">
        <w:rPr>
          <w:rFonts w:ascii="Verdana" w:hAnsi="Verdana"/>
          <w:sz w:val="20"/>
        </w:rPr>
        <w:t xml:space="preserve">data </w:t>
      </w:r>
      <w:r w:rsidR="000A1FA1">
        <w:rPr>
          <w:rFonts w:ascii="Verdana" w:hAnsi="Verdana"/>
          <w:sz w:val="20"/>
        </w:rPr>
        <w:t>em que foi verificado o Índice Financeiro</w:t>
      </w:r>
      <w:r w:rsidRPr="00190686">
        <w:rPr>
          <w:rFonts w:ascii="Verdana" w:hAnsi="Verdana"/>
          <w:sz w:val="20"/>
        </w:rPr>
        <w:t>. Caso, em 31 de dezembro de 2018, o Índice Financeiro da Emissora, apurado nos termos desta Escritura de Emissão, esteja superior a 2,0 vezes, a então alterada sobretaxa da primeira série passará a ser, novamente, 2,70% (dois inteiros e setenta centésimos por cento)</w:t>
      </w:r>
      <w:r>
        <w:rPr>
          <w:rFonts w:ascii="Verdana" w:hAnsi="Verdana"/>
          <w:sz w:val="20"/>
        </w:rPr>
        <w:t>, a qual</w:t>
      </w:r>
      <w:proofErr w:type="gramStart"/>
      <w:r>
        <w:rPr>
          <w:rFonts w:ascii="Verdana" w:hAnsi="Verdana"/>
          <w:sz w:val="20"/>
        </w:rPr>
        <w:t xml:space="preserve"> portanto</w:t>
      </w:r>
      <w:proofErr w:type="gramEnd"/>
      <w:r>
        <w:rPr>
          <w:rFonts w:ascii="Verdana" w:hAnsi="Verdana"/>
          <w:sz w:val="20"/>
        </w:rPr>
        <w:t xml:space="preserve"> passará a remunerar as Debêntures da Primeira Série </w:t>
      </w:r>
      <w:r w:rsidR="000A1FA1">
        <w:rPr>
          <w:rFonts w:ascii="Verdana" w:hAnsi="Verdana"/>
          <w:sz w:val="20"/>
        </w:rPr>
        <w:t xml:space="preserve">a partir da </w:t>
      </w:r>
      <w:r w:rsidRPr="00190686">
        <w:rPr>
          <w:rFonts w:ascii="Verdana" w:hAnsi="Verdana"/>
          <w:sz w:val="20"/>
        </w:rPr>
        <w:t xml:space="preserve">data de pagamento de Remuneração da Primeira Série imediatamente </w:t>
      </w:r>
      <w:r w:rsidR="000A1FA1">
        <w:rPr>
          <w:rFonts w:ascii="Verdana" w:hAnsi="Verdana"/>
          <w:sz w:val="20"/>
        </w:rPr>
        <w:t xml:space="preserve">posterior à </w:t>
      </w:r>
      <w:r w:rsidRPr="00190686">
        <w:rPr>
          <w:rFonts w:ascii="Verdana" w:hAnsi="Verdana"/>
          <w:sz w:val="20"/>
        </w:rPr>
        <w:t xml:space="preserve">data </w:t>
      </w:r>
      <w:r w:rsidR="000A1FA1">
        <w:rPr>
          <w:rFonts w:ascii="Verdana" w:hAnsi="Verdana"/>
          <w:sz w:val="20"/>
        </w:rPr>
        <w:t>em que foi verificado o Índice Financeiro</w:t>
      </w:r>
      <w:r w:rsidRPr="00190686">
        <w:rPr>
          <w:rFonts w:ascii="Verdana" w:hAnsi="Verdana"/>
          <w:sz w:val="20"/>
        </w:rPr>
        <w:t xml:space="preserve">. Na hipótese de alteração da Sobretaxa da Primeira Série nos termos desta Cláusula, a presente Escritura de Emissão deverá ser aditada para ratificar tal alteração, mediante celebração de aditamento </w:t>
      </w:r>
      <w:proofErr w:type="gramStart"/>
      <w:r w:rsidRPr="00190686">
        <w:rPr>
          <w:rFonts w:ascii="Verdana" w:hAnsi="Verdana"/>
          <w:sz w:val="20"/>
        </w:rPr>
        <w:t>à</w:t>
      </w:r>
      <w:proofErr w:type="gramEnd"/>
      <w:r w:rsidRPr="00190686">
        <w:rPr>
          <w:rFonts w:ascii="Verdana" w:hAnsi="Verdana"/>
          <w:sz w:val="20"/>
        </w:rPr>
        <w:t xml:space="preserve"> presente Escritura de Emissão entre a Emissora e o Agente Fiduciário sem a necessidade de realização de Assembleia Geral, e </w:t>
      </w:r>
      <w:r>
        <w:rPr>
          <w:rFonts w:ascii="Verdana" w:hAnsi="Verdana"/>
          <w:sz w:val="20"/>
        </w:rPr>
        <w:t xml:space="preserve">tal aditamento </w:t>
      </w:r>
      <w:r w:rsidRPr="00190686">
        <w:rPr>
          <w:rFonts w:ascii="Verdana" w:hAnsi="Verdana"/>
          <w:sz w:val="20"/>
        </w:rPr>
        <w:t xml:space="preserve">deverá ser devidamente arquivado na JUCERGS, nos termos da Cláusula 2.3 desta Escritura de Emissão. Caso a Emissora não apresente as Demonstrações Financeiras atualizadas nas datas acima citadas, a Sobretaxa da Primeira Série permanecerá a mesma, ou seja, de 2,70% (dois inteiros e setenta centésimos por cento). </w:t>
      </w:r>
    </w:p>
    <w:p w14:paraId="078A48DF" w14:textId="7F826333" w:rsidR="002D5261" w:rsidRDefault="002D5261" w:rsidP="002D5261">
      <w:pPr>
        <w:spacing w:after="0" w:line="300" w:lineRule="exact"/>
        <w:ind w:left="851" w:hanging="851"/>
        <w:rPr>
          <w:rFonts w:ascii="Verdana" w:hAnsi="Verdana"/>
          <w:sz w:val="20"/>
        </w:rPr>
      </w:pPr>
      <w:r w:rsidRPr="00190686">
        <w:rPr>
          <w:rFonts w:ascii="Verdana" w:hAnsi="Verdana"/>
          <w:sz w:val="20"/>
        </w:rPr>
        <w:t xml:space="preserve"> </w:t>
      </w:r>
    </w:p>
    <w:p w14:paraId="11AEFD40" w14:textId="5D46C6BF" w:rsidR="00084FA8" w:rsidRDefault="00084FA8" w:rsidP="00084FA8">
      <w:pPr>
        <w:spacing w:after="0" w:line="300" w:lineRule="exact"/>
        <w:ind w:left="851" w:hanging="851"/>
        <w:rPr>
          <w:rFonts w:ascii="Verdana" w:hAnsi="Verdana"/>
          <w:sz w:val="20"/>
        </w:rPr>
      </w:pPr>
      <w:r w:rsidRPr="00190686">
        <w:rPr>
          <w:rFonts w:ascii="Verdana" w:hAnsi="Verdana"/>
          <w:sz w:val="20"/>
        </w:rPr>
        <w:t>4.2.3.</w:t>
      </w:r>
      <w:r>
        <w:rPr>
          <w:rFonts w:ascii="Verdana" w:hAnsi="Verdana"/>
          <w:sz w:val="20"/>
        </w:rPr>
        <w:t>2</w:t>
      </w:r>
      <w:r w:rsidRPr="00190686">
        <w:rPr>
          <w:rFonts w:ascii="Verdana" w:hAnsi="Verdana"/>
          <w:sz w:val="20"/>
        </w:rPr>
        <w:t>.</w:t>
      </w:r>
      <w:r w:rsidRPr="00190686">
        <w:rPr>
          <w:rFonts w:ascii="Verdana" w:hAnsi="Verdana"/>
          <w:sz w:val="20"/>
        </w:rPr>
        <w:tab/>
        <w:t xml:space="preserve">A Emissora </w:t>
      </w:r>
      <w:r>
        <w:rPr>
          <w:rFonts w:ascii="Verdana" w:hAnsi="Verdana"/>
          <w:sz w:val="20"/>
        </w:rPr>
        <w:t xml:space="preserve">ou o Agente Fiduciário </w:t>
      </w:r>
      <w:r w:rsidRPr="00190686">
        <w:rPr>
          <w:rFonts w:ascii="Verdana" w:hAnsi="Verdana"/>
          <w:sz w:val="20"/>
        </w:rPr>
        <w:t>deverá</w:t>
      </w:r>
      <w:r>
        <w:rPr>
          <w:rFonts w:ascii="Verdana" w:hAnsi="Verdana"/>
          <w:sz w:val="20"/>
        </w:rPr>
        <w:t>,</w:t>
      </w:r>
      <w:r w:rsidRPr="00190686">
        <w:rPr>
          <w:rFonts w:ascii="Verdana" w:hAnsi="Verdana"/>
          <w:sz w:val="20"/>
        </w:rPr>
        <w:t xml:space="preserve"> com antecedência mínima de </w:t>
      </w:r>
      <w:proofErr w:type="gramStart"/>
      <w:r>
        <w:rPr>
          <w:rFonts w:ascii="Verdana" w:hAnsi="Verdana"/>
          <w:sz w:val="20"/>
        </w:rPr>
        <w:t>1</w:t>
      </w:r>
      <w:proofErr w:type="gramEnd"/>
      <w:r w:rsidRPr="00190686">
        <w:rPr>
          <w:rFonts w:ascii="Verdana" w:hAnsi="Verdana"/>
          <w:sz w:val="20"/>
        </w:rPr>
        <w:t> (</w:t>
      </w:r>
      <w:r>
        <w:rPr>
          <w:rFonts w:ascii="Verdana" w:hAnsi="Verdana"/>
          <w:sz w:val="20"/>
        </w:rPr>
        <w:t>um</w:t>
      </w:r>
      <w:r w:rsidRPr="00190686">
        <w:rPr>
          <w:rFonts w:ascii="Verdana" w:hAnsi="Verdana"/>
          <w:sz w:val="20"/>
        </w:rPr>
        <w:t xml:space="preserve">) Dia </w:t>
      </w:r>
      <w:r>
        <w:rPr>
          <w:rFonts w:ascii="Verdana" w:hAnsi="Verdana"/>
          <w:sz w:val="20"/>
        </w:rPr>
        <w:t xml:space="preserve">Útil </w:t>
      </w:r>
      <w:r w:rsidRPr="00190686">
        <w:rPr>
          <w:rFonts w:ascii="Verdana" w:hAnsi="Verdana"/>
          <w:sz w:val="20"/>
        </w:rPr>
        <w:t xml:space="preserve">da respectiva data </w:t>
      </w:r>
      <w:r>
        <w:rPr>
          <w:rFonts w:ascii="Verdana" w:hAnsi="Verdana"/>
          <w:sz w:val="20"/>
        </w:rPr>
        <w:t xml:space="preserve">de mudança da Sobretaxa da Primeira Série, </w:t>
      </w:r>
      <w:r w:rsidRPr="00190686">
        <w:rPr>
          <w:rFonts w:ascii="Verdana" w:hAnsi="Verdana"/>
          <w:sz w:val="20"/>
        </w:rPr>
        <w:t xml:space="preserve">comunicar </w:t>
      </w:r>
      <w:r>
        <w:rPr>
          <w:rFonts w:ascii="Verdana" w:hAnsi="Verdana"/>
          <w:sz w:val="20"/>
        </w:rPr>
        <w:t>a</w:t>
      </w:r>
      <w:r w:rsidRPr="00190686">
        <w:rPr>
          <w:rFonts w:ascii="Verdana" w:hAnsi="Verdana"/>
          <w:sz w:val="20"/>
        </w:rPr>
        <w:t xml:space="preserve">o </w:t>
      </w:r>
      <w:proofErr w:type="spellStart"/>
      <w:r w:rsidRPr="00190686">
        <w:rPr>
          <w:rFonts w:ascii="Verdana" w:hAnsi="Verdana"/>
          <w:sz w:val="20"/>
        </w:rPr>
        <w:t>Escriturador</w:t>
      </w:r>
      <w:proofErr w:type="spellEnd"/>
      <w:r w:rsidRPr="00190686">
        <w:rPr>
          <w:rFonts w:ascii="Verdana" w:hAnsi="Verdana"/>
          <w:sz w:val="20"/>
        </w:rPr>
        <w:t xml:space="preserve">, ao Banco Liquidante e à CETIP </w:t>
      </w:r>
      <w:r>
        <w:rPr>
          <w:rFonts w:ascii="Verdana" w:hAnsi="Verdana"/>
          <w:sz w:val="20"/>
        </w:rPr>
        <w:t>sua efetiva mudança.</w:t>
      </w:r>
    </w:p>
    <w:p w14:paraId="1E03C526" w14:textId="77777777" w:rsidR="00084FA8" w:rsidRPr="00190686" w:rsidRDefault="00084FA8" w:rsidP="002D5261">
      <w:pPr>
        <w:spacing w:after="0" w:line="300" w:lineRule="exact"/>
        <w:ind w:left="851" w:hanging="851"/>
        <w:rPr>
          <w:rFonts w:ascii="Verdana" w:hAnsi="Verdana"/>
          <w:sz w:val="20"/>
        </w:rPr>
      </w:pPr>
    </w:p>
    <w:p w14:paraId="5F1A5360" w14:textId="77777777" w:rsidR="002D5261" w:rsidRPr="00190686" w:rsidRDefault="002D5261" w:rsidP="002D5261">
      <w:pPr>
        <w:tabs>
          <w:tab w:val="left" w:pos="851"/>
        </w:tabs>
        <w:spacing w:after="0" w:line="300" w:lineRule="exact"/>
        <w:rPr>
          <w:rFonts w:ascii="Verdana" w:hAnsi="Verdana"/>
          <w:sz w:val="20"/>
        </w:rPr>
      </w:pPr>
    </w:p>
    <w:p w14:paraId="0FFD64D7" w14:textId="77777777" w:rsidR="002D5261" w:rsidRPr="00190686" w:rsidRDefault="002D5261" w:rsidP="002D5261">
      <w:pPr>
        <w:numPr>
          <w:ilvl w:val="0"/>
          <w:numId w:val="21"/>
        </w:numPr>
        <w:tabs>
          <w:tab w:val="left" w:pos="851"/>
        </w:tabs>
        <w:spacing w:after="0" w:line="300" w:lineRule="exact"/>
        <w:ind w:left="0" w:firstLine="0"/>
        <w:rPr>
          <w:rFonts w:ascii="Verdana" w:hAnsi="Verdana"/>
          <w:sz w:val="20"/>
        </w:rPr>
      </w:pPr>
      <w:r w:rsidRPr="00190686">
        <w:rPr>
          <w:rFonts w:ascii="Verdana" w:hAnsi="Verdana"/>
          <w:sz w:val="20"/>
          <w:u w:val="single"/>
        </w:rPr>
        <w:t>Periodicidade de Pagamento da Remuneração da Primeira Série</w:t>
      </w:r>
      <w:r w:rsidRPr="00190686">
        <w:rPr>
          <w:rFonts w:ascii="Verdana" w:hAnsi="Verdana"/>
          <w:sz w:val="20"/>
        </w:rPr>
        <w:t xml:space="preserve">: Sem prejuízo dos pagamentos em decorrência de resgate antecipado das Debêntures e/ou de vencimento antecipado das obrigações decorrentes das Debêntures, nos termos previstos nesta Escritura de Emissão, a Remuneração da Primeira Série será paga semestralmente a partir da Data de Emissão, no dia </w:t>
      </w:r>
      <w:r>
        <w:rPr>
          <w:rFonts w:ascii="Verdana" w:hAnsi="Verdana"/>
          <w:sz w:val="20"/>
        </w:rPr>
        <w:t xml:space="preserve">30 </w:t>
      </w:r>
      <w:r w:rsidRPr="00190686">
        <w:rPr>
          <w:rFonts w:ascii="Verdana" w:hAnsi="Verdana"/>
          <w:sz w:val="20"/>
        </w:rPr>
        <w:t xml:space="preserve">dos meses de </w:t>
      </w:r>
      <w:r>
        <w:rPr>
          <w:rFonts w:ascii="Verdana" w:hAnsi="Verdana"/>
          <w:sz w:val="20"/>
        </w:rPr>
        <w:t xml:space="preserve">maio </w:t>
      </w:r>
      <w:r w:rsidRPr="00190686">
        <w:rPr>
          <w:rFonts w:ascii="Verdana" w:hAnsi="Verdana"/>
          <w:sz w:val="20"/>
        </w:rPr>
        <w:t xml:space="preserve">e </w:t>
      </w:r>
      <w:r>
        <w:rPr>
          <w:rFonts w:ascii="Verdana" w:hAnsi="Verdana"/>
          <w:sz w:val="20"/>
        </w:rPr>
        <w:t xml:space="preserve">novembro </w:t>
      </w:r>
      <w:r w:rsidRPr="00190686">
        <w:rPr>
          <w:rFonts w:ascii="Verdana" w:hAnsi="Verdana"/>
          <w:sz w:val="20"/>
        </w:rPr>
        <w:t xml:space="preserve">de cada ano, ocorrendo o primeiro pagamento em </w:t>
      </w:r>
      <w:r>
        <w:rPr>
          <w:rFonts w:ascii="Verdana" w:hAnsi="Verdana"/>
          <w:sz w:val="20"/>
        </w:rPr>
        <w:t xml:space="preserve">30 </w:t>
      </w:r>
      <w:r w:rsidRPr="00190686">
        <w:rPr>
          <w:rFonts w:ascii="Verdana" w:hAnsi="Verdana"/>
          <w:sz w:val="20"/>
        </w:rPr>
        <w:t>de </w:t>
      </w:r>
      <w:r>
        <w:rPr>
          <w:rFonts w:ascii="Verdana" w:hAnsi="Verdana"/>
          <w:sz w:val="20"/>
        </w:rPr>
        <w:t xml:space="preserve">maio </w:t>
      </w:r>
      <w:r w:rsidRPr="00190686">
        <w:rPr>
          <w:rFonts w:ascii="Verdana" w:hAnsi="Verdana"/>
          <w:sz w:val="20"/>
        </w:rPr>
        <w:t>de </w:t>
      </w:r>
      <w:r>
        <w:rPr>
          <w:rFonts w:ascii="Verdana" w:hAnsi="Verdana"/>
          <w:sz w:val="20"/>
        </w:rPr>
        <w:t xml:space="preserve">2017 </w:t>
      </w:r>
      <w:r w:rsidRPr="00190686">
        <w:rPr>
          <w:rFonts w:ascii="Verdana" w:hAnsi="Verdana"/>
          <w:sz w:val="20"/>
        </w:rPr>
        <w:t>e, o último, na Data de Vencimento da Primeira Série.</w:t>
      </w:r>
    </w:p>
    <w:p w14:paraId="07125337" w14:textId="77777777" w:rsidR="002D5261" w:rsidRPr="00190686" w:rsidRDefault="002D5261" w:rsidP="002D5261">
      <w:pPr>
        <w:pStyle w:val="GradeMdia1-nfase21"/>
        <w:tabs>
          <w:tab w:val="left" w:pos="851"/>
        </w:tabs>
        <w:spacing w:after="0" w:line="300" w:lineRule="exact"/>
        <w:rPr>
          <w:rFonts w:ascii="Verdana" w:hAnsi="Verdana"/>
          <w:sz w:val="20"/>
        </w:rPr>
      </w:pPr>
    </w:p>
    <w:p w14:paraId="650F26EA" w14:textId="77777777" w:rsidR="002D5261" w:rsidRPr="00190686" w:rsidRDefault="002D5261" w:rsidP="002D5261">
      <w:pPr>
        <w:numPr>
          <w:ilvl w:val="0"/>
          <w:numId w:val="21"/>
        </w:numPr>
        <w:tabs>
          <w:tab w:val="left" w:pos="851"/>
        </w:tabs>
        <w:spacing w:after="0" w:line="300" w:lineRule="exact"/>
        <w:ind w:left="0" w:firstLine="0"/>
        <w:rPr>
          <w:rFonts w:ascii="Verdana" w:hAnsi="Verdana"/>
          <w:sz w:val="20"/>
        </w:rPr>
      </w:pPr>
      <w:r w:rsidRPr="00190686">
        <w:rPr>
          <w:rFonts w:ascii="Verdana" w:hAnsi="Verdana"/>
          <w:sz w:val="20"/>
          <w:u w:val="single"/>
        </w:rPr>
        <w:t>Fórmula de Cálculo da Remuneração da Primeira Série</w:t>
      </w:r>
      <w:r w:rsidRPr="00190686">
        <w:rPr>
          <w:rFonts w:ascii="Verdana" w:hAnsi="Verdana"/>
          <w:sz w:val="20"/>
        </w:rPr>
        <w:t>. A Remuneração da Primeira Série será calculada de acordo com a seguinte fórmula:</w:t>
      </w:r>
      <w:bookmarkEnd w:id="24"/>
    </w:p>
    <w:p w14:paraId="1154D938" w14:textId="77777777" w:rsidR="002D5261" w:rsidRPr="00190686" w:rsidRDefault="002D5261" w:rsidP="002D5261">
      <w:pPr>
        <w:tabs>
          <w:tab w:val="left" w:pos="851"/>
        </w:tabs>
        <w:spacing w:after="0" w:line="300" w:lineRule="exact"/>
        <w:ind w:left="709"/>
        <w:rPr>
          <w:rFonts w:ascii="Verdana" w:hAnsi="Verdana"/>
          <w:sz w:val="20"/>
        </w:rPr>
      </w:pPr>
    </w:p>
    <w:p w14:paraId="7F1DF6A2" w14:textId="77777777" w:rsidR="002D5261" w:rsidRPr="00190686" w:rsidRDefault="002D5261" w:rsidP="002D5261">
      <w:pPr>
        <w:tabs>
          <w:tab w:val="left" w:pos="851"/>
        </w:tabs>
        <w:spacing w:after="0" w:line="300" w:lineRule="exact"/>
        <w:ind w:left="709"/>
        <w:jc w:val="center"/>
        <w:rPr>
          <w:rFonts w:ascii="Verdana" w:hAnsi="Verdana"/>
          <w:sz w:val="20"/>
        </w:rPr>
      </w:pPr>
      <w:r w:rsidRPr="00190686">
        <w:rPr>
          <w:rFonts w:ascii="Verdana" w:hAnsi="Verdana"/>
          <w:noProof/>
          <w:sz w:val="20"/>
        </w:rPr>
        <w:drawing>
          <wp:inline distT="0" distB="0" distL="0" distR="0" wp14:anchorId="3486337F" wp14:editId="1B725785">
            <wp:extent cx="1753870" cy="198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9" cstate="print">
                      <a:extLst>
                        <a:ext uri="{28A0092B-C50C-407E-A947-70E740481C1C}">
                          <a14:useLocalDpi xmlns:a14="http://schemas.microsoft.com/office/drawing/2010/main" val="0"/>
                        </a:ext>
                      </a:extLst>
                    </a:blip>
                    <a:srcRect r="73453"/>
                    <a:stretch>
                      <a:fillRect/>
                    </a:stretch>
                  </pic:blipFill>
                  <pic:spPr bwMode="auto">
                    <a:xfrm>
                      <a:off x="0" y="0"/>
                      <a:ext cx="1753870" cy="198120"/>
                    </a:xfrm>
                    <a:prstGeom prst="rect">
                      <a:avLst/>
                    </a:prstGeom>
                    <a:noFill/>
                    <a:ln>
                      <a:noFill/>
                    </a:ln>
                  </pic:spPr>
                </pic:pic>
              </a:graphicData>
            </a:graphic>
          </wp:inline>
        </w:drawing>
      </w:r>
    </w:p>
    <w:p w14:paraId="3B8B9505" w14:textId="77777777" w:rsidR="002D5261" w:rsidRPr="00190686" w:rsidRDefault="002D5261" w:rsidP="002D5261">
      <w:pPr>
        <w:tabs>
          <w:tab w:val="left" w:pos="851"/>
        </w:tabs>
        <w:spacing w:after="0" w:line="300" w:lineRule="exact"/>
        <w:ind w:left="709"/>
        <w:rPr>
          <w:rFonts w:ascii="Verdana" w:hAnsi="Verdana"/>
          <w:sz w:val="20"/>
        </w:rPr>
      </w:pPr>
    </w:p>
    <w:p w14:paraId="74E0B781" w14:textId="77777777" w:rsidR="002D5261" w:rsidRPr="00190686" w:rsidRDefault="002D5261" w:rsidP="002D5261">
      <w:pPr>
        <w:tabs>
          <w:tab w:val="left" w:pos="851"/>
        </w:tabs>
        <w:spacing w:after="0" w:line="300" w:lineRule="exact"/>
        <w:rPr>
          <w:rFonts w:ascii="Verdana" w:hAnsi="Verdana"/>
          <w:sz w:val="20"/>
        </w:rPr>
      </w:pPr>
      <w:proofErr w:type="gramStart"/>
      <w:r w:rsidRPr="00190686">
        <w:rPr>
          <w:rFonts w:ascii="Verdana" w:hAnsi="Verdana"/>
          <w:sz w:val="20"/>
        </w:rPr>
        <w:t>onde</w:t>
      </w:r>
      <w:proofErr w:type="gramEnd"/>
      <w:r w:rsidRPr="00190686">
        <w:rPr>
          <w:rFonts w:ascii="Verdana" w:hAnsi="Verdana"/>
          <w:sz w:val="20"/>
        </w:rPr>
        <w:t>:</w:t>
      </w:r>
    </w:p>
    <w:p w14:paraId="6BECD622" w14:textId="77777777" w:rsidR="002D5261" w:rsidRPr="00190686" w:rsidRDefault="002D5261" w:rsidP="002D5261">
      <w:pPr>
        <w:tabs>
          <w:tab w:val="left" w:pos="851"/>
        </w:tabs>
        <w:spacing w:after="0" w:line="300" w:lineRule="exact"/>
        <w:ind w:left="709"/>
        <w:rPr>
          <w:rFonts w:ascii="Verdana" w:hAnsi="Verdana"/>
          <w:sz w:val="20"/>
        </w:rPr>
      </w:pPr>
    </w:p>
    <w:p w14:paraId="77DFC35F"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J = valor da Remuneração da Primeira Série devida na respectiva data de pagamento, calculado com </w:t>
      </w:r>
      <w:proofErr w:type="gramStart"/>
      <w:r w:rsidRPr="00190686">
        <w:rPr>
          <w:rFonts w:ascii="Verdana" w:hAnsi="Verdana"/>
          <w:sz w:val="20"/>
        </w:rPr>
        <w:t>8</w:t>
      </w:r>
      <w:proofErr w:type="gramEnd"/>
      <w:r w:rsidRPr="00190686">
        <w:rPr>
          <w:rFonts w:ascii="Verdana" w:hAnsi="Verdana"/>
          <w:sz w:val="20"/>
        </w:rPr>
        <w:t> (oito) casas decimais, sem arredondamento;</w:t>
      </w:r>
    </w:p>
    <w:p w14:paraId="5E56F870" w14:textId="77777777" w:rsidR="002D5261" w:rsidRPr="00190686" w:rsidRDefault="002D5261" w:rsidP="002D5261">
      <w:pPr>
        <w:tabs>
          <w:tab w:val="left" w:pos="851"/>
        </w:tabs>
        <w:spacing w:after="0" w:line="300" w:lineRule="exact"/>
        <w:ind w:left="709"/>
        <w:rPr>
          <w:rFonts w:ascii="Verdana" w:hAnsi="Verdana"/>
          <w:sz w:val="20"/>
        </w:rPr>
      </w:pPr>
    </w:p>
    <w:p w14:paraId="4985D44D" w14:textId="77777777" w:rsidR="002D5261" w:rsidRPr="00190686" w:rsidRDefault="002D5261" w:rsidP="002D5261">
      <w:pPr>
        <w:tabs>
          <w:tab w:val="left" w:pos="851"/>
        </w:tabs>
        <w:spacing w:after="0" w:line="300" w:lineRule="exact"/>
        <w:rPr>
          <w:rFonts w:ascii="Verdana" w:hAnsi="Verdana"/>
          <w:sz w:val="20"/>
        </w:rPr>
      </w:pPr>
      <w:proofErr w:type="spellStart"/>
      <w:proofErr w:type="gramStart"/>
      <w:r w:rsidRPr="00190686">
        <w:rPr>
          <w:rFonts w:ascii="Verdana" w:hAnsi="Verdana"/>
          <w:sz w:val="20"/>
        </w:rPr>
        <w:t>VNe</w:t>
      </w:r>
      <w:proofErr w:type="spellEnd"/>
      <w:proofErr w:type="gramEnd"/>
      <w:r w:rsidRPr="00190686">
        <w:rPr>
          <w:rFonts w:ascii="Verdana" w:hAnsi="Verdana"/>
          <w:sz w:val="20"/>
        </w:rPr>
        <w:t xml:space="preserve"> = Valor Nominal das Debêntures da Primeira Série, informado/calculado com 8 (oito) casas decimais, sem arredondamento;</w:t>
      </w:r>
    </w:p>
    <w:p w14:paraId="2E2E723A" w14:textId="77777777" w:rsidR="002D5261" w:rsidRPr="00190686" w:rsidRDefault="002D5261" w:rsidP="002D5261">
      <w:pPr>
        <w:tabs>
          <w:tab w:val="left" w:pos="851"/>
        </w:tabs>
        <w:spacing w:after="0" w:line="300" w:lineRule="exact"/>
        <w:ind w:left="709"/>
        <w:rPr>
          <w:rFonts w:ascii="Verdana" w:hAnsi="Verdana"/>
          <w:sz w:val="20"/>
        </w:rPr>
      </w:pPr>
    </w:p>
    <w:p w14:paraId="46E0F642" w14:textId="77777777" w:rsidR="002D5261" w:rsidRPr="00190686" w:rsidRDefault="002D5261" w:rsidP="002D5261">
      <w:pPr>
        <w:tabs>
          <w:tab w:val="left" w:pos="851"/>
        </w:tabs>
        <w:spacing w:after="0" w:line="300" w:lineRule="exact"/>
        <w:rPr>
          <w:rFonts w:ascii="Verdana" w:hAnsi="Verdana"/>
          <w:sz w:val="20"/>
        </w:rPr>
      </w:pPr>
      <w:proofErr w:type="spellStart"/>
      <w:proofErr w:type="gramStart"/>
      <w:r w:rsidRPr="00190686">
        <w:rPr>
          <w:rFonts w:ascii="Verdana" w:hAnsi="Verdana"/>
          <w:sz w:val="20"/>
        </w:rPr>
        <w:t>FatorJuros</w:t>
      </w:r>
      <w:proofErr w:type="spellEnd"/>
      <w:proofErr w:type="gramEnd"/>
      <w:r w:rsidRPr="00190686">
        <w:rPr>
          <w:rFonts w:ascii="Verdana" w:hAnsi="Verdana"/>
          <w:sz w:val="20"/>
        </w:rPr>
        <w:t xml:space="preserve"> = fator de juros, calculado com 9 (nove) casas decimais, com arredondamento, apurado de acordo com a seguinte fórmula:</w:t>
      </w:r>
    </w:p>
    <w:p w14:paraId="3F541DFD" w14:textId="77777777" w:rsidR="002D5261" w:rsidRPr="00190686" w:rsidRDefault="002D5261" w:rsidP="002D5261">
      <w:pPr>
        <w:tabs>
          <w:tab w:val="left" w:pos="851"/>
        </w:tabs>
        <w:spacing w:after="0" w:line="300" w:lineRule="exact"/>
        <w:ind w:left="709"/>
        <w:rPr>
          <w:rFonts w:ascii="Verdana" w:hAnsi="Verdana"/>
          <w:sz w:val="20"/>
        </w:rPr>
      </w:pPr>
    </w:p>
    <w:p w14:paraId="190F4EDA" w14:textId="77777777" w:rsidR="002D5261" w:rsidRPr="00190686" w:rsidRDefault="002D5261" w:rsidP="002D5261">
      <w:pPr>
        <w:tabs>
          <w:tab w:val="left" w:pos="851"/>
        </w:tabs>
        <w:spacing w:after="0" w:line="300" w:lineRule="exact"/>
        <w:ind w:left="709"/>
        <w:jc w:val="center"/>
        <w:rPr>
          <w:rFonts w:ascii="Verdana" w:hAnsi="Verdana"/>
          <w:sz w:val="20"/>
        </w:rPr>
      </w:pPr>
      <w:r w:rsidRPr="00190686">
        <w:rPr>
          <w:rFonts w:ascii="Verdana" w:hAnsi="Verdana"/>
          <w:noProof/>
          <w:sz w:val="20"/>
        </w:rPr>
        <w:drawing>
          <wp:inline distT="0" distB="0" distL="0" distR="0" wp14:anchorId="0C944EA1" wp14:editId="30992AA4">
            <wp:extent cx="2388235" cy="18415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8235" cy="184150"/>
                    </a:xfrm>
                    <a:prstGeom prst="rect">
                      <a:avLst/>
                    </a:prstGeom>
                    <a:noFill/>
                    <a:ln>
                      <a:noFill/>
                    </a:ln>
                  </pic:spPr>
                </pic:pic>
              </a:graphicData>
            </a:graphic>
          </wp:inline>
        </w:drawing>
      </w:r>
    </w:p>
    <w:p w14:paraId="7B50AFCC" w14:textId="77777777" w:rsidR="002D5261" w:rsidRPr="00190686" w:rsidRDefault="002D5261" w:rsidP="002D5261">
      <w:pPr>
        <w:tabs>
          <w:tab w:val="left" w:pos="851"/>
        </w:tabs>
        <w:spacing w:after="0" w:line="300" w:lineRule="exact"/>
        <w:ind w:left="709"/>
        <w:rPr>
          <w:rFonts w:ascii="Verdana" w:hAnsi="Verdana"/>
          <w:sz w:val="20"/>
        </w:rPr>
      </w:pPr>
    </w:p>
    <w:p w14:paraId="61752490" w14:textId="77777777" w:rsidR="002D5261" w:rsidRPr="00190686" w:rsidRDefault="002D5261" w:rsidP="002D5261">
      <w:pPr>
        <w:tabs>
          <w:tab w:val="left" w:pos="851"/>
        </w:tabs>
        <w:spacing w:after="0" w:line="300" w:lineRule="exact"/>
        <w:rPr>
          <w:rFonts w:ascii="Verdana" w:hAnsi="Verdana"/>
          <w:sz w:val="20"/>
        </w:rPr>
      </w:pPr>
      <w:proofErr w:type="gramStart"/>
      <w:r w:rsidRPr="00190686">
        <w:rPr>
          <w:rFonts w:ascii="Verdana" w:hAnsi="Verdana"/>
          <w:sz w:val="20"/>
        </w:rPr>
        <w:t>onde</w:t>
      </w:r>
      <w:proofErr w:type="gramEnd"/>
      <w:r w:rsidRPr="00190686">
        <w:rPr>
          <w:rFonts w:ascii="Verdana" w:hAnsi="Verdana"/>
          <w:sz w:val="20"/>
        </w:rPr>
        <w:t>:</w:t>
      </w:r>
    </w:p>
    <w:p w14:paraId="6608811A" w14:textId="77777777" w:rsidR="002D5261" w:rsidRPr="00190686" w:rsidRDefault="002D5261" w:rsidP="002D5261">
      <w:pPr>
        <w:tabs>
          <w:tab w:val="left" w:pos="851"/>
        </w:tabs>
        <w:spacing w:after="0" w:line="300" w:lineRule="exact"/>
        <w:ind w:left="709"/>
        <w:rPr>
          <w:rFonts w:ascii="Verdana" w:hAnsi="Verdana"/>
          <w:sz w:val="20"/>
        </w:rPr>
      </w:pPr>
    </w:p>
    <w:p w14:paraId="6F4DA5A6" w14:textId="0D9EA313" w:rsidR="002D5261" w:rsidRPr="00190686" w:rsidRDefault="002D5261" w:rsidP="002D5261">
      <w:pPr>
        <w:tabs>
          <w:tab w:val="left" w:pos="851"/>
        </w:tabs>
        <w:spacing w:after="0"/>
        <w:rPr>
          <w:rFonts w:ascii="Verdana" w:hAnsi="Verdana"/>
          <w:sz w:val="20"/>
        </w:rPr>
      </w:pPr>
      <w:proofErr w:type="spellStart"/>
      <w:proofErr w:type="gramStart"/>
      <w:r w:rsidRPr="00190686">
        <w:rPr>
          <w:rFonts w:ascii="Verdana" w:hAnsi="Verdana"/>
          <w:sz w:val="20"/>
        </w:rPr>
        <w:t>FatorDI</w:t>
      </w:r>
      <w:proofErr w:type="spellEnd"/>
      <w:proofErr w:type="gramEnd"/>
      <w:r w:rsidRPr="00190686">
        <w:rPr>
          <w:rFonts w:ascii="Verdana" w:hAnsi="Verdana"/>
          <w:sz w:val="20"/>
        </w:rPr>
        <w:t xml:space="preserve"> = </w:t>
      </w:r>
      <w:proofErr w:type="spellStart"/>
      <w:r w:rsidRPr="00190686">
        <w:rPr>
          <w:rFonts w:ascii="Verdana" w:hAnsi="Verdana"/>
          <w:sz w:val="20"/>
        </w:rPr>
        <w:t>produtório</w:t>
      </w:r>
      <w:proofErr w:type="spellEnd"/>
      <w:r w:rsidRPr="00190686">
        <w:rPr>
          <w:rFonts w:ascii="Verdana" w:hAnsi="Verdana"/>
          <w:sz w:val="20"/>
        </w:rPr>
        <w:t xml:space="preserve"> das Taxas </w:t>
      </w:r>
      <w:proofErr w:type="spellStart"/>
      <w:r w:rsidRPr="00190686">
        <w:rPr>
          <w:rFonts w:ascii="Verdana" w:hAnsi="Verdana"/>
          <w:sz w:val="20"/>
        </w:rPr>
        <w:t>DI</w:t>
      </w:r>
      <w:r w:rsidRPr="00190686">
        <w:rPr>
          <w:rFonts w:ascii="Verdana" w:hAnsi="Verdana"/>
          <w:sz w:val="20"/>
          <w:vertAlign w:val="subscript"/>
        </w:rPr>
        <w:t>k</w:t>
      </w:r>
      <w:proofErr w:type="spellEnd"/>
      <w:r w:rsidRPr="00190686">
        <w:rPr>
          <w:rFonts w:ascii="Verdana" w:hAnsi="Verdana"/>
          <w:sz w:val="20"/>
        </w:rPr>
        <w:t xml:space="preserve">, desde a 1ª (primeira) Data de Integralização das Debêntures da Primeira Série (ou a Data de Pagamento da Remuneração da Primeira Série imediatamente anterior, conforme o caso), inclusive, até </w:t>
      </w:r>
      <w:r>
        <w:rPr>
          <w:rFonts w:ascii="Verdana" w:hAnsi="Verdana"/>
          <w:sz w:val="20"/>
        </w:rPr>
        <w:t>a</w:t>
      </w:r>
      <w:r w:rsidRPr="00190686">
        <w:rPr>
          <w:rFonts w:ascii="Verdana" w:hAnsi="Verdana"/>
          <w:sz w:val="20"/>
        </w:rPr>
        <w:t xml:space="preserve"> respectiva data de pagamento, </w:t>
      </w:r>
      <w:r>
        <w:rPr>
          <w:rFonts w:ascii="Verdana" w:hAnsi="Verdana"/>
          <w:sz w:val="20"/>
        </w:rPr>
        <w:t>exclusive</w:t>
      </w:r>
      <w:r w:rsidRPr="00190686">
        <w:rPr>
          <w:rFonts w:ascii="Verdana" w:hAnsi="Verdana"/>
          <w:sz w:val="20"/>
        </w:rPr>
        <w:t xml:space="preserve">, calculado com 8 (oito) casas decimais, com arredondamento, apurado da seguinte forma: </w:t>
      </w:r>
    </w:p>
    <w:p w14:paraId="10D8BE07" w14:textId="77777777" w:rsidR="002D5261" w:rsidRPr="00190686" w:rsidRDefault="002D5261" w:rsidP="002D5261">
      <w:pPr>
        <w:tabs>
          <w:tab w:val="left" w:pos="851"/>
        </w:tabs>
        <w:spacing w:after="0"/>
        <w:ind w:left="709"/>
        <w:rPr>
          <w:rFonts w:ascii="Verdana" w:hAnsi="Verdana"/>
          <w:sz w:val="20"/>
        </w:rPr>
      </w:pPr>
    </w:p>
    <w:p w14:paraId="65FEDB99" w14:textId="77777777" w:rsidR="002D5261" w:rsidRPr="00190686" w:rsidRDefault="002D5261" w:rsidP="002D5261">
      <w:pPr>
        <w:tabs>
          <w:tab w:val="left" w:pos="851"/>
        </w:tabs>
        <w:spacing w:after="0"/>
        <w:ind w:left="709"/>
        <w:jc w:val="center"/>
        <w:rPr>
          <w:rFonts w:ascii="Verdana" w:hAnsi="Verdana"/>
          <w:sz w:val="20"/>
        </w:rPr>
      </w:pPr>
      <w:r w:rsidRPr="00190686">
        <w:rPr>
          <w:rFonts w:ascii="Verdana" w:hAnsi="Verdana"/>
          <w:noProof/>
          <w:sz w:val="20"/>
        </w:rPr>
        <w:drawing>
          <wp:inline distT="0" distB="0" distL="0" distR="0" wp14:anchorId="7F05993C" wp14:editId="14D493D4">
            <wp:extent cx="1726565" cy="450215"/>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1" cstate="print">
                      <a:extLst>
                        <a:ext uri="{28A0092B-C50C-407E-A947-70E740481C1C}">
                          <a14:useLocalDpi xmlns:a14="http://schemas.microsoft.com/office/drawing/2010/main" val="0"/>
                        </a:ext>
                      </a:extLst>
                    </a:blip>
                    <a:srcRect b="34506"/>
                    <a:stretch>
                      <a:fillRect/>
                    </a:stretch>
                  </pic:blipFill>
                  <pic:spPr bwMode="auto">
                    <a:xfrm>
                      <a:off x="0" y="0"/>
                      <a:ext cx="1726565" cy="450215"/>
                    </a:xfrm>
                    <a:prstGeom prst="rect">
                      <a:avLst/>
                    </a:prstGeom>
                    <a:noFill/>
                    <a:ln>
                      <a:noFill/>
                    </a:ln>
                  </pic:spPr>
                </pic:pic>
              </a:graphicData>
            </a:graphic>
          </wp:inline>
        </w:drawing>
      </w:r>
    </w:p>
    <w:p w14:paraId="7D3B5A3D" w14:textId="77777777" w:rsidR="002D5261" w:rsidRPr="00190686" w:rsidRDefault="002D5261" w:rsidP="002D5261">
      <w:pPr>
        <w:tabs>
          <w:tab w:val="left" w:pos="851"/>
        </w:tabs>
        <w:spacing w:after="0"/>
        <w:ind w:left="709"/>
        <w:rPr>
          <w:rFonts w:ascii="Verdana" w:hAnsi="Verdana"/>
          <w:sz w:val="20"/>
        </w:rPr>
      </w:pPr>
    </w:p>
    <w:p w14:paraId="6901D84F" w14:textId="77777777" w:rsidR="002D5261" w:rsidRPr="00190686" w:rsidRDefault="002D5261" w:rsidP="002D5261">
      <w:pPr>
        <w:tabs>
          <w:tab w:val="left" w:pos="851"/>
        </w:tabs>
        <w:spacing w:after="0" w:line="300" w:lineRule="exact"/>
        <w:rPr>
          <w:rFonts w:ascii="Verdana" w:hAnsi="Verdana"/>
          <w:sz w:val="20"/>
        </w:rPr>
      </w:pPr>
      <w:proofErr w:type="gramStart"/>
      <w:r w:rsidRPr="00190686">
        <w:rPr>
          <w:rFonts w:ascii="Verdana" w:hAnsi="Verdana"/>
          <w:sz w:val="20"/>
        </w:rPr>
        <w:t>onde</w:t>
      </w:r>
      <w:proofErr w:type="gramEnd"/>
      <w:r w:rsidRPr="00190686">
        <w:rPr>
          <w:rFonts w:ascii="Verdana" w:hAnsi="Verdana"/>
          <w:sz w:val="20"/>
        </w:rPr>
        <w:t>:</w:t>
      </w:r>
    </w:p>
    <w:p w14:paraId="06D43C2C"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k = número de ordens das Taxas DI </w:t>
      </w:r>
      <w:r w:rsidRPr="00190686">
        <w:rPr>
          <w:rFonts w:ascii="Verdana" w:hAnsi="Verdana"/>
          <w:i/>
          <w:sz w:val="20"/>
        </w:rPr>
        <w:t>Over</w:t>
      </w:r>
      <w:r w:rsidRPr="00190686">
        <w:rPr>
          <w:rFonts w:ascii="Verdana" w:hAnsi="Verdana"/>
          <w:sz w:val="20"/>
        </w:rPr>
        <w:t xml:space="preserve">, variando de </w:t>
      </w:r>
      <w:proofErr w:type="gramStart"/>
      <w:r w:rsidRPr="00190686">
        <w:rPr>
          <w:rFonts w:ascii="Verdana" w:hAnsi="Verdana"/>
          <w:sz w:val="20"/>
        </w:rPr>
        <w:t>1</w:t>
      </w:r>
      <w:proofErr w:type="gramEnd"/>
      <w:r w:rsidRPr="00190686">
        <w:rPr>
          <w:rFonts w:ascii="Verdana" w:hAnsi="Verdana"/>
          <w:sz w:val="20"/>
        </w:rPr>
        <w:t xml:space="preserve"> (um) até </w:t>
      </w:r>
      <w:proofErr w:type="spellStart"/>
      <w:r w:rsidRPr="00190686">
        <w:rPr>
          <w:rFonts w:ascii="Verdana" w:hAnsi="Verdana"/>
          <w:sz w:val="20"/>
        </w:rPr>
        <w:t>n</w:t>
      </w:r>
      <w:r w:rsidRPr="00190686">
        <w:rPr>
          <w:rFonts w:ascii="Verdana" w:hAnsi="Verdana"/>
          <w:sz w:val="20"/>
          <w:vertAlign w:val="subscript"/>
        </w:rPr>
        <w:t>DI</w:t>
      </w:r>
      <w:proofErr w:type="spellEnd"/>
      <w:r w:rsidRPr="00190686">
        <w:rPr>
          <w:rFonts w:ascii="Verdana" w:hAnsi="Verdana"/>
          <w:sz w:val="20"/>
        </w:rPr>
        <w:t>.</w:t>
      </w:r>
    </w:p>
    <w:p w14:paraId="171525ED" w14:textId="77777777" w:rsidR="002D5261" w:rsidRPr="00190686" w:rsidRDefault="002D5261" w:rsidP="002D5261">
      <w:pPr>
        <w:tabs>
          <w:tab w:val="left" w:pos="851"/>
        </w:tabs>
        <w:spacing w:after="0" w:line="300" w:lineRule="exact"/>
        <w:ind w:left="709"/>
        <w:rPr>
          <w:rFonts w:ascii="Verdana" w:hAnsi="Verdana"/>
          <w:sz w:val="20"/>
        </w:rPr>
      </w:pPr>
    </w:p>
    <w:p w14:paraId="215CA295" w14:textId="77777777" w:rsidR="002D5261" w:rsidRPr="00190686" w:rsidRDefault="002D5261" w:rsidP="002D5261">
      <w:pPr>
        <w:tabs>
          <w:tab w:val="left" w:pos="851"/>
        </w:tabs>
        <w:spacing w:after="0" w:line="300" w:lineRule="exact"/>
        <w:rPr>
          <w:rFonts w:ascii="Verdana" w:hAnsi="Verdana"/>
          <w:sz w:val="20"/>
        </w:rPr>
      </w:pPr>
      <w:proofErr w:type="spellStart"/>
      <w:proofErr w:type="gramStart"/>
      <w:r w:rsidRPr="00190686">
        <w:rPr>
          <w:rFonts w:ascii="Verdana" w:hAnsi="Verdana"/>
          <w:sz w:val="20"/>
        </w:rPr>
        <w:t>n</w:t>
      </w:r>
      <w:r w:rsidRPr="00190686">
        <w:rPr>
          <w:rFonts w:ascii="Verdana" w:hAnsi="Verdana"/>
          <w:sz w:val="20"/>
          <w:vertAlign w:val="subscript"/>
        </w:rPr>
        <w:t>DI</w:t>
      </w:r>
      <w:proofErr w:type="spellEnd"/>
      <w:proofErr w:type="gramEnd"/>
      <w:r w:rsidRPr="00190686">
        <w:rPr>
          <w:rFonts w:ascii="Verdana" w:hAnsi="Verdana"/>
          <w:sz w:val="20"/>
        </w:rPr>
        <w:t xml:space="preserve"> = número total de Taxas DI </w:t>
      </w:r>
      <w:r w:rsidRPr="00190686">
        <w:rPr>
          <w:rFonts w:ascii="Verdana" w:hAnsi="Verdana"/>
          <w:i/>
          <w:sz w:val="20"/>
        </w:rPr>
        <w:t>Over</w:t>
      </w:r>
      <w:r w:rsidRPr="00190686">
        <w:rPr>
          <w:rFonts w:ascii="Verdana" w:hAnsi="Verdana"/>
          <w:sz w:val="20"/>
        </w:rPr>
        <w:t>, consideradas na apuração do “</w:t>
      </w:r>
      <w:proofErr w:type="spellStart"/>
      <w:r w:rsidRPr="00190686">
        <w:rPr>
          <w:rFonts w:ascii="Verdana" w:hAnsi="Verdana"/>
          <w:sz w:val="20"/>
        </w:rPr>
        <w:t>FatorDI</w:t>
      </w:r>
      <w:proofErr w:type="spellEnd"/>
      <w:r w:rsidRPr="00190686">
        <w:rPr>
          <w:rFonts w:ascii="Verdana" w:hAnsi="Verdana"/>
          <w:sz w:val="20"/>
        </w:rPr>
        <w:t>”, sendo “</w:t>
      </w:r>
      <w:proofErr w:type="spellStart"/>
      <w:r w:rsidRPr="00190686">
        <w:rPr>
          <w:rFonts w:ascii="Verdana" w:hAnsi="Verdana"/>
          <w:sz w:val="20"/>
        </w:rPr>
        <w:t>n</w:t>
      </w:r>
      <w:r w:rsidRPr="00190686">
        <w:rPr>
          <w:rFonts w:ascii="Verdana" w:hAnsi="Verdana"/>
          <w:sz w:val="20"/>
          <w:vertAlign w:val="subscript"/>
        </w:rPr>
        <w:t>DI</w:t>
      </w:r>
      <w:proofErr w:type="spellEnd"/>
      <w:r w:rsidRPr="00190686">
        <w:rPr>
          <w:rFonts w:ascii="Verdana" w:hAnsi="Verdana"/>
          <w:sz w:val="20"/>
        </w:rPr>
        <w:t>” um número inteiro; e</w:t>
      </w:r>
    </w:p>
    <w:p w14:paraId="79D5EB6B" w14:textId="77777777" w:rsidR="002D5261" w:rsidRPr="00190686" w:rsidRDefault="002D5261" w:rsidP="002D5261">
      <w:pPr>
        <w:tabs>
          <w:tab w:val="left" w:pos="851"/>
        </w:tabs>
        <w:spacing w:after="0" w:line="300" w:lineRule="exact"/>
        <w:ind w:left="709"/>
        <w:rPr>
          <w:rFonts w:ascii="Verdana" w:hAnsi="Verdana"/>
          <w:sz w:val="20"/>
        </w:rPr>
      </w:pPr>
    </w:p>
    <w:p w14:paraId="1EB5580B" w14:textId="2D84D9DB" w:rsidR="002D5261" w:rsidRPr="00190686" w:rsidRDefault="002D5261" w:rsidP="002D5261">
      <w:pPr>
        <w:tabs>
          <w:tab w:val="left" w:pos="851"/>
        </w:tabs>
        <w:spacing w:after="0" w:line="300" w:lineRule="exact"/>
        <w:rPr>
          <w:rFonts w:ascii="Verdana" w:hAnsi="Verdana"/>
          <w:sz w:val="20"/>
        </w:rPr>
      </w:pPr>
      <w:proofErr w:type="spellStart"/>
      <w:proofErr w:type="gramStart"/>
      <w:r w:rsidRPr="00190686">
        <w:rPr>
          <w:rFonts w:ascii="Verdana" w:hAnsi="Verdana"/>
          <w:sz w:val="20"/>
        </w:rPr>
        <w:t>TDI</w:t>
      </w:r>
      <w:r w:rsidRPr="00190686">
        <w:rPr>
          <w:rFonts w:ascii="Verdana" w:hAnsi="Verdana"/>
          <w:sz w:val="20"/>
          <w:vertAlign w:val="subscript"/>
        </w:rPr>
        <w:t>k</w:t>
      </w:r>
      <w:proofErr w:type="spellEnd"/>
      <w:proofErr w:type="gramEnd"/>
      <w:r w:rsidRPr="00190686">
        <w:rPr>
          <w:rFonts w:ascii="Verdana" w:hAnsi="Verdana"/>
          <w:sz w:val="20"/>
        </w:rPr>
        <w:t xml:space="preserve"> = Taxa </w:t>
      </w:r>
      <w:proofErr w:type="spellStart"/>
      <w:r w:rsidRPr="00190686">
        <w:rPr>
          <w:rFonts w:ascii="Verdana" w:hAnsi="Verdana"/>
          <w:sz w:val="20"/>
        </w:rPr>
        <w:t>DI</w:t>
      </w:r>
      <w:r w:rsidRPr="00190686">
        <w:rPr>
          <w:rFonts w:ascii="Verdana" w:hAnsi="Verdana"/>
          <w:sz w:val="20"/>
          <w:vertAlign w:val="subscript"/>
        </w:rPr>
        <w:t>k</w:t>
      </w:r>
      <w:proofErr w:type="spellEnd"/>
      <w:r w:rsidRPr="00190686">
        <w:rPr>
          <w:rFonts w:ascii="Verdana" w:hAnsi="Verdana"/>
          <w:sz w:val="20"/>
        </w:rPr>
        <w:t xml:space="preserve">, expressa </w:t>
      </w:r>
      <w:r>
        <w:rPr>
          <w:rFonts w:ascii="Verdana" w:hAnsi="Verdana"/>
          <w:sz w:val="20"/>
        </w:rPr>
        <w:t>ao</w:t>
      </w:r>
      <w:r w:rsidRPr="00190686">
        <w:rPr>
          <w:rFonts w:ascii="Verdana" w:hAnsi="Verdana"/>
          <w:sz w:val="20"/>
        </w:rPr>
        <w:t xml:space="preserve"> dia, calculado com 8 (oito) casas decimais, com arredondamento, apurado da seguinte forma:</w:t>
      </w:r>
    </w:p>
    <w:p w14:paraId="2DFF4E54" w14:textId="77777777" w:rsidR="002D5261" w:rsidRPr="00190686" w:rsidRDefault="002D5261" w:rsidP="002D5261">
      <w:pPr>
        <w:tabs>
          <w:tab w:val="left" w:pos="851"/>
        </w:tabs>
        <w:spacing w:after="0" w:line="300" w:lineRule="exact"/>
        <w:ind w:left="709"/>
        <w:jc w:val="center"/>
        <w:rPr>
          <w:rFonts w:ascii="Verdana" w:hAnsi="Verdana"/>
          <w:sz w:val="20"/>
        </w:rPr>
      </w:pPr>
      <w:r w:rsidRPr="00190686">
        <w:rPr>
          <w:rFonts w:ascii="Verdana" w:hAnsi="Verdana"/>
          <w:noProof/>
          <w:sz w:val="20"/>
        </w:rPr>
        <w:drawing>
          <wp:anchor distT="0" distB="0" distL="114300" distR="114300" simplePos="0" relativeHeight="251659264" behindDoc="0" locked="0" layoutInCell="1" allowOverlap="1" wp14:anchorId="3A37D766" wp14:editId="0B4F446A">
            <wp:simplePos x="0" y="0"/>
            <wp:positionH relativeFrom="column">
              <wp:posOffset>2105025</wp:posOffset>
            </wp:positionH>
            <wp:positionV relativeFrom="paragraph">
              <wp:posOffset>252095</wp:posOffset>
            </wp:positionV>
            <wp:extent cx="1475740" cy="52578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2" cstate="print">
                      <a:extLst>
                        <a:ext uri="{28A0092B-C50C-407E-A947-70E740481C1C}">
                          <a14:useLocalDpi xmlns:a14="http://schemas.microsoft.com/office/drawing/2010/main" val="0"/>
                        </a:ext>
                      </a:extLst>
                    </a:blip>
                    <a:srcRect b="29161"/>
                    <a:stretch>
                      <a:fillRect/>
                    </a:stretch>
                  </pic:blipFill>
                  <pic:spPr bwMode="auto">
                    <a:xfrm>
                      <a:off x="0" y="0"/>
                      <a:ext cx="1475740" cy="525780"/>
                    </a:xfrm>
                    <a:prstGeom prst="rect">
                      <a:avLst/>
                    </a:prstGeom>
                    <a:noFill/>
                  </pic:spPr>
                </pic:pic>
              </a:graphicData>
            </a:graphic>
            <wp14:sizeRelH relativeFrom="page">
              <wp14:pctWidth>0</wp14:pctWidth>
            </wp14:sizeRelH>
            <wp14:sizeRelV relativeFrom="page">
              <wp14:pctHeight>0</wp14:pctHeight>
            </wp14:sizeRelV>
          </wp:anchor>
        </w:drawing>
      </w:r>
    </w:p>
    <w:p w14:paraId="366CA610" w14:textId="77777777" w:rsidR="002D5261" w:rsidRPr="00190686" w:rsidRDefault="002D5261" w:rsidP="002D5261">
      <w:pPr>
        <w:tabs>
          <w:tab w:val="left" w:pos="851"/>
        </w:tabs>
        <w:spacing w:after="0" w:line="300" w:lineRule="exact"/>
        <w:ind w:left="709"/>
        <w:jc w:val="center"/>
        <w:rPr>
          <w:rFonts w:ascii="Verdana" w:hAnsi="Verdana"/>
          <w:sz w:val="20"/>
        </w:rPr>
      </w:pPr>
    </w:p>
    <w:p w14:paraId="012B7A79" w14:textId="77777777" w:rsidR="002D5261" w:rsidRPr="00190686" w:rsidRDefault="002D5261" w:rsidP="002D5261">
      <w:pPr>
        <w:tabs>
          <w:tab w:val="left" w:pos="851"/>
        </w:tabs>
        <w:spacing w:after="0" w:line="300" w:lineRule="exact"/>
        <w:rPr>
          <w:rFonts w:ascii="Verdana" w:hAnsi="Verdana"/>
          <w:sz w:val="20"/>
        </w:rPr>
      </w:pPr>
      <w:proofErr w:type="gramStart"/>
      <w:r w:rsidRPr="00190686">
        <w:rPr>
          <w:rFonts w:ascii="Verdana" w:hAnsi="Verdana"/>
          <w:sz w:val="20"/>
        </w:rPr>
        <w:t>onde</w:t>
      </w:r>
      <w:proofErr w:type="gramEnd"/>
      <w:r w:rsidRPr="00190686">
        <w:rPr>
          <w:rFonts w:ascii="Verdana" w:hAnsi="Verdana"/>
          <w:sz w:val="20"/>
        </w:rPr>
        <w:t>:</w:t>
      </w:r>
    </w:p>
    <w:p w14:paraId="7C063272" w14:textId="77777777" w:rsidR="002D5261" w:rsidRPr="00190686" w:rsidRDefault="002D5261" w:rsidP="002D5261">
      <w:pPr>
        <w:tabs>
          <w:tab w:val="left" w:pos="851"/>
        </w:tabs>
        <w:spacing w:after="0" w:line="300" w:lineRule="exact"/>
        <w:ind w:left="709"/>
        <w:rPr>
          <w:rFonts w:ascii="Verdana" w:hAnsi="Verdana"/>
          <w:sz w:val="20"/>
        </w:rPr>
      </w:pPr>
    </w:p>
    <w:p w14:paraId="14CA2BFD" w14:textId="77777777" w:rsidR="002D5261" w:rsidRPr="00190686" w:rsidRDefault="002D5261" w:rsidP="002D5261">
      <w:pPr>
        <w:tabs>
          <w:tab w:val="left" w:pos="851"/>
        </w:tabs>
        <w:spacing w:after="0" w:line="300" w:lineRule="exact"/>
        <w:rPr>
          <w:rFonts w:ascii="Verdana" w:hAnsi="Verdana"/>
          <w:sz w:val="20"/>
        </w:rPr>
      </w:pPr>
      <w:proofErr w:type="spellStart"/>
      <w:proofErr w:type="gramStart"/>
      <w:r w:rsidRPr="00190686">
        <w:rPr>
          <w:rFonts w:ascii="Verdana" w:hAnsi="Verdana"/>
          <w:sz w:val="20"/>
        </w:rPr>
        <w:t>DI</w:t>
      </w:r>
      <w:r w:rsidRPr="00190686">
        <w:rPr>
          <w:rFonts w:ascii="Verdana" w:hAnsi="Verdana"/>
          <w:sz w:val="20"/>
          <w:vertAlign w:val="subscript"/>
        </w:rPr>
        <w:t>k</w:t>
      </w:r>
      <w:proofErr w:type="spellEnd"/>
      <w:proofErr w:type="gramEnd"/>
      <w:r w:rsidRPr="00190686">
        <w:rPr>
          <w:rFonts w:ascii="Verdana" w:hAnsi="Verdana"/>
          <w:sz w:val="20"/>
        </w:rPr>
        <w:t xml:space="preserve"> = Taxa DI </w:t>
      </w:r>
      <w:r w:rsidRPr="00190686">
        <w:rPr>
          <w:rFonts w:ascii="Verdana" w:hAnsi="Verdana"/>
          <w:i/>
          <w:sz w:val="20"/>
        </w:rPr>
        <w:t>Over</w:t>
      </w:r>
      <w:r w:rsidRPr="00190686">
        <w:rPr>
          <w:rFonts w:ascii="Verdana" w:hAnsi="Verdana"/>
          <w:sz w:val="20"/>
        </w:rPr>
        <w:t xml:space="preserve"> de ordem k, divulgada pela CETIP, válida por 1 (um) Dia Útil (</w:t>
      </w:r>
      <w:r w:rsidRPr="00190686">
        <w:rPr>
          <w:rFonts w:ascii="Verdana" w:hAnsi="Verdana"/>
          <w:i/>
          <w:sz w:val="20"/>
        </w:rPr>
        <w:t>overnight</w:t>
      </w:r>
      <w:r w:rsidRPr="00190686">
        <w:rPr>
          <w:rFonts w:ascii="Verdana" w:hAnsi="Verdana"/>
          <w:sz w:val="20"/>
        </w:rPr>
        <w:t>), utilizada com 2 (duas) casas decimais;</w:t>
      </w:r>
    </w:p>
    <w:p w14:paraId="2B064F92" w14:textId="77777777" w:rsidR="002D5261" w:rsidRPr="00190686" w:rsidRDefault="002D5261" w:rsidP="002D5261">
      <w:pPr>
        <w:tabs>
          <w:tab w:val="left" w:pos="851"/>
        </w:tabs>
        <w:spacing w:after="0" w:line="300" w:lineRule="exact"/>
        <w:ind w:left="709"/>
        <w:rPr>
          <w:rFonts w:ascii="Verdana" w:hAnsi="Verdana"/>
          <w:sz w:val="20"/>
        </w:rPr>
      </w:pPr>
    </w:p>
    <w:p w14:paraId="2C275288"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Fator Spread = Sobretaxa da Primeira Série calculada com </w:t>
      </w:r>
      <w:proofErr w:type="gramStart"/>
      <w:r w:rsidRPr="00190686">
        <w:rPr>
          <w:rFonts w:ascii="Verdana" w:hAnsi="Verdana"/>
          <w:sz w:val="20"/>
        </w:rPr>
        <w:t>9</w:t>
      </w:r>
      <w:proofErr w:type="gramEnd"/>
      <w:r w:rsidRPr="00190686">
        <w:rPr>
          <w:rFonts w:ascii="Verdana" w:hAnsi="Verdana"/>
          <w:sz w:val="20"/>
        </w:rPr>
        <w:t xml:space="preserve"> (nove) casas decimais, com arredondamento, calculado conforme a seguinte fórmula:</w:t>
      </w:r>
    </w:p>
    <w:p w14:paraId="7B95F19C" w14:textId="77777777" w:rsidR="002D5261" w:rsidRPr="00190686" w:rsidRDefault="002D5261" w:rsidP="002D5261">
      <w:pPr>
        <w:tabs>
          <w:tab w:val="left" w:pos="851"/>
        </w:tabs>
        <w:spacing w:after="0" w:line="300" w:lineRule="exact"/>
        <w:ind w:left="709"/>
        <w:rPr>
          <w:rFonts w:ascii="Verdana" w:hAnsi="Verdana"/>
          <w:sz w:val="20"/>
        </w:rPr>
      </w:pPr>
      <w:r w:rsidRPr="00190686">
        <w:rPr>
          <w:rFonts w:ascii="Verdana" w:hAnsi="Verdana"/>
          <w:noProof/>
          <w:sz w:val="20"/>
        </w:rPr>
        <w:drawing>
          <wp:anchor distT="0" distB="0" distL="114300" distR="114300" simplePos="0" relativeHeight="251660288" behindDoc="0" locked="0" layoutInCell="1" allowOverlap="1" wp14:anchorId="7B00609C" wp14:editId="58873329">
            <wp:simplePos x="0" y="0"/>
            <wp:positionH relativeFrom="column">
              <wp:posOffset>1946275</wp:posOffset>
            </wp:positionH>
            <wp:positionV relativeFrom="paragraph">
              <wp:posOffset>224790</wp:posOffset>
            </wp:positionV>
            <wp:extent cx="1682115" cy="484505"/>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2115" cy="484505"/>
                    </a:xfrm>
                    <a:prstGeom prst="rect">
                      <a:avLst/>
                    </a:prstGeom>
                    <a:noFill/>
                  </pic:spPr>
                </pic:pic>
              </a:graphicData>
            </a:graphic>
            <wp14:sizeRelH relativeFrom="page">
              <wp14:pctWidth>0</wp14:pctWidth>
            </wp14:sizeRelH>
            <wp14:sizeRelV relativeFrom="page">
              <wp14:pctHeight>0</wp14:pctHeight>
            </wp14:sizeRelV>
          </wp:anchor>
        </w:drawing>
      </w:r>
    </w:p>
    <w:p w14:paraId="4262F571" w14:textId="77777777" w:rsidR="002D5261" w:rsidRPr="00190686" w:rsidRDefault="002D5261" w:rsidP="002D5261">
      <w:pPr>
        <w:tabs>
          <w:tab w:val="left" w:pos="851"/>
        </w:tabs>
        <w:spacing w:after="0" w:line="300" w:lineRule="exact"/>
        <w:ind w:left="709"/>
        <w:jc w:val="center"/>
        <w:rPr>
          <w:rFonts w:ascii="Verdana" w:hAnsi="Verdana"/>
          <w:sz w:val="20"/>
        </w:rPr>
      </w:pPr>
    </w:p>
    <w:p w14:paraId="696ECEFC" w14:textId="77777777" w:rsidR="002D5261" w:rsidRPr="00190686" w:rsidRDefault="002D5261" w:rsidP="002D5261">
      <w:pPr>
        <w:tabs>
          <w:tab w:val="left" w:pos="851"/>
        </w:tabs>
        <w:spacing w:after="0" w:line="300" w:lineRule="exact"/>
        <w:rPr>
          <w:rFonts w:ascii="Verdana" w:hAnsi="Verdana"/>
          <w:sz w:val="20"/>
        </w:rPr>
      </w:pPr>
      <w:proofErr w:type="gramStart"/>
      <w:r w:rsidRPr="00190686">
        <w:rPr>
          <w:rFonts w:ascii="Verdana" w:hAnsi="Verdana"/>
          <w:sz w:val="20"/>
        </w:rPr>
        <w:t>onde</w:t>
      </w:r>
      <w:proofErr w:type="gramEnd"/>
      <w:r w:rsidRPr="00190686">
        <w:rPr>
          <w:rFonts w:ascii="Verdana" w:hAnsi="Verdana"/>
          <w:sz w:val="20"/>
        </w:rPr>
        <w:t>:</w:t>
      </w:r>
    </w:p>
    <w:p w14:paraId="5B0778B4" w14:textId="77777777" w:rsidR="002D5261" w:rsidRPr="00190686" w:rsidRDefault="002D5261" w:rsidP="002D5261">
      <w:pPr>
        <w:tabs>
          <w:tab w:val="left" w:pos="851"/>
        </w:tabs>
        <w:spacing w:after="0" w:line="300" w:lineRule="exact"/>
        <w:ind w:left="709"/>
        <w:rPr>
          <w:rFonts w:ascii="Verdana" w:hAnsi="Verdana"/>
          <w:sz w:val="20"/>
        </w:rPr>
      </w:pPr>
    </w:p>
    <w:p w14:paraId="48AE8574" w14:textId="77777777" w:rsidR="002D5261" w:rsidRPr="00190686" w:rsidRDefault="002D5261" w:rsidP="002D5261">
      <w:pPr>
        <w:tabs>
          <w:tab w:val="left" w:pos="851"/>
        </w:tabs>
        <w:spacing w:after="0" w:line="300" w:lineRule="exact"/>
        <w:rPr>
          <w:rFonts w:ascii="Verdana" w:hAnsi="Verdana"/>
          <w:sz w:val="20"/>
        </w:rPr>
      </w:pPr>
      <w:proofErr w:type="gramStart"/>
      <w:r w:rsidRPr="00190686">
        <w:rPr>
          <w:rFonts w:ascii="Verdana" w:hAnsi="Verdana"/>
          <w:sz w:val="20"/>
        </w:rPr>
        <w:t>spread</w:t>
      </w:r>
      <w:proofErr w:type="gramEnd"/>
      <w:r w:rsidRPr="00190686">
        <w:rPr>
          <w:rFonts w:ascii="Verdana" w:hAnsi="Verdana"/>
          <w:sz w:val="20"/>
        </w:rPr>
        <w:t xml:space="preserve"> = 2,7000 (dois inteiros e sete mil milésimos), informada com 4 (quatro) casas decimais; e</w:t>
      </w:r>
    </w:p>
    <w:p w14:paraId="6A429AD7" w14:textId="77777777" w:rsidR="002D5261" w:rsidRPr="00190686" w:rsidRDefault="002D5261" w:rsidP="002D5261">
      <w:pPr>
        <w:tabs>
          <w:tab w:val="left" w:pos="851"/>
        </w:tabs>
        <w:spacing w:after="0" w:line="300" w:lineRule="exact"/>
        <w:ind w:left="709"/>
        <w:rPr>
          <w:rFonts w:ascii="Verdana" w:hAnsi="Verdana"/>
          <w:sz w:val="20"/>
        </w:rPr>
      </w:pPr>
    </w:p>
    <w:p w14:paraId="183B12EF"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DP = número de Dias Úteis entre a 1ª (primeira) Data de Integralização das Debêntures da Primeira Série (ou a Data de Pagamento da Remuneração da Primeira Série imediatamente anterior, conforme o caso) e a data atual, sendo “DP” um número inteiro. </w:t>
      </w:r>
    </w:p>
    <w:p w14:paraId="2D5212B9" w14:textId="77777777" w:rsidR="002D5261" w:rsidRPr="00190686" w:rsidRDefault="002D5261" w:rsidP="002D5261">
      <w:pPr>
        <w:tabs>
          <w:tab w:val="left" w:pos="851"/>
        </w:tabs>
        <w:spacing w:after="0" w:line="300" w:lineRule="exact"/>
        <w:rPr>
          <w:rFonts w:ascii="Verdana" w:hAnsi="Verdana"/>
          <w:sz w:val="20"/>
        </w:rPr>
      </w:pPr>
    </w:p>
    <w:p w14:paraId="40A50A04" w14:textId="77777777" w:rsidR="002D5261" w:rsidRPr="00190686" w:rsidRDefault="002D5261" w:rsidP="002D5261">
      <w:pPr>
        <w:numPr>
          <w:ilvl w:val="3"/>
          <w:numId w:val="22"/>
        </w:numPr>
        <w:tabs>
          <w:tab w:val="left" w:pos="851"/>
        </w:tabs>
        <w:spacing w:after="0" w:line="300" w:lineRule="exact"/>
        <w:ind w:left="851" w:hanging="851"/>
        <w:rPr>
          <w:rFonts w:ascii="Verdana" w:hAnsi="Verdana"/>
          <w:sz w:val="20"/>
        </w:rPr>
      </w:pPr>
      <w:r w:rsidRPr="00190686">
        <w:rPr>
          <w:rFonts w:ascii="Verdana" w:hAnsi="Verdana"/>
          <w:sz w:val="20"/>
        </w:rPr>
        <w:t>Observações:</w:t>
      </w:r>
    </w:p>
    <w:p w14:paraId="167E07E2" w14:textId="77777777" w:rsidR="002D5261" w:rsidRPr="00190686" w:rsidRDefault="002D5261" w:rsidP="002D5261">
      <w:pPr>
        <w:tabs>
          <w:tab w:val="left" w:pos="851"/>
        </w:tabs>
        <w:spacing w:after="0" w:line="300" w:lineRule="exact"/>
        <w:ind w:left="709"/>
        <w:rPr>
          <w:rFonts w:ascii="Verdana" w:hAnsi="Verdana"/>
          <w:sz w:val="20"/>
        </w:rPr>
      </w:pPr>
    </w:p>
    <w:p w14:paraId="7C012710" w14:textId="77777777" w:rsidR="002D5261" w:rsidRPr="00190686" w:rsidRDefault="002D5261" w:rsidP="002D5261">
      <w:pPr>
        <w:numPr>
          <w:ilvl w:val="3"/>
          <w:numId w:val="4"/>
        </w:numPr>
        <w:tabs>
          <w:tab w:val="clear" w:pos="2126"/>
          <w:tab w:val="left" w:pos="0"/>
          <w:tab w:val="left" w:pos="851"/>
        </w:tabs>
        <w:spacing w:after="0" w:line="300" w:lineRule="exact"/>
        <w:ind w:left="851" w:hanging="851"/>
        <w:rPr>
          <w:rFonts w:ascii="Verdana" w:hAnsi="Verdana"/>
          <w:sz w:val="20"/>
        </w:rPr>
      </w:pPr>
      <w:proofErr w:type="gramStart"/>
      <w:r w:rsidRPr="00190686">
        <w:rPr>
          <w:rFonts w:ascii="Verdana" w:hAnsi="Verdana"/>
          <w:sz w:val="20"/>
        </w:rPr>
        <w:t>o</w:t>
      </w:r>
      <w:proofErr w:type="gramEnd"/>
      <w:r w:rsidRPr="00190686">
        <w:rPr>
          <w:rFonts w:ascii="Verdana" w:hAnsi="Verdana"/>
          <w:sz w:val="20"/>
        </w:rPr>
        <w:t xml:space="preserve"> fator resultante da expressão (1 + </w:t>
      </w:r>
      <w:proofErr w:type="spellStart"/>
      <w:r w:rsidRPr="00190686">
        <w:rPr>
          <w:rFonts w:ascii="Verdana" w:hAnsi="Verdana"/>
          <w:sz w:val="20"/>
        </w:rPr>
        <w:t>TDI</w:t>
      </w:r>
      <w:r w:rsidRPr="00190686">
        <w:rPr>
          <w:rFonts w:ascii="Verdana" w:hAnsi="Verdana"/>
          <w:sz w:val="20"/>
          <w:vertAlign w:val="subscript"/>
        </w:rPr>
        <w:t>k</w:t>
      </w:r>
      <w:proofErr w:type="spellEnd"/>
      <w:r w:rsidRPr="00190686">
        <w:rPr>
          <w:rFonts w:ascii="Verdana" w:hAnsi="Verdana"/>
          <w:sz w:val="20"/>
        </w:rPr>
        <w:t>) é considerado com 16 (dezesseis) casas decimais, sem arredondamento;</w:t>
      </w:r>
    </w:p>
    <w:p w14:paraId="53449955" w14:textId="77777777" w:rsidR="002D5261" w:rsidRPr="00190686" w:rsidRDefault="002D5261" w:rsidP="002D5261">
      <w:pPr>
        <w:tabs>
          <w:tab w:val="left" w:pos="851"/>
          <w:tab w:val="left" w:pos="1560"/>
        </w:tabs>
        <w:spacing w:after="0" w:line="300" w:lineRule="exact"/>
        <w:ind w:left="851" w:hanging="851"/>
        <w:rPr>
          <w:rFonts w:ascii="Verdana" w:hAnsi="Verdana"/>
          <w:sz w:val="20"/>
        </w:rPr>
      </w:pPr>
    </w:p>
    <w:p w14:paraId="09BB29EC" w14:textId="77777777" w:rsidR="002D5261" w:rsidRPr="00190686" w:rsidRDefault="002D5261" w:rsidP="002D5261">
      <w:pPr>
        <w:numPr>
          <w:ilvl w:val="3"/>
          <w:numId w:val="4"/>
        </w:numPr>
        <w:tabs>
          <w:tab w:val="clear" w:pos="2126"/>
          <w:tab w:val="left" w:pos="0"/>
          <w:tab w:val="left" w:pos="851"/>
        </w:tabs>
        <w:spacing w:after="0" w:line="300" w:lineRule="exact"/>
        <w:ind w:left="851" w:hanging="851"/>
        <w:rPr>
          <w:rFonts w:ascii="Verdana" w:hAnsi="Verdana"/>
          <w:sz w:val="20"/>
        </w:rPr>
      </w:pPr>
      <w:proofErr w:type="gramStart"/>
      <w:r w:rsidRPr="00190686">
        <w:rPr>
          <w:rFonts w:ascii="Verdana" w:hAnsi="Verdana"/>
          <w:sz w:val="20"/>
        </w:rPr>
        <w:t>efetua</w:t>
      </w:r>
      <w:proofErr w:type="gramEnd"/>
      <w:r w:rsidRPr="00190686">
        <w:rPr>
          <w:rFonts w:ascii="Verdana" w:hAnsi="Verdana"/>
          <w:sz w:val="20"/>
        </w:rPr>
        <w:t xml:space="preserve">-se o </w:t>
      </w:r>
      <w:proofErr w:type="spellStart"/>
      <w:r w:rsidRPr="00190686">
        <w:rPr>
          <w:rFonts w:ascii="Verdana" w:hAnsi="Verdana"/>
          <w:sz w:val="20"/>
        </w:rPr>
        <w:t>produtório</w:t>
      </w:r>
      <w:proofErr w:type="spellEnd"/>
      <w:r w:rsidRPr="00190686">
        <w:rPr>
          <w:rFonts w:ascii="Verdana" w:hAnsi="Verdana"/>
          <w:sz w:val="20"/>
        </w:rPr>
        <w:t xml:space="preserve"> dos fatores diários (1 + </w:t>
      </w:r>
      <w:proofErr w:type="spellStart"/>
      <w:r w:rsidRPr="00190686">
        <w:rPr>
          <w:rFonts w:ascii="Verdana" w:hAnsi="Verdana"/>
          <w:sz w:val="20"/>
        </w:rPr>
        <w:t>TDI</w:t>
      </w:r>
      <w:r w:rsidRPr="00190686">
        <w:rPr>
          <w:rFonts w:ascii="Verdana" w:hAnsi="Verdana"/>
          <w:sz w:val="20"/>
          <w:vertAlign w:val="subscript"/>
        </w:rPr>
        <w:t>k</w:t>
      </w:r>
      <w:proofErr w:type="spellEnd"/>
      <w:r w:rsidRPr="00190686">
        <w:rPr>
          <w:rFonts w:ascii="Verdana" w:hAnsi="Verdana"/>
          <w:sz w:val="20"/>
        </w:rPr>
        <w:t>), sendo que a cada fator diário acumulado, trunca-se o resultado com 16 (dezesseis) casas decimais, aplicando-se o próximo fator diário, e assim por diante até o último considerado; e</w:t>
      </w:r>
    </w:p>
    <w:p w14:paraId="6C44069E" w14:textId="77777777" w:rsidR="002D5261" w:rsidRPr="00190686" w:rsidRDefault="002D5261" w:rsidP="002D5261">
      <w:pPr>
        <w:tabs>
          <w:tab w:val="left" w:pos="0"/>
          <w:tab w:val="left" w:pos="851"/>
        </w:tabs>
        <w:spacing w:after="0" w:line="300" w:lineRule="exact"/>
        <w:ind w:left="851"/>
        <w:rPr>
          <w:rFonts w:ascii="Verdana" w:hAnsi="Verdana"/>
          <w:sz w:val="20"/>
        </w:rPr>
      </w:pPr>
    </w:p>
    <w:p w14:paraId="08BECAF8" w14:textId="77777777" w:rsidR="002D5261" w:rsidRPr="00190686" w:rsidRDefault="002D5261" w:rsidP="002D5261">
      <w:pPr>
        <w:numPr>
          <w:ilvl w:val="3"/>
          <w:numId w:val="4"/>
        </w:numPr>
        <w:tabs>
          <w:tab w:val="clear" w:pos="2126"/>
          <w:tab w:val="left" w:pos="0"/>
          <w:tab w:val="left" w:pos="851"/>
        </w:tabs>
        <w:spacing w:after="0" w:line="300" w:lineRule="exact"/>
        <w:ind w:left="851" w:hanging="851"/>
        <w:rPr>
          <w:rFonts w:ascii="Verdana" w:hAnsi="Verdana"/>
          <w:sz w:val="20"/>
        </w:rPr>
      </w:pPr>
      <w:proofErr w:type="gramStart"/>
      <w:r w:rsidRPr="00190686">
        <w:rPr>
          <w:rFonts w:ascii="Verdana" w:hAnsi="Verdana"/>
          <w:sz w:val="20"/>
        </w:rPr>
        <w:t>a</w:t>
      </w:r>
      <w:proofErr w:type="gramEnd"/>
      <w:r w:rsidRPr="00190686">
        <w:rPr>
          <w:rFonts w:ascii="Verdana" w:hAnsi="Verdana"/>
          <w:sz w:val="20"/>
        </w:rPr>
        <w:t xml:space="preserve"> Taxa DI </w:t>
      </w:r>
      <w:r w:rsidRPr="00190686">
        <w:rPr>
          <w:rFonts w:ascii="Verdana" w:hAnsi="Verdana"/>
          <w:i/>
          <w:sz w:val="20"/>
        </w:rPr>
        <w:t>Over</w:t>
      </w:r>
      <w:r w:rsidRPr="00190686">
        <w:rPr>
          <w:rFonts w:ascii="Verdana" w:hAnsi="Verdana"/>
          <w:sz w:val="20"/>
        </w:rPr>
        <w:t xml:space="preserve"> deverá ser utilizada considerando idêntico número de casas decimais divulgado pelo órgão responsável pelo seu cálculo, salvo quando expressamente indicado de outra forma.</w:t>
      </w:r>
    </w:p>
    <w:p w14:paraId="1A7D5168" w14:textId="77777777" w:rsidR="002D5261" w:rsidRPr="00190686" w:rsidRDefault="002D5261" w:rsidP="002D5261">
      <w:pPr>
        <w:tabs>
          <w:tab w:val="left" w:pos="851"/>
        </w:tabs>
        <w:spacing w:after="0" w:line="300" w:lineRule="exact"/>
        <w:rPr>
          <w:rFonts w:ascii="Verdana" w:hAnsi="Verdana"/>
          <w:sz w:val="20"/>
        </w:rPr>
      </w:pPr>
    </w:p>
    <w:p w14:paraId="54A8B6EE" w14:textId="77777777" w:rsidR="002D5261" w:rsidRPr="00190686" w:rsidRDefault="002D5261" w:rsidP="002D5261">
      <w:pPr>
        <w:numPr>
          <w:ilvl w:val="3"/>
          <w:numId w:val="22"/>
        </w:numPr>
        <w:tabs>
          <w:tab w:val="left" w:pos="851"/>
        </w:tabs>
        <w:spacing w:after="0" w:line="300" w:lineRule="exact"/>
        <w:ind w:left="851" w:hanging="851"/>
        <w:rPr>
          <w:rFonts w:ascii="Verdana" w:hAnsi="Verdana"/>
          <w:sz w:val="20"/>
        </w:rPr>
      </w:pPr>
      <w:bookmarkStart w:id="28" w:name="_Ref314589029"/>
      <w:r w:rsidRPr="00190686">
        <w:rPr>
          <w:rFonts w:ascii="Verdana" w:hAnsi="Verdana"/>
          <w:sz w:val="20"/>
        </w:rPr>
        <w:t>Observado o disposto na Cláusula 4.2.5.3 abaixo, se, quando do cálculo de quaisquer obrigações pecuniárias relativas às Debêntures da Primeira Série previstas nesta Escritura de Emissão, a Taxa DI não estiver disponível, será utilizado, em sua substituição, o percentual correspondente à última Taxa DI divulgada oficialmente até a data do cálculo, não sendo devidas quaisquer compensações financeiras, multas ou penalidades entre a Emissora e/ou os Debenturistas da Primeira Série, quando da divulgação posterior da Taxa DI.</w:t>
      </w:r>
      <w:bookmarkEnd w:id="28"/>
    </w:p>
    <w:p w14:paraId="677EB27B" w14:textId="77777777" w:rsidR="002D5261" w:rsidRPr="00190686" w:rsidRDefault="002D5261" w:rsidP="002D5261">
      <w:pPr>
        <w:tabs>
          <w:tab w:val="left" w:pos="0"/>
          <w:tab w:val="left" w:pos="851"/>
        </w:tabs>
        <w:spacing w:after="0" w:line="300" w:lineRule="exact"/>
        <w:ind w:left="993" w:hanging="993"/>
        <w:rPr>
          <w:rFonts w:ascii="Verdana" w:hAnsi="Verdana"/>
          <w:sz w:val="20"/>
        </w:rPr>
      </w:pPr>
    </w:p>
    <w:p w14:paraId="029219B7" w14:textId="77777777" w:rsidR="002D5261" w:rsidRPr="00190686" w:rsidRDefault="002D5261" w:rsidP="002D5261">
      <w:pPr>
        <w:numPr>
          <w:ilvl w:val="3"/>
          <w:numId w:val="22"/>
        </w:numPr>
        <w:tabs>
          <w:tab w:val="left" w:pos="851"/>
        </w:tabs>
        <w:spacing w:after="0" w:line="300" w:lineRule="exact"/>
        <w:ind w:left="851" w:hanging="851"/>
        <w:rPr>
          <w:rFonts w:ascii="Verdana" w:hAnsi="Verdana"/>
          <w:sz w:val="20"/>
        </w:rPr>
      </w:pPr>
      <w:bookmarkStart w:id="29" w:name="_Ref286330516"/>
      <w:bookmarkStart w:id="30" w:name="_Ref286331549"/>
      <w:bookmarkStart w:id="31" w:name="_Ref286154048"/>
      <w:bookmarkEnd w:id="20"/>
      <w:bookmarkEnd w:id="21"/>
      <w:bookmarkEnd w:id="22"/>
      <w:bookmarkEnd w:id="23"/>
      <w:bookmarkEnd w:id="25"/>
      <w:bookmarkEnd w:id="26"/>
      <w:r w:rsidRPr="00190686">
        <w:rPr>
          <w:rFonts w:ascii="Verdana" w:hAnsi="Verdana"/>
          <w:sz w:val="20"/>
        </w:rPr>
        <w:lastRenderedPageBreak/>
        <w:t xml:space="preserve">Na hipótese de extinção, limitação e/ou não divulgação da Taxa DI por mais de 10 (dez) dias consecutivos após a data esperada para sua apuração e/ou divulgação, ou no caso de impossibilidade de aplicação da Taxa DI às Debêntures da Primeira Série por proibição legal ou judicial, o Agente Fiduciário deverá, no prazo de até </w:t>
      </w:r>
      <w:proofErr w:type="gramStart"/>
      <w:r w:rsidRPr="00190686">
        <w:rPr>
          <w:rFonts w:ascii="Verdana" w:hAnsi="Verdana"/>
          <w:sz w:val="20"/>
        </w:rPr>
        <w:t>5</w:t>
      </w:r>
      <w:proofErr w:type="gramEnd"/>
      <w:r w:rsidRPr="00190686">
        <w:rPr>
          <w:rFonts w:ascii="Verdana" w:hAnsi="Verdana"/>
          <w:sz w:val="20"/>
        </w:rPr>
        <w:t xml:space="preserve"> (cinco) dias contados da data de término do prazo de 10 (dez) dias consecutivos ou da data de extinção da Taxa DI ou de impossibilidade de aplicação da Taxa DI por proibição legal ou judicial, conforme o caso, convocar assembleia geral de Debenturistas da Primeira Série para deliberar, em comum acordo com a Emissora e observada a regulamentação aplicável, sobre o novo parâmetro de remuneração das Debêntures da Primeira Série a ser aplicado, que deverá ser aquele que melhor reflita as condições do mercado vigentes à época. Até a deliberação desse novo parâmetro de remuneração das Debêntures da Primeira Série, quando do cálculo de quaisquer obrigações pecuniárias relativas às Debêntures da Primeira Série previstas nesta Escritura de Emissão, será utilizado, para apuração da Taxa DI, o percentual correspondente à última Taxa DI divulgada oficialmente, não sendo devidas quaisquer compensações entre a Emissora e/ou os Debenturistas da Primeira Série quando da deliberação do novo parâmetro de remuneração para as Debêntures da Primeira Série. Caso a Taxa DI volte a ser divulgada antes da realização da assembleia geral de Debenturistas da Primeira Série prevista acima, exceto se ocorrer </w:t>
      </w:r>
      <w:proofErr w:type="gramStart"/>
      <w:r w:rsidRPr="00190686">
        <w:rPr>
          <w:rFonts w:ascii="Verdana" w:hAnsi="Verdana"/>
          <w:sz w:val="20"/>
        </w:rPr>
        <w:t>a</w:t>
      </w:r>
      <w:proofErr w:type="gramEnd"/>
      <w:r w:rsidRPr="00190686">
        <w:rPr>
          <w:rFonts w:ascii="Verdana" w:hAnsi="Verdana"/>
          <w:sz w:val="20"/>
        </w:rPr>
        <w:t xml:space="preserve"> impossibilidade de aplicação da Taxa DI por proibição legal e/ou judicial, referida assembleia geral de Debenturistas da Primeira Série não será realizada, e a Taxa DI, a partir da data de sua divulgação, passará a ser novamente utilizada para o cálculo de quaisquer obrigações pecuniárias relativas às Debêntures da Primeira Série previstas nesta Escritura de Emissão.</w:t>
      </w:r>
      <w:bookmarkStart w:id="32" w:name="_Ref286330522"/>
      <w:bookmarkEnd w:id="29"/>
      <w:r w:rsidRPr="00190686">
        <w:rPr>
          <w:rFonts w:ascii="Verdana" w:hAnsi="Verdana"/>
          <w:sz w:val="20"/>
        </w:rPr>
        <w:t xml:space="preserve"> Caso, na assembleia geral de Debenturistas da Primeira Série prevista acima, não haja acordo sobre a nova remuneração das Debêntures da Primeira Série entre a Emissora e Debenturistas da Primeira Série representando, no mínimo, 75% (setenta e cinco por cento) das Debêntures da Primeira Série em circulação, a Emissora se obriga, desde já, a resgatar a totalidade das Debêntures da Primeira Série, com seu consequente cancelamento, no prazo de 30 (trinta) dias contados da data da realização da assembleia geral de Debenturistas da Primeira Série prevista acima ou na Data de Vencimento da Primeira Série, o que ocorrer primeiro, pelo Valor Nominal de cada uma das Debêntures da Primeira Série, acrescido da Remuneração da Primeira Série, calculada </w:t>
      </w:r>
      <w:proofErr w:type="gramStart"/>
      <w:r w:rsidRPr="00190686">
        <w:rPr>
          <w:rFonts w:ascii="Verdana" w:hAnsi="Verdana"/>
          <w:i/>
          <w:sz w:val="20"/>
        </w:rPr>
        <w:t>pro rata</w:t>
      </w:r>
      <w:proofErr w:type="gramEnd"/>
      <w:r w:rsidRPr="00190686">
        <w:rPr>
          <w:rFonts w:ascii="Verdana" w:hAnsi="Verdana"/>
          <w:i/>
          <w:sz w:val="20"/>
        </w:rPr>
        <w:t xml:space="preserve"> </w:t>
      </w:r>
      <w:proofErr w:type="spellStart"/>
      <w:r w:rsidRPr="00190686">
        <w:rPr>
          <w:rFonts w:ascii="Verdana" w:hAnsi="Verdana"/>
          <w:i/>
          <w:sz w:val="20"/>
        </w:rPr>
        <w:t>temporis</w:t>
      </w:r>
      <w:proofErr w:type="spellEnd"/>
      <w:r w:rsidRPr="00190686">
        <w:rPr>
          <w:rFonts w:ascii="Verdana" w:hAnsi="Verdana"/>
          <w:sz w:val="20"/>
        </w:rPr>
        <w:t xml:space="preserve"> desde a 1ª (primeira) Data de Integralização de Debêntures da Primeira Série ou a data de pagamento de Remuneração da Primeira Série imediatamente anterior, conforme o caso, até a data do efetivo pagamento, caso em que, quando do cálculo de quaisquer obrigações pecuniárias relativas às Debêntures da Primeira Série previstas nesta Escritura de Emissão, será utilizado, para </w:t>
      </w:r>
      <w:r w:rsidRPr="00190686">
        <w:rPr>
          <w:rFonts w:ascii="Verdana" w:hAnsi="Verdana"/>
          <w:sz w:val="20"/>
        </w:rPr>
        <w:lastRenderedPageBreak/>
        <w:t>apuração da Taxa DI, o percentual correspondente à última Taxa DI divulgada oficialmente.</w:t>
      </w:r>
      <w:bookmarkEnd w:id="30"/>
      <w:bookmarkEnd w:id="32"/>
    </w:p>
    <w:p w14:paraId="39F12CB7" w14:textId="77777777" w:rsidR="002D5261" w:rsidRPr="00190686" w:rsidRDefault="002D5261" w:rsidP="002D5261">
      <w:pPr>
        <w:tabs>
          <w:tab w:val="left" w:pos="709"/>
          <w:tab w:val="left" w:pos="851"/>
        </w:tabs>
        <w:spacing w:after="0" w:line="300" w:lineRule="exact"/>
        <w:ind w:left="709"/>
        <w:rPr>
          <w:rFonts w:ascii="Verdana" w:hAnsi="Verdana"/>
          <w:sz w:val="20"/>
        </w:rPr>
      </w:pPr>
    </w:p>
    <w:p w14:paraId="744D3AE7" w14:textId="77777777" w:rsidR="002D5261" w:rsidRPr="00190686" w:rsidRDefault="002D5261" w:rsidP="002D5261">
      <w:pPr>
        <w:numPr>
          <w:ilvl w:val="0"/>
          <w:numId w:val="19"/>
        </w:numPr>
        <w:tabs>
          <w:tab w:val="left" w:pos="851"/>
        </w:tabs>
        <w:spacing w:after="0" w:line="300" w:lineRule="exact"/>
        <w:ind w:left="851" w:hanging="851"/>
        <w:rPr>
          <w:rFonts w:ascii="Verdana" w:hAnsi="Verdana"/>
          <w:b/>
          <w:sz w:val="20"/>
        </w:rPr>
      </w:pPr>
      <w:r w:rsidRPr="00190686">
        <w:rPr>
          <w:rFonts w:ascii="Verdana" w:hAnsi="Verdana"/>
          <w:b/>
          <w:sz w:val="20"/>
        </w:rPr>
        <w:t xml:space="preserve">Atualização Monetária, Amortização e Remuneração das Debêntures da Segunda </w:t>
      </w:r>
      <w:proofErr w:type="gramStart"/>
      <w:r w:rsidRPr="00190686">
        <w:rPr>
          <w:rFonts w:ascii="Verdana" w:hAnsi="Verdana"/>
          <w:b/>
          <w:sz w:val="20"/>
        </w:rPr>
        <w:t>Série</w:t>
      </w:r>
      <w:proofErr w:type="gramEnd"/>
    </w:p>
    <w:p w14:paraId="51D99944" w14:textId="77777777" w:rsidR="002D5261" w:rsidRPr="00190686" w:rsidRDefault="002D5261" w:rsidP="002D5261">
      <w:pPr>
        <w:tabs>
          <w:tab w:val="left" w:pos="851"/>
        </w:tabs>
        <w:spacing w:after="0" w:line="300" w:lineRule="exact"/>
        <w:rPr>
          <w:rFonts w:ascii="Verdana" w:hAnsi="Verdana"/>
          <w:b/>
          <w:sz w:val="20"/>
        </w:rPr>
      </w:pPr>
    </w:p>
    <w:p w14:paraId="23D9AE88" w14:textId="77777777" w:rsidR="002D5261" w:rsidRPr="00190686" w:rsidRDefault="002D5261" w:rsidP="002D5261">
      <w:pPr>
        <w:numPr>
          <w:ilvl w:val="0"/>
          <w:numId w:val="23"/>
        </w:numPr>
        <w:tabs>
          <w:tab w:val="left" w:pos="851"/>
        </w:tabs>
        <w:spacing w:after="0" w:line="300" w:lineRule="exact"/>
        <w:ind w:left="0" w:firstLine="0"/>
        <w:rPr>
          <w:rFonts w:ascii="Verdana" w:hAnsi="Verdana"/>
          <w:sz w:val="20"/>
        </w:rPr>
      </w:pPr>
      <w:bookmarkStart w:id="33" w:name="_Ref264560361"/>
      <w:bookmarkEnd w:id="31"/>
      <w:r w:rsidRPr="00190686">
        <w:rPr>
          <w:rFonts w:ascii="Verdana" w:hAnsi="Verdana"/>
          <w:sz w:val="20"/>
          <w:u w:val="single"/>
        </w:rPr>
        <w:t>Atualização Monetária</w:t>
      </w:r>
      <w:r w:rsidRPr="00190686">
        <w:rPr>
          <w:rFonts w:ascii="Verdana" w:hAnsi="Verdana"/>
          <w:sz w:val="20"/>
        </w:rPr>
        <w:t>. O Valor Nominal de cada uma das Debêntures da Segunda Série não será atualizado monetariamente.</w:t>
      </w:r>
    </w:p>
    <w:p w14:paraId="71094F4D" w14:textId="77777777" w:rsidR="002D5261" w:rsidRPr="00190686" w:rsidRDefault="002D5261" w:rsidP="002D5261">
      <w:pPr>
        <w:tabs>
          <w:tab w:val="left" w:pos="851"/>
        </w:tabs>
        <w:spacing w:after="0" w:line="300" w:lineRule="exact"/>
        <w:rPr>
          <w:rFonts w:ascii="Verdana" w:hAnsi="Verdana"/>
          <w:sz w:val="20"/>
        </w:rPr>
      </w:pPr>
    </w:p>
    <w:p w14:paraId="0D342A26" w14:textId="77777777" w:rsidR="002D5261" w:rsidRPr="00190686" w:rsidRDefault="002D5261" w:rsidP="002D5261">
      <w:pPr>
        <w:numPr>
          <w:ilvl w:val="0"/>
          <w:numId w:val="23"/>
        </w:numPr>
        <w:tabs>
          <w:tab w:val="left" w:pos="851"/>
        </w:tabs>
        <w:spacing w:after="0" w:line="300" w:lineRule="exact"/>
        <w:ind w:left="0" w:firstLine="0"/>
        <w:rPr>
          <w:rFonts w:ascii="Verdana" w:hAnsi="Verdana"/>
          <w:sz w:val="20"/>
        </w:rPr>
      </w:pPr>
      <w:r w:rsidRPr="00190686">
        <w:rPr>
          <w:rFonts w:ascii="Verdana" w:hAnsi="Verdana"/>
          <w:sz w:val="20"/>
          <w:u w:val="single"/>
        </w:rPr>
        <w:t>Amortização</w:t>
      </w:r>
      <w:r w:rsidRPr="00190686">
        <w:rPr>
          <w:rFonts w:ascii="Verdana" w:hAnsi="Verdana"/>
          <w:sz w:val="20"/>
        </w:rPr>
        <w:t xml:space="preserve">. </w:t>
      </w:r>
      <w:r w:rsidRPr="00190686">
        <w:rPr>
          <w:rFonts w:ascii="Verdana" w:hAnsi="Verdana"/>
          <w:color w:val="000000"/>
          <w:sz w:val="20"/>
        </w:rPr>
        <w:t xml:space="preserve">O Valor Nominal das Debêntures da Segunda Série será amortizado integralmente, em uma única parcela, na Data de Vencimento da Segunda Série </w:t>
      </w:r>
      <w:r w:rsidRPr="00190686">
        <w:rPr>
          <w:rFonts w:ascii="Verdana" w:hAnsi="Verdana"/>
          <w:sz w:val="20"/>
        </w:rPr>
        <w:t>ou na data da liquidação antecipada resultante (a) do vencimento antecipado das Debêntures da Segunda Série em razão da ocorrência de um dos Eventos de Inadimplemento ou (b) do resgate antecipado das Debêntures da Segunda Série, nos termos desta Escritura de Emissão</w:t>
      </w:r>
      <w:r w:rsidRPr="00190686">
        <w:rPr>
          <w:rFonts w:ascii="Verdana" w:hAnsi="Verdana"/>
          <w:color w:val="000000"/>
          <w:sz w:val="20"/>
        </w:rPr>
        <w:t>.</w:t>
      </w:r>
    </w:p>
    <w:p w14:paraId="254199F2" w14:textId="77777777" w:rsidR="002D5261" w:rsidRPr="00190686" w:rsidRDefault="002D5261" w:rsidP="002D5261">
      <w:pPr>
        <w:tabs>
          <w:tab w:val="left" w:pos="851"/>
        </w:tabs>
        <w:spacing w:after="0" w:line="300" w:lineRule="exact"/>
        <w:rPr>
          <w:rFonts w:ascii="Verdana" w:hAnsi="Verdana"/>
          <w:sz w:val="20"/>
        </w:rPr>
      </w:pPr>
    </w:p>
    <w:p w14:paraId="60BB9DD9" w14:textId="77777777" w:rsidR="002D5261" w:rsidRPr="00190686" w:rsidRDefault="002D5261" w:rsidP="002D5261">
      <w:pPr>
        <w:numPr>
          <w:ilvl w:val="0"/>
          <w:numId w:val="23"/>
        </w:numPr>
        <w:tabs>
          <w:tab w:val="left" w:pos="851"/>
        </w:tabs>
        <w:spacing w:after="0" w:line="300" w:lineRule="exact"/>
        <w:ind w:left="0" w:firstLine="0"/>
        <w:rPr>
          <w:rFonts w:ascii="Verdana" w:hAnsi="Verdana"/>
          <w:sz w:val="20"/>
        </w:rPr>
      </w:pPr>
      <w:r w:rsidRPr="00190686">
        <w:rPr>
          <w:rFonts w:ascii="Verdana" w:hAnsi="Verdana"/>
          <w:sz w:val="20"/>
          <w:u w:val="single"/>
        </w:rPr>
        <w:t>Juros</w:t>
      </w:r>
      <w:r w:rsidRPr="00190686">
        <w:rPr>
          <w:rFonts w:ascii="Verdana" w:hAnsi="Verdana"/>
          <w:i/>
          <w:sz w:val="20"/>
          <w:u w:val="single"/>
        </w:rPr>
        <w:t xml:space="preserve"> </w:t>
      </w:r>
      <w:r w:rsidRPr="00190686">
        <w:rPr>
          <w:rFonts w:ascii="Verdana" w:hAnsi="Verdana"/>
          <w:sz w:val="20"/>
          <w:u w:val="single"/>
        </w:rPr>
        <w:t>Remuneratórios</w:t>
      </w:r>
      <w:r w:rsidRPr="00190686">
        <w:rPr>
          <w:rFonts w:ascii="Verdana" w:hAnsi="Verdana"/>
          <w:sz w:val="20"/>
        </w:rPr>
        <w:t xml:space="preserve">. Sobre o Valor Nominal de cada uma das Debêntures da Segunda Série incidirão juros remuneratórios correspondentes a 100% (cem por cento) da variação acumulada da Taxa DI, acrescida de uma sobretaxa ou </w:t>
      </w:r>
      <w:r w:rsidRPr="00190686">
        <w:rPr>
          <w:rFonts w:ascii="Verdana" w:hAnsi="Verdana"/>
          <w:i/>
          <w:sz w:val="20"/>
        </w:rPr>
        <w:t xml:space="preserve">spread </w:t>
      </w:r>
      <w:r w:rsidRPr="00190686">
        <w:rPr>
          <w:rFonts w:ascii="Verdana" w:hAnsi="Verdana"/>
          <w:sz w:val="20"/>
        </w:rPr>
        <w:t>de 3,00% (três inteiros por cento) ao ano, base 252 (duzentos e cinquenta e dois) Dias Úteis (“</w:t>
      </w:r>
      <w:r w:rsidRPr="00190686">
        <w:rPr>
          <w:rFonts w:ascii="Verdana" w:hAnsi="Verdana"/>
          <w:sz w:val="20"/>
          <w:u w:val="single"/>
        </w:rPr>
        <w:t>Sobretaxa da Segunda Série</w:t>
      </w:r>
      <w:r w:rsidRPr="00190686">
        <w:rPr>
          <w:rFonts w:ascii="Verdana" w:hAnsi="Verdana"/>
          <w:sz w:val="20"/>
        </w:rPr>
        <w:t>”, e, em conjunto com a Taxa DI, “</w:t>
      </w:r>
      <w:r w:rsidRPr="00190686">
        <w:rPr>
          <w:rFonts w:ascii="Verdana" w:hAnsi="Verdana"/>
          <w:sz w:val="20"/>
          <w:u w:val="single"/>
        </w:rPr>
        <w:t>Remuneração da Segunda Série</w:t>
      </w:r>
      <w:r w:rsidRPr="00190686">
        <w:rPr>
          <w:rFonts w:ascii="Verdana" w:hAnsi="Verdana"/>
          <w:sz w:val="20"/>
        </w:rPr>
        <w:t>” e, em conjunto com a Remuneração da Primeira Série, a “</w:t>
      </w:r>
      <w:r w:rsidRPr="00190686">
        <w:rPr>
          <w:rFonts w:ascii="Verdana" w:hAnsi="Verdana"/>
          <w:sz w:val="20"/>
          <w:u w:val="single"/>
        </w:rPr>
        <w:t>Remuneração</w:t>
      </w:r>
      <w:r w:rsidRPr="00190686">
        <w:rPr>
          <w:rFonts w:ascii="Verdana" w:hAnsi="Verdana"/>
          <w:sz w:val="20"/>
        </w:rPr>
        <w:t xml:space="preserve">”), calculados de forma exponencial e cumulativa </w:t>
      </w:r>
      <w:proofErr w:type="gramStart"/>
      <w:r w:rsidRPr="00190686">
        <w:rPr>
          <w:rFonts w:ascii="Verdana" w:hAnsi="Verdana"/>
          <w:i/>
          <w:sz w:val="20"/>
        </w:rPr>
        <w:t>pro rata</w:t>
      </w:r>
      <w:proofErr w:type="gramEnd"/>
      <w:r w:rsidRPr="00190686">
        <w:rPr>
          <w:rFonts w:ascii="Verdana" w:hAnsi="Verdana"/>
          <w:i/>
          <w:sz w:val="20"/>
        </w:rPr>
        <w:t xml:space="preserve"> </w:t>
      </w:r>
      <w:proofErr w:type="spellStart"/>
      <w:r w:rsidRPr="00190686">
        <w:rPr>
          <w:rFonts w:ascii="Verdana" w:hAnsi="Verdana"/>
          <w:i/>
          <w:sz w:val="20"/>
        </w:rPr>
        <w:t>temporis</w:t>
      </w:r>
      <w:proofErr w:type="spellEnd"/>
      <w:r w:rsidRPr="00190686">
        <w:rPr>
          <w:rFonts w:ascii="Verdana" w:hAnsi="Verdana"/>
          <w:sz w:val="20"/>
        </w:rPr>
        <w:t xml:space="preserve"> por Dias Úteis decorridos, desde a 1ª (primeira) Data de Integralização das Debêntures da Segunda Série ou a data de pagamento de Remuneração da Segunda Série imediatamente anterior, conforme o caso, até a data do efetivo pagamento. </w:t>
      </w:r>
    </w:p>
    <w:p w14:paraId="18A36BDF" w14:textId="77777777" w:rsidR="002D5261" w:rsidRPr="00190686" w:rsidRDefault="002D5261" w:rsidP="002D5261">
      <w:pPr>
        <w:tabs>
          <w:tab w:val="left" w:pos="851"/>
        </w:tabs>
        <w:spacing w:after="0" w:line="300" w:lineRule="exact"/>
        <w:rPr>
          <w:rFonts w:ascii="Verdana" w:hAnsi="Verdana"/>
          <w:sz w:val="20"/>
        </w:rPr>
      </w:pPr>
    </w:p>
    <w:p w14:paraId="506DFBEA" w14:textId="77777777" w:rsidR="002D5261" w:rsidRPr="00190686" w:rsidRDefault="002D5261" w:rsidP="002D5261">
      <w:pPr>
        <w:numPr>
          <w:ilvl w:val="0"/>
          <w:numId w:val="23"/>
        </w:numPr>
        <w:tabs>
          <w:tab w:val="left" w:pos="851"/>
        </w:tabs>
        <w:spacing w:after="0" w:line="300" w:lineRule="exact"/>
        <w:ind w:left="0" w:firstLine="0"/>
        <w:rPr>
          <w:rFonts w:ascii="Verdana" w:hAnsi="Verdana"/>
          <w:sz w:val="20"/>
        </w:rPr>
      </w:pPr>
      <w:r w:rsidRPr="00190686">
        <w:rPr>
          <w:rFonts w:ascii="Verdana" w:hAnsi="Verdana"/>
          <w:sz w:val="20"/>
          <w:u w:val="single"/>
        </w:rPr>
        <w:t>Periodicidade de Pagamento da Remuneração da Segunda Série</w:t>
      </w:r>
      <w:r w:rsidRPr="00190686">
        <w:rPr>
          <w:rFonts w:ascii="Verdana" w:hAnsi="Verdana"/>
          <w:sz w:val="20"/>
        </w:rPr>
        <w:t xml:space="preserve">. Sem prejuízo dos pagamentos em decorrência de resgate antecipado das Debêntures e/ou de vencimento antecipado das obrigações decorrentes das Debêntures, nos termos previstos nesta Escritura de Emissão, a Remuneração da Segunda Série será paga semestralmente a partir da Data de Emissão, no dia </w:t>
      </w:r>
      <w:r>
        <w:rPr>
          <w:rFonts w:ascii="Verdana" w:hAnsi="Verdana"/>
          <w:sz w:val="20"/>
        </w:rPr>
        <w:t xml:space="preserve">30 </w:t>
      </w:r>
      <w:r w:rsidRPr="00190686">
        <w:rPr>
          <w:rFonts w:ascii="Verdana" w:hAnsi="Verdana"/>
          <w:sz w:val="20"/>
        </w:rPr>
        <w:t xml:space="preserve">dos meses de </w:t>
      </w:r>
      <w:r>
        <w:rPr>
          <w:rFonts w:ascii="Verdana" w:hAnsi="Verdana"/>
          <w:sz w:val="20"/>
        </w:rPr>
        <w:t xml:space="preserve">maio </w:t>
      </w:r>
      <w:r w:rsidRPr="00190686">
        <w:rPr>
          <w:rFonts w:ascii="Verdana" w:hAnsi="Verdana"/>
          <w:sz w:val="20"/>
        </w:rPr>
        <w:t xml:space="preserve">e </w:t>
      </w:r>
      <w:r>
        <w:rPr>
          <w:rFonts w:ascii="Verdana" w:hAnsi="Verdana"/>
          <w:sz w:val="20"/>
        </w:rPr>
        <w:t xml:space="preserve">novembro </w:t>
      </w:r>
      <w:r w:rsidRPr="00190686">
        <w:rPr>
          <w:rFonts w:ascii="Verdana" w:hAnsi="Verdana"/>
          <w:sz w:val="20"/>
        </w:rPr>
        <w:t xml:space="preserve">de cada ano, ocorrendo o primeiro pagamento em </w:t>
      </w:r>
      <w:r>
        <w:rPr>
          <w:rFonts w:ascii="Verdana" w:hAnsi="Verdana"/>
          <w:sz w:val="20"/>
        </w:rPr>
        <w:t xml:space="preserve">30 </w:t>
      </w:r>
      <w:r w:rsidRPr="00190686">
        <w:rPr>
          <w:rFonts w:ascii="Verdana" w:hAnsi="Verdana"/>
          <w:sz w:val="20"/>
        </w:rPr>
        <w:t>de </w:t>
      </w:r>
      <w:r>
        <w:rPr>
          <w:rFonts w:ascii="Verdana" w:hAnsi="Verdana"/>
          <w:sz w:val="20"/>
        </w:rPr>
        <w:t xml:space="preserve">maio </w:t>
      </w:r>
      <w:r w:rsidRPr="00190686">
        <w:rPr>
          <w:rFonts w:ascii="Verdana" w:hAnsi="Verdana"/>
          <w:sz w:val="20"/>
        </w:rPr>
        <w:t>de </w:t>
      </w:r>
      <w:r>
        <w:rPr>
          <w:rFonts w:ascii="Verdana" w:hAnsi="Verdana"/>
          <w:sz w:val="20"/>
        </w:rPr>
        <w:t xml:space="preserve">2017 </w:t>
      </w:r>
      <w:r w:rsidRPr="00190686">
        <w:rPr>
          <w:rFonts w:ascii="Verdana" w:hAnsi="Verdana"/>
          <w:sz w:val="20"/>
        </w:rPr>
        <w:t xml:space="preserve">e, o último, na Data de Vencimento da Segunda Série. </w:t>
      </w:r>
    </w:p>
    <w:p w14:paraId="266618CD" w14:textId="77777777" w:rsidR="002D5261" w:rsidRPr="00190686" w:rsidRDefault="002D5261" w:rsidP="002D5261">
      <w:pPr>
        <w:pStyle w:val="GradeMdia1-nfase21"/>
        <w:tabs>
          <w:tab w:val="left" w:pos="851"/>
        </w:tabs>
        <w:spacing w:after="0" w:line="300" w:lineRule="exact"/>
        <w:rPr>
          <w:rFonts w:ascii="Verdana" w:hAnsi="Verdana"/>
          <w:sz w:val="20"/>
        </w:rPr>
      </w:pPr>
    </w:p>
    <w:p w14:paraId="35D22D51" w14:textId="77777777" w:rsidR="002D5261" w:rsidRPr="00190686" w:rsidRDefault="002D5261" w:rsidP="002D5261">
      <w:pPr>
        <w:numPr>
          <w:ilvl w:val="0"/>
          <w:numId w:val="23"/>
        </w:numPr>
        <w:tabs>
          <w:tab w:val="left" w:pos="851"/>
        </w:tabs>
        <w:spacing w:after="0" w:line="300" w:lineRule="exact"/>
        <w:ind w:left="0" w:firstLine="0"/>
        <w:rPr>
          <w:rFonts w:ascii="Verdana" w:hAnsi="Verdana"/>
          <w:sz w:val="20"/>
        </w:rPr>
      </w:pPr>
      <w:r w:rsidRPr="00190686">
        <w:rPr>
          <w:rFonts w:ascii="Verdana" w:hAnsi="Verdana"/>
          <w:sz w:val="20"/>
          <w:u w:val="single"/>
        </w:rPr>
        <w:t>Fórmula de Cálculo da Remuneração da Segunda Série</w:t>
      </w:r>
      <w:r w:rsidRPr="00190686">
        <w:rPr>
          <w:rFonts w:ascii="Verdana" w:hAnsi="Verdana"/>
          <w:sz w:val="20"/>
        </w:rPr>
        <w:t>. A Remuneração da Segunda Série será calculada de acordo com a seguinte fórmula:</w:t>
      </w:r>
    </w:p>
    <w:p w14:paraId="5B2142C8" w14:textId="77777777" w:rsidR="002D5261" w:rsidRPr="00190686" w:rsidRDefault="002D5261" w:rsidP="002D5261">
      <w:pPr>
        <w:tabs>
          <w:tab w:val="left" w:pos="851"/>
        </w:tabs>
        <w:spacing w:after="0" w:line="300" w:lineRule="exact"/>
        <w:ind w:left="709"/>
        <w:rPr>
          <w:rFonts w:ascii="Verdana" w:hAnsi="Verdana"/>
          <w:sz w:val="20"/>
        </w:rPr>
      </w:pPr>
    </w:p>
    <w:p w14:paraId="260BE200" w14:textId="77777777" w:rsidR="002D5261" w:rsidRPr="00190686" w:rsidRDefault="002D5261" w:rsidP="002D5261">
      <w:pPr>
        <w:tabs>
          <w:tab w:val="left" w:pos="851"/>
        </w:tabs>
        <w:spacing w:after="0" w:line="300" w:lineRule="exact"/>
        <w:ind w:left="709"/>
        <w:jc w:val="center"/>
        <w:rPr>
          <w:rFonts w:ascii="Verdana" w:hAnsi="Verdana"/>
          <w:sz w:val="20"/>
        </w:rPr>
      </w:pPr>
      <w:r w:rsidRPr="00190686">
        <w:rPr>
          <w:rFonts w:ascii="Verdana" w:hAnsi="Verdana"/>
          <w:noProof/>
          <w:sz w:val="20"/>
        </w:rPr>
        <w:drawing>
          <wp:inline distT="0" distB="0" distL="0" distR="0" wp14:anchorId="55C29AB6" wp14:editId="25B62AC2">
            <wp:extent cx="1753870" cy="1981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r="73453"/>
                    <a:stretch>
                      <a:fillRect/>
                    </a:stretch>
                  </pic:blipFill>
                  <pic:spPr bwMode="auto">
                    <a:xfrm>
                      <a:off x="0" y="0"/>
                      <a:ext cx="1753870" cy="198120"/>
                    </a:xfrm>
                    <a:prstGeom prst="rect">
                      <a:avLst/>
                    </a:prstGeom>
                    <a:noFill/>
                    <a:ln>
                      <a:noFill/>
                    </a:ln>
                  </pic:spPr>
                </pic:pic>
              </a:graphicData>
            </a:graphic>
          </wp:inline>
        </w:drawing>
      </w:r>
    </w:p>
    <w:p w14:paraId="30E9F0B1" w14:textId="77777777" w:rsidR="002D5261" w:rsidRPr="00190686" w:rsidRDefault="002D5261" w:rsidP="002D5261">
      <w:pPr>
        <w:tabs>
          <w:tab w:val="left" w:pos="851"/>
        </w:tabs>
        <w:spacing w:after="0" w:line="300" w:lineRule="exact"/>
        <w:ind w:left="709"/>
        <w:rPr>
          <w:rFonts w:ascii="Verdana" w:hAnsi="Verdana"/>
          <w:sz w:val="20"/>
        </w:rPr>
      </w:pPr>
    </w:p>
    <w:p w14:paraId="19C39636" w14:textId="77777777" w:rsidR="002D5261" w:rsidRPr="00190686" w:rsidRDefault="002D5261" w:rsidP="002D5261">
      <w:pPr>
        <w:tabs>
          <w:tab w:val="left" w:pos="851"/>
        </w:tabs>
        <w:spacing w:after="0" w:line="300" w:lineRule="exact"/>
        <w:rPr>
          <w:rFonts w:ascii="Verdana" w:hAnsi="Verdana"/>
          <w:sz w:val="20"/>
        </w:rPr>
      </w:pPr>
      <w:proofErr w:type="gramStart"/>
      <w:r w:rsidRPr="00190686">
        <w:rPr>
          <w:rFonts w:ascii="Verdana" w:hAnsi="Verdana"/>
          <w:sz w:val="20"/>
        </w:rPr>
        <w:t>onde</w:t>
      </w:r>
      <w:proofErr w:type="gramEnd"/>
      <w:r w:rsidRPr="00190686">
        <w:rPr>
          <w:rFonts w:ascii="Verdana" w:hAnsi="Verdana"/>
          <w:sz w:val="20"/>
        </w:rPr>
        <w:t>:</w:t>
      </w:r>
    </w:p>
    <w:p w14:paraId="7F665C45" w14:textId="77777777" w:rsidR="002D5261" w:rsidRPr="00190686" w:rsidRDefault="002D5261" w:rsidP="002D5261">
      <w:pPr>
        <w:tabs>
          <w:tab w:val="left" w:pos="851"/>
        </w:tabs>
        <w:spacing w:after="0" w:line="300" w:lineRule="exact"/>
        <w:ind w:left="709"/>
        <w:rPr>
          <w:rFonts w:ascii="Verdana" w:hAnsi="Verdana"/>
          <w:sz w:val="20"/>
        </w:rPr>
      </w:pPr>
    </w:p>
    <w:p w14:paraId="14EECE49"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lastRenderedPageBreak/>
        <w:t xml:space="preserve">J = valor da Remuneração da Segunda Série devida na respectiva data de pagamento, calculado com </w:t>
      </w:r>
      <w:proofErr w:type="gramStart"/>
      <w:r w:rsidRPr="00190686">
        <w:rPr>
          <w:rFonts w:ascii="Verdana" w:hAnsi="Verdana"/>
          <w:sz w:val="20"/>
        </w:rPr>
        <w:t>8</w:t>
      </w:r>
      <w:proofErr w:type="gramEnd"/>
      <w:r w:rsidRPr="00190686">
        <w:rPr>
          <w:rFonts w:ascii="Verdana" w:hAnsi="Verdana"/>
          <w:sz w:val="20"/>
        </w:rPr>
        <w:t> (oito) casas decimais, sem arredondamento;</w:t>
      </w:r>
    </w:p>
    <w:p w14:paraId="286C8CE1" w14:textId="77777777" w:rsidR="002D5261" w:rsidRPr="00190686" w:rsidRDefault="002D5261" w:rsidP="002D5261">
      <w:pPr>
        <w:tabs>
          <w:tab w:val="left" w:pos="851"/>
        </w:tabs>
        <w:spacing w:after="0" w:line="300" w:lineRule="exact"/>
        <w:ind w:left="709"/>
        <w:rPr>
          <w:rFonts w:ascii="Verdana" w:hAnsi="Verdana"/>
          <w:sz w:val="20"/>
        </w:rPr>
      </w:pPr>
    </w:p>
    <w:p w14:paraId="67655CB7" w14:textId="77777777" w:rsidR="002D5261" w:rsidRPr="00190686" w:rsidRDefault="002D5261" w:rsidP="002D5261">
      <w:pPr>
        <w:tabs>
          <w:tab w:val="left" w:pos="851"/>
        </w:tabs>
        <w:spacing w:after="0" w:line="300" w:lineRule="exact"/>
        <w:rPr>
          <w:rFonts w:ascii="Verdana" w:hAnsi="Verdana"/>
          <w:sz w:val="20"/>
        </w:rPr>
      </w:pPr>
      <w:proofErr w:type="spellStart"/>
      <w:proofErr w:type="gramStart"/>
      <w:r w:rsidRPr="00190686">
        <w:rPr>
          <w:rFonts w:ascii="Verdana" w:hAnsi="Verdana"/>
          <w:sz w:val="20"/>
        </w:rPr>
        <w:t>VNe</w:t>
      </w:r>
      <w:proofErr w:type="spellEnd"/>
      <w:proofErr w:type="gramEnd"/>
      <w:r w:rsidRPr="00190686">
        <w:rPr>
          <w:rFonts w:ascii="Verdana" w:hAnsi="Verdana"/>
          <w:sz w:val="20"/>
        </w:rPr>
        <w:t xml:space="preserve"> = Valor Nominal das Debêntures da Segunda Série, informado/calculado com 8 (oito) casas decimais, sem arredondamento;</w:t>
      </w:r>
    </w:p>
    <w:p w14:paraId="36A2D589" w14:textId="77777777" w:rsidR="002D5261" w:rsidRPr="00190686" w:rsidRDefault="002D5261" w:rsidP="002D5261">
      <w:pPr>
        <w:tabs>
          <w:tab w:val="left" w:pos="851"/>
        </w:tabs>
        <w:spacing w:after="0" w:line="300" w:lineRule="exact"/>
        <w:ind w:left="709"/>
        <w:rPr>
          <w:rFonts w:ascii="Verdana" w:hAnsi="Verdana"/>
          <w:sz w:val="20"/>
        </w:rPr>
      </w:pPr>
    </w:p>
    <w:p w14:paraId="1FE6C8AE" w14:textId="77777777" w:rsidR="002D5261" w:rsidRPr="00190686" w:rsidRDefault="002D5261" w:rsidP="002D5261">
      <w:pPr>
        <w:tabs>
          <w:tab w:val="left" w:pos="851"/>
        </w:tabs>
        <w:spacing w:after="0" w:line="300" w:lineRule="exact"/>
        <w:rPr>
          <w:rFonts w:ascii="Verdana" w:hAnsi="Verdana"/>
          <w:sz w:val="20"/>
        </w:rPr>
      </w:pPr>
      <w:proofErr w:type="spellStart"/>
      <w:proofErr w:type="gramStart"/>
      <w:r w:rsidRPr="00190686">
        <w:rPr>
          <w:rFonts w:ascii="Verdana" w:hAnsi="Verdana"/>
          <w:sz w:val="20"/>
        </w:rPr>
        <w:t>FatorJuros</w:t>
      </w:r>
      <w:proofErr w:type="spellEnd"/>
      <w:proofErr w:type="gramEnd"/>
      <w:r w:rsidRPr="00190686">
        <w:rPr>
          <w:rFonts w:ascii="Verdana" w:hAnsi="Verdana"/>
          <w:sz w:val="20"/>
        </w:rPr>
        <w:t xml:space="preserve"> = fator de juros, calculado com 9 (nove) casas decimais, com arredondamento, apurado de acordo com a seguinte fórmula:</w:t>
      </w:r>
    </w:p>
    <w:p w14:paraId="73AD81DE" w14:textId="77777777" w:rsidR="002D5261" w:rsidRPr="00190686" w:rsidRDefault="002D5261" w:rsidP="002D5261">
      <w:pPr>
        <w:tabs>
          <w:tab w:val="left" w:pos="851"/>
        </w:tabs>
        <w:spacing w:after="0" w:line="300" w:lineRule="exact"/>
        <w:ind w:left="709"/>
        <w:rPr>
          <w:rFonts w:ascii="Verdana" w:hAnsi="Verdana"/>
          <w:sz w:val="20"/>
        </w:rPr>
      </w:pPr>
    </w:p>
    <w:p w14:paraId="625C0680" w14:textId="77777777" w:rsidR="002D5261" w:rsidRPr="00190686" w:rsidRDefault="002D5261" w:rsidP="002D5261">
      <w:pPr>
        <w:tabs>
          <w:tab w:val="left" w:pos="851"/>
        </w:tabs>
        <w:spacing w:after="0" w:line="300" w:lineRule="exact"/>
        <w:ind w:left="709"/>
        <w:jc w:val="center"/>
        <w:rPr>
          <w:rFonts w:ascii="Verdana" w:hAnsi="Verdana"/>
          <w:sz w:val="20"/>
        </w:rPr>
      </w:pPr>
      <w:r w:rsidRPr="00190686">
        <w:rPr>
          <w:rFonts w:ascii="Verdana" w:hAnsi="Verdana"/>
          <w:noProof/>
          <w:sz w:val="20"/>
        </w:rPr>
        <w:drawing>
          <wp:inline distT="0" distB="0" distL="0" distR="0" wp14:anchorId="58932ADE" wp14:editId="20E0710D">
            <wp:extent cx="2388235" cy="18415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8235" cy="184150"/>
                    </a:xfrm>
                    <a:prstGeom prst="rect">
                      <a:avLst/>
                    </a:prstGeom>
                    <a:noFill/>
                    <a:ln>
                      <a:noFill/>
                    </a:ln>
                  </pic:spPr>
                </pic:pic>
              </a:graphicData>
            </a:graphic>
          </wp:inline>
        </w:drawing>
      </w:r>
    </w:p>
    <w:p w14:paraId="7F724938" w14:textId="77777777" w:rsidR="002D5261" w:rsidRPr="00190686" w:rsidRDefault="002D5261" w:rsidP="002D5261">
      <w:pPr>
        <w:tabs>
          <w:tab w:val="left" w:pos="851"/>
        </w:tabs>
        <w:spacing w:after="0" w:line="300" w:lineRule="exact"/>
        <w:ind w:left="709"/>
        <w:rPr>
          <w:rFonts w:ascii="Verdana" w:hAnsi="Verdana"/>
          <w:sz w:val="20"/>
        </w:rPr>
      </w:pPr>
    </w:p>
    <w:p w14:paraId="5E6FD8B0" w14:textId="77777777" w:rsidR="002D5261" w:rsidRPr="00190686" w:rsidRDefault="002D5261" w:rsidP="002D5261">
      <w:pPr>
        <w:tabs>
          <w:tab w:val="left" w:pos="851"/>
        </w:tabs>
        <w:spacing w:after="0" w:line="300" w:lineRule="exact"/>
        <w:rPr>
          <w:rFonts w:ascii="Verdana" w:hAnsi="Verdana"/>
          <w:sz w:val="20"/>
        </w:rPr>
      </w:pPr>
      <w:proofErr w:type="gramStart"/>
      <w:r w:rsidRPr="00190686">
        <w:rPr>
          <w:rFonts w:ascii="Verdana" w:hAnsi="Verdana"/>
          <w:sz w:val="20"/>
        </w:rPr>
        <w:t>onde</w:t>
      </w:r>
      <w:proofErr w:type="gramEnd"/>
      <w:r w:rsidRPr="00190686">
        <w:rPr>
          <w:rFonts w:ascii="Verdana" w:hAnsi="Verdana"/>
          <w:sz w:val="20"/>
        </w:rPr>
        <w:t>:</w:t>
      </w:r>
    </w:p>
    <w:p w14:paraId="03D8AEC9" w14:textId="77777777" w:rsidR="002D5261" w:rsidRPr="00190686" w:rsidRDefault="002D5261" w:rsidP="002D5261">
      <w:pPr>
        <w:tabs>
          <w:tab w:val="left" w:pos="851"/>
        </w:tabs>
        <w:spacing w:after="0" w:line="300" w:lineRule="exact"/>
        <w:ind w:left="709"/>
        <w:rPr>
          <w:rFonts w:ascii="Verdana" w:hAnsi="Verdana"/>
          <w:sz w:val="20"/>
        </w:rPr>
      </w:pPr>
    </w:p>
    <w:p w14:paraId="2AB5F624" w14:textId="7AA41A35" w:rsidR="002D5261" w:rsidRPr="00190686" w:rsidRDefault="002D5261" w:rsidP="002D5261">
      <w:pPr>
        <w:tabs>
          <w:tab w:val="left" w:pos="851"/>
        </w:tabs>
        <w:spacing w:after="0"/>
        <w:rPr>
          <w:rFonts w:ascii="Verdana" w:hAnsi="Verdana"/>
          <w:sz w:val="20"/>
        </w:rPr>
      </w:pPr>
      <w:proofErr w:type="spellStart"/>
      <w:proofErr w:type="gramStart"/>
      <w:r w:rsidRPr="00190686">
        <w:rPr>
          <w:rFonts w:ascii="Verdana" w:hAnsi="Verdana"/>
          <w:sz w:val="20"/>
        </w:rPr>
        <w:t>FatorDI</w:t>
      </w:r>
      <w:proofErr w:type="spellEnd"/>
      <w:proofErr w:type="gramEnd"/>
      <w:r w:rsidRPr="00190686">
        <w:rPr>
          <w:rFonts w:ascii="Verdana" w:hAnsi="Verdana"/>
          <w:sz w:val="20"/>
        </w:rPr>
        <w:t xml:space="preserve"> = </w:t>
      </w:r>
      <w:proofErr w:type="spellStart"/>
      <w:r w:rsidRPr="00190686">
        <w:rPr>
          <w:rFonts w:ascii="Verdana" w:hAnsi="Verdana"/>
          <w:sz w:val="20"/>
        </w:rPr>
        <w:t>produtório</w:t>
      </w:r>
      <w:proofErr w:type="spellEnd"/>
      <w:r w:rsidRPr="00190686">
        <w:rPr>
          <w:rFonts w:ascii="Verdana" w:hAnsi="Verdana"/>
          <w:sz w:val="20"/>
        </w:rPr>
        <w:t xml:space="preserve"> das Taxas </w:t>
      </w:r>
      <w:proofErr w:type="spellStart"/>
      <w:r w:rsidRPr="00190686">
        <w:rPr>
          <w:rFonts w:ascii="Verdana" w:hAnsi="Verdana"/>
          <w:sz w:val="20"/>
        </w:rPr>
        <w:t>DI</w:t>
      </w:r>
      <w:r w:rsidRPr="00190686">
        <w:rPr>
          <w:rFonts w:ascii="Verdana" w:hAnsi="Verdana"/>
          <w:sz w:val="20"/>
          <w:vertAlign w:val="subscript"/>
        </w:rPr>
        <w:t>k</w:t>
      </w:r>
      <w:proofErr w:type="spellEnd"/>
      <w:r w:rsidRPr="00190686">
        <w:rPr>
          <w:rFonts w:ascii="Verdana" w:hAnsi="Verdana"/>
          <w:sz w:val="20"/>
        </w:rPr>
        <w:t xml:space="preserve">, desde a 1ª (primeira) Data de Integralização das Debêntures da Segunda Série (ou a Data de Pagamento da Remuneração da Segunda Série imediatamente anterior, conforme o caso), inclusive, até </w:t>
      </w:r>
      <w:r>
        <w:rPr>
          <w:rFonts w:ascii="Verdana" w:hAnsi="Verdana"/>
          <w:sz w:val="20"/>
        </w:rPr>
        <w:t>a</w:t>
      </w:r>
      <w:r w:rsidRPr="00190686">
        <w:rPr>
          <w:rFonts w:ascii="Verdana" w:hAnsi="Verdana"/>
          <w:sz w:val="20"/>
        </w:rPr>
        <w:t xml:space="preserve"> respectiva data de pagamento, </w:t>
      </w:r>
      <w:r>
        <w:rPr>
          <w:rFonts w:ascii="Verdana" w:hAnsi="Verdana"/>
          <w:sz w:val="20"/>
        </w:rPr>
        <w:t>exclusive</w:t>
      </w:r>
      <w:r w:rsidRPr="00190686">
        <w:rPr>
          <w:rFonts w:ascii="Verdana" w:hAnsi="Verdana"/>
          <w:sz w:val="20"/>
        </w:rPr>
        <w:t>, calculado com 8 (oito) casas decimais, com arredondamento, apurado da seguinte forma:</w:t>
      </w:r>
    </w:p>
    <w:p w14:paraId="21B0817F" w14:textId="77777777" w:rsidR="002D5261" w:rsidRPr="00190686" w:rsidRDefault="002D5261" w:rsidP="002D5261">
      <w:pPr>
        <w:tabs>
          <w:tab w:val="left" w:pos="851"/>
        </w:tabs>
        <w:spacing w:after="0"/>
        <w:ind w:left="709"/>
        <w:rPr>
          <w:rFonts w:ascii="Verdana" w:hAnsi="Verdana"/>
          <w:sz w:val="20"/>
        </w:rPr>
      </w:pPr>
    </w:p>
    <w:p w14:paraId="0B64A461" w14:textId="77777777" w:rsidR="002D5261" w:rsidRPr="00190686" w:rsidRDefault="002D5261" w:rsidP="002D5261">
      <w:pPr>
        <w:tabs>
          <w:tab w:val="left" w:pos="851"/>
        </w:tabs>
        <w:spacing w:after="0"/>
        <w:ind w:left="709"/>
        <w:jc w:val="center"/>
        <w:rPr>
          <w:rFonts w:ascii="Verdana" w:hAnsi="Verdana"/>
          <w:sz w:val="20"/>
        </w:rPr>
      </w:pPr>
      <w:r w:rsidRPr="00190686">
        <w:rPr>
          <w:rFonts w:ascii="Verdana" w:hAnsi="Verdana"/>
          <w:noProof/>
          <w:sz w:val="20"/>
        </w:rPr>
        <w:drawing>
          <wp:inline distT="0" distB="0" distL="0" distR="0" wp14:anchorId="5D5DB080" wp14:editId="6E4901DA">
            <wp:extent cx="1726565" cy="450215"/>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b="34506"/>
                    <a:stretch>
                      <a:fillRect/>
                    </a:stretch>
                  </pic:blipFill>
                  <pic:spPr bwMode="auto">
                    <a:xfrm>
                      <a:off x="0" y="0"/>
                      <a:ext cx="1726565" cy="450215"/>
                    </a:xfrm>
                    <a:prstGeom prst="rect">
                      <a:avLst/>
                    </a:prstGeom>
                    <a:noFill/>
                    <a:ln>
                      <a:noFill/>
                    </a:ln>
                  </pic:spPr>
                </pic:pic>
              </a:graphicData>
            </a:graphic>
          </wp:inline>
        </w:drawing>
      </w:r>
    </w:p>
    <w:p w14:paraId="2F02DC67" w14:textId="77777777" w:rsidR="002D5261" w:rsidRPr="00190686" w:rsidRDefault="002D5261" w:rsidP="002D5261">
      <w:pPr>
        <w:tabs>
          <w:tab w:val="left" w:pos="851"/>
        </w:tabs>
        <w:spacing w:after="0"/>
        <w:ind w:left="709"/>
        <w:rPr>
          <w:rFonts w:ascii="Verdana" w:hAnsi="Verdana"/>
          <w:sz w:val="20"/>
        </w:rPr>
      </w:pPr>
    </w:p>
    <w:p w14:paraId="1BCE39FB" w14:textId="77777777" w:rsidR="002D5261" w:rsidRPr="00190686" w:rsidRDefault="002D5261" w:rsidP="002D5261">
      <w:pPr>
        <w:tabs>
          <w:tab w:val="left" w:pos="851"/>
        </w:tabs>
        <w:spacing w:after="0" w:line="300" w:lineRule="exact"/>
        <w:rPr>
          <w:rFonts w:ascii="Verdana" w:hAnsi="Verdana"/>
          <w:sz w:val="20"/>
        </w:rPr>
      </w:pPr>
      <w:proofErr w:type="gramStart"/>
      <w:r w:rsidRPr="00190686">
        <w:rPr>
          <w:rFonts w:ascii="Verdana" w:hAnsi="Verdana"/>
          <w:sz w:val="20"/>
        </w:rPr>
        <w:t>onde</w:t>
      </w:r>
      <w:proofErr w:type="gramEnd"/>
      <w:r w:rsidRPr="00190686">
        <w:rPr>
          <w:rFonts w:ascii="Verdana" w:hAnsi="Verdana"/>
          <w:sz w:val="20"/>
        </w:rPr>
        <w:t>:</w:t>
      </w:r>
    </w:p>
    <w:p w14:paraId="51930E80" w14:textId="77777777" w:rsidR="002D5261" w:rsidRPr="00190686" w:rsidRDefault="002D5261" w:rsidP="002D5261">
      <w:pPr>
        <w:tabs>
          <w:tab w:val="left" w:pos="851"/>
        </w:tabs>
        <w:spacing w:after="0" w:line="300" w:lineRule="exact"/>
        <w:ind w:left="709"/>
        <w:rPr>
          <w:rFonts w:ascii="Verdana" w:hAnsi="Verdana"/>
          <w:sz w:val="20"/>
        </w:rPr>
      </w:pPr>
    </w:p>
    <w:p w14:paraId="11A026CF"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k = número de ordens das Taxas DI </w:t>
      </w:r>
      <w:r w:rsidRPr="00190686">
        <w:rPr>
          <w:rFonts w:ascii="Verdana" w:hAnsi="Verdana"/>
          <w:i/>
          <w:sz w:val="20"/>
        </w:rPr>
        <w:t>Over</w:t>
      </w:r>
      <w:r w:rsidRPr="00190686">
        <w:rPr>
          <w:rFonts w:ascii="Verdana" w:hAnsi="Verdana"/>
          <w:sz w:val="20"/>
        </w:rPr>
        <w:t xml:space="preserve">, variando de </w:t>
      </w:r>
      <w:proofErr w:type="gramStart"/>
      <w:r w:rsidRPr="00190686">
        <w:rPr>
          <w:rFonts w:ascii="Verdana" w:hAnsi="Verdana"/>
          <w:sz w:val="20"/>
        </w:rPr>
        <w:t>1</w:t>
      </w:r>
      <w:proofErr w:type="gramEnd"/>
      <w:r w:rsidRPr="00190686">
        <w:rPr>
          <w:rFonts w:ascii="Verdana" w:hAnsi="Verdana"/>
          <w:sz w:val="20"/>
        </w:rPr>
        <w:t xml:space="preserve"> (um) até </w:t>
      </w:r>
      <w:proofErr w:type="spellStart"/>
      <w:r w:rsidRPr="00190686">
        <w:rPr>
          <w:rFonts w:ascii="Verdana" w:hAnsi="Verdana"/>
          <w:sz w:val="20"/>
        </w:rPr>
        <w:t>n</w:t>
      </w:r>
      <w:r w:rsidRPr="00190686">
        <w:rPr>
          <w:rFonts w:ascii="Verdana" w:hAnsi="Verdana"/>
          <w:sz w:val="20"/>
          <w:vertAlign w:val="subscript"/>
        </w:rPr>
        <w:t>DI</w:t>
      </w:r>
      <w:proofErr w:type="spellEnd"/>
      <w:r w:rsidRPr="00190686">
        <w:rPr>
          <w:rFonts w:ascii="Verdana" w:hAnsi="Verdana"/>
          <w:sz w:val="20"/>
        </w:rPr>
        <w:t>.</w:t>
      </w:r>
    </w:p>
    <w:p w14:paraId="47FD92AA" w14:textId="77777777" w:rsidR="002D5261" w:rsidRPr="00190686" w:rsidRDefault="002D5261" w:rsidP="002D5261">
      <w:pPr>
        <w:tabs>
          <w:tab w:val="left" w:pos="851"/>
        </w:tabs>
        <w:spacing w:after="0" w:line="300" w:lineRule="exact"/>
        <w:ind w:left="709"/>
        <w:rPr>
          <w:rFonts w:ascii="Verdana" w:hAnsi="Verdana"/>
          <w:sz w:val="20"/>
        </w:rPr>
      </w:pPr>
    </w:p>
    <w:p w14:paraId="65F057D3" w14:textId="77777777" w:rsidR="002D5261" w:rsidRPr="00190686" w:rsidRDefault="002D5261" w:rsidP="002D5261">
      <w:pPr>
        <w:tabs>
          <w:tab w:val="left" w:pos="851"/>
        </w:tabs>
        <w:spacing w:after="0" w:line="300" w:lineRule="exact"/>
        <w:rPr>
          <w:rFonts w:ascii="Verdana" w:hAnsi="Verdana"/>
          <w:sz w:val="20"/>
        </w:rPr>
      </w:pPr>
      <w:proofErr w:type="spellStart"/>
      <w:proofErr w:type="gramStart"/>
      <w:r w:rsidRPr="00190686">
        <w:rPr>
          <w:rFonts w:ascii="Verdana" w:hAnsi="Verdana"/>
          <w:sz w:val="20"/>
        </w:rPr>
        <w:t>n</w:t>
      </w:r>
      <w:r w:rsidRPr="00190686">
        <w:rPr>
          <w:rFonts w:ascii="Verdana" w:hAnsi="Verdana"/>
          <w:sz w:val="20"/>
          <w:vertAlign w:val="subscript"/>
        </w:rPr>
        <w:t>DI</w:t>
      </w:r>
      <w:proofErr w:type="spellEnd"/>
      <w:proofErr w:type="gramEnd"/>
      <w:r w:rsidRPr="00190686">
        <w:rPr>
          <w:rFonts w:ascii="Verdana" w:hAnsi="Verdana"/>
          <w:sz w:val="20"/>
        </w:rPr>
        <w:t xml:space="preserve"> = número total de Taxas DI </w:t>
      </w:r>
      <w:r w:rsidRPr="00190686">
        <w:rPr>
          <w:rFonts w:ascii="Verdana" w:hAnsi="Verdana"/>
          <w:i/>
          <w:sz w:val="20"/>
        </w:rPr>
        <w:t>Over</w:t>
      </w:r>
      <w:r w:rsidRPr="00190686">
        <w:rPr>
          <w:rFonts w:ascii="Verdana" w:hAnsi="Verdana"/>
          <w:sz w:val="20"/>
        </w:rPr>
        <w:t>, consideradas na apuração do “</w:t>
      </w:r>
      <w:proofErr w:type="spellStart"/>
      <w:r w:rsidRPr="00190686">
        <w:rPr>
          <w:rFonts w:ascii="Verdana" w:hAnsi="Verdana"/>
          <w:sz w:val="20"/>
        </w:rPr>
        <w:t>FatorDI</w:t>
      </w:r>
      <w:proofErr w:type="spellEnd"/>
      <w:r w:rsidRPr="00190686">
        <w:rPr>
          <w:rFonts w:ascii="Verdana" w:hAnsi="Verdana"/>
          <w:sz w:val="20"/>
        </w:rPr>
        <w:t>”, sendo “</w:t>
      </w:r>
      <w:proofErr w:type="spellStart"/>
      <w:r w:rsidRPr="00190686">
        <w:rPr>
          <w:rFonts w:ascii="Verdana" w:hAnsi="Verdana"/>
          <w:sz w:val="20"/>
        </w:rPr>
        <w:t>n</w:t>
      </w:r>
      <w:r w:rsidRPr="00190686">
        <w:rPr>
          <w:rFonts w:ascii="Verdana" w:hAnsi="Verdana"/>
          <w:sz w:val="20"/>
          <w:vertAlign w:val="subscript"/>
        </w:rPr>
        <w:t>DI</w:t>
      </w:r>
      <w:proofErr w:type="spellEnd"/>
      <w:r w:rsidRPr="00190686">
        <w:rPr>
          <w:rFonts w:ascii="Verdana" w:hAnsi="Verdana"/>
          <w:sz w:val="20"/>
        </w:rPr>
        <w:t>” um número inteiro; e</w:t>
      </w:r>
    </w:p>
    <w:p w14:paraId="50663236" w14:textId="77777777" w:rsidR="002D5261" w:rsidRPr="00190686" w:rsidRDefault="002D5261" w:rsidP="002D5261">
      <w:pPr>
        <w:tabs>
          <w:tab w:val="left" w:pos="851"/>
        </w:tabs>
        <w:spacing w:after="0" w:line="300" w:lineRule="exact"/>
        <w:ind w:left="709"/>
        <w:rPr>
          <w:rFonts w:ascii="Verdana" w:hAnsi="Verdana"/>
          <w:sz w:val="20"/>
        </w:rPr>
      </w:pPr>
    </w:p>
    <w:p w14:paraId="7BA1256B" w14:textId="6300AE7A" w:rsidR="002D5261" w:rsidRPr="00190686" w:rsidRDefault="002D5261" w:rsidP="002D5261">
      <w:pPr>
        <w:tabs>
          <w:tab w:val="left" w:pos="851"/>
        </w:tabs>
        <w:spacing w:after="0" w:line="300" w:lineRule="exact"/>
        <w:rPr>
          <w:rFonts w:ascii="Verdana" w:hAnsi="Verdana"/>
          <w:sz w:val="20"/>
        </w:rPr>
      </w:pPr>
      <w:proofErr w:type="spellStart"/>
      <w:proofErr w:type="gramStart"/>
      <w:r w:rsidRPr="00190686">
        <w:rPr>
          <w:rFonts w:ascii="Verdana" w:hAnsi="Verdana"/>
          <w:sz w:val="20"/>
        </w:rPr>
        <w:t>TDI</w:t>
      </w:r>
      <w:r w:rsidRPr="00190686">
        <w:rPr>
          <w:rFonts w:ascii="Verdana" w:hAnsi="Verdana"/>
          <w:sz w:val="20"/>
          <w:vertAlign w:val="subscript"/>
        </w:rPr>
        <w:t>k</w:t>
      </w:r>
      <w:proofErr w:type="spellEnd"/>
      <w:proofErr w:type="gramEnd"/>
      <w:r w:rsidRPr="00190686">
        <w:rPr>
          <w:rFonts w:ascii="Verdana" w:hAnsi="Verdana"/>
          <w:sz w:val="20"/>
        </w:rPr>
        <w:t xml:space="preserve"> = Taxa </w:t>
      </w:r>
      <w:proofErr w:type="spellStart"/>
      <w:r w:rsidRPr="00190686">
        <w:rPr>
          <w:rFonts w:ascii="Verdana" w:hAnsi="Verdana"/>
          <w:sz w:val="20"/>
        </w:rPr>
        <w:t>DI</w:t>
      </w:r>
      <w:r w:rsidRPr="00190686">
        <w:rPr>
          <w:rFonts w:ascii="Verdana" w:hAnsi="Verdana"/>
          <w:sz w:val="20"/>
          <w:vertAlign w:val="subscript"/>
        </w:rPr>
        <w:t>k</w:t>
      </w:r>
      <w:proofErr w:type="spellEnd"/>
      <w:r w:rsidRPr="00190686">
        <w:rPr>
          <w:rFonts w:ascii="Verdana" w:hAnsi="Verdana"/>
          <w:sz w:val="20"/>
        </w:rPr>
        <w:t xml:space="preserve">, expressa </w:t>
      </w:r>
      <w:r>
        <w:rPr>
          <w:rFonts w:ascii="Verdana" w:hAnsi="Verdana"/>
          <w:sz w:val="20"/>
        </w:rPr>
        <w:t>ao</w:t>
      </w:r>
      <w:r w:rsidRPr="00190686">
        <w:rPr>
          <w:rFonts w:ascii="Verdana" w:hAnsi="Verdana"/>
          <w:sz w:val="20"/>
        </w:rPr>
        <w:t xml:space="preserve"> dia, calculado com 8 (oito) casas decimais, com arredondamento, apurado da seguinte forma:</w:t>
      </w:r>
    </w:p>
    <w:p w14:paraId="702577F9" w14:textId="77777777" w:rsidR="002D5261" w:rsidRPr="00190686" w:rsidRDefault="002D5261" w:rsidP="002D5261">
      <w:pPr>
        <w:tabs>
          <w:tab w:val="left" w:pos="851"/>
        </w:tabs>
        <w:spacing w:after="0" w:line="300" w:lineRule="exact"/>
        <w:ind w:left="709"/>
        <w:jc w:val="center"/>
        <w:rPr>
          <w:rFonts w:ascii="Verdana" w:hAnsi="Verdana"/>
          <w:sz w:val="20"/>
        </w:rPr>
      </w:pPr>
      <w:r w:rsidRPr="00190686">
        <w:rPr>
          <w:rFonts w:ascii="Verdana" w:hAnsi="Verdana"/>
          <w:noProof/>
          <w:sz w:val="20"/>
        </w:rPr>
        <w:drawing>
          <wp:anchor distT="0" distB="0" distL="114300" distR="114300" simplePos="0" relativeHeight="251661312" behindDoc="0" locked="0" layoutInCell="1" allowOverlap="1" wp14:anchorId="01D902DB" wp14:editId="7D4F4C5E">
            <wp:simplePos x="0" y="0"/>
            <wp:positionH relativeFrom="column">
              <wp:posOffset>2105025</wp:posOffset>
            </wp:positionH>
            <wp:positionV relativeFrom="paragraph">
              <wp:posOffset>252095</wp:posOffset>
            </wp:positionV>
            <wp:extent cx="1475740" cy="52578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b="29161"/>
                    <a:stretch>
                      <a:fillRect/>
                    </a:stretch>
                  </pic:blipFill>
                  <pic:spPr bwMode="auto">
                    <a:xfrm>
                      <a:off x="0" y="0"/>
                      <a:ext cx="1475740" cy="525780"/>
                    </a:xfrm>
                    <a:prstGeom prst="rect">
                      <a:avLst/>
                    </a:prstGeom>
                    <a:noFill/>
                  </pic:spPr>
                </pic:pic>
              </a:graphicData>
            </a:graphic>
            <wp14:sizeRelH relativeFrom="page">
              <wp14:pctWidth>0</wp14:pctWidth>
            </wp14:sizeRelH>
            <wp14:sizeRelV relativeFrom="page">
              <wp14:pctHeight>0</wp14:pctHeight>
            </wp14:sizeRelV>
          </wp:anchor>
        </w:drawing>
      </w:r>
    </w:p>
    <w:p w14:paraId="68788045" w14:textId="77777777" w:rsidR="002D5261" w:rsidRPr="00190686" w:rsidRDefault="002D5261" w:rsidP="002D5261">
      <w:pPr>
        <w:tabs>
          <w:tab w:val="left" w:pos="851"/>
        </w:tabs>
        <w:spacing w:after="0" w:line="300" w:lineRule="exact"/>
        <w:ind w:left="709"/>
        <w:jc w:val="center"/>
        <w:rPr>
          <w:rFonts w:ascii="Verdana" w:hAnsi="Verdana"/>
          <w:sz w:val="20"/>
        </w:rPr>
      </w:pPr>
    </w:p>
    <w:p w14:paraId="71DDB7CC" w14:textId="77777777" w:rsidR="002D5261" w:rsidRPr="00190686" w:rsidRDefault="002D5261" w:rsidP="002D5261">
      <w:pPr>
        <w:tabs>
          <w:tab w:val="left" w:pos="851"/>
        </w:tabs>
        <w:spacing w:after="0" w:line="300" w:lineRule="exact"/>
        <w:rPr>
          <w:rFonts w:ascii="Verdana" w:hAnsi="Verdana"/>
          <w:sz w:val="20"/>
        </w:rPr>
      </w:pPr>
      <w:proofErr w:type="gramStart"/>
      <w:r w:rsidRPr="00190686">
        <w:rPr>
          <w:rFonts w:ascii="Verdana" w:hAnsi="Verdana"/>
          <w:sz w:val="20"/>
        </w:rPr>
        <w:t>onde</w:t>
      </w:r>
      <w:proofErr w:type="gramEnd"/>
      <w:r w:rsidRPr="00190686">
        <w:rPr>
          <w:rFonts w:ascii="Verdana" w:hAnsi="Verdana"/>
          <w:sz w:val="20"/>
        </w:rPr>
        <w:t>:</w:t>
      </w:r>
    </w:p>
    <w:p w14:paraId="61E0FA0E" w14:textId="77777777" w:rsidR="002D5261" w:rsidRPr="00190686" w:rsidRDefault="002D5261" w:rsidP="002D5261">
      <w:pPr>
        <w:tabs>
          <w:tab w:val="left" w:pos="851"/>
        </w:tabs>
        <w:spacing w:after="0" w:line="300" w:lineRule="exact"/>
        <w:ind w:left="709"/>
        <w:rPr>
          <w:rFonts w:ascii="Verdana" w:hAnsi="Verdana"/>
          <w:sz w:val="20"/>
        </w:rPr>
      </w:pPr>
    </w:p>
    <w:p w14:paraId="0EE5C920" w14:textId="77777777" w:rsidR="002D5261" w:rsidRPr="00190686" w:rsidRDefault="002D5261" w:rsidP="002D5261">
      <w:pPr>
        <w:tabs>
          <w:tab w:val="left" w:pos="851"/>
        </w:tabs>
        <w:spacing w:after="0" w:line="300" w:lineRule="exact"/>
        <w:rPr>
          <w:rFonts w:ascii="Verdana" w:hAnsi="Verdana"/>
          <w:sz w:val="20"/>
        </w:rPr>
      </w:pPr>
      <w:proofErr w:type="spellStart"/>
      <w:proofErr w:type="gramStart"/>
      <w:r w:rsidRPr="00190686">
        <w:rPr>
          <w:rFonts w:ascii="Verdana" w:hAnsi="Verdana"/>
          <w:sz w:val="20"/>
        </w:rPr>
        <w:t>DI</w:t>
      </w:r>
      <w:r w:rsidRPr="00190686">
        <w:rPr>
          <w:rFonts w:ascii="Verdana" w:hAnsi="Verdana"/>
          <w:sz w:val="20"/>
          <w:vertAlign w:val="subscript"/>
        </w:rPr>
        <w:t>k</w:t>
      </w:r>
      <w:proofErr w:type="spellEnd"/>
      <w:proofErr w:type="gramEnd"/>
      <w:r w:rsidRPr="00190686">
        <w:rPr>
          <w:rFonts w:ascii="Verdana" w:hAnsi="Verdana"/>
          <w:sz w:val="20"/>
        </w:rPr>
        <w:t xml:space="preserve"> = Taxa DI </w:t>
      </w:r>
      <w:r w:rsidRPr="00190686">
        <w:rPr>
          <w:rFonts w:ascii="Verdana" w:hAnsi="Verdana"/>
          <w:i/>
          <w:sz w:val="20"/>
        </w:rPr>
        <w:t>Over</w:t>
      </w:r>
      <w:r w:rsidRPr="00190686">
        <w:rPr>
          <w:rFonts w:ascii="Verdana" w:hAnsi="Verdana"/>
          <w:sz w:val="20"/>
        </w:rPr>
        <w:t xml:space="preserve"> de ordem k, divulgada pela CETIP, válida por 1 (um) Dia Útil (</w:t>
      </w:r>
      <w:r w:rsidRPr="00190686">
        <w:rPr>
          <w:rFonts w:ascii="Verdana" w:hAnsi="Verdana"/>
          <w:i/>
          <w:sz w:val="20"/>
        </w:rPr>
        <w:t>overnight</w:t>
      </w:r>
      <w:r w:rsidRPr="00190686">
        <w:rPr>
          <w:rFonts w:ascii="Verdana" w:hAnsi="Verdana"/>
          <w:sz w:val="20"/>
        </w:rPr>
        <w:t>), utilizada com 2 (duas) casas decimais;</w:t>
      </w:r>
    </w:p>
    <w:p w14:paraId="20618288" w14:textId="77777777" w:rsidR="002D5261" w:rsidRPr="00190686" w:rsidRDefault="002D5261" w:rsidP="002D5261">
      <w:pPr>
        <w:tabs>
          <w:tab w:val="left" w:pos="851"/>
        </w:tabs>
        <w:spacing w:after="0" w:line="300" w:lineRule="exact"/>
        <w:ind w:left="709"/>
        <w:rPr>
          <w:rFonts w:ascii="Verdana" w:hAnsi="Verdana"/>
          <w:sz w:val="20"/>
        </w:rPr>
      </w:pPr>
    </w:p>
    <w:p w14:paraId="57D94DD5"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Fator Spread = Sobretaxa da Segunda Série calculada com </w:t>
      </w:r>
      <w:proofErr w:type="gramStart"/>
      <w:r w:rsidRPr="00190686">
        <w:rPr>
          <w:rFonts w:ascii="Verdana" w:hAnsi="Verdana"/>
          <w:sz w:val="20"/>
        </w:rPr>
        <w:t>9</w:t>
      </w:r>
      <w:proofErr w:type="gramEnd"/>
      <w:r w:rsidRPr="00190686">
        <w:rPr>
          <w:rFonts w:ascii="Verdana" w:hAnsi="Verdana"/>
          <w:sz w:val="20"/>
        </w:rPr>
        <w:t xml:space="preserve"> (nove) casas decimais, com arredondamento, calculado conforme a seguinte fórmula:</w:t>
      </w:r>
    </w:p>
    <w:p w14:paraId="468BC795" w14:textId="77777777" w:rsidR="002D5261" w:rsidRPr="00190686" w:rsidRDefault="002D5261" w:rsidP="002D5261">
      <w:pPr>
        <w:tabs>
          <w:tab w:val="left" w:pos="851"/>
        </w:tabs>
        <w:spacing w:after="0" w:line="300" w:lineRule="exact"/>
        <w:ind w:left="709"/>
        <w:rPr>
          <w:rFonts w:ascii="Verdana" w:hAnsi="Verdana"/>
          <w:sz w:val="20"/>
        </w:rPr>
      </w:pPr>
      <w:r w:rsidRPr="00190686">
        <w:rPr>
          <w:rFonts w:ascii="Verdana" w:hAnsi="Verdana"/>
          <w:noProof/>
          <w:sz w:val="20"/>
        </w:rPr>
        <w:drawing>
          <wp:anchor distT="0" distB="0" distL="114300" distR="114300" simplePos="0" relativeHeight="251662336" behindDoc="0" locked="0" layoutInCell="1" allowOverlap="1" wp14:anchorId="6631B6EC" wp14:editId="1C43678F">
            <wp:simplePos x="0" y="0"/>
            <wp:positionH relativeFrom="column">
              <wp:posOffset>1946275</wp:posOffset>
            </wp:positionH>
            <wp:positionV relativeFrom="paragraph">
              <wp:posOffset>224790</wp:posOffset>
            </wp:positionV>
            <wp:extent cx="1682115" cy="484505"/>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2115" cy="484505"/>
                    </a:xfrm>
                    <a:prstGeom prst="rect">
                      <a:avLst/>
                    </a:prstGeom>
                    <a:noFill/>
                  </pic:spPr>
                </pic:pic>
              </a:graphicData>
            </a:graphic>
            <wp14:sizeRelH relativeFrom="page">
              <wp14:pctWidth>0</wp14:pctWidth>
            </wp14:sizeRelH>
            <wp14:sizeRelV relativeFrom="page">
              <wp14:pctHeight>0</wp14:pctHeight>
            </wp14:sizeRelV>
          </wp:anchor>
        </w:drawing>
      </w:r>
    </w:p>
    <w:p w14:paraId="7B748BD9" w14:textId="77777777" w:rsidR="002D5261" w:rsidRPr="00190686" w:rsidRDefault="002D5261" w:rsidP="002D5261">
      <w:pPr>
        <w:tabs>
          <w:tab w:val="left" w:pos="851"/>
        </w:tabs>
        <w:spacing w:after="0" w:line="300" w:lineRule="exact"/>
        <w:ind w:left="709"/>
        <w:jc w:val="center"/>
        <w:rPr>
          <w:rFonts w:ascii="Verdana" w:hAnsi="Verdana"/>
          <w:sz w:val="20"/>
        </w:rPr>
      </w:pPr>
    </w:p>
    <w:p w14:paraId="4125F32D" w14:textId="77777777" w:rsidR="002D5261" w:rsidRPr="00190686" w:rsidRDefault="002D5261" w:rsidP="002D5261">
      <w:pPr>
        <w:tabs>
          <w:tab w:val="left" w:pos="851"/>
        </w:tabs>
        <w:spacing w:after="0" w:line="300" w:lineRule="exact"/>
        <w:rPr>
          <w:rFonts w:ascii="Verdana" w:hAnsi="Verdana"/>
          <w:sz w:val="20"/>
        </w:rPr>
      </w:pPr>
      <w:proofErr w:type="gramStart"/>
      <w:r w:rsidRPr="00190686">
        <w:rPr>
          <w:rFonts w:ascii="Verdana" w:hAnsi="Verdana"/>
          <w:sz w:val="20"/>
        </w:rPr>
        <w:t>onde</w:t>
      </w:r>
      <w:proofErr w:type="gramEnd"/>
      <w:r w:rsidRPr="00190686">
        <w:rPr>
          <w:rFonts w:ascii="Verdana" w:hAnsi="Verdana"/>
          <w:sz w:val="20"/>
        </w:rPr>
        <w:t>:</w:t>
      </w:r>
    </w:p>
    <w:p w14:paraId="67EEDC30" w14:textId="77777777" w:rsidR="002D5261" w:rsidRPr="00190686" w:rsidRDefault="002D5261" w:rsidP="002D5261">
      <w:pPr>
        <w:tabs>
          <w:tab w:val="left" w:pos="851"/>
        </w:tabs>
        <w:spacing w:after="0" w:line="300" w:lineRule="exact"/>
        <w:ind w:left="709"/>
        <w:rPr>
          <w:rFonts w:ascii="Verdana" w:hAnsi="Verdana"/>
          <w:sz w:val="20"/>
        </w:rPr>
      </w:pPr>
    </w:p>
    <w:p w14:paraId="51820B48" w14:textId="77777777" w:rsidR="002D5261" w:rsidRPr="00190686" w:rsidRDefault="002D5261" w:rsidP="002D5261">
      <w:pPr>
        <w:tabs>
          <w:tab w:val="left" w:pos="851"/>
        </w:tabs>
        <w:spacing w:after="0" w:line="300" w:lineRule="exact"/>
        <w:rPr>
          <w:rFonts w:ascii="Verdana" w:hAnsi="Verdana"/>
          <w:sz w:val="20"/>
        </w:rPr>
      </w:pPr>
      <w:proofErr w:type="gramStart"/>
      <w:r w:rsidRPr="00190686">
        <w:rPr>
          <w:rFonts w:ascii="Verdana" w:hAnsi="Verdana"/>
          <w:sz w:val="20"/>
        </w:rPr>
        <w:t>spread</w:t>
      </w:r>
      <w:proofErr w:type="gramEnd"/>
      <w:r w:rsidRPr="00190686">
        <w:rPr>
          <w:rFonts w:ascii="Verdana" w:hAnsi="Verdana"/>
          <w:sz w:val="20"/>
        </w:rPr>
        <w:t xml:space="preserve"> = 3,0000 (três inteiros), informada com 4 (quatro) casas decimais; e</w:t>
      </w:r>
    </w:p>
    <w:p w14:paraId="04F7ADF0" w14:textId="77777777" w:rsidR="002D5261" w:rsidRPr="00190686" w:rsidRDefault="002D5261" w:rsidP="002D5261">
      <w:pPr>
        <w:tabs>
          <w:tab w:val="left" w:pos="851"/>
        </w:tabs>
        <w:spacing w:after="0" w:line="300" w:lineRule="exact"/>
        <w:ind w:left="709"/>
        <w:rPr>
          <w:rFonts w:ascii="Verdana" w:hAnsi="Verdana"/>
          <w:sz w:val="20"/>
        </w:rPr>
      </w:pPr>
    </w:p>
    <w:p w14:paraId="2CD88F6E"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DP = número de Dias Úteis entre a 1ª (primeira) Data de Integralização das Debêntures da Segunda Série (ou a Data de Pagamento da Remuneração da Segunda Série imediatamente anterior, conforme o caso) e a data atual, sendo “DP” um número inteiro.</w:t>
      </w:r>
    </w:p>
    <w:p w14:paraId="0B032E21" w14:textId="77777777" w:rsidR="002D5261" w:rsidRPr="00190686" w:rsidRDefault="002D5261" w:rsidP="002D5261">
      <w:pPr>
        <w:tabs>
          <w:tab w:val="left" w:pos="851"/>
          <w:tab w:val="left" w:pos="1560"/>
        </w:tabs>
        <w:spacing w:after="0" w:line="300" w:lineRule="exact"/>
        <w:rPr>
          <w:rFonts w:ascii="Verdana" w:hAnsi="Verdana"/>
          <w:sz w:val="20"/>
        </w:rPr>
      </w:pPr>
    </w:p>
    <w:p w14:paraId="140D6030" w14:textId="77777777" w:rsidR="002D5261" w:rsidRPr="00190686" w:rsidRDefault="002D5261" w:rsidP="002D5261">
      <w:pPr>
        <w:numPr>
          <w:ilvl w:val="3"/>
          <w:numId w:val="24"/>
        </w:numPr>
        <w:tabs>
          <w:tab w:val="left" w:pos="-993"/>
          <w:tab w:val="left" w:pos="851"/>
        </w:tabs>
        <w:spacing w:after="0" w:line="300" w:lineRule="exact"/>
        <w:ind w:left="851" w:hanging="851"/>
        <w:rPr>
          <w:rFonts w:ascii="Verdana" w:hAnsi="Verdana"/>
          <w:sz w:val="20"/>
        </w:rPr>
      </w:pPr>
      <w:r w:rsidRPr="00190686">
        <w:rPr>
          <w:rFonts w:ascii="Verdana" w:hAnsi="Verdana"/>
          <w:sz w:val="20"/>
        </w:rPr>
        <w:t>Observações:</w:t>
      </w:r>
    </w:p>
    <w:p w14:paraId="602FCDC1" w14:textId="77777777" w:rsidR="002D5261" w:rsidRPr="00190686" w:rsidRDefault="002D5261" w:rsidP="002D5261">
      <w:pPr>
        <w:tabs>
          <w:tab w:val="left" w:pos="851"/>
        </w:tabs>
        <w:spacing w:after="0" w:line="300" w:lineRule="exact"/>
        <w:rPr>
          <w:rFonts w:ascii="Verdana" w:hAnsi="Verdana"/>
          <w:sz w:val="20"/>
        </w:rPr>
      </w:pPr>
    </w:p>
    <w:p w14:paraId="24F5476C" w14:textId="77777777" w:rsidR="002D5261" w:rsidRPr="00190686" w:rsidRDefault="002D5261" w:rsidP="002D5261">
      <w:pPr>
        <w:numPr>
          <w:ilvl w:val="7"/>
          <w:numId w:val="4"/>
        </w:numPr>
        <w:tabs>
          <w:tab w:val="clear" w:pos="2126"/>
          <w:tab w:val="num" w:pos="851"/>
        </w:tabs>
        <w:spacing w:after="0" w:line="300" w:lineRule="exact"/>
        <w:ind w:left="851" w:hanging="851"/>
        <w:rPr>
          <w:rFonts w:ascii="Verdana" w:hAnsi="Verdana"/>
          <w:sz w:val="20"/>
        </w:rPr>
      </w:pPr>
      <w:proofErr w:type="gramStart"/>
      <w:r w:rsidRPr="00190686">
        <w:rPr>
          <w:rFonts w:ascii="Verdana" w:hAnsi="Verdana"/>
          <w:sz w:val="20"/>
        </w:rPr>
        <w:t>o</w:t>
      </w:r>
      <w:proofErr w:type="gramEnd"/>
      <w:r w:rsidRPr="00190686">
        <w:rPr>
          <w:rFonts w:ascii="Verdana" w:hAnsi="Verdana"/>
          <w:sz w:val="20"/>
        </w:rPr>
        <w:t xml:space="preserve"> fator resultante da expressão (1 + </w:t>
      </w:r>
      <w:proofErr w:type="spellStart"/>
      <w:r w:rsidRPr="00190686">
        <w:rPr>
          <w:rFonts w:ascii="Verdana" w:hAnsi="Verdana"/>
          <w:sz w:val="20"/>
        </w:rPr>
        <w:t>TDI</w:t>
      </w:r>
      <w:r w:rsidRPr="00190686">
        <w:rPr>
          <w:rFonts w:ascii="Verdana" w:hAnsi="Verdana"/>
          <w:sz w:val="20"/>
          <w:vertAlign w:val="subscript"/>
        </w:rPr>
        <w:t>k</w:t>
      </w:r>
      <w:proofErr w:type="spellEnd"/>
      <w:r w:rsidRPr="00190686">
        <w:rPr>
          <w:rFonts w:ascii="Verdana" w:hAnsi="Verdana"/>
          <w:sz w:val="20"/>
        </w:rPr>
        <w:t>) é considerado com 16 (dezesseis) casas decimais, sem arredondamento;</w:t>
      </w:r>
    </w:p>
    <w:p w14:paraId="70C1B9B2" w14:textId="77777777" w:rsidR="002D5261" w:rsidRPr="00190686" w:rsidRDefault="002D5261" w:rsidP="002D5261">
      <w:pPr>
        <w:tabs>
          <w:tab w:val="left" w:pos="851"/>
        </w:tabs>
        <w:spacing w:after="0" w:line="300" w:lineRule="exact"/>
        <w:ind w:left="2126"/>
        <w:rPr>
          <w:rFonts w:ascii="Verdana" w:hAnsi="Verdana"/>
          <w:sz w:val="20"/>
        </w:rPr>
      </w:pPr>
    </w:p>
    <w:p w14:paraId="52FDDC19" w14:textId="77777777" w:rsidR="002D5261" w:rsidRPr="00190686" w:rsidRDefault="002D5261" w:rsidP="002D5261">
      <w:pPr>
        <w:numPr>
          <w:ilvl w:val="7"/>
          <w:numId w:val="4"/>
        </w:numPr>
        <w:tabs>
          <w:tab w:val="clear" w:pos="2126"/>
          <w:tab w:val="num" w:pos="851"/>
        </w:tabs>
        <w:spacing w:after="0" w:line="300" w:lineRule="exact"/>
        <w:ind w:left="851" w:hanging="851"/>
        <w:rPr>
          <w:rFonts w:ascii="Verdana" w:hAnsi="Verdana"/>
          <w:sz w:val="20"/>
        </w:rPr>
      </w:pPr>
      <w:proofErr w:type="gramStart"/>
      <w:r w:rsidRPr="00190686">
        <w:rPr>
          <w:rFonts w:ascii="Verdana" w:hAnsi="Verdana"/>
          <w:sz w:val="20"/>
        </w:rPr>
        <w:t>efetua</w:t>
      </w:r>
      <w:proofErr w:type="gramEnd"/>
      <w:r w:rsidRPr="00190686">
        <w:rPr>
          <w:rFonts w:ascii="Verdana" w:hAnsi="Verdana"/>
          <w:sz w:val="20"/>
        </w:rPr>
        <w:t xml:space="preserve">-se o </w:t>
      </w:r>
      <w:proofErr w:type="spellStart"/>
      <w:r w:rsidRPr="00190686">
        <w:rPr>
          <w:rFonts w:ascii="Verdana" w:hAnsi="Verdana"/>
          <w:sz w:val="20"/>
        </w:rPr>
        <w:t>produtório</w:t>
      </w:r>
      <w:proofErr w:type="spellEnd"/>
      <w:r w:rsidRPr="00190686">
        <w:rPr>
          <w:rFonts w:ascii="Verdana" w:hAnsi="Verdana"/>
          <w:sz w:val="20"/>
        </w:rPr>
        <w:t xml:space="preserve"> dos fatores diários (1 + </w:t>
      </w:r>
      <w:proofErr w:type="spellStart"/>
      <w:r w:rsidRPr="00190686">
        <w:rPr>
          <w:rFonts w:ascii="Verdana" w:hAnsi="Verdana"/>
          <w:sz w:val="20"/>
        </w:rPr>
        <w:t>TDI</w:t>
      </w:r>
      <w:r w:rsidRPr="00190686">
        <w:rPr>
          <w:rFonts w:ascii="Verdana" w:hAnsi="Verdana"/>
          <w:sz w:val="20"/>
          <w:vertAlign w:val="subscript"/>
        </w:rPr>
        <w:t>k</w:t>
      </w:r>
      <w:proofErr w:type="spellEnd"/>
      <w:r w:rsidRPr="00190686">
        <w:rPr>
          <w:rFonts w:ascii="Verdana" w:hAnsi="Verdana"/>
          <w:sz w:val="20"/>
        </w:rPr>
        <w:t>), sendo que a cada fator diário acumulado, trunca-se o resultado com 16 (dezesseis) casas decimais, aplicando-se o próximo fator diário, e assim por diante até o último considerado; e</w:t>
      </w:r>
    </w:p>
    <w:p w14:paraId="6FF17D6D" w14:textId="77777777" w:rsidR="002D5261" w:rsidRPr="00190686" w:rsidRDefault="002D5261" w:rsidP="002D5261">
      <w:pPr>
        <w:tabs>
          <w:tab w:val="left" w:pos="851"/>
          <w:tab w:val="left" w:pos="1560"/>
        </w:tabs>
        <w:spacing w:after="0" w:line="300" w:lineRule="exact"/>
        <w:ind w:left="851" w:hanging="851"/>
        <w:rPr>
          <w:rFonts w:ascii="Verdana" w:hAnsi="Verdana"/>
          <w:sz w:val="20"/>
        </w:rPr>
      </w:pPr>
    </w:p>
    <w:p w14:paraId="1E65B057" w14:textId="77777777" w:rsidR="002D5261" w:rsidRPr="00190686" w:rsidRDefault="002D5261" w:rsidP="002D5261">
      <w:pPr>
        <w:numPr>
          <w:ilvl w:val="7"/>
          <w:numId w:val="4"/>
        </w:numPr>
        <w:tabs>
          <w:tab w:val="clear" w:pos="2126"/>
          <w:tab w:val="num" w:pos="851"/>
        </w:tabs>
        <w:spacing w:after="0" w:line="300" w:lineRule="exact"/>
        <w:ind w:left="851" w:hanging="851"/>
        <w:rPr>
          <w:rFonts w:ascii="Verdana" w:hAnsi="Verdana"/>
          <w:sz w:val="20"/>
        </w:rPr>
      </w:pPr>
      <w:proofErr w:type="gramStart"/>
      <w:r w:rsidRPr="00190686">
        <w:rPr>
          <w:rFonts w:ascii="Verdana" w:hAnsi="Verdana"/>
          <w:sz w:val="20"/>
        </w:rPr>
        <w:t>a</w:t>
      </w:r>
      <w:proofErr w:type="gramEnd"/>
      <w:r w:rsidRPr="00190686">
        <w:rPr>
          <w:rFonts w:ascii="Verdana" w:hAnsi="Verdana"/>
          <w:sz w:val="20"/>
        </w:rPr>
        <w:t xml:space="preserve"> Taxa DI </w:t>
      </w:r>
      <w:r w:rsidRPr="00190686">
        <w:rPr>
          <w:rFonts w:ascii="Verdana" w:hAnsi="Verdana"/>
          <w:i/>
          <w:sz w:val="20"/>
        </w:rPr>
        <w:t>Over</w:t>
      </w:r>
      <w:r w:rsidRPr="00190686">
        <w:rPr>
          <w:rFonts w:ascii="Verdana" w:hAnsi="Verdana"/>
          <w:sz w:val="20"/>
        </w:rPr>
        <w:t xml:space="preserve"> deverá ser utilizada considerando idêntico número de casas decimais divulgado pelo órgão responsável pelo seu cálculo, salvo quando expressamente indicado de outra forma</w:t>
      </w:r>
    </w:p>
    <w:p w14:paraId="3E2AC941" w14:textId="77777777" w:rsidR="002D5261" w:rsidRPr="00190686" w:rsidRDefault="002D5261" w:rsidP="002D5261">
      <w:pPr>
        <w:tabs>
          <w:tab w:val="left" w:pos="851"/>
        </w:tabs>
        <w:spacing w:after="0" w:line="300" w:lineRule="exact"/>
        <w:rPr>
          <w:rFonts w:ascii="Verdana" w:hAnsi="Verdana"/>
          <w:sz w:val="20"/>
        </w:rPr>
      </w:pPr>
    </w:p>
    <w:p w14:paraId="0A779FAE" w14:textId="77777777" w:rsidR="002D5261" w:rsidRPr="00190686" w:rsidRDefault="002D5261" w:rsidP="002D5261">
      <w:pPr>
        <w:numPr>
          <w:ilvl w:val="3"/>
          <w:numId w:val="24"/>
        </w:numPr>
        <w:tabs>
          <w:tab w:val="left" w:pos="-993"/>
          <w:tab w:val="left" w:pos="851"/>
        </w:tabs>
        <w:spacing w:after="0" w:line="300" w:lineRule="exact"/>
        <w:ind w:left="851" w:hanging="851"/>
        <w:rPr>
          <w:rFonts w:ascii="Verdana" w:hAnsi="Verdana"/>
          <w:i/>
          <w:sz w:val="20"/>
        </w:rPr>
      </w:pPr>
      <w:r w:rsidRPr="00190686">
        <w:rPr>
          <w:rFonts w:ascii="Verdana" w:hAnsi="Verdana"/>
          <w:sz w:val="20"/>
        </w:rPr>
        <w:t>Os procedimentos a serem adotados em caso de indisponibilidade da Taxa DI, estabelecidos nas cláusulas 4.2.5.2 e 4.2.5.3 acima, também são aplicáveis às Debêntures da Segunda Série.</w:t>
      </w:r>
      <w:r w:rsidRPr="00190686">
        <w:rPr>
          <w:rFonts w:ascii="Verdana" w:hAnsi="Verdana"/>
          <w:i/>
          <w:sz w:val="20"/>
        </w:rPr>
        <w:t xml:space="preserve"> </w:t>
      </w:r>
    </w:p>
    <w:p w14:paraId="2A357A41" w14:textId="77777777" w:rsidR="002D5261" w:rsidRPr="00190686" w:rsidRDefault="002D5261" w:rsidP="002D5261">
      <w:pPr>
        <w:tabs>
          <w:tab w:val="left" w:pos="-993"/>
          <w:tab w:val="left" w:pos="851"/>
        </w:tabs>
        <w:spacing w:after="0" w:line="300" w:lineRule="exact"/>
        <w:rPr>
          <w:rFonts w:ascii="Verdana" w:hAnsi="Verdana"/>
          <w:i/>
          <w:sz w:val="20"/>
        </w:rPr>
      </w:pPr>
    </w:p>
    <w:bookmarkEnd w:id="33"/>
    <w:p w14:paraId="609FD140" w14:textId="77777777" w:rsidR="002D5261" w:rsidRPr="00190686" w:rsidRDefault="002D5261" w:rsidP="002D5261">
      <w:pPr>
        <w:numPr>
          <w:ilvl w:val="0"/>
          <w:numId w:val="19"/>
        </w:numPr>
        <w:tabs>
          <w:tab w:val="left" w:pos="851"/>
        </w:tabs>
        <w:spacing w:after="0" w:line="300" w:lineRule="exact"/>
        <w:ind w:left="0" w:firstLine="0"/>
        <w:rPr>
          <w:rFonts w:ascii="Verdana" w:hAnsi="Verdana"/>
          <w:b/>
          <w:sz w:val="20"/>
        </w:rPr>
      </w:pPr>
      <w:r w:rsidRPr="00190686">
        <w:rPr>
          <w:rFonts w:ascii="Verdana" w:hAnsi="Verdana"/>
          <w:b/>
          <w:sz w:val="20"/>
        </w:rPr>
        <w:t>Condições de Subscrição e Integralização e Condições de Pagamento</w:t>
      </w:r>
    </w:p>
    <w:p w14:paraId="6E2B6295" w14:textId="77777777" w:rsidR="002D5261" w:rsidRPr="00190686" w:rsidRDefault="002D5261" w:rsidP="002D5261">
      <w:pPr>
        <w:tabs>
          <w:tab w:val="left" w:pos="851"/>
        </w:tabs>
        <w:spacing w:after="0" w:line="300" w:lineRule="exact"/>
        <w:rPr>
          <w:rFonts w:ascii="Verdana" w:hAnsi="Verdana"/>
          <w:sz w:val="20"/>
        </w:rPr>
      </w:pPr>
    </w:p>
    <w:p w14:paraId="1171E245" w14:textId="77777777" w:rsidR="002D5261" w:rsidRPr="00190686" w:rsidRDefault="002D5261" w:rsidP="002D5261">
      <w:pPr>
        <w:numPr>
          <w:ilvl w:val="0"/>
          <w:numId w:val="14"/>
        </w:numPr>
        <w:tabs>
          <w:tab w:val="left" w:pos="851"/>
        </w:tabs>
        <w:spacing w:after="0" w:line="300" w:lineRule="exact"/>
        <w:ind w:left="0" w:firstLine="0"/>
        <w:rPr>
          <w:rFonts w:ascii="Verdana" w:hAnsi="Verdana"/>
          <w:i/>
          <w:sz w:val="20"/>
        </w:rPr>
      </w:pPr>
      <w:bookmarkStart w:id="34" w:name="_Ref312315490"/>
      <w:r w:rsidRPr="00190686">
        <w:rPr>
          <w:rFonts w:ascii="Verdana" w:hAnsi="Verdana"/>
          <w:sz w:val="20"/>
          <w:u w:val="single"/>
        </w:rPr>
        <w:t>Forma de Subscrição e de Integralização e Preço de Integralização</w:t>
      </w:r>
      <w:r w:rsidRPr="00190686">
        <w:rPr>
          <w:rFonts w:ascii="Verdana" w:hAnsi="Verdana"/>
          <w:sz w:val="20"/>
        </w:rPr>
        <w:t xml:space="preserve">. As Debêntures serão subscritas e integralizadas por meio do MDA por, no máximo, 50 (cinquenta) Investidores Profissionais, à vista, no ato da subscrição, e em moeda corrente nacional, pelo Valor Nominal, acrescido da Remuneração, calculada </w:t>
      </w:r>
      <w:proofErr w:type="gramStart"/>
      <w:r w:rsidRPr="00190686">
        <w:rPr>
          <w:rFonts w:ascii="Verdana" w:hAnsi="Verdana"/>
          <w:i/>
          <w:sz w:val="20"/>
        </w:rPr>
        <w:t>pro rata</w:t>
      </w:r>
      <w:proofErr w:type="gramEnd"/>
      <w:r w:rsidRPr="00190686">
        <w:rPr>
          <w:rFonts w:ascii="Verdana" w:hAnsi="Verdana"/>
          <w:i/>
          <w:sz w:val="20"/>
        </w:rPr>
        <w:t xml:space="preserve"> </w:t>
      </w:r>
      <w:proofErr w:type="spellStart"/>
      <w:r w:rsidRPr="00190686">
        <w:rPr>
          <w:rFonts w:ascii="Verdana" w:hAnsi="Verdana"/>
          <w:i/>
          <w:sz w:val="20"/>
        </w:rPr>
        <w:t>temporis</w:t>
      </w:r>
      <w:proofErr w:type="spellEnd"/>
      <w:r w:rsidRPr="00190686">
        <w:rPr>
          <w:rFonts w:ascii="Verdana" w:hAnsi="Verdana"/>
          <w:sz w:val="20"/>
        </w:rPr>
        <w:t xml:space="preserve"> desde a data da </w:t>
      </w:r>
      <w:r>
        <w:rPr>
          <w:rFonts w:ascii="Verdana" w:hAnsi="Verdana"/>
          <w:sz w:val="20"/>
        </w:rPr>
        <w:t>1ª (</w:t>
      </w:r>
      <w:r w:rsidRPr="00190686">
        <w:rPr>
          <w:rFonts w:ascii="Verdana" w:hAnsi="Verdana"/>
          <w:sz w:val="20"/>
        </w:rPr>
        <w:t>primeira</w:t>
      </w:r>
      <w:r>
        <w:rPr>
          <w:rFonts w:ascii="Verdana" w:hAnsi="Verdana"/>
          <w:sz w:val="20"/>
        </w:rPr>
        <w:t>)</w:t>
      </w:r>
      <w:r w:rsidRPr="00190686">
        <w:rPr>
          <w:rFonts w:ascii="Verdana" w:hAnsi="Verdana"/>
          <w:sz w:val="20"/>
        </w:rPr>
        <w:t xml:space="preserve"> integralização das Debêntures da Primeira Série ou data da </w:t>
      </w:r>
      <w:r>
        <w:rPr>
          <w:rFonts w:ascii="Verdana" w:hAnsi="Verdana"/>
          <w:sz w:val="20"/>
        </w:rPr>
        <w:t>1ª (</w:t>
      </w:r>
      <w:r w:rsidRPr="00190686">
        <w:rPr>
          <w:rFonts w:ascii="Verdana" w:hAnsi="Verdana"/>
          <w:sz w:val="20"/>
        </w:rPr>
        <w:t>primeira</w:t>
      </w:r>
      <w:r>
        <w:rPr>
          <w:rFonts w:ascii="Verdana" w:hAnsi="Verdana"/>
          <w:sz w:val="20"/>
        </w:rPr>
        <w:t>)</w:t>
      </w:r>
      <w:r w:rsidRPr="00190686">
        <w:rPr>
          <w:rFonts w:ascii="Verdana" w:hAnsi="Verdana"/>
          <w:sz w:val="20"/>
        </w:rPr>
        <w:t xml:space="preserve"> integralização das Debêntures da Segunda Série, conforme aplicável (em conjunto, “</w:t>
      </w:r>
      <w:r w:rsidRPr="00190686">
        <w:rPr>
          <w:rFonts w:ascii="Verdana" w:hAnsi="Verdana"/>
          <w:sz w:val="20"/>
          <w:u w:val="single"/>
        </w:rPr>
        <w:t>Data de Integralização</w:t>
      </w:r>
      <w:r w:rsidRPr="00190686">
        <w:rPr>
          <w:rFonts w:ascii="Verdana" w:hAnsi="Verdana"/>
          <w:sz w:val="20"/>
        </w:rPr>
        <w:t>”).</w:t>
      </w:r>
      <w:bookmarkEnd w:id="34"/>
      <w:r w:rsidRPr="00190686">
        <w:rPr>
          <w:rFonts w:ascii="Verdana" w:hAnsi="Verdana"/>
          <w:sz w:val="20"/>
        </w:rPr>
        <w:t xml:space="preserve"> </w:t>
      </w:r>
    </w:p>
    <w:p w14:paraId="59023985" w14:textId="77777777" w:rsidR="002D5261" w:rsidRPr="00190686" w:rsidRDefault="002D5261" w:rsidP="002D5261">
      <w:pPr>
        <w:tabs>
          <w:tab w:val="left" w:pos="851"/>
        </w:tabs>
        <w:spacing w:after="0" w:line="300" w:lineRule="exact"/>
        <w:rPr>
          <w:rFonts w:ascii="Verdana" w:hAnsi="Verdana"/>
          <w:sz w:val="20"/>
        </w:rPr>
      </w:pPr>
    </w:p>
    <w:p w14:paraId="456595F5" w14:textId="77777777" w:rsidR="002D5261" w:rsidRPr="00190686" w:rsidRDefault="002D5261" w:rsidP="002D5261">
      <w:pPr>
        <w:numPr>
          <w:ilvl w:val="0"/>
          <w:numId w:val="42"/>
        </w:numPr>
        <w:tabs>
          <w:tab w:val="left" w:pos="851"/>
        </w:tabs>
        <w:spacing w:after="0" w:line="300" w:lineRule="exact"/>
        <w:ind w:left="851" w:hanging="851"/>
        <w:rPr>
          <w:rFonts w:ascii="Verdana" w:hAnsi="Verdana"/>
          <w:sz w:val="20"/>
        </w:rPr>
      </w:pPr>
      <w:r w:rsidRPr="00190686">
        <w:rPr>
          <w:rFonts w:ascii="Verdana" w:hAnsi="Verdana"/>
          <w:sz w:val="20"/>
        </w:rPr>
        <w:t>As Debêntures poderão ser colocadas com ágio ou deságio, a ser definido, se for o caso, no ato de subscrição das Debêntures, desde que seja aplicado à totalidade das Debêntures de cada série.</w:t>
      </w:r>
    </w:p>
    <w:p w14:paraId="6536AE65" w14:textId="77777777" w:rsidR="002D5261" w:rsidRPr="00190686" w:rsidRDefault="002D5261" w:rsidP="002D5261">
      <w:pPr>
        <w:tabs>
          <w:tab w:val="left" w:pos="851"/>
        </w:tabs>
        <w:spacing w:after="0" w:line="300" w:lineRule="exact"/>
        <w:rPr>
          <w:rFonts w:ascii="Verdana" w:hAnsi="Verdana"/>
          <w:sz w:val="20"/>
        </w:rPr>
      </w:pPr>
    </w:p>
    <w:p w14:paraId="7DCD4316" w14:textId="1117BAD6" w:rsidR="002D5261" w:rsidRPr="00190686" w:rsidRDefault="002D5261" w:rsidP="002D5261">
      <w:pPr>
        <w:numPr>
          <w:ilvl w:val="0"/>
          <w:numId w:val="14"/>
        </w:numPr>
        <w:tabs>
          <w:tab w:val="left" w:pos="851"/>
        </w:tabs>
        <w:spacing w:after="0" w:line="300" w:lineRule="exact"/>
        <w:ind w:left="0" w:firstLine="0"/>
        <w:rPr>
          <w:rFonts w:ascii="Verdana" w:hAnsi="Verdana"/>
          <w:sz w:val="20"/>
        </w:rPr>
      </w:pPr>
      <w:r w:rsidRPr="00190686">
        <w:rPr>
          <w:rFonts w:ascii="Verdana" w:hAnsi="Verdana"/>
          <w:sz w:val="20"/>
          <w:u w:val="single"/>
        </w:rPr>
        <w:lastRenderedPageBreak/>
        <w:t>Prazo de Subscrição</w:t>
      </w:r>
      <w:r w:rsidRPr="00190686">
        <w:rPr>
          <w:rFonts w:ascii="Verdana" w:hAnsi="Verdana"/>
          <w:sz w:val="20"/>
        </w:rPr>
        <w:t xml:space="preserve">. As Debêntures serão subscritas, a qualquer tempo, a partir da Data de </w:t>
      </w:r>
      <w:r w:rsidR="00084FA8">
        <w:rPr>
          <w:rFonts w:ascii="Verdana" w:hAnsi="Verdana"/>
          <w:sz w:val="20"/>
        </w:rPr>
        <w:t>início de distribuição</w:t>
      </w:r>
      <w:r w:rsidRPr="00190686">
        <w:rPr>
          <w:rFonts w:ascii="Verdana" w:hAnsi="Verdana"/>
          <w:sz w:val="20"/>
        </w:rPr>
        <w:t>, observado o disposto nos artigos 7-A e 8º, parágrafo 2º, da Instrução CVM 476.</w:t>
      </w:r>
    </w:p>
    <w:p w14:paraId="4693A07F" w14:textId="77777777" w:rsidR="002D5261" w:rsidRPr="00190686" w:rsidRDefault="002D5261" w:rsidP="002D5261">
      <w:pPr>
        <w:tabs>
          <w:tab w:val="left" w:pos="851"/>
        </w:tabs>
        <w:spacing w:after="0" w:line="300" w:lineRule="exact"/>
        <w:rPr>
          <w:rFonts w:ascii="Verdana" w:hAnsi="Verdana"/>
          <w:sz w:val="20"/>
        </w:rPr>
      </w:pPr>
    </w:p>
    <w:p w14:paraId="28810B91" w14:textId="77777777" w:rsidR="002D5261" w:rsidRPr="00190686" w:rsidRDefault="002D5261" w:rsidP="002D5261">
      <w:pPr>
        <w:numPr>
          <w:ilvl w:val="0"/>
          <w:numId w:val="14"/>
        </w:numPr>
        <w:tabs>
          <w:tab w:val="left" w:pos="851"/>
        </w:tabs>
        <w:spacing w:after="0" w:line="300" w:lineRule="exact"/>
        <w:ind w:left="0" w:firstLine="0"/>
        <w:rPr>
          <w:rFonts w:ascii="Verdana" w:hAnsi="Verdana"/>
          <w:sz w:val="20"/>
        </w:rPr>
      </w:pPr>
      <w:bookmarkStart w:id="35" w:name="_Ref324932809"/>
      <w:bookmarkStart w:id="36" w:name="_Ref130282607"/>
      <w:r w:rsidRPr="00190686">
        <w:rPr>
          <w:rFonts w:ascii="Verdana" w:hAnsi="Verdana"/>
          <w:sz w:val="20"/>
          <w:u w:val="single"/>
        </w:rPr>
        <w:t>Local de Pagamento</w:t>
      </w:r>
      <w:r w:rsidRPr="00190686">
        <w:rPr>
          <w:rFonts w:ascii="Verdana" w:hAnsi="Verdana"/>
          <w:sz w:val="20"/>
        </w:rPr>
        <w:t>. Os pagamentos referentes às Debêntures e a quaisquer outros valores eventualmente devidos pela Emissora, nos termos desta Escritura de Emissão, serão realizados (i) pela Emissora, no que se refere a pagamentos referentes ao Valor Nominal, à Remuneração, ao prêmio do Resgate Antecipado Facultativo (conforme definido a seguir) e aos Encargos Moratórios (conforme definidos a seguir), e com relação às Debêntures que estejam custodiadas eletronicamente na CETIP, por meio da CETIP; ou (</w:t>
      </w:r>
      <w:proofErr w:type="spellStart"/>
      <w:r w:rsidRPr="00190686">
        <w:rPr>
          <w:rFonts w:ascii="Verdana" w:hAnsi="Verdana"/>
          <w:sz w:val="20"/>
        </w:rPr>
        <w:t>ii</w:t>
      </w:r>
      <w:proofErr w:type="spellEnd"/>
      <w:r w:rsidRPr="00190686">
        <w:rPr>
          <w:rFonts w:ascii="Verdana" w:hAnsi="Verdana"/>
          <w:sz w:val="20"/>
        </w:rPr>
        <w:t xml:space="preserve">) pela Emissora, com relação às Debêntures que não estejam custodiadas eletronicamente na CETIP, por meio do </w:t>
      </w:r>
      <w:proofErr w:type="spellStart"/>
      <w:r w:rsidRPr="00190686">
        <w:rPr>
          <w:rFonts w:ascii="Verdana" w:hAnsi="Verdana"/>
          <w:sz w:val="20"/>
        </w:rPr>
        <w:t>Escriturador</w:t>
      </w:r>
      <w:proofErr w:type="spellEnd"/>
      <w:r w:rsidRPr="00190686">
        <w:rPr>
          <w:rFonts w:ascii="Verdana" w:hAnsi="Verdana"/>
          <w:sz w:val="20"/>
        </w:rPr>
        <w:t xml:space="preserve"> ou em sua sede, conforme o caso</w:t>
      </w:r>
      <w:bookmarkEnd w:id="35"/>
      <w:r w:rsidRPr="00190686">
        <w:rPr>
          <w:rFonts w:ascii="Verdana" w:hAnsi="Verdana"/>
          <w:sz w:val="20"/>
        </w:rPr>
        <w:t>.</w:t>
      </w:r>
    </w:p>
    <w:p w14:paraId="79A594EF" w14:textId="77777777" w:rsidR="002D5261" w:rsidRPr="00190686" w:rsidRDefault="002D5261" w:rsidP="002D5261">
      <w:pPr>
        <w:pStyle w:val="GradeMdia1-nfase21"/>
        <w:tabs>
          <w:tab w:val="left" w:pos="851"/>
        </w:tabs>
        <w:spacing w:after="0" w:line="300" w:lineRule="exact"/>
        <w:rPr>
          <w:rFonts w:ascii="Verdana" w:hAnsi="Verdana"/>
          <w:sz w:val="20"/>
        </w:rPr>
      </w:pPr>
    </w:p>
    <w:p w14:paraId="604F9E2B" w14:textId="77777777" w:rsidR="002D5261" w:rsidRPr="00190686" w:rsidRDefault="002D5261" w:rsidP="002D5261">
      <w:pPr>
        <w:numPr>
          <w:ilvl w:val="0"/>
          <w:numId w:val="14"/>
        </w:numPr>
        <w:tabs>
          <w:tab w:val="left" w:pos="851"/>
        </w:tabs>
        <w:spacing w:after="0" w:line="300" w:lineRule="exact"/>
        <w:ind w:left="0" w:firstLine="0"/>
        <w:rPr>
          <w:rFonts w:ascii="Verdana" w:hAnsi="Verdana"/>
          <w:sz w:val="20"/>
        </w:rPr>
      </w:pPr>
      <w:bookmarkStart w:id="37" w:name="_Ref278399164"/>
      <w:r w:rsidRPr="00190686">
        <w:rPr>
          <w:rFonts w:ascii="Verdana" w:hAnsi="Verdana"/>
          <w:sz w:val="20"/>
          <w:u w:val="single"/>
        </w:rPr>
        <w:t>Prorrogação</w:t>
      </w:r>
      <w:r w:rsidRPr="00190686">
        <w:rPr>
          <w:rFonts w:ascii="Verdana" w:hAnsi="Verdana"/>
          <w:i/>
          <w:sz w:val="20"/>
          <w:u w:val="single"/>
        </w:rPr>
        <w:t xml:space="preserve"> </w:t>
      </w:r>
      <w:r w:rsidRPr="00190686">
        <w:rPr>
          <w:rFonts w:ascii="Verdana" w:hAnsi="Verdana"/>
          <w:sz w:val="20"/>
          <w:u w:val="single"/>
        </w:rPr>
        <w:t>dos Prazos</w:t>
      </w:r>
      <w:r w:rsidRPr="00190686">
        <w:rPr>
          <w:rFonts w:ascii="Verdana" w:hAnsi="Verdana"/>
          <w:sz w:val="20"/>
        </w:rPr>
        <w:t xml:space="preserve">. Considerar-se-ão prorrogados os prazos referentes ao pagamento de qualquer obrigação prevista ou decorrente da presente Escritura de Emissão, inclusive pelos Debenturistas, no que se refere ao pagamento do preço de </w:t>
      </w:r>
      <w:r>
        <w:rPr>
          <w:rFonts w:ascii="Verdana" w:hAnsi="Verdana"/>
          <w:sz w:val="20"/>
        </w:rPr>
        <w:t xml:space="preserve">integralização </w:t>
      </w:r>
      <w:r w:rsidRPr="00190686">
        <w:rPr>
          <w:rFonts w:ascii="Verdana" w:hAnsi="Verdana"/>
          <w:sz w:val="20"/>
        </w:rPr>
        <w:t xml:space="preserve">das Debêntures de que trata a cláusula 4.4.1. </w:t>
      </w:r>
      <w:proofErr w:type="gramStart"/>
      <w:r w:rsidRPr="00190686">
        <w:rPr>
          <w:rFonts w:ascii="Verdana" w:hAnsi="Verdana"/>
          <w:sz w:val="20"/>
        </w:rPr>
        <w:t>acima</w:t>
      </w:r>
      <w:proofErr w:type="gramEnd"/>
      <w:r w:rsidRPr="00190686">
        <w:rPr>
          <w:rFonts w:ascii="Verdana" w:hAnsi="Verdana"/>
          <w:sz w:val="20"/>
        </w:rPr>
        <w:t xml:space="preserve">, até o 1º (primeiro) Dia Útil subsequente, se o seu vencimento coincidir com dia que não seja um Dia Útil, ou qualquer dia no qual </w:t>
      </w:r>
      <w:r>
        <w:rPr>
          <w:rFonts w:ascii="Verdana" w:hAnsi="Verdana"/>
          <w:sz w:val="20"/>
        </w:rPr>
        <w:t xml:space="preserve">não </w:t>
      </w:r>
      <w:r w:rsidRPr="00190686">
        <w:rPr>
          <w:rFonts w:ascii="Verdana" w:hAnsi="Verdana"/>
          <w:sz w:val="20"/>
        </w:rPr>
        <w:t xml:space="preserve">haja expediente nos bancos comerciais na Cidade de Caxias do Sul, Estado do Rio Grande do Sul, </w:t>
      </w:r>
      <w:r>
        <w:rPr>
          <w:rFonts w:ascii="Verdana" w:hAnsi="Verdana"/>
          <w:sz w:val="20"/>
        </w:rPr>
        <w:t xml:space="preserve">e na Cidade de São Paulo, Estado de São Paulo, </w:t>
      </w:r>
      <w:r w:rsidRPr="00190686">
        <w:rPr>
          <w:rFonts w:ascii="Verdana" w:hAnsi="Verdana"/>
          <w:sz w:val="20"/>
        </w:rPr>
        <w:t>não sendo devido qualquer acréscimo de juros ou de qualquer outro encargo moratório aos valores a serem pagos, exceto pelos casos cujos pagamentos devam ser realizados por meio da CETIP, hipótese em que somente haverá prorrogação quando a data de pagamento coincidir com feriado declarado nacional, sábado ou domingo.</w:t>
      </w:r>
      <w:bookmarkEnd w:id="37"/>
    </w:p>
    <w:p w14:paraId="6973AF83" w14:textId="77777777" w:rsidR="002D5261" w:rsidRPr="00190686" w:rsidRDefault="002D5261" w:rsidP="002D5261">
      <w:pPr>
        <w:pStyle w:val="GradeMdia1-nfase21"/>
        <w:tabs>
          <w:tab w:val="left" w:pos="851"/>
        </w:tabs>
        <w:spacing w:after="0" w:line="300" w:lineRule="exact"/>
        <w:ind w:left="0"/>
        <w:rPr>
          <w:rFonts w:ascii="Verdana" w:hAnsi="Verdana"/>
          <w:sz w:val="20"/>
        </w:rPr>
      </w:pPr>
    </w:p>
    <w:p w14:paraId="162110E8" w14:textId="77777777" w:rsidR="002D5261" w:rsidRPr="00190686" w:rsidRDefault="002D5261" w:rsidP="002D5261">
      <w:pPr>
        <w:pStyle w:val="GradeMdia1-nfase21"/>
        <w:spacing w:after="0" w:line="300" w:lineRule="exact"/>
        <w:ind w:left="851" w:hanging="851"/>
        <w:rPr>
          <w:rFonts w:ascii="Verdana" w:hAnsi="Verdana"/>
          <w:sz w:val="20"/>
        </w:rPr>
      </w:pPr>
      <w:r w:rsidRPr="00190686">
        <w:rPr>
          <w:rFonts w:ascii="Verdana" w:hAnsi="Verdana"/>
          <w:sz w:val="20"/>
        </w:rPr>
        <w:t xml:space="preserve">4.4.4.1. Exceto quando previsto expressamente de modo diverso na presente Escritura de Emissão, entende-se por “Dia(s) </w:t>
      </w:r>
      <w:proofErr w:type="gramStart"/>
      <w:r w:rsidRPr="00190686">
        <w:rPr>
          <w:rFonts w:ascii="Verdana" w:hAnsi="Verdana"/>
          <w:sz w:val="20"/>
        </w:rPr>
        <w:t>Útil(</w:t>
      </w:r>
      <w:proofErr w:type="gramEnd"/>
      <w:r w:rsidRPr="00190686">
        <w:rPr>
          <w:rFonts w:ascii="Verdana" w:hAnsi="Verdana"/>
          <w:sz w:val="20"/>
        </w:rPr>
        <w:t>eis)” qualquer dia que não seja sábado, domingo ou feriado declarado nacional.</w:t>
      </w:r>
    </w:p>
    <w:p w14:paraId="0D923F5E" w14:textId="77777777" w:rsidR="002D5261" w:rsidRPr="00190686" w:rsidRDefault="002D5261" w:rsidP="002D5261">
      <w:pPr>
        <w:pStyle w:val="GradeMdia1-nfase21"/>
        <w:tabs>
          <w:tab w:val="left" w:pos="851"/>
        </w:tabs>
        <w:spacing w:after="0" w:line="300" w:lineRule="exact"/>
        <w:ind w:left="0"/>
        <w:rPr>
          <w:rFonts w:ascii="Verdana" w:hAnsi="Verdana"/>
          <w:sz w:val="20"/>
        </w:rPr>
      </w:pPr>
    </w:p>
    <w:p w14:paraId="3E95BDA2" w14:textId="77777777" w:rsidR="002D5261" w:rsidRPr="00190686" w:rsidRDefault="002D5261" w:rsidP="002D5261">
      <w:pPr>
        <w:numPr>
          <w:ilvl w:val="0"/>
          <w:numId w:val="14"/>
        </w:numPr>
        <w:tabs>
          <w:tab w:val="left" w:pos="851"/>
        </w:tabs>
        <w:spacing w:after="0" w:line="300" w:lineRule="exact"/>
        <w:ind w:left="0" w:firstLine="0"/>
        <w:rPr>
          <w:rFonts w:ascii="Verdana" w:hAnsi="Verdana"/>
          <w:sz w:val="20"/>
        </w:rPr>
      </w:pPr>
      <w:r w:rsidRPr="00190686">
        <w:rPr>
          <w:rFonts w:ascii="Verdana" w:hAnsi="Verdana"/>
          <w:sz w:val="20"/>
          <w:u w:val="single"/>
        </w:rPr>
        <w:t>Direito ao Recebimento dos Pagamentos</w:t>
      </w:r>
      <w:r w:rsidRPr="00190686">
        <w:rPr>
          <w:rFonts w:ascii="Verdana" w:hAnsi="Verdana"/>
          <w:sz w:val="20"/>
        </w:rPr>
        <w:t>. Farão jus ao recebimento de qualquer valor devido aos Debenturistas nos termos desta Escritura de Emissão aqueles que forem Debenturistas no encerramento do Dia Útil imediatamente anterior à respectiva data de pagamento.</w:t>
      </w:r>
    </w:p>
    <w:p w14:paraId="1198CA71" w14:textId="77777777" w:rsidR="002D5261" w:rsidRPr="00190686" w:rsidRDefault="002D5261" w:rsidP="002D5261">
      <w:pPr>
        <w:pStyle w:val="GradeMdia1-nfase21"/>
        <w:tabs>
          <w:tab w:val="left" w:pos="851"/>
        </w:tabs>
        <w:spacing w:after="0" w:line="300" w:lineRule="exact"/>
        <w:rPr>
          <w:rFonts w:ascii="Verdana" w:hAnsi="Verdana"/>
          <w:sz w:val="20"/>
        </w:rPr>
      </w:pPr>
    </w:p>
    <w:p w14:paraId="2D9B1BAE" w14:textId="77777777" w:rsidR="002D5261" w:rsidRPr="00190686" w:rsidRDefault="002D5261" w:rsidP="002D5261">
      <w:pPr>
        <w:numPr>
          <w:ilvl w:val="0"/>
          <w:numId w:val="14"/>
        </w:numPr>
        <w:tabs>
          <w:tab w:val="left" w:pos="851"/>
        </w:tabs>
        <w:spacing w:after="0" w:line="300" w:lineRule="exact"/>
        <w:ind w:left="0" w:firstLine="0"/>
        <w:rPr>
          <w:rFonts w:ascii="Verdana" w:hAnsi="Verdana"/>
          <w:sz w:val="20"/>
        </w:rPr>
      </w:pPr>
      <w:bookmarkStart w:id="38" w:name="_Ref279851957"/>
      <w:r w:rsidRPr="00190686">
        <w:rPr>
          <w:rFonts w:ascii="Verdana" w:hAnsi="Verdana"/>
          <w:sz w:val="20"/>
          <w:u w:val="single"/>
        </w:rPr>
        <w:t>Encargos</w:t>
      </w:r>
      <w:r w:rsidRPr="00190686">
        <w:rPr>
          <w:rFonts w:ascii="Verdana" w:hAnsi="Verdana"/>
          <w:i/>
          <w:sz w:val="20"/>
          <w:u w:val="single"/>
        </w:rPr>
        <w:t xml:space="preserve"> </w:t>
      </w:r>
      <w:r w:rsidRPr="00190686">
        <w:rPr>
          <w:rFonts w:ascii="Verdana" w:hAnsi="Verdana"/>
          <w:sz w:val="20"/>
          <w:u w:val="single"/>
        </w:rPr>
        <w:t>Moratórios</w:t>
      </w:r>
      <w:r w:rsidRPr="00190686">
        <w:rPr>
          <w:rFonts w:ascii="Verdana" w:hAnsi="Verdana"/>
          <w:sz w:val="20"/>
        </w:rPr>
        <w:t xml:space="preserve">. Sem prejuízo no disposto na Cláusula Quinta a seguir, ocorrendo impontualidade no pagamento de qualquer quantia devida pela Emissora aos Debenturistas nos termos desta Escritura de Emissão, o valor em atraso continuará a ser remunerado nos termos da respectiva Remuneração aplicável e, além disso, incidirão, independentemente de aviso, notificação ou interpelação judicial ou extrajudicial, (i) juros de mora de 1% (um por cento) ao mês, calculados </w:t>
      </w:r>
      <w:proofErr w:type="gramStart"/>
      <w:r w:rsidRPr="00190686">
        <w:rPr>
          <w:rFonts w:ascii="Verdana" w:hAnsi="Verdana"/>
          <w:i/>
          <w:sz w:val="20"/>
        </w:rPr>
        <w:t>pro rata</w:t>
      </w:r>
      <w:proofErr w:type="gramEnd"/>
      <w:r w:rsidRPr="00190686">
        <w:rPr>
          <w:rFonts w:ascii="Verdana" w:hAnsi="Verdana"/>
          <w:i/>
          <w:sz w:val="20"/>
        </w:rPr>
        <w:t xml:space="preserve"> </w:t>
      </w:r>
      <w:proofErr w:type="spellStart"/>
      <w:r w:rsidRPr="00190686">
        <w:rPr>
          <w:rFonts w:ascii="Verdana" w:hAnsi="Verdana"/>
          <w:i/>
          <w:sz w:val="20"/>
        </w:rPr>
        <w:t>temporis</w:t>
      </w:r>
      <w:proofErr w:type="spellEnd"/>
      <w:r w:rsidRPr="00190686">
        <w:rPr>
          <w:rFonts w:ascii="Verdana" w:hAnsi="Verdana"/>
          <w:sz w:val="20"/>
        </w:rPr>
        <w:t xml:space="preserve"> desde a data de inadimplemento até a data do efetivo pagamento; e </w:t>
      </w:r>
      <w:r w:rsidRPr="00190686">
        <w:rPr>
          <w:rFonts w:ascii="Verdana" w:hAnsi="Verdana"/>
          <w:sz w:val="20"/>
        </w:rPr>
        <w:lastRenderedPageBreak/>
        <w:t>(</w:t>
      </w:r>
      <w:proofErr w:type="spellStart"/>
      <w:r w:rsidRPr="00190686">
        <w:rPr>
          <w:rFonts w:ascii="Verdana" w:hAnsi="Verdana"/>
          <w:sz w:val="20"/>
        </w:rPr>
        <w:t>ii</w:t>
      </w:r>
      <w:proofErr w:type="spellEnd"/>
      <w:r w:rsidRPr="00190686">
        <w:rPr>
          <w:rFonts w:ascii="Verdana" w:hAnsi="Verdana"/>
          <w:sz w:val="20"/>
        </w:rPr>
        <w:t>) multa moratória e não compensatória de 2% (dois por cento) (“</w:t>
      </w:r>
      <w:r w:rsidRPr="00190686">
        <w:rPr>
          <w:rFonts w:ascii="Verdana" w:hAnsi="Verdana"/>
          <w:sz w:val="20"/>
          <w:u w:val="single"/>
        </w:rPr>
        <w:t>Encargos Moratórios</w:t>
      </w:r>
      <w:r w:rsidRPr="00190686">
        <w:rPr>
          <w:rFonts w:ascii="Verdana" w:hAnsi="Verdana"/>
          <w:sz w:val="20"/>
        </w:rPr>
        <w:t>”).</w:t>
      </w:r>
      <w:bookmarkEnd w:id="38"/>
    </w:p>
    <w:p w14:paraId="3281B8C1" w14:textId="77777777" w:rsidR="002D5261" w:rsidRPr="00190686" w:rsidRDefault="002D5261" w:rsidP="002D5261">
      <w:pPr>
        <w:pStyle w:val="GradeMdia1-nfase21"/>
        <w:tabs>
          <w:tab w:val="left" w:pos="851"/>
        </w:tabs>
        <w:spacing w:after="0" w:line="300" w:lineRule="exact"/>
        <w:rPr>
          <w:rFonts w:ascii="Verdana" w:hAnsi="Verdana"/>
          <w:sz w:val="20"/>
        </w:rPr>
      </w:pPr>
    </w:p>
    <w:p w14:paraId="35999616" w14:textId="77777777" w:rsidR="002D5261" w:rsidRPr="00190686" w:rsidRDefault="002D5261" w:rsidP="002D5261">
      <w:pPr>
        <w:numPr>
          <w:ilvl w:val="0"/>
          <w:numId w:val="14"/>
        </w:numPr>
        <w:tabs>
          <w:tab w:val="left" w:pos="851"/>
        </w:tabs>
        <w:spacing w:after="0" w:line="300" w:lineRule="exact"/>
        <w:ind w:left="0" w:firstLine="0"/>
        <w:rPr>
          <w:rFonts w:ascii="Verdana" w:hAnsi="Verdana"/>
          <w:sz w:val="20"/>
        </w:rPr>
      </w:pPr>
      <w:r w:rsidRPr="00190686">
        <w:rPr>
          <w:rFonts w:ascii="Verdana" w:hAnsi="Verdana"/>
          <w:sz w:val="20"/>
          <w:u w:val="single"/>
        </w:rPr>
        <w:t>Decadência</w:t>
      </w:r>
      <w:r w:rsidRPr="00190686">
        <w:rPr>
          <w:rFonts w:ascii="Verdana" w:hAnsi="Verdana"/>
          <w:i/>
          <w:sz w:val="20"/>
          <w:u w:val="single"/>
        </w:rPr>
        <w:t xml:space="preserve"> </w:t>
      </w:r>
      <w:r w:rsidRPr="00190686">
        <w:rPr>
          <w:rFonts w:ascii="Verdana" w:hAnsi="Verdana"/>
          <w:sz w:val="20"/>
          <w:u w:val="single"/>
        </w:rPr>
        <w:t>dos Direitos aos Acréscimos</w:t>
      </w:r>
      <w:r w:rsidRPr="00190686">
        <w:rPr>
          <w:rFonts w:ascii="Verdana" w:hAnsi="Verdana"/>
          <w:sz w:val="20"/>
        </w:rPr>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190686">
        <w:rPr>
          <w:rFonts w:ascii="Verdana" w:eastAsia="Batang" w:hAnsi="Verdana"/>
          <w:sz w:val="20"/>
        </w:rPr>
        <w:t>ou pagamento, no caso de impontualidade no pagamento</w:t>
      </w:r>
      <w:r w:rsidRPr="00190686">
        <w:rPr>
          <w:rFonts w:ascii="Verdana" w:hAnsi="Verdana"/>
          <w:sz w:val="20"/>
        </w:rPr>
        <w:t>.</w:t>
      </w:r>
    </w:p>
    <w:p w14:paraId="601F98E4" w14:textId="77777777" w:rsidR="002D5261" w:rsidRPr="00190686" w:rsidRDefault="002D5261" w:rsidP="002D5261">
      <w:pPr>
        <w:pStyle w:val="GradeMdia1-nfase21"/>
        <w:tabs>
          <w:tab w:val="left" w:pos="851"/>
        </w:tabs>
        <w:spacing w:after="0" w:line="300" w:lineRule="exact"/>
        <w:rPr>
          <w:rFonts w:ascii="Verdana" w:hAnsi="Verdana"/>
          <w:sz w:val="20"/>
        </w:rPr>
      </w:pPr>
    </w:p>
    <w:p w14:paraId="373946EF" w14:textId="77777777" w:rsidR="002D5261" w:rsidRPr="00190686" w:rsidRDefault="002D5261" w:rsidP="002D5261">
      <w:pPr>
        <w:numPr>
          <w:ilvl w:val="0"/>
          <w:numId w:val="14"/>
        </w:numPr>
        <w:tabs>
          <w:tab w:val="left" w:pos="851"/>
        </w:tabs>
        <w:spacing w:after="0" w:line="300" w:lineRule="exact"/>
        <w:ind w:left="0" w:firstLine="0"/>
        <w:rPr>
          <w:rFonts w:ascii="Verdana" w:hAnsi="Verdana"/>
          <w:sz w:val="20"/>
        </w:rPr>
      </w:pPr>
      <w:r w:rsidRPr="00190686">
        <w:rPr>
          <w:rFonts w:ascii="Verdana" w:hAnsi="Verdana"/>
          <w:sz w:val="20"/>
          <w:u w:val="single"/>
        </w:rPr>
        <w:t>Imunidade</w:t>
      </w:r>
      <w:r w:rsidRPr="00190686">
        <w:rPr>
          <w:rFonts w:ascii="Verdana" w:hAnsi="Verdana"/>
          <w:i/>
          <w:iCs/>
          <w:sz w:val="20"/>
          <w:u w:val="single"/>
        </w:rPr>
        <w:t xml:space="preserve"> </w:t>
      </w:r>
      <w:r w:rsidRPr="00190686">
        <w:rPr>
          <w:rFonts w:ascii="Verdana" w:hAnsi="Verdana"/>
          <w:iCs/>
          <w:sz w:val="20"/>
          <w:u w:val="single"/>
        </w:rPr>
        <w:t>Tributária</w:t>
      </w:r>
      <w:r w:rsidRPr="00190686">
        <w:rPr>
          <w:rFonts w:ascii="Verdana" w:hAnsi="Verdana"/>
          <w:sz w:val="20"/>
        </w:rPr>
        <w:t xml:space="preserve">. Caso qualquer Debenturista goze de algum tipo de imunidade ou isenção tributária, este deverá encaminhar à Emissora e ao Banco Liquidante, no prazo mínimo de 10 (dez) Dias Úteis anteriores à data prevista para recebimento de valores relativos às Debêntures, documentação comprobatória da referida imunidade ou isenção tributária, </w:t>
      </w:r>
      <w:proofErr w:type="gramStart"/>
      <w:r w:rsidRPr="00190686">
        <w:rPr>
          <w:rFonts w:ascii="Verdana" w:hAnsi="Verdana"/>
          <w:sz w:val="20"/>
        </w:rPr>
        <w:t>sob pena</w:t>
      </w:r>
      <w:proofErr w:type="gramEnd"/>
      <w:r w:rsidRPr="00190686">
        <w:rPr>
          <w:rFonts w:ascii="Verdana" w:hAnsi="Verdana"/>
          <w:sz w:val="20"/>
        </w:rPr>
        <w:t xml:space="preserve"> de ter descontado de seus pagamentos os valores devidos nos termos da legislação tributária em vigor.</w:t>
      </w:r>
    </w:p>
    <w:bookmarkEnd w:id="36"/>
    <w:p w14:paraId="2B630C14" w14:textId="77777777" w:rsidR="002D5261" w:rsidRPr="00190686" w:rsidRDefault="002D5261" w:rsidP="002D5261">
      <w:pPr>
        <w:tabs>
          <w:tab w:val="left" w:pos="851"/>
        </w:tabs>
        <w:spacing w:after="0" w:line="300" w:lineRule="exact"/>
        <w:rPr>
          <w:rFonts w:ascii="Verdana" w:hAnsi="Verdana"/>
          <w:sz w:val="20"/>
        </w:rPr>
      </w:pPr>
    </w:p>
    <w:p w14:paraId="11D31929" w14:textId="77777777" w:rsidR="002D5261" w:rsidRPr="00190686" w:rsidRDefault="002D5261" w:rsidP="002D5261">
      <w:pPr>
        <w:numPr>
          <w:ilvl w:val="0"/>
          <w:numId w:val="19"/>
        </w:numPr>
        <w:tabs>
          <w:tab w:val="left" w:pos="851"/>
        </w:tabs>
        <w:spacing w:after="0" w:line="300" w:lineRule="exact"/>
        <w:ind w:left="0" w:firstLine="0"/>
        <w:rPr>
          <w:rFonts w:ascii="Verdana" w:hAnsi="Verdana"/>
          <w:b/>
          <w:sz w:val="20"/>
        </w:rPr>
      </w:pPr>
      <w:r w:rsidRPr="00190686">
        <w:rPr>
          <w:rFonts w:ascii="Verdana" w:hAnsi="Verdana"/>
          <w:b/>
          <w:sz w:val="20"/>
        </w:rPr>
        <w:t>Repactuação Programada</w:t>
      </w:r>
    </w:p>
    <w:p w14:paraId="6A78EEB7" w14:textId="77777777" w:rsidR="002D5261" w:rsidRPr="00190686" w:rsidRDefault="002D5261" w:rsidP="002D5261">
      <w:pPr>
        <w:tabs>
          <w:tab w:val="left" w:pos="851"/>
        </w:tabs>
        <w:spacing w:after="0" w:line="300" w:lineRule="exact"/>
        <w:rPr>
          <w:rFonts w:ascii="Verdana" w:hAnsi="Verdana"/>
          <w:i/>
          <w:sz w:val="20"/>
        </w:rPr>
      </w:pPr>
      <w:bookmarkStart w:id="39" w:name="_Ref535067474"/>
      <w:bookmarkStart w:id="40" w:name="_Ref130282854"/>
    </w:p>
    <w:p w14:paraId="3C6AE4DB"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As Debêntures desta Emissão não estarão sujeitas à repactuação programada.</w:t>
      </w:r>
    </w:p>
    <w:p w14:paraId="6BDA817E" w14:textId="77777777" w:rsidR="002D5261" w:rsidRPr="00190686" w:rsidRDefault="002D5261" w:rsidP="002D5261">
      <w:pPr>
        <w:tabs>
          <w:tab w:val="left" w:pos="851"/>
        </w:tabs>
        <w:spacing w:after="0" w:line="300" w:lineRule="exact"/>
        <w:rPr>
          <w:rFonts w:ascii="Verdana" w:hAnsi="Verdana"/>
          <w:sz w:val="20"/>
        </w:rPr>
      </w:pPr>
    </w:p>
    <w:p w14:paraId="38A6BA1B" w14:textId="77777777" w:rsidR="002D5261" w:rsidRPr="00190686" w:rsidRDefault="002D5261" w:rsidP="002D5261">
      <w:pPr>
        <w:numPr>
          <w:ilvl w:val="0"/>
          <w:numId w:val="19"/>
        </w:numPr>
        <w:tabs>
          <w:tab w:val="left" w:pos="851"/>
        </w:tabs>
        <w:spacing w:after="0" w:line="300" w:lineRule="exact"/>
        <w:ind w:left="0" w:firstLine="0"/>
        <w:rPr>
          <w:rFonts w:ascii="Verdana" w:hAnsi="Verdana"/>
          <w:b/>
          <w:sz w:val="20"/>
        </w:rPr>
      </w:pPr>
      <w:r w:rsidRPr="00190686">
        <w:rPr>
          <w:rFonts w:ascii="Verdana" w:hAnsi="Verdana"/>
          <w:b/>
          <w:sz w:val="20"/>
        </w:rPr>
        <w:t>Resgate Antecipado Facultativo</w:t>
      </w:r>
    </w:p>
    <w:p w14:paraId="6F3E770C" w14:textId="77777777" w:rsidR="002D5261" w:rsidRPr="00190686" w:rsidRDefault="002D5261" w:rsidP="002D5261">
      <w:pPr>
        <w:tabs>
          <w:tab w:val="left" w:pos="851"/>
        </w:tabs>
        <w:spacing w:after="0" w:line="300" w:lineRule="exact"/>
        <w:rPr>
          <w:rFonts w:ascii="Verdana" w:hAnsi="Verdana"/>
          <w:b/>
          <w:sz w:val="20"/>
        </w:rPr>
      </w:pPr>
    </w:p>
    <w:p w14:paraId="4A69EE03" w14:textId="77777777" w:rsidR="002D5261" w:rsidRPr="00190686" w:rsidRDefault="002D5261" w:rsidP="002D5261">
      <w:pPr>
        <w:numPr>
          <w:ilvl w:val="0"/>
          <w:numId w:val="17"/>
        </w:numPr>
        <w:tabs>
          <w:tab w:val="left" w:pos="851"/>
        </w:tabs>
        <w:spacing w:after="0" w:line="300" w:lineRule="exact"/>
        <w:ind w:left="0" w:firstLine="0"/>
        <w:rPr>
          <w:rFonts w:ascii="Verdana" w:hAnsi="Verdana"/>
          <w:sz w:val="20"/>
        </w:rPr>
      </w:pPr>
      <w:r w:rsidRPr="00190686">
        <w:rPr>
          <w:rFonts w:ascii="Verdana" w:hAnsi="Verdana"/>
          <w:sz w:val="20"/>
        </w:rPr>
        <w:t xml:space="preserve">Sujeito ao atendimento das condições abaixo, a Emissora poderá, a seu exclusivo critério, realizar, a qualquer tempo a partir da Data de Integralização da respectiva série a ser </w:t>
      </w:r>
      <w:proofErr w:type="gramStart"/>
      <w:r w:rsidRPr="00190686">
        <w:rPr>
          <w:rFonts w:ascii="Verdana" w:hAnsi="Verdana"/>
          <w:sz w:val="20"/>
        </w:rPr>
        <w:t>resgatada, o resgate antecipado facultativo da totalidade das Debêntures da respectiva série (sendo vedado o resgate antecipado facultativo parcial de quaisquer das séries)</w:t>
      </w:r>
      <w:proofErr w:type="gramEnd"/>
      <w:r w:rsidRPr="00190686">
        <w:rPr>
          <w:rFonts w:ascii="Verdana" w:hAnsi="Verdana"/>
          <w:sz w:val="20"/>
        </w:rPr>
        <w:t>, com o consequente cancelamento de tais Debêntures (“</w:t>
      </w:r>
      <w:r w:rsidRPr="00190686">
        <w:rPr>
          <w:rFonts w:ascii="Verdana" w:hAnsi="Verdana"/>
          <w:sz w:val="20"/>
          <w:u w:val="single"/>
        </w:rPr>
        <w:t>Resgate Antecipado Facultativo</w:t>
      </w:r>
      <w:r w:rsidRPr="00190686">
        <w:rPr>
          <w:rFonts w:ascii="Verdana" w:hAnsi="Verdana"/>
          <w:sz w:val="20"/>
        </w:rPr>
        <w:t>”).</w:t>
      </w:r>
    </w:p>
    <w:p w14:paraId="5CDCBD3C" w14:textId="77777777" w:rsidR="002D5261" w:rsidRPr="00190686" w:rsidRDefault="002D5261" w:rsidP="002D5261">
      <w:pPr>
        <w:tabs>
          <w:tab w:val="left" w:pos="851"/>
        </w:tabs>
        <w:spacing w:after="0" w:line="300" w:lineRule="exact"/>
        <w:rPr>
          <w:rFonts w:ascii="Verdana" w:hAnsi="Verdana"/>
          <w:sz w:val="20"/>
        </w:rPr>
      </w:pPr>
    </w:p>
    <w:p w14:paraId="1B547FF7" w14:textId="77777777" w:rsidR="002D5261" w:rsidRPr="00190686" w:rsidRDefault="002D5261" w:rsidP="002D5261">
      <w:pPr>
        <w:numPr>
          <w:ilvl w:val="0"/>
          <w:numId w:val="17"/>
        </w:numPr>
        <w:tabs>
          <w:tab w:val="left" w:pos="851"/>
        </w:tabs>
        <w:spacing w:after="0" w:line="300" w:lineRule="exact"/>
        <w:ind w:left="0" w:firstLine="0"/>
        <w:rPr>
          <w:rFonts w:ascii="Verdana" w:hAnsi="Verdana"/>
          <w:sz w:val="20"/>
        </w:rPr>
      </w:pPr>
      <w:r w:rsidRPr="00190686">
        <w:rPr>
          <w:rFonts w:ascii="Verdana" w:hAnsi="Verdana"/>
          <w:sz w:val="20"/>
        </w:rPr>
        <w:t>A Emissora deverá comunicar os Debenturistas por meio de publicação de anúncio, nos termos da cláusula 4.10 a seguir, com, no mínimo, 10 (dez) Dias Úteis de antecedência da data do evento. Tal comunicado aos Debenturistas deverá descrever os termos e condições do Resgate Antecipado Facultativo, incluindo (a) se o Resgate Antecipado Facultativo abrangerá todas as séries ou determinada série a ser especificada; (b) o Valor do Resgate Antecipado Facultativo (conforme abaixo definido); (c) a data efetiva para o Resgate Antecipado Facultativo; e (d) demais informações necessárias à operacionalização do Resgate Antecipado Facultativo (“</w:t>
      </w:r>
      <w:r w:rsidRPr="00190686">
        <w:rPr>
          <w:rFonts w:ascii="Verdana" w:hAnsi="Verdana"/>
          <w:sz w:val="20"/>
          <w:u w:val="single"/>
        </w:rPr>
        <w:t>Comunicação de Resgate Antecipado Facultativo</w:t>
      </w:r>
      <w:r w:rsidRPr="00190686">
        <w:rPr>
          <w:rFonts w:ascii="Verdana" w:hAnsi="Verdana"/>
          <w:sz w:val="20"/>
        </w:rPr>
        <w:t>”).</w:t>
      </w:r>
    </w:p>
    <w:p w14:paraId="13BDE00E" w14:textId="77777777" w:rsidR="002D5261" w:rsidRPr="00190686" w:rsidRDefault="002D5261" w:rsidP="002D5261">
      <w:pPr>
        <w:tabs>
          <w:tab w:val="left" w:pos="851"/>
        </w:tabs>
        <w:spacing w:after="0" w:line="300" w:lineRule="exact"/>
        <w:rPr>
          <w:rFonts w:ascii="Verdana" w:hAnsi="Verdana"/>
          <w:sz w:val="20"/>
        </w:rPr>
      </w:pPr>
    </w:p>
    <w:p w14:paraId="76492AD6" w14:textId="77777777" w:rsidR="002D5261" w:rsidRPr="00190686" w:rsidRDefault="002D5261" w:rsidP="002D5261">
      <w:pPr>
        <w:numPr>
          <w:ilvl w:val="0"/>
          <w:numId w:val="17"/>
        </w:numPr>
        <w:tabs>
          <w:tab w:val="left" w:pos="851"/>
        </w:tabs>
        <w:spacing w:after="0" w:line="300" w:lineRule="exact"/>
        <w:ind w:left="0" w:firstLine="0"/>
        <w:rPr>
          <w:rFonts w:ascii="Verdana" w:hAnsi="Verdana"/>
          <w:sz w:val="20"/>
        </w:rPr>
      </w:pPr>
      <w:r w:rsidRPr="00190686">
        <w:rPr>
          <w:rFonts w:ascii="Verdana" w:hAnsi="Verdana"/>
          <w:sz w:val="20"/>
        </w:rPr>
        <w:t xml:space="preserve">O valor a ser pago em relação a cada uma das Debêntures objeto do Resgate Antecipado Facultativo será o Valor Nominal, acrescido da Remuneração, calculada </w:t>
      </w:r>
      <w:proofErr w:type="gramStart"/>
      <w:r w:rsidRPr="00190686">
        <w:rPr>
          <w:rFonts w:ascii="Verdana" w:hAnsi="Verdana"/>
          <w:i/>
          <w:sz w:val="20"/>
        </w:rPr>
        <w:t>pro</w:t>
      </w:r>
      <w:r w:rsidRPr="00190686">
        <w:rPr>
          <w:rFonts w:ascii="Verdana" w:hAnsi="Verdana"/>
          <w:sz w:val="20"/>
        </w:rPr>
        <w:t xml:space="preserve"> </w:t>
      </w:r>
      <w:r w:rsidRPr="00190686">
        <w:rPr>
          <w:rFonts w:ascii="Verdana" w:hAnsi="Verdana"/>
          <w:i/>
          <w:sz w:val="20"/>
        </w:rPr>
        <w:lastRenderedPageBreak/>
        <w:t>rata</w:t>
      </w:r>
      <w:proofErr w:type="gramEnd"/>
      <w:r w:rsidRPr="00190686">
        <w:rPr>
          <w:rFonts w:ascii="Verdana" w:hAnsi="Verdana"/>
          <w:i/>
          <w:sz w:val="20"/>
        </w:rPr>
        <w:t xml:space="preserve"> </w:t>
      </w:r>
      <w:proofErr w:type="spellStart"/>
      <w:r w:rsidRPr="00190686">
        <w:rPr>
          <w:rFonts w:ascii="Verdana" w:hAnsi="Verdana"/>
          <w:i/>
          <w:sz w:val="20"/>
        </w:rPr>
        <w:t>temporis</w:t>
      </w:r>
      <w:proofErr w:type="spellEnd"/>
      <w:r w:rsidRPr="00190686">
        <w:rPr>
          <w:rFonts w:ascii="Verdana" w:hAnsi="Verdana"/>
          <w:sz w:val="20"/>
        </w:rPr>
        <w:t xml:space="preserve"> desde a 1ª (primeira) Data de Integralização da respectiva série a ser resgatada ou a data de pagamento de Remuneração imediatamente anterior da respectiva série, conforme o caso, até a data do efetivo pagamento, acrescido de prêmio (</w:t>
      </w:r>
      <w:r w:rsidRPr="00190686">
        <w:rPr>
          <w:rFonts w:ascii="Verdana" w:hAnsi="Verdana"/>
          <w:i/>
          <w:sz w:val="20"/>
        </w:rPr>
        <w:t>flat</w:t>
      </w:r>
      <w:r w:rsidRPr="00190686">
        <w:rPr>
          <w:rFonts w:ascii="Verdana" w:hAnsi="Verdana"/>
          <w:sz w:val="20"/>
        </w:rPr>
        <w:t xml:space="preserve">), incidente sobre o valor do resgate (sendo que o valor do resgate significa o Valor Nominal das Debêntures, acrescido da Remuneração, calculada </w:t>
      </w:r>
      <w:r w:rsidRPr="00190686">
        <w:rPr>
          <w:rFonts w:ascii="Verdana" w:hAnsi="Verdana"/>
          <w:i/>
          <w:sz w:val="20"/>
        </w:rPr>
        <w:t>pro</w:t>
      </w:r>
      <w:r w:rsidRPr="00190686">
        <w:rPr>
          <w:rFonts w:ascii="Verdana" w:hAnsi="Verdana"/>
          <w:sz w:val="20"/>
        </w:rPr>
        <w:t xml:space="preserve"> </w:t>
      </w:r>
      <w:r w:rsidRPr="00190686">
        <w:rPr>
          <w:rFonts w:ascii="Verdana" w:hAnsi="Verdana"/>
          <w:i/>
          <w:sz w:val="20"/>
        </w:rPr>
        <w:t xml:space="preserve">rata </w:t>
      </w:r>
      <w:proofErr w:type="spellStart"/>
      <w:r w:rsidRPr="00190686">
        <w:rPr>
          <w:rFonts w:ascii="Verdana" w:hAnsi="Verdana"/>
          <w:i/>
          <w:sz w:val="20"/>
        </w:rPr>
        <w:t>temporis</w:t>
      </w:r>
      <w:proofErr w:type="spellEnd"/>
      <w:r w:rsidRPr="00190686">
        <w:rPr>
          <w:rFonts w:ascii="Verdana" w:hAnsi="Verdana"/>
          <w:sz w:val="20"/>
        </w:rPr>
        <w:t xml:space="preserve"> desde a 1ª (primeira) Data de Integralização da respectiva série a ser resgatada ou a data de pagamento de Remuneração imediatamente anterior da respectiva série, conforme o caso, até a data do efetivo pagamento), conforme tabela a seguir (“</w:t>
      </w:r>
      <w:r w:rsidRPr="00190686">
        <w:rPr>
          <w:rFonts w:ascii="Verdana" w:hAnsi="Verdana"/>
          <w:sz w:val="20"/>
          <w:u w:val="single"/>
        </w:rPr>
        <w:t>Valor do Resgate Antecipado Facultativo</w:t>
      </w:r>
      <w:r w:rsidRPr="00190686">
        <w:rPr>
          <w:rFonts w:ascii="Verdana" w:hAnsi="Verdana"/>
          <w:sz w:val="20"/>
        </w:rPr>
        <w:t>”):</w:t>
      </w:r>
    </w:p>
    <w:p w14:paraId="6FFD44F5" w14:textId="77777777" w:rsidR="002D5261" w:rsidRPr="006922EF" w:rsidRDefault="002D5261" w:rsidP="002D5261">
      <w:pPr>
        <w:tabs>
          <w:tab w:val="left" w:pos="851"/>
        </w:tabs>
        <w:spacing w:after="0" w:line="300" w:lineRule="exact"/>
        <w:rPr>
          <w:rFonts w:ascii="Verdana" w:hAnsi="Verdana"/>
          <w:sz w:val="20"/>
        </w:rPr>
      </w:pPr>
      <w:bookmarkStart w:id="41" w:name="_Ref272362243"/>
      <w:bookmarkStart w:id="42" w:name="_Ref534176584"/>
      <w:bookmarkEnd w:id="39"/>
      <w:bookmarkEnd w:id="40"/>
    </w:p>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9"/>
        <w:gridCol w:w="2943"/>
        <w:gridCol w:w="2944"/>
      </w:tblGrid>
      <w:tr w:rsidR="002D5261" w:rsidRPr="00190686" w14:paraId="6616ADB6" w14:textId="77777777" w:rsidTr="000A1FA1">
        <w:tc>
          <w:tcPr>
            <w:tcW w:w="3179" w:type="dxa"/>
            <w:shd w:val="clear" w:color="auto" w:fill="BFBFBF"/>
          </w:tcPr>
          <w:p w14:paraId="624B5686" w14:textId="77777777" w:rsidR="002D5261" w:rsidRPr="00190686" w:rsidRDefault="002D5261" w:rsidP="000A1FA1">
            <w:pPr>
              <w:tabs>
                <w:tab w:val="left" w:pos="851"/>
              </w:tabs>
              <w:spacing w:after="0" w:line="300" w:lineRule="exact"/>
              <w:jc w:val="center"/>
              <w:rPr>
                <w:rFonts w:ascii="Verdana" w:hAnsi="Verdana"/>
                <w:b/>
                <w:smallCaps/>
                <w:sz w:val="20"/>
              </w:rPr>
            </w:pPr>
            <w:r w:rsidRPr="00190686">
              <w:rPr>
                <w:rFonts w:ascii="Verdana" w:hAnsi="Verdana"/>
                <w:b/>
                <w:smallCaps/>
                <w:sz w:val="20"/>
              </w:rPr>
              <w:t>Data do Resgate Antecipado facultativo</w:t>
            </w:r>
          </w:p>
        </w:tc>
        <w:tc>
          <w:tcPr>
            <w:tcW w:w="2943" w:type="dxa"/>
            <w:shd w:val="clear" w:color="auto" w:fill="BFBFBF"/>
          </w:tcPr>
          <w:p w14:paraId="7F4345B1" w14:textId="77777777" w:rsidR="002D5261" w:rsidRPr="00190686" w:rsidRDefault="002D5261" w:rsidP="000A1FA1">
            <w:pPr>
              <w:tabs>
                <w:tab w:val="left" w:pos="851"/>
              </w:tabs>
              <w:spacing w:after="0" w:line="300" w:lineRule="exact"/>
              <w:jc w:val="center"/>
              <w:rPr>
                <w:rFonts w:ascii="Verdana" w:hAnsi="Verdana"/>
                <w:b/>
                <w:smallCaps/>
                <w:sz w:val="20"/>
              </w:rPr>
            </w:pPr>
            <w:proofErr w:type="gramStart"/>
            <w:r w:rsidRPr="00190686">
              <w:rPr>
                <w:rFonts w:ascii="Verdana" w:hAnsi="Verdana"/>
                <w:b/>
                <w:smallCaps/>
                <w:sz w:val="20"/>
              </w:rPr>
              <w:t>prêmio</w:t>
            </w:r>
            <w:proofErr w:type="gramEnd"/>
            <w:r w:rsidRPr="00190686">
              <w:rPr>
                <w:rFonts w:ascii="Verdana" w:hAnsi="Verdana"/>
                <w:b/>
                <w:smallCaps/>
                <w:sz w:val="20"/>
              </w:rPr>
              <w:t xml:space="preserve"> de Resgate Antecipado Facultativo (1ª série)</w:t>
            </w:r>
          </w:p>
        </w:tc>
        <w:tc>
          <w:tcPr>
            <w:tcW w:w="2944" w:type="dxa"/>
            <w:shd w:val="clear" w:color="auto" w:fill="BFBFBF"/>
          </w:tcPr>
          <w:p w14:paraId="52D59089" w14:textId="77777777" w:rsidR="002D5261" w:rsidRPr="00190686" w:rsidRDefault="002D5261" w:rsidP="000A1FA1">
            <w:pPr>
              <w:tabs>
                <w:tab w:val="left" w:pos="851"/>
              </w:tabs>
              <w:spacing w:after="0" w:line="300" w:lineRule="exact"/>
              <w:jc w:val="center"/>
              <w:rPr>
                <w:rFonts w:ascii="Verdana" w:hAnsi="Verdana"/>
                <w:b/>
                <w:smallCaps/>
                <w:sz w:val="20"/>
              </w:rPr>
            </w:pPr>
            <w:proofErr w:type="gramStart"/>
            <w:r w:rsidRPr="00190686">
              <w:rPr>
                <w:rFonts w:ascii="Verdana" w:hAnsi="Verdana"/>
                <w:b/>
                <w:smallCaps/>
                <w:sz w:val="20"/>
              </w:rPr>
              <w:t>prêmio</w:t>
            </w:r>
            <w:proofErr w:type="gramEnd"/>
            <w:r w:rsidRPr="00190686">
              <w:rPr>
                <w:rFonts w:ascii="Verdana" w:hAnsi="Verdana"/>
                <w:b/>
                <w:smallCaps/>
                <w:sz w:val="20"/>
              </w:rPr>
              <w:t xml:space="preserve"> de Resgate Antecipado Facultativo (2ª série)</w:t>
            </w:r>
          </w:p>
        </w:tc>
      </w:tr>
      <w:tr w:rsidR="002D5261" w:rsidRPr="00190686" w14:paraId="632553DE" w14:textId="77777777" w:rsidTr="000A1FA1">
        <w:tc>
          <w:tcPr>
            <w:tcW w:w="3179" w:type="dxa"/>
            <w:shd w:val="clear" w:color="auto" w:fill="auto"/>
          </w:tcPr>
          <w:p w14:paraId="0F130612"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 xml:space="preserve">Até </w:t>
            </w:r>
            <w:r>
              <w:rPr>
                <w:rFonts w:ascii="Verdana" w:hAnsi="Verdana"/>
                <w:sz w:val="20"/>
              </w:rPr>
              <w:t xml:space="preserve">30 </w:t>
            </w:r>
            <w:r w:rsidRPr="00190686">
              <w:rPr>
                <w:rFonts w:ascii="Verdana" w:hAnsi="Verdana"/>
                <w:sz w:val="20"/>
              </w:rPr>
              <w:t xml:space="preserve">de </w:t>
            </w:r>
            <w:r>
              <w:rPr>
                <w:rFonts w:ascii="Verdana" w:hAnsi="Verdana"/>
                <w:sz w:val="20"/>
              </w:rPr>
              <w:t xml:space="preserve">maio </w:t>
            </w:r>
            <w:r w:rsidRPr="00190686">
              <w:rPr>
                <w:rFonts w:ascii="Verdana" w:hAnsi="Verdana"/>
                <w:sz w:val="20"/>
              </w:rPr>
              <w:t xml:space="preserve">de </w:t>
            </w:r>
            <w:r>
              <w:rPr>
                <w:rFonts w:ascii="Verdana" w:hAnsi="Verdana"/>
                <w:sz w:val="20"/>
              </w:rPr>
              <w:t>2017</w:t>
            </w:r>
            <w:r w:rsidRPr="00190686">
              <w:rPr>
                <w:rFonts w:ascii="Verdana" w:hAnsi="Verdana"/>
                <w:sz w:val="20"/>
              </w:rPr>
              <w:t xml:space="preserve">, </w:t>
            </w:r>
            <w:proofErr w:type="gramStart"/>
            <w:r w:rsidRPr="00190686">
              <w:rPr>
                <w:rFonts w:ascii="Verdana" w:hAnsi="Verdana"/>
                <w:sz w:val="20"/>
              </w:rPr>
              <w:t>inclusive</w:t>
            </w:r>
            <w:proofErr w:type="gramEnd"/>
          </w:p>
        </w:tc>
        <w:tc>
          <w:tcPr>
            <w:tcW w:w="2943" w:type="dxa"/>
            <w:shd w:val="clear" w:color="auto" w:fill="auto"/>
          </w:tcPr>
          <w:p w14:paraId="67DCAA0B"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1,25% flat</w:t>
            </w:r>
          </w:p>
        </w:tc>
        <w:tc>
          <w:tcPr>
            <w:tcW w:w="2944" w:type="dxa"/>
            <w:shd w:val="clear" w:color="auto" w:fill="auto"/>
          </w:tcPr>
          <w:p w14:paraId="1774491B"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1,35% flat</w:t>
            </w:r>
          </w:p>
        </w:tc>
      </w:tr>
      <w:tr w:rsidR="002D5261" w:rsidRPr="00190686" w14:paraId="78896A0B" w14:textId="77777777" w:rsidTr="000A1FA1">
        <w:tc>
          <w:tcPr>
            <w:tcW w:w="3179" w:type="dxa"/>
            <w:shd w:val="clear" w:color="auto" w:fill="auto"/>
          </w:tcPr>
          <w:p w14:paraId="2A0F5B4B"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 xml:space="preserve">De </w:t>
            </w:r>
            <w:r>
              <w:rPr>
                <w:rFonts w:ascii="Verdana" w:hAnsi="Verdana"/>
                <w:sz w:val="20"/>
              </w:rPr>
              <w:t xml:space="preserve">31 </w:t>
            </w:r>
            <w:r w:rsidRPr="00190686">
              <w:rPr>
                <w:rFonts w:ascii="Verdana" w:hAnsi="Verdana"/>
                <w:sz w:val="20"/>
              </w:rPr>
              <w:t xml:space="preserve">de </w:t>
            </w:r>
            <w:r>
              <w:rPr>
                <w:rFonts w:ascii="Verdana" w:hAnsi="Verdana"/>
                <w:sz w:val="20"/>
              </w:rPr>
              <w:t xml:space="preserve">maio </w:t>
            </w:r>
            <w:r w:rsidRPr="00190686">
              <w:rPr>
                <w:rFonts w:ascii="Verdana" w:hAnsi="Verdana"/>
                <w:sz w:val="20"/>
              </w:rPr>
              <w:t xml:space="preserve">de </w:t>
            </w:r>
            <w:r>
              <w:rPr>
                <w:rFonts w:ascii="Verdana" w:hAnsi="Verdana"/>
                <w:sz w:val="20"/>
              </w:rPr>
              <w:t>2017</w:t>
            </w:r>
            <w:r w:rsidRPr="00190686">
              <w:rPr>
                <w:rFonts w:ascii="Verdana" w:hAnsi="Verdana"/>
                <w:sz w:val="20"/>
              </w:rPr>
              <w:t xml:space="preserve">, inclusive, até </w:t>
            </w:r>
            <w:r>
              <w:rPr>
                <w:rFonts w:ascii="Verdana" w:hAnsi="Verdana"/>
                <w:sz w:val="20"/>
              </w:rPr>
              <w:t xml:space="preserve">30 </w:t>
            </w:r>
            <w:r w:rsidRPr="00190686">
              <w:rPr>
                <w:rFonts w:ascii="Verdana" w:hAnsi="Verdana"/>
                <w:sz w:val="20"/>
              </w:rPr>
              <w:t xml:space="preserve">de </w:t>
            </w:r>
            <w:r>
              <w:rPr>
                <w:rFonts w:ascii="Verdana" w:hAnsi="Verdana"/>
                <w:sz w:val="20"/>
              </w:rPr>
              <w:t xml:space="preserve">novembro </w:t>
            </w:r>
            <w:r w:rsidRPr="00190686">
              <w:rPr>
                <w:rFonts w:ascii="Verdana" w:hAnsi="Verdana"/>
                <w:sz w:val="20"/>
              </w:rPr>
              <w:t xml:space="preserve">de </w:t>
            </w:r>
            <w:r>
              <w:rPr>
                <w:rFonts w:ascii="Verdana" w:hAnsi="Verdana"/>
                <w:sz w:val="20"/>
              </w:rPr>
              <w:t>2017</w:t>
            </w:r>
            <w:r w:rsidRPr="00190686">
              <w:rPr>
                <w:rFonts w:ascii="Verdana" w:hAnsi="Verdana"/>
                <w:sz w:val="20"/>
              </w:rPr>
              <w:t xml:space="preserve">, </w:t>
            </w:r>
            <w:proofErr w:type="gramStart"/>
            <w:r w:rsidRPr="00190686">
              <w:rPr>
                <w:rFonts w:ascii="Verdana" w:hAnsi="Verdana"/>
                <w:sz w:val="20"/>
              </w:rPr>
              <w:t>inclusive</w:t>
            </w:r>
            <w:proofErr w:type="gramEnd"/>
            <w:r w:rsidRPr="00190686">
              <w:rPr>
                <w:rFonts w:ascii="Verdana" w:hAnsi="Verdana"/>
                <w:sz w:val="20"/>
              </w:rPr>
              <w:t xml:space="preserve"> </w:t>
            </w:r>
          </w:p>
        </w:tc>
        <w:tc>
          <w:tcPr>
            <w:tcW w:w="2943" w:type="dxa"/>
            <w:shd w:val="clear" w:color="auto" w:fill="auto"/>
          </w:tcPr>
          <w:p w14:paraId="2A2E1873"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1,00% flat</w:t>
            </w:r>
          </w:p>
        </w:tc>
        <w:tc>
          <w:tcPr>
            <w:tcW w:w="2944" w:type="dxa"/>
            <w:shd w:val="clear" w:color="auto" w:fill="auto"/>
          </w:tcPr>
          <w:p w14:paraId="456CC334"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1,20% flat</w:t>
            </w:r>
          </w:p>
        </w:tc>
      </w:tr>
      <w:tr w:rsidR="002D5261" w:rsidRPr="00190686" w14:paraId="7680D810" w14:textId="77777777" w:rsidTr="000A1FA1">
        <w:tc>
          <w:tcPr>
            <w:tcW w:w="3179" w:type="dxa"/>
            <w:shd w:val="clear" w:color="auto" w:fill="auto"/>
          </w:tcPr>
          <w:p w14:paraId="4AB62520"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 xml:space="preserve">De </w:t>
            </w:r>
            <w:proofErr w:type="gramStart"/>
            <w:r>
              <w:rPr>
                <w:rFonts w:ascii="Verdana" w:hAnsi="Verdana"/>
                <w:sz w:val="20"/>
              </w:rPr>
              <w:t>1</w:t>
            </w:r>
            <w:proofErr w:type="gramEnd"/>
            <w:r>
              <w:rPr>
                <w:rFonts w:ascii="Verdana" w:hAnsi="Verdana"/>
                <w:sz w:val="20"/>
              </w:rPr>
              <w:t xml:space="preserve"> </w:t>
            </w:r>
            <w:r w:rsidRPr="00190686">
              <w:rPr>
                <w:rFonts w:ascii="Verdana" w:hAnsi="Verdana"/>
                <w:sz w:val="20"/>
              </w:rPr>
              <w:t xml:space="preserve">de </w:t>
            </w:r>
            <w:r>
              <w:rPr>
                <w:rFonts w:ascii="Verdana" w:hAnsi="Verdana"/>
                <w:sz w:val="20"/>
              </w:rPr>
              <w:t xml:space="preserve">dezembro </w:t>
            </w:r>
            <w:r w:rsidRPr="00190686">
              <w:rPr>
                <w:rFonts w:ascii="Verdana" w:hAnsi="Verdana"/>
                <w:sz w:val="20"/>
              </w:rPr>
              <w:t xml:space="preserve">de </w:t>
            </w:r>
            <w:r>
              <w:rPr>
                <w:rFonts w:ascii="Verdana" w:hAnsi="Verdana"/>
                <w:sz w:val="20"/>
              </w:rPr>
              <w:t>2017</w:t>
            </w:r>
            <w:r w:rsidRPr="00190686">
              <w:rPr>
                <w:rFonts w:ascii="Verdana" w:hAnsi="Verdana"/>
                <w:sz w:val="20"/>
              </w:rPr>
              <w:t xml:space="preserve">, inclusive, até </w:t>
            </w:r>
            <w:r>
              <w:rPr>
                <w:rFonts w:ascii="Verdana" w:hAnsi="Verdana"/>
                <w:sz w:val="20"/>
              </w:rPr>
              <w:t xml:space="preserve">30 </w:t>
            </w:r>
            <w:r w:rsidRPr="00190686">
              <w:rPr>
                <w:rFonts w:ascii="Verdana" w:hAnsi="Verdana"/>
                <w:sz w:val="20"/>
              </w:rPr>
              <w:t xml:space="preserve">de </w:t>
            </w:r>
            <w:r>
              <w:rPr>
                <w:rFonts w:ascii="Verdana" w:hAnsi="Verdana"/>
                <w:sz w:val="20"/>
              </w:rPr>
              <w:t xml:space="preserve">maio </w:t>
            </w:r>
            <w:r w:rsidRPr="00190686">
              <w:rPr>
                <w:rFonts w:ascii="Verdana" w:hAnsi="Verdana"/>
                <w:sz w:val="20"/>
              </w:rPr>
              <w:t xml:space="preserve">de </w:t>
            </w:r>
            <w:r>
              <w:rPr>
                <w:rFonts w:ascii="Verdana" w:hAnsi="Verdana"/>
                <w:sz w:val="20"/>
              </w:rPr>
              <w:t>2018</w:t>
            </w:r>
            <w:r w:rsidRPr="00190686">
              <w:rPr>
                <w:rFonts w:ascii="Verdana" w:hAnsi="Verdana"/>
                <w:sz w:val="20"/>
              </w:rPr>
              <w:t>, inclusive</w:t>
            </w:r>
          </w:p>
        </w:tc>
        <w:tc>
          <w:tcPr>
            <w:tcW w:w="2943" w:type="dxa"/>
            <w:shd w:val="clear" w:color="auto" w:fill="auto"/>
          </w:tcPr>
          <w:p w14:paraId="48BB23A7"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0,70% flat</w:t>
            </w:r>
          </w:p>
        </w:tc>
        <w:tc>
          <w:tcPr>
            <w:tcW w:w="2944" w:type="dxa"/>
            <w:shd w:val="clear" w:color="auto" w:fill="auto"/>
          </w:tcPr>
          <w:p w14:paraId="4E538E24"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1,00% flat</w:t>
            </w:r>
          </w:p>
        </w:tc>
      </w:tr>
      <w:tr w:rsidR="002D5261" w:rsidRPr="00190686" w14:paraId="6670050D" w14:textId="77777777" w:rsidTr="000A1FA1">
        <w:tc>
          <w:tcPr>
            <w:tcW w:w="3179" w:type="dxa"/>
            <w:shd w:val="clear" w:color="auto" w:fill="auto"/>
          </w:tcPr>
          <w:p w14:paraId="47EDC79C"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 xml:space="preserve">De </w:t>
            </w:r>
            <w:r>
              <w:rPr>
                <w:rFonts w:ascii="Verdana" w:hAnsi="Verdana"/>
                <w:sz w:val="20"/>
              </w:rPr>
              <w:t xml:space="preserve">31 </w:t>
            </w:r>
            <w:r w:rsidRPr="00190686">
              <w:rPr>
                <w:rFonts w:ascii="Verdana" w:hAnsi="Verdana"/>
                <w:sz w:val="20"/>
              </w:rPr>
              <w:t xml:space="preserve">de </w:t>
            </w:r>
            <w:r>
              <w:rPr>
                <w:rFonts w:ascii="Verdana" w:hAnsi="Verdana"/>
                <w:sz w:val="20"/>
              </w:rPr>
              <w:t xml:space="preserve">maio </w:t>
            </w:r>
            <w:r w:rsidRPr="00190686">
              <w:rPr>
                <w:rFonts w:ascii="Verdana" w:hAnsi="Verdana"/>
                <w:sz w:val="20"/>
              </w:rPr>
              <w:t xml:space="preserve">de </w:t>
            </w:r>
            <w:r>
              <w:rPr>
                <w:rFonts w:ascii="Verdana" w:hAnsi="Verdana"/>
                <w:sz w:val="20"/>
              </w:rPr>
              <w:t>2018</w:t>
            </w:r>
            <w:r w:rsidRPr="00190686">
              <w:rPr>
                <w:rFonts w:ascii="Verdana" w:hAnsi="Verdana"/>
                <w:sz w:val="20"/>
              </w:rPr>
              <w:t xml:space="preserve">, inclusive, até </w:t>
            </w:r>
            <w:r>
              <w:rPr>
                <w:rFonts w:ascii="Verdana" w:hAnsi="Verdana"/>
                <w:sz w:val="20"/>
              </w:rPr>
              <w:t xml:space="preserve">30 </w:t>
            </w:r>
            <w:r w:rsidRPr="00190686">
              <w:rPr>
                <w:rFonts w:ascii="Verdana" w:hAnsi="Verdana"/>
                <w:sz w:val="20"/>
              </w:rPr>
              <w:t xml:space="preserve">de </w:t>
            </w:r>
            <w:r>
              <w:rPr>
                <w:rFonts w:ascii="Verdana" w:hAnsi="Verdana"/>
                <w:sz w:val="20"/>
              </w:rPr>
              <w:t xml:space="preserve">novem </w:t>
            </w:r>
            <w:proofErr w:type="spellStart"/>
            <w:r>
              <w:rPr>
                <w:rFonts w:ascii="Verdana" w:hAnsi="Verdana"/>
                <w:sz w:val="20"/>
              </w:rPr>
              <w:t>bro</w:t>
            </w:r>
            <w:proofErr w:type="spellEnd"/>
            <w:r>
              <w:rPr>
                <w:rFonts w:ascii="Verdana" w:hAnsi="Verdana"/>
                <w:sz w:val="20"/>
              </w:rPr>
              <w:t xml:space="preserve"> </w:t>
            </w:r>
            <w:r w:rsidRPr="00190686">
              <w:rPr>
                <w:rFonts w:ascii="Verdana" w:hAnsi="Verdana"/>
                <w:sz w:val="20"/>
              </w:rPr>
              <w:t xml:space="preserve">de </w:t>
            </w:r>
            <w:r>
              <w:rPr>
                <w:rFonts w:ascii="Verdana" w:hAnsi="Verdana"/>
                <w:sz w:val="20"/>
              </w:rPr>
              <w:t>2018</w:t>
            </w:r>
            <w:r w:rsidRPr="00190686">
              <w:rPr>
                <w:rFonts w:ascii="Verdana" w:hAnsi="Verdana"/>
                <w:sz w:val="20"/>
              </w:rPr>
              <w:t xml:space="preserve">, </w:t>
            </w:r>
            <w:proofErr w:type="gramStart"/>
            <w:r w:rsidRPr="00190686">
              <w:rPr>
                <w:rFonts w:ascii="Verdana" w:hAnsi="Verdana"/>
                <w:sz w:val="20"/>
              </w:rPr>
              <w:t>inclusive</w:t>
            </w:r>
            <w:proofErr w:type="gramEnd"/>
          </w:p>
        </w:tc>
        <w:tc>
          <w:tcPr>
            <w:tcW w:w="2943" w:type="dxa"/>
            <w:shd w:val="clear" w:color="auto" w:fill="auto"/>
          </w:tcPr>
          <w:p w14:paraId="080F97CC"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0,50% flat</w:t>
            </w:r>
          </w:p>
        </w:tc>
        <w:tc>
          <w:tcPr>
            <w:tcW w:w="2944" w:type="dxa"/>
            <w:shd w:val="clear" w:color="auto" w:fill="auto"/>
          </w:tcPr>
          <w:p w14:paraId="593F24B4"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0,85% flat</w:t>
            </w:r>
          </w:p>
        </w:tc>
      </w:tr>
      <w:tr w:rsidR="002D5261" w:rsidRPr="00190686" w14:paraId="22AA87AC" w14:textId="77777777" w:rsidTr="000A1FA1">
        <w:tc>
          <w:tcPr>
            <w:tcW w:w="3179" w:type="dxa"/>
            <w:shd w:val="clear" w:color="auto" w:fill="auto"/>
          </w:tcPr>
          <w:p w14:paraId="727EA0A2"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 xml:space="preserve">De </w:t>
            </w:r>
            <w:proofErr w:type="gramStart"/>
            <w:r>
              <w:rPr>
                <w:rFonts w:ascii="Verdana" w:hAnsi="Verdana"/>
                <w:sz w:val="20"/>
              </w:rPr>
              <w:t>1</w:t>
            </w:r>
            <w:proofErr w:type="gramEnd"/>
            <w:r>
              <w:rPr>
                <w:rFonts w:ascii="Verdana" w:hAnsi="Verdana"/>
                <w:sz w:val="20"/>
              </w:rPr>
              <w:t xml:space="preserve"> </w:t>
            </w:r>
            <w:r w:rsidRPr="00190686">
              <w:rPr>
                <w:rFonts w:ascii="Verdana" w:hAnsi="Verdana"/>
                <w:sz w:val="20"/>
              </w:rPr>
              <w:t xml:space="preserve">de </w:t>
            </w:r>
            <w:r>
              <w:rPr>
                <w:rFonts w:ascii="Verdana" w:hAnsi="Verdana"/>
                <w:sz w:val="20"/>
              </w:rPr>
              <w:t xml:space="preserve">dezembro </w:t>
            </w:r>
            <w:r w:rsidRPr="00190686">
              <w:rPr>
                <w:rFonts w:ascii="Verdana" w:hAnsi="Verdana"/>
                <w:sz w:val="20"/>
              </w:rPr>
              <w:t xml:space="preserve">de </w:t>
            </w:r>
            <w:r>
              <w:rPr>
                <w:rFonts w:ascii="Verdana" w:hAnsi="Verdana"/>
                <w:sz w:val="20"/>
              </w:rPr>
              <w:t>2018</w:t>
            </w:r>
            <w:r w:rsidRPr="00190686">
              <w:rPr>
                <w:rFonts w:ascii="Verdana" w:hAnsi="Verdana"/>
                <w:sz w:val="20"/>
              </w:rPr>
              <w:t xml:space="preserve">, inclusive, até </w:t>
            </w:r>
            <w:r>
              <w:rPr>
                <w:rFonts w:ascii="Verdana" w:hAnsi="Verdana"/>
                <w:sz w:val="20"/>
              </w:rPr>
              <w:t xml:space="preserve">30 </w:t>
            </w:r>
            <w:r w:rsidRPr="00190686">
              <w:rPr>
                <w:rFonts w:ascii="Verdana" w:hAnsi="Verdana"/>
                <w:sz w:val="20"/>
              </w:rPr>
              <w:t xml:space="preserve">de </w:t>
            </w:r>
            <w:r>
              <w:rPr>
                <w:rFonts w:ascii="Verdana" w:hAnsi="Verdana"/>
                <w:sz w:val="20"/>
              </w:rPr>
              <w:t xml:space="preserve">maio </w:t>
            </w:r>
            <w:r w:rsidRPr="00190686">
              <w:rPr>
                <w:rFonts w:ascii="Verdana" w:hAnsi="Verdana"/>
                <w:sz w:val="20"/>
              </w:rPr>
              <w:t xml:space="preserve">de </w:t>
            </w:r>
            <w:r>
              <w:rPr>
                <w:rFonts w:ascii="Verdana" w:hAnsi="Verdana"/>
                <w:sz w:val="20"/>
              </w:rPr>
              <w:t>2019</w:t>
            </w:r>
            <w:r w:rsidRPr="00190686">
              <w:rPr>
                <w:rFonts w:ascii="Verdana" w:hAnsi="Verdana"/>
                <w:sz w:val="20"/>
              </w:rPr>
              <w:t>, inclusive</w:t>
            </w:r>
          </w:p>
        </w:tc>
        <w:tc>
          <w:tcPr>
            <w:tcW w:w="2943" w:type="dxa"/>
            <w:shd w:val="clear" w:color="auto" w:fill="auto"/>
          </w:tcPr>
          <w:p w14:paraId="7EE549AE"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0,30% flat</w:t>
            </w:r>
          </w:p>
        </w:tc>
        <w:tc>
          <w:tcPr>
            <w:tcW w:w="2944" w:type="dxa"/>
            <w:shd w:val="clear" w:color="auto" w:fill="auto"/>
          </w:tcPr>
          <w:p w14:paraId="3D488887"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0,70% flat</w:t>
            </w:r>
          </w:p>
        </w:tc>
      </w:tr>
      <w:tr w:rsidR="002D5261" w:rsidRPr="00190686" w14:paraId="7D7C6D55" w14:textId="77777777" w:rsidTr="000A1FA1">
        <w:tc>
          <w:tcPr>
            <w:tcW w:w="3179" w:type="dxa"/>
            <w:shd w:val="clear" w:color="auto" w:fill="auto"/>
          </w:tcPr>
          <w:p w14:paraId="0323A928"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 xml:space="preserve">De </w:t>
            </w:r>
            <w:r>
              <w:rPr>
                <w:rFonts w:ascii="Verdana" w:hAnsi="Verdana"/>
                <w:sz w:val="20"/>
              </w:rPr>
              <w:t xml:space="preserve">31 </w:t>
            </w:r>
            <w:r w:rsidRPr="00190686">
              <w:rPr>
                <w:rFonts w:ascii="Verdana" w:hAnsi="Verdana"/>
                <w:sz w:val="20"/>
              </w:rPr>
              <w:t xml:space="preserve">de </w:t>
            </w:r>
            <w:r>
              <w:rPr>
                <w:rFonts w:ascii="Verdana" w:hAnsi="Verdana"/>
                <w:sz w:val="20"/>
              </w:rPr>
              <w:t xml:space="preserve">maio </w:t>
            </w:r>
            <w:r w:rsidRPr="00190686">
              <w:rPr>
                <w:rFonts w:ascii="Verdana" w:hAnsi="Verdana"/>
                <w:sz w:val="20"/>
              </w:rPr>
              <w:t xml:space="preserve">de </w:t>
            </w:r>
            <w:r>
              <w:rPr>
                <w:rFonts w:ascii="Verdana" w:hAnsi="Verdana"/>
                <w:sz w:val="20"/>
              </w:rPr>
              <w:t>2019</w:t>
            </w:r>
            <w:r w:rsidRPr="00190686">
              <w:rPr>
                <w:rFonts w:ascii="Verdana" w:hAnsi="Verdana"/>
                <w:sz w:val="20"/>
              </w:rPr>
              <w:t xml:space="preserve">, inclusive, até </w:t>
            </w:r>
            <w:r>
              <w:rPr>
                <w:rFonts w:ascii="Verdana" w:hAnsi="Verdana"/>
                <w:sz w:val="20"/>
              </w:rPr>
              <w:t>30 d</w:t>
            </w:r>
            <w:r w:rsidRPr="00190686">
              <w:rPr>
                <w:rFonts w:ascii="Verdana" w:hAnsi="Verdana"/>
                <w:sz w:val="20"/>
              </w:rPr>
              <w:t xml:space="preserve">e </w:t>
            </w:r>
            <w:r>
              <w:rPr>
                <w:rFonts w:ascii="Verdana" w:hAnsi="Verdana"/>
                <w:sz w:val="20"/>
              </w:rPr>
              <w:t>novembro</w:t>
            </w:r>
            <w:r w:rsidRPr="00190686">
              <w:rPr>
                <w:rFonts w:ascii="Verdana" w:hAnsi="Verdana"/>
                <w:sz w:val="20"/>
              </w:rPr>
              <w:t xml:space="preserve"> de </w:t>
            </w:r>
            <w:r>
              <w:rPr>
                <w:rFonts w:ascii="Verdana" w:hAnsi="Verdana"/>
                <w:sz w:val="20"/>
              </w:rPr>
              <w:t>2019</w:t>
            </w:r>
            <w:r w:rsidRPr="00190686">
              <w:rPr>
                <w:rFonts w:ascii="Verdana" w:hAnsi="Verdana"/>
                <w:sz w:val="20"/>
              </w:rPr>
              <w:t xml:space="preserve">, </w:t>
            </w:r>
            <w:proofErr w:type="gramStart"/>
            <w:r w:rsidRPr="00190686">
              <w:rPr>
                <w:rFonts w:ascii="Verdana" w:hAnsi="Verdana"/>
                <w:sz w:val="20"/>
              </w:rPr>
              <w:t>inclusive</w:t>
            </w:r>
            <w:proofErr w:type="gramEnd"/>
          </w:p>
        </w:tc>
        <w:tc>
          <w:tcPr>
            <w:tcW w:w="2943" w:type="dxa"/>
            <w:shd w:val="clear" w:color="auto" w:fill="auto"/>
          </w:tcPr>
          <w:p w14:paraId="0A1D0494"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0,15% flat</w:t>
            </w:r>
          </w:p>
        </w:tc>
        <w:tc>
          <w:tcPr>
            <w:tcW w:w="2944" w:type="dxa"/>
            <w:shd w:val="clear" w:color="auto" w:fill="auto"/>
          </w:tcPr>
          <w:p w14:paraId="16455938"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0,60% flat</w:t>
            </w:r>
          </w:p>
        </w:tc>
      </w:tr>
      <w:tr w:rsidR="002D5261" w:rsidRPr="00190686" w14:paraId="2B102BED" w14:textId="77777777" w:rsidTr="000A1FA1">
        <w:tc>
          <w:tcPr>
            <w:tcW w:w="3179" w:type="dxa"/>
            <w:shd w:val="clear" w:color="auto" w:fill="auto"/>
          </w:tcPr>
          <w:p w14:paraId="297B4915"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 xml:space="preserve">De </w:t>
            </w:r>
            <w:proofErr w:type="gramStart"/>
            <w:r>
              <w:rPr>
                <w:rFonts w:ascii="Verdana" w:hAnsi="Verdana"/>
                <w:sz w:val="20"/>
              </w:rPr>
              <w:t>1</w:t>
            </w:r>
            <w:proofErr w:type="gramEnd"/>
            <w:r>
              <w:rPr>
                <w:rFonts w:ascii="Verdana" w:hAnsi="Verdana"/>
                <w:sz w:val="20"/>
              </w:rPr>
              <w:t xml:space="preserve"> </w:t>
            </w:r>
            <w:r w:rsidRPr="00190686">
              <w:rPr>
                <w:rFonts w:ascii="Verdana" w:hAnsi="Verdana"/>
                <w:sz w:val="20"/>
              </w:rPr>
              <w:t xml:space="preserve">de </w:t>
            </w:r>
            <w:r>
              <w:rPr>
                <w:rFonts w:ascii="Verdana" w:hAnsi="Verdana"/>
                <w:sz w:val="20"/>
              </w:rPr>
              <w:t xml:space="preserve">dezembro </w:t>
            </w:r>
            <w:r w:rsidRPr="00190686">
              <w:rPr>
                <w:rFonts w:ascii="Verdana" w:hAnsi="Verdana"/>
                <w:sz w:val="20"/>
              </w:rPr>
              <w:t xml:space="preserve">de </w:t>
            </w:r>
            <w:r>
              <w:rPr>
                <w:rFonts w:ascii="Verdana" w:hAnsi="Verdana"/>
                <w:sz w:val="20"/>
              </w:rPr>
              <w:t>2019</w:t>
            </w:r>
            <w:r w:rsidRPr="00190686">
              <w:rPr>
                <w:rFonts w:ascii="Verdana" w:hAnsi="Verdana"/>
                <w:sz w:val="20"/>
              </w:rPr>
              <w:t xml:space="preserve">, inclusive, até </w:t>
            </w:r>
            <w:r>
              <w:rPr>
                <w:rFonts w:ascii="Verdana" w:hAnsi="Verdana"/>
                <w:sz w:val="20"/>
              </w:rPr>
              <w:t xml:space="preserve">30 </w:t>
            </w:r>
            <w:r w:rsidRPr="00190686">
              <w:rPr>
                <w:rFonts w:ascii="Verdana" w:hAnsi="Verdana"/>
                <w:sz w:val="20"/>
              </w:rPr>
              <w:t xml:space="preserve">de </w:t>
            </w:r>
            <w:r>
              <w:rPr>
                <w:rFonts w:ascii="Verdana" w:hAnsi="Verdana"/>
                <w:sz w:val="20"/>
              </w:rPr>
              <w:t xml:space="preserve">maio </w:t>
            </w:r>
            <w:r w:rsidRPr="00190686">
              <w:rPr>
                <w:rFonts w:ascii="Verdana" w:hAnsi="Verdana"/>
                <w:sz w:val="20"/>
              </w:rPr>
              <w:t xml:space="preserve">de </w:t>
            </w:r>
            <w:r>
              <w:rPr>
                <w:rFonts w:ascii="Verdana" w:hAnsi="Verdana"/>
                <w:sz w:val="20"/>
              </w:rPr>
              <w:t>2020</w:t>
            </w:r>
            <w:r w:rsidRPr="00190686">
              <w:rPr>
                <w:rFonts w:ascii="Verdana" w:hAnsi="Verdana"/>
                <w:sz w:val="20"/>
              </w:rPr>
              <w:t>, inclusive</w:t>
            </w:r>
          </w:p>
        </w:tc>
        <w:tc>
          <w:tcPr>
            <w:tcW w:w="2943" w:type="dxa"/>
            <w:shd w:val="clear" w:color="auto" w:fill="auto"/>
          </w:tcPr>
          <w:p w14:paraId="79AF7BC6"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w:t>
            </w:r>
          </w:p>
        </w:tc>
        <w:tc>
          <w:tcPr>
            <w:tcW w:w="2944" w:type="dxa"/>
            <w:shd w:val="clear" w:color="auto" w:fill="auto"/>
          </w:tcPr>
          <w:p w14:paraId="5C2C5044"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0,50% flat</w:t>
            </w:r>
          </w:p>
        </w:tc>
      </w:tr>
      <w:tr w:rsidR="002D5261" w:rsidRPr="00190686" w14:paraId="63CB14C9" w14:textId="77777777" w:rsidTr="000A1FA1">
        <w:tc>
          <w:tcPr>
            <w:tcW w:w="3179" w:type="dxa"/>
            <w:shd w:val="clear" w:color="auto" w:fill="auto"/>
          </w:tcPr>
          <w:p w14:paraId="2671FA2B"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 xml:space="preserve">De </w:t>
            </w:r>
            <w:r>
              <w:rPr>
                <w:rFonts w:ascii="Verdana" w:hAnsi="Verdana"/>
                <w:sz w:val="20"/>
              </w:rPr>
              <w:t xml:space="preserve">31 </w:t>
            </w:r>
            <w:r w:rsidRPr="00190686">
              <w:rPr>
                <w:rFonts w:ascii="Verdana" w:hAnsi="Verdana"/>
                <w:sz w:val="20"/>
              </w:rPr>
              <w:t xml:space="preserve">de </w:t>
            </w:r>
            <w:r>
              <w:rPr>
                <w:rFonts w:ascii="Verdana" w:hAnsi="Verdana"/>
                <w:sz w:val="20"/>
              </w:rPr>
              <w:t xml:space="preserve">maio </w:t>
            </w:r>
            <w:r w:rsidRPr="00190686">
              <w:rPr>
                <w:rFonts w:ascii="Verdana" w:hAnsi="Verdana"/>
                <w:sz w:val="20"/>
              </w:rPr>
              <w:t xml:space="preserve">de </w:t>
            </w:r>
            <w:r>
              <w:rPr>
                <w:rFonts w:ascii="Verdana" w:hAnsi="Verdana"/>
                <w:sz w:val="20"/>
              </w:rPr>
              <w:t>2020</w:t>
            </w:r>
            <w:r w:rsidRPr="00190686">
              <w:rPr>
                <w:rFonts w:ascii="Verdana" w:hAnsi="Verdana"/>
                <w:sz w:val="20"/>
              </w:rPr>
              <w:t xml:space="preserve">, inclusive, até </w:t>
            </w:r>
            <w:r>
              <w:rPr>
                <w:rFonts w:ascii="Verdana" w:hAnsi="Verdana"/>
                <w:sz w:val="20"/>
              </w:rPr>
              <w:t xml:space="preserve">30 </w:t>
            </w:r>
            <w:r w:rsidRPr="00190686">
              <w:rPr>
                <w:rFonts w:ascii="Verdana" w:hAnsi="Verdana"/>
                <w:sz w:val="20"/>
              </w:rPr>
              <w:t xml:space="preserve">de </w:t>
            </w:r>
            <w:r>
              <w:rPr>
                <w:rFonts w:ascii="Verdana" w:hAnsi="Verdana"/>
                <w:sz w:val="20"/>
              </w:rPr>
              <w:t xml:space="preserve">novembro </w:t>
            </w:r>
            <w:r w:rsidRPr="00190686">
              <w:rPr>
                <w:rFonts w:ascii="Verdana" w:hAnsi="Verdana"/>
                <w:sz w:val="20"/>
              </w:rPr>
              <w:t xml:space="preserve">de </w:t>
            </w:r>
            <w:r>
              <w:rPr>
                <w:rFonts w:ascii="Verdana" w:hAnsi="Verdana"/>
                <w:sz w:val="20"/>
              </w:rPr>
              <w:t>2020</w:t>
            </w:r>
            <w:r w:rsidRPr="00190686">
              <w:rPr>
                <w:rFonts w:ascii="Verdana" w:hAnsi="Verdana"/>
                <w:sz w:val="20"/>
              </w:rPr>
              <w:t xml:space="preserve">, </w:t>
            </w:r>
            <w:proofErr w:type="gramStart"/>
            <w:r w:rsidRPr="00190686">
              <w:rPr>
                <w:rFonts w:ascii="Verdana" w:hAnsi="Verdana"/>
                <w:sz w:val="20"/>
              </w:rPr>
              <w:t>inclusive</w:t>
            </w:r>
            <w:proofErr w:type="gramEnd"/>
          </w:p>
        </w:tc>
        <w:tc>
          <w:tcPr>
            <w:tcW w:w="2943" w:type="dxa"/>
            <w:shd w:val="clear" w:color="auto" w:fill="auto"/>
          </w:tcPr>
          <w:p w14:paraId="7D96F9A4"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w:t>
            </w:r>
          </w:p>
        </w:tc>
        <w:tc>
          <w:tcPr>
            <w:tcW w:w="2944" w:type="dxa"/>
            <w:shd w:val="clear" w:color="auto" w:fill="auto"/>
          </w:tcPr>
          <w:p w14:paraId="23F4075C"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0,40% flat</w:t>
            </w:r>
          </w:p>
        </w:tc>
      </w:tr>
      <w:tr w:rsidR="002D5261" w:rsidRPr="00190686" w14:paraId="3D140A71" w14:textId="77777777" w:rsidTr="000A1FA1">
        <w:tc>
          <w:tcPr>
            <w:tcW w:w="3179" w:type="dxa"/>
            <w:shd w:val="clear" w:color="auto" w:fill="auto"/>
          </w:tcPr>
          <w:p w14:paraId="00E93DFD"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 xml:space="preserve">De </w:t>
            </w:r>
            <w:proofErr w:type="gramStart"/>
            <w:r>
              <w:rPr>
                <w:rFonts w:ascii="Verdana" w:hAnsi="Verdana"/>
                <w:sz w:val="20"/>
              </w:rPr>
              <w:t>1</w:t>
            </w:r>
            <w:proofErr w:type="gramEnd"/>
            <w:r>
              <w:rPr>
                <w:rFonts w:ascii="Verdana" w:hAnsi="Verdana"/>
                <w:sz w:val="20"/>
              </w:rPr>
              <w:t xml:space="preserve"> </w:t>
            </w:r>
            <w:r w:rsidRPr="00190686">
              <w:rPr>
                <w:rFonts w:ascii="Verdana" w:hAnsi="Verdana"/>
                <w:sz w:val="20"/>
              </w:rPr>
              <w:t xml:space="preserve">de </w:t>
            </w:r>
            <w:r>
              <w:rPr>
                <w:rFonts w:ascii="Verdana" w:hAnsi="Verdana"/>
                <w:sz w:val="20"/>
              </w:rPr>
              <w:t xml:space="preserve">dezembro </w:t>
            </w:r>
            <w:r w:rsidRPr="00190686">
              <w:rPr>
                <w:rFonts w:ascii="Verdana" w:hAnsi="Verdana"/>
                <w:sz w:val="20"/>
              </w:rPr>
              <w:t xml:space="preserve">de </w:t>
            </w:r>
            <w:r>
              <w:rPr>
                <w:rFonts w:ascii="Verdana" w:hAnsi="Verdana"/>
                <w:sz w:val="20"/>
              </w:rPr>
              <w:t>2020</w:t>
            </w:r>
            <w:r w:rsidRPr="00190686">
              <w:rPr>
                <w:rFonts w:ascii="Verdana" w:hAnsi="Verdana"/>
                <w:sz w:val="20"/>
              </w:rPr>
              <w:t xml:space="preserve">, inclusive, até </w:t>
            </w:r>
            <w:r>
              <w:rPr>
                <w:rFonts w:ascii="Verdana" w:hAnsi="Verdana"/>
                <w:sz w:val="20"/>
              </w:rPr>
              <w:t xml:space="preserve">30 </w:t>
            </w:r>
            <w:r w:rsidRPr="00190686">
              <w:rPr>
                <w:rFonts w:ascii="Verdana" w:hAnsi="Verdana"/>
                <w:sz w:val="20"/>
              </w:rPr>
              <w:t xml:space="preserve">de </w:t>
            </w:r>
            <w:r>
              <w:rPr>
                <w:rFonts w:ascii="Verdana" w:hAnsi="Verdana"/>
                <w:sz w:val="20"/>
              </w:rPr>
              <w:t xml:space="preserve">maio </w:t>
            </w:r>
            <w:r w:rsidRPr="00190686">
              <w:rPr>
                <w:rFonts w:ascii="Verdana" w:hAnsi="Verdana"/>
                <w:sz w:val="20"/>
              </w:rPr>
              <w:t xml:space="preserve">de </w:t>
            </w:r>
            <w:r>
              <w:rPr>
                <w:rFonts w:ascii="Verdana" w:hAnsi="Verdana"/>
                <w:sz w:val="20"/>
              </w:rPr>
              <w:t>2021</w:t>
            </w:r>
            <w:r w:rsidRPr="00190686">
              <w:rPr>
                <w:rFonts w:ascii="Verdana" w:hAnsi="Verdana"/>
                <w:sz w:val="20"/>
              </w:rPr>
              <w:t>, inclusive</w:t>
            </w:r>
          </w:p>
        </w:tc>
        <w:tc>
          <w:tcPr>
            <w:tcW w:w="2943" w:type="dxa"/>
            <w:shd w:val="clear" w:color="auto" w:fill="auto"/>
          </w:tcPr>
          <w:p w14:paraId="0EFBB3A8"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w:t>
            </w:r>
          </w:p>
        </w:tc>
        <w:tc>
          <w:tcPr>
            <w:tcW w:w="2944" w:type="dxa"/>
            <w:shd w:val="clear" w:color="auto" w:fill="auto"/>
          </w:tcPr>
          <w:p w14:paraId="6927F5F8"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0,30% flat</w:t>
            </w:r>
          </w:p>
        </w:tc>
      </w:tr>
      <w:tr w:rsidR="002D5261" w:rsidRPr="00190686" w14:paraId="31DC7C8B" w14:textId="77777777" w:rsidTr="000A1FA1">
        <w:tc>
          <w:tcPr>
            <w:tcW w:w="3179" w:type="dxa"/>
            <w:shd w:val="clear" w:color="auto" w:fill="auto"/>
          </w:tcPr>
          <w:p w14:paraId="44E15D07"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 xml:space="preserve">De </w:t>
            </w:r>
            <w:r>
              <w:rPr>
                <w:rFonts w:ascii="Verdana" w:hAnsi="Verdana"/>
                <w:sz w:val="20"/>
              </w:rPr>
              <w:t xml:space="preserve">31 </w:t>
            </w:r>
            <w:r w:rsidRPr="00190686">
              <w:rPr>
                <w:rFonts w:ascii="Verdana" w:hAnsi="Verdana"/>
                <w:sz w:val="20"/>
              </w:rPr>
              <w:t xml:space="preserve">de </w:t>
            </w:r>
            <w:r>
              <w:rPr>
                <w:rFonts w:ascii="Verdana" w:hAnsi="Verdana"/>
                <w:sz w:val="20"/>
              </w:rPr>
              <w:t xml:space="preserve">maio </w:t>
            </w:r>
            <w:r w:rsidRPr="00190686">
              <w:rPr>
                <w:rFonts w:ascii="Verdana" w:hAnsi="Verdana"/>
                <w:sz w:val="20"/>
              </w:rPr>
              <w:t xml:space="preserve">de </w:t>
            </w:r>
            <w:r>
              <w:rPr>
                <w:rFonts w:ascii="Verdana" w:hAnsi="Verdana"/>
                <w:sz w:val="20"/>
              </w:rPr>
              <w:t>2021</w:t>
            </w:r>
            <w:r w:rsidRPr="00190686">
              <w:rPr>
                <w:rFonts w:ascii="Verdana" w:hAnsi="Verdana"/>
                <w:sz w:val="20"/>
              </w:rPr>
              <w:t xml:space="preserve">, inclusive, até </w:t>
            </w:r>
            <w:r>
              <w:rPr>
                <w:rFonts w:ascii="Verdana" w:hAnsi="Verdana"/>
                <w:sz w:val="20"/>
              </w:rPr>
              <w:t xml:space="preserve">30 </w:t>
            </w:r>
            <w:r w:rsidRPr="00190686">
              <w:rPr>
                <w:rFonts w:ascii="Verdana" w:hAnsi="Verdana"/>
                <w:sz w:val="20"/>
              </w:rPr>
              <w:t xml:space="preserve">de </w:t>
            </w:r>
            <w:r>
              <w:rPr>
                <w:rFonts w:ascii="Verdana" w:hAnsi="Verdana"/>
                <w:sz w:val="20"/>
              </w:rPr>
              <w:t xml:space="preserve">novembro </w:t>
            </w:r>
            <w:r w:rsidRPr="00190686">
              <w:rPr>
                <w:rFonts w:ascii="Verdana" w:hAnsi="Verdana"/>
                <w:sz w:val="20"/>
              </w:rPr>
              <w:t xml:space="preserve">de </w:t>
            </w:r>
            <w:r>
              <w:rPr>
                <w:rFonts w:ascii="Verdana" w:hAnsi="Verdana"/>
                <w:sz w:val="20"/>
              </w:rPr>
              <w:t>2021</w:t>
            </w:r>
            <w:r w:rsidRPr="00190686">
              <w:rPr>
                <w:rFonts w:ascii="Verdana" w:hAnsi="Verdana"/>
                <w:sz w:val="20"/>
              </w:rPr>
              <w:t xml:space="preserve">, </w:t>
            </w:r>
            <w:proofErr w:type="gramStart"/>
            <w:r w:rsidRPr="00190686">
              <w:rPr>
                <w:rFonts w:ascii="Verdana" w:hAnsi="Verdana"/>
                <w:sz w:val="20"/>
              </w:rPr>
              <w:t>inclusive</w:t>
            </w:r>
            <w:proofErr w:type="gramEnd"/>
          </w:p>
        </w:tc>
        <w:tc>
          <w:tcPr>
            <w:tcW w:w="2943" w:type="dxa"/>
            <w:shd w:val="clear" w:color="auto" w:fill="auto"/>
          </w:tcPr>
          <w:p w14:paraId="14BAB66E"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w:t>
            </w:r>
          </w:p>
        </w:tc>
        <w:tc>
          <w:tcPr>
            <w:tcW w:w="2944" w:type="dxa"/>
            <w:shd w:val="clear" w:color="auto" w:fill="auto"/>
          </w:tcPr>
          <w:p w14:paraId="59F5481E" w14:textId="77777777" w:rsidR="002D5261" w:rsidRPr="00190686" w:rsidRDefault="002D5261" w:rsidP="000A1FA1">
            <w:pPr>
              <w:tabs>
                <w:tab w:val="left" w:pos="851"/>
              </w:tabs>
              <w:spacing w:after="0" w:line="300" w:lineRule="exact"/>
              <w:jc w:val="center"/>
              <w:rPr>
                <w:rFonts w:ascii="Verdana" w:hAnsi="Verdana"/>
                <w:sz w:val="20"/>
              </w:rPr>
            </w:pPr>
            <w:r w:rsidRPr="00190686">
              <w:rPr>
                <w:rFonts w:ascii="Verdana" w:hAnsi="Verdana"/>
                <w:sz w:val="20"/>
              </w:rPr>
              <w:t>0,20% flat</w:t>
            </w:r>
          </w:p>
        </w:tc>
      </w:tr>
    </w:tbl>
    <w:p w14:paraId="72A2AB92" w14:textId="77777777" w:rsidR="002D5261" w:rsidRPr="00190686" w:rsidRDefault="002D5261" w:rsidP="002D5261">
      <w:pPr>
        <w:tabs>
          <w:tab w:val="left" w:pos="851"/>
        </w:tabs>
        <w:spacing w:after="0" w:line="300" w:lineRule="exact"/>
        <w:rPr>
          <w:rFonts w:ascii="Verdana" w:hAnsi="Verdana"/>
          <w:sz w:val="20"/>
        </w:rPr>
      </w:pPr>
    </w:p>
    <w:p w14:paraId="659D0064" w14:textId="77777777" w:rsidR="002D5261" w:rsidRPr="00190686" w:rsidRDefault="002D5261" w:rsidP="002D5261">
      <w:pPr>
        <w:numPr>
          <w:ilvl w:val="0"/>
          <w:numId w:val="17"/>
        </w:numPr>
        <w:tabs>
          <w:tab w:val="left" w:pos="851"/>
        </w:tabs>
        <w:spacing w:after="0" w:line="300" w:lineRule="exact"/>
        <w:ind w:left="0" w:firstLine="0"/>
        <w:rPr>
          <w:rFonts w:ascii="Verdana" w:hAnsi="Verdana"/>
          <w:sz w:val="20"/>
        </w:rPr>
      </w:pPr>
      <w:r w:rsidRPr="00190686">
        <w:rPr>
          <w:rFonts w:ascii="Verdana" w:hAnsi="Verdana"/>
          <w:sz w:val="20"/>
        </w:rPr>
        <w:t xml:space="preserve"> O pagamento do Resgate Antecipado não poderá ocorrer em data que coincida com qualquer data de pagamento do Valor Nominal das Debêntures e/ou da Remuneração.</w:t>
      </w:r>
    </w:p>
    <w:p w14:paraId="5324DC03" w14:textId="77777777" w:rsidR="002D5261" w:rsidRPr="00190686" w:rsidRDefault="002D5261" w:rsidP="002D5261">
      <w:pPr>
        <w:pStyle w:val="ListaColorida-nfase11"/>
        <w:spacing w:after="0" w:line="300" w:lineRule="exact"/>
        <w:rPr>
          <w:rFonts w:ascii="Verdana" w:hAnsi="Verdana"/>
          <w:sz w:val="20"/>
        </w:rPr>
      </w:pPr>
    </w:p>
    <w:p w14:paraId="48193735" w14:textId="59106868" w:rsidR="002D5261" w:rsidRPr="00190686" w:rsidRDefault="002D5261" w:rsidP="002D5261">
      <w:pPr>
        <w:numPr>
          <w:ilvl w:val="0"/>
          <w:numId w:val="17"/>
        </w:numPr>
        <w:tabs>
          <w:tab w:val="left" w:pos="851"/>
        </w:tabs>
        <w:spacing w:after="0" w:line="300" w:lineRule="exact"/>
        <w:ind w:left="0" w:firstLine="0"/>
        <w:rPr>
          <w:rFonts w:ascii="Verdana" w:hAnsi="Verdana"/>
          <w:sz w:val="20"/>
        </w:rPr>
      </w:pPr>
      <w:r w:rsidRPr="00190686">
        <w:rPr>
          <w:rFonts w:ascii="Verdana" w:hAnsi="Verdana"/>
          <w:sz w:val="20"/>
        </w:rPr>
        <w:t xml:space="preserve">A Emissora deverá com antecedência mínima de </w:t>
      </w:r>
      <w:proofErr w:type="gramStart"/>
      <w:r w:rsidR="00084FA8">
        <w:rPr>
          <w:rFonts w:ascii="Verdana" w:hAnsi="Verdana"/>
          <w:sz w:val="20"/>
        </w:rPr>
        <w:t>3</w:t>
      </w:r>
      <w:proofErr w:type="gramEnd"/>
      <w:r w:rsidRPr="00190686">
        <w:rPr>
          <w:rFonts w:ascii="Verdana" w:hAnsi="Verdana"/>
          <w:sz w:val="20"/>
        </w:rPr>
        <w:t> (</w:t>
      </w:r>
      <w:r w:rsidR="00084FA8">
        <w:rPr>
          <w:rFonts w:ascii="Verdana" w:hAnsi="Verdana"/>
          <w:sz w:val="20"/>
        </w:rPr>
        <w:t>três</w:t>
      </w:r>
      <w:r w:rsidRPr="00190686">
        <w:rPr>
          <w:rFonts w:ascii="Verdana" w:hAnsi="Verdana"/>
          <w:sz w:val="20"/>
        </w:rPr>
        <w:t xml:space="preserve">) Dias Úteis da respectiva data do Resgate Antecipado Facultativo, comunicar </w:t>
      </w:r>
      <w:r w:rsidR="00084FA8">
        <w:rPr>
          <w:rFonts w:ascii="Verdana" w:hAnsi="Verdana"/>
          <w:sz w:val="20"/>
        </w:rPr>
        <w:t>a</w:t>
      </w:r>
      <w:r w:rsidRPr="00190686">
        <w:rPr>
          <w:rFonts w:ascii="Verdana" w:hAnsi="Verdana"/>
          <w:sz w:val="20"/>
        </w:rPr>
        <w:t xml:space="preserve">o </w:t>
      </w:r>
      <w:proofErr w:type="spellStart"/>
      <w:r w:rsidRPr="00190686">
        <w:rPr>
          <w:rFonts w:ascii="Verdana" w:hAnsi="Verdana"/>
          <w:sz w:val="20"/>
        </w:rPr>
        <w:t>Escriturador</w:t>
      </w:r>
      <w:proofErr w:type="spellEnd"/>
      <w:r w:rsidRPr="00190686">
        <w:rPr>
          <w:rFonts w:ascii="Verdana" w:hAnsi="Verdana"/>
          <w:sz w:val="20"/>
        </w:rPr>
        <w:t>, ao Banco Liquidante e à CETIP a respectiva data do Resgate Antecipado Facultativo.</w:t>
      </w:r>
    </w:p>
    <w:p w14:paraId="0A67B71C" w14:textId="77777777" w:rsidR="002D5261" w:rsidRPr="00190686" w:rsidRDefault="002D5261" w:rsidP="002D5261">
      <w:pPr>
        <w:pStyle w:val="GradeMdia1-nfase21"/>
        <w:tabs>
          <w:tab w:val="left" w:pos="851"/>
        </w:tabs>
        <w:spacing w:after="0" w:line="300" w:lineRule="exact"/>
        <w:rPr>
          <w:rFonts w:ascii="Verdana" w:hAnsi="Verdana"/>
          <w:sz w:val="20"/>
        </w:rPr>
      </w:pPr>
    </w:p>
    <w:p w14:paraId="47E87241" w14:textId="77777777" w:rsidR="002D5261" w:rsidRPr="00190686" w:rsidRDefault="002D5261" w:rsidP="002D5261">
      <w:pPr>
        <w:numPr>
          <w:ilvl w:val="0"/>
          <w:numId w:val="19"/>
        </w:numPr>
        <w:tabs>
          <w:tab w:val="left" w:pos="851"/>
        </w:tabs>
        <w:spacing w:after="0" w:line="300" w:lineRule="exact"/>
        <w:ind w:left="0" w:firstLine="0"/>
        <w:rPr>
          <w:rFonts w:ascii="Verdana" w:hAnsi="Verdana"/>
          <w:sz w:val="20"/>
        </w:rPr>
      </w:pPr>
      <w:bookmarkStart w:id="43" w:name="_Ref286439163"/>
      <w:bookmarkStart w:id="44" w:name="_Ref302744040"/>
      <w:bookmarkStart w:id="45" w:name="_Ref306628854"/>
      <w:bookmarkStart w:id="46" w:name="_Ref285570716"/>
      <w:r w:rsidRPr="00190686">
        <w:rPr>
          <w:rFonts w:ascii="Verdana" w:hAnsi="Verdana"/>
          <w:b/>
          <w:sz w:val="20"/>
        </w:rPr>
        <w:t>Oferta Facultativa de Resgate Antecipado</w:t>
      </w:r>
      <w:bookmarkEnd w:id="43"/>
      <w:bookmarkEnd w:id="44"/>
    </w:p>
    <w:p w14:paraId="3B741396" w14:textId="77777777" w:rsidR="002D5261" w:rsidRPr="00190686" w:rsidRDefault="002D5261" w:rsidP="002D5261">
      <w:pPr>
        <w:tabs>
          <w:tab w:val="left" w:pos="851"/>
        </w:tabs>
        <w:spacing w:after="0" w:line="300" w:lineRule="exact"/>
        <w:rPr>
          <w:rFonts w:ascii="Verdana" w:hAnsi="Verdana"/>
          <w:sz w:val="20"/>
        </w:rPr>
      </w:pPr>
    </w:p>
    <w:p w14:paraId="6F203183" w14:textId="77777777" w:rsidR="002D5261" w:rsidRPr="00190686" w:rsidRDefault="002D5261" w:rsidP="002D5261">
      <w:pPr>
        <w:numPr>
          <w:ilvl w:val="2"/>
          <w:numId w:val="15"/>
        </w:numPr>
        <w:tabs>
          <w:tab w:val="left" w:pos="851"/>
        </w:tabs>
        <w:spacing w:after="0" w:line="300" w:lineRule="exact"/>
        <w:ind w:left="0" w:firstLine="0"/>
        <w:rPr>
          <w:rFonts w:ascii="Verdana" w:hAnsi="Verdana"/>
          <w:sz w:val="20"/>
        </w:rPr>
      </w:pPr>
      <w:r w:rsidRPr="00190686">
        <w:rPr>
          <w:rFonts w:ascii="Verdana" w:hAnsi="Verdana"/>
          <w:sz w:val="20"/>
        </w:rPr>
        <w:t xml:space="preserve">A Emissora poderá realizar, a qualquer tempo, a partir da Data de Integralização de cada série, oferta facultativa de resgate antecipado, total ou parcial, das Debêntures da respectiva série, com o consequente cancelamento de tais Debêntures, que será endereçada a todos os Debenturistas, sem distinção, assegurada a igualdade de condições a todos </w:t>
      </w:r>
      <w:r w:rsidRPr="00190686">
        <w:rPr>
          <w:rFonts w:ascii="Verdana" w:hAnsi="Verdana"/>
          <w:iCs/>
          <w:sz w:val="20"/>
        </w:rPr>
        <w:t>os Debenturistas</w:t>
      </w:r>
      <w:r w:rsidRPr="00190686">
        <w:rPr>
          <w:rFonts w:ascii="Verdana" w:hAnsi="Verdana"/>
          <w:sz w:val="20"/>
        </w:rPr>
        <w:t>, em geral ou por série, conforme o que for definido pela Emissora,</w:t>
      </w:r>
      <w:r w:rsidRPr="00190686">
        <w:rPr>
          <w:rFonts w:ascii="Verdana" w:hAnsi="Verdana"/>
          <w:iCs/>
          <w:sz w:val="20"/>
        </w:rPr>
        <w:t xml:space="preserve"> para aceitar o resgate antecipado das </w:t>
      </w:r>
      <w:r w:rsidRPr="00190686">
        <w:rPr>
          <w:rFonts w:ascii="Verdana" w:hAnsi="Verdana"/>
          <w:sz w:val="20"/>
        </w:rPr>
        <w:t>Debêntures de que forem titulares, de acordo com os termos e condições previstos abaixo</w:t>
      </w:r>
      <w:r w:rsidRPr="00190686">
        <w:rPr>
          <w:rFonts w:ascii="Verdana" w:hAnsi="Verdana"/>
          <w:iCs/>
          <w:sz w:val="20"/>
        </w:rPr>
        <w:t xml:space="preserve"> (“</w:t>
      </w:r>
      <w:r w:rsidRPr="00190686">
        <w:rPr>
          <w:rFonts w:ascii="Verdana" w:hAnsi="Verdana"/>
          <w:iCs/>
          <w:sz w:val="20"/>
          <w:u w:val="single"/>
        </w:rPr>
        <w:t>Oferta Facultativa de Resgate Antecipado</w:t>
      </w:r>
      <w:r w:rsidRPr="00190686">
        <w:rPr>
          <w:rFonts w:ascii="Verdana" w:hAnsi="Verdana"/>
          <w:iCs/>
          <w:sz w:val="20"/>
        </w:rPr>
        <w:t>”):</w:t>
      </w:r>
      <w:bookmarkEnd w:id="45"/>
    </w:p>
    <w:p w14:paraId="41186E7E" w14:textId="77777777" w:rsidR="002D5261" w:rsidRPr="00190686" w:rsidRDefault="002D5261" w:rsidP="002D5261">
      <w:pPr>
        <w:tabs>
          <w:tab w:val="left" w:pos="851"/>
        </w:tabs>
        <w:spacing w:after="0" w:line="300" w:lineRule="exact"/>
        <w:rPr>
          <w:rFonts w:ascii="Verdana" w:hAnsi="Verdana"/>
          <w:sz w:val="20"/>
        </w:rPr>
      </w:pPr>
    </w:p>
    <w:p w14:paraId="6153B402" w14:textId="77777777" w:rsidR="002D5261" w:rsidRPr="00190686" w:rsidRDefault="002D5261" w:rsidP="002D5261">
      <w:pPr>
        <w:numPr>
          <w:ilvl w:val="2"/>
          <w:numId w:val="16"/>
        </w:numPr>
        <w:tabs>
          <w:tab w:val="left" w:pos="851"/>
        </w:tabs>
        <w:spacing w:after="0" w:line="300" w:lineRule="exact"/>
        <w:ind w:left="851" w:hanging="851"/>
        <w:rPr>
          <w:rFonts w:ascii="Verdana" w:hAnsi="Verdana"/>
          <w:sz w:val="20"/>
        </w:rPr>
      </w:pPr>
      <w:proofErr w:type="gramStart"/>
      <w:r w:rsidRPr="00190686">
        <w:rPr>
          <w:rFonts w:ascii="Verdana" w:hAnsi="Verdana"/>
          <w:sz w:val="20"/>
        </w:rPr>
        <w:t>a</w:t>
      </w:r>
      <w:proofErr w:type="gramEnd"/>
      <w:r w:rsidRPr="00190686">
        <w:rPr>
          <w:rFonts w:ascii="Verdana" w:hAnsi="Verdana"/>
          <w:sz w:val="20"/>
        </w:rPr>
        <w:t xml:space="preserve"> Emissora realizará a Oferta Facultativa de Resgate Antecipado por meio de comunicação ao Agente Fiduciário e, na mesma data, por meio de publicação de anúncio nos termos da Cláusula 4.10 a seguir (“</w:t>
      </w:r>
      <w:r w:rsidRPr="00190686">
        <w:rPr>
          <w:rFonts w:ascii="Verdana" w:hAnsi="Verdana"/>
          <w:sz w:val="20"/>
          <w:u w:val="single"/>
        </w:rPr>
        <w:t>Edital de Oferta Facultativa de Resgate Antecipado</w:t>
      </w:r>
      <w:r w:rsidRPr="00190686">
        <w:rPr>
          <w:rFonts w:ascii="Verdana" w:hAnsi="Verdana"/>
          <w:sz w:val="20"/>
        </w:rPr>
        <w:t>”), o qual deverá descrever os termos e condições da Oferta Facultativa de Resgate Antecipado, incluindo (a) se a Oferta Facultativa de Resgate Antecipado será relativa à totalidade ou a parte das Debêntures e se abrangerá todas as séries ou determinada série a ser especificada; (b) caso a Oferta Facultativa de Resgate Antecipado se refira a parte das Debêntures, a quantidade e a série de Debêntures objeto da Oferta Facultativa de Resgate Antecipado, observado o disposto na alínea “d” a seguir; (c) se a Oferta Facultativa de Resgate Antecipado estará condicionada à aceitação desta por uma quantidade mínima de Debêntures; (d) o valor do prêmio de resgate antecipado, caso exista, que não poderá ser negativo; (e) a forma de manifestação dos Debenturistas que optarem pela adesão à Oferta Facultativa de Resgate Antecipado, observado o disposto na alínea “b” a seguir; (f) a data efetiva para o resgate antecipado das Debêntures, que deverá acontecer com, no mínimo, 10 (dez) Dias Úteis após a publicação do Edital de Oferta Facultativa de Resgate Antecipado; e (g) demais informações necessárias para tomada de decisão pelos Debenturistas e à operacionalização do resgate antecipado das Debêntures por meio da Oferta Facultativa de Resgate Antecipado;</w:t>
      </w:r>
    </w:p>
    <w:p w14:paraId="632DA191" w14:textId="77777777" w:rsidR="002D5261" w:rsidRPr="00190686" w:rsidRDefault="002D5261" w:rsidP="002D5261">
      <w:pPr>
        <w:tabs>
          <w:tab w:val="left" w:pos="851"/>
        </w:tabs>
        <w:spacing w:after="0" w:line="300" w:lineRule="exact"/>
        <w:ind w:left="709"/>
        <w:rPr>
          <w:rFonts w:ascii="Verdana" w:hAnsi="Verdana"/>
          <w:sz w:val="20"/>
        </w:rPr>
      </w:pPr>
    </w:p>
    <w:p w14:paraId="689C26A4" w14:textId="51180F5D" w:rsidR="002D5261" w:rsidRPr="00190686" w:rsidRDefault="002D5261" w:rsidP="002D5261">
      <w:pPr>
        <w:numPr>
          <w:ilvl w:val="2"/>
          <w:numId w:val="16"/>
        </w:numPr>
        <w:tabs>
          <w:tab w:val="left" w:pos="851"/>
        </w:tabs>
        <w:spacing w:after="0" w:line="300" w:lineRule="exact"/>
        <w:ind w:left="851" w:hanging="851"/>
        <w:rPr>
          <w:rFonts w:ascii="Verdana" w:hAnsi="Verdana"/>
          <w:sz w:val="20"/>
        </w:rPr>
      </w:pPr>
      <w:proofErr w:type="gramStart"/>
      <w:r w:rsidRPr="00190686">
        <w:rPr>
          <w:rFonts w:ascii="Verdana" w:hAnsi="Verdana"/>
          <w:sz w:val="20"/>
        </w:rPr>
        <w:lastRenderedPageBreak/>
        <w:t>a</w:t>
      </w:r>
      <w:proofErr w:type="gramEnd"/>
      <w:r w:rsidRPr="00190686">
        <w:rPr>
          <w:rFonts w:ascii="Verdana" w:hAnsi="Verdana"/>
          <w:sz w:val="20"/>
        </w:rPr>
        <w:t xml:space="preserve"> Emissora deverá (a) na respectiva data de término do prazo de adesão à Oferta Facultativa de Resgate Antecipado, confirmar ao Agente Fiduciário a respectiva data do resgate antecipado das Debêntures; e (b) com antecedência mínima de </w:t>
      </w:r>
      <w:r w:rsidR="00084FA8">
        <w:rPr>
          <w:rFonts w:ascii="Verdana" w:hAnsi="Verdana"/>
          <w:sz w:val="20"/>
        </w:rPr>
        <w:t>3</w:t>
      </w:r>
      <w:r w:rsidRPr="00190686">
        <w:rPr>
          <w:rFonts w:ascii="Verdana" w:hAnsi="Verdana"/>
          <w:sz w:val="20"/>
        </w:rPr>
        <w:t> (</w:t>
      </w:r>
      <w:r w:rsidR="00084FA8">
        <w:rPr>
          <w:rFonts w:ascii="Verdana" w:hAnsi="Verdana"/>
          <w:sz w:val="20"/>
        </w:rPr>
        <w:t>três</w:t>
      </w:r>
      <w:r w:rsidRPr="00190686">
        <w:rPr>
          <w:rFonts w:ascii="Verdana" w:hAnsi="Verdana"/>
          <w:sz w:val="20"/>
        </w:rPr>
        <w:t xml:space="preserve">) Dias Úteis da respectiva data do resgate antecipado, comunicar ao </w:t>
      </w:r>
      <w:proofErr w:type="spellStart"/>
      <w:r w:rsidRPr="00190686">
        <w:rPr>
          <w:rFonts w:ascii="Verdana" w:hAnsi="Verdana"/>
          <w:sz w:val="20"/>
        </w:rPr>
        <w:t>Escriturador</w:t>
      </w:r>
      <w:proofErr w:type="spellEnd"/>
      <w:r w:rsidRPr="00190686">
        <w:rPr>
          <w:rFonts w:ascii="Verdana" w:hAnsi="Verdana"/>
          <w:sz w:val="20"/>
        </w:rPr>
        <w:t>, ao Banco Liquidante e à CETIP a respectiva data do resgate antecipado;</w:t>
      </w:r>
    </w:p>
    <w:p w14:paraId="49836228" w14:textId="77777777" w:rsidR="002D5261" w:rsidRPr="00190686" w:rsidRDefault="002D5261" w:rsidP="002D5261">
      <w:pPr>
        <w:tabs>
          <w:tab w:val="left" w:pos="851"/>
        </w:tabs>
        <w:spacing w:after="0" w:line="300" w:lineRule="exact"/>
        <w:ind w:left="709"/>
        <w:rPr>
          <w:rFonts w:ascii="Verdana" w:hAnsi="Verdana"/>
          <w:sz w:val="20"/>
        </w:rPr>
      </w:pPr>
    </w:p>
    <w:p w14:paraId="505966AE" w14:textId="77777777" w:rsidR="002D5261" w:rsidRPr="00190686" w:rsidRDefault="002D5261" w:rsidP="002D5261">
      <w:pPr>
        <w:numPr>
          <w:ilvl w:val="2"/>
          <w:numId w:val="16"/>
        </w:numPr>
        <w:tabs>
          <w:tab w:val="left" w:pos="851"/>
        </w:tabs>
        <w:spacing w:after="0" w:line="300" w:lineRule="exact"/>
        <w:ind w:left="851" w:hanging="851"/>
        <w:rPr>
          <w:rFonts w:ascii="Verdana" w:hAnsi="Verdana"/>
          <w:sz w:val="20"/>
        </w:rPr>
      </w:pPr>
      <w:proofErr w:type="gramStart"/>
      <w:r w:rsidRPr="00190686">
        <w:rPr>
          <w:rFonts w:ascii="Verdana" w:hAnsi="Verdana"/>
          <w:sz w:val="20"/>
        </w:rPr>
        <w:t>o</w:t>
      </w:r>
      <w:proofErr w:type="gramEnd"/>
      <w:r w:rsidRPr="00190686">
        <w:rPr>
          <w:rFonts w:ascii="Verdana" w:hAnsi="Verdana"/>
          <w:sz w:val="20"/>
        </w:rPr>
        <w:t xml:space="preserve"> valor a ser pago em relação a cada uma das Debêntures indicadas por seus respectivos titulares em adesão à Oferta Facultativa de Resgate Antecipado será equivalente ao Valor Nominal, acrescido (a) da Remuneração, calculada </w:t>
      </w:r>
      <w:r w:rsidRPr="00190686">
        <w:rPr>
          <w:rFonts w:ascii="Verdana" w:hAnsi="Verdana"/>
          <w:i/>
          <w:sz w:val="20"/>
        </w:rPr>
        <w:t xml:space="preserve">pro rata </w:t>
      </w:r>
      <w:proofErr w:type="spellStart"/>
      <w:r w:rsidRPr="00190686">
        <w:rPr>
          <w:rFonts w:ascii="Verdana" w:hAnsi="Verdana"/>
          <w:i/>
          <w:sz w:val="20"/>
        </w:rPr>
        <w:t>temporis</w:t>
      </w:r>
      <w:proofErr w:type="spellEnd"/>
      <w:r w:rsidRPr="00190686">
        <w:rPr>
          <w:rFonts w:ascii="Verdana" w:hAnsi="Verdana"/>
          <w:sz w:val="20"/>
        </w:rPr>
        <w:t xml:space="preserve"> desde a 1ª (primeira) Data de Integralização da respectiva série ou a data de pagamento de Remuneração imediatamente anterior da respectiva série, conforme o caso, até a data do efetivo pagamento; e (b) se for o caso, de prêmio de resgate antecipado a ser oferecido aos Debenturistas, a exclusivo critério da Emissora, o qual não poderá ser negativo;</w:t>
      </w:r>
    </w:p>
    <w:p w14:paraId="10C50C5D" w14:textId="77777777" w:rsidR="002D5261" w:rsidRPr="00190686" w:rsidRDefault="002D5261" w:rsidP="002D5261">
      <w:pPr>
        <w:tabs>
          <w:tab w:val="left" w:pos="851"/>
        </w:tabs>
        <w:spacing w:after="0" w:line="300" w:lineRule="exact"/>
        <w:ind w:left="709"/>
        <w:rPr>
          <w:rFonts w:ascii="Verdana" w:hAnsi="Verdana"/>
          <w:sz w:val="20"/>
        </w:rPr>
      </w:pPr>
      <w:bookmarkStart w:id="47" w:name="_Ref303592513"/>
      <w:bookmarkStart w:id="48" w:name="_Ref323901694"/>
    </w:p>
    <w:p w14:paraId="7277F584" w14:textId="0C92E479" w:rsidR="002D5261" w:rsidRPr="00190686" w:rsidRDefault="002D5261" w:rsidP="002D5261">
      <w:pPr>
        <w:numPr>
          <w:ilvl w:val="2"/>
          <w:numId w:val="16"/>
        </w:numPr>
        <w:tabs>
          <w:tab w:val="left" w:pos="851"/>
        </w:tabs>
        <w:spacing w:after="0" w:line="300" w:lineRule="exact"/>
        <w:ind w:left="851" w:hanging="851"/>
        <w:rPr>
          <w:rFonts w:ascii="Verdana" w:hAnsi="Verdana"/>
          <w:sz w:val="20"/>
        </w:rPr>
      </w:pPr>
      <w:proofErr w:type="gramStart"/>
      <w:r w:rsidRPr="00190686">
        <w:rPr>
          <w:rFonts w:ascii="Verdana" w:hAnsi="Verdana"/>
          <w:sz w:val="20"/>
        </w:rPr>
        <w:t>caso</w:t>
      </w:r>
      <w:proofErr w:type="gramEnd"/>
      <w:r w:rsidRPr="00190686">
        <w:rPr>
          <w:rFonts w:ascii="Verdana" w:hAnsi="Verdana"/>
          <w:sz w:val="20"/>
        </w:rPr>
        <w:t xml:space="preserve"> a Emissora opte pela Oferta Facultativa de Resgate Antecipado parcial das Debêntures e a quantidade de Debêntures que tenham sido indicadas em adesão à Oferta Facultativa de Resgate Antecipado seja maior do que a quantidade à qual a Oferta Facultativa de Resgate Antecipado foi originalmente direcionada, então o resgate antecipado será feito mediante sorteio, coordenado pelo Agente Fiduciário e cujo procedimento será definido no Edital de Oferta Facultativa de Resgate Antecipado. Os Debenturistas sorteados serão informados, por escrito, com, no mínimo, </w:t>
      </w:r>
      <w:proofErr w:type="gramStart"/>
      <w:r w:rsidR="00084FA8">
        <w:rPr>
          <w:rFonts w:ascii="Verdana" w:hAnsi="Verdana"/>
          <w:sz w:val="20"/>
        </w:rPr>
        <w:t>3</w:t>
      </w:r>
      <w:proofErr w:type="gramEnd"/>
      <w:r w:rsidRPr="00190686">
        <w:rPr>
          <w:rFonts w:ascii="Verdana" w:hAnsi="Verdana"/>
          <w:sz w:val="20"/>
        </w:rPr>
        <w:t> (</w:t>
      </w:r>
      <w:r w:rsidR="00084FA8">
        <w:rPr>
          <w:rFonts w:ascii="Verdana" w:hAnsi="Verdana"/>
          <w:sz w:val="20"/>
        </w:rPr>
        <w:t>três</w:t>
      </w:r>
      <w:r w:rsidRPr="00190686">
        <w:rPr>
          <w:rFonts w:ascii="Verdana" w:hAnsi="Verdana"/>
          <w:sz w:val="20"/>
        </w:rPr>
        <w:t xml:space="preserve">) Dias Úteis de antecedência sobre </w:t>
      </w:r>
      <w:bookmarkEnd w:id="47"/>
      <w:r w:rsidRPr="00190686">
        <w:rPr>
          <w:rFonts w:ascii="Verdana" w:hAnsi="Verdana"/>
          <w:sz w:val="20"/>
        </w:rPr>
        <w:t>o resultado do sorteio;</w:t>
      </w:r>
      <w:bookmarkEnd w:id="48"/>
      <w:r w:rsidRPr="00190686">
        <w:rPr>
          <w:rFonts w:ascii="Verdana" w:hAnsi="Verdana"/>
          <w:sz w:val="20"/>
        </w:rPr>
        <w:t xml:space="preserve"> e</w:t>
      </w:r>
    </w:p>
    <w:p w14:paraId="7F12CFD2" w14:textId="77777777" w:rsidR="002D5261" w:rsidRPr="00190686" w:rsidRDefault="002D5261" w:rsidP="002D5261">
      <w:pPr>
        <w:tabs>
          <w:tab w:val="left" w:pos="851"/>
        </w:tabs>
        <w:spacing w:after="0" w:line="300" w:lineRule="exact"/>
        <w:ind w:left="709"/>
        <w:rPr>
          <w:rFonts w:ascii="Verdana" w:hAnsi="Verdana"/>
          <w:sz w:val="20"/>
        </w:rPr>
      </w:pPr>
    </w:p>
    <w:p w14:paraId="0FBBA9B2" w14:textId="77777777" w:rsidR="002D5261" w:rsidRPr="00190686" w:rsidRDefault="002D5261" w:rsidP="002D5261">
      <w:pPr>
        <w:numPr>
          <w:ilvl w:val="2"/>
          <w:numId w:val="16"/>
        </w:numPr>
        <w:tabs>
          <w:tab w:val="left" w:pos="851"/>
        </w:tabs>
        <w:spacing w:after="0" w:line="300" w:lineRule="exact"/>
        <w:ind w:left="851" w:hanging="851"/>
        <w:rPr>
          <w:rFonts w:ascii="Verdana" w:hAnsi="Verdana"/>
          <w:sz w:val="20"/>
        </w:rPr>
      </w:pPr>
      <w:proofErr w:type="gramStart"/>
      <w:r w:rsidRPr="00190686">
        <w:rPr>
          <w:rFonts w:ascii="Verdana" w:hAnsi="Verdana"/>
          <w:sz w:val="20"/>
        </w:rPr>
        <w:t>com</w:t>
      </w:r>
      <w:proofErr w:type="gramEnd"/>
      <w:r w:rsidRPr="00190686">
        <w:rPr>
          <w:rFonts w:ascii="Verdana" w:hAnsi="Verdana"/>
          <w:sz w:val="20"/>
        </w:rPr>
        <w:t xml:space="preserve"> relação às Debêntures (a) que estejam custodiadas eletronicamente na CETIP, o resgate antecipado parcial deverá ocorrer de acordo com os procedimentos da CETIP, sendo que todas as etapas desse processo, tais como habilitação dos Debenturistas, qualificação, sorteio, apuração, rateio e validação da quantidade de Debêntures a ser resgatada antecipadamente serão realizadas fora do âmbito da CETIP; e (b) que não estejam custodiadas eletronicamente na CETIP, por meio dos procedimentos do </w:t>
      </w:r>
      <w:proofErr w:type="spellStart"/>
      <w:r w:rsidRPr="00190686">
        <w:rPr>
          <w:rFonts w:ascii="Verdana" w:hAnsi="Verdana"/>
          <w:sz w:val="20"/>
        </w:rPr>
        <w:t>Escriturador</w:t>
      </w:r>
      <w:proofErr w:type="spellEnd"/>
      <w:r w:rsidRPr="00190686">
        <w:rPr>
          <w:rFonts w:ascii="Verdana" w:hAnsi="Verdana"/>
          <w:sz w:val="20"/>
        </w:rPr>
        <w:t>.</w:t>
      </w:r>
    </w:p>
    <w:p w14:paraId="2D69D5A0" w14:textId="77777777" w:rsidR="002D5261" w:rsidRPr="00190686" w:rsidRDefault="002D5261" w:rsidP="002D5261">
      <w:pPr>
        <w:tabs>
          <w:tab w:val="left" w:pos="851"/>
        </w:tabs>
        <w:spacing w:after="0" w:line="300" w:lineRule="exact"/>
        <w:ind w:left="720"/>
        <w:rPr>
          <w:rFonts w:ascii="Verdana" w:hAnsi="Verdana"/>
          <w:sz w:val="20"/>
        </w:rPr>
      </w:pPr>
    </w:p>
    <w:p w14:paraId="50352B4C" w14:textId="77777777" w:rsidR="002D5261" w:rsidRPr="00190686" w:rsidRDefault="002D5261" w:rsidP="002D5261">
      <w:pPr>
        <w:numPr>
          <w:ilvl w:val="0"/>
          <w:numId w:val="19"/>
        </w:numPr>
        <w:tabs>
          <w:tab w:val="left" w:pos="851"/>
        </w:tabs>
        <w:spacing w:after="0" w:line="300" w:lineRule="exact"/>
        <w:ind w:left="0" w:firstLine="0"/>
        <w:rPr>
          <w:rFonts w:ascii="Verdana" w:hAnsi="Verdana"/>
          <w:sz w:val="20"/>
        </w:rPr>
      </w:pPr>
      <w:r w:rsidRPr="00190686">
        <w:rPr>
          <w:rFonts w:ascii="Verdana" w:hAnsi="Verdana"/>
          <w:b/>
          <w:sz w:val="20"/>
        </w:rPr>
        <w:t>Amortização Antecipada</w:t>
      </w:r>
      <w:r w:rsidRPr="00190686">
        <w:rPr>
          <w:rFonts w:ascii="Verdana" w:hAnsi="Verdana"/>
          <w:sz w:val="20"/>
        </w:rPr>
        <w:t xml:space="preserve"> </w:t>
      </w:r>
      <w:r w:rsidRPr="00190686">
        <w:rPr>
          <w:rFonts w:ascii="Verdana" w:hAnsi="Verdana"/>
          <w:b/>
          <w:sz w:val="20"/>
        </w:rPr>
        <w:t>Facultativa</w:t>
      </w:r>
    </w:p>
    <w:p w14:paraId="22CAEA16" w14:textId="77777777" w:rsidR="002D5261" w:rsidRPr="00190686" w:rsidRDefault="002D5261" w:rsidP="002D5261">
      <w:pPr>
        <w:tabs>
          <w:tab w:val="left" w:pos="851"/>
        </w:tabs>
        <w:spacing w:after="0" w:line="300" w:lineRule="exact"/>
        <w:rPr>
          <w:rFonts w:ascii="Verdana" w:hAnsi="Verdana"/>
          <w:sz w:val="20"/>
        </w:rPr>
      </w:pPr>
    </w:p>
    <w:p w14:paraId="5D8321E9"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A Emissora não poderá, voluntariamente, realizar a amortização antecipada facultativa de qualquer </w:t>
      </w:r>
      <w:r>
        <w:rPr>
          <w:rFonts w:ascii="Verdana" w:hAnsi="Verdana"/>
          <w:sz w:val="20"/>
        </w:rPr>
        <w:t xml:space="preserve">série de </w:t>
      </w:r>
      <w:r w:rsidRPr="00190686">
        <w:rPr>
          <w:rFonts w:ascii="Verdana" w:hAnsi="Verdana"/>
          <w:sz w:val="20"/>
        </w:rPr>
        <w:t>Debêntures.</w:t>
      </w:r>
      <w:bookmarkEnd w:id="46"/>
    </w:p>
    <w:p w14:paraId="0AB8D245" w14:textId="77777777" w:rsidR="002D5261" w:rsidRPr="00190686" w:rsidRDefault="002D5261" w:rsidP="002D5261">
      <w:pPr>
        <w:tabs>
          <w:tab w:val="left" w:pos="851"/>
        </w:tabs>
        <w:spacing w:after="0" w:line="300" w:lineRule="exact"/>
        <w:rPr>
          <w:rFonts w:ascii="Verdana" w:hAnsi="Verdana"/>
          <w:sz w:val="20"/>
        </w:rPr>
      </w:pPr>
    </w:p>
    <w:p w14:paraId="6F6766BF" w14:textId="77777777" w:rsidR="002D5261" w:rsidRPr="00190686" w:rsidRDefault="002D5261" w:rsidP="002D5261">
      <w:pPr>
        <w:numPr>
          <w:ilvl w:val="0"/>
          <w:numId w:val="19"/>
        </w:numPr>
        <w:tabs>
          <w:tab w:val="left" w:pos="851"/>
        </w:tabs>
        <w:spacing w:after="0" w:line="300" w:lineRule="exact"/>
        <w:ind w:left="0" w:firstLine="0"/>
        <w:rPr>
          <w:rFonts w:ascii="Verdana" w:hAnsi="Verdana"/>
          <w:sz w:val="20"/>
        </w:rPr>
      </w:pPr>
      <w:r w:rsidRPr="00190686">
        <w:rPr>
          <w:rFonts w:ascii="Verdana" w:hAnsi="Verdana"/>
          <w:b/>
          <w:sz w:val="20"/>
        </w:rPr>
        <w:t>Aquisição Facultativa</w:t>
      </w:r>
    </w:p>
    <w:p w14:paraId="6CDDAABD" w14:textId="77777777" w:rsidR="002D5261" w:rsidRPr="00190686" w:rsidRDefault="002D5261" w:rsidP="002D5261">
      <w:pPr>
        <w:tabs>
          <w:tab w:val="left" w:pos="851"/>
        </w:tabs>
        <w:spacing w:after="0" w:line="300" w:lineRule="exact"/>
        <w:rPr>
          <w:rFonts w:ascii="Verdana" w:hAnsi="Verdana"/>
          <w:sz w:val="20"/>
        </w:rPr>
      </w:pPr>
    </w:p>
    <w:p w14:paraId="0EEC1085"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A Emissora poderá, a qualquer tempo, mediante a publicação de aviso prévio com antecedência mínima de 30 (trinta) dias, adquirir Debêntures desde que observe o </w:t>
      </w:r>
      <w:r w:rsidRPr="00190686">
        <w:rPr>
          <w:rFonts w:ascii="Verdana" w:hAnsi="Verdana"/>
          <w:sz w:val="20"/>
        </w:rPr>
        <w:lastRenderedPageBreak/>
        <w:t xml:space="preserve">disposto no artigo 55, parágrafo 3º, da Lei das Sociedades por Ações, nos artigos 13 e 15 da Instrução CVM 476, e na regulamentação aplicável da CVM. As Debêntures adquiridas pela Emissora poderão, a critério da Emissora, ser </w:t>
      </w:r>
      <w:proofErr w:type="gramStart"/>
      <w:r w:rsidRPr="00190686">
        <w:rPr>
          <w:rFonts w:ascii="Verdana" w:hAnsi="Verdana"/>
          <w:sz w:val="20"/>
        </w:rPr>
        <w:t>canceladas, permanecer em tesouraria ou ser novamente colocadas no mercado, devendo tal fato constar do relatório da administração e das demonstrações financeiras da Emissora</w:t>
      </w:r>
      <w:proofErr w:type="gramEnd"/>
      <w:r w:rsidRPr="00190686">
        <w:rPr>
          <w:rFonts w:ascii="Verdana" w:hAnsi="Verdana"/>
          <w:sz w:val="20"/>
        </w:rPr>
        <w:t>. As Debêntures adquiridas pela Emissora para permanência em tesouraria nos termos desta Cláusula, se e quando recolocadas no mercado, farão jus à mesma Remuneração aplicável às demais Debêntures.</w:t>
      </w:r>
    </w:p>
    <w:p w14:paraId="11427B89" w14:textId="77777777" w:rsidR="002D5261" w:rsidRPr="00190686" w:rsidRDefault="002D5261" w:rsidP="002D5261">
      <w:pPr>
        <w:tabs>
          <w:tab w:val="left" w:pos="851"/>
        </w:tabs>
        <w:spacing w:after="0" w:line="300" w:lineRule="exact"/>
        <w:rPr>
          <w:rFonts w:ascii="Verdana" w:hAnsi="Verdana"/>
          <w:sz w:val="20"/>
        </w:rPr>
      </w:pPr>
      <w:bookmarkStart w:id="49" w:name="_Ref279314174"/>
      <w:bookmarkEnd w:id="41"/>
    </w:p>
    <w:p w14:paraId="3E89F99B" w14:textId="77777777" w:rsidR="002D5261" w:rsidRPr="00190686" w:rsidRDefault="002D5261" w:rsidP="002D5261">
      <w:pPr>
        <w:numPr>
          <w:ilvl w:val="0"/>
          <w:numId w:val="19"/>
        </w:numPr>
        <w:tabs>
          <w:tab w:val="left" w:pos="851"/>
        </w:tabs>
        <w:spacing w:after="0" w:line="300" w:lineRule="exact"/>
        <w:ind w:left="0" w:firstLine="0"/>
        <w:rPr>
          <w:rFonts w:ascii="Verdana" w:hAnsi="Verdana"/>
          <w:sz w:val="20"/>
        </w:rPr>
      </w:pPr>
      <w:bookmarkStart w:id="50" w:name="_Ref130286395"/>
      <w:bookmarkStart w:id="51" w:name="_Ref284530595"/>
      <w:r w:rsidRPr="00190686">
        <w:rPr>
          <w:rFonts w:ascii="Verdana" w:hAnsi="Verdana"/>
          <w:b/>
          <w:sz w:val="20"/>
        </w:rPr>
        <w:t>Publicidade</w:t>
      </w:r>
      <w:r w:rsidRPr="00190686">
        <w:rPr>
          <w:rFonts w:ascii="Verdana" w:hAnsi="Verdana"/>
          <w:sz w:val="20"/>
        </w:rPr>
        <w:t xml:space="preserve"> </w:t>
      </w:r>
      <w:bookmarkEnd w:id="50"/>
    </w:p>
    <w:p w14:paraId="4E398A0C" w14:textId="77777777" w:rsidR="002D5261" w:rsidRPr="00190686" w:rsidRDefault="002D5261" w:rsidP="002D5261">
      <w:pPr>
        <w:tabs>
          <w:tab w:val="left" w:pos="851"/>
        </w:tabs>
        <w:spacing w:after="0" w:line="300" w:lineRule="exact"/>
        <w:rPr>
          <w:rFonts w:ascii="Verdana" w:hAnsi="Verdana"/>
          <w:sz w:val="20"/>
        </w:rPr>
      </w:pPr>
    </w:p>
    <w:p w14:paraId="1071C6EE"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Todos os atos e decisões que, de qualquer forma, vierem a envolver interesses dos Debenturistas deverão ser obrigatoriamente comunicados, (i) no prazo de </w:t>
      </w:r>
      <w:proofErr w:type="gramStart"/>
      <w:r w:rsidRPr="00190686">
        <w:rPr>
          <w:rFonts w:ascii="Verdana" w:hAnsi="Verdana"/>
          <w:sz w:val="20"/>
        </w:rPr>
        <w:t>3</w:t>
      </w:r>
      <w:proofErr w:type="gramEnd"/>
      <w:r w:rsidRPr="00190686">
        <w:rPr>
          <w:rFonts w:ascii="Verdana" w:hAnsi="Verdana"/>
          <w:sz w:val="20"/>
        </w:rPr>
        <w:t xml:space="preserve"> (três) Dias Úteis após a realização ou ocorrência do ato a ser divulgado, na forma de aviso, no DOERG e no jornal “Folha de Caxias” de Caxias do Sul, Estado do Rio Grande do Sul, e (</w:t>
      </w:r>
      <w:proofErr w:type="spellStart"/>
      <w:r w:rsidRPr="00190686">
        <w:rPr>
          <w:rFonts w:ascii="Verdana" w:hAnsi="Verdana"/>
          <w:sz w:val="20"/>
        </w:rPr>
        <w:t>ii</w:t>
      </w:r>
      <w:proofErr w:type="spellEnd"/>
      <w:r w:rsidRPr="00190686">
        <w:rPr>
          <w:rFonts w:ascii="Verdana" w:hAnsi="Verdana"/>
          <w:sz w:val="20"/>
        </w:rPr>
        <w:t>) imediatamente após a realização ou ocorrência do ato a ser divulgado, na página da Emissora na rede internacional de computadores, que está localizada dentro da página de seu grupo econômico – Internet (www.randon.com.br</w:t>
      </w:r>
      <w:r>
        <w:rPr>
          <w:rFonts w:ascii="Verdana" w:hAnsi="Verdana"/>
          <w:sz w:val="20"/>
        </w:rPr>
        <w:t>/ri</w:t>
      </w:r>
      <w:r w:rsidRPr="00190686">
        <w:rPr>
          <w:rFonts w:ascii="Verdana" w:hAnsi="Verdana"/>
          <w:sz w:val="20"/>
        </w:rPr>
        <w:t>).</w:t>
      </w:r>
      <w:bookmarkEnd w:id="51"/>
      <w:r w:rsidRPr="00190686">
        <w:rPr>
          <w:rFonts w:ascii="Verdana" w:hAnsi="Verdana"/>
          <w:sz w:val="20"/>
        </w:rPr>
        <w:t xml:space="preserve"> </w:t>
      </w:r>
    </w:p>
    <w:p w14:paraId="77E94065" w14:textId="77777777" w:rsidR="002D5261" w:rsidRPr="00190686" w:rsidRDefault="002D5261" w:rsidP="002D5261">
      <w:pPr>
        <w:tabs>
          <w:tab w:val="left" w:pos="851"/>
        </w:tabs>
        <w:spacing w:after="0" w:line="300" w:lineRule="exact"/>
        <w:rPr>
          <w:rFonts w:ascii="Verdana" w:hAnsi="Verdana"/>
          <w:sz w:val="20"/>
        </w:rPr>
      </w:pPr>
    </w:p>
    <w:p w14:paraId="4A585BC6" w14:textId="77777777" w:rsidR="002D5261" w:rsidRPr="00190686" w:rsidRDefault="002D5261" w:rsidP="002D5261">
      <w:pPr>
        <w:numPr>
          <w:ilvl w:val="0"/>
          <w:numId w:val="19"/>
        </w:numPr>
        <w:tabs>
          <w:tab w:val="left" w:pos="851"/>
        </w:tabs>
        <w:spacing w:after="0" w:line="300" w:lineRule="exact"/>
        <w:ind w:left="0" w:firstLine="0"/>
        <w:rPr>
          <w:rFonts w:ascii="Verdana" w:hAnsi="Verdana"/>
          <w:b/>
          <w:sz w:val="20"/>
        </w:rPr>
      </w:pPr>
      <w:r w:rsidRPr="00190686">
        <w:rPr>
          <w:rFonts w:ascii="Verdana" w:hAnsi="Verdana"/>
          <w:b/>
          <w:sz w:val="20"/>
        </w:rPr>
        <w:t>Liquidez</w:t>
      </w:r>
      <w:r w:rsidRPr="00190686">
        <w:rPr>
          <w:rFonts w:ascii="Verdana" w:hAnsi="Verdana"/>
          <w:sz w:val="20"/>
        </w:rPr>
        <w:t xml:space="preserve"> </w:t>
      </w:r>
      <w:r w:rsidRPr="00190686">
        <w:rPr>
          <w:rFonts w:ascii="Verdana" w:hAnsi="Verdana"/>
          <w:b/>
          <w:sz w:val="20"/>
        </w:rPr>
        <w:t>e Estabilização</w:t>
      </w:r>
    </w:p>
    <w:p w14:paraId="3AC5A926" w14:textId="77777777" w:rsidR="002D5261" w:rsidRPr="00190686" w:rsidRDefault="002D5261" w:rsidP="002D5261">
      <w:pPr>
        <w:tabs>
          <w:tab w:val="left" w:pos="851"/>
        </w:tabs>
        <w:spacing w:after="0" w:line="300" w:lineRule="exact"/>
        <w:rPr>
          <w:rFonts w:ascii="Verdana" w:hAnsi="Verdana"/>
          <w:sz w:val="20"/>
        </w:rPr>
      </w:pPr>
    </w:p>
    <w:p w14:paraId="4BF6F810"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Não será constituído fundo de manutenção de liquidez ou firmado contrato de garantia de liquidez ou estabilização de preços para as Debêntures.</w:t>
      </w:r>
    </w:p>
    <w:p w14:paraId="5C974ECF" w14:textId="77777777" w:rsidR="002D5261" w:rsidRPr="00190686" w:rsidRDefault="002D5261" w:rsidP="002D5261">
      <w:pPr>
        <w:tabs>
          <w:tab w:val="left" w:pos="851"/>
        </w:tabs>
        <w:spacing w:after="0" w:line="300" w:lineRule="exact"/>
        <w:rPr>
          <w:rFonts w:ascii="Verdana" w:hAnsi="Verdana"/>
          <w:sz w:val="20"/>
        </w:rPr>
      </w:pPr>
    </w:p>
    <w:p w14:paraId="33B7429A" w14:textId="77777777" w:rsidR="002D5261" w:rsidRPr="00190686" w:rsidRDefault="002D5261" w:rsidP="002D5261">
      <w:pPr>
        <w:numPr>
          <w:ilvl w:val="0"/>
          <w:numId w:val="19"/>
        </w:numPr>
        <w:tabs>
          <w:tab w:val="left" w:pos="851"/>
        </w:tabs>
        <w:spacing w:after="0" w:line="300" w:lineRule="exact"/>
        <w:ind w:left="0" w:firstLine="0"/>
        <w:rPr>
          <w:rFonts w:ascii="Verdana" w:hAnsi="Verdana"/>
          <w:sz w:val="20"/>
        </w:rPr>
      </w:pPr>
      <w:r w:rsidRPr="00190686">
        <w:rPr>
          <w:rFonts w:ascii="Verdana" w:hAnsi="Verdana"/>
          <w:b/>
          <w:sz w:val="20"/>
        </w:rPr>
        <w:t>Fundo de</w:t>
      </w:r>
      <w:r w:rsidRPr="00190686">
        <w:rPr>
          <w:rFonts w:ascii="Verdana" w:hAnsi="Verdana"/>
          <w:sz w:val="20"/>
        </w:rPr>
        <w:t xml:space="preserve"> </w:t>
      </w:r>
      <w:r w:rsidRPr="00190686">
        <w:rPr>
          <w:rFonts w:ascii="Verdana" w:hAnsi="Verdana"/>
          <w:b/>
          <w:sz w:val="20"/>
        </w:rPr>
        <w:t>Amortização</w:t>
      </w:r>
    </w:p>
    <w:p w14:paraId="1882DAE6" w14:textId="77777777" w:rsidR="002D5261" w:rsidRPr="00190686" w:rsidRDefault="002D5261" w:rsidP="002D5261">
      <w:pPr>
        <w:tabs>
          <w:tab w:val="left" w:pos="851"/>
        </w:tabs>
        <w:spacing w:after="0" w:line="300" w:lineRule="exact"/>
        <w:rPr>
          <w:rFonts w:ascii="Verdana" w:hAnsi="Verdana"/>
          <w:sz w:val="20"/>
        </w:rPr>
      </w:pPr>
    </w:p>
    <w:p w14:paraId="6F1471EF"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Não será constituído fundo de amortização para a presente Emissão.</w:t>
      </w:r>
    </w:p>
    <w:p w14:paraId="7E63C97E" w14:textId="77777777" w:rsidR="002D5261" w:rsidRPr="00190686" w:rsidRDefault="002D5261" w:rsidP="002D5261">
      <w:pPr>
        <w:tabs>
          <w:tab w:val="left" w:pos="851"/>
        </w:tabs>
        <w:spacing w:after="0" w:line="300" w:lineRule="exact"/>
        <w:rPr>
          <w:rFonts w:ascii="Verdana" w:hAnsi="Verdana"/>
          <w:sz w:val="20"/>
        </w:rPr>
      </w:pPr>
    </w:p>
    <w:p w14:paraId="5535E7B9" w14:textId="77777777" w:rsidR="002D5261" w:rsidRPr="00190686" w:rsidRDefault="002D5261" w:rsidP="002D5261">
      <w:pPr>
        <w:numPr>
          <w:ilvl w:val="0"/>
          <w:numId w:val="19"/>
        </w:numPr>
        <w:tabs>
          <w:tab w:val="left" w:pos="851"/>
        </w:tabs>
        <w:spacing w:after="0" w:line="300" w:lineRule="exact"/>
        <w:ind w:left="0" w:firstLine="0"/>
        <w:rPr>
          <w:rFonts w:ascii="Verdana" w:hAnsi="Verdana"/>
          <w:sz w:val="20"/>
        </w:rPr>
      </w:pPr>
      <w:r w:rsidRPr="00190686">
        <w:rPr>
          <w:rFonts w:ascii="Verdana" w:hAnsi="Verdana"/>
          <w:b/>
          <w:sz w:val="20"/>
        </w:rPr>
        <w:t>Direito de</w:t>
      </w:r>
      <w:r w:rsidRPr="00190686">
        <w:rPr>
          <w:rFonts w:ascii="Verdana" w:hAnsi="Verdana"/>
          <w:sz w:val="20"/>
        </w:rPr>
        <w:t xml:space="preserve"> </w:t>
      </w:r>
      <w:r w:rsidRPr="00190686">
        <w:rPr>
          <w:rFonts w:ascii="Verdana" w:hAnsi="Verdana"/>
          <w:b/>
          <w:sz w:val="20"/>
        </w:rPr>
        <w:t>Preferência</w:t>
      </w:r>
    </w:p>
    <w:p w14:paraId="10079547" w14:textId="77777777" w:rsidR="002D5261" w:rsidRPr="00190686" w:rsidRDefault="002D5261" w:rsidP="002D5261">
      <w:pPr>
        <w:tabs>
          <w:tab w:val="left" w:pos="851"/>
        </w:tabs>
        <w:spacing w:after="0" w:line="300" w:lineRule="exact"/>
        <w:rPr>
          <w:rFonts w:ascii="Verdana" w:hAnsi="Verdana"/>
          <w:sz w:val="20"/>
        </w:rPr>
      </w:pPr>
    </w:p>
    <w:p w14:paraId="0DF67BF2"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Não haverá direito de preferência para subscrição das Debêntures pelos atuais acionistas da Emissora.</w:t>
      </w:r>
    </w:p>
    <w:p w14:paraId="43FD9A67" w14:textId="77777777" w:rsidR="002D5261" w:rsidRPr="00190686" w:rsidRDefault="002D5261" w:rsidP="002D5261">
      <w:pPr>
        <w:tabs>
          <w:tab w:val="left" w:pos="851"/>
        </w:tabs>
        <w:spacing w:after="0" w:line="300" w:lineRule="exact"/>
        <w:rPr>
          <w:rFonts w:ascii="Verdana" w:hAnsi="Verdana"/>
          <w:sz w:val="20"/>
        </w:rPr>
      </w:pPr>
    </w:p>
    <w:p w14:paraId="731930B0" w14:textId="77777777" w:rsidR="002D5261" w:rsidRPr="00190686" w:rsidRDefault="002D5261" w:rsidP="002D5261">
      <w:pPr>
        <w:tabs>
          <w:tab w:val="left" w:pos="851"/>
        </w:tabs>
        <w:spacing w:after="0" w:line="300" w:lineRule="exact"/>
        <w:rPr>
          <w:rFonts w:ascii="Verdana" w:hAnsi="Verdana"/>
          <w:sz w:val="20"/>
        </w:rPr>
      </w:pPr>
    </w:p>
    <w:p w14:paraId="286DD6E3" w14:textId="77777777" w:rsidR="002D5261" w:rsidRPr="00190686" w:rsidRDefault="002D5261" w:rsidP="002D5261">
      <w:pPr>
        <w:tabs>
          <w:tab w:val="left" w:pos="851"/>
        </w:tabs>
        <w:spacing w:after="0" w:line="300" w:lineRule="exact"/>
        <w:jc w:val="center"/>
        <w:rPr>
          <w:rFonts w:ascii="Verdana" w:hAnsi="Verdana"/>
          <w:b/>
          <w:smallCaps/>
          <w:sz w:val="20"/>
        </w:rPr>
      </w:pPr>
      <w:r w:rsidRPr="00190686">
        <w:rPr>
          <w:rFonts w:ascii="Verdana" w:hAnsi="Verdana"/>
          <w:b/>
          <w:smallCaps/>
          <w:sz w:val="20"/>
        </w:rPr>
        <w:t>Cláusula V</w:t>
      </w:r>
      <w:bookmarkStart w:id="52" w:name="_Ref534176672"/>
      <w:bookmarkEnd w:id="42"/>
      <w:bookmarkEnd w:id="49"/>
    </w:p>
    <w:p w14:paraId="18D97B30" w14:textId="77777777" w:rsidR="002D5261" w:rsidRPr="00190686" w:rsidRDefault="002D5261" w:rsidP="002D5261">
      <w:pPr>
        <w:tabs>
          <w:tab w:val="left" w:pos="851"/>
        </w:tabs>
        <w:spacing w:after="0" w:line="300" w:lineRule="exact"/>
        <w:jc w:val="center"/>
        <w:rPr>
          <w:rFonts w:ascii="Verdana" w:hAnsi="Verdana"/>
          <w:b/>
          <w:smallCaps/>
          <w:sz w:val="20"/>
        </w:rPr>
      </w:pPr>
      <w:r w:rsidRPr="00190686">
        <w:rPr>
          <w:rFonts w:ascii="Verdana" w:hAnsi="Verdana"/>
          <w:b/>
          <w:smallCaps/>
          <w:sz w:val="20"/>
        </w:rPr>
        <w:t>Vencimento Antecipado</w:t>
      </w:r>
    </w:p>
    <w:p w14:paraId="6A57A72B" w14:textId="77777777" w:rsidR="002D5261" w:rsidRPr="00190686" w:rsidRDefault="002D5261" w:rsidP="002D5261">
      <w:pPr>
        <w:tabs>
          <w:tab w:val="left" w:pos="851"/>
        </w:tabs>
        <w:spacing w:after="0" w:line="300" w:lineRule="exact"/>
        <w:rPr>
          <w:rFonts w:ascii="Verdana" w:hAnsi="Verdana"/>
          <w:sz w:val="20"/>
        </w:rPr>
      </w:pPr>
    </w:p>
    <w:p w14:paraId="3FB50871" w14:textId="77777777" w:rsidR="002D5261" w:rsidRPr="00190686" w:rsidRDefault="002D5261" w:rsidP="002D5261">
      <w:pPr>
        <w:numPr>
          <w:ilvl w:val="0"/>
          <w:numId w:val="8"/>
        </w:numPr>
        <w:tabs>
          <w:tab w:val="left" w:pos="851"/>
        </w:tabs>
        <w:spacing w:after="0" w:line="300" w:lineRule="exact"/>
        <w:ind w:left="0" w:firstLine="0"/>
        <w:rPr>
          <w:rFonts w:ascii="Verdana" w:hAnsi="Verdana"/>
          <w:sz w:val="20"/>
        </w:rPr>
      </w:pPr>
      <w:r w:rsidRPr="00190686">
        <w:rPr>
          <w:rFonts w:ascii="Verdana" w:hAnsi="Verdana"/>
          <w:sz w:val="20"/>
        </w:rPr>
        <w:t xml:space="preserve">Sujeito ao disposto nas Cláusulas 5.2, 5.3. </w:t>
      </w:r>
      <w:proofErr w:type="gramStart"/>
      <w:r w:rsidRPr="00190686">
        <w:rPr>
          <w:rFonts w:ascii="Verdana" w:hAnsi="Verdana"/>
          <w:sz w:val="20"/>
        </w:rPr>
        <w:t>e</w:t>
      </w:r>
      <w:proofErr w:type="gramEnd"/>
      <w:r w:rsidRPr="00190686">
        <w:rPr>
          <w:rFonts w:ascii="Verdana" w:hAnsi="Verdana"/>
          <w:sz w:val="20"/>
        </w:rPr>
        <w:t xml:space="preserve"> 5.4 a seguir, o Agente Fiduciário deverá declarar antecipadamente vencidas as obrigações decorrentes das Debêntures, e exigir o imediato pagamento, pela Emissora, do Valor Nominal das Debêntures, acrescido da Remuneração, calculada </w:t>
      </w:r>
      <w:r w:rsidRPr="00190686">
        <w:rPr>
          <w:rFonts w:ascii="Verdana" w:hAnsi="Verdana"/>
          <w:i/>
          <w:sz w:val="20"/>
        </w:rPr>
        <w:t xml:space="preserve">pro rata </w:t>
      </w:r>
      <w:proofErr w:type="spellStart"/>
      <w:r w:rsidRPr="00190686">
        <w:rPr>
          <w:rFonts w:ascii="Verdana" w:hAnsi="Verdana"/>
          <w:i/>
          <w:sz w:val="20"/>
        </w:rPr>
        <w:t>temporis</w:t>
      </w:r>
      <w:proofErr w:type="spellEnd"/>
      <w:r w:rsidRPr="00190686">
        <w:rPr>
          <w:rFonts w:ascii="Verdana" w:hAnsi="Verdana"/>
          <w:sz w:val="20"/>
        </w:rPr>
        <w:t xml:space="preserve"> desde a 1ª (primeira) Data de Integralização das Debêntures da Primeira Série ou das Debêntures da Segunda Série, conforme aplicável, ou a data de pagamento de Remuneração imediatamente anterior </w:t>
      </w:r>
      <w:r w:rsidRPr="00190686">
        <w:rPr>
          <w:rFonts w:ascii="Verdana" w:hAnsi="Verdana"/>
          <w:sz w:val="20"/>
        </w:rPr>
        <w:lastRenderedPageBreak/>
        <w:t>da respectiva série, conforme o caso, até a data do efetivo pagamento, sem prejuízo, quando for o caso, dos Encargos Moratórios, na ocorrência de qualquer dos eventos previstos em lei e/ou de qualquer dos seguintes eventos e desde que observados os prazos de cura, conforme aplicável (cada evento, um “</w:t>
      </w:r>
      <w:r w:rsidRPr="00190686">
        <w:rPr>
          <w:rFonts w:ascii="Verdana" w:hAnsi="Verdana"/>
          <w:sz w:val="20"/>
          <w:u w:val="single"/>
        </w:rPr>
        <w:t>Evento de Inadimplemento</w:t>
      </w:r>
      <w:r w:rsidRPr="00190686">
        <w:rPr>
          <w:rFonts w:ascii="Verdana" w:hAnsi="Verdana"/>
          <w:sz w:val="20"/>
        </w:rPr>
        <w:t>”):</w:t>
      </w:r>
      <w:bookmarkStart w:id="53" w:name="_Ref137475231"/>
      <w:bookmarkStart w:id="54" w:name="_Ref149033996"/>
      <w:bookmarkStart w:id="55" w:name="_Ref164238998"/>
      <w:bookmarkStart w:id="56" w:name="_Ref130283570"/>
      <w:bookmarkStart w:id="57" w:name="_Ref130301134"/>
      <w:bookmarkStart w:id="58" w:name="_Ref137104995"/>
      <w:bookmarkStart w:id="59" w:name="_Ref137475230"/>
      <w:bookmarkStart w:id="60" w:name="_Ref130283217"/>
      <w:bookmarkStart w:id="61" w:name="_Ref169028300"/>
      <w:bookmarkStart w:id="62" w:name="_Ref278369126"/>
      <w:bookmarkStart w:id="63" w:name="_Ref534176562"/>
      <w:bookmarkEnd w:id="52"/>
      <w:r w:rsidRPr="00190686">
        <w:rPr>
          <w:rFonts w:ascii="Verdana" w:hAnsi="Verdana"/>
          <w:sz w:val="20"/>
        </w:rPr>
        <w:t xml:space="preserve"> </w:t>
      </w:r>
    </w:p>
    <w:p w14:paraId="1F11BF81" w14:textId="77777777" w:rsidR="002D5261" w:rsidRPr="00190686" w:rsidRDefault="002D5261" w:rsidP="002D5261">
      <w:pPr>
        <w:tabs>
          <w:tab w:val="left" w:pos="851"/>
        </w:tabs>
        <w:spacing w:after="0" w:line="300" w:lineRule="exact"/>
        <w:rPr>
          <w:rFonts w:ascii="Verdana" w:hAnsi="Verdana"/>
          <w:sz w:val="20"/>
        </w:rPr>
      </w:pPr>
    </w:p>
    <w:p w14:paraId="06EC7349" w14:textId="7A53BD36" w:rsidR="002D5261" w:rsidRPr="00006DF1"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190686">
        <w:rPr>
          <w:rFonts w:ascii="Verdana" w:hAnsi="Verdana"/>
          <w:sz w:val="20"/>
        </w:rPr>
        <w:t>inadimplemento</w:t>
      </w:r>
      <w:proofErr w:type="gramEnd"/>
      <w:r w:rsidRPr="00190686">
        <w:rPr>
          <w:rFonts w:ascii="Verdana" w:hAnsi="Verdana"/>
          <w:sz w:val="20"/>
        </w:rPr>
        <w:t xml:space="preserve">, pela Emissora, de qualquer obrigação pecuniária relativa às Debêntures e/ou prevista nesta Escritura de Emissão, nas respectivas datas de pagamento previstas nesta Escritura de Emissão, não sanado no prazo de </w:t>
      </w:r>
      <w:r>
        <w:rPr>
          <w:rFonts w:ascii="Verdana" w:hAnsi="Verdana"/>
          <w:sz w:val="20"/>
        </w:rPr>
        <w:t>1</w:t>
      </w:r>
      <w:r w:rsidRPr="00190686">
        <w:rPr>
          <w:rFonts w:ascii="Verdana" w:hAnsi="Verdana"/>
          <w:sz w:val="20"/>
        </w:rPr>
        <w:t> (</w:t>
      </w:r>
      <w:r>
        <w:rPr>
          <w:rFonts w:ascii="Verdana" w:hAnsi="Verdana"/>
          <w:sz w:val="20"/>
        </w:rPr>
        <w:t>um</w:t>
      </w:r>
      <w:r w:rsidRPr="00190686">
        <w:rPr>
          <w:rFonts w:ascii="Verdana" w:hAnsi="Verdana"/>
          <w:sz w:val="20"/>
        </w:rPr>
        <w:t>) Dia Út</w:t>
      </w:r>
      <w:r>
        <w:rPr>
          <w:rFonts w:ascii="Verdana" w:hAnsi="Verdana"/>
          <w:sz w:val="20"/>
        </w:rPr>
        <w:t>il</w:t>
      </w:r>
      <w:r w:rsidRPr="00190686">
        <w:rPr>
          <w:rFonts w:ascii="Verdana" w:hAnsi="Verdana"/>
          <w:sz w:val="20"/>
        </w:rPr>
        <w:t xml:space="preserve"> contado da data do descumprimento</w:t>
      </w:r>
      <w:r w:rsidRPr="00006DF1">
        <w:rPr>
          <w:rFonts w:ascii="Verdana" w:hAnsi="Verdana"/>
          <w:sz w:val="20"/>
        </w:rPr>
        <w:t>;</w:t>
      </w:r>
      <w:bookmarkEnd w:id="53"/>
      <w:bookmarkEnd w:id="54"/>
      <w:bookmarkEnd w:id="55"/>
      <w:r w:rsidRPr="00006DF1">
        <w:rPr>
          <w:rFonts w:ascii="Verdana" w:hAnsi="Verdana"/>
          <w:sz w:val="20"/>
        </w:rPr>
        <w:t xml:space="preserve"> </w:t>
      </w:r>
    </w:p>
    <w:p w14:paraId="380F6C92" w14:textId="77777777" w:rsidR="002D5261" w:rsidRPr="00190686" w:rsidRDefault="002D5261" w:rsidP="002D5261">
      <w:pPr>
        <w:tabs>
          <w:tab w:val="left" w:pos="851"/>
        </w:tabs>
        <w:spacing w:after="0" w:line="300" w:lineRule="exact"/>
        <w:ind w:left="851" w:hanging="851"/>
        <w:rPr>
          <w:rFonts w:ascii="Verdana" w:hAnsi="Verdana"/>
          <w:sz w:val="20"/>
        </w:rPr>
      </w:pPr>
    </w:p>
    <w:p w14:paraId="42C4E798" w14:textId="77777777" w:rsidR="002D5261" w:rsidRPr="00190686"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190686">
        <w:rPr>
          <w:rFonts w:ascii="Verdana" w:hAnsi="Verdana"/>
          <w:sz w:val="20"/>
        </w:rPr>
        <w:t>inadimplemento</w:t>
      </w:r>
      <w:proofErr w:type="gramEnd"/>
      <w:r w:rsidRPr="00190686">
        <w:rPr>
          <w:rFonts w:ascii="Verdana" w:hAnsi="Verdana"/>
          <w:sz w:val="20"/>
        </w:rPr>
        <w:t xml:space="preserve">, pela Emissora, de qualquer obrigação não pecuniária prevista nesta Escritura de Emissão, não sanado no prazo de 15 (quinze) dias contados da data do respectivo inadimplemento  sendo que o prazo previsto neste inciso não se aplica às obrigações para as quais tenha sido estipulado prazo de cura específico; </w:t>
      </w:r>
    </w:p>
    <w:p w14:paraId="16F581CC" w14:textId="77777777" w:rsidR="002D5261" w:rsidRPr="00190686" w:rsidRDefault="002D5261" w:rsidP="002D5261">
      <w:pPr>
        <w:tabs>
          <w:tab w:val="left" w:pos="851"/>
        </w:tabs>
        <w:spacing w:after="0" w:line="300" w:lineRule="exact"/>
        <w:ind w:left="851" w:hanging="851"/>
        <w:rPr>
          <w:rFonts w:ascii="Verdana" w:hAnsi="Verdana"/>
          <w:sz w:val="20"/>
        </w:rPr>
      </w:pPr>
    </w:p>
    <w:p w14:paraId="63811ED6" w14:textId="77777777" w:rsidR="002D5261" w:rsidRPr="00190686"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190686">
        <w:rPr>
          <w:rFonts w:ascii="Verdana" w:hAnsi="Verdana"/>
          <w:sz w:val="20"/>
        </w:rPr>
        <w:t>não</w:t>
      </w:r>
      <w:proofErr w:type="gramEnd"/>
      <w:r w:rsidRPr="00190686">
        <w:rPr>
          <w:rFonts w:ascii="Verdana" w:hAnsi="Verdana"/>
          <w:sz w:val="20"/>
        </w:rPr>
        <w:t xml:space="preserve"> utilização, pela Emissora, dos recursos líquidos obtidos com a Emissão estritamente nos termos da Cláusula 3.4 acima; </w:t>
      </w:r>
    </w:p>
    <w:p w14:paraId="6B88ECA1" w14:textId="77777777" w:rsidR="002D5261" w:rsidRPr="00190686" w:rsidRDefault="002D5261" w:rsidP="002D5261">
      <w:pPr>
        <w:tabs>
          <w:tab w:val="left" w:pos="851"/>
        </w:tabs>
        <w:spacing w:after="0" w:line="300" w:lineRule="exact"/>
        <w:ind w:left="851" w:hanging="851"/>
        <w:rPr>
          <w:rFonts w:ascii="Verdana" w:hAnsi="Verdana"/>
          <w:sz w:val="20"/>
        </w:rPr>
      </w:pPr>
    </w:p>
    <w:p w14:paraId="7EEAC41C" w14:textId="77777777" w:rsidR="002D5261" w:rsidRPr="00190686" w:rsidRDefault="002D5261" w:rsidP="002D5261">
      <w:pPr>
        <w:numPr>
          <w:ilvl w:val="2"/>
          <w:numId w:val="6"/>
        </w:numPr>
        <w:tabs>
          <w:tab w:val="left" w:pos="851"/>
        </w:tabs>
        <w:spacing w:after="0" w:line="300" w:lineRule="exact"/>
        <w:ind w:left="851" w:hanging="851"/>
        <w:rPr>
          <w:rFonts w:ascii="Verdana" w:hAnsi="Verdana"/>
          <w:sz w:val="20"/>
        </w:rPr>
      </w:pPr>
      <w:bookmarkStart w:id="64" w:name="_Ref273672022"/>
      <w:proofErr w:type="gramStart"/>
      <w:r w:rsidRPr="00190686">
        <w:rPr>
          <w:rFonts w:ascii="Verdana" w:hAnsi="Verdana"/>
          <w:sz w:val="20"/>
        </w:rPr>
        <w:t>invalidade</w:t>
      </w:r>
      <w:proofErr w:type="gramEnd"/>
      <w:r w:rsidRPr="00190686">
        <w:rPr>
          <w:rFonts w:ascii="Verdana" w:hAnsi="Verdana"/>
          <w:sz w:val="20"/>
        </w:rPr>
        <w:t>, nulidade ou inexequibilidade desta Escritura de Emissão (e/ou de qualquer de suas disposições);</w:t>
      </w:r>
      <w:bookmarkEnd w:id="64"/>
    </w:p>
    <w:p w14:paraId="0F726E78" w14:textId="77777777" w:rsidR="002D5261" w:rsidRPr="00190686" w:rsidRDefault="002D5261" w:rsidP="002D5261">
      <w:pPr>
        <w:tabs>
          <w:tab w:val="left" w:pos="851"/>
        </w:tabs>
        <w:spacing w:after="0" w:line="300" w:lineRule="exact"/>
        <w:ind w:left="851" w:hanging="851"/>
        <w:rPr>
          <w:rFonts w:ascii="Verdana" w:hAnsi="Verdana"/>
          <w:sz w:val="20"/>
        </w:rPr>
      </w:pPr>
    </w:p>
    <w:p w14:paraId="3404B4A8" w14:textId="77777777" w:rsidR="002D5261" w:rsidRPr="00190686" w:rsidRDefault="002D5261" w:rsidP="002D5261">
      <w:pPr>
        <w:numPr>
          <w:ilvl w:val="2"/>
          <w:numId w:val="6"/>
        </w:numPr>
        <w:tabs>
          <w:tab w:val="left" w:pos="851"/>
        </w:tabs>
        <w:spacing w:after="0" w:line="300" w:lineRule="exact"/>
        <w:ind w:left="851" w:hanging="851"/>
        <w:rPr>
          <w:rFonts w:ascii="Verdana" w:hAnsi="Verdana"/>
          <w:sz w:val="20"/>
        </w:rPr>
      </w:pPr>
      <w:bookmarkStart w:id="65" w:name="_Ref282594913"/>
      <w:proofErr w:type="gramStart"/>
      <w:r w:rsidRPr="00190686">
        <w:rPr>
          <w:rFonts w:ascii="Verdana" w:hAnsi="Verdana"/>
          <w:sz w:val="20"/>
        </w:rPr>
        <w:t>questionamento</w:t>
      </w:r>
      <w:proofErr w:type="gramEnd"/>
      <w:r w:rsidRPr="00190686">
        <w:rPr>
          <w:rFonts w:ascii="Verdana" w:hAnsi="Verdana"/>
          <w:sz w:val="20"/>
        </w:rPr>
        <w:t xml:space="preserve"> judicial, pela Emissora, por qualquer controladora (conforme definição de controle prevista no artigo 116 da Lei das Sociedades por Ações) da Emissora (“</w:t>
      </w:r>
      <w:r w:rsidRPr="00190686">
        <w:rPr>
          <w:rFonts w:ascii="Verdana" w:hAnsi="Verdana"/>
          <w:sz w:val="20"/>
          <w:u w:val="single"/>
        </w:rPr>
        <w:t>Controladora</w:t>
      </w:r>
      <w:r w:rsidRPr="00190686">
        <w:rPr>
          <w:rFonts w:ascii="Verdana" w:hAnsi="Verdana"/>
          <w:sz w:val="20"/>
        </w:rPr>
        <w:t>”) ou por qualquer sociedade controlada (conforme definição de controle prevista no artigo 116 da Lei das Sociedades por Ações) pela Emissora (“</w:t>
      </w:r>
      <w:r w:rsidRPr="00190686">
        <w:rPr>
          <w:rFonts w:ascii="Verdana" w:hAnsi="Verdana"/>
          <w:sz w:val="20"/>
          <w:u w:val="single"/>
        </w:rPr>
        <w:t>Controlada</w:t>
      </w:r>
      <w:r w:rsidRPr="00190686">
        <w:rPr>
          <w:rFonts w:ascii="Verdana" w:hAnsi="Verdana"/>
          <w:sz w:val="20"/>
        </w:rPr>
        <w:t>”), se houver, desta Escritura de Emissão ou dos demais documentos da Emissão;</w:t>
      </w:r>
      <w:bookmarkEnd w:id="65"/>
      <w:r w:rsidRPr="00190686">
        <w:rPr>
          <w:rFonts w:ascii="Verdana" w:hAnsi="Verdana"/>
          <w:sz w:val="20"/>
        </w:rPr>
        <w:t xml:space="preserve"> </w:t>
      </w:r>
    </w:p>
    <w:p w14:paraId="33935A50" w14:textId="77777777" w:rsidR="002D5261" w:rsidRPr="00190686" w:rsidRDefault="002D5261" w:rsidP="002D5261">
      <w:pPr>
        <w:tabs>
          <w:tab w:val="left" w:pos="851"/>
        </w:tabs>
        <w:spacing w:after="0" w:line="300" w:lineRule="exact"/>
        <w:ind w:left="851" w:hanging="851"/>
        <w:rPr>
          <w:rFonts w:ascii="Verdana" w:hAnsi="Verdana"/>
          <w:sz w:val="20"/>
        </w:rPr>
      </w:pPr>
    </w:p>
    <w:p w14:paraId="36FC7B44" w14:textId="77777777" w:rsidR="002D5261" w:rsidRPr="00190686" w:rsidRDefault="002D5261" w:rsidP="002D5261">
      <w:pPr>
        <w:numPr>
          <w:ilvl w:val="2"/>
          <w:numId w:val="6"/>
        </w:numPr>
        <w:tabs>
          <w:tab w:val="left" w:pos="851"/>
        </w:tabs>
        <w:spacing w:after="0" w:line="300" w:lineRule="exact"/>
        <w:ind w:left="851" w:hanging="851"/>
        <w:rPr>
          <w:rFonts w:ascii="Verdana" w:hAnsi="Verdana"/>
          <w:sz w:val="20"/>
        </w:rPr>
      </w:pPr>
      <w:bookmarkStart w:id="66" w:name="_Ref328666558"/>
      <w:proofErr w:type="gramStart"/>
      <w:r w:rsidRPr="00190686">
        <w:rPr>
          <w:rFonts w:ascii="Verdana" w:hAnsi="Verdana"/>
          <w:sz w:val="20"/>
        </w:rPr>
        <w:t>questionamento</w:t>
      </w:r>
      <w:proofErr w:type="gramEnd"/>
      <w:r w:rsidRPr="00190686">
        <w:rPr>
          <w:rFonts w:ascii="Verdana" w:hAnsi="Verdana"/>
          <w:sz w:val="20"/>
        </w:rPr>
        <w:t xml:space="preserve"> judicial,</w:t>
      </w:r>
      <w:r w:rsidRPr="00190686" w:rsidDel="008035B9">
        <w:rPr>
          <w:rFonts w:ascii="Verdana" w:hAnsi="Verdana"/>
          <w:sz w:val="20"/>
        </w:rPr>
        <w:t xml:space="preserve"> </w:t>
      </w:r>
      <w:r w:rsidRPr="00190686">
        <w:rPr>
          <w:rFonts w:ascii="Verdana" w:hAnsi="Verdana"/>
          <w:sz w:val="20"/>
        </w:rPr>
        <w:t>por qualquer pessoa não mencionada na alínea “e”, desta Escritura de Emissão, não contestado de boa-fé no prazo legal, conforme práticas usualmente adotadas pela Emissora;</w:t>
      </w:r>
      <w:bookmarkEnd w:id="66"/>
    </w:p>
    <w:p w14:paraId="0F11AF21" w14:textId="77777777" w:rsidR="002D5261" w:rsidRPr="00190686" w:rsidRDefault="002D5261" w:rsidP="002D5261">
      <w:pPr>
        <w:tabs>
          <w:tab w:val="left" w:pos="851"/>
        </w:tabs>
        <w:spacing w:after="0" w:line="300" w:lineRule="exact"/>
        <w:ind w:left="851" w:hanging="851"/>
        <w:rPr>
          <w:rFonts w:ascii="Verdana" w:hAnsi="Verdana"/>
          <w:sz w:val="20"/>
        </w:rPr>
      </w:pPr>
    </w:p>
    <w:p w14:paraId="34784D25" w14:textId="77777777" w:rsidR="002D5261" w:rsidRPr="00190686" w:rsidRDefault="002D5261" w:rsidP="002D5261">
      <w:pPr>
        <w:numPr>
          <w:ilvl w:val="2"/>
          <w:numId w:val="6"/>
        </w:numPr>
        <w:tabs>
          <w:tab w:val="left" w:pos="851"/>
        </w:tabs>
        <w:spacing w:after="0" w:line="300" w:lineRule="exact"/>
        <w:ind w:left="851" w:hanging="851"/>
        <w:rPr>
          <w:rFonts w:ascii="Verdana" w:hAnsi="Verdana"/>
          <w:sz w:val="20"/>
        </w:rPr>
      </w:pPr>
      <w:bookmarkStart w:id="67" w:name="_Ref328666560"/>
      <w:proofErr w:type="gramStart"/>
      <w:r w:rsidRPr="00190686">
        <w:rPr>
          <w:rFonts w:ascii="Verdana" w:hAnsi="Verdana"/>
          <w:sz w:val="20"/>
        </w:rPr>
        <w:t>cessão</w:t>
      </w:r>
      <w:proofErr w:type="gramEnd"/>
      <w:r w:rsidRPr="00190686">
        <w:rPr>
          <w:rFonts w:ascii="Verdana" w:hAnsi="Verdana"/>
          <w:sz w:val="20"/>
        </w:rPr>
        <w:t>, promessa de cessão ou qualquer forma de transferência ou promessa de transferência a terceiros, no todo ou em parte, pela Emissora, de qualquer de suas obrigações nos termos desta Escritura de Emissão, exceto se mediante prévia e expressa anuência dos Debenturistas que representem, no mínimo, 75% (setenta e cinco por cento) das Debêntures em Circulação (conforme definido a seguir);</w:t>
      </w:r>
      <w:bookmarkEnd w:id="67"/>
    </w:p>
    <w:p w14:paraId="06345B36" w14:textId="77777777" w:rsidR="002D5261" w:rsidRPr="00190686" w:rsidRDefault="002D5261" w:rsidP="002D5261">
      <w:pPr>
        <w:tabs>
          <w:tab w:val="left" w:pos="851"/>
        </w:tabs>
        <w:spacing w:after="0" w:line="300" w:lineRule="exact"/>
        <w:ind w:left="851" w:hanging="851"/>
        <w:rPr>
          <w:rFonts w:ascii="Verdana" w:hAnsi="Verdana"/>
          <w:sz w:val="20"/>
        </w:rPr>
      </w:pPr>
      <w:bookmarkStart w:id="68" w:name="_Ref149034057"/>
      <w:bookmarkStart w:id="69" w:name="_Ref164238959"/>
      <w:bookmarkStart w:id="70" w:name="_Ref264563274"/>
      <w:bookmarkStart w:id="71" w:name="_Ref149034055"/>
      <w:bookmarkStart w:id="72" w:name="_Ref164238994"/>
      <w:bookmarkStart w:id="73" w:name="_Ref152389657"/>
      <w:bookmarkStart w:id="74" w:name="_Ref164238965"/>
      <w:bookmarkStart w:id="75" w:name="_Ref137105000"/>
      <w:bookmarkStart w:id="76" w:name="_Ref264657534"/>
    </w:p>
    <w:p w14:paraId="219BE722" w14:textId="7E8E55B1" w:rsidR="002D5261" w:rsidRPr="00006DF1" w:rsidRDefault="002D5261" w:rsidP="002D5261">
      <w:pPr>
        <w:numPr>
          <w:ilvl w:val="2"/>
          <w:numId w:val="6"/>
        </w:numPr>
        <w:tabs>
          <w:tab w:val="left" w:pos="851"/>
        </w:tabs>
        <w:spacing w:after="0" w:line="300" w:lineRule="exact"/>
        <w:ind w:left="851" w:hanging="851"/>
        <w:rPr>
          <w:rFonts w:ascii="Verdana" w:hAnsi="Verdana"/>
          <w:sz w:val="20"/>
        </w:rPr>
      </w:pPr>
      <w:bookmarkStart w:id="77" w:name="_Ref272253565"/>
      <w:bookmarkStart w:id="78" w:name="_Ref328666820"/>
      <w:bookmarkStart w:id="79" w:name="_Ref137104988"/>
      <w:proofErr w:type="gramStart"/>
      <w:r w:rsidRPr="00190686">
        <w:rPr>
          <w:rFonts w:ascii="Verdana" w:hAnsi="Verdana"/>
          <w:sz w:val="20"/>
        </w:rPr>
        <w:t>liquidação</w:t>
      </w:r>
      <w:proofErr w:type="gramEnd"/>
      <w:r w:rsidRPr="00190686">
        <w:rPr>
          <w:rFonts w:ascii="Verdana" w:hAnsi="Verdana"/>
          <w:sz w:val="20"/>
        </w:rPr>
        <w:t>, dissolução ou extinção da Emissora, decretação de falência da Emissora, bem como pedido de falência da Emissora, formulado por terceiros</w:t>
      </w:r>
      <w:r>
        <w:rPr>
          <w:rFonts w:ascii="Verdana" w:hAnsi="Verdana"/>
          <w:sz w:val="20"/>
        </w:rPr>
        <w:t xml:space="preserve"> não elidido no prazo legal ou salvo se houver a apresentação, pela Emissora, </w:t>
      </w:r>
      <w:r>
        <w:rPr>
          <w:rFonts w:ascii="Verdana" w:hAnsi="Verdana"/>
          <w:sz w:val="20"/>
        </w:rPr>
        <w:lastRenderedPageBreak/>
        <w:t>de contestação de boa-fé dentro do prazo legal</w:t>
      </w:r>
      <w:r w:rsidRPr="00190686">
        <w:rPr>
          <w:rFonts w:ascii="Verdana" w:hAnsi="Verdana"/>
          <w:sz w:val="20"/>
        </w:rPr>
        <w:t>; ou pedido de recuperação judicial ou de recuperação extrajudicial da Emissora, ou pedido de autofalência formulado pela Emissora, independentemente do deferimento do respectivo pedido</w:t>
      </w:r>
      <w:bookmarkEnd w:id="77"/>
      <w:r w:rsidRPr="00006DF1">
        <w:rPr>
          <w:rFonts w:ascii="Verdana" w:hAnsi="Verdana"/>
          <w:sz w:val="20"/>
        </w:rPr>
        <w:t>;</w:t>
      </w:r>
      <w:bookmarkEnd w:id="78"/>
      <w:r w:rsidRPr="00006DF1">
        <w:rPr>
          <w:rFonts w:ascii="Verdana" w:hAnsi="Verdana"/>
          <w:sz w:val="20"/>
        </w:rPr>
        <w:t xml:space="preserve"> </w:t>
      </w:r>
    </w:p>
    <w:p w14:paraId="74FEC5E3" w14:textId="77777777" w:rsidR="002D5261" w:rsidRPr="00190686" w:rsidRDefault="002D5261" w:rsidP="002D5261">
      <w:pPr>
        <w:pStyle w:val="GradeMdia1-nfase21"/>
        <w:tabs>
          <w:tab w:val="left" w:pos="851"/>
        </w:tabs>
        <w:spacing w:after="0" w:line="300" w:lineRule="exact"/>
        <w:ind w:left="851" w:hanging="851"/>
        <w:rPr>
          <w:rFonts w:ascii="Verdana" w:hAnsi="Verdana"/>
          <w:sz w:val="20"/>
        </w:rPr>
      </w:pPr>
    </w:p>
    <w:p w14:paraId="6CFA7AB1" w14:textId="77777777" w:rsidR="002D5261" w:rsidRPr="00190686" w:rsidRDefault="002D5261" w:rsidP="002D5261">
      <w:pPr>
        <w:numPr>
          <w:ilvl w:val="2"/>
          <w:numId w:val="6"/>
        </w:numPr>
        <w:tabs>
          <w:tab w:val="left" w:pos="851"/>
        </w:tabs>
        <w:spacing w:after="0" w:line="300" w:lineRule="exact"/>
        <w:ind w:left="851" w:hanging="851"/>
        <w:rPr>
          <w:rFonts w:ascii="Verdana" w:hAnsi="Verdana"/>
          <w:sz w:val="20"/>
        </w:rPr>
      </w:pPr>
      <w:bookmarkStart w:id="80" w:name="_Ref328666840"/>
      <w:bookmarkEnd w:id="79"/>
      <w:proofErr w:type="gramStart"/>
      <w:r w:rsidRPr="00190686">
        <w:rPr>
          <w:rFonts w:ascii="Verdana" w:hAnsi="Verdana"/>
          <w:sz w:val="20"/>
        </w:rPr>
        <w:t>transformação</w:t>
      </w:r>
      <w:proofErr w:type="gramEnd"/>
      <w:r w:rsidRPr="00190686">
        <w:rPr>
          <w:rFonts w:ascii="Verdana" w:hAnsi="Verdana"/>
          <w:sz w:val="20"/>
        </w:rPr>
        <w:t xml:space="preserve"> da forma societária da Emissora de sociedade por ações para sociedade limitada, nos termos dos artigos 220 a 222 da Lei das Sociedades por Ações</w:t>
      </w:r>
      <w:bookmarkEnd w:id="68"/>
      <w:r w:rsidRPr="00190686">
        <w:rPr>
          <w:rFonts w:ascii="Verdana" w:hAnsi="Verdana"/>
          <w:sz w:val="20"/>
        </w:rPr>
        <w:t>;</w:t>
      </w:r>
      <w:bookmarkEnd w:id="69"/>
      <w:bookmarkEnd w:id="70"/>
      <w:bookmarkEnd w:id="80"/>
    </w:p>
    <w:p w14:paraId="6041C16C" w14:textId="77777777" w:rsidR="002D5261" w:rsidRPr="00190686" w:rsidRDefault="002D5261" w:rsidP="002D5261">
      <w:pPr>
        <w:tabs>
          <w:tab w:val="left" w:pos="851"/>
        </w:tabs>
        <w:spacing w:after="0" w:line="300" w:lineRule="exact"/>
        <w:ind w:left="851" w:hanging="851"/>
        <w:rPr>
          <w:rFonts w:ascii="Verdana" w:hAnsi="Verdana"/>
          <w:sz w:val="20"/>
        </w:rPr>
      </w:pPr>
      <w:bookmarkStart w:id="81" w:name="_Ref322627685"/>
      <w:bookmarkStart w:id="82" w:name="_Ref272841215"/>
      <w:bookmarkEnd w:id="71"/>
      <w:bookmarkEnd w:id="72"/>
      <w:bookmarkEnd w:id="73"/>
      <w:bookmarkEnd w:id="74"/>
      <w:bookmarkEnd w:id="75"/>
    </w:p>
    <w:p w14:paraId="55A64671" w14:textId="12D0522A" w:rsidR="002D5261" w:rsidRPr="00190686"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190686">
        <w:rPr>
          <w:rFonts w:ascii="Verdana" w:hAnsi="Verdana"/>
          <w:sz w:val="20"/>
        </w:rPr>
        <w:t>cisão</w:t>
      </w:r>
      <w:proofErr w:type="gramEnd"/>
      <w:r w:rsidRPr="00190686">
        <w:rPr>
          <w:rFonts w:ascii="Verdana" w:hAnsi="Verdana"/>
          <w:sz w:val="20"/>
        </w:rPr>
        <w:t>, fusão, incorporação, incorporação de ações ou qualquer forma de reorganização societária envolvendo a Emissora</w:t>
      </w:r>
      <w:r>
        <w:rPr>
          <w:rFonts w:ascii="Verdana" w:hAnsi="Verdana"/>
          <w:sz w:val="20"/>
        </w:rPr>
        <w:t xml:space="preserve"> que resulte, de forma direta ou indireta, na alteração ou transferência do controle acionário </w:t>
      </w:r>
      <w:r w:rsidRPr="00190686">
        <w:rPr>
          <w:rFonts w:ascii="Verdana" w:hAnsi="Verdana"/>
          <w:sz w:val="20"/>
        </w:rPr>
        <w:t>(conforme definição de controle prevista no artigo 116 da Lei das Sociedades por Ações)</w:t>
      </w:r>
      <w:r>
        <w:rPr>
          <w:rFonts w:ascii="Verdana" w:hAnsi="Verdana"/>
          <w:sz w:val="20"/>
        </w:rPr>
        <w:t xml:space="preserve"> atualmente detido pela </w:t>
      </w:r>
      <w:proofErr w:type="spellStart"/>
      <w:r w:rsidRPr="00190686">
        <w:rPr>
          <w:rFonts w:ascii="Verdana" w:hAnsi="Verdana"/>
          <w:sz w:val="20"/>
        </w:rPr>
        <w:t>Dramd</w:t>
      </w:r>
      <w:proofErr w:type="spellEnd"/>
      <w:r w:rsidRPr="00190686">
        <w:rPr>
          <w:rFonts w:ascii="Verdana" w:hAnsi="Verdana"/>
          <w:sz w:val="20"/>
        </w:rPr>
        <w:t xml:space="preserve"> Participações e Administração Ltda., sociedade empresária limitada inscrita no  CNPJ/MF sob o nº 94.800.018/0001-11 (“</w:t>
      </w:r>
      <w:proofErr w:type="spellStart"/>
      <w:r w:rsidRPr="00E96AD7">
        <w:rPr>
          <w:rFonts w:ascii="Verdana" w:hAnsi="Verdana"/>
          <w:sz w:val="20"/>
          <w:u w:val="single"/>
        </w:rPr>
        <w:t>Dramd</w:t>
      </w:r>
      <w:proofErr w:type="spellEnd"/>
      <w:r w:rsidRPr="00190686">
        <w:rPr>
          <w:rFonts w:ascii="Verdana" w:hAnsi="Verdana"/>
          <w:sz w:val="20"/>
        </w:rPr>
        <w:t>”)</w:t>
      </w:r>
      <w:r>
        <w:rPr>
          <w:rFonts w:ascii="Verdana" w:hAnsi="Verdana"/>
          <w:sz w:val="20"/>
        </w:rPr>
        <w:t xml:space="preserve"> na Emissora</w:t>
      </w:r>
      <w:r w:rsidRPr="00190686">
        <w:rPr>
          <w:rFonts w:ascii="Verdana" w:hAnsi="Verdana"/>
          <w:sz w:val="20"/>
        </w:rPr>
        <w:t>, exceto</w:t>
      </w:r>
      <w:bookmarkEnd w:id="81"/>
      <w:r w:rsidRPr="00190686">
        <w:rPr>
          <w:rFonts w:ascii="Verdana" w:hAnsi="Verdana"/>
          <w:sz w:val="20"/>
        </w:rPr>
        <w:t xml:space="preserve"> se </w:t>
      </w:r>
      <w:r>
        <w:rPr>
          <w:rFonts w:ascii="Verdana" w:hAnsi="Verdana"/>
          <w:sz w:val="20"/>
        </w:rPr>
        <w:t xml:space="preserve">(i) </w:t>
      </w:r>
      <w:r w:rsidRPr="00190686">
        <w:rPr>
          <w:rFonts w:ascii="Verdana" w:hAnsi="Verdana"/>
          <w:sz w:val="20"/>
        </w:rPr>
        <w:t xml:space="preserve">previamente autorizado por Debenturistas representando, no mínimo, 75% (setenta e cinco por cento) </w:t>
      </w:r>
      <w:r w:rsidR="00507583">
        <w:rPr>
          <w:rFonts w:ascii="Verdana" w:hAnsi="Verdana"/>
          <w:sz w:val="20"/>
        </w:rPr>
        <w:t>das Debêntures em Circulação</w:t>
      </w:r>
      <w:r w:rsidRPr="00190686">
        <w:rPr>
          <w:rFonts w:ascii="Verdana" w:hAnsi="Verdana"/>
          <w:sz w:val="20"/>
        </w:rPr>
        <w:t xml:space="preserve">, </w:t>
      </w:r>
      <w:r w:rsidR="00F927B8">
        <w:rPr>
          <w:rFonts w:ascii="Verdana" w:hAnsi="Verdana"/>
          <w:sz w:val="20"/>
        </w:rPr>
        <w:t xml:space="preserve">em Assembleia Geral </w:t>
      </w:r>
      <w:r w:rsidRPr="00190686">
        <w:rPr>
          <w:rFonts w:ascii="Verdana" w:hAnsi="Verdana"/>
          <w:sz w:val="20"/>
        </w:rPr>
        <w:t xml:space="preserve">especialmente convocada para tal finalidade, </w:t>
      </w:r>
      <w:r>
        <w:rPr>
          <w:rFonts w:ascii="Verdana" w:hAnsi="Verdana"/>
          <w:sz w:val="20"/>
        </w:rPr>
        <w:t>ou (</w:t>
      </w:r>
      <w:proofErr w:type="spellStart"/>
      <w:r>
        <w:rPr>
          <w:rFonts w:ascii="Verdana" w:hAnsi="Verdana"/>
          <w:sz w:val="20"/>
        </w:rPr>
        <w:t>ii</w:t>
      </w:r>
      <w:proofErr w:type="spellEnd"/>
      <w:r>
        <w:rPr>
          <w:rFonts w:ascii="Verdana" w:hAnsi="Verdana"/>
          <w:sz w:val="20"/>
        </w:rPr>
        <w:t xml:space="preserve">) se a </w:t>
      </w:r>
      <w:proofErr w:type="spellStart"/>
      <w:r>
        <w:rPr>
          <w:rFonts w:ascii="Verdana" w:hAnsi="Verdana"/>
          <w:sz w:val="20"/>
        </w:rPr>
        <w:t>Dramd</w:t>
      </w:r>
      <w:proofErr w:type="spellEnd"/>
      <w:r>
        <w:rPr>
          <w:rFonts w:ascii="Verdana" w:hAnsi="Verdana"/>
          <w:sz w:val="20"/>
        </w:rPr>
        <w:t xml:space="preserve"> remanescer com o controle acionário </w:t>
      </w:r>
      <w:r w:rsidRPr="00190686">
        <w:rPr>
          <w:rFonts w:ascii="Verdana" w:hAnsi="Verdana"/>
          <w:sz w:val="20"/>
        </w:rPr>
        <w:t>(conforme definição de controle prevista no artigo 116 da Lei das Sociedades por Ações)</w:t>
      </w:r>
      <w:r>
        <w:rPr>
          <w:rFonts w:ascii="Verdana" w:hAnsi="Verdana"/>
          <w:sz w:val="20"/>
        </w:rPr>
        <w:t xml:space="preserve"> da(s) sociedade(s) resultante(s) de quaisquer de tais operações societárias, neste caso desde que (a) quaisquer destas operações não comprometam a capacidade da Emissora de honrar com suas obrigações decorrentes da Emissão e das Debêntures</w:t>
      </w:r>
      <w:r w:rsidR="00F927B8">
        <w:rPr>
          <w:rFonts w:ascii="Verdana" w:hAnsi="Verdana"/>
          <w:sz w:val="20"/>
        </w:rPr>
        <w:t>, conforme venha a ser comprovado pela Emissora aos Debenturistas, mediante o envio dos documentos da operação pretendida ao Agente Fiduciário</w:t>
      </w:r>
      <w:r>
        <w:rPr>
          <w:rFonts w:ascii="Verdana" w:hAnsi="Verdana"/>
          <w:sz w:val="20"/>
        </w:rPr>
        <w:t xml:space="preserve"> e (b) a</w:t>
      </w:r>
      <w:r w:rsidR="00502D46" w:rsidRPr="00502D46">
        <w:rPr>
          <w:rFonts w:ascii="Verdana" w:hAnsi="Verdana"/>
          <w:sz w:val="20"/>
        </w:rPr>
        <w:t xml:space="preserve"> </w:t>
      </w:r>
      <w:proofErr w:type="spellStart"/>
      <w:r w:rsidR="00502D46">
        <w:rPr>
          <w:rFonts w:ascii="Verdana" w:hAnsi="Verdana"/>
          <w:sz w:val="20"/>
        </w:rPr>
        <w:t>Dramd</w:t>
      </w:r>
      <w:proofErr w:type="spellEnd"/>
      <w:r w:rsidR="00502D46">
        <w:rPr>
          <w:rFonts w:ascii="Verdana" w:hAnsi="Verdana"/>
          <w:sz w:val="20"/>
        </w:rPr>
        <w:t xml:space="preserve"> </w:t>
      </w:r>
      <w:r>
        <w:rPr>
          <w:rFonts w:ascii="Verdana" w:hAnsi="Verdana"/>
          <w:sz w:val="20"/>
        </w:rPr>
        <w:t>preste garantia fidejussória (fiança) em favor dos Debenturistas e de acordo com as práticas usuais de mercado para garantias dessa natureza</w:t>
      </w:r>
      <w:r w:rsidRPr="00190686">
        <w:rPr>
          <w:rFonts w:ascii="Verdana" w:hAnsi="Verdana"/>
          <w:sz w:val="20"/>
        </w:rPr>
        <w:t xml:space="preserve">; </w:t>
      </w:r>
    </w:p>
    <w:p w14:paraId="66E940B4" w14:textId="77777777" w:rsidR="002D5261" w:rsidRPr="00190686" w:rsidRDefault="002D5261" w:rsidP="002D5261">
      <w:pPr>
        <w:tabs>
          <w:tab w:val="left" w:pos="851"/>
        </w:tabs>
        <w:spacing w:after="0" w:line="300" w:lineRule="exact"/>
        <w:ind w:left="851" w:hanging="851"/>
        <w:rPr>
          <w:rFonts w:ascii="Verdana" w:hAnsi="Verdana"/>
          <w:sz w:val="20"/>
        </w:rPr>
      </w:pPr>
      <w:r w:rsidRPr="00190686" w:rsidDel="00F967FF">
        <w:rPr>
          <w:rFonts w:ascii="Verdana" w:hAnsi="Verdana"/>
          <w:sz w:val="20"/>
        </w:rPr>
        <w:t xml:space="preserve"> </w:t>
      </w:r>
      <w:bookmarkStart w:id="83" w:name="_Ref272360045"/>
      <w:bookmarkStart w:id="84" w:name="_Ref278402643"/>
      <w:bookmarkStart w:id="85" w:name="_Ref328666873"/>
      <w:bookmarkEnd w:id="82"/>
    </w:p>
    <w:p w14:paraId="1D642990" w14:textId="25E1EE80" w:rsidR="002D5261" w:rsidRPr="00190686"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190686">
        <w:rPr>
          <w:rFonts w:ascii="Verdana" w:hAnsi="Verdana"/>
          <w:sz w:val="20"/>
        </w:rPr>
        <w:t>redução</w:t>
      </w:r>
      <w:proofErr w:type="gramEnd"/>
      <w:r w:rsidRPr="00190686">
        <w:rPr>
          <w:rFonts w:ascii="Verdana" w:hAnsi="Verdana"/>
          <w:sz w:val="20"/>
        </w:rPr>
        <w:t xml:space="preserve"> de capital social da Emissora, exceto se previamente autorizado por Debenturistas representando, no mínimo, 75% (setenta e cinco por cento) das Debêntures </w:t>
      </w:r>
      <w:r w:rsidR="00507583">
        <w:rPr>
          <w:rFonts w:ascii="Verdana" w:hAnsi="Verdana"/>
          <w:sz w:val="20"/>
        </w:rPr>
        <w:t>em Circulação</w:t>
      </w:r>
      <w:r w:rsidRPr="00190686">
        <w:rPr>
          <w:rFonts w:ascii="Verdana" w:hAnsi="Verdana"/>
          <w:sz w:val="20"/>
        </w:rPr>
        <w:t>, conforme disposto no artigo 174, parágrafo 3º, da Lei das Sociedades por Ações</w:t>
      </w:r>
      <w:bookmarkEnd w:id="76"/>
      <w:bookmarkEnd w:id="83"/>
      <w:r w:rsidRPr="00190686">
        <w:rPr>
          <w:rFonts w:ascii="Verdana" w:hAnsi="Verdana"/>
          <w:sz w:val="20"/>
        </w:rPr>
        <w:t>;</w:t>
      </w:r>
      <w:bookmarkEnd w:id="84"/>
      <w:bookmarkEnd w:id="85"/>
      <w:r w:rsidRPr="00190686">
        <w:rPr>
          <w:rFonts w:ascii="Verdana" w:hAnsi="Verdana"/>
          <w:sz w:val="20"/>
        </w:rPr>
        <w:t xml:space="preserve"> </w:t>
      </w:r>
    </w:p>
    <w:p w14:paraId="269B2991" w14:textId="77777777" w:rsidR="002D5261" w:rsidRPr="00190686" w:rsidRDefault="002D5261" w:rsidP="002D5261">
      <w:pPr>
        <w:tabs>
          <w:tab w:val="left" w:pos="851"/>
        </w:tabs>
        <w:spacing w:after="0" w:line="300" w:lineRule="exact"/>
        <w:ind w:left="851" w:hanging="851"/>
        <w:rPr>
          <w:rFonts w:ascii="Verdana" w:hAnsi="Verdana"/>
          <w:sz w:val="20"/>
        </w:rPr>
      </w:pPr>
      <w:bookmarkStart w:id="86" w:name="_Ref279344707"/>
      <w:bookmarkStart w:id="87" w:name="_Ref328666898"/>
    </w:p>
    <w:p w14:paraId="2996789E" w14:textId="4F2CD925" w:rsidR="002D5261" w:rsidRPr="00190686"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190686">
        <w:rPr>
          <w:rFonts w:ascii="Verdana" w:hAnsi="Verdana"/>
          <w:sz w:val="20"/>
        </w:rPr>
        <w:t>alteração</w:t>
      </w:r>
      <w:proofErr w:type="gramEnd"/>
      <w:r w:rsidRPr="00190686">
        <w:rPr>
          <w:rFonts w:ascii="Verdana" w:hAnsi="Verdana"/>
          <w:sz w:val="20"/>
        </w:rPr>
        <w:t xml:space="preserve"> ou transferência do controle acionário (conforme definição de controle prevista no artigo 116 da Lei das Sociedades por Ações), direto ou indireto, da Emissora, exceto se previamente autorizado por Debenturistas representando, no mínimo, 75% (setenta e cinco por cento) </w:t>
      </w:r>
      <w:r w:rsidR="00507583">
        <w:rPr>
          <w:rFonts w:ascii="Verdana" w:hAnsi="Verdana"/>
          <w:sz w:val="20"/>
        </w:rPr>
        <w:t>das Debêntures em Circulação</w:t>
      </w:r>
      <w:bookmarkEnd w:id="86"/>
      <w:bookmarkEnd w:id="87"/>
      <w:r w:rsidRPr="00190686">
        <w:rPr>
          <w:rFonts w:ascii="Verdana" w:hAnsi="Verdana"/>
          <w:sz w:val="20"/>
        </w:rPr>
        <w:t>;</w:t>
      </w:r>
    </w:p>
    <w:p w14:paraId="0C9E102E" w14:textId="77777777" w:rsidR="002D5261" w:rsidRPr="00190686" w:rsidRDefault="002D5261" w:rsidP="002D5261">
      <w:pPr>
        <w:tabs>
          <w:tab w:val="left" w:pos="851"/>
        </w:tabs>
        <w:spacing w:after="0" w:line="300" w:lineRule="exact"/>
        <w:ind w:left="851" w:hanging="851"/>
        <w:rPr>
          <w:rFonts w:ascii="Verdana" w:hAnsi="Verdana"/>
          <w:sz w:val="20"/>
        </w:rPr>
      </w:pPr>
      <w:bookmarkStart w:id="88" w:name="_Ref279009273"/>
      <w:bookmarkStart w:id="89" w:name="_Ref328666909"/>
      <w:bookmarkStart w:id="90" w:name="_Ref264706063"/>
      <w:bookmarkStart w:id="91" w:name="_Ref272253621"/>
    </w:p>
    <w:p w14:paraId="26DF72D4" w14:textId="0693496B" w:rsidR="002D5261" w:rsidRPr="00190686"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190686">
        <w:rPr>
          <w:rFonts w:ascii="Verdana" w:hAnsi="Verdana"/>
          <w:sz w:val="20"/>
        </w:rPr>
        <w:t>alteração</w:t>
      </w:r>
      <w:proofErr w:type="gramEnd"/>
      <w:r w:rsidRPr="00190686">
        <w:rPr>
          <w:rFonts w:ascii="Verdana" w:hAnsi="Verdana"/>
          <w:sz w:val="20"/>
        </w:rPr>
        <w:t xml:space="preserve"> do objeto social da Emissora, conforme disposto em seu estatuto social vigente na Data de Emissão, exceto se (i) previamente autorizado por Debenturistas representando, no mínimo, 75% (setenta e cinco por cento) </w:t>
      </w:r>
      <w:bookmarkEnd w:id="88"/>
      <w:r w:rsidR="00507583">
        <w:rPr>
          <w:rFonts w:ascii="Verdana" w:hAnsi="Verdana"/>
          <w:sz w:val="20"/>
        </w:rPr>
        <w:t xml:space="preserve">das </w:t>
      </w:r>
      <w:r w:rsidR="00507583">
        <w:rPr>
          <w:rFonts w:ascii="Verdana" w:hAnsi="Verdana"/>
          <w:sz w:val="20"/>
        </w:rPr>
        <w:lastRenderedPageBreak/>
        <w:t>Debêntures em Circulação</w:t>
      </w:r>
      <w:r w:rsidRPr="00190686">
        <w:rPr>
          <w:rFonts w:ascii="Verdana" w:hAnsi="Verdana"/>
          <w:sz w:val="20"/>
        </w:rPr>
        <w:t xml:space="preserve"> ou (</w:t>
      </w:r>
      <w:proofErr w:type="spellStart"/>
      <w:r w:rsidRPr="00190686">
        <w:rPr>
          <w:rFonts w:ascii="Verdana" w:hAnsi="Verdana"/>
          <w:sz w:val="20"/>
        </w:rPr>
        <w:t>ii</w:t>
      </w:r>
      <w:proofErr w:type="spellEnd"/>
      <w:r w:rsidRPr="00190686">
        <w:rPr>
          <w:rFonts w:ascii="Verdana" w:hAnsi="Verdana"/>
          <w:sz w:val="20"/>
        </w:rPr>
        <w:t>) não resultar em alteração da atividade principal da Emissora;</w:t>
      </w:r>
      <w:bookmarkEnd w:id="89"/>
      <w:r w:rsidRPr="00190686">
        <w:rPr>
          <w:rFonts w:ascii="Verdana" w:hAnsi="Verdana"/>
          <w:sz w:val="20"/>
        </w:rPr>
        <w:t xml:space="preserve"> </w:t>
      </w:r>
    </w:p>
    <w:p w14:paraId="6544F8BE" w14:textId="77777777" w:rsidR="002D5261" w:rsidRPr="00190686" w:rsidRDefault="002D5261" w:rsidP="002D5261">
      <w:pPr>
        <w:pStyle w:val="GradeMdia1-nfase21"/>
        <w:tabs>
          <w:tab w:val="left" w:pos="851"/>
        </w:tabs>
        <w:spacing w:after="0" w:line="300" w:lineRule="exact"/>
        <w:ind w:left="851" w:hanging="851"/>
        <w:rPr>
          <w:rFonts w:ascii="Verdana" w:hAnsi="Verdana"/>
          <w:sz w:val="20"/>
        </w:rPr>
      </w:pPr>
    </w:p>
    <w:bookmarkEnd w:id="90"/>
    <w:p w14:paraId="2207870A" w14:textId="77777777" w:rsidR="002D5261" w:rsidRPr="00190686"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190686">
        <w:rPr>
          <w:rFonts w:ascii="Verdana" w:hAnsi="Verdana"/>
          <w:sz w:val="20"/>
        </w:rPr>
        <w:t>comprovação</w:t>
      </w:r>
      <w:proofErr w:type="gramEnd"/>
      <w:r w:rsidRPr="00190686">
        <w:rPr>
          <w:rFonts w:ascii="Verdana" w:hAnsi="Verdana"/>
          <w:sz w:val="20"/>
        </w:rPr>
        <w:t xml:space="preserve"> de que qualquer das declarações prestadas pela Emissora nesta Escritura de Emissão revelar-se falsa ou incorreta em qualquer aspecto relevante, no momento em que foram prestadas;</w:t>
      </w:r>
      <w:bookmarkEnd w:id="91"/>
    </w:p>
    <w:p w14:paraId="15D44155" w14:textId="77777777" w:rsidR="002D5261" w:rsidRPr="00190686" w:rsidRDefault="002D5261" w:rsidP="002D5261">
      <w:pPr>
        <w:tabs>
          <w:tab w:val="left" w:pos="851"/>
        </w:tabs>
        <w:spacing w:after="0" w:line="300" w:lineRule="exact"/>
        <w:ind w:left="851" w:hanging="851"/>
        <w:rPr>
          <w:rFonts w:ascii="Verdana" w:hAnsi="Verdana"/>
          <w:sz w:val="20"/>
        </w:rPr>
      </w:pPr>
      <w:bookmarkStart w:id="92" w:name="_Ref272931218"/>
    </w:p>
    <w:p w14:paraId="0ADB2449" w14:textId="77777777" w:rsidR="002D5261" w:rsidRPr="00190686"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190686">
        <w:rPr>
          <w:rFonts w:ascii="Verdana" w:hAnsi="Verdana"/>
          <w:sz w:val="20"/>
        </w:rPr>
        <w:t>inadimplemento</w:t>
      </w:r>
      <w:proofErr w:type="gramEnd"/>
      <w:r w:rsidRPr="00190686">
        <w:rPr>
          <w:rFonts w:ascii="Verdana" w:hAnsi="Verdana"/>
          <w:sz w:val="20"/>
        </w:rPr>
        <w:t>, pela Emissora, desde que observados os respectivos prazos de cura previstos em qualquer contrato financeiro;</w:t>
      </w:r>
      <w:bookmarkEnd w:id="92"/>
    </w:p>
    <w:p w14:paraId="140BC629" w14:textId="77777777" w:rsidR="002D5261" w:rsidRPr="00190686" w:rsidRDefault="002D5261" w:rsidP="002D5261">
      <w:pPr>
        <w:tabs>
          <w:tab w:val="left" w:pos="851"/>
        </w:tabs>
        <w:spacing w:after="0" w:line="300" w:lineRule="exact"/>
        <w:ind w:left="851" w:hanging="851"/>
        <w:rPr>
          <w:rFonts w:ascii="Verdana" w:hAnsi="Verdana"/>
          <w:sz w:val="20"/>
        </w:rPr>
      </w:pPr>
      <w:bookmarkStart w:id="93" w:name="_Ref272931224"/>
    </w:p>
    <w:p w14:paraId="22BDCADE" w14:textId="77777777" w:rsidR="002D5261" w:rsidRPr="00190686" w:rsidRDefault="002D5261" w:rsidP="002D5261">
      <w:pPr>
        <w:numPr>
          <w:ilvl w:val="2"/>
          <w:numId w:val="6"/>
        </w:numPr>
        <w:tabs>
          <w:tab w:val="left" w:pos="851"/>
        </w:tabs>
        <w:spacing w:after="0" w:line="300" w:lineRule="exact"/>
        <w:ind w:left="851" w:hanging="851"/>
        <w:rPr>
          <w:rFonts w:ascii="Verdana" w:hAnsi="Verdana"/>
          <w:sz w:val="20"/>
        </w:rPr>
      </w:pPr>
      <w:proofErr w:type="gramStart"/>
      <w:r>
        <w:rPr>
          <w:rFonts w:ascii="Verdana" w:hAnsi="Verdana"/>
          <w:sz w:val="20"/>
        </w:rPr>
        <w:t>observados</w:t>
      </w:r>
      <w:proofErr w:type="gramEnd"/>
      <w:r>
        <w:rPr>
          <w:rFonts w:ascii="Verdana" w:hAnsi="Verdana"/>
          <w:sz w:val="20"/>
        </w:rPr>
        <w:t xml:space="preserve"> os respectivos prazos de cura previstos em qualquer dívida bancária e em operações de mercado de capitais, local ou internacional, </w:t>
      </w:r>
      <w:r w:rsidRPr="00190686">
        <w:rPr>
          <w:rFonts w:ascii="Verdana" w:hAnsi="Verdana"/>
          <w:sz w:val="20"/>
        </w:rPr>
        <w:t>vencimento antecipado de obrigação financeira, em especial aquelas oriundas de dívidas bancárias e operações de mercado de capitais, local ou internacional;</w:t>
      </w:r>
      <w:bookmarkEnd w:id="93"/>
      <w:r w:rsidRPr="00190686">
        <w:rPr>
          <w:rFonts w:ascii="Verdana" w:hAnsi="Verdana"/>
          <w:sz w:val="20"/>
        </w:rPr>
        <w:t xml:space="preserve"> </w:t>
      </w:r>
    </w:p>
    <w:p w14:paraId="661C746C" w14:textId="77777777" w:rsidR="002D5261" w:rsidRPr="00190686" w:rsidRDefault="002D5261" w:rsidP="002D5261">
      <w:pPr>
        <w:tabs>
          <w:tab w:val="left" w:pos="851"/>
        </w:tabs>
        <w:spacing w:after="0" w:line="300" w:lineRule="exact"/>
        <w:ind w:left="851" w:hanging="851"/>
        <w:rPr>
          <w:rFonts w:ascii="Verdana" w:hAnsi="Verdana"/>
          <w:sz w:val="20"/>
        </w:rPr>
      </w:pPr>
    </w:p>
    <w:p w14:paraId="6CAB41E7" w14:textId="77777777" w:rsidR="002D5261" w:rsidRPr="00190686"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190686">
        <w:rPr>
          <w:rFonts w:ascii="Verdana" w:hAnsi="Verdana"/>
          <w:sz w:val="20"/>
        </w:rPr>
        <w:t>protesto</w:t>
      </w:r>
      <w:proofErr w:type="gramEnd"/>
      <w:r w:rsidRPr="00190686">
        <w:rPr>
          <w:rFonts w:ascii="Verdana" w:hAnsi="Verdana"/>
          <w:sz w:val="20"/>
        </w:rPr>
        <w:t xml:space="preserve"> de títulos contra a Emissora, em valor, individual ou agregado, igual ou superior a R$50.000.000,00 (cinquenta milhões de reais), ou seu equivalente em outras moedas, exceto se, em até 15 (quinze) dias contados do referido protesto, tiver sido comprovado ao Agente Fiduciário que o(s) protesto(s) foi(</w:t>
      </w:r>
      <w:proofErr w:type="spellStart"/>
      <w:r w:rsidRPr="00190686">
        <w:rPr>
          <w:rFonts w:ascii="Verdana" w:hAnsi="Verdana"/>
          <w:sz w:val="20"/>
        </w:rPr>
        <w:t>ram</w:t>
      </w:r>
      <w:proofErr w:type="spellEnd"/>
      <w:r w:rsidRPr="00190686">
        <w:rPr>
          <w:rFonts w:ascii="Verdana" w:hAnsi="Verdana"/>
          <w:sz w:val="20"/>
        </w:rPr>
        <w:t>) sanado(s), cancelado(s), suspenso(s) ou contestado(s) mediante depósito judicial;</w:t>
      </w:r>
      <w:r>
        <w:rPr>
          <w:rFonts w:ascii="Verdana" w:hAnsi="Verdana"/>
          <w:sz w:val="20"/>
        </w:rPr>
        <w:t xml:space="preserve"> </w:t>
      </w:r>
    </w:p>
    <w:p w14:paraId="010C1FA0" w14:textId="77777777" w:rsidR="002D5261" w:rsidRPr="00190686" w:rsidRDefault="002D5261" w:rsidP="002D5261">
      <w:pPr>
        <w:tabs>
          <w:tab w:val="left" w:pos="851"/>
        </w:tabs>
        <w:spacing w:after="0" w:line="300" w:lineRule="exact"/>
        <w:ind w:left="851" w:hanging="851"/>
        <w:rPr>
          <w:rFonts w:ascii="Verdana" w:hAnsi="Verdana"/>
          <w:sz w:val="20"/>
        </w:rPr>
      </w:pPr>
    </w:p>
    <w:p w14:paraId="4925F565" w14:textId="4E1239C5" w:rsidR="002D5261" w:rsidRPr="00190686"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190686">
        <w:rPr>
          <w:rFonts w:ascii="Verdana" w:hAnsi="Verdana"/>
          <w:sz w:val="20"/>
        </w:rPr>
        <w:t>inadimplemento</w:t>
      </w:r>
      <w:proofErr w:type="gramEnd"/>
      <w:r w:rsidRPr="00190686">
        <w:rPr>
          <w:rFonts w:ascii="Verdana" w:hAnsi="Verdana"/>
          <w:sz w:val="20"/>
        </w:rPr>
        <w:t>, pela Emissora, de qualquer decisão judicial transitada em julgado e/ou de qualquer decisão arbitral não sujeita a recurso, defesa ou outra medida judicial similar, contr</w:t>
      </w:r>
      <w:r w:rsidRPr="005A1706">
        <w:rPr>
          <w:rFonts w:ascii="Verdana" w:hAnsi="Verdana"/>
          <w:sz w:val="20"/>
        </w:rPr>
        <w:t>a a Emissora</w:t>
      </w:r>
      <w:r w:rsidR="00705A09" w:rsidRPr="005A1706">
        <w:rPr>
          <w:rFonts w:ascii="Verdana" w:hAnsi="Verdana"/>
          <w:sz w:val="20"/>
        </w:rPr>
        <w:t xml:space="preserve">, </w:t>
      </w:r>
      <w:r w:rsidR="00F927B8" w:rsidRPr="005A1706">
        <w:rPr>
          <w:rFonts w:ascii="Verdana" w:hAnsi="Verdana"/>
          <w:sz w:val="20"/>
        </w:rPr>
        <w:t>em valor, individual ou agregado, igual ou superior a R$50.000.000,00 (cinquenta milhões de reais), ou seu equivalente em outras moedas;</w:t>
      </w:r>
      <w:r w:rsidR="00F927B8" w:rsidRPr="00190686">
        <w:rPr>
          <w:rFonts w:ascii="Verdana" w:hAnsi="Verdana"/>
          <w:sz w:val="20"/>
        </w:rPr>
        <w:t xml:space="preserve"> </w:t>
      </w:r>
    </w:p>
    <w:p w14:paraId="50440D57" w14:textId="77777777" w:rsidR="002D5261" w:rsidRPr="00190686" w:rsidRDefault="002D5261" w:rsidP="002D5261">
      <w:pPr>
        <w:tabs>
          <w:tab w:val="left" w:pos="851"/>
        </w:tabs>
        <w:spacing w:after="0" w:line="300" w:lineRule="exact"/>
        <w:ind w:left="851" w:hanging="851"/>
        <w:rPr>
          <w:rFonts w:ascii="Verdana" w:hAnsi="Verdana"/>
          <w:sz w:val="20"/>
        </w:rPr>
      </w:pPr>
    </w:p>
    <w:p w14:paraId="5DC0AC41" w14:textId="3C6A199D" w:rsidR="002D5261"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25641B">
        <w:rPr>
          <w:rFonts w:ascii="Verdana" w:hAnsi="Verdana"/>
          <w:sz w:val="20"/>
        </w:rPr>
        <w:t>cessão</w:t>
      </w:r>
      <w:proofErr w:type="gramEnd"/>
      <w:r w:rsidRPr="0025641B">
        <w:rPr>
          <w:rFonts w:ascii="Verdana" w:hAnsi="Verdana"/>
          <w:sz w:val="20"/>
        </w:rPr>
        <w:t xml:space="preserve">, venda, alienação e/ou qualquer forma de transferência, pela Emissora, por qualquer meio, de forma onerosa, de seus ativos em valor superior </w:t>
      </w:r>
      <w:r>
        <w:rPr>
          <w:rFonts w:ascii="Verdana" w:hAnsi="Verdana"/>
          <w:sz w:val="20"/>
        </w:rPr>
        <w:t xml:space="preserve">ao equivalente </w:t>
      </w:r>
      <w:r w:rsidRPr="0025641B">
        <w:rPr>
          <w:rFonts w:ascii="Verdana" w:hAnsi="Verdana"/>
          <w:sz w:val="20"/>
        </w:rPr>
        <w:t xml:space="preserve">a 20% (vinte por cento) do patrimônio líquido consolidado da Emissora, apurado com base nas informações financeiras trimestrais da Emissora objeto de revisão limitada divulgadas no trimestre imediatamente anterior a ocorrência do fato, </w:t>
      </w:r>
      <w:r>
        <w:rPr>
          <w:rFonts w:ascii="Verdana" w:hAnsi="Verdana"/>
          <w:sz w:val="20"/>
        </w:rPr>
        <w:t xml:space="preserve">de maneira individual ou agregada, durante toda a existência das Debêntures. Para fins de apuração do limite acima, não serão computadas cessões, vendas, alienações e/ou quaisquer formas de transferência </w:t>
      </w:r>
      <w:r w:rsidR="003C78DF">
        <w:rPr>
          <w:rFonts w:ascii="Verdana" w:hAnsi="Verdana"/>
          <w:sz w:val="20"/>
        </w:rPr>
        <w:t xml:space="preserve">de imóveis </w:t>
      </w:r>
      <w:proofErr w:type="gramStart"/>
      <w:r w:rsidR="003C78DF">
        <w:rPr>
          <w:rFonts w:ascii="Verdana" w:hAnsi="Verdana"/>
          <w:sz w:val="20"/>
        </w:rPr>
        <w:t>atualmente registrados no balanço patrimonial auditado da Emissora, no valor, individual ou agregado</w:t>
      </w:r>
      <w:proofErr w:type="gramEnd"/>
      <w:r w:rsidR="003C78DF">
        <w:rPr>
          <w:rFonts w:ascii="Verdana" w:hAnsi="Verdana"/>
          <w:sz w:val="20"/>
        </w:rPr>
        <w:t xml:space="preserve">, </w:t>
      </w:r>
      <w:r w:rsidR="003C78DF" w:rsidRPr="0025641B">
        <w:rPr>
          <w:rFonts w:ascii="Verdana" w:hAnsi="Verdana"/>
          <w:sz w:val="20"/>
        </w:rPr>
        <w:t xml:space="preserve">de até R$140.000.000,00 (cento e quarenta milhões de reais), e desde que a totalidade dos recursos </w:t>
      </w:r>
      <w:r w:rsidR="00F927B8">
        <w:rPr>
          <w:rFonts w:ascii="Verdana" w:hAnsi="Verdana"/>
          <w:sz w:val="20"/>
        </w:rPr>
        <w:t xml:space="preserve">decorrentes de tais cessões, vendas, alienações e/ou quaisquer formas de transferência </w:t>
      </w:r>
      <w:r w:rsidR="003C78DF">
        <w:rPr>
          <w:rFonts w:ascii="Verdana" w:hAnsi="Verdana"/>
          <w:sz w:val="20"/>
        </w:rPr>
        <w:t xml:space="preserve">seja </w:t>
      </w:r>
      <w:r w:rsidR="003C78DF" w:rsidRPr="0025641B">
        <w:rPr>
          <w:rFonts w:ascii="Verdana" w:hAnsi="Verdana"/>
          <w:sz w:val="20"/>
        </w:rPr>
        <w:t>incorporad</w:t>
      </w:r>
      <w:r w:rsidR="003C78DF">
        <w:rPr>
          <w:rFonts w:ascii="Verdana" w:hAnsi="Verdana"/>
          <w:sz w:val="20"/>
        </w:rPr>
        <w:t>a</w:t>
      </w:r>
      <w:r w:rsidR="003C78DF" w:rsidRPr="0025641B">
        <w:rPr>
          <w:rFonts w:ascii="Verdana" w:hAnsi="Verdana"/>
          <w:sz w:val="20"/>
        </w:rPr>
        <w:t xml:space="preserve"> ao patrimônio líquido da Emissora</w:t>
      </w:r>
      <w:r w:rsidR="003C78DF">
        <w:rPr>
          <w:rFonts w:ascii="Verdana" w:hAnsi="Verdana"/>
          <w:sz w:val="20"/>
        </w:rPr>
        <w:t xml:space="preserve">. O limite de 20% (vinte por cento) referido acima poderá ser </w:t>
      </w:r>
      <w:r w:rsidR="003C78DF">
        <w:rPr>
          <w:rFonts w:ascii="Verdana" w:hAnsi="Verdana"/>
          <w:sz w:val="20"/>
        </w:rPr>
        <w:lastRenderedPageBreak/>
        <w:t>ultrapassado desde que</w:t>
      </w:r>
      <w:r w:rsidR="003C78DF" w:rsidRPr="0025641B">
        <w:rPr>
          <w:rFonts w:ascii="Verdana" w:hAnsi="Verdana"/>
          <w:sz w:val="20"/>
        </w:rPr>
        <w:t xml:space="preserve"> </w:t>
      </w:r>
      <w:r w:rsidR="003C78DF">
        <w:rPr>
          <w:rFonts w:ascii="Verdana" w:hAnsi="Verdana"/>
          <w:sz w:val="20"/>
        </w:rPr>
        <w:t xml:space="preserve">(i) </w:t>
      </w:r>
      <w:r w:rsidR="00F927B8">
        <w:rPr>
          <w:rFonts w:ascii="Verdana" w:hAnsi="Verdana"/>
          <w:sz w:val="20"/>
        </w:rPr>
        <w:t>a critério da Emissora,</w:t>
      </w:r>
      <w:r w:rsidR="00F927B8" w:rsidRPr="0025641B">
        <w:rPr>
          <w:rFonts w:ascii="Verdana" w:hAnsi="Verdana"/>
          <w:sz w:val="20"/>
        </w:rPr>
        <w:t xml:space="preserve"> </w:t>
      </w:r>
      <w:r w:rsidR="003C78DF" w:rsidRPr="0025641B">
        <w:rPr>
          <w:rFonts w:ascii="Verdana" w:hAnsi="Verdana"/>
          <w:sz w:val="20"/>
        </w:rPr>
        <w:t xml:space="preserve">a </w:t>
      </w:r>
      <w:proofErr w:type="spellStart"/>
      <w:r w:rsidR="003C78DF" w:rsidRPr="0025641B">
        <w:rPr>
          <w:rFonts w:ascii="Verdana" w:hAnsi="Verdana"/>
          <w:sz w:val="20"/>
        </w:rPr>
        <w:t>Dramd</w:t>
      </w:r>
      <w:proofErr w:type="spellEnd"/>
      <w:r w:rsidR="003C78DF" w:rsidRPr="0025641B">
        <w:rPr>
          <w:rFonts w:ascii="Verdana" w:hAnsi="Verdana"/>
          <w:sz w:val="20"/>
        </w:rPr>
        <w:t xml:space="preserve">, anteriormente à cessão, </w:t>
      </w:r>
      <w:proofErr w:type="gramStart"/>
      <w:r w:rsidR="003C78DF" w:rsidRPr="0025641B">
        <w:rPr>
          <w:rFonts w:ascii="Verdana" w:hAnsi="Verdana"/>
          <w:sz w:val="20"/>
        </w:rPr>
        <w:t>venda,</w:t>
      </w:r>
      <w:proofErr w:type="gramEnd"/>
      <w:r w:rsidR="003C78DF" w:rsidRPr="0025641B">
        <w:rPr>
          <w:rFonts w:ascii="Verdana" w:hAnsi="Verdana"/>
          <w:sz w:val="20"/>
        </w:rPr>
        <w:t xml:space="preserve"> alienação e/ou qualquer forma de transferência de que trata este item</w:t>
      </w:r>
      <w:r w:rsidR="003C78DF">
        <w:rPr>
          <w:rFonts w:ascii="Verdana" w:hAnsi="Verdana"/>
          <w:sz w:val="20"/>
        </w:rPr>
        <w:t xml:space="preserve"> </w:t>
      </w:r>
      <w:r w:rsidR="003C78DF" w:rsidRPr="0025641B">
        <w:rPr>
          <w:rFonts w:ascii="Verdana" w:hAnsi="Verdana"/>
          <w:sz w:val="20"/>
        </w:rPr>
        <w:t xml:space="preserve">(a) constitua, em benefício dos Debenturistas, garantias reais de (ou equivalentes a) 1º (primeiro) grau, em montante equivalente à operação pretendida, ou (b) contrate, em benefício dos Debenturistas, em montante equivalente à operação pretendida, fiança bancária junto a quaisquer das seguintes instituições: </w:t>
      </w:r>
      <w:r w:rsidR="003C78DF">
        <w:rPr>
          <w:rFonts w:ascii="Verdana" w:hAnsi="Verdana"/>
          <w:sz w:val="20"/>
        </w:rPr>
        <w:t>Banco Bradesco S.A.</w:t>
      </w:r>
      <w:r w:rsidR="003C78DF" w:rsidRPr="0025641B">
        <w:rPr>
          <w:rFonts w:ascii="Verdana" w:hAnsi="Verdana"/>
          <w:sz w:val="20"/>
        </w:rPr>
        <w:t xml:space="preserve">; </w:t>
      </w:r>
      <w:r w:rsidR="003C78DF">
        <w:rPr>
          <w:rFonts w:ascii="Verdana" w:hAnsi="Verdana"/>
          <w:sz w:val="20"/>
        </w:rPr>
        <w:t>Banco do Brasil S.A.</w:t>
      </w:r>
      <w:r w:rsidR="003C78DF" w:rsidRPr="0025641B">
        <w:rPr>
          <w:rFonts w:ascii="Verdana" w:hAnsi="Verdana"/>
          <w:sz w:val="20"/>
        </w:rPr>
        <w:t xml:space="preserve">; ou </w:t>
      </w:r>
      <w:r w:rsidR="003C78DF">
        <w:rPr>
          <w:rFonts w:ascii="Verdana" w:hAnsi="Verdana"/>
          <w:sz w:val="20"/>
        </w:rPr>
        <w:t>Banco Santander (Brasil) S.A.; ou (</w:t>
      </w:r>
      <w:proofErr w:type="spellStart"/>
      <w:r w:rsidR="003C78DF">
        <w:rPr>
          <w:rFonts w:ascii="Verdana" w:hAnsi="Verdana"/>
          <w:sz w:val="20"/>
        </w:rPr>
        <w:t>ii</w:t>
      </w:r>
      <w:proofErr w:type="spellEnd"/>
      <w:r w:rsidR="003C78DF">
        <w:rPr>
          <w:rFonts w:ascii="Verdana" w:hAnsi="Verdana"/>
          <w:sz w:val="20"/>
        </w:rPr>
        <w:t xml:space="preserve">) </w:t>
      </w:r>
      <w:r w:rsidR="00F927B8">
        <w:rPr>
          <w:rFonts w:ascii="Verdana" w:hAnsi="Verdana"/>
          <w:sz w:val="20"/>
        </w:rPr>
        <w:t xml:space="preserve">tais cessões, vendas, alienações e/ou quaisquer formas de transferência </w:t>
      </w:r>
      <w:r w:rsidR="003C78DF">
        <w:rPr>
          <w:rFonts w:ascii="Verdana" w:hAnsi="Verdana"/>
          <w:sz w:val="20"/>
        </w:rPr>
        <w:t xml:space="preserve">sejam </w:t>
      </w:r>
      <w:r w:rsidR="003C78DF" w:rsidRPr="0025641B">
        <w:rPr>
          <w:rFonts w:ascii="Verdana" w:hAnsi="Verdana"/>
          <w:sz w:val="20"/>
        </w:rPr>
        <w:t>previamente autorizad</w:t>
      </w:r>
      <w:r w:rsidR="003C78DF">
        <w:rPr>
          <w:rFonts w:ascii="Verdana" w:hAnsi="Verdana"/>
          <w:sz w:val="20"/>
        </w:rPr>
        <w:t>as</w:t>
      </w:r>
      <w:r w:rsidR="003C78DF" w:rsidRPr="0025641B">
        <w:rPr>
          <w:rFonts w:ascii="Verdana" w:hAnsi="Verdana"/>
          <w:sz w:val="20"/>
        </w:rPr>
        <w:t xml:space="preserve"> por Debenturistas representando, no mínimo, 75% (setenta e cinco por cento) </w:t>
      </w:r>
      <w:r w:rsidR="00507583">
        <w:rPr>
          <w:rFonts w:ascii="Verdana" w:hAnsi="Verdana"/>
          <w:sz w:val="20"/>
        </w:rPr>
        <w:t>das Debêntures em Circulação</w:t>
      </w:r>
      <w:r w:rsidR="003C78DF" w:rsidRPr="0025641B">
        <w:rPr>
          <w:rFonts w:ascii="Verdana" w:hAnsi="Verdana"/>
          <w:sz w:val="20"/>
        </w:rPr>
        <w:t>;</w:t>
      </w:r>
    </w:p>
    <w:p w14:paraId="439D17CC" w14:textId="77777777" w:rsidR="002D5261" w:rsidRDefault="002D5261" w:rsidP="002D5261">
      <w:pPr>
        <w:tabs>
          <w:tab w:val="left" w:pos="851"/>
        </w:tabs>
        <w:spacing w:after="0" w:line="300" w:lineRule="exact"/>
        <w:ind w:left="851"/>
        <w:rPr>
          <w:rFonts w:ascii="Verdana" w:hAnsi="Verdana"/>
          <w:sz w:val="20"/>
        </w:rPr>
      </w:pPr>
    </w:p>
    <w:p w14:paraId="7CA6D34F" w14:textId="099C0DC0" w:rsidR="002D5261"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25641B">
        <w:rPr>
          <w:rFonts w:ascii="Verdana" w:hAnsi="Verdana"/>
          <w:sz w:val="20"/>
        </w:rPr>
        <w:t>cessão</w:t>
      </w:r>
      <w:proofErr w:type="gramEnd"/>
      <w:r>
        <w:rPr>
          <w:rFonts w:ascii="Verdana" w:hAnsi="Verdana"/>
          <w:sz w:val="20"/>
        </w:rPr>
        <w:t xml:space="preserve"> </w:t>
      </w:r>
      <w:r w:rsidRPr="0025641B">
        <w:rPr>
          <w:rFonts w:ascii="Verdana" w:hAnsi="Verdana"/>
          <w:sz w:val="20"/>
        </w:rPr>
        <w:t xml:space="preserve">e/ou qualquer </w:t>
      </w:r>
      <w:r>
        <w:rPr>
          <w:rFonts w:ascii="Verdana" w:hAnsi="Verdana"/>
          <w:sz w:val="20"/>
        </w:rPr>
        <w:t xml:space="preserve">outra </w:t>
      </w:r>
      <w:r w:rsidRPr="0025641B">
        <w:rPr>
          <w:rFonts w:ascii="Verdana" w:hAnsi="Verdana"/>
          <w:sz w:val="20"/>
        </w:rPr>
        <w:t xml:space="preserve">forma de transferência, pela Emissora, por qualquer meio, de forma </w:t>
      </w:r>
      <w:r>
        <w:rPr>
          <w:rFonts w:ascii="Verdana" w:hAnsi="Verdana"/>
          <w:sz w:val="20"/>
        </w:rPr>
        <w:t>gratuita</w:t>
      </w:r>
      <w:r w:rsidRPr="0025641B">
        <w:rPr>
          <w:rFonts w:ascii="Verdana" w:hAnsi="Verdana"/>
          <w:sz w:val="20"/>
        </w:rPr>
        <w:t xml:space="preserve">, de seus ativos em valor superior </w:t>
      </w:r>
      <w:r>
        <w:rPr>
          <w:rFonts w:ascii="Verdana" w:hAnsi="Verdana"/>
          <w:sz w:val="20"/>
        </w:rPr>
        <w:t xml:space="preserve">ao equivalente </w:t>
      </w:r>
      <w:r w:rsidRPr="0025641B">
        <w:rPr>
          <w:rFonts w:ascii="Verdana" w:hAnsi="Verdana"/>
          <w:sz w:val="20"/>
        </w:rPr>
        <w:t xml:space="preserve">a </w:t>
      </w:r>
      <w:r w:rsidR="00F927B8" w:rsidRPr="005A1706">
        <w:rPr>
          <w:rFonts w:ascii="Verdana" w:hAnsi="Verdana"/>
          <w:sz w:val="20"/>
        </w:rPr>
        <w:t>10% (dez por cento)</w:t>
      </w:r>
      <w:r w:rsidR="005A1706">
        <w:rPr>
          <w:rFonts w:ascii="Verdana" w:hAnsi="Verdana"/>
          <w:sz w:val="20"/>
        </w:rPr>
        <w:t xml:space="preserve"> </w:t>
      </w:r>
      <w:r w:rsidRPr="0025641B">
        <w:rPr>
          <w:rFonts w:ascii="Verdana" w:hAnsi="Verdana"/>
          <w:sz w:val="20"/>
        </w:rPr>
        <w:t xml:space="preserve">do patrimônio líquido consolidado da Emissora, apurado com base nas informações financeiras trimestrais da Emissora objeto de revisão limitada divulgadas no trimestre imediatamente anterior a ocorrência do fato, </w:t>
      </w:r>
      <w:r>
        <w:rPr>
          <w:rFonts w:ascii="Verdana" w:hAnsi="Verdana"/>
          <w:sz w:val="20"/>
        </w:rPr>
        <w:t>de maneira individual ou agregada, durante toda a existência das Debêntures</w:t>
      </w:r>
      <w:r w:rsidRPr="0025641B">
        <w:rPr>
          <w:rFonts w:ascii="Verdana" w:hAnsi="Verdana"/>
          <w:sz w:val="20"/>
        </w:rPr>
        <w:t>;</w:t>
      </w:r>
    </w:p>
    <w:p w14:paraId="2705749D" w14:textId="77777777" w:rsidR="002D5261" w:rsidRPr="00190686" w:rsidRDefault="002D5261" w:rsidP="002D5261">
      <w:pPr>
        <w:tabs>
          <w:tab w:val="left" w:pos="851"/>
        </w:tabs>
        <w:spacing w:after="0" w:line="300" w:lineRule="exact"/>
        <w:ind w:left="851" w:hanging="851"/>
        <w:rPr>
          <w:rFonts w:ascii="Verdana" w:hAnsi="Verdana"/>
          <w:sz w:val="20"/>
        </w:rPr>
      </w:pPr>
    </w:p>
    <w:p w14:paraId="09B48662" w14:textId="12E14ACA" w:rsidR="003C78DF" w:rsidRPr="003C78DF" w:rsidRDefault="002D5261" w:rsidP="003C78DF">
      <w:pPr>
        <w:numPr>
          <w:ilvl w:val="2"/>
          <w:numId w:val="6"/>
        </w:numPr>
        <w:tabs>
          <w:tab w:val="left" w:pos="851"/>
        </w:tabs>
        <w:spacing w:after="0" w:line="300" w:lineRule="exact"/>
        <w:ind w:left="851" w:hanging="851"/>
        <w:rPr>
          <w:rFonts w:ascii="Verdana" w:hAnsi="Verdana"/>
          <w:sz w:val="20"/>
        </w:rPr>
      </w:pPr>
      <w:bookmarkStart w:id="94" w:name="_DV_M45"/>
      <w:bookmarkEnd w:id="94"/>
      <w:proofErr w:type="gramStart"/>
      <w:r w:rsidRPr="003C78DF">
        <w:rPr>
          <w:rFonts w:ascii="Verdana" w:hAnsi="Verdana"/>
          <w:sz w:val="20"/>
        </w:rPr>
        <w:t>constituição</w:t>
      </w:r>
      <w:proofErr w:type="gramEnd"/>
      <w:r w:rsidRPr="003C78DF">
        <w:rPr>
          <w:rFonts w:ascii="Verdana" w:hAnsi="Verdana"/>
          <w:sz w:val="20"/>
        </w:rPr>
        <w:t xml:space="preserve"> de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w:t>
      </w:r>
      <w:r w:rsidRPr="003C78DF">
        <w:rPr>
          <w:rFonts w:ascii="Verdana" w:hAnsi="Verdana"/>
          <w:sz w:val="20"/>
          <w:u w:val="single"/>
        </w:rPr>
        <w:t>Ônus</w:t>
      </w:r>
      <w:r w:rsidRPr="003C78DF">
        <w:rPr>
          <w:rFonts w:ascii="Verdana" w:hAnsi="Verdana"/>
          <w:sz w:val="20"/>
        </w:rPr>
        <w:t xml:space="preserve">”) sobre ativo(s) da Emissora em valor individual, agregado ou, durante toda a existência das Debêntures, acumulado, superior ao equivalente a 20% (vinte por cento) do patrimônio líquido consolidado da Emissora, apurado com base nas informações financeiras trimestrais da Emissora objeto de revisão limitada divulgadas no trimestre imediatamente anterior a ocorrência do fato, exceto (i) se previamente autorizado por Debenturistas representando, no mínimo, 75% (setenta e cinco por cento) </w:t>
      </w:r>
      <w:r w:rsidR="00507583">
        <w:rPr>
          <w:rFonts w:ascii="Verdana" w:hAnsi="Verdana"/>
          <w:sz w:val="20"/>
        </w:rPr>
        <w:t>das Debêntures em Circulação</w:t>
      </w:r>
      <w:r w:rsidR="003C78DF" w:rsidRPr="003C78DF">
        <w:rPr>
          <w:rFonts w:ascii="Verdana" w:hAnsi="Verdana"/>
          <w:sz w:val="20"/>
        </w:rPr>
        <w:t xml:space="preserve"> </w:t>
      </w:r>
      <w:r w:rsidR="003C78DF">
        <w:rPr>
          <w:rFonts w:ascii="Verdana" w:hAnsi="Verdana"/>
          <w:sz w:val="20"/>
        </w:rPr>
        <w:t>ou</w:t>
      </w:r>
      <w:r w:rsidR="00F927B8">
        <w:rPr>
          <w:rFonts w:ascii="Verdana" w:hAnsi="Verdana"/>
          <w:sz w:val="20"/>
        </w:rPr>
        <w:t>, a critério da Emissora,</w:t>
      </w:r>
      <w:r w:rsidR="003C78DF">
        <w:rPr>
          <w:rFonts w:ascii="Verdana" w:hAnsi="Verdana"/>
          <w:sz w:val="20"/>
        </w:rPr>
        <w:t xml:space="preserve"> </w:t>
      </w:r>
      <w:r w:rsidR="003C78DF" w:rsidRPr="003C78DF">
        <w:rPr>
          <w:rFonts w:ascii="Verdana" w:hAnsi="Verdana"/>
          <w:sz w:val="20"/>
        </w:rPr>
        <w:t>(</w:t>
      </w:r>
      <w:proofErr w:type="spellStart"/>
      <w:r w:rsidR="003C78DF" w:rsidRPr="003C78DF">
        <w:rPr>
          <w:rFonts w:ascii="Verdana" w:hAnsi="Verdana"/>
          <w:sz w:val="20"/>
        </w:rPr>
        <w:t>ii</w:t>
      </w:r>
      <w:proofErr w:type="spellEnd"/>
      <w:r w:rsidR="003C78DF" w:rsidRPr="003C78DF">
        <w:rPr>
          <w:rFonts w:ascii="Verdana" w:hAnsi="Verdana"/>
          <w:sz w:val="20"/>
        </w:rPr>
        <w:t xml:space="preserve">) caso a </w:t>
      </w:r>
      <w:proofErr w:type="spellStart"/>
      <w:r w:rsidR="003C78DF" w:rsidRPr="003C78DF">
        <w:rPr>
          <w:rFonts w:ascii="Verdana" w:hAnsi="Verdana"/>
          <w:sz w:val="20"/>
        </w:rPr>
        <w:t>Dramd</w:t>
      </w:r>
      <w:proofErr w:type="spellEnd"/>
      <w:r w:rsidR="003C78DF" w:rsidRPr="003C78DF">
        <w:rPr>
          <w:rFonts w:ascii="Verdana" w:hAnsi="Verdana"/>
          <w:sz w:val="20"/>
        </w:rPr>
        <w:t>, anteriormente à constituição de qualquer Ônus pela Emissora (a) constitua em benefício dos Debenturistas, garantias reais de (ou equivalentes a) 1º (primeiro) grau, em montante equivalente ao Ônus constituído, ou (b) contrate, em benefício dos Debenturistas, em montante equivalente ao Ônus constituído, fiança bancária junto a quaisquer das seguintes instituições: Banco Bradesco S.A.; Banco do Brasil S.A.; ou Banco Santander (Brasil) S.A.;</w:t>
      </w:r>
    </w:p>
    <w:p w14:paraId="0F5887AD" w14:textId="77777777" w:rsidR="002D5261" w:rsidRPr="006922EF" w:rsidRDefault="002D5261" w:rsidP="00F927B8">
      <w:pPr>
        <w:tabs>
          <w:tab w:val="left" w:pos="851"/>
        </w:tabs>
        <w:spacing w:after="0" w:line="300" w:lineRule="exact"/>
        <w:ind w:left="851"/>
        <w:rPr>
          <w:rFonts w:ascii="Verdana" w:hAnsi="Verdana"/>
          <w:sz w:val="20"/>
        </w:rPr>
      </w:pPr>
      <w:r w:rsidRPr="006922EF" w:rsidDel="005979CB">
        <w:rPr>
          <w:rFonts w:ascii="Verdana" w:hAnsi="Verdana"/>
          <w:sz w:val="20"/>
          <w:highlight w:val="green"/>
        </w:rPr>
        <w:t xml:space="preserve"> </w:t>
      </w:r>
      <w:bookmarkStart w:id="95" w:name="_Ref328666997"/>
      <w:bookmarkEnd w:id="56"/>
      <w:bookmarkEnd w:id="57"/>
      <w:bookmarkEnd w:id="58"/>
      <w:bookmarkEnd w:id="59"/>
    </w:p>
    <w:p w14:paraId="5259B9DC" w14:textId="77777777" w:rsidR="002D5261" w:rsidRPr="00190686"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190686">
        <w:rPr>
          <w:rFonts w:ascii="Verdana" w:hAnsi="Verdana"/>
          <w:sz w:val="20"/>
        </w:rPr>
        <w:t>distribuição</w:t>
      </w:r>
      <w:proofErr w:type="gramEnd"/>
      <w:r w:rsidRPr="00190686">
        <w:rPr>
          <w:rFonts w:ascii="Verdana" w:hAnsi="Verdana"/>
          <w:sz w:val="20"/>
        </w:rPr>
        <w:t xml:space="preserve"> e/ou pagamento, pela Emissora, de dividendos, juros sobre o capital próprio ou quaisquer outras distribuições de lucros aos acionistas da Emissora, caso a Emissora esteja em mora com qualquer de suas obrigações </w:t>
      </w:r>
      <w:r w:rsidRPr="00190686">
        <w:rPr>
          <w:rFonts w:ascii="Verdana" w:hAnsi="Verdana"/>
          <w:sz w:val="20"/>
        </w:rPr>
        <w:lastRenderedPageBreak/>
        <w:t>pecuniárias estabelecidas nesta Escritura de Emissão, exceto pelos dividendos obrigatórios previstos no artigo 202 da Lei das Sociedades por Ações, nos termos do estatuto social da Emissora vigente na Data de Emissão; ou</w:t>
      </w:r>
      <w:bookmarkEnd w:id="95"/>
    </w:p>
    <w:p w14:paraId="573C07BC" w14:textId="77777777" w:rsidR="002D5261" w:rsidRPr="00190686" w:rsidRDefault="002D5261" w:rsidP="002D5261">
      <w:pPr>
        <w:tabs>
          <w:tab w:val="left" w:pos="851"/>
        </w:tabs>
        <w:spacing w:after="0" w:line="300" w:lineRule="exact"/>
        <w:ind w:left="851" w:hanging="851"/>
        <w:rPr>
          <w:rFonts w:ascii="Verdana" w:hAnsi="Verdana"/>
          <w:sz w:val="20"/>
        </w:rPr>
      </w:pPr>
      <w:bookmarkStart w:id="96" w:name="_Ref279344869"/>
    </w:p>
    <w:p w14:paraId="350196D5" w14:textId="77777777" w:rsidR="002D5261" w:rsidRPr="00190686" w:rsidRDefault="002D5261" w:rsidP="002D5261">
      <w:pPr>
        <w:numPr>
          <w:ilvl w:val="2"/>
          <w:numId w:val="6"/>
        </w:numPr>
        <w:tabs>
          <w:tab w:val="left" w:pos="851"/>
        </w:tabs>
        <w:spacing w:after="0" w:line="300" w:lineRule="exact"/>
        <w:ind w:left="851" w:hanging="851"/>
        <w:rPr>
          <w:rFonts w:ascii="Verdana" w:hAnsi="Verdana"/>
          <w:sz w:val="20"/>
        </w:rPr>
      </w:pPr>
      <w:proofErr w:type="gramStart"/>
      <w:r w:rsidRPr="00190686">
        <w:rPr>
          <w:rFonts w:ascii="Verdana" w:hAnsi="Verdana"/>
          <w:sz w:val="20"/>
        </w:rPr>
        <w:t>não</w:t>
      </w:r>
      <w:proofErr w:type="gramEnd"/>
      <w:r w:rsidRPr="00190686">
        <w:rPr>
          <w:rFonts w:ascii="Verdana" w:hAnsi="Verdana"/>
          <w:sz w:val="20"/>
        </w:rPr>
        <w:t xml:space="preserve"> observância, pela Emissora, do índice financeiro abaixo (“</w:t>
      </w:r>
      <w:r w:rsidRPr="00190686">
        <w:rPr>
          <w:rFonts w:ascii="Verdana" w:hAnsi="Verdana"/>
          <w:sz w:val="20"/>
          <w:u w:val="single"/>
        </w:rPr>
        <w:t>Índice Financeiro</w:t>
      </w:r>
      <w:r w:rsidRPr="00190686">
        <w:rPr>
          <w:rFonts w:ascii="Verdana" w:hAnsi="Verdana"/>
          <w:sz w:val="20"/>
        </w:rPr>
        <w:t xml:space="preserve">”), a ser apurado pelo Auditor Independente (conforme definido na Cláusula 6.1.1, alínea ”b”) anualmente, nos termos da Cláusula 6.1.1, alínea ”b”, e verificados pelo Agente Fiduciário no prazo de até 5 (cinco) Dias Úteis contados da data de recebimento, pelo Agente Fiduciário, das informações a que se refere a Cláusula 6.1.1, alínea ”b”, tendo por base as Demonstrações Financeiras Consolidadas </w:t>
      </w:r>
      <w:r>
        <w:rPr>
          <w:rFonts w:ascii="Verdana" w:hAnsi="Verdana"/>
          <w:sz w:val="20"/>
        </w:rPr>
        <w:t xml:space="preserve">Auditadas </w:t>
      </w:r>
      <w:r w:rsidRPr="00190686">
        <w:rPr>
          <w:rFonts w:ascii="Verdana" w:hAnsi="Verdana"/>
          <w:sz w:val="20"/>
        </w:rPr>
        <w:t>Anuais da Emissora</w:t>
      </w:r>
      <w:r>
        <w:rPr>
          <w:rFonts w:ascii="Verdana" w:hAnsi="Verdana"/>
          <w:sz w:val="20"/>
        </w:rPr>
        <w:t xml:space="preserve">, </w:t>
      </w:r>
      <w:r w:rsidRPr="00190686">
        <w:rPr>
          <w:rFonts w:ascii="Verdana" w:hAnsi="Verdana"/>
          <w:sz w:val="20"/>
        </w:rPr>
        <w:t>referentes aos 12 (doze) meses anteriores ao da data de apuração do último Índice Financeiro</w:t>
      </w:r>
      <w:r>
        <w:rPr>
          <w:rFonts w:ascii="Verdana" w:hAnsi="Verdana"/>
          <w:sz w:val="20"/>
        </w:rPr>
        <w:t>, a partir, inclusive, das Demonstrações Financeiras Consolidadas Auditadas Anuais relativas ao exercício social encerrado em 31 de dezembro de 2017</w:t>
      </w:r>
      <w:r w:rsidRPr="00190686">
        <w:rPr>
          <w:rFonts w:ascii="Verdana" w:hAnsi="Verdana"/>
          <w:sz w:val="20"/>
        </w:rPr>
        <w:t>:</w:t>
      </w:r>
      <w:bookmarkEnd w:id="96"/>
      <w:r w:rsidRPr="00190686">
        <w:rPr>
          <w:rFonts w:ascii="Verdana" w:hAnsi="Verdana"/>
          <w:sz w:val="20"/>
        </w:rPr>
        <w:t xml:space="preserve"> </w:t>
      </w:r>
    </w:p>
    <w:p w14:paraId="19043390" w14:textId="77777777" w:rsidR="002D5261" w:rsidRPr="00190686" w:rsidRDefault="002D5261" w:rsidP="002D5261">
      <w:pPr>
        <w:tabs>
          <w:tab w:val="left" w:pos="851"/>
        </w:tabs>
        <w:spacing w:after="0" w:line="300" w:lineRule="exact"/>
        <w:ind w:left="720"/>
        <w:rPr>
          <w:rFonts w:ascii="Verdana" w:hAnsi="Verdana"/>
          <w:sz w:val="20"/>
        </w:rPr>
      </w:pPr>
    </w:p>
    <w:p w14:paraId="513AC80B" w14:textId="77777777" w:rsidR="002D5261" w:rsidRPr="00190686" w:rsidRDefault="002D5261" w:rsidP="002D5261">
      <w:pPr>
        <w:tabs>
          <w:tab w:val="left" w:pos="851"/>
        </w:tabs>
        <w:spacing w:after="0" w:line="300" w:lineRule="exact"/>
        <w:ind w:left="720"/>
        <w:rPr>
          <w:rFonts w:ascii="Verdana" w:hAnsi="Verdana"/>
          <w:sz w:val="20"/>
        </w:rPr>
      </w:pPr>
      <w:r w:rsidRPr="00190686">
        <w:rPr>
          <w:rFonts w:ascii="Verdana" w:hAnsi="Verdana"/>
          <w:sz w:val="20"/>
        </w:rPr>
        <w:t>Dívida Líquida/EBITDA (excluído Banco Randon S.A.) menor ou igual a 3,50 vezes.</w:t>
      </w:r>
    </w:p>
    <w:p w14:paraId="571938B1" w14:textId="77777777" w:rsidR="002D5261" w:rsidRPr="00190686" w:rsidRDefault="002D5261" w:rsidP="002D5261">
      <w:pPr>
        <w:pStyle w:val="GradeMdia1-nfase21"/>
        <w:tabs>
          <w:tab w:val="left" w:pos="851"/>
        </w:tabs>
        <w:spacing w:after="0" w:line="300" w:lineRule="exact"/>
        <w:rPr>
          <w:rFonts w:ascii="Verdana" w:hAnsi="Verdana"/>
          <w:sz w:val="20"/>
        </w:rPr>
      </w:pPr>
    </w:p>
    <w:p w14:paraId="7DA0D150" w14:textId="53A6589F" w:rsidR="002D5261" w:rsidRDefault="002D5261" w:rsidP="002D5261">
      <w:pPr>
        <w:numPr>
          <w:ilvl w:val="2"/>
          <w:numId w:val="7"/>
        </w:numPr>
        <w:tabs>
          <w:tab w:val="left" w:pos="851"/>
        </w:tabs>
        <w:spacing w:after="0" w:line="300" w:lineRule="exact"/>
        <w:ind w:left="851" w:hanging="851"/>
        <w:rPr>
          <w:rFonts w:ascii="Verdana" w:hAnsi="Verdana"/>
          <w:sz w:val="20"/>
        </w:rPr>
      </w:pPr>
      <w:r w:rsidRPr="00190686">
        <w:rPr>
          <w:rFonts w:ascii="Verdana" w:hAnsi="Verdana"/>
          <w:sz w:val="20"/>
        </w:rPr>
        <w:t>Para fins do cálculo do Índice Financeiro</w:t>
      </w:r>
      <w:r>
        <w:rPr>
          <w:rFonts w:ascii="Verdana" w:hAnsi="Verdana"/>
          <w:sz w:val="20"/>
        </w:rPr>
        <w:t>:</w:t>
      </w:r>
    </w:p>
    <w:p w14:paraId="1D8AE34D" w14:textId="77777777" w:rsidR="002D5261" w:rsidRDefault="002D5261" w:rsidP="002D5261">
      <w:pPr>
        <w:tabs>
          <w:tab w:val="left" w:pos="851"/>
        </w:tabs>
        <w:spacing w:after="0" w:line="300" w:lineRule="exact"/>
        <w:ind w:left="851"/>
        <w:rPr>
          <w:rFonts w:ascii="Verdana" w:hAnsi="Verdana"/>
          <w:sz w:val="20"/>
        </w:rPr>
      </w:pPr>
    </w:p>
    <w:p w14:paraId="743EB08D" w14:textId="77777777" w:rsidR="002D5261" w:rsidRDefault="002D5261" w:rsidP="002D5261">
      <w:pPr>
        <w:tabs>
          <w:tab w:val="left" w:pos="851"/>
        </w:tabs>
        <w:spacing w:after="0" w:line="300" w:lineRule="exact"/>
        <w:ind w:left="1406" w:hanging="555"/>
        <w:rPr>
          <w:rFonts w:ascii="Verdana" w:hAnsi="Verdana"/>
          <w:sz w:val="20"/>
        </w:rPr>
      </w:pPr>
      <w:r>
        <w:rPr>
          <w:rFonts w:ascii="Verdana" w:hAnsi="Verdana"/>
          <w:sz w:val="20"/>
        </w:rPr>
        <w:t>(i</w:t>
      </w:r>
      <w:proofErr w:type="gramStart"/>
      <w:r>
        <w:rPr>
          <w:rFonts w:ascii="Verdana" w:hAnsi="Verdana"/>
          <w:sz w:val="20"/>
        </w:rPr>
        <w:t>)</w:t>
      </w:r>
      <w:proofErr w:type="gramEnd"/>
      <w:r>
        <w:rPr>
          <w:rFonts w:ascii="Verdana" w:hAnsi="Verdana"/>
          <w:sz w:val="20"/>
        </w:rPr>
        <w:tab/>
      </w:r>
      <w:r w:rsidRPr="00190686">
        <w:rPr>
          <w:rFonts w:ascii="Verdana" w:hAnsi="Verdana"/>
          <w:sz w:val="20"/>
        </w:rPr>
        <w:t>“</w:t>
      </w:r>
      <w:r w:rsidRPr="006922EF">
        <w:rPr>
          <w:rFonts w:ascii="Verdana" w:hAnsi="Verdana"/>
          <w:sz w:val="20"/>
          <w:u w:val="single"/>
        </w:rPr>
        <w:t>Dívida Líquida</w:t>
      </w:r>
      <w:r w:rsidRPr="00190686">
        <w:rPr>
          <w:rFonts w:ascii="Verdana" w:hAnsi="Verdana"/>
          <w:sz w:val="20"/>
        </w:rPr>
        <w:t xml:space="preserve">” </w:t>
      </w:r>
      <w:r>
        <w:rPr>
          <w:rFonts w:ascii="Verdana" w:hAnsi="Verdana"/>
          <w:sz w:val="20"/>
        </w:rPr>
        <w:t>é o valor da Dívida menos as disponibilidades em caixa, aplicações financeiras e ativos decorrentes de instrumentos financeiros (derivativos);</w:t>
      </w:r>
    </w:p>
    <w:p w14:paraId="2407F82D" w14:textId="77777777" w:rsidR="002D5261" w:rsidRDefault="002D5261" w:rsidP="002D5261">
      <w:pPr>
        <w:tabs>
          <w:tab w:val="left" w:pos="851"/>
        </w:tabs>
        <w:spacing w:after="0" w:line="300" w:lineRule="exact"/>
        <w:ind w:left="1406" w:hanging="555"/>
        <w:rPr>
          <w:rFonts w:ascii="Verdana" w:hAnsi="Verdana"/>
          <w:sz w:val="20"/>
        </w:rPr>
      </w:pPr>
      <w:r>
        <w:rPr>
          <w:rFonts w:ascii="Verdana" w:hAnsi="Verdana"/>
          <w:sz w:val="20"/>
        </w:rPr>
        <w:t>(</w:t>
      </w:r>
      <w:proofErr w:type="spellStart"/>
      <w:r>
        <w:rPr>
          <w:rFonts w:ascii="Verdana" w:hAnsi="Verdana"/>
          <w:sz w:val="20"/>
        </w:rPr>
        <w:t>ii</w:t>
      </w:r>
      <w:proofErr w:type="spellEnd"/>
      <w:proofErr w:type="gramStart"/>
      <w:r>
        <w:rPr>
          <w:rFonts w:ascii="Verdana" w:hAnsi="Verdana"/>
          <w:sz w:val="20"/>
        </w:rPr>
        <w:t>)</w:t>
      </w:r>
      <w:proofErr w:type="gramEnd"/>
      <w:r>
        <w:rPr>
          <w:rFonts w:ascii="Verdana" w:hAnsi="Verdana"/>
          <w:sz w:val="20"/>
        </w:rPr>
        <w:tab/>
        <w:t>“</w:t>
      </w:r>
      <w:r w:rsidRPr="00E96AD7">
        <w:rPr>
          <w:rFonts w:ascii="Verdana" w:hAnsi="Verdana"/>
          <w:sz w:val="20"/>
          <w:u w:val="single"/>
        </w:rPr>
        <w:t>Dívida</w:t>
      </w:r>
      <w:r>
        <w:rPr>
          <w:rFonts w:ascii="Verdana" w:hAnsi="Verdana"/>
          <w:sz w:val="20"/>
        </w:rPr>
        <w:t xml:space="preserve">” é a soma dos empréstimos e financiamentos de curto e de longo prazos, incluídos os títulos descontados com regresso, as fianças e avais prestados em benefício de terceiros, arrendamento mercantil / leasing financeiro e os títulos de renda fixa não conversíveis em frutos de emissão pública ou privada, nos mercados local ou internacional. Inclui também os passivos decorrentes de instrumentos financeiros (derivativos) e as contas a pagar em decorrência da aquisição de outras empresas, bem como dívidas financeiras das empresas adquiridas e ainda não consolidadas; </w:t>
      </w:r>
      <w:proofErr w:type="gramStart"/>
      <w:r>
        <w:rPr>
          <w:rFonts w:ascii="Verdana" w:hAnsi="Verdana"/>
          <w:sz w:val="20"/>
        </w:rPr>
        <w:t>e</w:t>
      </w:r>
      <w:proofErr w:type="gramEnd"/>
      <w:r>
        <w:rPr>
          <w:rFonts w:ascii="Verdana" w:hAnsi="Verdana"/>
          <w:sz w:val="20"/>
        </w:rPr>
        <w:t xml:space="preserve"> </w:t>
      </w:r>
    </w:p>
    <w:p w14:paraId="60C8A000" w14:textId="5F9CE2E5" w:rsidR="002D5261" w:rsidRPr="00096DD1" w:rsidRDefault="002D5261" w:rsidP="002D5261">
      <w:pPr>
        <w:tabs>
          <w:tab w:val="left" w:pos="851"/>
        </w:tabs>
        <w:spacing w:after="0" w:line="300" w:lineRule="exact"/>
        <w:ind w:left="1406" w:hanging="555"/>
        <w:rPr>
          <w:rFonts w:ascii="Verdana" w:hAnsi="Verdana"/>
          <w:sz w:val="20"/>
        </w:rPr>
      </w:pPr>
      <w:r>
        <w:rPr>
          <w:rFonts w:ascii="Verdana" w:hAnsi="Verdana"/>
          <w:sz w:val="20"/>
        </w:rPr>
        <w:t>(</w:t>
      </w:r>
      <w:proofErr w:type="spellStart"/>
      <w:r>
        <w:rPr>
          <w:rFonts w:ascii="Verdana" w:hAnsi="Verdana"/>
          <w:sz w:val="20"/>
        </w:rPr>
        <w:t>iii</w:t>
      </w:r>
      <w:proofErr w:type="spellEnd"/>
      <w:proofErr w:type="gramStart"/>
      <w:r>
        <w:rPr>
          <w:rFonts w:ascii="Verdana" w:hAnsi="Verdana"/>
          <w:sz w:val="20"/>
        </w:rPr>
        <w:t>)</w:t>
      </w:r>
      <w:proofErr w:type="gramEnd"/>
      <w:r>
        <w:rPr>
          <w:rFonts w:ascii="Verdana" w:hAnsi="Verdana"/>
          <w:sz w:val="20"/>
        </w:rPr>
        <w:tab/>
        <w:t>“</w:t>
      </w:r>
      <w:r w:rsidRPr="006922EF">
        <w:rPr>
          <w:rFonts w:ascii="Verdana" w:hAnsi="Verdana"/>
          <w:sz w:val="20"/>
          <w:u w:val="single"/>
        </w:rPr>
        <w:t>EBITDA</w:t>
      </w:r>
      <w:r>
        <w:rPr>
          <w:rFonts w:ascii="Verdana" w:hAnsi="Verdana"/>
          <w:sz w:val="20"/>
        </w:rPr>
        <w:t xml:space="preserve">” é o resultado relativo aos 12 meses anteriores à data de apuração, antes do imposto sobre a renda e contribuição social, da depreciação e amortização, do resultado financeiro, do resultado não operacional, da equivalência patrimonial e da participação de acionistas minoritários. O cálculo do EBITDA deverá incluir o EBITDA </w:t>
      </w:r>
      <w:r w:rsidRPr="00E96AD7">
        <w:rPr>
          <w:rFonts w:ascii="Verdana" w:hAnsi="Verdana"/>
          <w:i/>
          <w:sz w:val="20"/>
        </w:rPr>
        <w:t>pro forma</w:t>
      </w:r>
      <w:r>
        <w:rPr>
          <w:rFonts w:ascii="Verdana" w:hAnsi="Verdana"/>
          <w:sz w:val="20"/>
        </w:rPr>
        <w:t xml:space="preserve"> das empresas adquiridas pela </w:t>
      </w:r>
      <w:proofErr w:type="gramStart"/>
      <w:r>
        <w:rPr>
          <w:rFonts w:ascii="Verdana" w:hAnsi="Verdana"/>
          <w:sz w:val="20"/>
        </w:rPr>
        <w:t>Emissora não consolidadas</w:t>
      </w:r>
      <w:proofErr w:type="gramEnd"/>
      <w:r>
        <w:rPr>
          <w:rFonts w:ascii="Verdana" w:hAnsi="Verdana"/>
          <w:sz w:val="20"/>
        </w:rPr>
        <w:t xml:space="preserve"> integralmente no período de apuração.</w:t>
      </w:r>
      <w:r w:rsidR="000A1FA1">
        <w:rPr>
          <w:rFonts w:ascii="Verdana" w:hAnsi="Verdana"/>
          <w:sz w:val="20"/>
        </w:rPr>
        <w:t xml:space="preserve"> </w:t>
      </w:r>
    </w:p>
    <w:p w14:paraId="0BAF0F0C" w14:textId="77777777" w:rsidR="002D5261" w:rsidRPr="00190686" w:rsidRDefault="002D5261" w:rsidP="002D5261">
      <w:pPr>
        <w:tabs>
          <w:tab w:val="left" w:pos="851"/>
        </w:tabs>
        <w:spacing w:after="0" w:line="300" w:lineRule="exact"/>
        <w:ind w:left="709"/>
        <w:rPr>
          <w:rFonts w:ascii="Verdana" w:hAnsi="Verdana"/>
          <w:sz w:val="20"/>
        </w:rPr>
      </w:pPr>
    </w:p>
    <w:p w14:paraId="55E0FA2D" w14:textId="1287F59D" w:rsidR="002D5261" w:rsidRPr="00190686" w:rsidRDefault="002D5261" w:rsidP="002D5261">
      <w:pPr>
        <w:numPr>
          <w:ilvl w:val="0"/>
          <w:numId w:val="8"/>
        </w:numPr>
        <w:tabs>
          <w:tab w:val="left" w:pos="851"/>
        </w:tabs>
        <w:spacing w:after="0" w:line="300" w:lineRule="exact"/>
        <w:ind w:left="0" w:firstLine="0"/>
        <w:rPr>
          <w:rFonts w:ascii="Verdana" w:hAnsi="Verdana"/>
          <w:sz w:val="20"/>
        </w:rPr>
      </w:pPr>
      <w:r w:rsidRPr="00190686">
        <w:rPr>
          <w:rFonts w:ascii="Verdana" w:hAnsi="Verdana"/>
          <w:sz w:val="20"/>
        </w:rPr>
        <w:t xml:space="preserve">Ocorrendo qualquer dos Eventos de Inadimplemento previstos na Cláusula 5.1. </w:t>
      </w:r>
      <w:proofErr w:type="gramStart"/>
      <w:r w:rsidRPr="00190686">
        <w:rPr>
          <w:rFonts w:ascii="Verdana" w:hAnsi="Verdana"/>
          <w:sz w:val="20"/>
        </w:rPr>
        <w:t>acima</w:t>
      </w:r>
      <w:proofErr w:type="gramEnd"/>
      <w:r w:rsidRPr="00190686">
        <w:rPr>
          <w:rFonts w:ascii="Verdana" w:hAnsi="Verdana"/>
          <w:sz w:val="20"/>
        </w:rPr>
        <w:t xml:space="preserve">, incisos a”; “c”; “d”; “e”; “g”; “h”; “i”; “j”; “k”; “l”; “m”; “p”; “s”; </w:t>
      </w:r>
      <w:r w:rsidRPr="00190686">
        <w:rPr>
          <w:rFonts w:ascii="Verdana" w:hAnsi="Verdana"/>
          <w:sz w:val="20"/>
        </w:rPr>
        <w:lastRenderedPageBreak/>
        <w:t>“t”; “u”</w:t>
      </w:r>
      <w:r w:rsidR="00213040">
        <w:rPr>
          <w:rFonts w:ascii="Verdana" w:hAnsi="Verdana"/>
          <w:sz w:val="20"/>
        </w:rPr>
        <w:t>; e “v”</w:t>
      </w:r>
      <w:r w:rsidRPr="00190686">
        <w:rPr>
          <w:rFonts w:ascii="Verdana" w:hAnsi="Verdana"/>
          <w:sz w:val="20"/>
        </w:rPr>
        <w:t>, as obrigações decorrentes das Debêntures tornar-se-ão automaticamente vencidas, independentemente de aviso ou notificação, judicial ou extrajudicial.</w:t>
      </w:r>
      <w:bookmarkEnd w:id="60"/>
      <w:bookmarkEnd w:id="61"/>
      <w:bookmarkEnd w:id="62"/>
      <w:r w:rsidRPr="00190686">
        <w:rPr>
          <w:rFonts w:ascii="Verdana" w:hAnsi="Verdana"/>
          <w:sz w:val="20"/>
        </w:rPr>
        <w:t xml:space="preserve"> </w:t>
      </w:r>
    </w:p>
    <w:p w14:paraId="32EA80BE" w14:textId="77777777" w:rsidR="002D5261" w:rsidRPr="00190686" w:rsidRDefault="002D5261" w:rsidP="002D5261">
      <w:pPr>
        <w:tabs>
          <w:tab w:val="left" w:pos="851"/>
        </w:tabs>
        <w:spacing w:after="0" w:line="300" w:lineRule="exact"/>
        <w:rPr>
          <w:rFonts w:ascii="Verdana" w:hAnsi="Verdana"/>
          <w:sz w:val="20"/>
        </w:rPr>
      </w:pPr>
    </w:p>
    <w:p w14:paraId="6959BE2E" w14:textId="11978A01" w:rsidR="002D5261" w:rsidRPr="00190686" w:rsidRDefault="002D5261" w:rsidP="002D5261">
      <w:pPr>
        <w:numPr>
          <w:ilvl w:val="0"/>
          <w:numId w:val="8"/>
        </w:numPr>
        <w:tabs>
          <w:tab w:val="left" w:pos="851"/>
        </w:tabs>
        <w:spacing w:after="0" w:line="300" w:lineRule="exact"/>
        <w:ind w:left="0" w:firstLine="0"/>
        <w:rPr>
          <w:rFonts w:ascii="Verdana" w:hAnsi="Verdana"/>
          <w:sz w:val="20"/>
        </w:rPr>
      </w:pPr>
      <w:bookmarkStart w:id="97" w:name="_Ref130283218"/>
      <w:r w:rsidRPr="00190686">
        <w:rPr>
          <w:rFonts w:ascii="Verdana" w:hAnsi="Verdana"/>
          <w:sz w:val="20"/>
        </w:rPr>
        <w:t xml:space="preserve">Ocorrendo qualquer dos demais Eventos de Inadimplemento (que não sejam aqueles previstos na Cláusula 5.2. acima), o Agente Fiduciário </w:t>
      </w:r>
      <w:proofErr w:type="gramStart"/>
      <w:r w:rsidRPr="00190686">
        <w:rPr>
          <w:rFonts w:ascii="Verdana" w:hAnsi="Verdana"/>
          <w:sz w:val="20"/>
        </w:rPr>
        <w:t>deverá,</w:t>
      </w:r>
      <w:proofErr w:type="gramEnd"/>
      <w:r w:rsidRPr="00190686">
        <w:rPr>
          <w:rFonts w:ascii="Verdana" w:hAnsi="Verdana"/>
          <w:sz w:val="20"/>
        </w:rPr>
        <w:t xml:space="preserve"> inclusive para fins do disposto na Cláusula Oitava abaixo, convocar, no prazo máximo de 03 (três) Dias Úteis contados da data em que constatar sua ocorrência, Assembleia Geral, a se realizar no prazo mínimo previsto em lei. </w:t>
      </w:r>
    </w:p>
    <w:p w14:paraId="32E1DDA7" w14:textId="77777777" w:rsidR="002D5261" w:rsidRPr="00190686" w:rsidRDefault="002D5261" w:rsidP="002D5261">
      <w:pPr>
        <w:pStyle w:val="ListaColorida-nfase11"/>
        <w:spacing w:after="0" w:line="300" w:lineRule="exact"/>
        <w:rPr>
          <w:rFonts w:ascii="Verdana" w:hAnsi="Verdana"/>
          <w:sz w:val="20"/>
        </w:rPr>
      </w:pPr>
    </w:p>
    <w:p w14:paraId="1E011B93" w14:textId="7D95F910" w:rsidR="002D5261" w:rsidRPr="00190686" w:rsidRDefault="002D5261" w:rsidP="002D5261">
      <w:pPr>
        <w:numPr>
          <w:ilvl w:val="0"/>
          <w:numId w:val="8"/>
        </w:numPr>
        <w:tabs>
          <w:tab w:val="left" w:pos="851"/>
        </w:tabs>
        <w:spacing w:after="0" w:line="300" w:lineRule="exact"/>
        <w:ind w:left="0" w:firstLine="0"/>
        <w:rPr>
          <w:rFonts w:ascii="Verdana" w:hAnsi="Verdana"/>
          <w:sz w:val="20"/>
        </w:rPr>
      </w:pPr>
      <w:r w:rsidRPr="00190686">
        <w:rPr>
          <w:rFonts w:ascii="Verdana" w:hAnsi="Verdana"/>
          <w:sz w:val="20"/>
        </w:rPr>
        <w:t xml:space="preserve">Se, na Assembleia Geral de que trata a Cláusula 5.3. </w:t>
      </w:r>
      <w:proofErr w:type="gramStart"/>
      <w:r w:rsidRPr="00190686">
        <w:rPr>
          <w:rFonts w:ascii="Verdana" w:hAnsi="Verdana"/>
          <w:sz w:val="20"/>
        </w:rPr>
        <w:t>acima</w:t>
      </w:r>
      <w:proofErr w:type="gramEnd"/>
      <w:r w:rsidRPr="00190686">
        <w:rPr>
          <w:rFonts w:ascii="Verdana" w:hAnsi="Verdana"/>
          <w:sz w:val="20"/>
        </w:rPr>
        <w:t xml:space="preserve">, Debenturistas presentes representando, no mínimo, 75% (setenta e cinco por cento) das Debêntures </w:t>
      </w:r>
      <w:r w:rsidR="00507583">
        <w:rPr>
          <w:rFonts w:ascii="Verdana" w:hAnsi="Verdana"/>
          <w:sz w:val="20"/>
        </w:rPr>
        <w:t>em Circulação</w:t>
      </w:r>
      <w:r w:rsidRPr="00190686">
        <w:rPr>
          <w:rFonts w:ascii="Verdana" w:hAnsi="Verdana"/>
          <w:sz w:val="20"/>
        </w:rPr>
        <w:t xml:space="preserve"> decidirem por não considerar o vencimento antecipado das obrigações decorrentes das Debêntures, ou, ainda, em caso de suspensão dos trabalhos para deliberação em data posterior, o Agente Fiduciário não deverá declarar o vencimento antecipado das obrigações decorrentes das Debêntures. Em caso de não instalação, em segunda convocação, de referida Assembleia Geral, o Agente Fiduciário deverá, imediatamente, declarar o vencimento antecipado das obrigações decorrentes das Debêntures e enviar, imediatamente, carta protocolada ou com “aviso de recebimento” expedido pelo correio à Emissora, com cópia para a CETIP e ao Banco Liquidante.</w:t>
      </w:r>
      <w:bookmarkEnd w:id="63"/>
      <w:bookmarkEnd w:id="97"/>
    </w:p>
    <w:p w14:paraId="2B8B89F4" w14:textId="77777777" w:rsidR="002D5261" w:rsidRPr="00190686" w:rsidRDefault="002D5261" w:rsidP="002D5261">
      <w:pPr>
        <w:tabs>
          <w:tab w:val="left" w:pos="851"/>
        </w:tabs>
        <w:spacing w:after="0" w:line="300" w:lineRule="exact"/>
        <w:rPr>
          <w:rFonts w:ascii="Verdana" w:hAnsi="Verdana"/>
          <w:sz w:val="20"/>
        </w:rPr>
      </w:pPr>
    </w:p>
    <w:p w14:paraId="23382E48" w14:textId="36B7B219" w:rsidR="002D5261" w:rsidRPr="00190686" w:rsidRDefault="002D5261" w:rsidP="002D5261">
      <w:pPr>
        <w:numPr>
          <w:ilvl w:val="0"/>
          <w:numId w:val="8"/>
        </w:numPr>
        <w:tabs>
          <w:tab w:val="left" w:pos="851"/>
        </w:tabs>
        <w:spacing w:after="0" w:line="300" w:lineRule="exact"/>
        <w:ind w:left="0" w:firstLine="0"/>
        <w:rPr>
          <w:rFonts w:ascii="Verdana" w:hAnsi="Verdana"/>
          <w:sz w:val="20"/>
        </w:rPr>
      </w:pPr>
      <w:bookmarkStart w:id="98" w:name="_Ref130283221"/>
      <w:bookmarkStart w:id="99" w:name="_Ref534176563"/>
      <w:r w:rsidRPr="00190686">
        <w:rPr>
          <w:rFonts w:ascii="Verdana" w:hAnsi="Verdana"/>
          <w:sz w:val="20"/>
        </w:rPr>
        <w:t xml:space="preserve">Na ocorrência do vencimento antecipado das obrigações decorrentes das Debêntures, a Emissora se obriga a resgatar a totalidade das Debêntures, com o seu consequente cancelamento, obrigando-se a pagar o Valor Nominal das Debêntures, acrescido da Remuneração, calculada </w:t>
      </w:r>
      <w:r w:rsidRPr="00190686">
        <w:rPr>
          <w:rFonts w:ascii="Verdana" w:hAnsi="Verdana"/>
          <w:i/>
          <w:sz w:val="20"/>
        </w:rPr>
        <w:t xml:space="preserve">pro rata </w:t>
      </w:r>
      <w:proofErr w:type="spellStart"/>
      <w:r w:rsidRPr="00190686">
        <w:rPr>
          <w:rFonts w:ascii="Verdana" w:hAnsi="Verdana"/>
          <w:i/>
          <w:sz w:val="20"/>
        </w:rPr>
        <w:t>temporis</w:t>
      </w:r>
      <w:proofErr w:type="spellEnd"/>
      <w:r w:rsidRPr="00190686">
        <w:rPr>
          <w:rFonts w:ascii="Verdana" w:hAnsi="Verdana"/>
          <w:sz w:val="20"/>
        </w:rPr>
        <w:t xml:space="preserve"> desde a 1ª (primeira) Data de Integralização de respectiva série ou a data de pagamento de Remuneração imediatamente anterior, conforme o caso, até a data do efetivo pagamento, sem prejuízo do pagamento dos Encargos Moratórios, quando for o caso, e de quaisquer outros valores eventualmente devidos pela Emissora nos termos desta Escritura de Emissão, no prazo de até </w:t>
      </w:r>
      <w:proofErr w:type="gramStart"/>
      <w:r w:rsidRPr="00190686">
        <w:rPr>
          <w:rFonts w:ascii="Verdana" w:hAnsi="Verdana"/>
          <w:sz w:val="20"/>
        </w:rPr>
        <w:t>3</w:t>
      </w:r>
      <w:proofErr w:type="gramEnd"/>
      <w:r w:rsidRPr="00190686">
        <w:rPr>
          <w:rFonts w:ascii="Verdana" w:hAnsi="Verdana"/>
          <w:sz w:val="20"/>
        </w:rPr>
        <w:t xml:space="preserve"> (três) Dias Úteis contados da data da declaração do vencimento antecipado, </w:t>
      </w:r>
      <w:r w:rsidR="00084FA8">
        <w:rPr>
          <w:rFonts w:ascii="Verdana" w:hAnsi="Verdana"/>
          <w:sz w:val="20"/>
        </w:rPr>
        <w:t xml:space="preserve">fora do âmbito da CETIP, </w:t>
      </w:r>
      <w:r w:rsidRPr="00190686">
        <w:rPr>
          <w:rFonts w:ascii="Verdana" w:hAnsi="Verdana"/>
          <w:sz w:val="20"/>
        </w:rPr>
        <w:t>sob pena de, em não o fazendo, ficar obrigada, ainda, ao pagamento dos Encargos Moratórios.</w:t>
      </w:r>
      <w:bookmarkEnd w:id="98"/>
      <w:bookmarkEnd w:id="99"/>
      <w:r w:rsidRPr="00190686">
        <w:rPr>
          <w:rFonts w:ascii="Verdana" w:hAnsi="Verdana"/>
          <w:sz w:val="20"/>
        </w:rPr>
        <w:t xml:space="preserve"> </w:t>
      </w:r>
      <w:r w:rsidRPr="00190686">
        <w:rPr>
          <w:rFonts w:ascii="Verdana" w:hAnsi="Verdana"/>
          <w:bCs/>
          <w:sz w:val="20"/>
        </w:rPr>
        <w:t xml:space="preserve">Caso os recursos recebidos em pagamento </w:t>
      </w:r>
      <w:r w:rsidRPr="00190686">
        <w:rPr>
          <w:rFonts w:ascii="Verdana" w:hAnsi="Verdana"/>
          <w:sz w:val="20"/>
        </w:rPr>
        <w:t>das obrigações decorrentes das Debêntures</w:t>
      </w:r>
      <w:r w:rsidRPr="00190686">
        <w:rPr>
          <w:rFonts w:ascii="Verdana" w:hAnsi="Verdana"/>
          <w:bCs/>
          <w:sz w:val="20"/>
        </w:rPr>
        <w:t xml:space="preserve">, </w:t>
      </w:r>
      <w:r w:rsidRPr="00190686">
        <w:rPr>
          <w:rFonts w:ascii="Verdana" w:hAnsi="Verdana"/>
          <w:sz w:val="20"/>
        </w:rPr>
        <w:t>não sejam suficientes para quitar simultaneamente todas as obrigações decorrentes das Debêntures, tais recursos</w:t>
      </w:r>
      <w:r w:rsidRPr="00190686">
        <w:rPr>
          <w:rFonts w:ascii="Verdana" w:hAnsi="Verdana"/>
          <w:bCs/>
          <w:sz w:val="20"/>
        </w:rPr>
        <w:t xml:space="preserve"> deverão ser utilizados para o pagamento proporcional do saldo devedor das Debêntures de cada uma das séries, observado que enquanto não forem pagas todas as obrigações decorrentes das Debêntures, nos termos desta Escritura de Emissão, a Emissora declara, neste ato, que tal saldo devedor será </w:t>
      </w:r>
      <w:proofErr w:type="gramStart"/>
      <w:r w:rsidRPr="00190686">
        <w:rPr>
          <w:rFonts w:ascii="Verdana" w:hAnsi="Verdana"/>
          <w:bCs/>
          <w:sz w:val="20"/>
        </w:rPr>
        <w:t>considerado</w:t>
      </w:r>
      <w:proofErr w:type="gramEnd"/>
      <w:r w:rsidRPr="00190686">
        <w:rPr>
          <w:rFonts w:ascii="Verdana" w:hAnsi="Verdana"/>
          <w:bCs/>
          <w:sz w:val="20"/>
        </w:rPr>
        <w:t xml:space="preserve"> título executivo extrajudicial</w:t>
      </w:r>
      <w:r w:rsidRPr="00190686">
        <w:rPr>
          <w:rFonts w:ascii="Verdana" w:hAnsi="Verdana"/>
          <w:sz w:val="20"/>
        </w:rPr>
        <w:t>.</w:t>
      </w:r>
    </w:p>
    <w:p w14:paraId="3D54556D" w14:textId="77777777" w:rsidR="002D5261" w:rsidRPr="00190686" w:rsidRDefault="002D5261" w:rsidP="002D5261">
      <w:pPr>
        <w:tabs>
          <w:tab w:val="left" w:pos="851"/>
          <w:tab w:val="left" w:pos="1890"/>
        </w:tabs>
        <w:spacing w:after="0" w:line="300" w:lineRule="exact"/>
        <w:ind w:left="1890" w:hanging="1080"/>
        <w:rPr>
          <w:rFonts w:ascii="Verdana" w:hAnsi="Verdana"/>
          <w:sz w:val="20"/>
        </w:rPr>
      </w:pPr>
    </w:p>
    <w:p w14:paraId="675E0532" w14:textId="77777777" w:rsidR="002D5261" w:rsidRPr="00190686" w:rsidRDefault="002D5261" w:rsidP="002D5261">
      <w:pPr>
        <w:tabs>
          <w:tab w:val="left" w:pos="851"/>
        </w:tabs>
        <w:spacing w:after="0" w:line="300" w:lineRule="exact"/>
        <w:jc w:val="center"/>
        <w:rPr>
          <w:rFonts w:ascii="Verdana" w:hAnsi="Verdana"/>
          <w:b/>
          <w:smallCaps/>
          <w:sz w:val="20"/>
        </w:rPr>
      </w:pPr>
    </w:p>
    <w:p w14:paraId="1CFA3DC3" w14:textId="77777777" w:rsidR="002D5261" w:rsidRPr="00190686" w:rsidRDefault="002D5261" w:rsidP="002D5261">
      <w:pPr>
        <w:tabs>
          <w:tab w:val="left" w:pos="851"/>
        </w:tabs>
        <w:spacing w:after="0" w:line="300" w:lineRule="exact"/>
        <w:jc w:val="center"/>
        <w:rPr>
          <w:rFonts w:ascii="Verdana" w:hAnsi="Verdana"/>
          <w:b/>
          <w:smallCaps/>
          <w:sz w:val="20"/>
        </w:rPr>
      </w:pPr>
      <w:proofErr w:type="gramStart"/>
      <w:r w:rsidRPr="00190686">
        <w:rPr>
          <w:rFonts w:ascii="Verdana" w:hAnsi="Verdana"/>
          <w:b/>
          <w:smallCaps/>
          <w:sz w:val="20"/>
        </w:rPr>
        <w:t>Cláusula VI</w:t>
      </w:r>
      <w:proofErr w:type="gramEnd"/>
    </w:p>
    <w:p w14:paraId="47201936" w14:textId="77777777" w:rsidR="002D5261" w:rsidRPr="00190686" w:rsidRDefault="002D5261" w:rsidP="002D5261">
      <w:pPr>
        <w:tabs>
          <w:tab w:val="left" w:pos="851"/>
        </w:tabs>
        <w:spacing w:after="0" w:line="300" w:lineRule="exact"/>
        <w:jc w:val="center"/>
        <w:rPr>
          <w:rFonts w:ascii="Verdana" w:hAnsi="Verdana"/>
          <w:b/>
          <w:smallCaps/>
          <w:sz w:val="20"/>
        </w:rPr>
      </w:pPr>
      <w:r w:rsidRPr="00190686">
        <w:rPr>
          <w:rFonts w:ascii="Verdana" w:hAnsi="Verdana"/>
          <w:b/>
          <w:smallCaps/>
          <w:sz w:val="20"/>
        </w:rPr>
        <w:t>Obrigações Adicionais da Emissora</w:t>
      </w:r>
      <w:bookmarkStart w:id="100" w:name="_Ref130390982"/>
    </w:p>
    <w:p w14:paraId="35740F60" w14:textId="77777777" w:rsidR="002D5261" w:rsidRPr="00190686" w:rsidRDefault="002D5261" w:rsidP="002D5261">
      <w:pPr>
        <w:keepNext/>
        <w:tabs>
          <w:tab w:val="left" w:pos="851"/>
        </w:tabs>
        <w:spacing w:after="0" w:line="300" w:lineRule="exact"/>
        <w:jc w:val="center"/>
        <w:rPr>
          <w:rFonts w:ascii="Verdana" w:hAnsi="Verdana"/>
          <w:smallCaps/>
          <w:sz w:val="20"/>
          <w:u w:val="single"/>
        </w:rPr>
      </w:pPr>
    </w:p>
    <w:p w14:paraId="407E98C9" w14:textId="77777777" w:rsidR="002D5261" w:rsidRPr="00190686" w:rsidRDefault="002D5261" w:rsidP="002D5261">
      <w:pPr>
        <w:keepNext/>
        <w:numPr>
          <w:ilvl w:val="1"/>
          <w:numId w:val="9"/>
        </w:numPr>
        <w:tabs>
          <w:tab w:val="clear" w:pos="709"/>
          <w:tab w:val="left" w:pos="851"/>
          <w:tab w:val="left" w:pos="1134"/>
        </w:tabs>
        <w:spacing w:after="0" w:line="300" w:lineRule="exact"/>
        <w:ind w:left="851" w:hanging="851"/>
        <w:rPr>
          <w:rFonts w:ascii="Verdana" w:hAnsi="Verdana"/>
          <w:smallCaps/>
          <w:sz w:val="20"/>
          <w:u w:val="single"/>
        </w:rPr>
      </w:pPr>
      <w:bookmarkStart w:id="101" w:name="_Ref279333767"/>
      <w:r w:rsidRPr="00190686">
        <w:rPr>
          <w:rFonts w:ascii="Verdana" w:hAnsi="Verdana"/>
          <w:sz w:val="20"/>
        </w:rPr>
        <w:t>Sem prejuízo das demais obrigações assumidas nesta Escritura de Emissão e nos demais documentos da Oferta, a Emissora, está adicionalmente obrigada a:</w:t>
      </w:r>
      <w:bookmarkStart w:id="102" w:name="_Ref168844178"/>
      <w:bookmarkStart w:id="103" w:name="_Ref262552287"/>
      <w:bookmarkEnd w:id="100"/>
      <w:bookmarkEnd w:id="101"/>
    </w:p>
    <w:p w14:paraId="53B838BA" w14:textId="77777777" w:rsidR="002D5261" w:rsidRPr="00190686" w:rsidRDefault="002D5261" w:rsidP="002D5261">
      <w:pPr>
        <w:keepNext/>
        <w:tabs>
          <w:tab w:val="left" w:pos="851"/>
        </w:tabs>
        <w:spacing w:after="0" w:line="300" w:lineRule="exact"/>
        <w:ind w:left="720"/>
        <w:rPr>
          <w:rFonts w:ascii="Verdana" w:hAnsi="Verdana"/>
          <w:sz w:val="20"/>
        </w:rPr>
      </w:pPr>
      <w:bookmarkStart w:id="104" w:name="_Ref225332080"/>
      <w:bookmarkEnd w:id="102"/>
      <w:bookmarkEnd w:id="103"/>
    </w:p>
    <w:p w14:paraId="5D650C03"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fornecer</w:t>
      </w:r>
      <w:proofErr w:type="gramEnd"/>
      <w:r w:rsidRPr="00190686">
        <w:rPr>
          <w:rFonts w:ascii="Verdana" w:hAnsi="Verdana"/>
          <w:sz w:val="20"/>
        </w:rPr>
        <w:t xml:space="preserve"> ao Agente Fiduciário:</w:t>
      </w:r>
      <w:bookmarkEnd w:id="104"/>
    </w:p>
    <w:p w14:paraId="088AC422" w14:textId="77777777" w:rsidR="002D5261" w:rsidRPr="00190686" w:rsidRDefault="002D5261" w:rsidP="002D5261">
      <w:pPr>
        <w:tabs>
          <w:tab w:val="left" w:pos="851"/>
        </w:tabs>
        <w:spacing w:after="0" w:line="300" w:lineRule="exact"/>
        <w:ind w:left="709"/>
        <w:rPr>
          <w:rFonts w:ascii="Verdana" w:hAnsi="Verdana"/>
          <w:sz w:val="20"/>
        </w:rPr>
      </w:pPr>
      <w:bookmarkStart w:id="105" w:name="_Ref285571943"/>
    </w:p>
    <w:p w14:paraId="4E92F530" w14:textId="5FEB8F74" w:rsidR="002D5261" w:rsidRPr="00190686" w:rsidRDefault="002D5261" w:rsidP="002D5261">
      <w:pPr>
        <w:numPr>
          <w:ilvl w:val="3"/>
          <w:numId w:val="38"/>
        </w:numPr>
        <w:tabs>
          <w:tab w:val="left" w:pos="851"/>
        </w:tabs>
        <w:spacing w:after="0" w:line="300" w:lineRule="exact"/>
        <w:ind w:hanging="567"/>
        <w:rPr>
          <w:rFonts w:ascii="Verdana" w:hAnsi="Verdana"/>
          <w:sz w:val="20"/>
        </w:rPr>
      </w:pPr>
      <w:proofErr w:type="gramStart"/>
      <w:r w:rsidRPr="00190686">
        <w:rPr>
          <w:rFonts w:ascii="Verdana" w:hAnsi="Verdana"/>
          <w:sz w:val="20"/>
        </w:rPr>
        <w:t>no</w:t>
      </w:r>
      <w:proofErr w:type="gramEnd"/>
      <w:r w:rsidRPr="00190686">
        <w:rPr>
          <w:rFonts w:ascii="Verdana" w:hAnsi="Verdana"/>
          <w:sz w:val="20"/>
        </w:rPr>
        <w:t xml:space="preserve"> prazo máximo de 3 (três) meses após o término de cada exercício social, ou na data de sua divulgação, o que ocorrer primeiro, (i) cópia de suas demonstrações financeiras relativas ao exercício social então encerrado, acompanhadas de parecer dos Auditores Independentes; (</w:t>
      </w:r>
      <w:proofErr w:type="spellStart"/>
      <w:r w:rsidRPr="00190686">
        <w:rPr>
          <w:rFonts w:ascii="Verdana" w:hAnsi="Verdana"/>
          <w:sz w:val="20"/>
        </w:rPr>
        <w:t>ii</w:t>
      </w:r>
      <w:proofErr w:type="spellEnd"/>
      <w:r w:rsidRPr="00190686">
        <w:rPr>
          <w:rFonts w:ascii="Verdana" w:hAnsi="Verdana"/>
          <w:sz w:val="20"/>
        </w:rPr>
        <w:t>) </w:t>
      </w:r>
      <w:r w:rsidR="005C59B9">
        <w:rPr>
          <w:rFonts w:ascii="Verdana" w:hAnsi="Verdana"/>
          <w:sz w:val="20"/>
        </w:rPr>
        <w:t xml:space="preserve">relatório dos Auditores Independentes contendo </w:t>
      </w:r>
      <w:r w:rsidRPr="00190686">
        <w:rPr>
          <w:rFonts w:ascii="Verdana" w:hAnsi="Verdana"/>
          <w:sz w:val="20"/>
        </w:rPr>
        <w:t>a demonstração do cálculo do Índice Financeiro, compreendendo todas as rubricas necessárias para a obtenção destes e assinado pelos representantes legais da Emissora; e (</w:t>
      </w:r>
      <w:proofErr w:type="spellStart"/>
      <w:r w:rsidRPr="00190686">
        <w:rPr>
          <w:rFonts w:ascii="Verdana" w:hAnsi="Verdana"/>
          <w:sz w:val="20"/>
        </w:rPr>
        <w:t>iii</w:t>
      </w:r>
      <w:proofErr w:type="spellEnd"/>
      <w:r w:rsidRPr="00190686">
        <w:rPr>
          <w:rFonts w:ascii="Verdana" w:hAnsi="Verdana"/>
          <w:sz w:val="20"/>
        </w:rPr>
        <w:t>) declaração firmada por representantes legais da Emissora acerca da veracidade e ausência de vícios do Índice Financeiro, da veracidade, ausência de vícios e suficiência das informações apresentadas e da inexistência de qualquer Evento de Inadimplemento, sob pena de impossibilidade de verificação e conferência pelo Agente Fiduciário, podendo o Agente Fiduciário solicitar à Emissora e/ou ao Auditor Independente todos os eventuais esclarecimentos adicionais que se façam necessários para cumprir com suas obrigações constantes desta Escritura de Emissão e da legislação e regulamentação aplicáveis;</w:t>
      </w:r>
      <w:bookmarkEnd w:id="105"/>
    </w:p>
    <w:p w14:paraId="76D50C0C" w14:textId="77777777" w:rsidR="002D5261" w:rsidRPr="00190686" w:rsidRDefault="002D5261" w:rsidP="002D5261">
      <w:pPr>
        <w:tabs>
          <w:tab w:val="left" w:pos="851"/>
        </w:tabs>
        <w:spacing w:after="0" w:line="300" w:lineRule="exact"/>
        <w:ind w:left="1418" w:hanging="567"/>
        <w:rPr>
          <w:rFonts w:ascii="Verdana" w:hAnsi="Verdana"/>
          <w:sz w:val="20"/>
        </w:rPr>
      </w:pPr>
      <w:bookmarkStart w:id="106" w:name="_Ref168844063"/>
      <w:bookmarkStart w:id="107" w:name="_Ref278277903"/>
      <w:bookmarkStart w:id="108" w:name="_Ref168844180"/>
    </w:p>
    <w:p w14:paraId="663C31DA" w14:textId="77777777" w:rsidR="002D5261" w:rsidRPr="00190686" w:rsidRDefault="002D5261" w:rsidP="002D5261">
      <w:pPr>
        <w:numPr>
          <w:ilvl w:val="3"/>
          <w:numId w:val="38"/>
        </w:numPr>
        <w:tabs>
          <w:tab w:val="left" w:pos="851"/>
        </w:tabs>
        <w:spacing w:after="0" w:line="300" w:lineRule="exact"/>
        <w:ind w:hanging="567"/>
        <w:rPr>
          <w:rFonts w:ascii="Verdana" w:hAnsi="Verdana"/>
          <w:sz w:val="20"/>
        </w:rPr>
      </w:pPr>
      <w:proofErr w:type="gramStart"/>
      <w:r w:rsidRPr="00190686">
        <w:rPr>
          <w:rFonts w:ascii="Verdana" w:hAnsi="Verdana"/>
          <w:sz w:val="20"/>
        </w:rPr>
        <w:t>no</w:t>
      </w:r>
      <w:proofErr w:type="gramEnd"/>
      <w:r w:rsidRPr="00190686">
        <w:rPr>
          <w:rFonts w:ascii="Verdana" w:hAnsi="Verdana"/>
          <w:sz w:val="20"/>
        </w:rPr>
        <w:t xml:space="preserve"> prazo de até 1 (um) Dia Útil contado da data em que forem realizados, avisos aos Debenturistas;</w:t>
      </w:r>
      <w:bookmarkEnd w:id="106"/>
      <w:bookmarkEnd w:id="107"/>
    </w:p>
    <w:p w14:paraId="2E515E06" w14:textId="77777777" w:rsidR="002D5261" w:rsidRPr="00190686" w:rsidRDefault="002D5261" w:rsidP="002D5261">
      <w:pPr>
        <w:tabs>
          <w:tab w:val="left" w:pos="851"/>
        </w:tabs>
        <w:spacing w:after="0" w:line="300" w:lineRule="exact"/>
        <w:ind w:left="1418" w:hanging="567"/>
        <w:rPr>
          <w:rFonts w:ascii="Verdana" w:hAnsi="Verdana"/>
          <w:sz w:val="20"/>
        </w:rPr>
      </w:pPr>
    </w:p>
    <w:p w14:paraId="0290E041" w14:textId="77777777" w:rsidR="002D5261" w:rsidRPr="00190686" w:rsidRDefault="002D5261" w:rsidP="002D5261">
      <w:pPr>
        <w:numPr>
          <w:ilvl w:val="3"/>
          <w:numId w:val="38"/>
        </w:numPr>
        <w:tabs>
          <w:tab w:val="left" w:pos="851"/>
        </w:tabs>
        <w:spacing w:after="0" w:line="300" w:lineRule="exact"/>
        <w:ind w:hanging="567"/>
        <w:rPr>
          <w:rFonts w:ascii="Verdana" w:hAnsi="Verdana"/>
          <w:sz w:val="20"/>
        </w:rPr>
      </w:pPr>
      <w:proofErr w:type="gramStart"/>
      <w:r w:rsidRPr="00190686">
        <w:rPr>
          <w:rFonts w:ascii="Verdana" w:hAnsi="Verdana"/>
          <w:sz w:val="20"/>
        </w:rPr>
        <w:t>no</w:t>
      </w:r>
      <w:proofErr w:type="gramEnd"/>
      <w:r w:rsidRPr="00190686">
        <w:rPr>
          <w:rFonts w:ascii="Verdana" w:hAnsi="Verdana"/>
          <w:sz w:val="20"/>
        </w:rPr>
        <w:t xml:space="preserve"> prazo de até 1 (um) Dia Útil contado da data de ocorrência, informações a respeito da ocorrência de qualquer Evento de Inadimplemento;</w:t>
      </w:r>
    </w:p>
    <w:p w14:paraId="0AF7C973" w14:textId="77777777" w:rsidR="002D5261" w:rsidRPr="00190686" w:rsidRDefault="002D5261" w:rsidP="002D5261">
      <w:pPr>
        <w:tabs>
          <w:tab w:val="left" w:pos="851"/>
        </w:tabs>
        <w:spacing w:after="0" w:line="300" w:lineRule="exact"/>
        <w:ind w:left="1418" w:hanging="567"/>
        <w:rPr>
          <w:rFonts w:ascii="Verdana" w:hAnsi="Verdana"/>
          <w:sz w:val="20"/>
        </w:rPr>
      </w:pPr>
    </w:p>
    <w:p w14:paraId="5EF7FE38" w14:textId="77777777" w:rsidR="002D5261" w:rsidRPr="00190686" w:rsidRDefault="002D5261" w:rsidP="002D5261">
      <w:pPr>
        <w:numPr>
          <w:ilvl w:val="3"/>
          <w:numId w:val="38"/>
        </w:numPr>
        <w:tabs>
          <w:tab w:val="left" w:pos="851"/>
        </w:tabs>
        <w:spacing w:after="0" w:line="300" w:lineRule="exact"/>
        <w:ind w:hanging="567"/>
        <w:rPr>
          <w:rFonts w:ascii="Verdana" w:hAnsi="Verdana"/>
          <w:sz w:val="20"/>
        </w:rPr>
      </w:pPr>
      <w:proofErr w:type="gramStart"/>
      <w:r w:rsidRPr="00190686">
        <w:rPr>
          <w:rFonts w:ascii="Verdana" w:hAnsi="Verdana"/>
          <w:sz w:val="20"/>
        </w:rPr>
        <w:t>no</w:t>
      </w:r>
      <w:proofErr w:type="gramEnd"/>
      <w:r w:rsidRPr="00190686">
        <w:rPr>
          <w:rFonts w:ascii="Verdana" w:hAnsi="Verdana"/>
          <w:sz w:val="20"/>
        </w:rPr>
        <w:t xml:space="preserve"> prazo de até 1 (um) Dia Útil contado da data de recebimento, envio de cópia de qualquer correspondência ou notificação, judicial ou extrajudicial, recebida pela Emissora relacionada a um Evento de Inadimplemento;</w:t>
      </w:r>
    </w:p>
    <w:p w14:paraId="6AE09913" w14:textId="77777777" w:rsidR="002D5261" w:rsidRPr="00190686" w:rsidRDefault="002D5261" w:rsidP="002D5261">
      <w:pPr>
        <w:tabs>
          <w:tab w:val="left" w:pos="851"/>
        </w:tabs>
        <w:spacing w:after="0" w:line="300" w:lineRule="exact"/>
        <w:ind w:left="1418" w:hanging="567"/>
        <w:rPr>
          <w:rFonts w:ascii="Verdana" w:hAnsi="Verdana"/>
          <w:sz w:val="20"/>
        </w:rPr>
      </w:pPr>
      <w:bookmarkStart w:id="109" w:name="_Ref286939940"/>
    </w:p>
    <w:p w14:paraId="455D70A7" w14:textId="77777777" w:rsidR="002D5261" w:rsidRPr="00190686" w:rsidRDefault="002D5261" w:rsidP="002D5261">
      <w:pPr>
        <w:numPr>
          <w:ilvl w:val="3"/>
          <w:numId w:val="38"/>
        </w:numPr>
        <w:tabs>
          <w:tab w:val="left" w:pos="851"/>
        </w:tabs>
        <w:spacing w:after="0" w:line="300" w:lineRule="exact"/>
        <w:ind w:hanging="567"/>
        <w:rPr>
          <w:rFonts w:ascii="Verdana" w:hAnsi="Verdana"/>
          <w:sz w:val="20"/>
        </w:rPr>
      </w:pPr>
      <w:bookmarkStart w:id="110" w:name="_Ref168844067"/>
      <w:bookmarkEnd w:id="109"/>
      <w:proofErr w:type="gramStart"/>
      <w:r w:rsidRPr="00190686">
        <w:rPr>
          <w:rFonts w:ascii="Verdana" w:hAnsi="Verdana"/>
          <w:sz w:val="20"/>
        </w:rPr>
        <w:t>no</w:t>
      </w:r>
      <w:proofErr w:type="gramEnd"/>
      <w:r w:rsidRPr="00190686">
        <w:rPr>
          <w:rFonts w:ascii="Verdana" w:hAnsi="Verdana"/>
          <w:sz w:val="20"/>
        </w:rPr>
        <w:t xml:space="preserve"> prazo de até 1 (um) Dia Útil contado da data de ciência, informações a respeito da ocorrência de qualquer evento ou situação que cause qualquer efeito adverso na capacidade da Emissora de cumprir qualquer de suas obrigações nos termos desta Escritura de Emissão;</w:t>
      </w:r>
    </w:p>
    <w:p w14:paraId="2CB78F29" w14:textId="77777777" w:rsidR="002D5261" w:rsidRPr="00190686" w:rsidRDefault="002D5261" w:rsidP="002D5261">
      <w:pPr>
        <w:tabs>
          <w:tab w:val="left" w:pos="851"/>
        </w:tabs>
        <w:spacing w:after="0" w:line="300" w:lineRule="exact"/>
        <w:ind w:left="1418"/>
        <w:rPr>
          <w:rFonts w:ascii="Verdana" w:hAnsi="Verdana"/>
          <w:sz w:val="20"/>
        </w:rPr>
      </w:pPr>
    </w:p>
    <w:p w14:paraId="18FBDF3B" w14:textId="77777777" w:rsidR="002D5261" w:rsidRPr="00190686" w:rsidRDefault="002D5261" w:rsidP="002D5261">
      <w:pPr>
        <w:numPr>
          <w:ilvl w:val="3"/>
          <w:numId w:val="38"/>
        </w:numPr>
        <w:tabs>
          <w:tab w:val="left" w:pos="851"/>
        </w:tabs>
        <w:spacing w:after="0" w:line="300" w:lineRule="exact"/>
        <w:ind w:hanging="567"/>
        <w:rPr>
          <w:rFonts w:ascii="Verdana" w:hAnsi="Verdana"/>
          <w:sz w:val="20"/>
        </w:rPr>
      </w:pPr>
      <w:proofErr w:type="gramStart"/>
      <w:r w:rsidRPr="00190686">
        <w:rPr>
          <w:rFonts w:ascii="Verdana" w:hAnsi="Verdana"/>
          <w:sz w:val="20"/>
        </w:rPr>
        <w:lastRenderedPageBreak/>
        <w:t>no</w:t>
      </w:r>
      <w:proofErr w:type="gramEnd"/>
      <w:r w:rsidRPr="00190686">
        <w:rPr>
          <w:rFonts w:ascii="Verdana" w:hAnsi="Verdana"/>
          <w:sz w:val="20"/>
        </w:rPr>
        <w:t xml:space="preserve"> prazo de até 5 (cinco) Dias Úteis contados da data de recebimento da respectiva solicitação, informações e/ou documentos que venham a ser solicitados pelo Agente Fiduciário;</w:t>
      </w:r>
      <w:bookmarkEnd w:id="110"/>
    </w:p>
    <w:p w14:paraId="11AF8AEA" w14:textId="77777777" w:rsidR="002D5261" w:rsidRPr="00190686" w:rsidRDefault="002D5261" w:rsidP="002D5261">
      <w:pPr>
        <w:tabs>
          <w:tab w:val="left" w:pos="851"/>
        </w:tabs>
        <w:spacing w:after="0" w:line="300" w:lineRule="exact"/>
        <w:ind w:left="1418" w:hanging="567"/>
        <w:rPr>
          <w:rFonts w:ascii="Verdana" w:hAnsi="Verdana"/>
          <w:sz w:val="20"/>
        </w:rPr>
      </w:pPr>
    </w:p>
    <w:p w14:paraId="1670FA7E" w14:textId="77777777" w:rsidR="002D5261" w:rsidRPr="00190686" w:rsidRDefault="002D5261" w:rsidP="002D5261">
      <w:pPr>
        <w:numPr>
          <w:ilvl w:val="3"/>
          <w:numId w:val="38"/>
        </w:numPr>
        <w:tabs>
          <w:tab w:val="left" w:pos="851"/>
        </w:tabs>
        <w:spacing w:after="0" w:line="300" w:lineRule="exact"/>
        <w:ind w:hanging="567"/>
        <w:rPr>
          <w:rFonts w:ascii="Verdana" w:hAnsi="Verdana"/>
          <w:sz w:val="20"/>
        </w:rPr>
      </w:pPr>
      <w:proofErr w:type="gramStart"/>
      <w:r w:rsidRPr="00190686">
        <w:rPr>
          <w:rFonts w:ascii="Verdana" w:hAnsi="Verdana"/>
          <w:sz w:val="20"/>
        </w:rPr>
        <w:t>no</w:t>
      </w:r>
      <w:proofErr w:type="gramEnd"/>
      <w:r w:rsidRPr="00190686">
        <w:rPr>
          <w:rFonts w:ascii="Verdana" w:hAnsi="Verdana"/>
          <w:sz w:val="20"/>
        </w:rPr>
        <w:t xml:space="preserve"> prazo de até 5 (cinco) Dias Úteis contados da data da respectiva celebração, cópia do protocolo de apresentação desta Escritura de Emissão e de seus aditamentos perante a JUCERGS;</w:t>
      </w:r>
    </w:p>
    <w:p w14:paraId="07467231" w14:textId="77777777" w:rsidR="002D5261" w:rsidRPr="00190686" w:rsidRDefault="002D5261" w:rsidP="002D5261">
      <w:pPr>
        <w:tabs>
          <w:tab w:val="left" w:pos="851"/>
        </w:tabs>
        <w:spacing w:after="0" w:line="300" w:lineRule="exact"/>
        <w:ind w:left="1418" w:hanging="567"/>
        <w:rPr>
          <w:rFonts w:ascii="Verdana" w:hAnsi="Verdana"/>
          <w:sz w:val="20"/>
        </w:rPr>
      </w:pPr>
    </w:p>
    <w:p w14:paraId="3497810B" w14:textId="77777777" w:rsidR="002D5261" w:rsidRPr="00190686" w:rsidRDefault="002D5261" w:rsidP="002D5261">
      <w:pPr>
        <w:numPr>
          <w:ilvl w:val="3"/>
          <w:numId w:val="38"/>
        </w:numPr>
        <w:tabs>
          <w:tab w:val="left" w:pos="851"/>
        </w:tabs>
        <w:spacing w:after="0" w:line="300" w:lineRule="exact"/>
        <w:ind w:hanging="567"/>
        <w:rPr>
          <w:rFonts w:ascii="Verdana" w:hAnsi="Verdana"/>
          <w:sz w:val="20"/>
        </w:rPr>
      </w:pPr>
      <w:proofErr w:type="gramStart"/>
      <w:r w:rsidRPr="00190686">
        <w:rPr>
          <w:rFonts w:ascii="Verdana" w:hAnsi="Verdana"/>
          <w:sz w:val="20"/>
        </w:rPr>
        <w:t>no</w:t>
      </w:r>
      <w:proofErr w:type="gramEnd"/>
      <w:r w:rsidRPr="00190686">
        <w:rPr>
          <w:rFonts w:ascii="Verdana" w:hAnsi="Verdana"/>
          <w:sz w:val="20"/>
        </w:rPr>
        <w:t xml:space="preserve"> prazo de até 5 (cinco) Dias Úteis contados da data da respectiva inscrição na JUCERGS, uma via original desta Escritura de Emissão e de seus aditamentos (ou, se for o caso, cópia eletrônica (PDF) da referida Escritura de Emissão e seus eventuais aditamentos com a devida chancela digital da JUCERGS que comprove o efetivo registro); e</w:t>
      </w:r>
    </w:p>
    <w:p w14:paraId="333E4229" w14:textId="77777777" w:rsidR="002D5261" w:rsidRPr="00190686" w:rsidRDefault="002D5261" w:rsidP="002D5261">
      <w:pPr>
        <w:tabs>
          <w:tab w:val="left" w:pos="851"/>
        </w:tabs>
        <w:spacing w:after="0" w:line="300" w:lineRule="exact"/>
        <w:ind w:left="1418" w:hanging="567"/>
        <w:rPr>
          <w:rFonts w:ascii="Verdana" w:hAnsi="Verdana"/>
          <w:sz w:val="20"/>
        </w:rPr>
      </w:pPr>
    </w:p>
    <w:p w14:paraId="767CFD73" w14:textId="77777777" w:rsidR="002D5261" w:rsidRPr="00190686" w:rsidRDefault="002D5261" w:rsidP="002D5261">
      <w:pPr>
        <w:numPr>
          <w:ilvl w:val="3"/>
          <w:numId w:val="38"/>
        </w:numPr>
        <w:tabs>
          <w:tab w:val="left" w:pos="851"/>
        </w:tabs>
        <w:spacing w:after="0" w:line="300" w:lineRule="exact"/>
        <w:ind w:hanging="567"/>
        <w:rPr>
          <w:rFonts w:ascii="Verdana" w:hAnsi="Verdana"/>
          <w:sz w:val="20"/>
        </w:rPr>
      </w:pPr>
      <w:proofErr w:type="gramStart"/>
      <w:r w:rsidRPr="00190686">
        <w:rPr>
          <w:rFonts w:ascii="Verdana" w:hAnsi="Verdana"/>
          <w:sz w:val="20"/>
        </w:rPr>
        <w:t>no</w:t>
      </w:r>
      <w:proofErr w:type="gramEnd"/>
      <w:r w:rsidRPr="00190686">
        <w:rPr>
          <w:rFonts w:ascii="Verdana" w:hAnsi="Verdana"/>
          <w:sz w:val="20"/>
        </w:rPr>
        <w:t xml:space="preserve"> prazo de até 10 (dez) Dias Úteis contados da data de utilização dos recursos líquidos obtidos com a Emissão, declaração firmada por representantes legais da Emissora acerca da utilização dos recursos líquidos obtidos com a Emissão estritamente nos termos da Cláusula 3.4. </w:t>
      </w:r>
      <w:proofErr w:type="gramStart"/>
      <w:r w:rsidRPr="00190686">
        <w:rPr>
          <w:rFonts w:ascii="Verdana" w:hAnsi="Verdana"/>
          <w:sz w:val="20"/>
        </w:rPr>
        <w:t>acima</w:t>
      </w:r>
      <w:proofErr w:type="gramEnd"/>
      <w:r w:rsidRPr="00190686">
        <w:rPr>
          <w:rFonts w:ascii="Verdana" w:hAnsi="Verdana"/>
          <w:sz w:val="20"/>
        </w:rPr>
        <w:t>;</w:t>
      </w:r>
    </w:p>
    <w:p w14:paraId="34142DD2" w14:textId="77777777" w:rsidR="002D5261" w:rsidRPr="00190686" w:rsidRDefault="002D5261" w:rsidP="002D5261">
      <w:pPr>
        <w:tabs>
          <w:tab w:val="left" w:pos="851"/>
        </w:tabs>
        <w:spacing w:after="0" w:line="300" w:lineRule="exact"/>
        <w:rPr>
          <w:rFonts w:ascii="Verdana" w:hAnsi="Verdana"/>
          <w:sz w:val="20"/>
        </w:rPr>
      </w:pPr>
      <w:bookmarkStart w:id="111" w:name="_Ref168844076"/>
      <w:bookmarkEnd w:id="108"/>
    </w:p>
    <w:p w14:paraId="052EB3AC"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cumprir</w:t>
      </w:r>
      <w:proofErr w:type="gramEnd"/>
      <w:r w:rsidRPr="00190686">
        <w:rPr>
          <w:rFonts w:ascii="Verdana" w:hAnsi="Verdana"/>
          <w:sz w:val="20"/>
        </w:rPr>
        <w:t>, e fazer com que as Controladas, se houver, cumpram, as leis, regulamentos, normas administrativas e determinações dos órgãos governamentais, autarquias ou instâncias judiciais aplicáveis ao exercício de suas atividades, exceto por aqueles questionados de boa-fé nas esferas administrativa e/ou judicial;</w:t>
      </w:r>
      <w:bookmarkEnd w:id="111"/>
    </w:p>
    <w:p w14:paraId="6BAF93EA" w14:textId="77777777" w:rsidR="002D5261" w:rsidRPr="00190686" w:rsidRDefault="002D5261" w:rsidP="002D5261">
      <w:pPr>
        <w:keepNext/>
        <w:tabs>
          <w:tab w:val="left" w:pos="851"/>
        </w:tabs>
        <w:spacing w:after="0" w:line="300" w:lineRule="exact"/>
        <w:rPr>
          <w:rFonts w:ascii="Verdana" w:hAnsi="Verdana"/>
          <w:sz w:val="20"/>
        </w:rPr>
      </w:pPr>
      <w:bookmarkStart w:id="112" w:name="_Ref168844078"/>
    </w:p>
    <w:p w14:paraId="49CA6E52"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cumprir</w:t>
      </w:r>
      <w:proofErr w:type="gramEnd"/>
      <w:r w:rsidRPr="00190686">
        <w:rPr>
          <w:rFonts w:ascii="Verdana" w:hAnsi="Verdana"/>
          <w:sz w:val="20"/>
        </w:rPr>
        <w:t>, e fazer com que as Controladas, se houver, cumpram, a legislação e regulamentação ambiental e trabalhista, especialmente relativa à saúde e segurança operacional, e a legislação e regulamentação referente a não utilização de mão de obra infantil e/ou em condições análogas a de escravo (“</w:t>
      </w:r>
      <w:r w:rsidRPr="00190686">
        <w:rPr>
          <w:rFonts w:ascii="Verdana" w:hAnsi="Verdana"/>
          <w:sz w:val="20"/>
          <w:u w:val="single"/>
        </w:rPr>
        <w:t>Legislação Socioambiental</w:t>
      </w:r>
      <w:r w:rsidRPr="00190686">
        <w:rPr>
          <w:rFonts w:ascii="Verdana" w:hAnsi="Verdana"/>
          <w:sz w:val="20"/>
        </w:rPr>
        <w:t>”), exceto em relação àquelas matérias que estejam sendo discutidas judicial ou administrativamente pela Emissora e/ou pelas Controladas, se houver, desde que tal discussão gere efeito suspensivo com relação à exigibilidade da aplicação de referida norma;</w:t>
      </w:r>
    </w:p>
    <w:p w14:paraId="75F7126F" w14:textId="77777777" w:rsidR="002D5261" w:rsidRPr="00190686" w:rsidRDefault="002D5261" w:rsidP="002D5261">
      <w:pPr>
        <w:keepNext/>
        <w:tabs>
          <w:tab w:val="left" w:pos="851"/>
        </w:tabs>
        <w:spacing w:after="0" w:line="300" w:lineRule="exact"/>
        <w:rPr>
          <w:rFonts w:ascii="Verdana" w:hAnsi="Verdana"/>
          <w:sz w:val="20"/>
        </w:rPr>
      </w:pPr>
    </w:p>
    <w:p w14:paraId="228B1394"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manter</w:t>
      </w:r>
      <w:proofErr w:type="gramEnd"/>
      <w:r w:rsidRPr="00190686">
        <w:rPr>
          <w:rFonts w:ascii="Verdana" w:hAnsi="Verdana"/>
          <w:sz w:val="20"/>
        </w:rPr>
        <w:t>, e fazer com que as Controladas, se houver, mantenham, sempre válidas, eficazes, em perfeita ordem e em pleno vigor, todas as licenças, concessões, autorizações, permissões e alvarás, inclusive ambientais, aplicáveis ao exercício de suas atividades, exceto por aquelas que estão sendo questionadas de boa-fé e/ou estejam em processo legal de renovação;</w:t>
      </w:r>
      <w:bookmarkEnd w:id="112"/>
    </w:p>
    <w:p w14:paraId="4C7AD3EE" w14:textId="77777777" w:rsidR="002D5261" w:rsidRPr="00190686" w:rsidRDefault="002D5261" w:rsidP="002D5261">
      <w:pPr>
        <w:tabs>
          <w:tab w:val="left" w:pos="851"/>
        </w:tabs>
        <w:spacing w:after="0" w:line="300" w:lineRule="exact"/>
        <w:ind w:left="851"/>
        <w:rPr>
          <w:rFonts w:ascii="Verdana" w:hAnsi="Verdana"/>
          <w:sz w:val="20"/>
        </w:rPr>
      </w:pPr>
    </w:p>
    <w:p w14:paraId="1F213006"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lastRenderedPageBreak/>
        <w:t>manter</w:t>
      </w:r>
      <w:proofErr w:type="gramEnd"/>
      <w:r w:rsidRPr="00190686">
        <w:rPr>
          <w:rFonts w:ascii="Verdana" w:hAnsi="Verdana"/>
          <w:sz w:val="20"/>
        </w:rPr>
        <w:t>, e fazer com que as Controladas, se houver, mantenham, seguro adequado para seus bens e ativos relevantes, conforme práticas correntes de mercado;</w:t>
      </w:r>
    </w:p>
    <w:p w14:paraId="573C127F" w14:textId="77777777" w:rsidR="002D5261" w:rsidRPr="00190686" w:rsidRDefault="002D5261" w:rsidP="002D5261">
      <w:pPr>
        <w:tabs>
          <w:tab w:val="left" w:pos="851"/>
        </w:tabs>
        <w:spacing w:after="0" w:line="300" w:lineRule="exact"/>
        <w:ind w:left="851"/>
        <w:rPr>
          <w:rFonts w:ascii="Verdana" w:hAnsi="Verdana"/>
          <w:sz w:val="20"/>
        </w:rPr>
      </w:pPr>
      <w:bookmarkStart w:id="113" w:name="_Ref168844079"/>
    </w:p>
    <w:p w14:paraId="369E7472"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manter</w:t>
      </w:r>
      <w:proofErr w:type="gramEnd"/>
      <w:r w:rsidRPr="00190686">
        <w:rPr>
          <w:rFonts w:ascii="Verdana" w:hAnsi="Verdana"/>
          <w:sz w:val="20"/>
        </w:rPr>
        <w:t xml:space="preserve"> sempre válidas, eficazes, em perfeita ordem e em pleno vigor todas as autorizações necessárias à celebração desta Escritura de Emissão e ao cumprimento de todas as obrigações aqui previstas;</w:t>
      </w:r>
      <w:bookmarkEnd w:id="113"/>
    </w:p>
    <w:p w14:paraId="77E5F8E0" w14:textId="77777777" w:rsidR="002D5261" w:rsidRPr="00190686" w:rsidRDefault="002D5261" w:rsidP="002D5261">
      <w:pPr>
        <w:keepNext/>
        <w:tabs>
          <w:tab w:val="left" w:pos="851"/>
        </w:tabs>
        <w:spacing w:after="0" w:line="300" w:lineRule="exact"/>
        <w:ind w:left="720"/>
        <w:rPr>
          <w:rFonts w:ascii="Verdana" w:hAnsi="Verdana"/>
          <w:sz w:val="20"/>
        </w:rPr>
      </w:pPr>
      <w:bookmarkStart w:id="114" w:name="_Ref168844086"/>
    </w:p>
    <w:p w14:paraId="4C89A3CF" w14:textId="76E8FE4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contratar</w:t>
      </w:r>
      <w:proofErr w:type="gramEnd"/>
      <w:r w:rsidRPr="00190686">
        <w:rPr>
          <w:rFonts w:ascii="Verdana" w:hAnsi="Verdana"/>
          <w:sz w:val="20"/>
        </w:rPr>
        <w:t xml:space="preserve"> e manter contratados, às suas expensas, os prestadores de serviços inerentes às obrigações previstas nesta Escritura de Emissão, incluindo o Agente Fiduciário, o </w:t>
      </w:r>
      <w:proofErr w:type="spellStart"/>
      <w:r w:rsidRPr="00190686">
        <w:rPr>
          <w:rFonts w:ascii="Verdana" w:hAnsi="Verdana"/>
          <w:sz w:val="20"/>
        </w:rPr>
        <w:t>Escriturador</w:t>
      </w:r>
      <w:proofErr w:type="spellEnd"/>
      <w:r w:rsidRPr="00190686">
        <w:rPr>
          <w:rFonts w:ascii="Verdana" w:hAnsi="Verdana"/>
          <w:sz w:val="20"/>
        </w:rPr>
        <w:t xml:space="preserve">, o Banco Liquidante, o </w:t>
      </w:r>
      <w:r w:rsidR="00084FA8">
        <w:rPr>
          <w:rFonts w:ascii="Verdana" w:hAnsi="Verdana"/>
          <w:sz w:val="20"/>
        </w:rPr>
        <w:t xml:space="preserve">ambiente </w:t>
      </w:r>
      <w:r w:rsidRPr="00190686">
        <w:rPr>
          <w:rFonts w:ascii="Verdana" w:hAnsi="Verdana"/>
          <w:sz w:val="20"/>
        </w:rPr>
        <w:t xml:space="preserve">de distribuição das Debêntures no mercado primário (MDA) e o </w:t>
      </w:r>
      <w:r w:rsidR="00084FA8">
        <w:rPr>
          <w:rFonts w:ascii="Verdana" w:hAnsi="Verdana"/>
          <w:sz w:val="20"/>
        </w:rPr>
        <w:t xml:space="preserve">ambiente </w:t>
      </w:r>
      <w:r w:rsidRPr="00190686">
        <w:rPr>
          <w:rFonts w:ascii="Verdana" w:hAnsi="Verdana"/>
          <w:sz w:val="20"/>
        </w:rPr>
        <w:t>de negociação das Debêntures no mercado secundário (CETIP21);</w:t>
      </w:r>
      <w:bookmarkEnd w:id="114"/>
    </w:p>
    <w:p w14:paraId="575E0E8B" w14:textId="77777777" w:rsidR="002D5261" w:rsidRPr="00190686" w:rsidRDefault="002D5261" w:rsidP="002D5261">
      <w:pPr>
        <w:keepNext/>
        <w:tabs>
          <w:tab w:val="left" w:pos="851"/>
        </w:tabs>
        <w:spacing w:after="0" w:line="300" w:lineRule="exact"/>
        <w:ind w:left="720"/>
        <w:rPr>
          <w:rFonts w:ascii="Verdana" w:hAnsi="Verdana"/>
          <w:sz w:val="20"/>
        </w:rPr>
      </w:pPr>
      <w:bookmarkStart w:id="115" w:name="_Ref130390977"/>
      <w:bookmarkStart w:id="116" w:name="_Ref260239075"/>
      <w:bookmarkStart w:id="117" w:name="_Ref286438579"/>
      <w:bookmarkStart w:id="118" w:name="_Ref278278911"/>
    </w:p>
    <w:bookmarkEnd w:id="115"/>
    <w:bookmarkEnd w:id="116"/>
    <w:bookmarkEnd w:id="117"/>
    <w:p w14:paraId="4E60DC3D"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observar</w:t>
      </w:r>
      <w:proofErr w:type="gramEnd"/>
      <w:r w:rsidRPr="00190686">
        <w:rPr>
          <w:rFonts w:ascii="Verdana" w:hAnsi="Verdana"/>
          <w:sz w:val="20"/>
        </w:rPr>
        <w:t>, cumprir e/ou fazer cumprir, por si, e por suas Controladas, se houver, coligadas e seus administradores, empregados, agentes, representantes, fornecedores, contratados, subcontratados ou terceiros agindo em seu nome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nº 6.385,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(em conjunto, “</w:t>
      </w:r>
      <w:r w:rsidRPr="00190686">
        <w:rPr>
          <w:rFonts w:ascii="Verdana" w:hAnsi="Verdana"/>
          <w:sz w:val="20"/>
          <w:u w:val="single"/>
        </w:rPr>
        <w:t>Leis Anticorrupção</w:t>
      </w:r>
      <w:r w:rsidRPr="00190686">
        <w:rPr>
          <w:rFonts w:ascii="Verdana" w:hAnsi="Verdana"/>
          <w:sz w:val="20"/>
        </w:rPr>
        <w:t>”), devendo (i) adotar  políticas e procedimentos internos que assegurem integral cumprimento das Leis Anticorrupção, nos termos do Decreto nº 8.420, de 18 de março de 2015; (</w:t>
      </w:r>
      <w:proofErr w:type="spellStart"/>
      <w:r w:rsidRPr="00190686">
        <w:rPr>
          <w:rFonts w:ascii="Verdana" w:hAnsi="Verdana"/>
          <w:sz w:val="20"/>
        </w:rPr>
        <w:t>ii</w:t>
      </w:r>
      <w:proofErr w:type="spellEnd"/>
      <w:r w:rsidRPr="00190686">
        <w:rPr>
          <w:rFonts w:ascii="Verdana" w:hAnsi="Verdana"/>
          <w:sz w:val="20"/>
        </w:rPr>
        <w:t>) dar conhecimento pleno de tais normas a todos os seus profissionais e/ou os demais prestadores de serviços, previamente ao início de sua atuação no âmbito da Oferta; e (</w:t>
      </w:r>
      <w:proofErr w:type="spellStart"/>
      <w:r w:rsidRPr="00190686">
        <w:rPr>
          <w:rFonts w:ascii="Verdana" w:hAnsi="Verdana"/>
          <w:sz w:val="20"/>
        </w:rPr>
        <w:t>iii</w:t>
      </w:r>
      <w:proofErr w:type="spellEnd"/>
      <w:r w:rsidRPr="00190686">
        <w:rPr>
          <w:rFonts w:ascii="Verdana" w:hAnsi="Verdana"/>
          <w:sz w:val="20"/>
        </w:rPr>
        <w:t>) abster-se de praticar atos de corrupção e de agir de forma lesiva à administração pública, nacional ou estrangeira, no seu interesse ou para seu benefício, exclusivo ou não; (</w:t>
      </w:r>
      <w:proofErr w:type="spellStart"/>
      <w:r w:rsidRPr="00190686">
        <w:rPr>
          <w:rFonts w:ascii="Verdana" w:hAnsi="Verdana"/>
          <w:sz w:val="20"/>
        </w:rPr>
        <w:t>iv</w:t>
      </w:r>
      <w:proofErr w:type="spellEnd"/>
      <w:r w:rsidRPr="00190686">
        <w:rPr>
          <w:rFonts w:ascii="Verdana" w:hAnsi="Verdana"/>
          <w:sz w:val="20"/>
        </w:rPr>
        <w:t>) caso tenha conhecimento de qualquer ato ou fato que viole aludidas normas, comunicar imediatamente o Coordenador Líder que poderá tomar todas as providências que entender necessárias; e (v) realizar eventuais pagamentos devidos ao Coordenador Líder exclusivamente por meio de transferência bancária ou cheque;</w:t>
      </w:r>
    </w:p>
    <w:p w14:paraId="74EDDFA8" w14:textId="77777777" w:rsidR="002D5261" w:rsidRPr="00190686" w:rsidRDefault="002D5261" w:rsidP="002D5261">
      <w:pPr>
        <w:tabs>
          <w:tab w:val="left" w:pos="851"/>
        </w:tabs>
        <w:spacing w:after="0" w:line="300" w:lineRule="exact"/>
        <w:ind w:left="851"/>
        <w:rPr>
          <w:rFonts w:ascii="Verdana" w:hAnsi="Verdana"/>
          <w:sz w:val="20"/>
        </w:rPr>
      </w:pPr>
    </w:p>
    <w:p w14:paraId="64AA2584"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realizar</w:t>
      </w:r>
      <w:proofErr w:type="gramEnd"/>
      <w:r w:rsidRPr="00190686">
        <w:rPr>
          <w:rFonts w:ascii="Verdana" w:hAnsi="Verdana"/>
          <w:sz w:val="20"/>
        </w:rPr>
        <w:t xml:space="preserve"> o recolhimento de todos os tributos que incidam ou venham a incidir sobre as Debêntures e que sejam de responsabilidade da Emissora;</w:t>
      </w:r>
      <w:bookmarkEnd w:id="118"/>
    </w:p>
    <w:p w14:paraId="6E6E31F6" w14:textId="77777777" w:rsidR="002D5261" w:rsidRPr="00190686" w:rsidRDefault="002D5261" w:rsidP="002D5261">
      <w:pPr>
        <w:keepNext/>
        <w:tabs>
          <w:tab w:val="left" w:pos="851"/>
        </w:tabs>
        <w:spacing w:after="0" w:line="300" w:lineRule="exact"/>
        <w:ind w:left="720"/>
        <w:rPr>
          <w:rFonts w:ascii="Verdana" w:hAnsi="Verdana"/>
          <w:sz w:val="20"/>
        </w:rPr>
      </w:pPr>
      <w:bookmarkStart w:id="119" w:name="_Ref168844096"/>
    </w:p>
    <w:p w14:paraId="147F919F"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realizar</w:t>
      </w:r>
      <w:proofErr w:type="gramEnd"/>
      <w:r w:rsidRPr="00190686">
        <w:rPr>
          <w:rFonts w:ascii="Verdana" w:hAnsi="Verdana"/>
          <w:sz w:val="20"/>
        </w:rPr>
        <w:t xml:space="preserve"> (a) o pagamento da remuneração do Agente Fiduciário, nos termos da Cláusula 7.2. </w:t>
      </w:r>
      <w:proofErr w:type="gramStart"/>
      <w:r w:rsidRPr="00190686">
        <w:rPr>
          <w:rFonts w:ascii="Verdana" w:hAnsi="Verdana"/>
          <w:sz w:val="20"/>
        </w:rPr>
        <w:t>a</w:t>
      </w:r>
      <w:proofErr w:type="gramEnd"/>
      <w:r w:rsidRPr="00190686">
        <w:rPr>
          <w:rFonts w:ascii="Verdana" w:hAnsi="Verdana"/>
          <w:sz w:val="20"/>
        </w:rPr>
        <w:t xml:space="preserve"> seguir; e (b) desde que assim solicitado pelo Agente Fiduciário, o pagamento das despesas devidamente comprovadas incorridas pelo Agente Fiduciário, nos termos da Cláusula 7.6. </w:t>
      </w:r>
      <w:proofErr w:type="gramStart"/>
      <w:r w:rsidRPr="00190686">
        <w:rPr>
          <w:rFonts w:ascii="Verdana" w:hAnsi="Verdana"/>
          <w:sz w:val="20"/>
        </w:rPr>
        <w:t>a</w:t>
      </w:r>
      <w:proofErr w:type="gramEnd"/>
      <w:r w:rsidRPr="00190686">
        <w:rPr>
          <w:rFonts w:ascii="Verdana" w:hAnsi="Verdana"/>
          <w:sz w:val="20"/>
        </w:rPr>
        <w:t xml:space="preserve"> seguir;</w:t>
      </w:r>
      <w:bookmarkEnd w:id="119"/>
    </w:p>
    <w:p w14:paraId="7D023FEC" w14:textId="77777777" w:rsidR="002D5261" w:rsidRPr="00190686" w:rsidRDefault="002D5261" w:rsidP="002D5261">
      <w:pPr>
        <w:pStyle w:val="PargrafodaLista"/>
        <w:rPr>
          <w:rFonts w:ascii="Verdana" w:hAnsi="Verdana"/>
          <w:sz w:val="20"/>
        </w:rPr>
      </w:pPr>
    </w:p>
    <w:p w14:paraId="5A5B45A8"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Pr>
          <w:rFonts w:ascii="Verdana" w:hAnsi="Verdana"/>
          <w:sz w:val="20"/>
        </w:rPr>
        <w:t>notificar</w:t>
      </w:r>
      <w:proofErr w:type="gramEnd"/>
      <w:r>
        <w:rPr>
          <w:rFonts w:ascii="Verdana" w:hAnsi="Verdana"/>
          <w:sz w:val="20"/>
        </w:rPr>
        <w:t xml:space="preserve">, no prazo de até 3 (três) dias, o Agente Fiduciário da convocação, pela Emissora, de qualquer Assembleia Geral; </w:t>
      </w:r>
    </w:p>
    <w:p w14:paraId="7A8C20DC" w14:textId="77777777" w:rsidR="002D5261" w:rsidRPr="00190686" w:rsidRDefault="002D5261" w:rsidP="002D5261">
      <w:pPr>
        <w:keepNext/>
        <w:tabs>
          <w:tab w:val="left" w:pos="851"/>
        </w:tabs>
        <w:spacing w:after="0" w:line="300" w:lineRule="exact"/>
        <w:ind w:left="720"/>
        <w:rPr>
          <w:rFonts w:ascii="Verdana" w:hAnsi="Verdana"/>
          <w:sz w:val="20"/>
        </w:rPr>
      </w:pPr>
      <w:bookmarkStart w:id="120" w:name="_Ref168844102"/>
      <w:bookmarkStart w:id="121" w:name="_Ref168844104"/>
    </w:p>
    <w:p w14:paraId="6CD58829"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convocar</w:t>
      </w:r>
      <w:proofErr w:type="gramEnd"/>
      <w:r w:rsidRPr="00190686">
        <w:rPr>
          <w:rFonts w:ascii="Verdana" w:hAnsi="Verdana"/>
          <w:sz w:val="20"/>
        </w:rPr>
        <w:t>, no prazo de até 1 (um) Dia Útil, Assembleia Geral para deliberar sobre qualquer das matérias que sejam do interesse dos Debenturistas, caso o Agente Fiduciário não o faça no prazo aplicável, nos termos da Cláusula Oitava a seguir;</w:t>
      </w:r>
      <w:bookmarkEnd w:id="120"/>
      <w:r w:rsidRPr="00190686">
        <w:rPr>
          <w:rFonts w:ascii="Verdana" w:hAnsi="Verdana"/>
          <w:sz w:val="20"/>
        </w:rPr>
        <w:t xml:space="preserve"> </w:t>
      </w:r>
    </w:p>
    <w:p w14:paraId="56D590FE" w14:textId="77777777" w:rsidR="002D5261" w:rsidRPr="00190686" w:rsidRDefault="002D5261" w:rsidP="002D5261">
      <w:pPr>
        <w:keepNext/>
        <w:tabs>
          <w:tab w:val="left" w:pos="851"/>
        </w:tabs>
        <w:spacing w:after="0" w:line="300" w:lineRule="exact"/>
        <w:ind w:left="720"/>
        <w:rPr>
          <w:rFonts w:ascii="Verdana" w:hAnsi="Verdana"/>
          <w:sz w:val="20"/>
        </w:rPr>
      </w:pPr>
    </w:p>
    <w:p w14:paraId="5A28431A"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comparecer</w:t>
      </w:r>
      <w:proofErr w:type="gramEnd"/>
      <w:r w:rsidRPr="00190686">
        <w:rPr>
          <w:rFonts w:ascii="Verdana" w:hAnsi="Verdana"/>
          <w:sz w:val="20"/>
        </w:rPr>
        <w:t>, por meio de seus representantes, às assembleias gerais de Debenturistas, sempre que solicitada</w:t>
      </w:r>
      <w:bookmarkEnd w:id="121"/>
      <w:r w:rsidRPr="00190686">
        <w:rPr>
          <w:rFonts w:ascii="Verdana" w:hAnsi="Verdana"/>
          <w:sz w:val="20"/>
        </w:rPr>
        <w:t xml:space="preserve">; </w:t>
      </w:r>
    </w:p>
    <w:p w14:paraId="55A32CB0" w14:textId="77777777" w:rsidR="002D5261" w:rsidRPr="00190686" w:rsidRDefault="002D5261" w:rsidP="002D5261">
      <w:pPr>
        <w:keepNext/>
        <w:tabs>
          <w:tab w:val="left" w:pos="851"/>
        </w:tabs>
        <w:spacing w:after="0" w:line="300" w:lineRule="exact"/>
        <w:ind w:left="720"/>
        <w:rPr>
          <w:rFonts w:ascii="Verdana" w:hAnsi="Verdana"/>
          <w:sz w:val="20"/>
        </w:rPr>
      </w:pPr>
    </w:p>
    <w:p w14:paraId="6FF63985"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sem</w:t>
      </w:r>
      <w:proofErr w:type="gramEnd"/>
      <w:r w:rsidRPr="00190686">
        <w:rPr>
          <w:rFonts w:ascii="Verdana" w:hAnsi="Verdana"/>
          <w:sz w:val="20"/>
        </w:rPr>
        <w:t xml:space="preserve"> prejuízo das demais obrigações previstas acima ou de outras obrigações expressamente previstas na regulamentação em vigor e nesta Escritura de Emissão, nos termos do artigo 17 da Instrução CVM 476:</w:t>
      </w:r>
    </w:p>
    <w:p w14:paraId="54099E7F" w14:textId="77777777" w:rsidR="002D5261" w:rsidRPr="00190686" w:rsidRDefault="002D5261" w:rsidP="002D5261">
      <w:pPr>
        <w:tabs>
          <w:tab w:val="left" w:pos="851"/>
        </w:tabs>
        <w:spacing w:after="0" w:line="300" w:lineRule="exact"/>
        <w:ind w:left="709"/>
        <w:rPr>
          <w:rFonts w:ascii="Verdana" w:hAnsi="Verdana"/>
          <w:sz w:val="20"/>
        </w:rPr>
      </w:pPr>
    </w:p>
    <w:p w14:paraId="10125FA8" w14:textId="77777777" w:rsidR="002D5261" w:rsidRPr="00190686" w:rsidRDefault="002D5261" w:rsidP="002D5261">
      <w:pPr>
        <w:numPr>
          <w:ilvl w:val="3"/>
          <w:numId w:val="39"/>
        </w:numPr>
        <w:tabs>
          <w:tab w:val="clear" w:pos="2126"/>
        </w:tabs>
        <w:spacing w:after="0" w:line="300" w:lineRule="exact"/>
        <w:ind w:left="1418" w:hanging="567"/>
        <w:rPr>
          <w:rFonts w:ascii="Verdana" w:hAnsi="Verdana"/>
          <w:sz w:val="20"/>
        </w:rPr>
      </w:pPr>
      <w:proofErr w:type="gramStart"/>
      <w:r w:rsidRPr="00190686">
        <w:rPr>
          <w:rFonts w:ascii="Verdana" w:hAnsi="Verdana"/>
          <w:sz w:val="20"/>
        </w:rPr>
        <w:t>preparar</w:t>
      </w:r>
      <w:proofErr w:type="gramEnd"/>
      <w:r w:rsidRPr="00190686">
        <w:rPr>
          <w:rFonts w:ascii="Verdana" w:hAnsi="Verdana"/>
          <w:sz w:val="20"/>
        </w:rPr>
        <w:t xml:space="preserve"> as demonstrações financeiras da Emissora relativas a cada exercício social, em conformidade com a Lei das Sociedades por Ações e com as regras emitidas pela CVM;</w:t>
      </w:r>
    </w:p>
    <w:p w14:paraId="2BEC6AA0" w14:textId="77777777" w:rsidR="002D5261" w:rsidRPr="00190686" w:rsidRDefault="002D5261" w:rsidP="002D5261">
      <w:pPr>
        <w:tabs>
          <w:tab w:val="left" w:pos="851"/>
        </w:tabs>
        <w:spacing w:after="0" w:line="300" w:lineRule="exact"/>
        <w:ind w:left="709"/>
        <w:rPr>
          <w:rFonts w:ascii="Verdana" w:hAnsi="Verdana"/>
          <w:sz w:val="20"/>
        </w:rPr>
      </w:pPr>
    </w:p>
    <w:p w14:paraId="27C3579D" w14:textId="77777777" w:rsidR="002D5261" w:rsidRPr="00190686" w:rsidRDefault="002D5261" w:rsidP="002D5261">
      <w:pPr>
        <w:numPr>
          <w:ilvl w:val="3"/>
          <w:numId w:val="39"/>
        </w:numPr>
        <w:tabs>
          <w:tab w:val="clear" w:pos="2126"/>
          <w:tab w:val="num" w:pos="709"/>
        </w:tabs>
        <w:spacing w:after="0" w:line="300" w:lineRule="exact"/>
        <w:ind w:left="1418" w:hanging="567"/>
        <w:rPr>
          <w:rFonts w:ascii="Verdana" w:hAnsi="Verdana"/>
          <w:sz w:val="20"/>
        </w:rPr>
      </w:pPr>
      <w:proofErr w:type="gramStart"/>
      <w:r w:rsidRPr="00190686">
        <w:rPr>
          <w:rFonts w:ascii="Verdana" w:hAnsi="Verdana"/>
          <w:sz w:val="20"/>
        </w:rPr>
        <w:t>submeter</w:t>
      </w:r>
      <w:proofErr w:type="gramEnd"/>
      <w:r w:rsidRPr="00190686">
        <w:rPr>
          <w:rFonts w:ascii="Verdana" w:hAnsi="Verdana"/>
          <w:sz w:val="20"/>
        </w:rPr>
        <w:t xml:space="preserve"> as demonstrações financeiras da Emissora relativas a cada exercício social a auditoria por auditor independente registrado na CVM;</w:t>
      </w:r>
    </w:p>
    <w:p w14:paraId="0C04F390" w14:textId="77777777" w:rsidR="002D5261" w:rsidRPr="00190686" w:rsidRDefault="002D5261" w:rsidP="002D5261">
      <w:pPr>
        <w:tabs>
          <w:tab w:val="left" w:pos="851"/>
        </w:tabs>
        <w:spacing w:after="0" w:line="300" w:lineRule="exact"/>
        <w:ind w:left="709"/>
        <w:rPr>
          <w:rFonts w:ascii="Verdana" w:hAnsi="Verdana"/>
          <w:sz w:val="20"/>
        </w:rPr>
      </w:pPr>
      <w:bookmarkStart w:id="122" w:name="_Ref265248531"/>
    </w:p>
    <w:p w14:paraId="35008067" w14:textId="77777777" w:rsidR="002D5261" w:rsidRPr="00190686" w:rsidRDefault="002D5261" w:rsidP="002D5261">
      <w:pPr>
        <w:numPr>
          <w:ilvl w:val="3"/>
          <w:numId w:val="39"/>
        </w:numPr>
        <w:tabs>
          <w:tab w:val="clear" w:pos="2126"/>
          <w:tab w:val="num" w:pos="709"/>
        </w:tabs>
        <w:spacing w:after="0" w:line="300" w:lineRule="exact"/>
        <w:ind w:left="1418" w:hanging="567"/>
        <w:rPr>
          <w:rFonts w:ascii="Verdana" w:hAnsi="Verdana"/>
          <w:sz w:val="20"/>
        </w:rPr>
      </w:pPr>
      <w:proofErr w:type="gramStart"/>
      <w:r w:rsidRPr="00190686">
        <w:rPr>
          <w:rFonts w:ascii="Verdana" w:hAnsi="Verdana"/>
          <w:sz w:val="20"/>
        </w:rPr>
        <w:t>no</w:t>
      </w:r>
      <w:proofErr w:type="gramEnd"/>
      <w:r w:rsidRPr="00190686">
        <w:rPr>
          <w:rFonts w:ascii="Verdana" w:hAnsi="Verdana"/>
          <w:sz w:val="20"/>
        </w:rPr>
        <w:t xml:space="preserve"> prazo de 3 (três) meses contados da data de encerramento de seu exercício social, divulgar em sua página na Internet (www.randon.com.br</w:t>
      </w:r>
      <w:r>
        <w:rPr>
          <w:rFonts w:ascii="Verdana" w:hAnsi="Verdana"/>
          <w:sz w:val="20"/>
        </w:rPr>
        <w:t>/ri</w:t>
      </w:r>
      <w:r w:rsidRPr="00190686">
        <w:rPr>
          <w:rFonts w:ascii="Verdana" w:hAnsi="Verdana"/>
          <w:sz w:val="20"/>
        </w:rPr>
        <w:t>) as demonstrações financeiras da Emissora relativas a cada exercício social, acompanhadas de notas explicativas e do parecer dos auditores independentes;</w:t>
      </w:r>
      <w:bookmarkEnd w:id="122"/>
    </w:p>
    <w:p w14:paraId="6F4AC5E2" w14:textId="77777777" w:rsidR="002D5261" w:rsidRPr="00190686" w:rsidRDefault="002D5261" w:rsidP="002D5261">
      <w:pPr>
        <w:tabs>
          <w:tab w:val="left" w:pos="851"/>
        </w:tabs>
        <w:spacing w:after="0" w:line="300" w:lineRule="exact"/>
        <w:ind w:left="709"/>
        <w:rPr>
          <w:rFonts w:ascii="Verdana" w:hAnsi="Verdana"/>
          <w:sz w:val="20"/>
        </w:rPr>
      </w:pPr>
    </w:p>
    <w:p w14:paraId="22966078" w14:textId="77777777" w:rsidR="002D5261" w:rsidRPr="00190686" w:rsidRDefault="002D5261" w:rsidP="002D5261">
      <w:pPr>
        <w:numPr>
          <w:ilvl w:val="3"/>
          <w:numId w:val="39"/>
        </w:numPr>
        <w:tabs>
          <w:tab w:val="clear" w:pos="2126"/>
          <w:tab w:val="num" w:pos="709"/>
        </w:tabs>
        <w:spacing w:after="0" w:line="300" w:lineRule="exact"/>
        <w:ind w:left="1418" w:hanging="567"/>
        <w:rPr>
          <w:rFonts w:ascii="Verdana" w:hAnsi="Verdana"/>
          <w:sz w:val="20"/>
        </w:rPr>
      </w:pPr>
      <w:proofErr w:type="gramStart"/>
      <w:r w:rsidRPr="00190686">
        <w:rPr>
          <w:rFonts w:ascii="Verdana" w:hAnsi="Verdana"/>
          <w:sz w:val="20"/>
        </w:rPr>
        <w:t>por</w:t>
      </w:r>
      <w:proofErr w:type="gramEnd"/>
      <w:r w:rsidRPr="00190686">
        <w:rPr>
          <w:rFonts w:ascii="Verdana" w:hAnsi="Verdana"/>
          <w:sz w:val="20"/>
        </w:rPr>
        <w:t xml:space="preserve"> um prazo de 3 (três) anos contados da Data de Emissão, manter os documentos mencionados na alínea ”</w:t>
      </w:r>
      <w:proofErr w:type="spellStart"/>
      <w:r w:rsidRPr="00190686">
        <w:rPr>
          <w:rFonts w:ascii="Verdana" w:hAnsi="Verdana"/>
          <w:sz w:val="20"/>
        </w:rPr>
        <w:t>iii</w:t>
      </w:r>
      <w:proofErr w:type="spellEnd"/>
      <w:r w:rsidRPr="00190686">
        <w:rPr>
          <w:rFonts w:ascii="Verdana" w:hAnsi="Verdana"/>
          <w:sz w:val="20"/>
        </w:rPr>
        <w:t>” em sua página na Internet;</w:t>
      </w:r>
    </w:p>
    <w:p w14:paraId="7DFFAEB0" w14:textId="77777777" w:rsidR="002D5261" w:rsidRPr="00190686" w:rsidRDefault="002D5261" w:rsidP="002D5261">
      <w:pPr>
        <w:tabs>
          <w:tab w:val="left" w:pos="851"/>
        </w:tabs>
        <w:spacing w:after="0" w:line="300" w:lineRule="exact"/>
        <w:ind w:left="709"/>
        <w:rPr>
          <w:rFonts w:ascii="Verdana" w:hAnsi="Verdana"/>
          <w:sz w:val="20"/>
        </w:rPr>
      </w:pPr>
    </w:p>
    <w:p w14:paraId="54DD80A2" w14:textId="77777777" w:rsidR="002D5261" w:rsidRPr="00190686" w:rsidRDefault="002D5261" w:rsidP="002D5261">
      <w:pPr>
        <w:numPr>
          <w:ilvl w:val="3"/>
          <w:numId w:val="39"/>
        </w:numPr>
        <w:tabs>
          <w:tab w:val="clear" w:pos="2126"/>
          <w:tab w:val="num" w:pos="709"/>
        </w:tabs>
        <w:spacing w:after="0" w:line="300" w:lineRule="exact"/>
        <w:ind w:left="1418" w:hanging="567"/>
        <w:rPr>
          <w:rFonts w:ascii="Verdana" w:hAnsi="Verdana"/>
          <w:sz w:val="20"/>
        </w:rPr>
      </w:pPr>
      <w:proofErr w:type="gramStart"/>
      <w:r w:rsidRPr="00190686">
        <w:rPr>
          <w:rFonts w:ascii="Verdana" w:hAnsi="Verdana"/>
          <w:sz w:val="20"/>
        </w:rPr>
        <w:t>observar</w:t>
      </w:r>
      <w:proofErr w:type="gramEnd"/>
      <w:r w:rsidRPr="00190686">
        <w:rPr>
          <w:rFonts w:ascii="Verdana" w:hAnsi="Verdana"/>
          <w:sz w:val="20"/>
        </w:rPr>
        <w:t xml:space="preserve"> as disposições da Instrução CVM nº 358, de 3 de janeiro de 2002, conforme alterada (“</w:t>
      </w:r>
      <w:r w:rsidRPr="00190686">
        <w:rPr>
          <w:rFonts w:ascii="Verdana" w:hAnsi="Verdana"/>
          <w:sz w:val="20"/>
          <w:u w:val="single"/>
        </w:rPr>
        <w:t>Instrução CVM 358</w:t>
      </w:r>
      <w:r w:rsidRPr="00190686">
        <w:rPr>
          <w:rFonts w:ascii="Verdana" w:hAnsi="Verdana"/>
          <w:sz w:val="20"/>
        </w:rPr>
        <w:t>”), no que se refere ao dever de sigilo e às vedações à negociação;</w:t>
      </w:r>
    </w:p>
    <w:p w14:paraId="509CB9DE" w14:textId="77777777" w:rsidR="002D5261" w:rsidRPr="00190686" w:rsidRDefault="002D5261" w:rsidP="002D5261">
      <w:pPr>
        <w:tabs>
          <w:tab w:val="left" w:pos="851"/>
        </w:tabs>
        <w:spacing w:after="0" w:line="300" w:lineRule="exact"/>
        <w:ind w:left="709"/>
        <w:rPr>
          <w:rFonts w:ascii="Verdana" w:hAnsi="Verdana"/>
          <w:sz w:val="20"/>
        </w:rPr>
      </w:pPr>
    </w:p>
    <w:p w14:paraId="27934C85" w14:textId="77777777" w:rsidR="002D5261" w:rsidRPr="00190686" w:rsidRDefault="002D5261" w:rsidP="002D5261">
      <w:pPr>
        <w:numPr>
          <w:ilvl w:val="3"/>
          <w:numId w:val="39"/>
        </w:numPr>
        <w:tabs>
          <w:tab w:val="clear" w:pos="2126"/>
          <w:tab w:val="num" w:pos="709"/>
        </w:tabs>
        <w:spacing w:after="0" w:line="300" w:lineRule="exact"/>
        <w:ind w:left="1418" w:hanging="567"/>
        <w:rPr>
          <w:rFonts w:ascii="Verdana" w:hAnsi="Verdana"/>
          <w:sz w:val="20"/>
        </w:rPr>
      </w:pPr>
      <w:proofErr w:type="gramStart"/>
      <w:r w:rsidRPr="00190686">
        <w:rPr>
          <w:rFonts w:ascii="Verdana" w:hAnsi="Verdana"/>
          <w:sz w:val="20"/>
        </w:rPr>
        <w:t>divulgar</w:t>
      </w:r>
      <w:proofErr w:type="gramEnd"/>
      <w:r w:rsidRPr="00190686">
        <w:rPr>
          <w:rFonts w:ascii="Verdana" w:hAnsi="Verdana"/>
          <w:sz w:val="20"/>
        </w:rPr>
        <w:t xml:space="preserve">, em sua página na Internet, a ocorrência de qualquer ato ou fato relevante, conforme definido no artigo 2º da Instrução CVM 358, </w:t>
      </w:r>
      <w:r w:rsidRPr="00190686">
        <w:rPr>
          <w:rFonts w:ascii="Verdana" w:hAnsi="Verdana"/>
          <w:sz w:val="20"/>
        </w:rPr>
        <w:lastRenderedPageBreak/>
        <w:t>ficando automaticamente comunicado o Agente Fiduciário e o Coordenador Líder; e</w:t>
      </w:r>
    </w:p>
    <w:p w14:paraId="58EB601C" w14:textId="77777777" w:rsidR="002D5261" w:rsidRPr="00190686" w:rsidRDefault="002D5261" w:rsidP="002D5261">
      <w:pPr>
        <w:tabs>
          <w:tab w:val="left" w:pos="851"/>
        </w:tabs>
        <w:spacing w:after="0" w:line="300" w:lineRule="exact"/>
        <w:ind w:left="709"/>
        <w:rPr>
          <w:rFonts w:ascii="Verdana" w:hAnsi="Verdana"/>
          <w:sz w:val="20"/>
        </w:rPr>
      </w:pPr>
    </w:p>
    <w:p w14:paraId="58D2EB2F" w14:textId="77777777" w:rsidR="002D5261" w:rsidRPr="00190686" w:rsidRDefault="002D5261" w:rsidP="002D5261">
      <w:pPr>
        <w:numPr>
          <w:ilvl w:val="3"/>
          <w:numId w:val="39"/>
        </w:numPr>
        <w:tabs>
          <w:tab w:val="clear" w:pos="2126"/>
          <w:tab w:val="num" w:pos="709"/>
        </w:tabs>
        <w:spacing w:after="0" w:line="300" w:lineRule="exact"/>
        <w:ind w:left="1418" w:hanging="567"/>
        <w:rPr>
          <w:rFonts w:ascii="Verdana" w:hAnsi="Verdana"/>
          <w:sz w:val="20"/>
        </w:rPr>
      </w:pPr>
      <w:proofErr w:type="gramStart"/>
      <w:r w:rsidRPr="00190686">
        <w:rPr>
          <w:rFonts w:ascii="Verdana" w:hAnsi="Verdana"/>
          <w:sz w:val="20"/>
        </w:rPr>
        <w:t>fornecer</w:t>
      </w:r>
      <w:proofErr w:type="gramEnd"/>
      <w:r w:rsidRPr="00190686">
        <w:rPr>
          <w:rFonts w:ascii="Verdana" w:hAnsi="Verdana"/>
          <w:sz w:val="20"/>
        </w:rPr>
        <w:t xml:space="preserve"> todas as informações solicitadas pela CVM e pela CETIP.</w:t>
      </w:r>
    </w:p>
    <w:p w14:paraId="2E956230" w14:textId="77777777" w:rsidR="002D5261" w:rsidRPr="00190686" w:rsidRDefault="002D5261" w:rsidP="002D5261">
      <w:pPr>
        <w:tabs>
          <w:tab w:val="left" w:pos="851"/>
        </w:tabs>
        <w:spacing w:after="0" w:line="300" w:lineRule="exact"/>
        <w:rPr>
          <w:rFonts w:ascii="Verdana" w:hAnsi="Verdana"/>
          <w:sz w:val="20"/>
        </w:rPr>
      </w:pPr>
    </w:p>
    <w:p w14:paraId="33E4856F"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guardar</w:t>
      </w:r>
      <w:proofErr w:type="gramEnd"/>
      <w:r w:rsidRPr="00190686">
        <w:rPr>
          <w:rFonts w:ascii="Verdana" w:hAnsi="Verdana"/>
          <w:sz w:val="20"/>
        </w:rPr>
        <w:t>, pelo prazo mínimo de 5 (cinco) anos contados do envio da comunicação de encerramento da Oferta à CVM, ou por prazo superior por determinação expressa da CVM, em caso de processo administrativo, toda a documentação relativa à Emissão, nos termos da Instrução CVM 476;</w:t>
      </w:r>
    </w:p>
    <w:p w14:paraId="60DFBD6D" w14:textId="77777777" w:rsidR="002D5261" w:rsidRPr="00190686" w:rsidRDefault="002D5261" w:rsidP="002D5261">
      <w:pPr>
        <w:tabs>
          <w:tab w:val="left" w:pos="851"/>
        </w:tabs>
        <w:spacing w:after="0" w:line="300" w:lineRule="exact"/>
        <w:rPr>
          <w:rFonts w:ascii="Verdana" w:hAnsi="Verdana"/>
          <w:sz w:val="20"/>
        </w:rPr>
      </w:pPr>
    </w:p>
    <w:p w14:paraId="0272F118"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abster</w:t>
      </w:r>
      <w:proofErr w:type="gramEnd"/>
      <w:r w:rsidRPr="00190686">
        <w:rPr>
          <w:rFonts w:ascii="Verdana" w:hAnsi="Verdana"/>
          <w:sz w:val="20"/>
        </w:rPr>
        <w:t>-se de negociar valores mobiliários de sua emissão, até o envio da comunicação de encerramento da Oferta à CVM, salvo nas hipóteses previstas no artigo 48 da Instrução da CVM nº 400, de 29 de dezembro de 2003, conforme alterada (“</w:t>
      </w:r>
      <w:r w:rsidRPr="00190686">
        <w:rPr>
          <w:rFonts w:ascii="Verdana" w:hAnsi="Verdana"/>
          <w:sz w:val="20"/>
          <w:u w:val="single"/>
        </w:rPr>
        <w:t>Instrução CVM 400</w:t>
      </w:r>
      <w:r w:rsidRPr="00190686">
        <w:rPr>
          <w:rFonts w:ascii="Verdana" w:hAnsi="Verdana"/>
          <w:sz w:val="20"/>
        </w:rPr>
        <w:t>”);</w:t>
      </w:r>
    </w:p>
    <w:p w14:paraId="0E97C7D1" w14:textId="77777777" w:rsidR="002D5261" w:rsidRPr="00190686" w:rsidRDefault="002D5261" w:rsidP="002D5261">
      <w:pPr>
        <w:tabs>
          <w:tab w:val="left" w:pos="851"/>
        </w:tabs>
        <w:spacing w:after="0" w:line="300" w:lineRule="exact"/>
        <w:ind w:left="851"/>
        <w:rPr>
          <w:rFonts w:ascii="Verdana" w:hAnsi="Verdana"/>
          <w:sz w:val="20"/>
        </w:rPr>
      </w:pPr>
    </w:p>
    <w:p w14:paraId="6FD942D7"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abster</w:t>
      </w:r>
      <w:proofErr w:type="gramEnd"/>
      <w:r w:rsidRPr="00190686">
        <w:rPr>
          <w:rFonts w:ascii="Verdana" w:hAnsi="Verdana"/>
          <w:sz w:val="20"/>
        </w:rPr>
        <w:t>-se, até o envio da comunicação de encerramento da Oferta à CVM, de (i) revelar informações relativas à Emissão, exceto aquilo que for necessário à consecução de seus objetivos, advertindo os destinatários sobre o caráter reservado da informação transmitida e (</w:t>
      </w:r>
      <w:proofErr w:type="spellStart"/>
      <w:r w:rsidRPr="00190686">
        <w:rPr>
          <w:rFonts w:ascii="Verdana" w:hAnsi="Verdana"/>
          <w:sz w:val="20"/>
        </w:rPr>
        <w:t>ii</w:t>
      </w:r>
      <w:proofErr w:type="spellEnd"/>
      <w:r w:rsidRPr="00190686">
        <w:rPr>
          <w:rFonts w:ascii="Verdana" w:hAnsi="Verdana"/>
          <w:sz w:val="20"/>
        </w:rPr>
        <w:t>) utilizar as informações referentes à Emissão, exceto para fins estritamente relacionados com a preparação da Emissão;</w:t>
      </w:r>
    </w:p>
    <w:p w14:paraId="7CE61F7F" w14:textId="77777777" w:rsidR="002D5261" w:rsidRPr="00190686" w:rsidRDefault="002D5261" w:rsidP="002D5261">
      <w:pPr>
        <w:tabs>
          <w:tab w:val="left" w:pos="851"/>
        </w:tabs>
        <w:spacing w:after="0" w:line="300" w:lineRule="exact"/>
        <w:rPr>
          <w:rFonts w:ascii="Verdana" w:hAnsi="Verdana"/>
          <w:sz w:val="20"/>
        </w:rPr>
      </w:pPr>
    </w:p>
    <w:p w14:paraId="235352D5"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não</w:t>
      </w:r>
      <w:proofErr w:type="gramEnd"/>
      <w:r w:rsidRPr="00190686">
        <w:rPr>
          <w:rFonts w:ascii="Verdana" w:hAnsi="Verdana"/>
          <w:sz w:val="20"/>
        </w:rPr>
        <w:t xml:space="preserve"> divulgar ao público informações referentes à Emissora, à Emissão ou às Debêntures, em desacordo com o disposto na regulamentação aplicável, incluindo, mas não se limitando, ao disposto na Instrução CVM 476 e no artigo 48 da Instrução CVM 400; e</w:t>
      </w:r>
    </w:p>
    <w:p w14:paraId="4E9D8D6B" w14:textId="77777777" w:rsidR="002D5261" w:rsidRPr="00190686" w:rsidRDefault="002D5261" w:rsidP="002D5261">
      <w:pPr>
        <w:tabs>
          <w:tab w:val="left" w:pos="851"/>
        </w:tabs>
        <w:spacing w:after="0" w:line="300" w:lineRule="exact"/>
        <w:rPr>
          <w:rFonts w:ascii="Verdana" w:hAnsi="Verdana"/>
          <w:sz w:val="20"/>
        </w:rPr>
      </w:pPr>
    </w:p>
    <w:p w14:paraId="0D472C1F" w14:textId="77777777" w:rsidR="002D5261" w:rsidRPr="00190686" w:rsidRDefault="002D5261" w:rsidP="002D5261">
      <w:pPr>
        <w:numPr>
          <w:ilvl w:val="3"/>
          <w:numId w:val="9"/>
        </w:numPr>
        <w:tabs>
          <w:tab w:val="clear" w:pos="2126"/>
          <w:tab w:val="left" w:pos="851"/>
        </w:tabs>
        <w:spacing w:after="0" w:line="300" w:lineRule="exact"/>
        <w:ind w:left="851" w:hanging="851"/>
        <w:rPr>
          <w:rFonts w:ascii="Verdana" w:hAnsi="Verdana"/>
          <w:sz w:val="20"/>
        </w:rPr>
      </w:pPr>
      <w:proofErr w:type="gramStart"/>
      <w:r w:rsidRPr="00190686">
        <w:rPr>
          <w:rFonts w:ascii="Verdana" w:hAnsi="Verdana"/>
          <w:sz w:val="20"/>
        </w:rPr>
        <w:t>manter</w:t>
      </w:r>
      <w:proofErr w:type="gramEnd"/>
      <w:r w:rsidRPr="00190686">
        <w:rPr>
          <w:rFonts w:ascii="Verdana" w:hAnsi="Verdana"/>
          <w:sz w:val="20"/>
        </w:rPr>
        <w:t xml:space="preserve"> lista dos Investidores Profissionais procurados no âmbito da Oferta, contemplando os dados e informações previstos no parágrafo 2º do Artigo 7-A da Instrução CVM 476. </w:t>
      </w:r>
    </w:p>
    <w:p w14:paraId="7E746A77" w14:textId="77777777" w:rsidR="002D5261" w:rsidRPr="00190686" w:rsidRDefault="002D5261" w:rsidP="002D5261">
      <w:pPr>
        <w:tabs>
          <w:tab w:val="left" w:pos="851"/>
        </w:tabs>
        <w:spacing w:after="0" w:line="300" w:lineRule="exact"/>
        <w:rPr>
          <w:rFonts w:ascii="Verdana" w:hAnsi="Verdana"/>
          <w:sz w:val="20"/>
        </w:rPr>
      </w:pPr>
    </w:p>
    <w:p w14:paraId="532542D4" w14:textId="77777777" w:rsidR="002D5261" w:rsidRPr="00190686" w:rsidRDefault="002D5261" w:rsidP="002D5261">
      <w:pPr>
        <w:keepNext/>
        <w:tabs>
          <w:tab w:val="left" w:pos="851"/>
        </w:tabs>
        <w:spacing w:after="0" w:line="300" w:lineRule="exact"/>
        <w:jc w:val="center"/>
        <w:rPr>
          <w:rFonts w:ascii="Verdana" w:hAnsi="Verdana"/>
          <w:b/>
          <w:smallCaps/>
          <w:sz w:val="20"/>
        </w:rPr>
      </w:pPr>
    </w:p>
    <w:p w14:paraId="5781928F" w14:textId="77777777" w:rsidR="002D5261" w:rsidRPr="00190686" w:rsidRDefault="002D5261" w:rsidP="002D5261">
      <w:pPr>
        <w:keepNext/>
        <w:tabs>
          <w:tab w:val="left" w:pos="851"/>
        </w:tabs>
        <w:spacing w:after="0" w:line="300" w:lineRule="exact"/>
        <w:jc w:val="center"/>
        <w:rPr>
          <w:rFonts w:ascii="Verdana" w:hAnsi="Verdana"/>
          <w:b/>
          <w:smallCaps/>
          <w:sz w:val="20"/>
        </w:rPr>
      </w:pPr>
      <w:proofErr w:type="gramStart"/>
      <w:r w:rsidRPr="00190686">
        <w:rPr>
          <w:rFonts w:ascii="Verdana" w:hAnsi="Verdana"/>
          <w:b/>
          <w:smallCaps/>
          <w:sz w:val="20"/>
        </w:rPr>
        <w:t>Cláusula VI</w:t>
      </w:r>
      <w:proofErr w:type="gramEnd"/>
    </w:p>
    <w:p w14:paraId="20E06619" w14:textId="77777777" w:rsidR="002D5261" w:rsidRPr="00190686" w:rsidRDefault="002D5261" w:rsidP="002D5261">
      <w:pPr>
        <w:keepNext/>
        <w:tabs>
          <w:tab w:val="left" w:pos="851"/>
        </w:tabs>
        <w:spacing w:after="0" w:line="300" w:lineRule="exact"/>
        <w:jc w:val="center"/>
        <w:rPr>
          <w:rFonts w:ascii="Verdana" w:hAnsi="Verdana"/>
          <w:b/>
          <w:smallCaps/>
          <w:sz w:val="20"/>
        </w:rPr>
      </w:pPr>
      <w:r w:rsidRPr="00190686">
        <w:rPr>
          <w:rFonts w:ascii="Verdana" w:hAnsi="Verdana"/>
          <w:b/>
          <w:smallCaps/>
          <w:sz w:val="20"/>
        </w:rPr>
        <w:t>Agente Fiduciário</w:t>
      </w:r>
    </w:p>
    <w:p w14:paraId="5BB98102" w14:textId="77777777" w:rsidR="002D5261" w:rsidRPr="00190686" w:rsidRDefault="002D5261" w:rsidP="002D5261">
      <w:pPr>
        <w:keepNext/>
        <w:tabs>
          <w:tab w:val="left" w:pos="851"/>
        </w:tabs>
        <w:spacing w:after="0" w:line="300" w:lineRule="exact"/>
        <w:jc w:val="center"/>
        <w:rPr>
          <w:rFonts w:ascii="Verdana" w:hAnsi="Verdana"/>
          <w:smallCaps/>
          <w:sz w:val="20"/>
          <w:u w:val="single"/>
        </w:rPr>
      </w:pPr>
    </w:p>
    <w:p w14:paraId="7696FED8" w14:textId="77777777" w:rsidR="002D5261" w:rsidRPr="00190686" w:rsidRDefault="002D5261" w:rsidP="002D5261">
      <w:pPr>
        <w:numPr>
          <w:ilvl w:val="1"/>
          <w:numId w:val="10"/>
        </w:numPr>
        <w:tabs>
          <w:tab w:val="clear" w:pos="709"/>
          <w:tab w:val="num" w:pos="-1701"/>
          <w:tab w:val="left" w:pos="851"/>
        </w:tabs>
        <w:spacing w:after="0" w:line="300" w:lineRule="exact"/>
        <w:ind w:left="851" w:hanging="851"/>
        <w:rPr>
          <w:rFonts w:ascii="Verdana" w:hAnsi="Verdana"/>
          <w:b/>
          <w:sz w:val="20"/>
        </w:rPr>
      </w:pPr>
      <w:r w:rsidRPr="00190686">
        <w:rPr>
          <w:rFonts w:ascii="Verdana" w:hAnsi="Verdana"/>
          <w:b/>
          <w:sz w:val="20"/>
        </w:rPr>
        <w:t>Nomeação</w:t>
      </w:r>
    </w:p>
    <w:p w14:paraId="19BB8B7F" w14:textId="77777777" w:rsidR="002D5261" w:rsidRPr="00190686" w:rsidRDefault="002D5261" w:rsidP="002D5261">
      <w:pPr>
        <w:tabs>
          <w:tab w:val="left" w:pos="851"/>
        </w:tabs>
        <w:spacing w:after="0" w:line="300" w:lineRule="exact"/>
        <w:rPr>
          <w:rFonts w:ascii="Verdana" w:hAnsi="Verdana"/>
          <w:sz w:val="20"/>
        </w:rPr>
      </w:pPr>
    </w:p>
    <w:p w14:paraId="4AE357AF"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A Emissora nomeia e constitui agente fiduciário da Emissão o Agente Fiduciário, qualificado no preâmbulo desta Escritura de Emissão, que assina nessa qualidade e, neste ato, aceita a nomeação para, nos termos da lei e desta Escritura de Emissão, representar a comunhão dos Debenturistas.</w:t>
      </w:r>
    </w:p>
    <w:p w14:paraId="0EA7B888" w14:textId="77777777" w:rsidR="002D5261" w:rsidRPr="00190686" w:rsidRDefault="002D5261" w:rsidP="002D5261">
      <w:pPr>
        <w:tabs>
          <w:tab w:val="left" w:pos="851"/>
        </w:tabs>
        <w:spacing w:after="0" w:line="300" w:lineRule="exact"/>
        <w:rPr>
          <w:rFonts w:ascii="Verdana" w:hAnsi="Verdana"/>
          <w:sz w:val="20"/>
        </w:rPr>
      </w:pPr>
    </w:p>
    <w:p w14:paraId="535EF8B8" w14:textId="77777777" w:rsidR="002D5261" w:rsidRPr="00190686" w:rsidRDefault="002D5261" w:rsidP="002D5261">
      <w:pPr>
        <w:tabs>
          <w:tab w:val="left" w:pos="851"/>
        </w:tabs>
        <w:spacing w:after="0" w:line="300" w:lineRule="exact"/>
        <w:rPr>
          <w:rFonts w:ascii="Verdana" w:hAnsi="Verdana"/>
          <w:sz w:val="20"/>
        </w:rPr>
      </w:pPr>
    </w:p>
    <w:p w14:paraId="7D789756" w14:textId="77777777" w:rsidR="002D5261" w:rsidRPr="00190686" w:rsidRDefault="002D5261" w:rsidP="002D5261">
      <w:pPr>
        <w:numPr>
          <w:ilvl w:val="1"/>
          <w:numId w:val="10"/>
        </w:numPr>
        <w:tabs>
          <w:tab w:val="clear" w:pos="709"/>
          <w:tab w:val="left" w:pos="-1134"/>
          <w:tab w:val="left" w:pos="851"/>
        </w:tabs>
        <w:spacing w:after="0" w:line="300" w:lineRule="exact"/>
        <w:ind w:left="851" w:hanging="851"/>
        <w:rPr>
          <w:rFonts w:ascii="Verdana" w:hAnsi="Verdana"/>
          <w:b/>
          <w:sz w:val="20"/>
        </w:rPr>
      </w:pPr>
      <w:r w:rsidRPr="00190686">
        <w:rPr>
          <w:rFonts w:ascii="Verdana" w:hAnsi="Verdana"/>
          <w:b/>
          <w:sz w:val="20"/>
        </w:rPr>
        <w:lastRenderedPageBreak/>
        <w:t>Remuneração do Agente Fiduciário</w:t>
      </w:r>
    </w:p>
    <w:p w14:paraId="1652BF0C" w14:textId="77777777" w:rsidR="002D5261" w:rsidRPr="00190686" w:rsidRDefault="002D5261" w:rsidP="002D5261">
      <w:pPr>
        <w:tabs>
          <w:tab w:val="left" w:pos="851"/>
        </w:tabs>
        <w:spacing w:after="0" w:line="300" w:lineRule="exact"/>
        <w:rPr>
          <w:rFonts w:ascii="Verdana" w:hAnsi="Verdana"/>
          <w:sz w:val="20"/>
        </w:rPr>
      </w:pPr>
    </w:p>
    <w:p w14:paraId="7F77EC1F" w14:textId="77777777" w:rsidR="002D5261" w:rsidRPr="00190686" w:rsidRDefault="002D5261" w:rsidP="002D5261">
      <w:pPr>
        <w:numPr>
          <w:ilvl w:val="0"/>
          <w:numId w:val="25"/>
        </w:numPr>
        <w:tabs>
          <w:tab w:val="left" w:pos="851"/>
        </w:tabs>
        <w:spacing w:after="0" w:line="300" w:lineRule="exact"/>
        <w:ind w:left="0" w:firstLine="0"/>
        <w:rPr>
          <w:rFonts w:ascii="Verdana" w:hAnsi="Verdana"/>
          <w:sz w:val="20"/>
        </w:rPr>
      </w:pPr>
      <w:bookmarkStart w:id="123" w:name="_Ref130284025"/>
      <w:r w:rsidRPr="00190686">
        <w:rPr>
          <w:rFonts w:ascii="Verdana" w:hAnsi="Verdana"/>
          <w:sz w:val="20"/>
        </w:rPr>
        <w:t xml:space="preserve">Pelo desempenho dos deveres e atribuições que lhe competem, nos termos da lei e desta Escritura de Emissão, o Agente Fiduciário, ou a instituição que vier a substituí-lo nessa qualidade, </w:t>
      </w:r>
      <w:bookmarkStart w:id="124" w:name="_Ref264564354"/>
      <w:bookmarkEnd w:id="123"/>
      <w:r w:rsidRPr="00190686">
        <w:rPr>
          <w:rFonts w:ascii="Verdana" w:hAnsi="Verdana"/>
          <w:sz w:val="20"/>
        </w:rPr>
        <w:t>receberá uma remuneração, a ser paga mediante depósito na conta corrente a ser indicada por escrito pelo Agente Fiduciário à Emissora, servindo o comprovante do depósito como prova de quitação do pagamento:</w:t>
      </w:r>
      <w:bookmarkEnd w:id="124"/>
      <w:r w:rsidRPr="00190686">
        <w:rPr>
          <w:rFonts w:ascii="Verdana" w:hAnsi="Verdana"/>
          <w:sz w:val="20"/>
        </w:rPr>
        <w:t xml:space="preserve"> </w:t>
      </w:r>
    </w:p>
    <w:p w14:paraId="36AA6D61" w14:textId="77777777" w:rsidR="002D5261" w:rsidRPr="00190686" w:rsidRDefault="002D5261" w:rsidP="002D5261">
      <w:pPr>
        <w:tabs>
          <w:tab w:val="left" w:pos="851"/>
        </w:tabs>
        <w:spacing w:after="0" w:line="300" w:lineRule="exact"/>
        <w:rPr>
          <w:rFonts w:ascii="Verdana" w:hAnsi="Verdana"/>
          <w:sz w:val="20"/>
        </w:rPr>
      </w:pPr>
    </w:p>
    <w:p w14:paraId="4332EF7D" w14:textId="77777777" w:rsidR="002D5261" w:rsidRPr="00190686" w:rsidRDefault="002D5261" w:rsidP="002D5261">
      <w:pPr>
        <w:numPr>
          <w:ilvl w:val="3"/>
          <w:numId w:val="10"/>
        </w:numPr>
        <w:tabs>
          <w:tab w:val="clear" w:pos="2126"/>
          <w:tab w:val="num" w:pos="851"/>
        </w:tabs>
        <w:spacing w:after="0" w:line="300" w:lineRule="exact"/>
        <w:ind w:left="851" w:hanging="851"/>
        <w:rPr>
          <w:rFonts w:ascii="Verdana" w:hAnsi="Verdana"/>
          <w:sz w:val="20"/>
        </w:rPr>
      </w:pPr>
      <w:bookmarkStart w:id="125" w:name="_Ref274576365"/>
      <w:proofErr w:type="gramStart"/>
      <w:r w:rsidRPr="00190686">
        <w:rPr>
          <w:rFonts w:ascii="Verdana" w:hAnsi="Verdana"/>
          <w:sz w:val="20"/>
        </w:rPr>
        <w:t>de</w:t>
      </w:r>
      <w:proofErr w:type="gramEnd"/>
      <w:r w:rsidRPr="00190686">
        <w:rPr>
          <w:rFonts w:ascii="Verdana" w:hAnsi="Verdana"/>
          <w:sz w:val="20"/>
        </w:rPr>
        <w:t xml:space="preserve"> R$10.000,00 (dez mil reais) por ano, devida pela Emissora, sendo a primeira parcela da remuneração devida no 5º (quinto) Dia Útil contado da data de celebração desta Escritura de Emissão, e as demais, no mesmo dia dos anos subsequentes, até o vencimento da Emissão, ou enquanto o Agente Fiduciário representar os interesses dos Debenturistas;</w:t>
      </w:r>
      <w:bookmarkEnd w:id="125"/>
    </w:p>
    <w:p w14:paraId="141A72AB" w14:textId="77777777" w:rsidR="002D5261" w:rsidRPr="00190686" w:rsidRDefault="002D5261" w:rsidP="002D5261">
      <w:pPr>
        <w:tabs>
          <w:tab w:val="num" w:pos="851"/>
        </w:tabs>
        <w:spacing w:after="0" w:line="300" w:lineRule="exact"/>
        <w:ind w:left="851" w:hanging="851"/>
        <w:rPr>
          <w:rFonts w:ascii="Verdana" w:hAnsi="Verdana"/>
          <w:sz w:val="20"/>
        </w:rPr>
      </w:pPr>
    </w:p>
    <w:p w14:paraId="55ADBEF2" w14:textId="77777777" w:rsidR="002D5261" w:rsidRDefault="002D5261" w:rsidP="002D5261">
      <w:pPr>
        <w:numPr>
          <w:ilvl w:val="3"/>
          <w:numId w:val="10"/>
        </w:numPr>
        <w:tabs>
          <w:tab w:val="clear" w:pos="2126"/>
          <w:tab w:val="num" w:pos="851"/>
        </w:tabs>
        <w:spacing w:after="0" w:line="300" w:lineRule="exact"/>
        <w:ind w:left="851" w:hanging="851"/>
        <w:rPr>
          <w:rFonts w:ascii="Verdana" w:hAnsi="Verdana"/>
          <w:sz w:val="20"/>
        </w:rPr>
      </w:pPr>
      <w:proofErr w:type="gramStart"/>
      <w:r>
        <w:rPr>
          <w:rFonts w:ascii="Verdana" w:hAnsi="Verdana"/>
          <w:sz w:val="20"/>
        </w:rPr>
        <w:t>no</w:t>
      </w:r>
      <w:proofErr w:type="gramEnd"/>
      <w:r>
        <w:rPr>
          <w:rFonts w:ascii="Verdana" w:hAnsi="Verdana"/>
          <w:sz w:val="20"/>
        </w:rPr>
        <w:t xml:space="preserve"> caso de inadimplemento no pagamento das Debêntures ou de reestruturação das condições das Debêntures </w:t>
      </w:r>
      <w:r w:rsidRPr="00E96AD7">
        <w:rPr>
          <w:rFonts w:ascii="Verdana" w:hAnsi="Verdana"/>
          <w:sz w:val="20"/>
        </w:rPr>
        <w:t>após a emissão ou da participação em reuniões ou conferências telefônicas, antes ou depois da Emissão, bem como atendimento à solicitações extraordinárias, serão devidas ao Agente Fiduciário, adicionalmente, o valor de R$ 500,00 (quinhentos reais) por hora-homem de trabalho dedicado a tais fatos bem como à (i) comentários aos documentos da Emissão durante a estruturação da mesma, caso a operação não venha a se efetivar; (</w:t>
      </w:r>
      <w:proofErr w:type="spellStart"/>
      <w:r w:rsidRPr="00E96AD7">
        <w:rPr>
          <w:rFonts w:ascii="Verdana" w:hAnsi="Verdana"/>
          <w:sz w:val="20"/>
        </w:rPr>
        <w:t>ii</w:t>
      </w:r>
      <w:proofErr w:type="spellEnd"/>
      <w:r w:rsidRPr="00E96AD7">
        <w:rPr>
          <w:rFonts w:ascii="Verdana" w:hAnsi="Verdana"/>
          <w:sz w:val="20"/>
        </w:rPr>
        <w:t>) execução das garantias; (</w:t>
      </w:r>
      <w:proofErr w:type="spellStart"/>
      <w:r w:rsidRPr="00E96AD7">
        <w:rPr>
          <w:rFonts w:ascii="Verdana" w:hAnsi="Verdana"/>
          <w:sz w:val="20"/>
        </w:rPr>
        <w:t>iii</w:t>
      </w:r>
      <w:proofErr w:type="spellEnd"/>
      <w:r w:rsidRPr="00E96AD7">
        <w:rPr>
          <w:rFonts w:ascii="Verdana" w:hAnsi="Verdana"/>
          <w:sz w:val="20"/>
        </w:rPr>
        <w:t>) participação em reuniões formais ou virtuais com a Emissora e/ou com investidores; e (</w:t>
      </w:r>
      <w:proofErr w:type="spellStart"/>
      <w:r w:rsidRPr="00E96AD7">
        <w:rPr>
          <w:rFonts w:ascii="Verdana" w:hAnsi="Verdana"/>
          <w:sz w:val="20"/>
        </w:rPr>
        <w:t>iv</w:t>
      </w:r>
      <w:proofErr w:type="spellEnd"/>
      <w:r w:rsidRPr="00E96AD7">
        <w:rPr>
          <w:rFonts w:ascii="Verdana" w:hAnsi="Verdana"/>
          <w:sz w:val="20"/>
        </w:rPr>
        <w:t xml:space="preserve">) implementação das consequentes decisões tomadas em tais eventos, pagas 5 (cinco) dias após comprovação da entrega, pelo Agente Fiduciário, de "relatório de horas" à Emissora. Entende-se por reestruturação das Debêntures os eventos relacionados </w:t>
      </w:r>
      <w:proofErr w:type="gramStart"/>
      <w:r w:rsidRPr="00E96AD7">
        <w:rPr>
          <w:rFonts w:ascii="Verdana" w:hAnsi="Verdana"/>
          <w:sz w:val="20"/>
        </w:rPr>
        <w:t>a</w:t>
      </w:r>
      <w:proofErr w:type="gramEnd"/>
      <w:r w:rsidRPr="00E96AD7">
        <w:rPr>
          <w:rFonts w:ascii="Verdana" w:hAnsi="Verdana"/>
          <w:sz w:val="20"/>
        </w:rPr>
        <w:t xml:space="preserve"> alteração (i) das garantias; (</w:t>
      </w:r>
      <w:proofErr w:type="spellStart"/>
      <w:r w:rsidRPr="00E96AD7">
        <w:rPr>
          <w:rFonts w:ascii="Verdana" w:hAnsi="Verdana"/>
          <w:sz w:val="20"/>
        </w:rPr>
        <w:t>ii</w:t>
      </w:r>
      <w:proofErr w:type="spellEnd"/>
      <w:r w:rsidRPr="00E96AD7">
        <w:rPr>
          <w:rFonts w:ascii="Verdana" w:hAnsi="Verdana"/>
          <w:sz w:val="20"/>
        </w:rPr>
        <w:t>) prazos de pagamento e (</w:t>
      </w:r>
      <w:proofErr w:type="spellStart"/>
      <w:r w:rsidRPr="00E96AD7">
        <w:rPr>
          <w:rFonts w:ascii="Verdana" w:hAnsi="Verdana"/>
          <w:sz w:val="20"/>
        </w:rPr>
        <w:t>iii</w:t>
      </w:r>
      <w:proofErr w:type="spellEnd"/>
      <w:r w:rsidRPr="00E96AD7">
        <w:rPr>
          <w:rFonts w:ascii="Verdana" w:hAnsi="Verdana"/>
          <w:sz w:val="20"/>
        </w:rPr>
        <w:t xml:space="preserve">) condições relacionadas ao vencimento antecipado. Os eventos relacionados </w:t>
      </w:r>
      <w:proofErr w:type="gramStart"/>
      <w:r w:rsidRPr="00E96AD7">
        <w:rPr>
          <w:rFonts w:ascii="Verdana" w:hAnsi="Verdana"/>
          <w:sz w:val="20"/>
        </w:rPr>
        <w:t>a</w:t>
      </w:r>
      <w:proofErr w:type="gramEnd"/>
      <w:r w:rsidRPr="00E96AD7">
        <w:rPr>
          <w:rFonts w:ascii="Verdana" w:hAnsi="Verdana"/>
          <w:sz w:val="20"/>
        </w:rPr>
        <w:t xml:space="preserve"> amortização das Debêntures não são considerados reestruturação das Debêntures</w:t>
      </w:r>
      <w:r>
        <w:rPr>
          <w:rFonts w:ascii="Verdana" w:hAnsi="Verdana"/>
          <w:sz w:val="20"/>
        </w:rPr>
        <w:t>; e</w:t>
      </w:r>
      <w:bookmarkStart w:id="126" w:name="_Ref264707931"/>
    </w:p>
    <w:p w14:paraId="058325EE" w14:textId="77777777" w:rsidR="002D5261" w:rsidRDefault="002D5261" w:rsidP="002D5261">
      <w:pPr>
        <w:spacing w:after="0" w:line="300" w:lineRule="exact"/>
        <w:ind w:left="851"/>
        <w:rPr>
          <w:rFonts w:ascii="Verdana" w:hAnsi="Verdana"/>
          <w:sz w:val="20"/>
        </w:rPr>
      </w:pPr>
    </w:p>
    <w:p w14:paraId="1352D10A" w14:textId="77777777" w:rsidR="002D5261" w:rsidRPr="00190686" w:rsidRDefault="002D5261" w:rsidP="002D5261">
      <w:pPr>
        <w:numPr>
          <w:ilvl w:val="3"/>
          <w:numId w:val="10"/>
        </w:numPr>
        <w:tabs>
          <w:tab w:val="clear" w:pos="2126"/>
          <w:tab w:val="num" w:pos="851"/>
        </w:tabs>
        <w:spacing w:after="0" w:line="300" w:lineRule="exact"/>
        <w:ind w:left="851" w:hanging="851"/>
        <w:rPr>
          <w:rFonts w:ascii="Verdana" w:hAnsi="Verdana"/>
          <w:sz w:val="20"/>
        </w:rPr>
      </w:pPr>
      <w:proofErr w:type="gramStart"/>
      <w:r>
        <w:rPr>
          <w:rFonts w:ascii="Verdana" w:hAnsi="Verdana"/>
          <w:sz w:val="20"/>
        </w:rPr>
        <w:t>no</w:t>
      </w:r>
      <w:proofErr w:type="gramEnd"/>
      <w:r>
        <w:rPr>
          <w:rFonts w:ascii="Verdana" w:hAnsi="Verdana"/>
          <w:sz w:val="20"/>
        </w:rPr>
        <w:t xml:space="preserve"> caso de celebração de aditamentos à Escritura de Emissão bem como nas horas externas ao Agente Fiduciário, serão cobradas, adicionalmente, o valor de R$500,00 (quinhentos reais) por hora-homem de trabalho dedicado a tais alterações/serviços. </w:t>
      </w:r>
    </w:p>
    <w:p w14:paraId="6B2A1B3C" w14:textId="77777777" w:rsidR="002D5261" w:rsidRPr="00190686" w:rsidRDefault="002D5261" w:rsidP="002D5261">
      <w:pPr>
        <w:tabs>
          <w:tab w:val="left" w:pos="851"/>
        </w:tabs>
        <w:spacing w:after="0" w:line="300" w:lineRule="exact"/>
        <w:rPr>
          <w:rFonts w:ascii="Verdana" w:hAnsi="Verdana"/>
          <w:sz w:val="20"/>
        </w:rPr>
      </w:pPr>
    </w:p>
    <w:p w14:paraId="4963CC40" w14:textId="77777777" w:rsidR="002D5261" w:rsidRPr="00190686" w:rsidRDefault="002D5261" w:rsidP="002D5261">
      <w:pPr>
        <w:numPr>
          <w:ilvl w:val="0"/>
          <w:numId w:val="25"/>
        </w:numPr>
        <w:tabs>
          <w:tab w:val="left" w:pos="851"/>
        </w:tabs>
        <w:spacing w:after="0" w:line="300" w:lineRule="exact"/>
        <w:ind w:left="0" w:firstLine="0"/>
        <w:rPr>
          <w:rFonts w:ascii="Verdana" w:hAnsi="Verdana"/>
          <w:sz w:val="20"/>
        </w:rPr>
      </w:pPr>
      <w:r>
        <w:rPr>
          <w:rFonts w:ascii="Verdana" w:hAnsi="Verdana"/>
          <w:sz w:val="20"/>
        </w:rPr>
        <w:t xml:space="preserve">As parcelas do item 7.2.1 acima serão </w:t>
      </w:r>
      <w:r w:rsidRPr="00190686">
        <w:rPr>
          <w:rFonts w:ascii="Verdana" w:hAnsi="Verdana"/>
          <w:sz w:val="20"/>
        </w:rPr>
        <w:t>reajustada</w:t>
      </w:r>
      <w:r>
        <w:rPr>
          <w:rFonts w:ascii="Verdana" w:hAnsi="Verdana"/>
          <w:sz w:val="20"/>
        </w:rPr>
        <w:t>s</w:t>
      </w:r>
      <w:r w:rsidRPr="00190686">
        <w:rPr>
          <w:rFonts w:ascii="Verdana" w:hAnsi="Verdana"/>
          <w:sz w:val="20"/>
        </w:rPr>
        <w:t xml:space="preserve"> anualmente, desde a </w:t>
      </w:r>
      <w:r>
        <w:rPr>
          <w:rFonts w:ascii="Verdana" w:hAnsi="Verdana"/>
          <w:sz w:val="20"/>
        </w:rPr>
        <w:t xml:space="preserve">data de pagamento da parcela relativa à Emissão, pelo </w:t>
      </w:r>
      <w:r w:rsidRPr="00190686">
        <w:rPr>
          <w:rFonts w:ascii="Verdana" w:hAnsi="Verdana"/>
          <w:sz w:val="20"/>
        </w:rPr>
        <w:t xml:space="preserve">IGP-M/Índice Geral de Preços-Mercado, divulgado pela Fundação </w:t>
      </w:r>
      <w:proofErr w:type="spellStart"/>
      <w:r w:rsidRPr="00190686">
        <w:rPr>
          <w:rFonts w:ascii="Verdana" w:hAnsi="Verdana"/>
          <w:sz w:val="20"/>
        </w:rPr>
        <w:t>Getulio</w:t>
      </w:r>
      <w:proofErr w:type="spellEnd"/>
      <w:r w:rsidRPr="00190686">
        <w:rPr>
          <w:rFonts w:ascii="Verdana" w:hAnsi="Verdana"/>
          <w:sz w:val="20"/>
        </w:rPr>
        <w:t xml:space="preserve"> Vargas</w:t>
      </w:r>
      <w:bookmarkEnd w:id="126"/>
      <w:r w:rsidRPr="00190686">
        <w:rPr>
          <w:rFonts w:ascii="Verdana" w:hAnsi="Verdana"/>
          <w:sz w:val="20"/>
        </w:rPr>
        <w:t>.</w:t>
      </w:r>
    </w:p>
    <w:p w14:paraId="149F8C0B" w14:textId="77777777" w:rsidR="002D5261" w:rsidRPr="00190686" w:rsidRDefault="002D5261" w:rsidP="002D5261">
      <w:pPr>
        <w:tabs>
          <w:tab w:val="left" w:pos="851"/>
        </w:tabs>
        <w:spacing w:after="0" w:line="300" w:lineRule="exact"/>
        <w:rPr>
          <w:rFonts w:ascii="Verdana" w:hAnsi="Verdana"/>
          <w:sz w:val="20"/>
        </w:rPr>
      </w:pPr>
    </w:p>
    <w:p w14:paraId="47CC3ED6" w14:textId="77777777" w:rsidR="002D5261" w:rsidRPr="00190686" w:rsidRDefault="002D5261" w:rsidP="002D5261">
      <w:pPr>
        <w:numPr>
          <w:ilvl w:val="0"/>
          <w:numId w:val="25"/>
        </w:numPr>
        <w:tabs>
          <w:tab w:val="left" w:pos="851"/>
        </w:tabs>
        <w:spacing w:after="0" w:line="300" w:lineRule="exact"/>
        <w:ind w:left="0" w:firstLine="0"/>
        <w:rPr>
          <w:rFonts w:ascii="Verdana" w:hAnsi="Verdana"/>
          <w:sz w:val="20"/>
        </w:rPr>
      </w:pPr>
      <w:bookmarkStart w:id="127" w:name="_Ref289701353"/>
      <w:r>
        <w:rPr>
          <w:rFonts w:ascii="Verdana" w:hAnsi="Verdana"/>
          <w:sz w:val="20"/>
        </w:rPr>
        <w:t xml:space="preserve">Os impostos incidentes sobre a remuneração serão acrescidos às parcelas nas suas respectivas datas de </w:t>
      </w:r>
      <w:bookmarkEnd w:id="127"/>
      <w:r>
        <w:rPr>
          <w:rFonts w:ascii="Verdana" w:hAnsi="Verdana"/>
          <w:sz w:val="20"/>
        </w:rPr>
        <w:t>pagamento</w:t>
      </w:r>
      <w:r w:rsidRPr="00190686">
        <w:rPr>
          <w:rFonts w:ascii="Verdana" w:hAnsi="Verdana"/>
          <w:sz w:val="20"/>
        </w:rPr>
        <w:t xml:space="preserve">. </w:t>
      </w:r>
    </w:p>
    <w:p w14:paraId="01938478" w14:textId="77777777" w:rsidR="002D5261" w:rsidRPr="00190686" w:rsidRDefault="002D5261" w:rsidP="002D5261">
      <w:pPr>
        <w:pStyle w:val="GradeMdia1-nfase21"/>
        <w:tabs>
          <w:tab w:val="left" w:pos="851"/>
        </w:tabs>
        <w:spacing w:after="0" w:line="300" w:lineRule="exact"/>
        <w:rPr>
          <w:rFonts w:ascii="Verdana" w:hAnsi="Verdana"/>
          <w:sz w:val="20"/>
        </w:rPr>
      </w:pPr>
    </w:p>
    <w:p w14:paraId="134D9237" w14:textId="77777777" w:rsidR="002D5261" w:rsidRPr="00190686" w:rsidRDefault="002D5261" w:rsidP="002D5261">
      <w:pPr>
        <w:numPr>
          <w:ilvl w:val="0"/>
          <w:numId w:val="25"/>
        </w:numPr>
        <w:tabs>
          <w:tab w:val="left" w:pos="851"/>
        </w:tabs>
        <w:spacing w:after="0" w:line="300" w:lineRule="exact"/>
        <w:ind w:left="0" w:firstLine="0"/>
        <w:rPr>
          <w:rFonts w:ascii="Verdana" w:hAnsi="Verdana"/>
          <w:sz w:val="20"/>
        </w:rPr>
      </w:pPr>
      <w:r w:rsidRPr="00190686">
        <w:rPr>
          <w:rFonts w:ascii="Verdana" w:hAnsi="Verdana"/>
          <w:sz w:val="20"/>
        </w:rPr>
        <w:lastRenderedPageBreak/>
        <w:t>A Remuneração do Agente Fiduciário será devida até o vencimento, resgate ou cancelamento das Debêntures e mesmo após o seu vencimento, resgate ou cancelamento na hipótese de atuação do Agente Fiduciário na cobrança de eventuais inadimplências relativas às Debêntures não sanadas pela Emissora, casos em que a remuneração devida ao Agente Fiduciário será calculada proporcionalmente aos meses de atuação do Agente Fiduciário, com base no valor da alínea “a” da Cláusula 7.2.1 acima, reajustado conforme a Cláusula 7.2.2 acima.</w:t>
      </w:r>
    </w:p>
    <w:p w14:paraId="21EEF850" w14:textId="77777777" w:rsidR="002D5261" w:rsidRPr="00190686" w:rsidRDefault="002D5261" w:rsidP="002D5261">
      <w:pPr>
        <w:tabs>
          <w:tab w:val="left" w:pos="851"/>
        </w:tabs>
        <w:spacing w:after="0" w:line="300" w:lineRule="exact"/>
        <w:rPr>
          <w:rFonts w:ascii="Verdana" w:hAnsi="Verdana"/>
          <w:sz w:val="20"/>
        </w:rPr>
      </w:pPr>
    </w:p>
    <w:p w14:paraId="67B8DA1B" w14:textId="77777777" w:rsidR="002D5261" w:rsidRDefault="002D5261" w:rsidP="002D5261">
      <w:pPr>
        <w:numPr>
          <w:ilvl w:val="0"/>
          <w:numId w:val="25"/>
        </w:numPr>
        <w:tabs>
          <w:tab w:val="left" w:pos="851"/>
        </w:tabs>
        <w:spacing w:after="0" w:line="300" w:lineRule="exact"/>
        <w:ind w:left="0" w:firstLine="0"/>
        <w:rPr>
          <w:rFonts w:ascii="Verdana" w:hAnsi="Verdana"/>
          <w:sz w:val="20"/>
        </w:rPr>
      </w:pPr>
      <w:r w:rsidRPr="00190686">
        <w:rPr>
          <w:rFonts w:ascii="Verdana" w:hAnsi="Verdana"/>
          <w:sz w:val="20"/>
        </w:rPr>
        <w:t xml:space="preserve">A Remuneração do Agente Fiduciário será acrescida, em caso de mora em seu pagamento, independentemente de aviso, notificação ou interpelação judicial ou extrajudicial, sobre os valores em atraso, sem prejuízo da atualização monetária, de (i) juros de mora de 1% (um por cento) ao mês, calculados </w:t>
      </w:r>
      <w:proofErr w:type="gramStart"/>
      <w:r w:rsidRPr="00190686">
        <w:rPr>
          <w:rFonts w:ascii="Verdana" w:hAnsi="Verdana"/>
          <w:i/>
          <w:sz w:val="20"/>
        </w:rPr>
        <w:t>pro rata</w:t>
      </w:r>
      <w:proofErr w:type="gramEnd"/>
      <w:r w:rsidRPr="00190686">
        <w:rPr>
          <w:rFonts w:ascii="Verdana" w:hAnsi="Verdana"/>
          <w:i/>
          <w:sz w:val="20"/>
        </w:rPr>
        <w:t xml:space="preserve"> </w:t>
      </w:r>
      <w:proofErr w:type="spellStart"/>
      <w:r w:rsidRPr="00190686">
        <w:rPr>
          <w:rFonts w:ascii="Verdana" w:hAnsi="Verdana"/>
          <w:i/>
          <w:sz w:val="20"/>
        </w:rPr>
        <w:t>temporis</w:t>
      </w:r>
      <w:proofErr w:type="spellEnd"/>
      <w:r w:rsidRPr="00190686">
        <w:rPr>
          <w:rFonts w:ascii="Verdana" w:hAnsi="Verdana"/>
          <w:sz w:val="20"/>
        </w:rPr>
        <w:t xml:space="preserve"> desde a data de inadimplemento até a data do efetivo pagamento; e (</w:t>
      </w:r>
      <w:proofErr w:type="spellStart"/>
      <w:r w:rsidRPr="00190686">
        <w:rPr>
          <w:rFonts w:ascii="Verdana" w:hAnsi="Verdana"/>
          <w:sz w:val="20"/>
        </w:rPr>
        <w:t>ii</w:t>
      </w:r>
      <w:proofErr w:type="spellEnd"/>
      <w:r w:rsidRPr="00190686">
        <w:rPr>
          <w:rFonts w:ascii="Verdana" w:hAnsi="Verdana"/>
          <w:sz w:val="20"/>
        </w:rPr>
        <w:t>) multa moratória, irredutível e de natureza não compensatória, de 2% (dois por cento).</w:t>
      </w:r>
    </w:p>
    <w:p w14:paraId="3994397A" w14:textId="77777777" w:rsidR="002D5261" w:rsidRDefault="002D5261" w:rsidP="002D5261">
      <w:pPr>
        <w:pStyle w:val="PargrafodaLista"/>
        <w:rPr>
          <w:rFonts w:ascii="Verdana" w:hAnsi="Verdana"/>
          <w:sz w:val="20"/>
        </w:rPr>
      </w:pPr>
    </w:p>
    <w:p w14:paraId="066DE2A1" w14:textId="77777777" w:rsidR="002D5261" w:rsidRDefault="002D5261" w:rsidP="00213040">
      <w:pPr>
        <w:numPr>
          <w:ilvl w:val="0"/>
          <w:numId w:val="25"/>
        </w:numPr>
        <w:tabs>
          <w:tab w:val="left" w:pos="851"/>
        </w:tabs>
        <w:spacing w:after="0" w:line="300" w:lineRule="exact"/>
        <w:ind w:left="0" w:firstLine="0"/>
        <w:rPr>
          <w:rFonts w:ascii="Verdana" w:hAnsi="Verdana"/>
          <w:sz w:val="20"/>
        </w:rPr>
      </w:pPr>
      <w:r>
        <w:rPr>
          <w:rFonts w:ascii="Verdana" w:hAnsi="Verdana"/>
          <w:sz w:val="20"/>
        </w:rPr>
        <w:t xml:space="preserve">A Remuneração do Agente Fiduciário não inclui as despesas com viagens, estadias, transporte e publicação </w:t>
      </w:r>
      <w:proofErr w:type="gramStart"/>
      <w:r>
        <w:rPr>
          <w:rFonts w:ascii="Verdana" w:hAnsi="Verdana"/>
          <w:sz w:val="20"/>
        </w:rPr>
        <w:t>necessárias</w:t>
      </w:r>
      <w:proofErr w:type="gramEnd"/>
      <w:r>
        <w:rPr>
          <w:rFonts w:ascii="Verdana" w:hAnsi="Verdana"/>
          <w:sz w:val="20"/>
        </w:rPr>
        <w:t xml:space="preserve"> ao exercício de sua função</w:t>
      </w:r>
      <w:r w:rsidRPr="00A87F62">
        <w:rPr>
          <w:rFonts w:ascii="Verdana" w:hAnsi="Verdana"/>
          <w:sz w:val="20"/>
        </w:rPr>
        <w:t xml:space="preserve">, </w:t>
      </w:r>
      <w:r w:rsidRPr="00E96AD7">
        <w:rPr>
          <w:rFonts w:ascii="Verdana" w:hAnsi="Verdana"/>
          <w:sz w:val="20"/>
        </w:rPr>
        <w:t xml:space="preserve">durante ou após a implantação do serviço, a serem cobertas pela Emissora, após prévia aprovação. Não estão incluídas igualmente, e serão arcadas pela Emissora, despesas com especialistas, tais como auditoria nas garantias concedidas </w:t>
      </w:r>
      <w:r>
        <w:rPr>
          <w:rFonts w:ascii="Verdana" w:hAnsi="Verdana"/>
          <w:sz w:val="20"/>
        </w:rPr>
        <w:t>às Debêntures</w:t>
      </w:r>
      <w:proofErr w:type="gramStart"/>
      <w:r>
        <w:rPr>
          <w:rFonts w:ascii="Verdana" w:hAnsi="Verdana"/>
          <w:sz w:val="20"/>
        </w:rPr>
        <w:t>, se houver</w:t>
      </w:r>
      <w:proofErr w:type="gramEnd"/>
      <w:r>
        <w:rPr>
          <w:rFonts w:ascii="Verdana" w:hAnsi="Verdana"/>
          <w:sz w:val="20"/>
        </w:rPr>
        <w:t xml:space="preserve">, </w:t>
      </w:r>
      <w:r w:rsidRPr="00E96AD7">
        <w:rPr>
          <w:rFonts w:ascii="Verdana" w:hAnsi="Verdana"/>
          <w:sz w:val="20"/>
        </w:rPr>
        <w:t xml:space="preserve">e assessoria legal ao Agente Fiduciário em caso de inadimplemento </w:t>
      </w:r>
      <w:r>
        <w:rPr>
          <w:rFonts w:ascii="Verdana" w:hAnsi="Verdana"/>
          <w:sz w:val="20"/>
        </w:rPr>
        <w:t>das Debêntures</w:t>
      </w:r>
      <w:r w:rsidRPr="00E96AD7">
        <w:rPr>
          <w:rFonts w:ascii="Verdana" w:hAnsi="Verdana"/>
          <w:sz w:val="20"/>
        </w:rPr>
        <w:t>. As eventuais despesas, depósitos, custas judiciais, sucumbências bem como indenizações decorrentes de ações intentadas contra o Agente Fiduciário</w:t>
      </w:r>
      <w:proofErr w:type="gramStart"/>
      <w:r w:rsidRPr="00E96AD7">
        <w:rPr>
          <w:rFonts w:ascii="Verdana" w:hAnsi="Verdana"/>
          <w:sz w:val="20"/>
        </w:rPr>
        <w:t xml:space="preserve">  </w:t>
      </w:r>
      <w:proofErr w:type="gramEnd"/>
      <w:r>
        <w:rPr>
          <w:rFonts w:ascii="Verdana" w:hAnsi="Verdana"/>
          <w:sz w:val="20"/>
        </w:rPr>
        <w:t xml:space="preserve">em decorrência </w:t>
      </w:r>
      <w:r w:rsidRPr="00E96AD7">
        <w:rPr>
          <w:rFonts w:ascii="Verdana" w:hAnsi="Verdana"/>
          <w:sz w:val="20"/>
        </w:rPr>
        <w:t xml:space="preserve">do exercício de sua função ou da sua atuação em defesa </w:t>
      </w:r>
      <w:r>
        <w:rPr>
          <w:rFonts w:ascii="Verdana" w:hAnsi="Verdana"/>
          <w:sz w:val="20"/>
        </w:rPr>
        <w:t>desta Escritura de Emissão</w:t>
      </w:r>
      <w:r w:rsidRPr="00E96AD7">
        <w:rPr>
          <w:rFonts w:ascii="Verdana" w:hAnsi="Verdana"/>
          <w:sz w:val="20"/>
        </w:rPr>
        <w:t xml:space="preserve"> serão suportadas </w:t>
      </w:r>
      <w:r>
        <w:rPr>
          <w:rFonts w:ascii="Verdana" w:hAnsi="Verdana"/>
          <w:sz w:val="20"/>
        </w:rPr>
        <w:t>pela Emissora</w:t>
      </w:r>
      <w:r w:rsidRPr="00E96AD7">
        <w:rPr>
          <w:rFonts w:ascii="Verdana" w:hAnsi="Verdana"/>
          <w:sz w:val="20"/>
        </w:rPr>
        <w:t xml:space="preserve">. Tais despesas incluem honorários advocatícios para defesa do Agente Fiduciário e deverão ser igualmente adiantadas pelos </w:t>
      </w:r>
      <w:r>
        <w:rPr>
          <w:rFonts w:ascii="Verdana" w:hAnsi="Verdana"/>
          <w:sz w:val="20"/>
        </w:rPr>
        <w:t xml:space="preserve">Debenturistas </w:t>
      </w:r>
      <w:r w:rsidRPr="00E96AD7">
        <w:rPr>
          <w:rFonts w:ascii="Verdana" w:hAnsi="Verdana"/>
          <w:sz w:val="20"/>
        </w:rPr>
        <w:t>e ressarcidas pela Emissora.</w:t>
      </w:r>
    </w:p>
    <w:p w14:paraId="409BDDC8" w14:textId="77777777" w:rsidR="002D5261" w:rsidRDefault="002D5261" w:rsidP="002D5261">
      <w:pPr>
        <w:pStyle w:val="PargrafodaLista"/>
        <w:rPr>
          <w:rFonts w:ascii="Verdana" w:hAnsi="Verdana"/>
          <w:sz w:val="20"/>
        </w:rPr>
      </w:pPr>
    </w:p>
    <w:p w14:paraId="36980A56" w14:textId="77777777" w:rsidR="002D5261" w:rsidRPr="00A87F62" w:rsidRDefault="002D5261" w:rsidP="00213040">
      <w:pPr>
        <w:numPr>
          <w:ilvl w:val="0"/>
          <w:numId w:val="25"/>
        </w:numPr>
        <w:tabs>
          <w:tab w:val="left" w:pos="851"/>
        </w:tabs>
        <w:spacing w:after="0" w:line="300" w:lineRule="exact"/>
        <w:ind w:left="0" w:firstLine="0"/>
        <w:rPr>
          <w:rFonts w:ascii="Verdana" w:hAnsi="Verdana"/>
          <w:sz w:val="20"/>
        </w:rPr>
      </w:pPr>
      <w:r>
        <w:rPr>
          <w:rFonts w:ascii="Verdana" w:hAnsi="Verdana"/>
          <w:sz w:val="20"/>
        </w:rPr>
        <w:t>No caso de inadimplemento da Emissora, todas as despesas em que o Agente Fiduciário</w:t>
      </w:r>
      <w:r w:rsidRPr="00B2297D">
        <w:rPr>
          <w:sz w:val="24"/>
          <w:szCs w:val="24"/>
        </w:rPr>
        <w:t xml:space="preserve"> </w:t>
      </w:r>
      <w:r w:rsidRPr="00E96AD7">
        <w:rPr>
          <w:rFonts w:ascii="Verdana" w:hAnsi="Verdana"/>
          <w:sz w:val="20"/>
        </w:rPr>
        <w:t xml:space="preserve">venha a incorrer para resguardar os interesses dos </w:t>
      </w:r>
      <w:r>
        <w:rPr>
          <w:rFonts w:ascii="Verdana" w:hAnsi="Verdana"/>
          <w:sz w:val="20"/>
        </w:rPr>
        <w:t xml:space="preserve">Debenturistas </w:t>
      </w:r>
      <w:r w:rsidRPr="00E96AD7">
        <w:rPr>
          <w:rFonts w:ascii="Verdana" w:hAnsi="Verdana"/>
          <w:sz w:val="20"/>
        </w:rPr>
        <w:t xml:space="preserve">deverão ser previamente aprovadas e adiantadas pelos </w:t>
      </w:r>
      <w:r>
        <w:rPr>
          <w:rFonts w:ascii="Verdana" w:hAnsi="Verdana"/>
          <w:sz w:val="20"/>
        </w:rPr>
        <w:t>Debenturistas</w:t>
      </w:r>
      <w:r w:rsidRPr="00E96AD7">
        <w:rPr>
          <w:rFonts w:ascii="Verdana" w:hAnsi="Verdana"/>
          <w:sz w:val="20"/>
        </w:rPr>
        <w:t xml:space="preserve">,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w:t>
      </w:r>
      <w:r>
        <w:rPr>
          <w:rFonts w:ascii="Verdana" w:hAnsi="Verdana"/>
          <w:sz w:val="20"/>
        </w:rPr>
        <w:t>Debenturistas</w:t>
      </w:r>
      <w:r w:rsidRPr="00E96AD7">
        <w:rPr>
          <w:rFonts w:ascii="Verdana" w:hAnsi="Verdana"/>
          <w:sz w:val="20"/>
        </w:rPr>
        <w:t xml:space="preserve">. As eventuais despesas, depósitos e custas judiciais decorrentes da sucumbência em ações judiciais serão igualmente </w:t>
      </w:r>
      <w:proofErr w:type="gramStart"/>
      <w:r w:rsidRPr="00E96AD7">
        <w:rPr>
          <w:rFonts w:ascii="Verdana" w:hAnsi="Verdana"/>
          <w:sz w:val="20"/>
        </w:rPr>
        <w:t>suportadas</w:t>
      </w:r>
      <w:proofErr w:type="gramEnd"/>
      <w:r w:rsidRPr="00E96AD7">
        <w:rPr>
          <w:rFonts w:ascii="Verdana" w:hAnsi="Verdana"/>
          <w:sz w:val="20"/>
        </w:rPr>
        <w:t xml:space="preserve"> pelos </w:t>
      </w:r>
      <w:r>
        <w:rPr>
          <w:rFonts w:ascii="Verdana" w:hAnsi="Verdana"/>
          <w:sz w:val="20"/>
        </w:rPr>
        <w:t>Debenturistas</w:t>
      </w:r>
      <w:r w:rsidRPr="00E96AD7">
        <w:rPr>
          <w:rFonts w:ascii="Verdana" w:hAnsi="Verdana"/>
          <w:sz w:val="20"/>
        </w:rPr>
        <w:t>, bem como a remuneração e as despesas reembolsáveis do Agente Fiduciário, na hipótese de a Emissora permanecer em inadimplência com relação ao pagamento destas por um período superior a 10 (dez) dias corridos.</w:t>
      </w:r>
    </w:p>
    <w:p w14:paraId="01D1666E" w14:textId="77777777" w:rsidR="002D5261" w:rsidRPr="00190686" w:rsidRDefault="002D5261" w:rsidP="002D5261">
      <w:pPr>
        <w:tabs>
          <w:tab w:val="left" w:pos="851"/>
        </w:tabs>
        <w:spacing w:after="0" w:line="300" w:lineRule="exact"/>
        <w:rPr>
          <w:rFonts w:ascii="Verdana" w:hAnsi="Verdana"/>
          <w:sz w:val="20"/>
        </w:rPr>
      </w:pPr>
    </w:p>
    <w:p w14:paraId="59532DA0" w14:textId="77777777" w:rsidR="002D5261" w:rsidRPr="00190686" w:rsidRDefault="002D5261" w:rsidP="002D5261">
      <w:pPr>
        <w:numPr>
          <w:ilvl w:val="1"/>
          <w:numId w:val="10"/>
        </w:numPr>
        <w:tabs>
          <w:tab w:val="left" w:pos="851"/>
        </w:tabs>
        <w:spacing w:after="0" w:line="300" w:lineRule="exact"/>
        <w:rPr>
          <w:rFonts w:ascii="Verdana" w:hAnsi="Verdana"/>
          <w:b/>
          <w:sz w:val="20"/>
        </w:rPr>
      </w:pPr>
      <w:r w:rsidRPr="00190686">
        <w:rPr>
          <w:rFonts w:ascii="Verdana" w:hAnsi="Verdana"/>
          <w:b/>
          <w:sz w:val="20"/>
        </w:rPr>
        <w:t>Substituição</w:t>
      </w:r>
    </w:p>
    <w:p w14:paraId="670A3EA6" w14:textId="77777777" w:rsidR="002D5261" w:rsidRPr="00190686" w:rsidRDefault="002D5261" w:rsidP="002D5261">
      <w:pPr>
        <w:tabs>
          <w:tab w:val="left" w:pos="851"/>
        </w:tabs>
        <w:spacing w:after="0" w:line="300" w:lineRule="exact"/>
        <w:rPr>
          <w:rFonts w:ascii="Verdana" w:hAnsi="Verdana"/>
          <w:sz w:val="20"/>
        </w:rPr>
      </w:pPr>
    </w:p>
    <w:p w14:paraId="0F1249E3" w14:textId="77777777" w:rsidR="002D5261" w:rsidRPr="00190686" w:rsidRDefault="002D5261" w:rsidP="002D5261">
      <w:pPr>
        <w:numPr>
          <w:ilvl w:val="0"/>
          <w:numId w:val="26"/>
        </w:numPr>
        <w:tabs>
          <w:tab w:val="left" w:pos="851"/>
        </w:tabs>
        <w:spacing w:after="0" w:line="300" w:lineRule="exact"/>
        <w:ind w:left="0" w:firstLine="0"/>
        <w:rPr>
          <w:rFonts w:ascii="Verdana" w:hAnsi="Verdana"/>
          <w:sz w:val="20"/>
        </w:rPr>
      </w:pPr>
      <w:r w:rsidRPr="00190686">
        <w:rPr>
          <w:rFonts w:ascii="Verdana" w:hAnsi="Verdana"/>
          <w:sz w:val="20"/>
        </w:rPr>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ou até sua efetiva substituição.</w:t>
      </w:r>
    </w:p>
    <w:p w14:paraId="4BA94C4D" w14:textId="77777777" w:rsidR="002D5261" w:rsidRPr="00190686" w:rsidRDefault="002D5261" w:rsidP="002D5261">
      <w:pPr>
        <w:tabs>
          <w:tab w:val="left" w:pos="851"/>
        </w:tabs>
        <w:spacing w:after="0" w:line="300" w:lineRule="exact"/>
        <w:rPr>
          <w:rFonts w:ascii="Verdana" w:hAnsi="Verdana"/>
          <w:sz w:val="20"/>
        </w:rPr>
      </w:pPr>
    </w:p>
    <w:p w14:paraId="38E100B6" w14:textId="77777777" w:rsidR="002D5261" w:rsidRPr="00190686" w:rsidRDefault="002D5261" w:rsidP="002D5261">
      <w:pPr>
        <w:numPr>
          <w:ilvl w:val="0"/>
          <w:numId w:val="26"/>
        </w:numPr>
        <w:tabs>
          <w:tab w:val="left" w:pos="851"/>
        </w:tabs>
        <w:spacing w:after="0" w:line="300" w:lineRule="exact"/>
        <w:ind w:left="0" w:firstLine="0"/>
        <w:rPr>
          <w:rFonts w:ascii="Verdana" w:hAnsi="Verdana"/>
          <w:sz w:val="20"/>
        </w:rPr>
      </w:pPr>
      <w:r w:rsidRPr="00190686">
        <w:rPr>
          <w:rFonts w:ascii="Verdana" w:hAnsi="Verdana"/>
          <w:sz w:val="20"/>
        </w:rPr>
        <w:t xml:space="preserve">Em caso de ausência, impedimentos temporários, renúncia, intervenção, liquidação judicial ou extrajudicial, falência, ou qualquer outro caso de vacância do Agente Fiduciário, serão </w:t>
      </w:r>
      <w:proofErr w:type="gramStart"/>
      <w:r w:rsidRPr="00190686">
        <w:rPr>
          <w:rFonts w:ascii="Verdana" w:hAnsi="Verdana"/>
          <w:sz w:val="20"/>
        </w:rPr>
        <w:t>aplicadas</w:t>
      </w:r>
      <w:proofErr w:type="gramEnd"/>
      <w:r w:rsidRPr="00190686">
        <w:rPr>
          <w:rFonts w:ascii="Verdana" w:hAnsi="Verdana"/>
          <w:sz w:val="20"/>
        </w:rPr>
        <w:t xml:space="preserve"> as seguintes disposições:</w:t>
      </w:r>
    </w:p>
    <w:p w14:paraId="2AE51EAF" w14:textId="77777777" w:rsidR="002D5261" w:rsidRPr="00190686" w:rsidRDefault="002D5261" w:rsidP="002D5261">
      <w:pPr>
        <w:pStyle w:val="ListaColorida-nfase11"/>
        <w:spacing w:after="0" w:line="300" w:lineRule="exact"/>
        <w:rPr>
          <w:rFonts w:ascii="Verdana" w:hAnsi="Verdana"/>
          <w:sz w:val="20"/>
        </w:rPr>
      </w:pPr>
    </w:p>
    <w:p w14:paraId="32D6EDE0" w14:textId="77777777" w:rsidR="002D5261" w:rsidRPr="00190686" w:rsidRDefault="002D5261" w:rsidP="002D5261">
      <w:pPr>
        <w:numPr>
          <w:ilvl w:val="0"/>
          <w:numId w:val="41"/>
        </w:numPr>
        <w:tabs>
          <w:tab w:val="left" w:pos="709"/>
        </w:tabs>
        <w:spacing w:after="0" w:line="300" w:lineRule="exact"/>
        <w:ind w:left="709" w:hanging="709"/>
        <w:rPr>
          <w:rFonts w:ascii="Verdana" w:hAnsi="Verdana"/>
          <w:sz w:val="20"/>
        </w:rPr>
      </w:pPr>
      <w:r w:rsidRPr="00190686">
        <w:rPr>
          <w:rFonts w:ascii="Verdana" w:hAnsi="Verdana"/>
          <w:sz w:val="20"/>
        </w:rPr>
        <w:t>É facultado aos Debenturistas, após o encerramento da Oferta, proceder à substituição do Agente Fiduciário e à indicação de seu substituto, em Assembleia Geral especialmente convocada para esse fim.</w:t>
      </w:r>
    </w:p>
    <w:p w14:paraId="7A707D18" w14:textId="77777777" w:rsidR="002D5261" w:rsidRPr="00190686" w:rsidRDefault="002D5261" w:rsidP="002D5261">
      <w:pPr>
        <w:pStyle w:val="GradeMdia1-nfase21"/>
        <w:tabs>
          <w:tab w:val="left" w:pos="851"/>
        </w:tabs>
        <w:spacing w:after="0" w:line="300" w:lineRule="exact"/>
        <w:rPr>
          <w:rFonts w:ascii="Verdana" w:hAnsi="Verdana"/>
          <w:sz w:val="20"/>
        </w:rPr>
      </w:pPr>
    </w:p>
    <w:p w14:paraId="487BEFF0" w14:textId="77777777" w:rsidR="002D5261" w:rsidRPr="00190686" w:rsidRDefault="002D5261" w:rsidP="002D5261">
      <w:pPr>
        <w:numPr>
          <w:ilvl w:val="0"/>
          <w:numId w:val="41"/>
        </w:numPr>
        <w:tabs>
          <w:tab w:val="left" w:pos="709"/>
        </w:tabs>
        <w:spacing w:after="0" w:line="300" w:lineRule="exact"/>
        <w:ind w:left="709" w:hanging="709"/>
        <w:rPr>
          <w:rFonts w:ascii="Verdana" w:hAnsi="Verdana"/>
          <w:sz w:val="20"/>
        </w:rPr>
      </w:pPr>
      <w:r w:rsidRPr="00190686">
        <w:rPr>
          <w:rFonts w:ascii="Verdana" w:hAnsi="Verdana"/>
          <w:sz w:val="20"/>
        </w:rPr>
        <w:t>Caso o Agente Fiduciário não possa continuar a exercer as suas funções por circunstâncias supervenientes a esta Escritura de Emissão, deverá comunicar imediatamente o fato aos Debenturistas, solicitando sua substituição e convocar Assembleia Geral para esse fim.</w:t>
      </w:r>
    </w:p>
    <w:p w14:paraId="55B0AB85" w14:textId="77777777" w:rsidR="002D5261" w:rsidRPr="00190686" w:rsidRDefault="002D5261" w:rsidP="002D5261">
      <w:pPr>
        <w:tabs>
          <w:tab w:val="left" w:pos="851"/>
        </w:tabs>
        <w:spacing w:after="0" w:line="300" w:lineRule="exact"/>
        <w:rPr>
          <w:rFonts w:ascii="Verdana" w:hAnsi="Verdana"/>
          <w:sz w:val="20"/>
        </w:rPr>
      </w:pPr>
    </w:p>
    <w:p w14:paraId="75B0E547" w14:textId="77777777" w:rsidR="002D5261" w:rsidRPr="00190686" w:rsidRDefault="002D5261" w:rsidP="002D5261">
      <w:pPr>
        <w:numPr>
          <w:ilvl w:val="0"/>
          <w:numId w:val="41"/>
        </w:numPr>
        <w:tabs>
          <w:tab w:val="left" w:pos="709"/>
        </w:tabs>
        <w:spacing w:after="0" w:line="300" w:lineRule="exact"/>
        <w:ind w:left="709" w:hanging="709"/>
        <w:rPr>
          <w:rFonts w:ascii="Verdana" w:hAnsi="Verdana"/>
          <w:sz w:val="20"/>
        </w:rPr>
      </w:pPr>
      <w:r w:rsidRPr="00190686">
        <w:rPr>
          <w:rFonts w:ascii="Verdana" w:hAnsi="Verdana"/>
          <w:sz w:val="20"/>
        </w:rPr>
        <w:t>Caso o Agente Fiduciário renuncie às suas funções, deverá permanecer no exercício de suas funções até que uma instituição substituta seja indicada pela Emissora e aprovada pela Assembleia Geral e assuma efetivamente as suas funções.</w:t>
      </w:r>
    </w:p>
    <w:p w14:paraId="1E58DE70" w14:textId="77777777" w:rsidR="002D5261" w:rsidRPr="00190686" w:rsidRDefault="002D5261" w:rsidP="002D5261">
      <w:pPr>
        <w:tabs>
          <w:tab w:val="left" w:pos="851"/>
        </w:tabs>
        <w:spacing w:after="0" w:line="300" w:lineRule="exact"/>
        <w:rPr>
          <w:rFonts w:ascii="Verdana" w:hAnsi="Verdana"/>
          <w:sz w:val="20"/>
        </w:rPr>
      </w:pPr>
      <w:bookmarkStart w:id="128" w:name="_Ref130285900"/>
    </w:p>
    <w:p w14:paraId="525A3C16" w14:textId="77777777" w:rsidR="002D5261" w:rsidRPr="00190686" w:rsidRDefault="002D5261" w:rsidP="002D5261">
      <w:pPr>
        <w:numPr>
          <w:ilvl w:val="0"/>
          <w:numId w:val="41"/>
        </w:numPr>
        <w:tabs>
          <w:tab w:val="left" w:pos="709"/>
        </w:tabs>
        <w:spacing w:after="0" w:line="300" w:lineRule="exact"/>
        <w:ind w:left="709" w:hanging="709"/>
        <w:rPr>
          <w:rFonts w:ascii="Verdana" w:hAnsi="Verdana"/>
          <w:sz w:val="20"/>
        </w:rPr>
      </w:pPr>
      <w:r w:rsidRPr="00190686">
        <w:rPr>
          <w:rFonts w:ascii="Verdana" w:hAnsi="Verdana"/>
          <w:sz w:val="20"/>
        </w:rPr>
        <w:t>Serão realizadas, dentro do prazo máximo de 30 (trinta) dias, contados do evento que a determinar, Assembleia Geral de Debenturistas da Primeira Série e Assembleia Geral de Debenturistas da Segunda Série, para a escolha do novo agente fiduciário, que poderão ser convocadas pelo próprio Agente Fiduciário a ser substituído, pela Emissora, por Debenturistas da Primeira Série representando, no mínimo, 10% (dez por cento) das Debêntures da Primeira Série em circulação, e/ou por Debenturistas da Segunda Série representando, no mínimo, 10% (dez por cento) das Debêntures da Segunda Série em circulação, ou pela CVM; na hipótese da convocação não ocorrer em até 15 (quinze) dias antes do término do prazo aqui previsto, caberá à Emissora efetuá-la, sendo certo que a CVM poderá nomear substituto provisório enquanto não se consumar o processo de escolha do novo agente fiduciário</w:t>
      </w:r>
      <w:bookmarkEnd w:id="128"/>
      <w:r w:rsidRPr="00190686">
        <w:rPr>
          <w:rFonts w:ascii="Verdana" w:hAnsi="Verdana"/>
          <w:sz w:val="20"/>
        </w:rPr>
        <w:t>.</w:t>
      </w:r>
    </w:p>
    <w:p w14:paraId="6AC00A2E" w14:textId="77777777" w:rsidR="002D5261" w:rsidRPr="00190686" w:rsidRDefault="002D5261" w:rsidP="002D5261">
      <w:pPr>
        <w:pStyle w:val="GradeMdia1-nfase21"/>
        <w:tabs>
          <w:tab w:val="left" w:pos="851"/>
        </w:tabs>
        <w:spacing w:after="0" w:line="300" w:lineRule="exact"/>
        <w:rPr>
          <w:rFonts w:ascii="Verdana" w:hAnsi="Verdana"/>
          <w:sz w:val="20"/>
        </w:rPr>
      </w:pPr>
    </w:p>
    <w:p w14:paraId="64538005" w14:textId="77777777" w:rsidR="002D5261" w:rsidRPr="00190686" w:rsidRDefault="002D5261" w:rsidP="002D5261">
      <w:pPr>
        <w:numPr>
          <w:ilvl w:val="0"/>
          <w:numId w:val="41"/>
        </w:numPr>
        <w:tabs>
          <w:tab w:val="left" w:pos="709"/>
        </w:tabs>
        <w:spacing w:after="0" w:line="300" w:lineRule="exact"/>
        <w:ind w:left="709" w:hanging="709"/>
        <w:rPr>
          <w:rFonts w:ascii="Verdana" w:hAnsi="Verdana"/>
          <w:sz w:val="20"/>
        </w:rPr>
      </w:pPr>
      <w:proofErr w:type="gramStart"/>
      <w:r w:rsidRPr="00190686">
        <w:rPr>
          <w:rFonts w:ascii="Verdana" w:hAnsi="Verdana"/>
          <w:sz w:val="20"/>
        </w:rPr>
        <w:t>a</w:t>
      </w:r>
      <w:proofErr w:type="gramEnd"/>
      <w:r w:rsidRPr="00190686">
        <w:rPr>
          <w:rFonts w:ascii="Verdana" w:hAnsi="Verdana"/>
          <w:sz w:val="20"/>
        </w:rPr>
        <w:t xml:space="preserve"> substituição, em caráter permanente, do Agente Fiduciário (a) está sujeita à comunicação prévia à CVM e à sua manifestação acerca do atendimento aos requisitos previstos no artigo 9º da Instrução da CVM nº 28, de 23 de novembro de 1983, conforme alterada, ou, em caso de alteração, a que vier a substituí-la (“</w:t>
      </w:r>
      <w:r w:rsidRPr="00190686">
        <w:rPr>
          <w:rFonts w:ascii="Verdana" w:hAnsi="Verdana"/>
          <w:sz w:val="20"/>
          <w:u w:val="single"/>
        </w:rPr>
        <w:t>Instrução CVM 28</w:t>
      </w:r>
      <w:r w:rsidRPr="00190686">
        <w:rPr>
          <w:rFonts w:ascii="Verdana" w:hAnsi="Verdana"/>
          <w:sz w:val="20"/>
        </w:rPr>
        <w:t>”); e (b) deverá ser objeto de aditamento a esta Escritura de Emissão.</w:t>
      </w:r>
    </w:p>
    <w:p w14:paraId="72631C93" w14:textId="77777777" w:rsidR="002D5261" w:rsidRPr="00190686" w:rsidRDefault="002D5261" w:rsidP="002D5261">
      <w:pPr>
        <w:pStyle w:val="GradeMdia1-nfase21"/>
        <w:tabs>
          <w:tab w:val="left" w:pos="851"/>
        </w:tabs>
        <w:spacing w:after="0" w:line="300" w:lineRule="exact"/>
        <w:rPr>
          <w:rFonts w:ascii="Verdana" w:hAnsi="Verdana"/>
          <w:sz w:val="20"/>
        </w:rPr>
      </w:pPr>
    </w:p>
    <w:p w14:paraId="5F4C2EA8" w14:textId="77777777" w:rsidR="002D5261" w:rsidRPr="00190686" w:rsidRDefault="002D5261" w:rsidP="002D5261">
      <w:pPr>
        <w:numPr>
          <w:ilvl w:val="0"/>
          <w:numId w:val="41"/>
        </w:numPr>
        <w:tabs>
          <w:tab w:val="left" w:pos="709"/>
        </w:tabs>
        <w:spacing w:after="0" w:line="300" w:lineRule="exact"/>
        <w:ind w:left="709" w:hanging="709"/>
        <w:rPr>
          <w:rFonts w:ascii="Verdana" w:hAnsi="Verdana"/>
          <w:sz w:val="20"/>
        </w:rPr>
      </w:pPr>
      <w:proofErr w:type="gramStart"/>
      <w:r w:rsidRPr="00190686">
        <w:rPr>
          <w:rFonts w:ascii="Verdana" w:hAnsi="Verdana"/>
          <w:sz w:val="20"/>
        </w:rPr>
        <w:t>os</w:t>
      </w:r>
      <w:proofErr w:type="gramEnd"/>
      <w:r w:rsidRPr="00190686">
        <w:rPr>
          <w:rFonts w:ascii="Verdana" w:hAnsi="Verdana"/>
          <w:sz w:val="20"/>
        </w:rPr>
        <w:t xml:space="preserve"> pagamentos ao Agente Fiduciário substituído serão realizados observando-se a proporcionalidade ao período da efetiva prestação dos serviços.</w:t>
      </w:r>
    </w:p>
    <w:p w14:paraId="08A6DB98" w14:textId="77777777" w:rsidR="002D5261" w:rsidRPr="00190686" w:rsidRDefault="002D5261" w:rsidP="002D5261">
      <w:pPr>
        <w:pStyle w:val="GradeMdia1-nfase21"/>
        <w:tabs>
          <w:tab w:val="left" w:pos="851"/>
        </w:tabs>
        <w:spacing w:after="0" w:line="300" w:lineRule="exact"/>
        <w:rPr>
          <w:rFonts w:ascii="Verdana" w:hAnsi="Verdana"/>
          <w:sz w:val="20"/>
        </w:rPr>
      </w:pPr>
    </w:p>
    <w:p w14:paraId="044313AA" w14:textId="77777777" w:rsidR="002D5261" w:rsidRPr="00190686" w:rsidRDefault="002D5261" w:rsidP="002D5261">
      <w:pPr>
        <w:numPr>
          <w:ilvl w:val="0"/>
          <w:numId w:val="41"/>
        </w:numPr>
        <w:tabs>
          <w:tab w:val="left" w:pos="709"/>
        </w:tabs>
        <w:spacing w:after="0" w:line="300" w:lineRule="exact"/>
        <w:ind w:left="709" w:hanging="709"/>
        <w:rPr>
          <w:rFonts w:ascii="Verdana" w:hAnsi="Verdana"/>
          <w:sz w:val="20"/>
        </w:rPr>
      </w:pPr>
      <w:proofErr w:type="gramStart"/>
      <w:r w:rsidRPr="00190686">
        <w:rPr>
          <w:rFonts w:ascii="Verdana" w:hAnsi="Verdana"/>
          <w:sz w:val="20"/>
        </w:rPr>
        <w:t>o</w:t>
      </w:r>
      <w:proofErr w:type="gramEnd"/>
      <w:r w:rsidRPr="00190686">
        <w:rPr>
          <w:rFonts w:ascii="Verdana" w:hAnsi="Verdana"/>
          <w:sz w:val="20"/>
        </w:rPr>
        <w:t xml:space="preserve"> agente fiduciário substituto fará jus à mesma remuneração percebida pelo anterior, caso (a) a Emissora não tenha concordado com o novo valor da remuneração do agente fiduciário proposto pelas assembleias gerais de Debenturistas; ou (b) as assembleias gerais de Debenturistas não deliberem sobre a matéria;</w:t>
      </w:r>
    </w:p>
    <w:p w14:paraId="1C561223" w14:textId="77777777" w:rsidR="002D5261" w:rsidRPr="00190686" w:rsidRDefault="002D5261" w:rsidP="002D5261">
      <w:pPr>
        <w:tabs>
          <w:tab w:val="left" w:pos="851"/>
        </w:tabs>
        <w:spacing w:after="0" w:line="300" w:lineRule="exact"/>
        <w:rPr>
          <w:rFonts w:ascii="Verdana" w:hAnsi="Verdana"/>
          <w:sz w:val="20"/>
        </w:rPr>
      </w:pPr>
    </w:p>
    <w:p w14:paraId="2D029717" w14:textId="77777777" w:rsidR="002D5261" w:rsidRPr="00190686" w:rsidRDefault="002D5261" w:rsidP="002D5261">
      <w:pPr>
        <w:numPr>
          <w:ilvl w:val="0"/>
          <w:numId w:val="41"/>
        </w:numPr>
        <w:tabs>
          <w:tab w:val="left" w:pos="709"/>
        </w:tabs>
        <w:spacing w:after="0" w:line="300" w:lineRule="exact"/>
        <w:ind w:left="709" w:hanging="709"/>
        <w:rPr>
          <w:rFonts w:ascii="Verdana" w:hAnsi="Verdana"/>
          <w:sz w:val="20"/>
        </w:rPr>
      </w:pPr>
      <w:proofErr w:type="gramStart"/>
      <w:r w:rsidRPr="00190686">
        <w:rPr>
          <w:rFonts w:ascii="Verdana" w:hAnsi="Verdana"/>
          <w:sz w:val="20"/>
        </w:rPr>
        <w:t>agente</w:t>
      </w:r>
      <w:proofErr w:type="gramEnd"/>
      <w:r w:rsidRPr="00190686">
        <w:rPr>
          <w:rFonts w:ascii="Verdana" w:hAnsi="Verdana"/>
          <w:sz w:val="20"/>
        </w:rPr>
        <w:t xml:space="preserve"> fiduciário substituto deverá, imediatamente após sua nomeação, comunicá-la à Emissora e aos Debenturistas nos termos das Cláusula 4.10 acima; e</w:t>
      </w:r>
    </w:p>
    <w:p w14:paraId="576B270B" w14:textId="77777777" w:rsidR="002D5261" w:rsidRPr="00190686" w:rsidRDefault="002D5261" w:rsidP="002D5261">
      <w:pPr>
        <w:pStyle w:val="GradeMdia1-nfase21"/>
        <w:tabs>
          <w:tab w:val="left" w:pos="851"/>
        </w:tabs>
        <w:spacing w:after="0" w:line="300" w:lineRule="exact"/>
        <w:rPr>
          <w:rFonts w:ascii="Verdana" w:hAnsi="Verdana"/>
          <w:sz w:val="20"/>
        </w:rPr>
      </w:pPr>
    </w:p>
    <w:p w14:paraId="44C5BB18" w14:textId="77777777" w:rsidR="002D5261" w:rsidRPr="00190686" w:rsidRDefault="002D5261" w:rsidP="002D5261">
      <w:pPr>
        <w:numPr>
          <w:ilvl w:val="0"/>
          <w:numId w:val="41"/>
        </w:numPr>
        <w:tabs>
          <w:tab w:val="left" w:pos="709"/>
        </w:tabs>
        <w:spacing w:after="0" w:line="300" w:lineRule="exact"/>
        <w:ind w:left="709" w:hanging="709"/>
        <w:rPr>
          <w:rFonts w:ascii="Verdana" w:hAnsi="Verdana"/>
          <w:sz w:val="20"/>
        </w:rPr>
      </w:pPr>
      <w:proofErr w:type="gramStart"/>
      <w:r w:rsidRPr="00190686">
        <w:rPr>
          <w:rFonts w:ascii="Verdana" w:hAnsi="Verdana"/>
          <w:sz w:val="20"/>
        </w:rPr>
        <w:t>aplicam</w:t>
      </w:r>
      <w:proofErr w:type="gramEnd"/>
      <w:r w:rsidRPr="00190686">
        <w:rPr>
          <w:rFonts w:ascii="Verdana" w:hAnsi="Verdana"/>
          <w:sz w:val="20"/>
        </w:rPr>
        <w:t>-se às hipóteses de substituição do Agente Fiduciário as normas e preceitos emanados da CVM.</w:t>
      </w:r>
    </w:p>
    <w:p w14:paraId="70A76959" w14:textId="77777777" w:rsidR="002D5261" w:rsidRDefault="002D5261" w:rsidP="002D5261">
      <w:pPr>
        <w:tabs>
          <w:tab w:val="left" w:pos="851"/>
        </w:tabs>
        <w:spacing w:after="0" w:line="300" w:lineRule="exact"/>
        <w:rPr>
          <w:rFonts w:ascii="Verdana" w:hAnsi="Verdana"/>
          <w:sz w:val="20"/>
        </w:rPr>
      </w:pPr>
      <w:bookmarkStart w:id="129" w:name="_Ref130286973"/>
    </w:p>
    <w:p w14:paraId="61816F2B" w14:textId="21947B1E" w:rsidR="002D5261" w:rsidRPr="00190686" w:rsidRDefault="002D5261" w:rsidP="002D5261">
      <w:pPr>
        <w:numPr>
          <w:ilvl w:val="1"/>
          <w:numId w:val="10"/>
        </w:numPr>
        <w:tabs>
          <w:tab w:val="left" w:pos="851"/>
        </w:tabs>
        <w:spacing w:after="0" w:line="300" w:lineRule="exact"/>
        <w:rPr>
          <w:rFonts w:ascii="Verdana" w:hAnsi="Verdana"/>
          <w:b/>
          <w:sz w:val="20"/>
        </w:rPr>
      </w:pPr>
      <w:bookmarkStart w:id="130" w:name="_Ref130284022"/>
      <w:bookmarkEnd w:id="129"/>
      <w:r w:rsidRPr="00190686">
        <w:rPr>
          <w:rFonts w:ascii="Verdana" w:hAnsi="Verdana"/>
          <w:b/>
          <w:sz w:val="20"/>
        </w:rPr>
        <w:t>Deveres</w:t>
      </w:r>
    </w:p>
    <w:p w14:paraId="3D92BDEE" w14:textId="77777777" w:rsidR="002D5261" w:rsidRPr="00190686" w:rsidRDefault="002D5261" w:rsidP="002D5261">
      <w:pPr>
        <w:tabs>
          <w:tab w:val="left" w:pos="851"/>
        </w:tabs>
        <w:spacing w:after="0" w:line="300" w:lineRule="exact"/>
        <w:rPr>
          <w:rFonts w:ascii="Verdana" w:hAnsi="Verdana"/>
          <w:b/>
          <w:sz w:val="20"/>
        </w:rPr>
      </w:pPr>
    </w:p>
    <w:p w14:paraId="418D3039" w14:textId="77777777" w:rsidR="002D5261" w:rsidRPr="00190686" w:rsidRDefault="002D5261" w:rsidP="002D5261">
      <w:pPr>
        <w:numPr>
          <w:ilvl w:val="0"/>
          <w:numId w:val="35"/>
        </w:numPr>
        <w:tabs>
          <w:tab w:val="left" w:pos="851"/>
        </w:tabs>
        <w:spacing w:after="0" w:line="300" w:lineRule="exact"/>
        <w:ind w:left="0" w:firstLine="0"/>
        <w:rPr>
          <w:rFonts w:ascii="Verdana" w:hAnsi="Verdana"/>
          <w:sz w:val="20"/>
        </w:rPr>
      </w:pPr>
      <w:bookmarkStart w:id="131" w:name="_Ref164589409"/>
      <w:r w:rsidRPr="00190686">
        <w:rPr>
          <w:rFonts w:ascii="Verdana" w:hAnsi="Verdana"/>
          <w:sz w:val="20"/>
        </w:rPr>
        <w:t>A atuação do Agente Fiduciário limita-se ao escopo da Instrução CVM 28, dos artigos aplicáveis da Lei das Sociedades por Ações e desta Escritura de Emissão, estando o Agente Fiduciário isento, sob qualquer forma ou pretexto, de qualquer responsabilidade adicional que não tenha decorrido das disposições legais e regulamentares aplicáveis e/ou desta Escritura de Emissão.</w:t>
      </w:r>
    </w:p>
    <w:p w14:paraId="607FCF99" w14:textId="77777777" w:rsidR="002D5261" w:rsidRPr="00190686" w:rsidRDefault="002D5261" w:rsidP="002D5261">
      <w:pPr>
        <w:keepNext/>
        <w:tabs>
          <w:tab w:val="left" w:pos="851"/>
        </w:tabs>
        <w:spacing w:after="0" w:line="300" w:lineRule="exact"/>
        <w:rPr>
          <w:rFonts w:ascii="Verdana" w:hAnsi="Verdana"/>
          <w:sz w:val="20"/>
        </w:rPr>
      </w:pPr>
    </w:p>
    <w:p w14:paraId="224C1912" w14:textId="77777777" w:rsidR="002D5261" w:rsidRPr="00190686" w:rsidRDefault="002D5261" w:rsidP="002D5261">
      <w:pPr>
        <w:numPr>
          <w:ilvl w:val="0"/>
          <w:numId w:val="35"/>
        </w:numPr>
        <w:tabs>
          <w:tab w:val="left" w:pos="851"/>
        </w:tabs>
        <w:spacing w:after="0" w:line="300" w:lineRule="exact"/>
        <w:ind w:left="0" w:firstLine="0"/>
        <w:rPr>
          <w:rFonts w:ascii="Verdana" w:hAnsi="Verdana"/>
          <w:sz w:val="20"/>
        </w:rPr>
      </w:pPr>
      <w:r w:rsidRPr="00190686">
        <w:rPr>
          <w:rFonts w:ascii="Verdana" w:hAnsi="Verdana"/>
          <w:sz w:val="20"/>
        </w:rPr>
        <w:t>Além de outros previstos em lei, na regulamentação da CVM e nesta Escritura de Emissão, constituem deveres e atribuições do Agente Fiduciário:</w:t>
      </w:r>
      <w:bookmarkEnd w:id="131"/>
    </w:p>
    <w:p w14:paraId="5C6A7E03" w14:textId="77777777" w:rsidR="002D5261" w:rsidRPr="00190686" w:rsidRDefault="002D5261" w:rsidP="002D5261">
      <w:pPr>
        <w:keepNext/>
        <w:tabs>
          <w:tab w:val="left" w:pos="851"/>
        </w:tabs>
        <w:spacing w:after="0" w:line="300" w:lineRule="exact"/>
        <w:rPr>
          <w:rFonts w:ascii="Verdana" w:hAnsi="Verdana"/>
          <w:sz w:val="20"/>
        </w:rPr>
      </w:pPr>
    </w:p>
    <w:p w14:paraId="7C7114F3"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responsabilizar</w:t>
      </w:r>
      <w:proofErr w:type="gramEnd"/>
      <w:r w:rsidRPr="00190686">
        <w:rPr>
          <w:rFonts w:ascii="Verdana" w:hAnsi="Verdana"/>
          <w:sz w:val="20"/>
        </w:rPr>
        <w:t>-se integralmente pelos serviços contratados, nos termos da legislação vigente;</w:t>
      </w:r>
    </w:p>
    <w:p w14:paraId="193DA2A5" w14:textId="77777777" w:rsidR="002D5261" w:rsidRPr="00190686" w:rsidRDefault="002D5261" w:rsidP="002D5261">
      <w:pPr>
        <w:tabs>
          <w:tab w:val="num" w:pos="-1276"/>
          <w:tab w:val="left" w:pos="851"/>
        </w:tabs>
        <w:spacing w:after="0" w:line="300" w:lineRule="exact"/>
        <w:ind w:left="851" w:hanging="851"/>
        <w:rPr>
          <w:rFonts w:ascii="Verdana" w:hAnsi="Verdana"/>
          <w:sz w:val="20"/>
        </w:rPr>
      </w:pPr>
    </w:p>
    <w:p w14:paraId="6C954ADD"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custear</w:t>
      </w:r>
      <w:proofErr w:type="gramEnd"/>
      <w:r w:rsidRPr="00190686">
        <w:rPr>
          <w:rFonts w:ascii="Verdana" w:hAnsi="Verdana"/>
          <w:sz w:val="20"/>
        </w:rPr>
        <w:t xml:space="preserve"> (a) todas as despesas decorrentes da execução dos seus serviços, incluindo todos os tributos, municipais, estaduais e federais, presentes ou futuros, devidos em decorrência da execução dos seus serviços, observado o disposto nas Cláusulas 7.3. </w:t>
      </w:r>
      <w:proofErr w:type="gramStart"/>
      <w:r w:rsidRPr="00190686">
        <w:rPr>
          <w:rFonts w:ascii="Verdana" w:hAnsi="Verdana"/>
          <w:sz w:val="20"/>
        </w:rPr>
        <w:t>acima</w:t>
      </w:r>
      <w:proofErr w:type="gramEnd"/>
      <w:r w:rsidRPr="00190686">
        <w:rPr>
          <w:rFonts w:ascii="Verdana" w:hAnsi="Verdana"/>
          <w:sz w:val="20"/>
        </w:rPr>
        <w:t>; e (b) todos os encargos cíveis, trabalhistas e/ou previdenciários;</w:t>
      </w:r>
    </w:p>
    <w:p w14:paraId="3665DF98" w14:textId="77777777" w:rsidR="002D5261" w:rsidRPr="00190686" w:rsidRDefault="002D5261" w:rsidP="002D5261">
      <w:pPr>
        <w:pStyle w:val="GradeMdia1-nfase21"/>
        <w:tabs>
          <w:tab w:val="num" w:pos="-1276"/>
          <w:tab w:val="left" w:pos="851"/>
        </w:tabs>
        <w:spacing w:after="0" w:line="300" w:lineRule="exact"/>
        <w:ind w:left="851" w:hanging="851"/>
        <w:rPr>
          <w:rFonts w:ascii="Verdana" w:hAnsi="Verdana"/>
          <w:sz w:val="20"/>
        </w:rPr>
      </w:pPr>
    </w:p>
    <w:p w14:paraId="7D3FA5DA"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proteger</w:t>
      </w:r>
      <w:proofErr w:type="gramEnd"/>
      <w:r w:rsidRPr="00190686">
        <w:rPr>
          <w:rFonts w:ascii="Verdana" w:hAnsi="Verdana"/>
          <w:sz w:val="20"/>
        </w:rPr>
        <w:t xml:space="preserve"> os direitos e interesses dos Debenturistas, empregando, no exercício da função, o cuidado e a diligência com que todo homem ativo e probo emprega na administração dos seus próprios bens;</w:t>
      </w:r>
    </w:p>
    <w:p w14:paraId="0DCAA205" w14:textId="77777777" w:rsidR="002D5261" w:rsidRPr="00190686" w:rsidRDefault="002D5261" w:rsidP="002D5261">
      <w:pPr>
        <w:pStyle w:val="GradeMdia1-nfase21"/>
        <w:tabs>
          <w:tab w:val="num" w:pos="-1276"/>
          <w:tab w:val="left" w:pos="851"/>
        </w:tabs>
        <w:spacing w:after="0" w:line="300" w:lineRule="exact"/>
        <w:ind w:left="851" w:hanging="851"/>
        <w:rPr>
          <w:rFonts w:ascii="Verdana" w:hAnsi="Verdana"/>
          <w:sz w:val="20"/>
        </w:rPr>
      </w:pPr>
    </w:p>
    <w:p w14:paraId="31B65D2E"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renunciar</w:t>
      </w:r>
      <w:proofErr w:type="gramEnd"/>
      <w:r w:rsidRPr="00190686">
        <w:rPr>
          <w:rFonts w:ascii="Verdana" w:hAnsi="Verdana"/>
          <w:sz w:val="20"/>
        </w:rPr>
        <w:t xml:space="preserve"> à função, na hipótese de superveniência de conflito de interesses ou de qualquer outra modalidade de inaptidão;</w:t>
      </w:r>
    </w:p>
    <w:p w14:paraId="3C216C80" w14:textId="77777777" w:rsidR="002D5261" w:rsidRPr="00190686" w:rsidRDefault="002D5261" w:rsidP="002D5261">
      <w:pPr>
        <w:tabs>
          <w:tab w:val="num" w:pos="-1276"/>
          <w:tab w:val="left" w:pos="851"/>
        </w:tabs>
        <w:spacing w:after="0" w:line="300" w:lineRule="exact"/>
        <w:ind w:left="851" w:hanging="851"/>
        <w:rPr>
          <w:rFonts w:ascii="Verdana" w:hAnsi="Verdana"/>
          <w:sz w:val="20"/>
        </w:rPr>
      </w:pPr>
    </w:p>
    <w:p w14:paraId="694C4C94"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conservar</w:t>
      </w:r>
      <w:proofErr w:type="gramEnd"/>
      <w:r w:rsidRPr="00190686">
        <w:rPr>
          <w:rFonts w:ascii="Verdana" w:hAnsi="Verdana"/>
          <w:sz w:val="20"/>
        </w:rPr>
        <w:t xml:space="preserve"> em boa guarda toda a escrituração, correspondência e demais papéis relacionados com o exercício de suas funções;</w:t>
      </w:r>
    </w:p>
    <w:p w14:paraId="2F22C10E" w14:textId="77777777" w:rsidR="002D5261" w:rsidRPr="00190686" w:rsidRDefault="002D5261" w:rsidP="002D5261">
      <w:pPr>
        <w:tabs>
          <w:tab w:val="num" w:pos="-1276"/>
          <w:tab w:val="left" w:pos="851"/>
        </w:tabs>
        <w:spacing w:after="0" w:line="300" w:lineRule="exact"/>
        <w:ind w:left="851" w:hanging="851"/>
        <w:rPr>
          <w:rFonts w:ascii="Verdana" w:hAnsi="Verdana"/>
          <w:sz w:val="20"/>
        </w:rPr>
      </w:pPr>
    </w:p>
    <w:p w14:paraId="6354F027"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verificar</w:t>
      </w:r>
      <w:proofErr w:type="gramEnd"/>
      <w:r w:rsidRPr="00190686">
        <w:rPr>
          <w:rFonts w:ascii="Verdana" w:hAnsi="Verdana"/>
          <w:sz w:val="20"/>
        </w:rPr>
        <w:t>, no momento de aceitar a função, a veracidade das informações contidas nesta Escritura de Emissão, conforme já verificado nos termos da declaração prevista acima;</w:t>
      </w:r>
    </w:p>
    <w:p w14:paraId="4C8DFF9A" w14:textId="77777777" w:rsidR="002D5261" w:rsidRPr="00190686" w:rsidRDefault="002D5261" w:rsidP="002D5261">
      <w:pPr>
        <w:pStyle w:val="GradeMdia1-nfase21"/>
        <w:tabs>
          <w:tab w:val="num" w:pos="-1276"/>
          <w:tab w:val="left" w:pos="851"/>
        </w:tabs>
        <w:spacing w:after="0" w:line="300" w:lineRule="exact"/>
        <w:ind w:left="851" w:hanging="851"/>
        <w:rPr>
          <w:rFonts w:ascii="Verdana" w:hAnsi="Verdana"/>
          <w:sz w:val="20"/>
        </w:rPr>
      </w:pPr>
    </w:p>
    <w:p w14:paraId="7E93A550"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promover</w:t>
      </w:r>
      <w:proofErr w:type="gramEnd"/>
      <w:r w:rsidRPr="00190686">
        <w:rPr>
          <w:rFonts w:ascii="Verdana" w:hAnsi="Verdana"/>
          <w:sz w:val="20"/>
        </w:rPr>
        <w:t xml:space="preserve"> nos competentes órgãos, caso a Emissora não o faça, a inscrição e/ou o registro desta Escritura de Emissão e as respectivas averbações de seus aditamentos, sanando as lacunas e irregularidades porventura neles existentes;</w:t>
      </w:r>
    </w:p>
    <w:p w14:paraId="0139DD43" w14:textId="77777777" w:rsidR="002D5261" w:rsidRPr="00190686" w:rsidRDefault="002D5261" w:rsidP="002D5261">
      <w:pPr>
        <w:tabs>
          <w:tab w:val="num" w:pos="-1276"/>
          <w:tab w:val="left" w:pos="851"/>
        </w:tabs>
        <w:spacing w:after="0" w:line="300" w:lineRule="exact"/>
        <w:ind w:left="851" w:hanging="851"/>
        <w:rPr>
          <w:rFonts w:ascii="Verdana" w:hAnsi="Verdana"/>
          <w:sz w:val="20"/>
        </w:rPr>
      </w:pPr>
    </w:p>
    <w:p w14:paraId="23E9F5BC"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acompanhar</w:t>
      </w:r>
      <w:proofErr w:type="gramEnd"/>
      <w:r w:rsidRPr="00190686">
        <w:rPr>
          <w:rFonts w:ascii="Verdana" w:hAnsi="Verdana"/>
          <w:sz w:val="20"/>
        </w:rPr>
        <w:t xml:space="preserve"> a observância da periodicidade na prestação das informações obrigatórias, alertando os Debenturistas acerca de eventuais omissões ou inverdades constantes de tais informações;</w:t>
      </w:r>
    </w:p>
    <w:p w14:paraId="6184EF15" w14:textId="77777777" w:rsidR="002D5261" w:rsidRPr="00190686" w:rsidRDefault="002D5261" w:rsidP="002D5261">
      <w:pPr>
        <w:tabs>
          <w:tab w:val="num" w:pos="-1276"/>
          <w:tab w:val="left" w:pos="851"/>
        </w:tabs>
        <w:spacing w:after="0" w:line="300" w:lineRule="exact"/>
        <w:ind w:left="851" w:hanging="851"/>
        <w:rPr>
          <w:rFonts w:ascii="Verdana" w:hAnsi="Verdana"/>
          <w:sz w:val="20"/>
        </w:rPr>
      </w:pPr>
    </w:p>
    <w:p w14:paraId="43D4F067"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emitir</w:t>
      </w:r>
      <w:proofErr w:type="gramEnd"/>
      <w:r w:rsidRPr="00190686">
        <w:rPr>
          <w:rFonts w:ascii="Verdana" w:hAnsi="Verdana"/>
          <w:sz w:val="20"/>
        </w:rPr>
        <w:t xml:space="preserve"> parecer sobre a suficiência das informações constantes das propostas de modificações nas condições das Debêntures;</w:t>
      </w:r>
    </w:p>
    <w:p w14:paraId="5B1773A3" w14:textId="77777777" w:rsidR="002D5261" w:rsidRPr="00190686" w:rsidRDefault="002D5261" w:rsidP="002D5261">
      <w:pPr>
        <w:tabs>
          <w:tab w:val="num" w:pos="-1276"/>
          <w:tab w:val="left" w:pos="851"/>
        </w:tabs>
        <w:spacing w:after="0" w:line="300" w:lineRule="exact"/>
        <w:ind w:left="851" w:hanging="851"/>
        <w:rPr>
          <w:rFonts w:ascii="Verdana" w:hAnsi="Verdana"/>
          <w:sz w:val="20"/>
        </w:rPr>
      </w:pPr>
    </w:p>
    <w:p w14:paraId="2DBC1459"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solicitar</w:t>
      </w:r>
      <w:proofErr w:type="gramEnd"/>
      <w:r w:rsidRPr="00190686">
        <w:rPr>
          <w:rFonts w:ascii="Verdana" w:hAnsi="Verdana"/>
          <w:sz w:val="20"/>
        </w:rPr>
        <w:t>, quando considerar necessário, para o fiel desempenho de suas funções, certidões atualizadas da Emissora, necessárias e pertinentes dos distribuidores cíveis, das varas de Fazenda Pública, cartórios de protesto, varas da Justiça do Trabalho, Procuradoria da Fazenda Pública, onde se localiza a sede do estabelecimento principal da Emissora;</w:t>
      </w:r>
    </w:p>
    <w:p w14:paraId="236575E5" w14:textId="77777777" w:rsidR="002D5261" w:rsidRPr="00190686" w:rsidRDefault="002D5261" w:rsidP="002D5261">
      <w:pPr>
        <w:tabs>
          <w:tab w:val="num" w:pos="-1276"/>
          <w:tab w:val="left" w:pos="851"/>
        </w:tabs>
        <w:spacing w:after="0" w:line="300" w:lineRule="exact"/>
        <w:ind w:left="851" w:hanging="851"/>
        <w:rPr>
          <w:rFonts w:ascii="Verdana" w:hAnsi="Verdana"/>
          <w:sz w:val="20"/>
        </w:rPr>
      </w:pPr>
    </w:p>
    <w:p w14:paraId="0668AAB0"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solicitar</w:t>
      </w:r>
      <w:proofErr w:type="gramEnd"/>
      <w:r w:rsidRPr="00190686">
        <w:rPr>
          <w:rFonts w:ascii="Verdana" w:hAnsi="Verdana"/>
          <w:sz w:val="20"/>
        </w:rPr>
        <w:t>, quando considerar necessário, auditoria extraordinária na Emissora;</w:t>
      </w:r>
    </w:p>
    <w:p w14:paraId="7868C2E7" w14:textId="77777777" w:rsidR="002D5261" w:rsidRPr="00190686" w:rsidRDefault="002D5261" w:rsidP="002D5261">
      <w:pPr>
        <w:pStyle w:val="GradeMdia1-nfase21"/>
        <w:tabs>
          <w:tab w:val="num" w:pos="-1276"/>
          <w:tab w:val="left" w:pos="851"/>
        </w:tabs>
        <w:spacing w:after="0" w:line="300" w:lineRule="exact"/>
        <w:ind w:left="851" w:hanging="851"/>
        <w:rPr>
          <w:rFonts w:ascii="Verdana" w:hAnsi="Verdana"/>
          <w:sz w:val="20"/>
        </w:rPr>
      </w:pPr>
    </w:p>
    <w:p w14:paraId="660A151F"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convocar</w:t>
      </w:r>
      <w:proofErr w:type="gramEnd"/>
      <w:r w:rsidRPr="00190686">
        <w:rPr>
          <w:rFonts w:ascii="Verdana" w:hAnsi="Verdana"/>
          <w:sz w:val="20"/>
        </w:rPr>
        <w:t xml:space="preserve">, quando necessário, Assembleia Geral nos termos da Cláusula 8.1. </w:t>
      </w:r>
      <w:proofErr w:type="gramStart"/>
      <w:r w:rsidRPr="00190686">
        <w:rPr>
          <w:rFonts w:ascii="Verdana" w:hAnsi="Verdana"/>
          <w:sz w:val="20"/>
        </w:rPr>
        <w:t>a</w:t>
      </w:r>
      <w:proofErr w:type="gramEnd"/>
      <w:r w:rsidRPr="00190686">
        <w:rPr>
          <w:rFonts w:ascii="Verdana" w:hAnsi="Verdana"/>
          <w:sz w:val="20"/>
        </w:rPr>
        <w:t xml:space="preserve"> seguir;</w:t>
      </w:r>
    </w:p>
    <w:p w14:paraId="2BD9342F" w14:textId="77777777" w:rsidR="002D5261" w:rsidRPr="00190686" w:rsidRDefault="002D5261" w:rsidP="002D5261">
      <w:pPr>
        <w:pStyle w:val="GradeMdia1-nfase21"/>
        <w:tabs>
          <w:tab w:val="num" w:pos="-1276"/>
          <w:tab w:val="left" w:pos="851"/>
        </w:tabs>
        <w:spacing w:after="0" w:line="300" w:lineRule="exact"/>
        <w:ind w:left="851" w:hanging="851"/>
        <w:rPr>
          <w:rFonts w:ascii="Verdana" w:hAnsi="Verdana"/>
          <w:sz w:val="20"/>
        </w:rPr>
      </w:pPr>
    </w:p>
    <w:p w14:paraId="46B3B475"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comparecer</w:t>
      </w:r>
      <w:proofErr w:type="gramEnd"/>
      <w:r w:rsidRPr="00190686">
        <w:rPr>
          <w:rFonts w:ascii="Verdana" w:hAnsi="Verdana"/>
          <w:sz w:val="20"/>
        </w:rPr>
        <w:t xml:space="preserve"> às assembleias gerais de Debenturistas a fim de prestar as informações que lhe forem solicitadas;</w:t>
      </w:r>
    </w:p>
    <w:p w14:paraId="771ECDFC" w14:textId="77777777" w:rsidR="002D5261" w:rsidRPr="00190686" w:rsidRDefault="002D5261" w:rsidP="002D5261">
      <w:pPr>
        <w:tabs>
          <w:tab w:val="num" w:pos="-1276"/>
          <w:tab w:val="left" w:pos="851"/>
        </w:tabs>
        <w:spacing w:after="0" w:line="300" w:lineRule="exact"/>
        <w:ind w:left="851" w:hanging="851"/>
        <w:rPr>
          <w:rFonts w:ascii="Verdana" w:hAnsi="Verdana"/>
          <w:sz w:val="20"/>
        </w:rPr>
      </w:pPr>
      <w:bookmarkStart w:id="132" w:name="_Ref130286449"/>
    </w:p>
    <w:p w14:paraId="73D12272" w14:textId="77777777" w:rsidR="002D5261" w:rsidRPr="00190686" w:rsidRDefault="002D5261" w:rsidP="002D5261">
      <w:pPr>
        <w:numPr>
          <w:ilvl w:val="2"/>
          <w:numId w:val="10"/>
        </w:numPr>
        <w:tabs>
          <w:tab w:val="clear" w:pos="1701"/>
          <w:tab w:val="num" w:pos="-1276"/>
          <w:tab w:val="left" w:pos="851"/>
        </w:tabs>
        <w:spacing w:after="0" w:line="300" w:lineRule="exact"/>
        <w:ind w:left="851" w:hanging="851"/>
        <w:rPr>
          <w:rFonts w:ascii="Verdana" w:hAnsi="Verdana"/>
          <w:sz w:val="20"/>
        </w:rPr>
      </w:pPr>
      <w:proofErr w:type="gramStart"/>
      <w:r w:rsidRPr="00190686">
        <w:rPr>
          <w:rFonts w:ascii="Verdana" w:hAnsi="Verdana"/>
          <w:sz w:val="20"/>
        </w:rPr>
        <w:t>elaborar</w:t>
      </w:r>
      <w:proofErr w:type="gramEnd"/>
      <w:r w:rsidRPr="00190686">
        <w:rPr>
          <w:rFonts w:ascii="Verdana" w:hAnsi="Verdana"/>
          <w:sz w:val="20"/>
        </w:rPr>
        <w:t xml:space="preserve">, no prazo legal, e enviar uma cópia à Emissora, na mesma data em que disponibilizar aos Debenturistas, relatório anual destinado aos Debenturistas, nos termos do artigo 68, parágrafo 1º, alínea “b”, da Lei das Sociedades por Ações, que deverá conter, ao menos, as informações abaixo, devendo, para tanto, a Emissora enviar todas as informações financeiras, organograma do grupo societário da Emissora (que deverá conter os controladores, as controladas, as sociedades sob controle comum, as coligadas, e os integrantes de bloco de controle) e atos societários necessários à realização do relatório que venham a ser solicitados pelo Agente Fiduciário, </w:t>
      </w:r>
      <w:r w:rsidRPr="00190686">
        <w:rPr>
          <w:rFonts w:ascii="Verdana" w:hAnsi="Verdana"/>
          <w:sz w:val="20"/>
        </w:rPr>
        <w:lastRenderedPageBreak/>
        <w:t>os quais deverão ser devidamente encaminhados no prazo de até 30 (trinta) dias antes do encerramento do prazo para disponibilização do relatório:</w:t>
      </w:r>
      <w:bookmarkEnd w:id="132"/>
    </w:p>
    <w:p w14:paraId="392370D1" w14:textId="77777777" w:rsidR="002D5261" w:rsidRPr="00190686" w:rsidRDefault="002D5261" w:rsidP="002D5261">
      <w:pPr>
        <w:pStyle w:val="GradeMdia1-nfase21"/>
        <w:tabs>
          <w:tab w:val="left" w:pos="851"/>
        </w:tabs>
        <w:spacing w:after="0" w:line="300" w:lineRule="exact"/>
        <w:rPr>
          <w:rFonts w:ascii="Verdana" w:hAnsi="Verdana"/>
          <w:sz w:val="20"/>
        </w:rPr>
      </w:pPr>
    </w:p>
    <w:p w14:paraId="1FABD014" w14:textId="77777777" w:rsidR="002D5261" w:rsidRPr="00190686" w:rsidRDefault="002D5261" w:rsidP="002D5261">
      <w:pPr>
        <w:numPr>
          <w:ilvl w:val="3"/>
          <w:numId w:val="10"/>
        </w:numPr>
        <w:tabs>
          <w:tab w:val="clear" w:pos="2126"/>
          <w:tab w:val="left" w:pos="-709"/>
          <w:tab w:val="num" w:pos="1418"/>
        </w:tabs>
        <w:spacing w:after="0" w:line="300" w:lineRule="exact"/>
        <w:ind w:left="1418" w:hanging="709"/>
        <w:rPr>
          <w:rFonts w:ascii="Verdana" w:hAnsi="Verdana"/>
          <w:sz w:val="20"/>
        </w:rPr>
      </w:pPr>
      <w:proofErr w:type="gramStart"/>
      <w:r w:rsidRPr="00190686">
        <w:rPr>
          <w:rFonts w:ascii="Verdana" w:hAnsi="Verdana"/>
          <w:sz w:val="20"/>
        </w:rPr>
        <w:t>eventual</w:t>
      </w:r>
      <w:proofErr w:type="gramEnd"/>
      <w:r w:rsidRPr="00190686">
        <w:rPr>
          <w:rFonts w:ascii="Verdana" w:hAnsi="Verdana"/>
          <w:sz w:val="20"/>
        </w:rPr>
        <w:t xml:space="preserve"> omissão ou inverdade, de que tenha conhecimento, contida nas informações divulgadas pela Emissora, ou, ainda, o inadimplemento ou atraso na obrigatória prestação de informações pela Emissora;</w:t>
      </w:r>
    </w:p>
    <w:p w14:paraId="1D5A540D" w14:textId="77777777" w:rsidR="002D5261" w:rsidRPr="00190686" w:rsidRDefault="002D5261" w:rsidP="002D5261">
      <w:pPr>
        <w:tabs>
          <w:tab w:val="left" w:pos="-709"/>
        </w:tabs>
        <w:spacing w:after="0" w:line="300" w:lineRule="exact"/>
        <w:ind w:left="709"/>
        <w:rPr>
          <w:rFonts w:ascii="Verdana" w:hAnsi="Verdana"/>
          <w:sz w:val="20"/>
        </w:rPr>
      </w:pPr>
    </w:p>
    <w:p w14:paraId="2D5746D3" w14:textId="77777777" w:rsidR="002D5261" w:rsidRPr="00190686" w:rsidRDefault="002D5261" w:rsidP="002D5261">
      <w:pPr>
        <w:numPr>
          <w:ilvl w:val="3"/>
          <w:numId w:val="10"/>
        </w:numPr>
        <w:tabs>
          <w:tab w:val="clear" w:pos="2126"/>
          <w:tab w:val="left" w:pos="-709"/>
          <w:tab w:val="num" w:pos="1418"/>
        </w:tabs>
        <w:spacing w:after="0" w:line="300" w:lineRule="exact"/>
        <w:ind w:left="1418" w:hanging="709"/>
        <w:rPr>
          <w:rFonts w:ascii="Verdana" w:hAnsi="Verdana"/>
          <w:sz w:val="20"/>
        </w:rPr>
      </w:pPr>
      <w:proofErr w:type="gramStart"/>
      <w:r w:rsidRPr="00190686">
        <w:rPr>
          <w:rFonts w:ascii="Verdana" w:hAnsi="Verdana"/>
          <w:sz w:val="20"/>
        </w:rPr>
        <w:t>alterações</w:t>
      </w:r>
      <w:proofErr w:type="gramEnd"/>
      <w:r w:rsidRPr="00190686">
        <w:rPr>
          <w:rFonts w:ascii="Verdana" w:hAnsi="Verdana"/>
          <w:sz w:val="20"/>
        </w:rPr>
        <w:t xml:space="preserve"> estatutárias da Emissora ocorridas no período;</w:t>
      </w:r>
    </w:p>
    <w:p w14:paraId="0844C6CD" w14:textId="77777777" w:rsidR="002D5261" w:rsidRPr="00190686" w:rsidRDefault="002D5261" w:rsidP="002D5261">
      <w:pPr>
        <w:tabs>
          <w:tab w:val="left" w:pos="-709"/>
        </w:tabs>
        <w:spacing w:after="0" w:line="300" w:lineRule="exact"/>
        <w:ind w:left="709"/>
        <w:rPr>
          <w:rFonts w:ascii="Verdana" w:hAnsi="Verdana"/>
          <w:sz w:val="20"/>
        </w:rPr>
      </w:pPr>
    </w:p>
    <w:p w14:paraId="518B5826" w14:textId="77777777" w:rsidR="002D5261" w:rsidRPr="00190686" w:rsidRDefault="002D5261" w:rsidP="002D5261">
      <w:pPr>
        <w:numPr>
          <w:ilvl w:val="3"/>
          <w:numId w:val="10"/>
        </w:numPr>
        <w:tabs>
          <w:tab w:val="clear" w:pos="2126"/>
          <w:tab w:val="left" w:pos="-709"/>
          <w:tab w:val="num" w:pos="1418"/>
        </w:tabs>
        <w:spacing w:after="0" w:line="300" w:lineRule="exact"/>
        <w:ind w:left="1418" w:hanging="709"/>
        <w:rPr>
          <w:rFonts w:ascii="Verdana" w:hAnsi="Verdana"/>
          <w:sz w:val="20"/>
        </w:rPr>
      </w:pPr>
      <w:proofErr w:type="gramStart"/>
      <w:r w:rsidRPr="00190686">
        <w:rPr>
          <w:rFonts w:ascii="Verdana" w:hAnsi="Verdana"/>
          <w:sz w:val="20"/>
        </w:rPr>
        <w:t>comentários</w:t>
      </w:r>
      <w:proofErr w:type="gramEnd"/>
      <w:r w:rsidRPr="00190686">
        <w:rPr>
          <w:rFonts w:ascii="Verdana" w:hAnsi="Verdana"/>
          <w:sz w:val="20"/>
        </w:rPr>
        <w:t xml:space="preserve"> sobre as demonstrações financeiras da Emissora, com enfoque nos indicadores econômicos, financeiros e de estrutura de capital da Emissora;</w:t>
      </w:r>
    </w:p>
    <w:p w14:paraId="69C1940D" w14:textId="77777777" w:rsidR="002D5261" w:rsidRPr="00190686" w:rsidRDefault="002D5261" w:rsidP="002D5261">
      <w:pPr>
        <w:tabs>
          <w:tab w:val="left" w:pos="-709"/>
        </w:tabs>
        <w:spacing w:after="0" w:line="300" w:lineRule="exact"/>
        <w:ind w:left="709"/>
        <w:rPr>
          <w:rFonts w:ascii="Verdana" w:hAnsi="Verdana"/>
          <w:sz w:val="20"/>
        </w:rPr>
      </w:pPr>
    </w:p>
    <w:p w14:paraId="4259A64B" w14:textId="77777777" w:rsidR="002D5261" w:rsidRPr="00190686" w:rsidRDefault="002D5261" w:rsidP="002D5261">
      <w:pPr>
        <w:numPr>
          <w:ilvl w:val="3"/>
          <w:numId w:val="10"/>
        </w:numPr>
        <w:tabs>
          <w:tab w:val="clear" w:pos="2126"/>
          <w:tab w:val="left" w:pos="-709"/>
          <w:tab w:val="num" w:pos="1418"/>
        </w:tabs>
        <w:spacing w:after="0" w:line="300" w:lineRule="exact"/>
        <w:ind w:left="1418" w:hanging="709"/>
        <w:rPr>
          <w:rFonts w:ascii="Verdana" w:hAnsi="Verdana"/>
          <w:sz w:val="20"/>
        </w:rPr>
      </w:pPr>
      <w:proofErr w:type="gramStart"/>
      <w:r w:rsidRPr="00190686">
        <w:rPr>
          <w:rFonts w:ascii="Verdana" w:hAnsi="Verdana"/>
          <w:sz w:val="20"/>
        </w:rPr>
        <w:t>posição</w:t>
      </w:r>
      <w:proofErr w:type="gramEnd"/>
      <w:r w:rsidRPr="00190686">
        <w:rPr>
          <w:rFonts w:ascii="Verdana" w:hAnsi="Verdana"/>
          <w:sz w:val="20"/>
        </w:rPr>
        <w:t xml:space="preserve"> da Oferta ou colocação das Debêntures no mercado;</w:t>
      </w:r>
    </w:p>
    <w:p w14:paraId="044D507C" w14:textId="77777777" w:rsidR="002D5261" w:rsidRPr="00190686" w:rsidRDefault="002D5261" w:rsidP="002D5261">
      <w:pPr>
        <w:tabs>
          <w:tab w:val="left" w:pos="-709"/>
        </w:tabs>
        <w:spacing w:after="0" w:line="300" w:lineRule="exact"/>
        <w:ind w:left="709"/>
        <w:rPr>
          <w:rFonts w:ascii="Verdana" w:hAnsi="Verdana"/>
          <w:sz w:val="20"/>
        </w:rPr>
      </w:pPr>
    </w:p>
    <w:p w14:paraId="2515523B" w14:textId="77777777" w:rsidR="002D5261" w:rsidRPr="00190686" w:rsidRDefault="002D5261" w:rsidP="002D5261">
      <w:pPr>
        <w:numPr>
          <w:ilvl w:val="3"/>
          <w:numId w:val="10"/>
        </w:numPr>
        <w:tabs>
          <w:tab w:val="clear" w:pos="2126"/>
          <w:tab w:val="left" w:pos="-709"/>
          <w:tab w:val="num" w:pos="1418"/>
        </w:tabs>
        <w:spacing w:after="0" w:line="300" w:lineRule="exact"/>
        <w:ind w:left="1418" w:hanging="709"/>
        <w:rPr>
          <w:rFonts w:ascii="Verdana" w:hAnsi="Verdana"/>
          <w:sz w:val="20"/>
        </w:rPr>
      </w:pPr>
      <w:proofErr w:type="gramStart"/>
      <w:r w:rsidRPr="00190686">
        <w:rPr>
          <w:rFonts w:ascii="Verdana" w:hAnsi="Verdana"/>
          <w:sz w:val="20"/>
        </w:rPr>
        <w:t>resgate</w:t>
      </w:r>
      <w:proofErr w:type="gramEnd"/>
      <w:r w:rsidRPr="00190686">
        <w:rPr>
          <w:rFonts w:ascii="Verdana" w:hAnsi="Verdana"/>
          <w:sz w:val="20"/>
        </w:rPr>
        <w:t>, amortização e pagamentos realizados no período, bem como aquisições e vendas de Debêntures realizadas pela Emissora;</w:t>
      </w:r>
    </w:p>
    <w:p w14:paraId="3E006937" w14:textId="77777777" w:rsidR="002D5261" w:rsidRPr="00190686" w:rsidRDefault="002D5261" w:rsidP="002D5261">
      <w:pPr>
        <w:tabs>
          <w:tab w:val="left" w:pos="-709"/>
        </w:tabs>
        <w:spacing w:after="0" w:line="300" w:lineRule="exact"/>
        <w:ind w:left="709"/>
        <w:rPr>
          <w:rFonts w:ascii="Verdana" w:hAnsi="Verdana"/>
          <w:sz w:val="20"/>
        </w:rPr>
      </w:pPr>
    </w:p>
    <w:p w14:paraId="30D13D45" w14:textId="77777777" w:rsidR="002D5261" w:rsidRPr="00190686" w:rsidRDefault="002D5261" w:rsidP="002D5261">
      <w:pPr>
        <w:numPr>
          <w:ilvl w:val="3"/>
          <w:numId w:val="10"/>
        </w:numPr>
        <w:tabs>
          <w:tab w:val="clear" w:pos="2126"/>
          <w:tab w:val="left" w:pos="-709"/>
          <w:tab w:val="num" w:pos="1418"/>
        </w:tabs>
        <w:spacing w:after="0" w:line="300" w:lineRule="exact"/>
        <w:ind w:left="1418" w:hanging="709"/>
        <w:rPr>
          <w:rFonts w:ascii="Verdana" w:hAnsi="Verdana"/>
          <w:sz w:val="20"/>
        </w:rPr>
      </w:pPr>
      <w:proofErr w:type="gramStart"/>
      <w:r w:rsidRPr="00190686">
        <w:rPr>
          <w:rFonts w:ascii="Verdana" w:hAnsi="Verdana"/>
          <w:sz w:val="20"/>
        </w:rPr>
        <w:t>acompanhamento</w:t>
      </w:r>
      <w:proofErr w:type="gramEnd"/>
      <w:r w:rsidRPr="00190686">
        <w:rPr>
          <w:rFonts w:ascii="Verdana" w:hAnsi="Verdana"/>
          <w:sz w:val="20"/>
        </w:rPr>
        <w:t xml:space="preserve"> da destinação dos recursos captados por meio das Debêntures, de acordo com os dados obtidos com os administradores da Emissora;</w:t>
      </w:r>
    </w:p>
    <w:p w14:paraId="6628552F" w14:textId="77777777" w:rsidR="002D5261" w:rsidRPr="00190686" w:rsidRDefault="002D5261" w:rsidP="002D5261">
      <w:pPr>
        <w:tabs>
          <w:tab w:val="left" w:pos="-709"/>
        </w:tabs>
        <w:spacing w:after="0" w:line="300" w:lineRule="exact"/>
        <w:ind w:left="709"/>
        <w:rPr>
          <w:rFonts w:ascii="Verdana" w:hAnsi="Verdana"/>
          <w:sz w:val="20"/>
        </w:rPr>
      </w:pPr>
    </w:p>
    <w:p w14:paraId="3458D31A" w14:textId="77777777" w:rsidR="002D5261" w:rsidRPr="00190686" w:rsidRDefault="002D5261" w:rsidP="002D5261">
      <w:pPr>
        <w:numPr>
          <w:ilvl w:val="3"/>
          <w:numId w:val="10"/>
        </w:numPr>
        <w:tabs>
          <w:tab w:val="clear" w:pos="2126"/>
          <w:tab w:val="left" w:pos="-709"/>
          <w:tab w:val="num" w:pos="1418"/>
        </w:tabs>
        <w:spacing w:after="0" w:line="300" w:lineRule="exact"/>
        <w:ind w:left="1418" w:hanging="709"/>
        <w:rPr>
          <w:rFonts w:ascii="Verdana" w:hAnsi="Verdana"/>
          <w:sz w:val="20"/>
        </w:rPr>
      </w:pPr>
      <w:proofErr w:type="gramStart"/>
      <w:r w:rsidRPr="00190686">
        <w:rPr>
          <w:rFonts w:ascii="Verdana" w:hAnsi="Verdana"/>
          <w:sz w:val="20"/>
        </w:rPr>
        <w:t>relação</w:t>
      </w:r>
      <w:proofErr w:type="gramEnd"/>
      <w:r w:rsidRPr="00190686">
        <w:rPr>
          <w:rFonts w:ascii="Verdana" w:hAnsi="Verdana"/>
          <w:sz w:val="20"/>
        </w:rPr>
        <w:t xml:space="preserve"> dos bens e valores eventualmente entregues à sua administração;</w:t>
      </w:r>
    </w:p>
    <w:p w14:paraId="4EA75CEB" w14:textId="77777777" w:rsidR="002D5261" w:rsidRPr="00190686" w:rsidRDefault="002D5261" w:rsidP="002D5261">
      <w:pPr>
        <w:tabs>
          <w:tab w:val="left" w:pos="-709"/>
        </w:tabs>
        <w:spacing w:after="0" w:line="300" w:lineRule="exact"/>
        <w:ind w:left="709"/>
        <w:rPr>
          <w:rFonts w:ascii="Verdana" w:hAnsi="Verdana"/>
          <w:sz w:val="20"/>
        </w:rPr>
      </w:pPr>
    </w:p>
    <w:p w14:paraId="05A4805C" w14:textId="77777777" w:rsidR="002D5261" w:rsidRPr="00190686" w:rsidRDefault="002D5261" w:rsidP="002D5261">
      <w:pPr>
        <w:numPr>
          <w:ilvl w:val="3"/>
          <w:numId w:val="10"/>
        </w:numPr>
        <w:tabs>
          <w:tab w:val="clear" w:pos="2126"/>
          <w:tab w:val="left" w:pos="-709"/>
          <w:tab w:val="num" w:pos="1418"/>
        </w:tabs>
        <w:spacing w:after="0" w:line="300" w:lineRule="exact"/>
        <w:ind w:left="1418" w:hanging="709"/>
        <w:rPr>
          <w:rFonts w:ascii="Verdana" w:hAnsi="Verdana"/>
          <w:sz w:val="20"/>
        </w:rPr>
      </w:pPr>
      <w:proofErr w:type="gramStart"/>
      <w:r w:rsidRPr="00190686">
        <w:rPr>
          <w:rFonts w:ascii="Verdana" w:hAnsi="Verdana"/>
          <w:sz w:val="20"/>
        </w:rPr>
        <w:t>cumprimento</w:t>
      </w:r>
      <w:proofErr w:type="gramEnd"/>
      <w:r w:rsidRPr="00190686">
        <w:rPr>
          <w:rFonts w:ascii="Verdana" w:hAnsi="Verdana"/>
          <w:sz w:val="20"/>
        </w:rPr>
        <w:t xml:space="preserve"> das demais obrigações assumidas pela Emissora nos termos desta Escritura de Emissão;</w:t>
      </w:r>
    </w:p>
    <w:p w14:paraId="12DD0CDC" w14:textId="77777777" w:rsidR="002D5261" w:rsidRPr="00190686" w:rsidRDefault="002D5261" w:rsidP="002D5261">
      <w:pPr>
        <w:tabs>
          <w:tab w:val="left" w:pos="-709"/>
        </w:tabs>
        <w:spacing w:after="0" w:line="300" w:lineRule="exact"/>
        <w:ind w:left="709"/>
        <w:rPr>
          <w:rFonts w:ascii="Verdana" w:hAnsi="Verdana"/>
          <w:sz w:val="20"/>
        </w:rPr>
      </w:pPr>
      <w:bookmarkStart w:id="133" w:name="_Ref284525887"/>
    </w:p>
    <w:p w14:paraId="454319AE" w14:textId="77777777" w:rsidR="002D5261" w:rsidRPr="00190686" w:rsidRDefault="002D5261" w:rsidP="002D5261">
      <w:pPr>
        <w:numPr>
          <w:ilvl w:val="3"/>
          <w:numId w:val="10"/>
        </w:numPr>
        <w:tabs>
          <w:tab w:val="clear" w:pos="2126"/>
          <w:tab w:val="left" w:pos="-709"/>
          <w:tab w:val="num" w:pos="1418"/>
        </w:tabs>
        <w:spacing w:after="0" w:line="300" w:lineRule="exact"/>
        <w:ind w:left="1418" w:hanging="709"/>
        <w:rPr>
          <w:rFonts w:ascii="Verdana" w:hAnsi="Verdana"/>
          <w:sz w:val="20"/>
        </w:rPr>
      </w:pPr>
      <w:proofErr w:type="gramStart"/>
      <w:r w:rsidRPr="00190686">
        <w:rPr>
          <w:rFonts w:ascii="Verdana" w:hAnsi="Verdana"/>
          <w:sz w:val="20"/>
        </w:rPr>
        <w:t>existência</w:t>
      </w:r>
      <w:proofErr w:type="gramEnd"/>
      <w:r w:rsidRPr="00190686">
        <w:rPr>
          <w:rFonts w:ascii="Verdana" w:hAnsi="Verdana"/>
          <w:sz w:val="20"/>
        </w:rPr>
        <w:t xml:space="preserve"> de outras emissões de debêntures, públicas ou privadas, realizadas pela própria Emissora e/ou por sociedade coligada, controlada, controladora ou integrante do mesmo grupo da Emissora em que tenha atuado como agente fiduciário no período, bem como os dados sobre tais emissões previstos no artigo 12, inciso XVII, alínea “k”, itens “1” a “7” da Instrução CVM 28; e</w:t>
      </w:r>
      <w:bookmarkEnd w:id="133"/>
    </w:p>
    <w:p w14:paraId="3A3D062C" w14:textId="77777777" w:rsidR="002D5261" w:rsidRPr="00190686" w:rsidRDefault="002D5261" w:rsidP="002D5261">
      <w:pPr>
        <w:tabs>
          <w:tab w:val="left" w:pos="-709"/>
        </w:tabs>
        <w:spacing w:after="0" w:line="300" w:lineRule="exact"/>
        <w:ind w:left="709"/>
        <w:rPr>
          <w:rFonts w:ascii="Verdana" w:hAnsi="Verdana"/>
          <w:sz w:val="20"/>
        </w:rPr>
      </w:pPr>
      <w:bookmarkStart w:id="134" w:name="_Ref284439294"/>
    </w:p>
    <w:p w14:paraId="52229748" w14:textId="77777777" w:rsidR="002D5261" w:rsidRPr="00190686" w:rsidRDefault="002D5261" w:rsidP="002D5261">
      <w:pPr>
        <w:numPr>
          <w:ilvl w:val="3"/>
          <w:numId w:val="10"/>
        </w:numPr>
        <w:tabs>
          <w:tab w:val="clear" w:pos="2126"/>
          <w:tab w:val="left" w:pos="-709"/>
          <w:tab w:val="num" w:pos="1418"/>
        </w:tabs>
        <w:spacing w:after="0" w:line="300" w:lineRule="exact"/>
        <w:ind w:left="1418" w:hanging="709"/>
        <w:rPr>
          <w:rFonts w:ascii="Verdana" w:hAnsi="Verdana"/>
          <w:sz w:val="20"/>
        </w:rPr>
      </w:pPr>
      <w:proofErr w:type="gramStart"/>
      <w:r w:rsidRPr="00190686">
        <w:rPr>
          <w:rFonts w:ascii="Verdana" w:hAnsi="Verdana"/>
          <w:sz w:val="20"/>
        </w:rPr>
        <w:t>declaração</w:t>
      </w:r>
      <w:proofErr w:type="gramEnd"/>
      <w:r w:rsidRPr="00190686">
        <w:rPr>
          <w:rFonts w:ascii="Verdana" w:hAnsi="Verdana"/>
          <w:sz w:val="20"/>
        </w:rPr>
        <w:t xml:space="preserve"> sobre sua aptidão para continuar exercendo a função de agente fiduciário</w:t>
      </w:r>
      <w:bookmarkEnd w:id="134"/>
      <w:r w:rsidRPr="00190686">
        <w:rPr>
          <w:rFonts w:ascii="Verdana" w:hAnsi="Verdana"/>
          <w:sz w:val="20"/>
        </w:rPr>
        <w:t>.</w:t>
      </w:r>
    </w:p>
    <w:p w14:paraId="14128212" w14:textId="77777777" w:rsidR="002D5261" w:rsidRPr="00190686" w:rsidRDefault="002D5261" w:rsidP="002D5261">
      <w:pPr>
        <w:pStyle w:val="GradeMdia1-nfase21"/>
        <w:tabs>
          <w:tab w:val="left" w:pos="851"/>
        </w:tabs>
        <w:spacing w:after="0" w:line="300" w:lineRule="exact"/>
        <w:rPr>
          <w:rFonts w:ascii="Verdana" w:hAnsi="Verdana"/>
          <w:sz w:val="20"/>
        </w:rPr>
      </w:pPr>
    </w:p>
    <w:p w14:paraId="2514A902" w14:textId="77777777" w:rsidR="002D5261" w:rsidRPr="00190686" w:rsidRDefault="002D5261" w:rsidP="002D5261">
      <w:pPr>
        <w:numPr>
          <w:ilvl w:val="2"/>
          <w:numId w:val="10"/>
        </w:numPr>
        <w:tabs>
          <w:tab w:val="clear" w:pos="1701"/>
          <w:tab w:val="num" w:pos="709"/>
          <w:tab w:val="left" w:pos="851"/>
        </w:tabs>
        <w:spacing w:after="0" w:line="300" w:lineRule="exact"/>
        <w:ind w:left="709" w:hanging="709"/>
        <w:rPr>
          <w:rFonts w:ascii="Verdana" w:hAnsi="Verdana"/>
          <w:sz w:val="20"/>
        </w:rPr>
      </w:pPr>
      <w:bookmarkStart w:id="135" w:name="_Ref130286453"/>
      <w:proofErr w:type="gramStart"/>
      <w:r w:rsidRPr="00190686">
        <w:rPr>
          <w:rFonts w:ascii="Verdana" w:hAnsi="Verdana"/>
          <w:sz w:val="20"/>
        </w:rPr>
        <w:t>disponibilizar</w:t>
      </w:r>
      <w:proofErr w:type="gramEnd"/>
      <w:r w:rsidRPr="00190686">
        <w:rPr>
          <w:rFonts w:ascii="Verdana" w:hAnsi="Verdana"/>
          <w:sz w:val="20"/>
        </w:rPr>
        <w:t xml:space="preserve"> o relatório a que se refere a alínea “n” acima até 30 de abril de cada ano ao menos na sede da Emissora, no escritório do Agente Fiduciário ou, quando instituição financeira, no local por ela indicado, na CVM, na CETIP e na sede do Coordenador Líder;</w:t>
      </w:r>
      <w:bookmarkEnd w:id="135"/>
    </w:p>
    <w:p w14:paraId="24A47B9C" w14:textId="77777777" w:rsidR="002D5261" w:rsidRPr="00190686" w:rsidRDefault="002D5261" w:rsidP="002D5261">
      <w:pPr>
        <w:tabs>
          <w:tab w:val="left" w:pos="851"/>
        </w:tabs>
        <w:spacing w:after="0" w:line="300" w:lineRule="exact"/>
        <w:ind w:left="709"/>
        <w:rPr>
          <w:rFonts w:ascii="Verdana" w:hAnsi="Verdana"/>
          <w:sz w:val="20"/>
        </w:rPr>
      </w:pPr>
    </w:p>
    <w:p w14:paraId="5526C6E5" w14:textId="77777777" w:rsidR="002D5261" w:rsidRPr="00190686" w:rsidRDefault="002D5261" w:rsidP="002D5261">
      <w:pPr>
        <w:numPr>
          <w:ilvl w:val="2"/>
          <w:numId w:val="10"/>
        </w:numPr>
        <w:tabs>
          <w:tab w:val="clear" w:pos="1701"/>
          <w:tab w:val="num" w:pos="709"/>
          <w:tab w:val="left" w:pos="851"/>
        </w:tabs>
        <w:spacing w:after="0" w:line="300" w:lineRule="exact"/>
        <w:ind w:left="709" w:hanging="709"/>
        <w:rPr>
          <w:rFonts w:ascii="Verdana" w:hAnsi="Verdana"/>
          <w:sz w:val="20"/>
        </w:rPr>
      </w:pPr>
      <w:proofErr w:type="gramStart"/>
      <w:r w:rsidRPr="00190686">
        <w:rPr>
          <w:rFonts w:ascii="Verdana" w:hAnsi="Verdana"/>
          <w:sz w:val="20"/>
        </w:rPr>
        <w:lastRenderedPageBreak/>
        <w:t>publicar</w:t>
      </w:r>
      <w:proofErr w:type="gramEnd"/>
      <w:r w:rsidRPr="00190686">
        <w:rPr>
          <w:rFonts w:ascii="Verdana" w:hAnsi="Verdana"/>
          <w:sz w:val="20"/>
        </w:rPr>
        <w:t>, às expensas da Emissora, nos termos da Cláusula 4.10 acima, anúncio comunicando aos Debenturistas que o relatório a que se refere a alínea “n” acima encontra-se à disposição nos locais indicados na alínea “o” acima;</w:t>
      </w:r>
    </w:p>
    <w:p w14:paraId="4BA91403" w14:textId="77777777" w:rsidR="002D5261" w:rsidRPr="00190686" w:rsidRDefault="002D5261" w:rsidP="002D5261">
      <w:pPr>
        <w:pStyle w:val="GradeMdia1-nfase21"/>
        <w:tabs>
          <w:tab w:val="left" w:pos="851"/>
        </w:tabs>
        <w:spacing w:after="0" w:line="300" w:lineRule="exact"/>
        <w:rPr>
          <w:rFonts w:ascii="Verdana" w:hAnsi="Verdana"/>
          <w:sz w:val="20"/>
        </w:rPr>
      </w:pPr>
    </w:p>
    <w:p w14:paraId="3071823F" w14:textId="77777777" w:rsidR="002D5261" w:rsidRPr="00190686" w:rsidRDefault="002D5261" w:rsidP="002D5261">
      <w:pPr>
        <w:numPr>
          <w:ilvl w:val="2"/>
          <w:numId w:val="10"/>
        </w:numPr>
        <w:tabs>
          <w:tab w:val="clear" w:pos="1701"/>
          <w:tab w:val="num" w:pos="709"/>
          <w:tab w:val="left" w:pos="851"/>
        </w:tabs>
        <w:spacing w:after="0" w:line="300" w:lineRule="exact"/>
        <w:ind w:left="709" w:hanging="709"/>
        <w:rPr>
          <w:rFonts w:ascii="Verdana" w:hAnsi="Verdana"/>
          <w:sz w:val="20"/>
        </w:rPr>
      </w:pPr>
      <w:proofErr w:type="gramStart"/>
      <w:r w:rsidRPr="00190686">
        <w:rPr>
          <w:rFonts w:ascii="Verdana" w:hAnsi="Verdana"/>
          <w:sz w:val="20"/>
        </w:rPr>
        <w:t>manter</w:t>
      </w:r>
      <w:proofErr w:type="gramEnd"/>
      <w:r w:rsidRPr="00190686">
        <w:rPr>
          <w:rFonts w:ascii="Verdana" w:hAnsi="Verdana"/>
          <w:sz w:val="20"/>
        </w:rPr>
        <w:t xml:space="preserve"> atualizada a relação dos Debenturistas e seus endereços, mediante, inclusive, gestões perante a Emissora, o </w:t>
      </w:r>
      <w:proofErr w:type="spellStart"/>
      <w:r w:rsidRPr="00190686">
        <w:rPr>
          <w:rFonts w:ascii="Verdana" w:hAnsi="Verdana"/>
          <w:sz w:val="20"/>
        </w:rPr>
        <w:t>Escriturador</w:t>
      </w:r>
      <w:proofErr w:type="spellEnd"/>
      <w:r w:rsidRPr="00190686">
        <w:rPr>
          <w:rFonts w:ascii="Verdana" w:hAnsi="Verdana"/>
          <w:sz w:val="20"/>
        </w:rPr>
        <w:t xml:space="preserve">, o Banco Liquidante e a CETIP, sendo que, para fins de atendimento ao disposto nesta alínea, a Emissora expressamente autoriza, desde já, o </w:t>
      </w:r>
      <w:proofErr w:type="spellStart"/>
      <w:r w:rsidRPr="00190686">
        <w:rPr>
          <w:rFonts w:ascii="Verdana" w:hAnsi="Verdana"/>
          <w:sz w:val="20"/>
        </w:rPr>
        <w:t>Escriturador</w:t>
      </w:r>
      <w:proofErr w:type="spellEnd"/>
      <w:r w:rsidRPr="00190686">
        <w:rPr>
          <w:rFonts w:ascii="Verdana" w:hAnsi="Verdana"/>
          <w:sz w:val="20"/>
        </w:rPr>
        <w:t>, o Banco Liquidante e a CETIP a atenderem quaisquer solicitações realizadas pelo Agente Fiduciário, inclusive referente à divulgação, a qualquer momento, da posição de Debêntures, e seus respectivos Debenturistas;</w:t>
      </w:r>
    </w:p>
    <w:p w14:paraId="0D9E657C" w14:textId="77777777" w:rsidR="002D5261" w:rsidRPr="00190686" w:rsidRDefault="002D5261" w:rsidP="002D5261">
      <w:pPr>
        <w:tabs>
          <w:tab w:val="left" w:pos="851"/>
        </w:tabs>
        <w:spacing w:after="0" w:line="300" w:lineRule="exact"/>
        <w:ind w:left="1701"/>
        <w:rPr>
          <w:rFonts w:ascii="Verdana" w:hAnsi="Verdana"/>
          <w:sz w:val="20"/>
        </w:rPr>
      </w:pPr>
    </w:p>
    <w:p w14:paraId="10A7FB2D" w14:textId="77777777" w:rsidR="002D5261" w:rsidRPr="00190686" w:rsidRDefault="002D5261" w:rsidP="002D5261">
      <w:pPr>
        <w:numPr>
          <w:ilvl w:val="2"/>
          <w:numId w:val="10"/>
        </w:numPr>
        <w:tabs>
          <w:tab w:val="clear" w:pos="1701"/>
          <w:tab w:val="num" w:pos="709"/>
          <w:tab w:val="left" w:pos="851"/>
        </w:tabs>
        <w:spacing w:after="0" w:line="300" w:lineRule="exact"/>
        <w:ind w:left="709" w:hanging="709"/>
        <w:rPr>
          <w:rFonts w:ascii="Verdana" w:hAnsi="Verdana"/>
          <w:sz w:val="20"/>
        </w:rPr>
      </w:pPr>
      <w:proofErr w:type="gramStart"/>
      <w:r w:rsidRPr="00190686">
        <w:rPr>
          <w:rFonts w:ascii="Verdana" w:hAnsi="Verdana"/>
          <w:sz w:val="20"/>
        </w:rPr>
        <w:t>coordenar</w:t>
      </w:r>
      <w:proofErr w:type="gramEnd"/>
      <w:r w:rsidRPr="00190686">
        <w:rPr>
          <w:rFonts w:ascii="Verdana" w:hAnsi="Verdana"/>
          <w:sz w:val="20"/>
        </w:rPr>
        <w:t xml:space="preserve"> o sorteio das Debêntures a serem resgatadas nos casos previstos nesta Escritura de Emissão, se aplicável;</w:t>
      </w:r>
    </w:p>
    <w:p w14:paraId="175B9882" w14:textId="77777777" w:rsidR="002D5261" w:rsidRPr="00190686" w:rsidRDefault="002D5261" w:rsidP="002D5261">
      <w:pPr>
        <w:pStyle w:val="GradeMdia1-nfase21"/>
        <w:tabs>
          <w:tab w:val="left" w:pos="851"/>
        </w:tabs>
        <w:spacing w:after="0" w:line="300" w:lineRule="exact"/>
        <w:rPr>
          <w:rFonts w:ascii="Verdana" w:hAnsi="Verdana"/>
          <w:sz w:val="20"/>
        </w:rPr>
      </w:pPr>
    </w:p>
    <w:p w14:paraId="2FF67EAE" w14:textId="77777777" w:rsidR="002D5261" w:rsidRPr="00190686" w:rsidRDefault="002D5261" w:rsidP="002D5261">
      <w:pPr>
        <w:numPr>
          <w:ilvl w:val="2"/>
          <w:numId w:val="10"/>
        </w:numPr>
        <w:tabs>
          <w:tab w:val="clear" w:pos="1701"/>
          <w:tab w:val="num" w:pos="709"/>
          <w:tab w:val="left" w:pos="851"/>
        </w:tabs>
        <w:spacing w:after="0" w:line="300" w:lineRule="exact"/>
        <w:ind w:left="709" w:hanging="709"/>
        <w:rPr>
          <w:rFonts w:ascii="Verdana" w:hAnsi="Verdana"/>
          <w:sz w:val="20"/>
        </w:rPr>
      </w:pPr>
      <w:proofErr w:type="gramStart"/>
      <w:r w:rsidRPr="00190686">
        <w:rPr>
          <w:rFonts w:ascii="Verdana" w:hAnsi="Verdana"/>
          <w:sz w:val="20"/>
        </w:rPr>
        <w:t>fiscalizar</w:t>
      </w:r>
      <w:proofErr w:type="gramEnd"/>
      <w:r w:rsidRPr="00190686">
        <w:rPr>
          <w:rFonts w:ascii="Verdana" w:hAnsi="Verdana"/>
          <w:sz w:val="20"/>
        </w:rPr>
        <w:t xml:space="preserve"> o cumprimento das cláusulas constantes desta Escritura de Emissão, inclusive (i) daquelas impositivas de obrigações de fazer e de não fazer; e (</w:t>
      </w:r>
      <w:proofErr w:type="spellStart"/>
      <w:r w:rsidRPr="00190686">
        <w:rPr>
          <w:rFonts w:ascii="Verdana" w:hAnsi="Verdana"/>
          <w:sz w:val="20"/>
        </w:rPr>
        <w:t>ii</w:t>
      </w:r>
      <w:proofErr w:type="spellEnd"/>
      <w:r w:rsidRPr="00190686">
        <w:rPr>
          <w:rFonts w:ascii="Verdana" w:hAnsi="Verdana"/>
          <w:sz w:val="20"/>
        </w:rPr>
        <w:t>) </w:t>
      </w:r>
      <w:r w:rsidRPr="00190686" w:rsidDel="00F04737">
        <w:rPr>
          <w:rFonts w:ascii="Verdana" w:hAnsi="Verdana"/>
          <w:sz w:val="20"/>
        </w:rPr>
        <w:t xml:space="preserve"> </w:t>
      </w:r>
      <w:r w:rsidRPr="00190686">
        <w:rPr>
          <w:rFonts w:ascii="Verdana" w:hAnsi="Verdana"/>
          <w:sz w:val="20"/>
        </w:rPr>
        <w:t>daquela relativa à observância do Índice Financeiro;</w:t>
      </w:r>
    </w:p>
    <w:p w14:paraId="1E66AFAE" w14:textId="77777777" w:rsidR="002D5261" w:rsidRPr="00190686" w:rsidRDefault="002D5261" w:rsidP="002D5261">
      <w:pPr>
        <w:pStyle w:val="GradeMdia1-nfase21"/>
        <w:tabs>
          <w:tab w:val="left" w:pos="851"/>
        </w:tabs>
        <w:spacing w:after="0" w:line="300" w:lineRule="exact"/>
        <w:rPr>
          <w:rFonts w:ascii="Verdana" w:hAnsi="Verdana"/>
          <w:sz w:val="20"/>
        </w:rPr>
      </w:pPr>
    </w:p>
    <w:p w14:paraId="646E7136" w14:textId="77777777" w:rsidR="002D5261" w:rsidRPr="00190686" w:rsidRDefault="002D5261" w:rsidP="002D5261">
      <w:pPr>
        <w:numPr>
          <w:ilvl w:val="2"/>
          <w:numId w:val="10"/>
        </w:numPr>
        <w:tabs>
          <w:tab w:val="clear" w:pos="1701"/>
          <w:tab w:val="num" w:pos="709"/>
          <w:tab w:val="left" w:pos="851"/>
        </w:tabs>
        <w:spacing w:after="0" w:line="300" w:lineRule="exact"/>
        <w:ind w:left="709" w:hanging="709"/>
        <w:rPr>
          <w:rFonts w:ascii="Verdana" w:hAnsi="Verdana"/>
          <w:sz w:val="20"/>
        </w:rPr>
      </w:pPr>
      <w:proofErr w:type="gramStart"/>
      <w:r w:rsidRPr="00190686">
        <w:rPr>
          <w:rFonts w:ascii="Verdana" w:hAnsi="Verdana"/>
          <w:sz w:val="20"/>
        </w:rPr>
        <w:t>notificar</w:t>
      </w:r>
      <w:proofErr w:type="gramEnd"/>
      <w:r w:rsidRPr="00190686">
        <w:rPr>
          <w:rFonts w:ascii="Verdana" w:hAnsi="Verdana"/>
          <w:sz w:val="20"/>
        </w:rPr>
        <w:t xml:space="preserve"> os Debenturistas, se possível individualmente, ou, caso não seja possível, nos termos da Cláusula 4.10, no prazo de até 5 (cinco) Dias Úteis contados da data em que o Agente Fiduciário tomou conhecimento, de qualquer inadimplemento, pela Emissora, de qualquer obrigação prevista nesta Escritura de Emissão, indicando o local em que fornecerá aos interessados maiores esclarecimentos, sendo que comunicação de igual teor deve ser enviada à Emissora, à CVM e à CETIP;</w:t>
      </w:r>
    </w:p>
    <w:p w14:paraId="7BFA1DFF" w14:textId="77777777" w:rsidR="002D5261" w:rsidRPr="00190686" w:rsidRDefault="002D5261" w:rsidP="002D5261">
      <w:pPr>
        <w:pStyle w:val="GradeMdia1-nfase21"/>
        <w:tabs>
          <w:tab w:val="left" w:pos="851"/>
        </w:tabs>
        <w:spacing w:after="0" w:line="300" w:lineRule="exact"/>
        <w:rPr>
          <w:rFonts w:ascii="Verdana" w:hAnsi="Verdana"/>
          <w:sz w:val="20"/>
        </w:rPr>
      </w:pPr>
    </w:p>
    <w:p w14:paraId="455DC9BB" w14:textId="77777777" w:rsidR="002D5261" w:rsidRPr="00190686" w:rsidRDefault="002D5261" w:rsidP="002D5261">
      <w:pPr>
        <w:numPr>
          <w:ilvl w:val="2"/>
          <w:numId w:val="10"/>
        </w:numPr>
        <w:tabs>
          <w:tab w:val="clear" w:pos="1701"/>
          <w:tab w:val="num" w:pos="709"/>
          <w:tab w:val="left" w:pos="851"/>
        </w:tabs>
        <w:spacing w:after="0" w:line="300" w:lineRule="exact"/>
        <w:ind w:left="709" w:hanging="709"/>
        <w:rPr>
          <w:rFonts w:ascii="Verdana" w:hAnsi="Verdana"/>
          <w:sz w:val="20"/>
        </w:rPr>
      </w:pPr>
      <w:proofErr w:type="gramStart"/>
      <w:r w:rsidRPr="00190686">
        <w:rPr>
          <w:rFonts w:ascii="Verdana" w:hAnsi="Verdana"/>
          <w:sz w:val="20"/>
        </w:rPr>
        <w:t>divulgar</w:t>
      </w:r>
      <w:proofErr w:type="gramEnd"/>
      <w:r w:rsidRPr="00190686">
        <w:rPr>
          <w:rFonts w:ascii="Verdana" w:hAnsi="Verdana"/>
          <w:sz w:val="20"/>
        </w:rPr>
        <w:t xml:space="preserve"> as informações referidas na alínea “n” acima, item (i), em sua página na Internet tão logo delas tenha conhecimento; e</w:t>
      </w:r>
    </w:p>
    <w:p w14:paraId="3A10DBC8" w14:textId="77777777" w:rsidR="002D5261" w:rsidRPr="00190686" w:rsidRDefault="002D5261" w:rsidP="002D5261">
      <w:pPr>
        <w:tabs>
          <w:tab w:val="left" w:pos="851"/>
        </w:tabs>
        <w:spacing w:after="0" w:line="300" w:lineRule="exact"/>
        <w:ind w:left="1701"/>
        <w:rPr>
          <w:rFonts w:ascii="Verdana" w:hAnsi="Verdana"/>
          <w:sz w:val="20"/>
        </w:rPr>
      </w:pPr>
    </w:p>
    <w:p w14:paraId="33CC611F" w14:textId="77777777" w:rsidR="002D5261" w:rsidRPr="00190686" w:rsidRDefault="002D5261" w:rsidP="002D5261">
      <w:pPr>
        <w:numPr>
          <w:ilvl w:val="2"/>
          <w:numId w:val="10"/>
        </w:numPr>
        <w:tabs>
          <w:tab w:val="clear" w:pos="1701"/>
          <w:tab w:val="num" w:pos="709"/>
          <w:tab w:val="left" w:pos="851"/>
        </w:tabs>
        <w:spacing w:after="0" w:line="300" w:lineRule="exact"/>
        <w:ind w:left="709" w:hanging="709"/>
        <w:rPr>
          <w:rFonts w:ascii="Verdana" w:hAnsi="Verdana"/>
          <w:sz w:val="20"/>
        </w:rPr>
      </w:pPr>
      <w:proofErr w:type="gramStart"/>
      <w:r w:rsidRPr="00190686">
        <w:rPr>
          <w:rFonts w:ascii="Verdana" w:hAnsi="Verdana"/>
          <w:sz w:val="20"/>
        </w:rPr>
        <w:t>divulgar</w:t>
      </w:r>
      <w:proofErr w:type="gramEnd"/>
      <w:r w:rsidRPr="00190686">
        <w:rPr>
          <w:rFonts w:ascii="Verdana" w:hAnsi="Verdana"/>
          <w:sz w:val="20"/>
        </w:rPr>
        <w:t>, em sua página na Internet, em cada Dia Útil, o saldo devedor unitário das Debêntures, calculado, em conjunto, pela Emissora e pelo Agente Fiduciário.</w:t>
      </w:r>
    </w:p>
    <w:p w14:paraId="42B6B775" w14:textId="77777777" w:rsidR="002D5261" w:rsidRPr="00190686" w:rsidRDefault="002D5261" w:rsidP="002D5261">
      <w:pPr>
        <w:tabs>
          <w:tab w:val="left" w:pos="851"/>
        </w:tabs>
        <w:spacing w:after="0" w:line="300" w:lineRule="exact"/>
        <w:rPr>
          <w:rFonts w:ascii="Verdana" w:hAnsi="Verdana"/>
          <w:sz w:val="20"/>
        </w:rPr>
      </w:pPr>
    </w:p>
    <w:p w14:paraId="76A8CB22" w14:textId="77777777" w:rsidR="002D5261" w:rsidRPr="00190686" w:rsidRDefault="002D5261" w:rsidP="002D5261">
      <w:pPr>
        <w:numPr>
          <w:ilvl w:val="1"/>
          <w:numId w:val="10"/>
        </w:numPr>
        <w:tabs>
          <w:tab w:val="clear" w:pos="709"/>
          <w:tab w:val="num" w:pos="0"/>
          <w:tab w:val="left" w:pos="851"/>
        </w:tabs>
        <w:spacing w:after="0" w:line="300" w:lineRule="exact"/>
        <w:ind w:left="0" w:firstLine="0"/>
        <w:rPr>
          <w:rFonts w:ascii="Verdana" w:hAnsi="Verdana"/>
          <w:b/>
          <w:sz w:val="20"/>
        </w:rPr>
      </w:pPr>
      <w:r w:rsidRPr="00190686">
        <w:rPr>
          <w:rFonts w:ascii="Verdana" w:hAnsi="Verdana"/>
          <w:b/>
          <w:sz w:val="20"/>
        </w:rPr>
        <w:t>Atribuições Específicas</w:t>
      </w:r>
    </w:p>
    <w:p w14:paraId="4485CA11" w14:textId="77777777" w:rsidR="002D5261" w:rsidRPr="00190686" w:rsidRDefault="002D5261" w:rsidP="002D5261">
      <w:pPr>
        <w:tabs>
          <w:tab w:val="left" w:pos="851"/>
        </w:tabs>
        <w:spacing w:after="0" w:line="300" w:lineRule="exact"/>
        <w:rPr>
          <w:rFonts w:ascii="Verdana" w:hAnsi="Verdana"/>
          <w:sz w:val="20"/>
        </w:rPr>
      </w:pPr>
    </w:p>
    <w:p w14:paraId="5BA5CB9C" w14:textId="77777777" w:rsidR="002D5261" w:rsidRPr="00190686" w:rsidRDefault="002D5261" w:rsidP="002D5261">
      <w:pPr>
        <w:tabs>
          <w:tab w:val="left" w:pos="851"/>
        </w:tabs>
        <w:spacing w:after="0" w:line="300" w:lineRule="exact"/>
        <w:rPr>
          <w:rFonts w:ascii="Verdana" w:hAnsi="Verdana"/>
          <w:sz w:val="20"/>
        </w:rPr>
      </w:pPr>
      <w:bookmarkStart w:id="136" w:name="_Ref130283640"/>
      <w:bookmarkStart w:id="137" w:name="_Ref264564739"/>
      <w:r w:rsidRPr="00190686">
        <w:rPr>
          <w:rFonts w:ascii="Verdana" w:hAnsi="Verdana"/>
          <w:sz w:val="20"/>
        </w:rPr>
        <w:t>7.5.1.</w:t>
      </w:r>
      <w:r w:rsidRPr="00190686">
        <w:rPr>
          <w:rFonts w:ascii="Verdana" w:hAnsi="Verdana"/>
          <w:sz w:val="20"/>
        </w:rPr>
        <w:tab/>
        <w:t xml:space="preserve">No caso de inadimplemento, pela Emissora, de qualquer de suas obrigações previstas nesta Escritura de Emissão, não sanado nos prazos previstos na Cláusula 5.1. </w:t>
      </w:r>
      <w:proofErr w:type="gramStart"/>
      <w:r w:rsidRPr="00190686">
        <w:rPr>
          <w:rFonts w:ascii="Verdana" w:hAnsi="Verdana"/>
          <w:sz w:val="20"/>
        </w:rPr>
        <w:t>acima</w:t>
      </w:r>
      <w:proofErr w:type="gramEnd"/>
      <w:r w:rsidRPr="00190686">
        <w:rPr>
          <w:rFonts w:ascii="Verdana" w:hAnsi="Verdana"/>
          <w:sz w:val="20"/>
        </w:rPr>
        <w:t>, conforme aplicáveis, deverá o Agente Fiduciário usar de toda e qualquer ação para proteger direitos ou defender interesses dos Debenturistas, devendo para tanto:</w:t>
      </w:r>
      <w:bookmarkEnd w:id="136"/>
      <w:bookmarkEnd w:id="137"/>
    </w:p>
    <w:p w14:paraId="02810CEC" w14:textId="77777777" w:rsidR="002D5261" w:rsidRPr="00190686" w:rsidRDefault="002D5261" w:rsidP="002D5261">
      <w:pPr>
        <w:tabs>
          <w:tab w:val="left" w:pos="851"/>
        </w:tabs>
        <w:spacing w:after="0" w:line="300" w:lineRule="exact"/>
        <w:ind w:left="709"/>
        <w:rPr>
          <w:rFonts w:ascii="Verdana" w:hAnsi="Verdana"/>
          <w:sz w:val="20"/>
        </w:rPr>
      </w:pPr>
    </w:p>
    <w:p w14:paraId="2BD966C5" w14:textId="77777777" w:rsidR="002D5261" w:rsidRPr="00190686" w:rsidRDefault="002D5261" w:rsidP="002D5261">
      <w:pPr>
        <w:numPr>
          <w:ilvl w:val="2"/>
          <w:numId w:val="10"/>
        </w:numPr>
        <w:tabs>
          <w:tab w:val="clear" w:pos="1701"/>
          <w:tab w:val="num" w:pos="0"/>
          <w:tab w:val="left" w:pos="851"/>
        </w:tabs>
        <w:spacing w:after="0" w:line="300" w:lineRule="exact"/>
        <w:ind w:left="851" w:hanging="851"/>
        <w:rPr>
          <w:rFonts w:ascii="Verdana" w:hAnsi="Verdana"/>
          <w:sz w:val="20"/>
        </w:rPr>
      </w:pPr>
      <w:bookmarkStart w:id="138" w:name="_Ref130286637"/>
      <w:proofErr w:type="gramStart"/>
      <w:r w:rsidRPr="00190686">
        <w:rPr>
          <w:rFonts w:ascii="Verdana" w:hAnsi="Verdana"/>
          <w:sz w:val="20"/>
        </w:rPr>
        <w:lastRenderedPageBreak/>
        <w:t>declarar</w:t>
      </w:r>
      <w:proofErr w:type="gramEnd"/>
      <w:r w:rsidRPr="00190686">
        <w:rPr>
          <w:rFonts w:ascii="Verdana" w:hAnsi="Verdana"/>
          <w:sz w:val="20"/>
        </w:rPr>
        <w:t>, observadas as condições desta Escritura de Emissão, antecipadamente vencidas as obrigações decorrentes das Debêntures, e cobrar seu principal e acessórios;</w:t>
      </w:r>
      <w:bookmarkEnd w:id="138"/>
    </w:p>
    <w:p w14:paraId="4E484D6A" w14:textId="77777777" w:rsidR="002D5261" w:rsidRPr="00190686" w:rsidRDefault="002D5261" w:rsidP="002D5261">
      <w:pPr>
        <w:tabs>
          <w:tab w:val="left" w:pos="851"/>
        </w:tabs>
        <w:spacing w:after="0" w:line="300" w:lineRule="exact"/>
        <w:ind w:left="851" w:hanging="851"/>
        <w:rPr>
          <w:rFonts w:ascii="Verdana" w:hAnsi="Verdana"/>
          <w:sz w:val="20"/>
        </w:rPr>
      </w:pPr>
    </w:p>
    <w:p w14:paraId="46CEAEAE" w14:textId="77777777" w:rsidR="002D5261" w:rsidRPr="00190686" w:rsidRDefault="002D5261" w:rsidP="002D5261">
      <w:pPr>
        <w:numPr>
          <w:ilvl w:val="2"/>
          <w:numId w:val="10"/>
        </w:numPr>
        <w:tabs>
          <w:tab w:val="clear" w:pos="1701"/>
          <w:tab w:val="num" w:pos="0"/>
          <w:tab w:val="left" w:pos="851"/>
        </w:tabs>
        <w:spacing w:after="0" w:line="300" w:lineRule="exact"/>
        <w:ind w:left="851" w:hanging="851"/>
        <w:rPr>
          <w:rFonts w:ascii="Verdana" w:hAnsi="Verdana"/>
          <w:sz w:val="20"/>
        </w:rPr>
      </w:pPr>
      <w:proofErr w:type="gramStart"/>
      <w:r w:rsidRPr="00190686">
        <w:rPr>
          <w:rFonts w:ascii="Verdana" w:hAnsi="Verdana"/>
          <w:sz w:val="20"/>
        </w:rPr>
        <w:t>requerer</w:t>
      </w:r>
      <w:proofErr w:type="gramEnd"/>
      <w:r w:rsidRPr="00190686">
        <w:rPr>
          <w:rFonts w:ascii="Verdana" w:hAnsi="Verdana"/>
          <w:sz w:val="20"/>
        </w:rPr>
        <w:t xml:space="preserve"> a falência da Emissora, se não existirem garantias reais;</w:t>
      </w:r>
    </w:p>
    <w:p w14:paraId="02101485" w14:textId="77777777" w:rsidR="002D5261" w:rsidRPr="00190686" w:rsidRDefault="002D5261" w:rsidP="002D5261">
      <w:pPr>
        <w:pStyle w:val="GradeMdia1-nfase21"/>
        <w:tabs>
          <w:tab w:val="left" w:pos="851"/>
        </w:tabs>
        <w:spacing w:after="0" w:line="300" w:lineRule="exact"/>
        <w:ind w:left="851" w:hanging="851"/>
        <w:rPr>
          <w:rFonts w:ascii="Verdana" w:hAnsi="Verdana"/>
          <w:sz w:val="20"/>
        </w:rPr>
      </w:pPr>
    </w:p>
    <w:p w14:paraId="3DEFD47C" w14:textId="77777777" w:rsidR="002D5261" w:rsidRPr="00190686" w:rsidRDefault="002D5261" w:rsidP="002D5261">
      <w:pPr>
        <w:numPr>
          <w:ilvl w:val="2"/>
          <w:numId w:val="10"/>
        </w:numPr>
        <w:tabs>
          <w:tab w:val="clear" w:pos="1701"/>
          <w:tab w:val="num" w:pos="0"/>
          <w:tab w:val="left" w:pos="851"/>
        </w:tabs>
        <w:spacing w:after="0" w:line="300" w:lineRule="exact"/>
        <w:ind w:left="851" w:hanging="851"/>
        <w:rPr>
          <w:rFonts w:ascii="Verdana" w:hAnsi="Verdana"/>
          <w:sz w:val="20"/>
        </w:rPr>
      </w:pPr>
      <w:bookmarkStart w:id="139" w:name="_Ref130286643"/>
      <w:proofErr w:type="gramStart"/>
      <w:r w:rsidRPr="00190686">
        <w:rPr>
          <w:rFonts w:ascii="Verdana" w:hAnsi="Verdana"/>
          <w:sz w:val="20"/>
        </w:rPr>
        <w:t>tomar</w:t>
      </w:r>
      <w:proofErr w:type="gramEnd"/>
      <w:r w:rsidRPr="00190686">
        <w:rPr>
          <w:rFonts w:ascii="Verdana" w:hAnsi="Verdana"/>
          <w:sz w:val="20"/>
        </w:rPr>
        <w:t xml:space="preserve"> quaisquer outras providências necessárias para que os Debenturistas realizem seus créditos; e</w:t>
      </w:r>
      <w:bookmarkEnd w:id="139"/>
    </w:p>
    <w:p w14:paraId="34B76C4C" w14:textId="77777777" w:rsidR="002D5261" w:rsidRPr="00190686" w:rsidRDefault="002D5261" w:rsidP="002D5261">
      <w:pPr>
        <w:pStyle w:val="GradeMdia1-nfase21"/>
        <w:tabs>
          <w:tab w:val="left" w:pos="851"/>
        </w:tabs>
        <w:spacing w:after="0" w:line="300" w:lineRule="exact"/>
        <w:ind w:left="851" w:hanging="851"/>
        <w:rPr>
          <w:rFonts w:ascii="Verdana" w:hAnsi="Verdana"/>
          <w:sz w:val="20"/>
        </w:rPr>
      </w:pPr>
    </w:p>
    <w:p w14:paraId="7BC26284" w14:textId="77777777" w:rsidR="002D5261" w:rsidRPr="00190686" w:rsidRDefault="002D5261" w:rsidP="002D5261">
      <w:pPr>
        <w:numPr>
          <w:ilvl w:val="2"/>
          <w:numId w:val="10"/>
        </w:numPr>
        <w:tabs>
          <w:tab w:val="clear" w:pos="1701"/>
          <w:tab w:val="num" w:pos="0"/>
          <w:tab w:val="left" w:pos="851"/>
        </w:tabs>
        <w:spacing w:after="0" w:line="300" w:lineRule="exact"/>
        <w:ind w:left="851" w:hanging="851"/>
        <w:rPr>
          <w:rFonts w:ascii="Verdana" w:hAnsi="Verdana"/>
          <w:sz w:val="20"/>
        </w:rPr>
      </w:pPr>
      <w:bookmarkStart w:id="140" w:name="_Ref130286653"/>
      <w:proofErr w:type="gramStart"/>
      <w:r w:rsidRPr="00190686">
        <w:rPr>
          <w:rFonts w:ascii="Verdana" w:hAnsi="Verdana"/>
          <w:sz w:val="20"/>
        </w:rPr>
        <w:t>representar</w:t>
      </w:r>
      <w:proofErr w:type="gramEnd"/>
      <w:r w:rsidRPr="00190686">
        <w:rPr>
          <w:rFonts w:ascii="Verdana" w:hAnsi="Verdana"/>
          <w:sz w:val="20"/>
        </w:rPr>
        <w:t xml:space="preserve"> os Debenturistas em processo de falência, recuperação judicial, recuperação extrajudicial ou, se aplicável, intervenção ou liquidação extrajudicial da Emissora.</w:t>
      </w:r>
      <w:bookmarkEnd w:id="140"/>
    </w:p>
    <w:p w14:paraId="6B4A6A05" w14:textId="77777777" w:rsidR="002D5261" w:rsidRPr="00190686" w:rsidRDefault="002D5261" w:rsidP="002D5261">
      <w:pPr>
        <w:pStyle w:val="GradeMdia1-nfase21"/>
        <w:tabs>
          <w:tab w:val="left" w:pos="851"/>
        </w:tabs>
        <w:spacing w:after="0" w:line="300" w:lineRule="exact"/>
        <w:rPr>
          <w:rFonts w:ascii="Verdana" w:hAnsi="Verdana"/>
          <w:sz w:val="20"/>
        </w:rPr>
      </w:pPr>
    </w:p>
    <w:p w14:paraId="20D23CA0" w14:textId="78CE9365" w:rsidR="002D5261" w:rsidRPr="00190686" w:rsidRDefault="002D5261" w:rsidP="002D5261">
      <w:pPr>
        <w:numPr>
          <w:ilvl w:val="2"/>
          <w:numId w:val="40"/>
        </w:numPr>
        <w:tabs>
          <w:tab w:val="left" w:pos="851"/>
        </w:tabs>
        <w:spacing w:after="0" w:line="300" w:lineRule="exact"/>
        <w:ind w:left="0" w:firstLine="0"/>
        <w:rPr>
          <w:rFonts w:ascii="Verdana" w:hAnsi="Verdana"/>
          <w:sz w:val="20"/>
        </w:rPr>
      </w:pPr>
      <w:bookmarkStart w:id="141" w:name="_Ref130283644"/>
      <w:r w:rsidRPr="00190686">
        <w:rPr>
          <w:rFonts w:ascii="Verdana" w:hAnsi="Verdana"/>
          <w:sz w:val="20"/>
        </w:rPr>
        <w:t>Observado o disposto nas Cláusulas 5.1, 5.2, 5.3 e 5.4 acima, o Agente Fiduciário somente se eximirá da responsabilidade pela não adoção das medidas contempladas na Cláusula 7.5.1 acima, alíneas “a” a “c”, se, convocada a Assembleia Geral</w:t>
      </w:r>
      <w:r w:rsidR="00507583">
        <w:rPr>
          <w:rFonts w:ascii="Verdana" w:hAnsi="Verdana"/>
          <w:sz w:val="20"/>
        </w:rPr>
        <w:t>,</w:t>
      </w:r>
      <w:r w:rsidRPr="00190686">
        <w:rPr>
          <w:rFonts w:ascii="Verdana" w:hAnsi="Verdana"/>
          <w:sz w:val="20"/>
        </w:rPr>
        <w:t xml:space="preserve"> Debenturistas da Primeira Série e Debenturistas da Segunda Série assim o autorizarem por deliberação da unanimidade das Debêntures em Circulação. Na hipótese da Cláusula 7.5.1 acima, alínea “d”, será suficiente a deliberação da maioria das Debêntures em Circulação.</w:t>
      </w:r>
      <w:bookmarkEnd w:id="141"/>
    </w:p>
    <w:p w14:paraId="3C6C94E0" w14:textId="77777777" w:rsidR="002D5261" w:rsidRPr="00190686" w:rsidRDefault="002D5261" w:rsidP="002D5261">
      <w:pPr>
        <w:tabs>
          <w:tab w:val="left" w:pos="851"/>
        </w:tabs>
        <w:spacing w:after="0" w:line="300" w:lineRule="exact"/>
        <w:ind w:left="709"/>
        <w:rPr>
          <w:rFonts w:ascii="Verdana" w:hAnsi="Verdana"/>
          <w:sz w:val="20"/>
        </w:rPr>
      </w:pPr>
    </w:p>
    <w:p w14:paraId="2C982B8B" w14:textId="77777777" w:rsidR="002D5261" w:rsidRPr="00190686" w:rsidRDefault="002D5261" w:rsidP="002D5261">
      <w:pPr>
        <w:numPr>
          <w:ilvl w:val="2"/>
          <w:numId w:val="40"/>
        </w:numPr>
        <w:tabs>
          <w:tab w:val="left" w:pos="851"/>
        </w:tabs>
        <w:spacing w:after="0" w:line="300" w:lineRule="exact"/>
        <w:ind w:left="0" w:firstLine="0"/>
        <w:rPr>
          <w:rFonts w:ascii="Verdana" w:hAnsi="Verdana"/>
          <w:sz w:val="20"/>
        </w:rPr>
      </w:pPr>
      <w:r w:rsidRPr="00190686">
        <w:rPr>
          <w:rFonts w:ascii="Verdana" w:hAnsi="Verdana"/>
          <w:sz w:val="20"/>
        </w:rPr>
        <w:t xml:space="preserve">O Agente Fiduciário não será obrigado a realizar qualquer verificação de veracidade de qualquer documento ou registro que considere autêntico e que lhe tenha sido encaminhado pela Emissora ou por terceiros a seu pedido, para se basear nas suas decisões, e não será responsável pela elaboração desses documentos, que permanecerão </w:t>
      </w:r>
      <w:proofErr w:type="gramStart"/>
      <w:r w:rsidRPr="00190686">
        <w:rPr>
          <w:rFonts w:ascii="Verdana" w:hAnsi="Verdana"/>
          <w:sz w:val="20"/>
        </w:rPr>
        <w:t>sob obrigação</w:t>
      </w:r>
      <w:proofErr w:type="gramEnd"/>
      <w:r w:rsidRPr="00190686">
        <w:rPr>
          <w:rFonts w:ascii="Verdana" w:hAnsi="Verdana"/>
          <w:sz w:val="20"/>
        </w:rPr>
        <w:t xml:space="preserve"> legal e regulamentar da Emissora elaborá-los, nos termos da legislação aplicável.</w:t>
      </w:r>
    </w:p>
    <w:p w14:paraId="64CB48FD" w14:textId="77777777" w:rsidR="002D5261" w:rsidRPr="00190686" w:rsidRDefault="002D5261" w:rsidP="002D5261">
      <w:pPr>
        <w:tabs>
          <w:tab w:val="left" w:pos="851"/>
        </w:tabs>
        <w:spacing w:after="0" w:line="300" w:lineRule="exact"/>
        <w:ind w:left="709"/>
        <w:rPr>
          <w:rFonts w:ascii="Verdana" w:hAnsi="Verdana"/>
          <w:sz w:val="20"/>
        </w:rPr>
      </w:pPr>
    </w:p>
    <w:p w14:paraId="65BBF56A" w14:textId="77777777" w:rsidR="002D5261" w:rsidRPr="00190686" w:rsidRDefault="002D5261" w:rsidP="002D5261">
      <w:pPr>
        <w:numPr>
          <w:ilvl w:val="2"/>
          <w:numId w:val="40"/>
        </w:numPr>
        <w:tabs>
          <w:tab w:val="left" w:pos="851"/>
        </w:tabs>
        <w:spacing w:after="0" w:line="300" w:lineRule="exact"/>
        <w:ind w:left="0" w:firstLine="0"/>
        <w:rPr>
          <w:rFonts w:ascii="Verdana" w:hAnsi="Verdana"/>
          <w:sz w:val="20"/>
        </w:rPr>
      </w:pPr>
      <w:r w:rsidRPr="00190686">
        <w:rPr>
          <w:rFonts w:ascii="Verdana" w:hAnsi="Verdana"/>
          <w:sz w:val="20"/>
        </w:rPr>
        <w:t xml:space="preserve">O Agente Fiduciário não emitirá qualquer tipo de opinião ou fará qualquer juízo sobre orientação acerca de qualquer fato da Emissão que seja de competência de definição pelos Debenturistas, nos termos da Cláusula Oitava a seguir, obrigando-se, tão-somente, a agir em conformidade com as instruções que lhe foram transmitidas pelos Debenturistas, nos termos da Cláusula Oitava, e de acordo com as atribuições que lhe são conferidas por lei, pela Cláusula 7.4. </w:t>
      </w:r>
      <w:proofErr w:type="gramStart"/>
      <w:r w:rsidRPr="00190686">
        <w:rPr>
          <w:rFonts w:ascii="Verdana" w:hAnsi="Verdana"/>
          <w:sz w:val="20"/>
        </w:rPr>
        <w:t>acima</w:t>
      </w:r>
      <w:proofErr w:type="gramEnd"/>
      <w:r w:rsidRPr="00190686">
        <w:rPr>
          <w:rFonts w:ascii="Verdana" w:hAnsi="Verdana"/>
          <w:sz w:val="20"/>
        </w:rPr>
        <w:t xml:space="preserve"> e pelas demais disposições desta Escritura de Emissão. Neste sentido, o Agente Fiduciário não possui qualquer responsabilidade sobre o resultado ou sobre os efeitos jurídicos decorrentes do estrito cumprimento das orientações dos Debenturistas que lhe forem transmitidas conforme definidas pelos Debenturistas, nos termos da Cláusula Oitava a seguir, e reproduzidas perante a Emissora.</w:t>
      </w:r>
    </w:p>
    <w:bookmarkEnd w:id="130"/>
    <w:p w14:paraId="76C2C5BC" w14:textId="77777777" w:rsidR="002D5261" w:rsidRPr="00190686" w:rsidRDefault="002D5261" w:rsidP="002D5261">
      <w:pPr>
        <w:tabs>
          <w:tab w:val="left" w:pos="851"/>
        </w:tabs>
        <w:spacing w:after="0" w:line="300" w:lineRule="exact"/>
        <w:rPr>
          <w:rFonts w:ascii="Verdana" w:hAnsi="Verdana"/>
          <w:sz w:val="20"/>
        </w:rPr>
      </w:pPr>
    </w:p>
    <w:p w14:paraId="2928C285" w14:textId="77777777" w:rsidR="002D5261" w:rsidRPr="00190686" w:rsidRDefault="002D5261" w:rsidP="002D5261">
      <w:pPr>
        <w:tabs>
          <w:tab w:val="left" w:pos="851"/>
        </w:tabs>
        <w:spacing w:after="0" w:line="300" w:lineRule="exact"/>
        <w:rPr>
          <w:rFonts w:ascii="Verdana" w:hAnsi="Verdana"/>
          <w:sz w:val="20"/>
        </w:rPr>
      </w:pPr>
    </w:p>
    <w:p w14:paraId="1BBB40A9" w14:textId="77777777" w:rsidR="002D5261" w:rsidRPr="00190686" w:rsidRDefault="002D5261" w:rsidP="002D5261">
      <w:pPr>
        <w:keepNext/>
        <w:tabs>
          <w:tab w:val="left" w:pos="851"/>
        </w:tabs>
        <w:spacing w:after="0" w:line="300" w:lineRule="exact"/>
        <w:jc w:val="center"/>
        <w:rPr>
          <w:rFonts w:ascii="Verdana" w:hAnsi="Verdana"/>
          <w:b/>
          <w:smallCaps/>
          <w:sz w:val="20"/>
        </w:rPr>
      </w:pPr>
      <w:bookmarkStart w:id="142" w:name="_Ref272246430"/>
      <w:r w:rsidRPr="00190686">
        <w:rPr>
          <w:rFonts w:ascii="Verdana" w:hAnsi="Verdana"/>
          <w:b/>
          <w:smallCaps/>
          <w:sz w:val="20"/>
        </w:rPr>
        <w:lastRenderedPageBreak/>
        <w:t>Cláusula VIII</w:t>
      </w:r>
    </w:p>
    <w:p w14:paraId="79AC4CC9" w14:textId="77777777" w:rsidR="002D5261" w:rsidRPr="00190686" w:rsidRDefault="002D5261" w:rsidP="002D5261">
      <w:pPr>
        <w:keepNext/>
        <w:tabs>
          <w:tab w:val="left" w:pos="851"/>
        </w:tabs>
        <w:spacing w:after="0" w:line="300" w:lineRule="exact"/>
        <w:jc w:val="center"/>
        <w:rPr>
          <w:rFonts w:ascii="Verdana" w:hAnsi="Verdana"/>
          <w:b/>
          <w:smallCaps/>
          <w:sz w:val="20"/>
        </w:rPr>
      </w:pPr>
      <w:r w:rsidRPr="00190686">
        <w:rPr>
          <w:rFonts w:ascii="Verdana" w:hAnsi="Verdana"/>
          <w:b/>
          <w:smallCaps/>
          <w:sz w:val="20"/>
        </w:rPr>
        <w:t>Assembleia Geral de Debenturistas</w:t>
      </w:r>
      <w:bookmarkEnd w:id="142"/>
    </w:p>
    <w:p w14:paraId="620AC077" w14:textId="77777777" w:rsidR="002D5261" w:rsidRPr="00190686" w:rsidRDefault="002D5261" w:rsidP="002D5261">
      <w:pPr>
        <w:keepNext/>
        <w:tabs>
          <w:tab w:val="left" w:pos="851"/>
        </w:tabs>
        <w:spacing w:after="0" w:line="300" w:lineRule="exact"/>
        <w:jc w:val="center"/>
        <w:rPr>
          <w:rFonts w:ascii="Verdana" w:hAnsi="Verdana"/>
          <w:b/>
          <w:smallCaps/>
          <w:sz w:val="20"/>
        </w:rPr>
      </w:pPr>
    </w:p>
    <w:p w14:paraId="51868266" w14:textId="77777777" w:rsidR="002D5261" w:rsidRPr="00190686" w:rsidRDefault="002D5261" w:rsidP="002D5261">
      <w:pPr>
        <w:numPr>
          <w:ilvl w:val="1"/>
          <w:numId w:val="11"/>
        </w:numPr>
        <w:tabs>
          <w:tab w:val="clear" w:pos="709"/>
          <w:tab w:val="num" w:pos="851"/>
        </w:tabs>
        <w:spacing w:after="0" w:line="300" w:lineRule="exact"/>
        <w:ind w:left="851" w:hanging="851"/>
        <w:rPr>
          <w:rFonts w:ascii="Verdana" w:hAnsi="Verdana"/>
          <w:sz w:val="20"/>
        </w:rPr>
      </w:pPr>
      <w:r w:rsidRPr="00190686">
        <w:rPr>
          <w:rFonts w:ascii="Verdana" w:hAnsi="Verdana"/>
          <w:b/>
          <w:sz w:val="20"/>
        </w:rPr>
        <w:t>Convocação</w:t>
      </w:r>
    </w:p>
    <w:p w14:paraId="304575D9" w14:textId="77777777" w:rsidR="002D5261" w:rsidRPr="00190686" w:rsidRDefault="002D5261" w:rsidP="002D5261">
      <w:pPr>
        <w:tabs>
          <w:tab w:val="left" w:pos="851"/>
        </w:tabs>
        <w:spacing w:after="0" w:line="300" w:lineRule="exact"/>
        <w:rPr>
          <w:rFonts w:ascii="Verdana" w:hAnsi="Verdana"/>
          <w:sz w:val="20"/>
        </w:rPr>
      </w:pPr>
    </w:p>
    <w:p w14:paraId="73C6C3CB" w14:textId="77777777" w:rsidR="002D5261" w:rsidRPr="00190686" w:rsidRDefault="002D5261" w:rsidP="002D5261">
      <w:pPr>
        <w:numPr>
          <w:ilvl w:val="0"/>
          <w:numId w:val="29"/>
        </w:numPr>
        <w:tabs>
          <w:tab w:val="left" w:pos="851"/>
        </w:tabs>
        <w:spacing w:after="0" w:line="300" w:lineRule="exact"/>
        <w:ind w:left="0" w:firstLine="0"/>
        <w:rPr>
          <w:rFonts w:ascii="Verdana" w:hAnsi="Verdana"/>
          <w:sz w:val="20"/>
        </w:rPr>
      </w:pPr>
      <w:r w:rsidRPr="00190686">
        <w:rPr>
          <w:rFonts w:ascii="Verdana" w:hAnsi="Verdana"/>
          <w:sz w:val="20"/>
        </w:rPr>
        <w:t>Os Debenturistas da Primeira Série e os Debenturistas da Segunda Série poderão, a qualquer tempo, reunir-se em assembleia geral (“</w:t>
      </w:r>
      <w:r w:rsidRPr="00190686">
        <w:rPr>
          <w:rFonts w:ascii="Verdana" w:hAnsi="Verdana"/>
          <w:sz w:val="20"/>
          <w:u w:val="single"/>
        </w:rPr>
        <w:t>Assembleia Geral</w:t>
      </w:r>
      <w:r w:rsidRPr="00190686">
        <w:rPr>
          <w:rFonts w:ascii="Verdana" w:hAnsi="Verdana"/>
          <w:sz w:val="20"/>
        </w:rPr>
        <w:t>”), de acordo com o disposto no artigo 71 da Lei das Sociedades por Ações, a fim de deliberarem sobre matéria de interesse da comunhão dos Debenturistas da Primeira Série e/ou dos Debenturistas da Segunda Série, conforme o caso.</w:t>
      </w:r>
    </w:p>
    <w:p w14:paraId="2B524B44" w14:textId="77777777" w:rsidR="002D5261" w:rsidRPr="00190686" w:rsidRDefault="002D5261" w:rsidP="002D5261">
      <w:pPr>
        <w:tabs>
          <w:tab w:val="left" w:pos="851"/>
        </w:tabs>
        <w:spacing w:after="0" w:line="300" w:lineRule="exact"/>
        <w:rPr>
          <w:rFonts w:ascii="Verdana" w:hAnsi="Verdana"/>
          <w:sz w:val="20"/>
        </w:rPr>
      </w:pPr>
    </w:p>
    <w:p w14:paraId="0F1E47BF" w14:textId="77777777" w:rsidR="002D5261" w:rsidRPr="00190686" w:rsidRDefault="002D5261" w:rsidP="002D5261">
      <w:pPr>
        <w:numPr>
          <w:ilvl w:val="0"/>
          <w:numId w:val="29"/>
        </w:numPr>
        <w:tabs>
          <w:tab w:val="left" w:pos="851"/>
        </w:tabs>
        <w:spacing w:after="0" w:line="300" w:lineRule="exact"/>
        <w:ind w:left="0" w:firstLine="0"/>
        <w:rPr>
          <w:rFonts w:ascii="Verdana" w:hAnsi="Verdana"/>
          <w:sz w:val="20"/>
        </w:rPr>
      </w:pPr>
      <w:r w:rsidRPr="00190686">
        <w:rPr>
          <w:rFonts w:ascii="Verdana" w:hAnsi="Verdana"/>
          <w:sz w:val="20"/>
        </w:rPr>
        <w:t>As Assembleias Gerais de Debenturistas da Primeira Série e as Assembleias Gerais de Debenturistas da Segunda Série poderão ser convocadas pelo Agente Fiduciário, pela Emissora, por Debenturistas da Primeira Série que representem, no mínimo, 10% (dez por cento) das Debêntures da Primeira Série em circulação, ou por Debenturistas da Segunda Série que representem, no mínimo, 10% (dez por cento) das Debêntures da Segunda Série em circulação, conforme o caso, ou pela CVM.</w:t>
      </w:r>
    </w:p>
    <w:p w14:paraId="17B32E46" w14:textId="77777777" w:rsidR="002D5261" w:rsidRPr="00190686" w:rsidRDefault="002D5261" w:rsidP="002D5261">
      <w:pPr>
        <w:pStyle w:val="GradeMdia1-nfase21"/>
        <w:tabs>
          <w:tab w:val="left" w:pos="851"/>
        </w:tabs>
        <w:spacing w:after="0" w:line="300" w:lineRule="exact"/>
        <w:rPr>
          <w:rFonts w:ascii="Verdana" w:hAnsi="Verdana"/>
          <w:sz w:val="20"/>
        </w:rPr>
      </w:pPr>
    </w:p>
    <w:p w14:paraId="5002FCA2" w14:textId="77777777" w:rsidR="002D5261" w:rsidRPr="00190686" w:rsidRDefault="002D5261" w:rsidP="002D5261">
      <w:pPr>
        <w:numPr>
          <w:ilvl w:val="0"/>
          <w:numId w:val="29"/>
        </w:numPr>
        <w:tabs>
          <w:tab w:val="left" w:pos="851"/>
        </w:tabs>
        <w:spacing w:after="0" w:line="300" w:lineRule="exact"/>
        <w:ind w:left="0" w:firstLine="0"/>
        <w:rPr>
          <w:rFonts w:ascii="Verdana" w:hAnsi="Verdana"/>
          <w:sz w:val="20"/>
        </w:rPr>
      </w:pPr>
      <w:bookmarkStart w:id="143" w:name="_Ref187755774"/>
      <w:r w:rsidRPr="00190686">
        <w:rPr>
          <w:rFonts w:ascii="Verdana" w:hAnsi="Verdana"/>
          <w:sz w:val="20"/>
        </w:rPr>
        <w:t xml:space="preserve">A convocação das Assembleias Gerais de Debenturistas da Primeira Série e das Assembleias Gerais de Debenturistas da Segunda Série dar-se-á mediante anúncio publicado pelo menos </w:t>
      </w:r>
      <w:proofErr w:type="gramStart"/>
      <w:r w:rsidRPr="00190686">
        <w:rPr>
          <w:rFonts w:ascii="Verdana" w:hAnsi="Verdana"/>
          <w:sz w:val="20"/>
        </w:rPr>
        <w:t>3</w:t>
      </w:r>
      <w:proofErr w:type="gramEnd"/>
      <w:r w:rsidRPr="00190686">
        <w:rPr>
          <w:rFonts w:ascii="Verdana" w:hAnsi="Verdana"/>
          <w:sz w:val="20"/>
        </w:rPr>
        <w:t> (três) vezes nos termos da Cláusula 4.10 acima,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 da Primeira Série e/ou dos Debenturistas da Segunda Série, conforme o caso.</w:t>
      </w:r>
      <w:bookmarkEnd w:id="143"/>
    </w:p>
    <w:p w14:paraId="1DA2BE73" w14:textId="77777777" w:rsidR="002D5261" w:rsidRPr="00190686" w:rsidRDefault="002D5261" w:rsidP="002D5261">
      <w:pPr>
        <w:pStyle w:val="GradeMdia1-nfase21"/>
        <w:tabs>
          <w:tab w:val="left" w:pos="851"/>
        </w:tabs>
        <w:spacing w:after="0" w:line="300" w:lineRule="exact"/>
        <w:rPr>
          <w:rFonts w:ascii="Verdana" w:hAnsi="Verdana"/>
          <w:sz w:val="20"/>
        </w:rPr>
      </w:pPr>
    </w:p>
    <w:p w14:paraId="07711553" w14:textId="77777777" w:rsidR="002D5261" w:rsidRPr="00190686" w:rsidRDefault="002D5261" w:rsidP="002D5261">
      <w:pPr>
        <w:numPr>
          <w:ilvl w:val="0"/>
          <w:numId w:val="29"/>
        </w:numPr>
        <w:tabs>
          <w:tab w:val="left" w:pos="851"/>
        </w:tabs>
        <w:spacing w:after="0" w:line="300" w:lineRule="exact"/>
        <w:ind w:left="0" w:firstLine="0"/>
        <w:rPr>
          <w:rFonts w:ascii="Verdana" w:hAnsi="Verdana"/>
          <w:sz w:val="20"/>
        </w:rPr>
      </w:pPr>
      <w:r w:rsidRPr="00190686">
        <w:rPr>
          <w:rFonts w:ascii="Verdana" w:hAnsi="Verdana"/>
          <w:sz w:val="20"/>
        </w:rPr>
        <w:t xml:space="preserve">As Assembleias Gerais serão convocadas com antecedência mínima de 15 (quinze) dias. A Assembleia Geral em segunda convocação somente poderá ser realizada em, no mínimo </w:t>
      </w:r>
      <w:proofErr w:type="gramStart"/>
      <w:r w:rsidRPr="00190686">
        <w:rPr>
          <w:rFonts w:ascii="Verdana" w:hAnsi="Verdana"/>
          <w:sz w:val="20"/>
        </w:rPr>
        <w:t>8</w:t>
      </w:r>
      <w:proofErr w:type="gramEnd"/>
      <w:r w:rsidRPr="00190686">
        <w:rPr>
          <w:rFonts w:ascii="Verdana" w:hAnsi="Verdana"/>
          <w:sz w:val="20"/>
        </w:rPr>
        <w:t xml:space="preserve"> (oito) dias após a data marcada para instalação da assembleia em primeira convocação.</w:t>
      </w:r>
    </w:p>
    <w:p w14:paraId="184BD8F0" w14:textId="77777777" w:rsidR="002D5261" w:rsidRPr="00190686" w:rsidRDefault="002D5261" w:rsidP="002D5261">
      <w:pPr>
        <w:pStyle w:val="GradeMdia1-nfase21"/>
        <w:tabs>
          <w:tab w:val="left" w:pos="851"/>
        </w:tabs>
        <w:spacing w:after="0" w:line="300" w:lineRule="exact"/>
        <w:rPr>
          <w:rFonts w:ascii="Verdana" w:hAnsi="Verdana"/>
          <w:sz w:val="20"/>
        </w:rPr>
      </w:pPr>
    </w:p>
    <w:p w14:paraId="30CE231D" w14:textId="77777777" w:rsidR="002D5261" w:rsidRPr="00190686" w:rsidRDefault="002D5261" w:rsidP="002D5261">
      <w:pPr>
        <w:numPr>
          <w:ilvl w:val="0"/>
          <w:numId w:val="29"/>
        </w:numPr>
        <w:tabs>
          <w:tab w:val="left" w:pos="851"/>
        </w:tabs>
        <w:spacing w:after="0" w:line="300" w:lineRule="exact"/>
        <w:ind w:left="0" w:firstLine="0"/>
        <w:rPr>
          <w:rFonts w:ascii="Verdana" w:hAnsi="Verdana"/>
          <w:sz w:val="20"/>
        </w:rPr>
      </w:pPr>
      <w:r w:rsidRPr="00190686">
        <w:rPr>
          <w:rFonts w:ascii="Verdana" w:hAnsi="Verdana"/>
          <w:sz w:val="20"/>
        </w:rPr>
        <w:t>Independente das formalidades previstas na Lei das Sociedades por Ações e nesta Escritura de Emissão</w:t>
      </w:r>
      <w:proofErr w:type="gramStart"/>
      <w:r w:rsidRPr="00190686">
        <w:rPr>
          <w:rFonts w:ascii="Verdana" w:hAnsi="Verdana"/>
          <w:sz w:val="20"/>
        </w:rPr>
        <w:t>, será</w:t>
      </w:r>
      <w:proofErr w:type="gramEnd"/>
      <w:r w:rsidRPr="00190686">
        <w:rPr>
          <w:rFonts w:ascii="Verdana" w:hAnsi="Verdana"/>
          <w:sz w:val="20"/>
        </w:rPr>
        <w:t xml:space="preserve"> considerada regular a Assembleia Geral a que comparecerem os titulares de todas as Debêntures em Circulação.</w:t>
      </w:r>
    </w:p>
    <w:p w14:paraId="6F25E4A7" w14:textId="77777777" w:rsidR="002D5261" w:rsidRPr="00190686" w:rsidRDefault="002D5261" w:rsidP="002D5261">
      <w:pPr>
        <w:pStyle w:val="GradeMdia1-nfase21"/>
        <w:tabs>
          <w:tab w:val="left" w:pos="851"/>
        </w:tabs>
        <w:spacing w:after="0" w:line="300" w:lineRule="exact"/>
        <w:rPr>
          <w:rFonts w:ascii="Verdana" w:hAnsi="Verdana"/>
          <w:sz w:val="20"/>
        </w:rPr>
      </w:pPr>
    </w:p>
    <w:p w14:paraId="1BC1C1B2" w14:textId="765245A4" w:rsidR="002D5261" w:rsidRPr="00190686" w:rsidRDefault="002D5261" w:rsidP="002D5261">
      <w:pPr>
        <w:numPr>
          <w:ilvl w:val="0"/>
          <w:numId w:val="29"/>
        </w:numPr>
        <w:tabs>
          <w:tab w:val="left" w:pos="851"/>
        </w:tabs>
        <w:spacing w:after="0" w:line="300" w:lineRule="exact"/>
        <w:ind w:left="0" w:firstLine="0"/>
        <w:rPr>
          <w:rFonts w:ascii="Verdana" w:hAnsi="Verdana"/>
          <w:sz w:val="20"/>
        </w:rPr>
      </w:pPr>
      <w:r w:rsidRPr="00190686">
        <w:rPr>
          <w:rFonts w:ascii="Verdana" w:hAnsi="Verdana"/>
          <w:sz w:val="20"/>
        </w:rPr>
        <w:t>As deliberações tomadas pelos Debenturistas, no âmbito de sua competência legal, observados os quóruns estabelecidos nesta Escritura de Emissão, serão existentes, válidas e eficazes perante a Emissora e obrigarão a todos os titulares de Debêntures em Circulação</w:t>
      </w:r>
      <w:r>
        <w:rPr>
          <w:rFonts w:ascii="Verdana" w:hAnsi="Verdana"/>
          <w:sz w:val="20"/>
        </w:rPr>
        <w:t xml:space="preserve"> (se for o caso, da respectiva série)</w:t>
      </w:r>
      <w:r w:rsidRPr="00190686">
        <w:rPr>
          <w:rFonts w:ascii="Verdana" w:hAnsi="Verdana"/>
          <w:sz w:val="20"/>
        </w:rPr>
        <w:t>, independente de terem comparecido à Assembleia Geral ou do voto proferido na respectiva Assembleia Geral.</w:t>
      </w:r>
    </w:p>
    <w:p w14:paraId="73309A36" w14:textId="77777777" w:rsidR="002D5261" w:rsidRPr="00190686" w:rsidRDefault="002D5261" w:rsidP="002D5261">
      <w:pPr>
        <w:pStyle w:val="GradeMdia1-nfase21"/>
        <w:tabs>
          <w:tab w:val="left" w:pos="851"/>
        </w:tabs>
        <w:spacing w:after="0" w:line="300" w:lineRule="exact"/>
        <w:rPr>
          <w:rFonts w:ascii="Verdana" w:hAnsi="Verdana"/>
          <w:sz w:val="20"/>
        </w:rPr>
      </w:pPr>
    </w:p>
    <w:p w14:paraId="2A98ED93" w14:textId="77777777" w:rsidR="002D5261" w:rsidRPr="00190686" w:rsidRDefault="002D5261" w:rsidP="002D5261">
      <w:pPr>
        <w:numPr>
          <w:ilvl w:val="0"/>
          <w:numId w:val="29"/>
        </w:numPr>
        <w:tabs>
          <w:tab w:val="left" w:pos="851"/>
        </w:tabs>
        <w:spacing w:after="0" w:line="300" w:lineRule="exact"/>
        <w:ind w:left="0" w:firstLine="0"/>
        <w:rPr>
          <w:rFonts w:ascii="Verdana" w:hAnsi="Verdana"/>
          <w:sz w:val="20"/>
        </w:rPr>
      </w:pPr>
      <w:r w:rsidRPr="00190686">
        <w:rPr>
          <w:rFonts w:ascii="Verdana" w:hAnsi="Verdana"/>
          <w:sz w:val="20"/>
        </w:rPr>
        <w:lastRenderedPageBreak/>
        <w:t xml:space="preserve">Não será admitida na Assembleia Geral a presença de quaisquer pessoas que não sejam parte desta Escritura de Emissão ou que não comprovem sua condição de Debenturista ou seu mandatário, mediante prévia apresentação dos documentos regulares de identificação, societários e procurações. Documentos estrangeiros serão aceitos desde que devidamente </w:t>
      </w:r>
      <w:proofErr w:type="spellStart"/>
      <w:r w:rsidRPr="00190686">
        <w:rPr>
          <w:rFonts w:ascii="Verdana" w:hAnsi="Verdana"/>
          <w:sz w:val="20"/>
        </w:rPr>
        <w:t>consularizados</w:t>
      </w:r>
      <w:proofErr w:type="spellEnd"/>
      <w:r w:rsidRPr="00190686">
        <w:rPr>
          <w:rFonts w:ascii="Verdana" w:hAnsi="Verdana"/>
          <w:sz w:val="20"/>
        </w:rPr>
        <w:t xml:space="preserve"> e registrados em cartório.</w:t>
      </w:r>
    </w:p>
    <w:p w14:paraId="47DEDFDE" w14:textId="77777777" w:rsidR="002D5261" w:rsidRPr="00190686" w:rsidRDefault="002D5261" w:rsidP="002D5261">
      <w:pPr>
        <w:tabs>
          <w:tab w:val="left" w:pos="851"/>
        </w:tabs>
        <w:spacing w:after="0" w:line="300" w:lineRule="exact"/>
        <w:rPr>
          <w:rFonts w:ascii="Verdana" w:hAnsi="Verdana"/>
          <w:sz w:val="20"/>
        </w:rPr>
      </w:pPr>
    </w:p>
    <w:p w14:paraId="4C3F1BB8" w14:textId="77777777" w:rsidR="002D5261" w:rsidRPr="00190686" w:rsidRDefault="002D5261" w:rsidP="002D5261">
      <w:pPr>
        <w:numPr>
          <w:ilvl w:val="1"/>
          <w:numId w:val="11"/>
        </w:numPr>
        <w:tabs>
          <w:tab w:val="clear" w:pos="709"/>
          <w:tab w:val="num" w:pos="851"/>
        </w:tabs>
        <w:spacing w:after="0" w:line="300" w:lineRule="exact"/>
        <w:ind w:left="851" w:hanging="851"/>
        <w:rPr>
          <w:rFonts w:ascii="Verdana" w:hAnsi="Verdana"/>
          <w:b/>
          <w:sz w:val="20"/>
        </w:rPr>
      </w:pPr>
      <w:proofErr w:type="spellStart"/>
      <w:r w:rsidRPr="00190686">
        <w:rPr>
          <w:rFonts w:ascii="Verdana" w:hAnsi="Verdana"/>
          <w:b/>
          <w:i/>
          <w:sz w:val="20"/>
        </w:rPr>
        <w:t>Quorum</w:t>
      </w:r>
      <w:proofErr w:type="spellEnd"/>
      <w:r w:rsidRPr="00190686">
        <w:rPr>
          <w:rFonts w:ascii="Verdana" w:hAnsi="Verdana"/>
          <w:b/>
          <w:sz w:val="20"/>
        </w:rPr>
        <w:t xml:space="preserve"> de Instalação</w:t>
      </w:r>
    </w:p>
    <w:p w14:paraId="2C17340B" w14:textId="77777777" w:rsidR="002D5261" w:rsidRPr="00190686" w:rsidRDefault="002D5261" w:rsidP="002D5261">
      <w:pPr>
        <w:tabs>
          <w:tab w:val="left" w:pos="851"/>
        </w:tabs>
        <w:spacing w:after="0" w:line="300" w:lineRule="exact"/>
        <w:ind w:left="709"/>
        <w:rPr>
          <w:rFonts w:ascii="Verdana" w:hAnsi="Verdana"/>
          <w:b/>
          <w:sz w:val="20"/>
        </w:rPr>
      </w:pPr>
    </w:p>
    <w:p w14:paraId="11344771" w14:textId="4D469F76" w:rsidR="002D5261" w:rsidRDefault="002D5261" w:rsidP="002D5261">
      <w:pPr>
        <w:numPr>
          <w:ilvl w:val="2"/>
          <w:numId w:val="30"/>
        </w:numPr>
        <w:tabs>
          <w:tab w:val="left" w:pos="851"/>
        </w:tabs>
        <w:spacing w:after="0" w:line="300" w:lineRule="exact"/>
        <w:ind w:left="0" w:firstLine="0"/>
        <w:rPr>
          <w:rFonts w:ascii="Verdana" w:hAnsi="Verdana"/>
          <w:sz w:val="20"/>
        </w:rPr>
      </w:pPr>
      <w:r w:rsidRPr="00190686">
        <w:rPr>
          <w:rFonts w:ascii="Verdana" w:hAnsi="Verdana"/>
          <w:sz w:val="20"/>
        </w:rPr>
        <w:t xml:space="preserve">As Assembleias Gerais de Debenturistas da Primeira Série e as Assembleias Gerais de Debenturistas da Segunda Série instalar-se-ão, em primeira convocação, com a presença de titulares de, no mínimo, metade das Debêntures da Primeira Série em circulação ou metade das Debêntures da Segunda Série em circulação, conforme o caso, e, em segunda convocação, com qualquer </w:t>
      </w:r>
      <w:proofErr w:type="spellStart"/>
      <w:r w:rsidRPr="00190686">
        <w:rPr>
          <w:rFonts w:ascii="Verdana" w:hAnsi="Verdana"/>
          <w:i/>
          <w:sz w:val="20"/>
        </w:rPr>
        <w:t>quorum</w:t>
      </w:r>
      <w:proofErr w:type="spellEnd"/>
      <w:r w:rsidRPr="00190686">
        <w:rPr>
          <w:rFonts w:ascii="Verdana" w:hAnsi="Verdana"/>
          <w:sz w:val="20"/>
        </w:rPr>
        <w:t xml:space="preserve">. </w:t>
      </w:r>
    </w:p>
    <w:p w14:paraId="6EBCCFDD" w14:textId="77777777" w:rsidR="001C53B9" w:rsidRDefault="001C53B9" w:rsidP="00F927B8">
      <w:pPr>
        <w:tabs>
          <w:tab w:val="left" w:pos="851"/>
        </w:tabs>
        <w:spacing w:after="0" w:line="300" w:lineRule="exact"/>
        <w:rPr>
          <w:rFonts w:ascii="Verdana" w:hAnsi="Verdana"/>
          <w:sz w:val="20"/>
        </w:rPr>
      </w:pPr>
    </w:p>
    <w:p w14:paraId="17CEAC83" w14:textId="53141315" w:rsidR="001C53B9" w:rsidRPr="00190686" w:rsidRDefault="001C53B9" w:rsidP="002D5261">
      <w:pPr>
        <w:numPr>
          <w:ilvl w:val="2"/>
          <w:numId w:val="30"/>
        </w:numPr>
        <w:tabs>
          <w:tab w:val="left" w:pos="851"/>
        </w:tabs>
        <w:spacing w:after="0" w:line="300" w:lineRule="exact"/>
        <w:ind w:left="0" w:firstLine="0"/>
        <w:rPr>
          <w:rFonts w:ascii="Verdana" w:hAnsi="Verdana"/>
          <w:sz w:val="20"/>
        </w:rPr>
      </w:pPr>
      <w:r>
        <w:rPr>
          <w:rFonts w:ascii="Verdana" w:hAnsi="Verdana"/>
          <w:sz w:val="20"/>
        </w:rPr>
        <w:t xml:space="preserve">As Assembleias Gerais cujas deliberações dependam da aprovação por Debenturistas da Primeira Série em circulação e por Debenturistas da Segunda Série em circulação, em conjunto, instalar-se-ão, em primeira convocação, com a presença de titulares de, no mínimo, metade das Debêntures em Circulação e, em segunda convocação, com qualquer </w:t>
      </w:r>
      <w:r w:rsidRPr="00F927B8">
        <w:rPr>
          <w:rFonts w:ascii="Verdana" w:hAnsi="Verdana"/>
          <w:i/>
          <w:sz w:val="20"/>
        </w:rPr>
        <w:t>quórum</w:t>
      </w:r>
      <w:r>
        <w:rPr>
          <w:rFonts w:ascii="Verdana" w:hAnsi="Verdana"/>
          <w:sz w:val="20"/>
        </w:rPr>
        <w:t>.</w:t>
      </w:r>
    </w:p>
    <w:p w14:paraId="1DA56B6E" w14:textId="77777777" w:rsidR="002D5261" w:rsidRPr="00190686" w:rsidRDefault="002D5261" w:rsidP="002D5261">
      <w:pPr>
        <w:tabs>
          <w:tab w:val="left" w:pos="851"/>
        </w:tabs>
        <w:spacing w:after="0" w:line="300" w:lineRule="exact"/>
        <w:rPr>
          <w:rFonts w:ascii="Verdana" w:hAnsi="Verdana"/>
          <w:sz w:val="20"/>
        </w:rPr>
      </w:pPr>
    </w:p>
    <w:p w14:paraId="6E172955" w14:textId="77777777" w:rsidR="002D5261" w:rsidRPr="00190686" w:rsidRDefault="002D5261" w:rsidP="002D5261">
      <w:pPr>
        <w:numPr>
          <w:ilvl w:val="2"/>
          <w:numId w:val="30"/>
        </w:numPr>
        <w:tabs>
          <w:tab w:val="left" w:pos="851"/>
        </w:tabs>
        <w:spacing w:after="0" w:line="300" w:lineRule="exact"/>
        <w:ind w:left="0" w:firstLine="0"/>
        <w:rPr>
          <w:rFonts w:ascii="Verdana" w:hAnsi="Verdana"/>
          <w:sz w:val="20"/>
        </w:rPr>
      </w:pPr>
      <w:r w:rsidRPr="00190686">
        <w:rPr>
          <w:rFonts w:ascii="Verdana" w:hAnsi="Verdana"/>
          <w:sz w:val="20"/>
        </w:rPr>
        <w:t xml:space="preserve">Para os fins de fixação dos </w:t>
      </w:r>
      <w:proofErr w:type="spellStart"/>
      <w:r w:rsidRPr="00190686">
        <w:rPr>
          <w:rFonts w:ascii="Verdana" w:hAnsi="Verdana"/>
          <w:i/>
          <w:sz w:val="20"/>
        </w:rPr>
        <w:t>quoruns</w:t>
      </w:r>
      <w:proofErr w:type="spellEnd"/>
      <w:r w:rsidRPr="00190686">
        <w:rPr>
          <w:rFonts w:ascii="Verdana" w:hAnsi="Verdana"/>
          <w:sz w:val="20"/>
        </w:rPr>
        <w:t xml:space="preserve"> desta Escritura de Emissão, “</w:t>
      </w:r>
      <w:r w:rsidRPr="00190686">
        <w:rPr>
          <w:rFonts w:ascii="Verdana" w:hAnsi="Verdana"/>
          <w:sz w:val="20"/>
          <w:u w:val="single"/>
        </w:rPr>
        <w:t>Debêntures em Circulação</w:t>
      </w:r>
      <w:r w:rsidRPr="00190686">
        <w:rPr>
          <w:rFonts w:ascii="Verdana" w:hAnsi="Verdana"/>
          <w:sz w:val="20"/>
        </w:rPr>
        <w:t>” significa todas as Debêntures subscritas e integralizadas e não resgatadas, excluídas as Debêntures (a) mantidas em tesouraria pela Emissora; (b) as de titularidade de (i) controladas (direta ou indiretamente) pela Emissora; (</w:t>
      </w:r>
      <w:proofErr w:type="spellStart"/>
      <w:proofErr w:type="gramStart"/>
      <w:r w:rsidRPr="00190686">
        <w:rPr>
          <w:rFonts w:ascii="Verdana" w:hAnsi="Verdana"/>
          <w:sz w:val="20"/>
        </w:rPr>
        <w:t>ii</w:t>
      </w:r>
      <w:proofErr w:type="spellEnd"/>
      <w:proofErr w:type="gramEnd"/>
      <w:r w:rsidRPr="00190686">
        <w:rPr>
          <w:rFonts w:ascii="Verdana" w:hAnsi="Verdana"/>
          <w:sz w:val="20"/>
        </w:rPr>
        <w:t>) controladoras (ou do grupo de controle) e/ou coligadas da Emissora, e (</w:t>
      </w:r>
      <w:proofErr w:type="spellStart"/>
      <w:r w:rsidRPr="00190686">
        <w:rPr>
          <w:rFonts w:ascii="Verdana" w:hAnsi="Verdana"/>
          <w:sz w:val="20"/>
        </w:rPr>
        <w:t>iii</w:t>
      </w:r>
      <w:proofErr w:type="spellEnd"/>
      <w:r w:rsidRPr="00190686">
        <w:rPr>
          <w:rFonts w:ascii="Verdana" w:hAnsi="Verdana"/>
          <w:sz w:val="20"/>
        </w:rPr>
        <w:t xml:space="preserve">) administradores da Emissora, incluindo, mas não se limitando a pessoas direta ou indiretamente relacionadas a quaisquer das pessoas anteriormente mencionadas, bem como às Debêntures de titularidade de diretores, conselheiros e seus parentes até segundo grau. Para efeitos de </w:t>
      </w:r>
      <w:proofErr w:type="spellStart"/>
      <w:r w:rsidRPr="00190686">
        <w:rPr>
          <w:rFonts w:ascii="Verdana" w:hAnsi="Verdana"/>
          <w:i/>
          <w:sz w:val="20"/>
        </w:rPr>
        <w:t>quorum</w:t>
      </w:r>
      <w:proofErr w:type="spellEnd"/>
      <w:r w:rsidRPr="00190686">
        <w:rPr>
          <w:rFonts w:ascii="Verdana" w:hAnsi="Verdana"/>
          <w:sz w:val="20"/>
        </w:rPr>
        <w:t xml:space="preserve"> de deliberação não serão computados, ainda, os votos em branco.</w:t>
      </w:r>
    </w:p>
    <w:p w14:paraId="0999A1EF" w14:textId="77777777" w:rsidR="002D5261" w:rsidRPr="00190686" w:rsidRDefault="002D5261" w:rsidP="002D5261">
      <w:pPr>
        <w:pStyle w:val="GradeMdia1-nfase21"/>
        <w:tabs>
          <w:tab w:val="left" w:pos="851"/>
        </w:tabs>
        <w:spacing w:after="0" w:line="300" w:lineRule="exact"/>
        <w:rPr>
          <w:rFonts w:ascii="Verdana" w:hAnsi="Verdana"/>
          <w:sz w:val="20"/>
        </w:rPr>
      </w:pPr>
    </w:p>
    <w:p w14:paraId="65E611A2" w14:textId="77777777" w:rsidR="002D5261" w:rsidRPr="00190686" w:rsidRDefault="002D5261" w:rsidP="002D5261">
      <w:pPr>
        <w:numPr>
          <w:ilvl w:val="2"/>
          <w:numId w:val="30"/>
        </w:numPr>
        <w:tabs>
          <w:tab w:val="left" w:pos="851"/>
        </w:tabs>
        <w:spacing w:after="0" w:line="300" w:lineRule="exact"/>
        <w:ind w:left="0" w:firstLine="0"/>
        <w:rPr>
          <w:rFonts w:ascii="Verdana" w:hAnsi="Verdana"/>
          <w:sz w:val="20"/>
        </w:rPr>
      </w:pPr>
      <w:r w:rsidRPr="00190686">
        <w:rPr>
          <w:rFonts w:ascii="Verdana" w:hAnsi="Verdana"/>
          <w:sz w:val="20"/>
        </w:rPr>
        <w:t>Será facultada a presença dos representantes legais da Emissora na Assembleia Geral.</w:t>
      </w:r>
    </w:p>
    <w:p w14:paraId="463F5C74" w14:textId="77777777" w:rsidR="002D5261" w:rsidRPr="00190686" w:rsidRDefault="002D5261" w:rsidP="002D5261">
      <w:pPr>
        <w:tabs>
          <w:tab w:val="left" w:pos="851"/>
        </w:tabs>
        <w:spacing w:after="0" w:line="300" w:lineRule="exact"/>
        <w:rPr>
          <w:rFonts w:ascii="Verdana" w:hAnsi="Verdana"/>
          <w:sz w:val="20"/>
        </w:rPr>
      </w:pPr>
    </w:p>
    <w:p w14:paraId="07CA9780" w14:textId="77777777" w:rsidR="002D5261" w:rsidRPr="00190686" w:rsidRDefault="002D5261" w:rsidP="002D5261">
      <w:pPr>
        <w:numPr>
          <w:ilvl w:val="1"/>
          <w:numId w:val="11"/>
        </w:numPr>
        <w:tabs>
          <w:tab w:val="left" w:pos="851"/>
        </w:tabs>
        <w:spacing w:after="0" w:line="300" w:lineRule="exact"/>
        <w:rPr>
          <w:rFonts w:ascii="Verdana" w:hAnsi="Verdana"/>
          <w:b/>
          <w:sz w:val="20"/>
        </w:rPr>
      </w:pPr>
      <w:r w:rsidRPr="00190686">
        <w:rPr>
          <w:rFonts w:ascii="Verdana" w:hAnsi="Verdana"/>
          <w:b/>
          <w:sz w:val="20"/>
        </w:rPr>
        <w:t>Mesa Diretora</w:t>
      </w:r>
    </w:p>
    <w:p w14:paraId="0222B650" w14:textId="77777777" w:rsidR="002D5261" w:rsidRPr="00190686" w:rsidRDefault="002D5261" w:rsidP="002D5261">
      <w:pPr>
        <w:tabs>
          <w:tab w:val="left" w:pos="851"/>
        </w:tabs>
        <w:spacing w:after="0" w:line="300" w:lineRule="exact"/>
        <w:rPr>
          <w:rFonts w:ascii="Verdana" w:hAnsi="Verdana"/>
          <w:sz w:val="20"/>
        </w:rPr>
      </w:pPr>
    </w:p>
    <w:p w14:paraId="08B8C001" w14:textId="77777777" w:rsidR="002D5261" w:rsidRPr="00190686" w:rsidRDefault="002D5261" w:rsidP="002D5261">
      <w:pPr>
        <w:numPr>
          <w:ilvl w:val="0"/>
          <w:numId w:val="31"/>
        </w:numPr>
        <w:tabs>
          <w:tab w:val="left" w:pos="851"/>
        </w:tabs>
        <w:spacing w:after="0" w:line="300" w:lineRule="exact"/>
        <w:ind w:left="0" w:firstLine="0"/>
        <w:rPr>
          <w:rFonts w:ascii="Verdana" w:hAnsi="Verdana"/>
          <w:sz w:val="20"/>
        </w:rPr>
      </w:pPr>
      <w:r w:rsidRPr="00190686">
        <w:rPr>
          <w:rFonts w:ascii="Verdana" w:hAnsi="Verdana"/>
          <w:sz w:val="20"/>
        </w:rPr>
        <w:t>A presidência e a secretaria das Assembleias Gerais de Debenturistas da Primeira Série ou das Assembleias Gerais de Debenturistas da Segunda Série, conforme o caso</w:t>
      </w:r>
      <w:proofErr w:type="gramStart"/>
      <w:r w:rsidRPr="00190686">
        <w:rPr>
          <w:rFonts w:ascii="Verdana" w:hAnsi="Verdana"/>
          <w:sz w:val="20"/>
        </w:rPr>
        <w:t>, caberão</w:t>
      </w:r>
      <w:proofErr w:type="gramEnd"/>
      <w:r w:rsidRPr="00190686">
        <w:rPr>
          <w:rFonts w:ascii="Verdana" w:hAnsi="Verdana"/>
          <w:sz w:val="20"/>
        </w:rPr>
        <w:t xml:space="preserve"> aos Debenturistas da Primeira Série e aos Debenturistas da Segunda Série, conforme o caso, eleitos por estes próprios, aos representantes do Agente Fiduciário ou àqueles que forem designados pela CVM.</w:t>
      </w:r>
    </w:p>
    <w:p w14:paraId="32AAAEE6" w14:textId="77777777" w:rsidR="002D5261" w:rsidRPr="00190686" w:rsidRDefault="002D5261" w:rsidP="002D5261">
      <w:pPr>
        <w:tabs>
          <w:tab w:val="left" w:pos="851"/>
        </w:tabs>
        <w:spacing w:after="0" w:line="300" w:lineRule="exact"/>
        <w:rPr>
          <w:rFonts w:ascii="Verdana" w:hAnsi="Verdana"/>
          <w:sz w:val="20"/>
        </w:rPr>
      </w:pPr>
    </w:p>
    <w:p w14:paraId="5904716E" w14:textId="77777777" w:rsidR="002D5261" w:rsidRPr="00190686" w:rsidRDefault="002D5261" w:rsidP="002D5261">
      <w:pPr>
        <w:numPr>
          <w:ilvl w:val="0"/>
          <w:numId w:val="31"/>
        </w:numPr>
        <w:tabs>
          <w:tab w:val="left" w:pos="851"/>
        </w:tabs>
        <w:spacing w:after="0" w:line="300" w:lineRule="exact"/>
        <w:ind w:left="0" w:firstLine="0"/>
        <w:rPr>
          <w:rFonts w:ascii="Verdana" w:hAnsi="Verdana"/>
          <w:sz w:val="20"/>
        </w:rPr>
      </w:pPr>
      <w:r w:rsidRPr="00190686">
        <w:rPr>
          <w:rFonts w:ascii="Verdana" w:hAnsi="Verdana"/>
          <w:sz w:val="20"/>
        </w:rPr>
        <w:lastRenderedPageBreak/>
        <w:t>O Agente Fiduciário deverá comparecer às assembleias gerais de Debenturistas e prestar aos Debenturistas as informações que lhe forem solicitadas.</w:t>
      </w:r>
    </w:p>
    <w:p w14:paraId="1A806949" w14:textId="77777777" w:rsidR="002D5261" w:rsidRPr="00190686" w:rsidRDefault="002D5261" w:rsidP="002D5261">
      <w:pPr>
        <w:pStyle w:val="PargrafodaLista"/>
        <w:spacing w:after="0" w:line="300" w:lineRule="exact"/>
        <w:rPr>
          <w:rFonts w:ascii="Verdana" w:hAnsi="Verdana"/>
          <w:sz w:val="20"/>
        </w:rPr>
      </w:pPr>
    </w:p>
    <w:p w14:paraId="4B53C8EC" w14:textId="77777777" w:rsidR="002D5261" w:rsidRPr="00190686" w:rsidRDefault="002D5261" w:rsidP="002D5261">
      <w:pPr>
        <w:numPr>
          <w:ilvl w:val="1"/>
          <w:numId w:val="11"/>
        </w:numPr>
        <w:tabs>
          <w:tab w:val="left" w:pos="851"/>
        </w:tabs>
        <w:spacing w:after="0" w:line="300" w:lineRule="exact"/>
        <w:rPr>
          <w:rFonts w:ascii="Verdana" w:hAnsi="Verdana"/>
          <w:b/>
          <w:sz w:val="20"/>
        </w:rPr>
      </w:pPr>
      <w:bookmarkStart w:id="144" w:name="_Ref130286717"/>
      <w:proofErr w:type="spellStart"/>
      <w:r w:rsidRPr="00190686">
        <w:rPr>
          <w:rFonts w:ascii="Verdana" w:hAnsi="Verdana"/>
          <w:b/>
          <w:i/>
          <w:sz w:val="20"/>
        </w:rPr>
        <w:t>Quorum</w:t>
      </w:r>
      <w:proofErr w:type="spellEnd"/>
      <w:r w:rsidRPr="00190686">
        <w:rPr>
          <w:rFonts w:ascii="Verdana" w:hAnsi="Verdana"/>
          <w:b/>
          <w:sz w:val="20"/>
        </w:rPr>
        <w:t xml:space="preserve"> de Deliberação</w:t>
      </w:r>
    </w:p>
    <w:p w14:paraId="684FD070" w14:textId="77777777" w:rsidR="002D5261" w:rsidRPr="00190686" w:rsidRDefault="002D5261" w:rsidP="002D5261">
      <w:pPr>
        <w:tabs>
          <w:tab w:val="left" w:pos="851"/>
        </w:tabs>
        <w:spacing w:after="0" w:line="300" w:lineRule="exact"/>
        <w:rPr>
          <w:rFonts w:ascii="Verdana" w:hAnsi="Verdana"/>
          <w:sz w:val="20"/>
        </w:rPr>
      </w:pPr>
    </w:p>
    <w:p w14:paraId="58FC3632" w14:textId="6508BEB3" w:rsidR="002D5261" w:rsidRPr="00190686" w:rsidRDefault="002D5261" w:rsidP="002D5261">
      <w:pPr>
        <w:numPr>
          <w:ilvl w:val="0"/>
          <w:numId w:val="32"/>
        </w:numPr>
        <w:tabs>
          <w:tab w:val="left" w:pos="851"/>
        </w:tabs>
        <w:spacing w:after="0" w:line="300" w:lineRule="exact"/>
        <w:ind w:left="0" w:firstLine="0"/>
        <w:rPr>
          <w:rFonts w:ascii="Verdana" w:hAnsi="Verdana"/>
          <w:sz w:val="20"/>
        </w:rPr>
      </w:pPr>
      <w:r w:rsidRPr="00190686">
        <w:rPr>
          <w:rFonts w:ascii="Verdana" w:hAnsi="Verdana"/>
          <w:sz w:val="20"/>
        </w:rPr>
        <w:t xml:space="preserve">Nas deliberações das </w:t>
      </w:r>
      <w:r w:rsidR="001C53B9">
        <w:rPr>
          <w:rFonts w:ascii="Verdana" w:hAnsi="Verdana"/>
          <w:sz w:val="20"/>
        </w:rPr>
        <w:t>A</w:t>
      </w:r>
      <w:r w:rsidRPr="00190686">
        <w:rPr>
          <w:rFonts w:ascii="Verdana" w:hAnsi="Verdana"/>
          <w:sz w:val="20"/>
        </w:rPr>
        <w:t xml:space="preserve">ssembleias </w:t>
      </w:r>
      <w:r w:rsidR="001C53B9">
        <w:rPr>
          <w:rFonts w:ascii="Verdana" w:hAnsi="Verdana"/>
          <w:sz w:val="20"/>
        </w:rPr>
        <w:t>G</w:t>
      </w:r>
      <w:r w:rsidRPr="00190686">
        <w:rPr>
          <w:rFonts w:ascii="Verdana" w:hAnsi="Verdana"/>
          <w:sz w:val="20"/>
        </w:rPr>
        <w:t xml:space="preserve">erais de Debenturistas da Primeira Série e das Assembleias Gerais de Debenturistas da Segunda Série, a cada Debênture em circulação </w:t>
      </w:r>
      <w:r w:rsidR="001C53B9">
        <w:rPr>
          <w:rFonts w:ascii="Verdana" w:hAnsi="Verdana"/>
          <w:sz w:val="20"/>
        </w:rPr>
        <w:t xml:space="preserve">da respectiva série </w:t>
      </w:r>
      <w:r w:rsidRPr="00190686">
        <w:rPr>
          <w:rFonts w:ascii="Verdana" w:hAnsi="Verdana"/>
          <w:sz w:val="20"/>
        </w:rPr>
        <w:t xml:space="preserve">caberá um voto, admitida a constituição de mandatário, Debenturista ou não. Exceto pelo disposto na Cláusula 8.4.2 a seguir, todas as deliberações a serem tomadas (i) em </w:t>
      </w:r>
      <w:r w:rsidR="001C53B9">
        <w:rPr>
          <w:rFonts w:ascii="Verdana" w:hAnsi="Verdana"/>
          <w:sz w:val="20"/>
        </w:rPr>
        <w:t>A</w:t>
      </w:r>
      <w:r w:rsidRPr="00190686">
        <w:rPr>
          <w:rFonts w:ascii="Verdana" w:hAnsi="Verdana"/>
          <w:sz w:val="20"/>
        </w:rPr>
        <w:t xml:space="preserve">ssembleia </w:t>
      </w:r>
      <w:r w:rsidR="001C53B9">
        <w:rPr>
          <w:rFonts w:ascii="Verdana" w:hAnsi="Verdana"/>
          <w:sz w:val="20"/>
        </w:rPr>
        <w:t>G</w:t>
      </w:r>
      <w:r w:rsidRPr="00190686">
        <w:rPr>
          <w:rFonts w:ascii="Verdana" w:hAnsi="Verdana"/>
          <w:sz w:val="20"/>
        </w:rPr>
        <w:t>eral de Debenturistas da Primeira Série dependerão de aprovação de Debenturistas da Primeira Série representando, no mínimo, 75% (setenta e cinco por cento) das Debêntures da Primeira Série em circulação; e (</w:t>
      </w:r>
      <w:proofErr w:type="spellStart"/>
      <w:r w:rsidRPr="00190686">
        <w:rPr>
          <w:rFonts w:ascii="Verdana" w:hAnsi="Verdana"/>
          <w:sz w:val="20"/>
        </w:rPr>
        <w:t>ii</w:t>
      </w:r>
      <w:proofErr w:type="spellEnd"/>
      <w:r w:rsidRPr="00190686">
        <w:rPr>
          <w:rFonts w:ascii="Verdana" w:hAnsi="Verdana"/>
          <w:sz w:val="20"/>
        </w:rPr>
        <w:t xml:space="preserve">) em </w:t>
      </w:r>
      <w:r w:rsidR="001C53B9">
        <w:rPr>
          <w:rFonts w:ascii="Verdana" w:hAnsi="Verdana"/>
          <w:sz w:val="20"/>
        </w:rPr>
        <w:t>A</w:t>
      </w:r>
      <w:r w:rsidRPr="00190686">
        <w:rPr>
          <w:rFonts w:ascii="Verdana" w:hAnsi="Verdana"/>
          <w:sz w:val="20"/>
        </w:rPr>
        <w:t xml:space="preserve">ssembleia </w:t>
      </w:r>
      <w:r w:rsidR="001C53B9">
        <w:rPr>
          <w:rFonts w:ascii="Verdana" w:hAnsi="Verdana"/>
          <w:sz w:val="20"/>
        </w:rPr>
        <w:t>G</w:t>
      </w:r>
      <w:r w:rsidRPr="00190686">
        <w:rPr>
          <w:rFonts w:ascii="Verdana" w:hAnsi="Verdana"/>
          <w:sz w:val="20"/>
        </w:rPr>
        <w:t>eral de Debenturistas da Segunda Série dependerão de aprovação de Debenturistas da Segunda Série representando, no mínimo, 75% (setenta e cinco por cento) das Debêntures da Segunda Série em circulação.</w:t>
      </w:r>
      <w:bookmarkEnd w:id="144"/>
    </w:p>
    <w:p w14:paraId="5EB81060" w14:textId="77777777" w:rsidR="002D5261" w:rsidRDefault="002D5261" w:rsidP="002D5261">
      <w:pPr>
        <w:tabs>
          <w:tab w:val="left" w:pos="851"/>
        </w:tabs>
        <w:spacing w:after="0" w:line="300" w:lineRule="exact"/>
        <w:rPr>
          <w:rFonts w:ascii="Verdana" w:hAnsi="Verdana"/>
          <w:sz w:val="20"/>
        </w:rPr>
      </w:pPr>
    </w:p>
    <w:p w14:paraId="557BA103" w14:textId="4B3351A0" w:rsidR="001C53B9" w:rsidRPr="00190686" w:rsidRDefault="001C53B9" w:rsidP="00F927B8">
      <w:pPr>
        <w:numPr>
          <w:ilvl w:val="0"/>
          <w:numId w:val="32"/>
        </w:numPr>
        <w:tabs>
          <w:tab w:val="left" w:pos="851"/>
        </w:tabs>
        <w:spacing w:after="0" w:line="300" w:lineRule="exact"/>
        <w:ind w:left="0" w:firstLine="0"/>
        <w:rPr>
          <w:rFonts w:ascii="Verdana" w:hAnsi="Verdana"/>
          <w:sz w:val="20"/>
        </w:rPr>
      </w:pPr>
      <w:r>
        <w:rPr>
          <w:rFonts w:ascii="Verdana" w:hAnsi="Verdana"/>
          <w:sz w:val="20"/>
        </w:rPr>
        <w:t>Nas Assembleias Gerais cujas deliberações dependam de aprovação por Debenturistas da Primeira Série em circulação e por Debenturistas da Segunda Série em circulação, em conjunto, as deliberações a serem tomadas dependerão de aprovação por Debenturistas representando, no mínimo, 75% (setenta e cinco por cento) das Debêntures em Circulação.</w:t>
      </w:r>
    </w:p>
    <w:p w14:paraId="733F10FD" w14:textId="77777777" w:rsidR="001C53B9" w:rsidRPr="00190686" w:rsidRDefault="001C53B9" w:rsidP="001C53B9">
      <w:pPr>
        <w:tabs>
          <w:tab w:val="left" w:pos="851"/>
        </w:tabs>
        <w:spacing w:after="0" w:line="300" w:lineRule="exact"/>
        <w:rPr>
          <w:rFonts w:ascii="Verdana" w:hAnsi="Verdana"/>
          <w:sz w:val="20"/>
        </w:rPr>
      </w:pPr>
    </w:p>
    <w:p w14:paraId="56592883" w14:textId="442CF7A0" w:rsidR="002D5261" w:rsidRPr="00190686" w:rsidRDefault="002D5261" w:rsidP="002D5261">
      <w:pPr>
        <w:numPr>
          <w:ilvl w:val="0"/>
          <w:numId w:val="32"/>
        </w:numPr>
        <w:tabs>
          <w:tab w:val="left" w:pos="851"/>
        </w:tabs>
        <w:spacing w:after="0" w:line="300" w:lineRule="exact"/>
        <w:ind w:left="0" w:firstLine="0"/>
        <w:rPr>
          <w:rFonts w:ascii="Verdana" w:hAnsi="Verdana"/>
          <w:sz w:val="20"/>
        </w:rPr>
      </w:pPr>
      <w:bookmarkStart w:id="145" w:name="_Ref130286715"/>
      <w:r w:rsidRPr="00190686">
        <w:rPr>
          <w:rFonts w:ascii="Verdana" w:hAnsi="Verdana"/>
          <w:sz w:val="20"/>
        </w:rPr>
        <w:t xml:space="preserve">Não estão incluídos no </w:t>
      </w:r>
      <w:proofErr w:type="spellStart"/>
      <w:r w:rsidRPr="00190686">
        <w:rPr>
          <w:rFonts w:ascii="Verdana" w:hAnsi="Verdana"/>
          <w:i/>
          <w:sz w:val="20"/>
        </w:rPr>
        <w:t>quorum</w:t>
      </w:r>
      <w:proofErr w:type="spellEnd"/>
      <w:r w:rsidRPr="00190686">
        <w:rPr>
          <w:rFonts w:ascii="Verdana" w:hAnsi="Verdana"/>
          <w:sz w:val="20"/>
        </w:rPr>
        <w:t xml:space="preserve"> a que se refere a 8.4.1. </w:t>
      </w:r>
      <w:proofErr w:type="gramStart"/>
      <w:r w:rsidRPr="00190686">
        <w:rPr>
          <w:rFonts w:ascii="Verdana" w:hAnsi="Verdana"/>
          <w:sz w:val="20"/>
        </w:rPr>
        <w:t>acima</w:t>
      </w:r>
      <w:proofErr w:type="gramEnd"/>
      <w:r w:rsidRPr="00190686">
        <w:rPr>
          <w:rFonts w:ascii="Verdana" w:hAnsi="Verdana"/>
          <w:sz w:val="20"/>
        </w:rPr>
        <w:t>:</w:t>
      </w:r>
      <w:bookmarkEnd w:id="145"/>
    </w:p>
    <w:p w14:paraId="35740A2C" w14:textId="77777777" w:rsidR="002D5261" w:rsidRPr="00190686" w:rsidRDefault="002D5261" w:rsidP="002D5261">
      <w:pPr>
        <w:tabs>
          <w:tab w:val="left" w:pos="851"/>
        </w:tabs>
        <w:spacing w:after="0" w:line="300" w:lineRule="exact"/>
        <w:rPr>
          <w:rFonts w:ascii="Verdana" w:hAnsi="Verdana"/>
          <w:sz w:val="20"/>
        </w:rPr>
      </w:pPr>
    </w:p>
    <w:p w14:paraId="3FB718FE" w14:textId="77777777" w:rsidR="002D5261" w:rsidRPr="00190686" w:rsidRDefault="002D5261" w:rsidP="002D5261">
      <w:pPr>
        <w:numPr>
          <w:ilvl w:val="6"/>
          <w:numId w:val="11"/>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os</w:t>
      </w:r>
      <w:proofErr w:type="gramEnd"/>
      <w:r w:rsidRPr="00190686">
        <w:rPr>
          <w:rFonts w:ascii="Verdana" w:hAnsi="Verdana"/>
          <w:sz w:val="20"/>
        </w:rPr>
        <w:t xml:space="preserve"> </w:t>
      </w:r>
      <w:proofErr w:type="spellStart"/>
      <w:r w:rsidRPr="00190686">
        <w:rPr>
          <w:rFonts w:ascii="Verdana" w:hAnsi="Verdana"/>
          <w:i/>
          <w:sz w:val="20"/>
        </w:rPr>
        <w:t>quoruns</w:t>
      </w:r>
      <w:proofErr w:type="spellEnd"/>
      <w:r w:rsidRPr="00190686">
        <w:rPr>
          <w:rFonts w:ascii="Verdana" w:hAnsi="Verdana"/>
          <w:sz w:val="20"/>
        </w:rPr>
        <w:t xml:space="preserve"> expressamente previstos em outras Cláusulas desta Escritura de Emissão observado o </w:t>
      </w:r>
      <w:proofErr w:type="spellStart"/>
      <w:r w:rsidRPr="00190686">
        <w:rPr>
          <w:rFonts w:ascii="Verdana" w:hAnsi="Verdana"/>
          <w:i/>
          <w:sz w:val="20"/>
        </w:rPr>
        <w:t>quorum</w:t>
      </w:r>
      <w:proofErr w:type="spellEnd"/>
      <w:r w:rsidRPr="00190686">
        <w:rPr>
          <w:rFonts w:ascii="Verdana" w:hAnsi="Verdana"/>
          <w:sz w:val="20"/>
        </w:rPr>
        <w:t xml:space="preserve"> previsto no artigo 71, parágrafo 5º, da Lei das Sociedades por Ações; e</w:t>
      </w:r>
    </w:p>
    <w:p w14:paraId="6E46AE66" w14:textId="77777777" w:rsidR="002D5261" w:rsidRPr="00190686" w:rsidRDefault="002D5261" w:rsidP="002D5261">
      <w:pPr>
        <w:tabs>
          <w:tab w:val="num" w:pos="851"/>
        </w:tabs>
        <w:spacing w:after="0" w:line="300" w:lineRule="exact"/>
        <w:ind w:left="851" w:hanging="851"/>
        <w:rPr>
          <w:rFonts w:ascii="Verdana" w:hAnsi="Verdana"/>
          <w:sz w:val="20"/>
        </w:rPr>
      </w:pPr>
    </w:p>
    <w:p w14:paraId="289D6F00" w14:textId="11109A7E" w:rsidR="002D5261" w:rsidRPr="00F927B8" w:rsidRDefault="002D5261" w:rsidP="002D5261">
      <w:pPr>
        <w:numPr>
          <w:ilvl w:val="6"/>
          <w:numId w:val="11"/>
        </w:numPr>
        <w:tabs>
          <w:tab w:val="clear" w:pos="1701"/>
          <w:tab w:val="num" w:pos="851"/>
        </w:tabs>
        <w:spacing w:after="0" w:line="300" w:lineRule="exact"/>
        <w:ind w:left="851" w:hanging="851"/>
        <w:rPr>
          <w:rFonts w:ascii="Verdana" w:hAnsi="Verdana"/>
          <w:sz w:val="20"/>
        </w:rPr>
      </w:pPr>
      <w:proofErr w:type="gramStart"/>
      <w:r w:rsidRPr="00B74185">
        <w:rPr>
          <w:rFonts w:ascii="Verdana" w:hAnsi="Verdana"/>
          <w:sz w:val="20"/>
        </w:rPr>
        <w:t>as</w:t>
      </w:r>
      <w:proofErr w:type="gramEnd"/>
      <w:r w:rsidRPr="00B74185">
        <w:rPr>
          <w:rFonts w:ascii="Verdana" w:hAnsi="Verdana"/>
          <w:sz w:val="20"/>
        </w:rPr>
        <w:t xml:space="preserve"> alterações, que somente poderão ser propostas pela Emissora, que deverão ser aprovadas por Debenturistas da Primeira Série representando, no mínimo, 90% (noventa por cento) das Debêntures da Primeira Série em circulação, e por Debenturistas da Segunda Série representando, no mínimo, 90% (noventa por cento) das Debêntures da Segunda Série em circulação, </w:t>
      </w:r>
      <w:r w:rsidR="001C53B9">
        <w:rPr>
          <w:rFonts w:ascii="Verdana" w:hAnsi="Verdana"/>
          <w:sz w:val="20"/>
        </w:rPr>
        <w:t xml:space="preserve">quais sejam </w:t>
      </w:r>
      <w:r w:rsidRPr="00B74185">
        <w:rPr>
          <w:rFonts w:ascii="Verdana" w:hAnsi="Verdana"/>
          <w:sz w:val="20"/>
        </w:rPr>
        <w:t xml:space="preserve">(a) das disposições desta Cláusula; (b) de qualquer dos </w:t>
      </w:r>
      <w:proofErr w:type="spellStart"/>
      <w:r w:rsidRPr="00B74185">
        <w:rPr>
          <w:rFonts w:ascii="Verdana" w:hAnsi="Verdana"/>
          <w:i/>
          <w:sz w:val="20"/>
        </w:rPr>
        <w:t>quoruns</w:t>
      </w:r>
      <w:proofErr w:type="spellEnd"/>
      <w:r w:rsidRPr="00B74185">
        <w:rPr>
          <w:rFonts w:ascii="Verdana" w:hAnsi="Verdana"/>
          <w:sz w:val="20"/>
        </w:rPr>
        <w:t xml:space="preserve"> previstos nesta Escritura de Emissão; (c) da Remuneração, exceto pelo disposto na Cláusula 4.2.5.2, na Cláusula 4.2.5.3 e/ou na Cláusula 4.3.5.2; (d) de quaisquer datas de pagamento de quaisquer valores previstos nesta Escritura de Emissão; (e) do prazo de vigência das Debêntures; (f) da espécie das Debêntures; (g) da criação de evento de repactuação das Debêntures; (h) das disposições relativas a Resgate Antecipado Facultativo; (i) das disposições relativas a amortizações antecipadas facultativas; (j) das disposições relativas à Oferta Facultativa de Resgate Antecipado; ou (k) da redação de qualquer E</w:t>
      </w:r>
      <w:r w:rsidRPr="00B74185">
        <w:rPr>
          <w:rFonts w:ascii="Verdana" w:eastAsia="Arial Unicode MS" w:hAnsi="Verdana"/>
          <w:sz w:val="20"/>
        </w:rPr>
        <w:t>vento de Inadimplemento.</w:t>
      </w:r>
      <w:r w:rsidRPr="00F927B8">
        <w:rPr>
          <w:rFonts w:ascii="Verdana" w:eastAsia="Arial Unicode MS" w:hAnsi="Verdana"/>
          <w:sz w:val="20"/>
        </w:rPr>
        <w:t xml:space="preserve"> </w:t>
      </w:r>
    </w:p>
    <w:p w14:paraId="3AB814DD" w14:textId="77777777" w:rsidR="002D5261" w:rsidRPr="00190686" w:rsidRDefault="002D5261" w:rsidP="002D5261">
      <w:pPr>
        <w:tabs>
          <w:tab w:val="left" w:pos="851"/>
        </w:tabs>
        <w:spacing w:after="0" w:line="300" w:lineRule="exact"/>
        <w:ind w:left="709"/>
        <w:rPr>
          <w:rFonts w:ascii="Verdana" w:hAnsi="Verdana"/>
          <w:sz w:val="20"/>
        </w:rPr>
      </w:pPr>
    </w:p>
    <w:p w14:paraId="43052F29" w14:textId="77777777" w:rsidR="002D5261" w:rsidRPr="00190686" w:rsidRDefault="002D5261" w:rsidP="002D5261">
      <w:pPr>
        <w:numPr>
          <w:ilvl w:val="0"/>
          <w:numId w:val="32"/>
        </w:numPr>
        <w:tabs>
          <w:tab w:val="left" w:pos="851"/>
        </w:tabs>
        <w:spacing w:after="0" w:line="300" w:lineRule="exact"/>
        <w:ind w:left="0" w:firstLine="0"/>
        <w:rPr>
          <w:rFonts w:ascii="Verdana" w:hAnsi="Verdana"/>
          <w:sz w:val="20"/>
        </w:rPr>
      </w:pPr>
      <w:bookmarkStart w:id="146" w:name="_Ref534176609"/>
      <w:r w:rsidRPr="00190686">
        <w:rPr>
          <w:rFonts w:ascii="Verdana" w:hAnsi="Verdana"/>
          <w:sz w:val="20"/>
        </w:rPr>
        <w:t>Aplica-se às assembleias gerais de Debenturistas, no que couber, o disposto na Lei das Sociedades por Ações, sobre a assembleia geral de acionistas.</w:t>
      </w:r>
    </w:p>
    <w:p w14:paraId="38EF1FAC" w14:textId="77777777" w:rsidR="002D5261" w:rsidRPr="00190686" w:rsidRDefault="002D5261" w:rsidP="002D5261">
      <w:pPr>
        <w:tabs>
          <w:tab w:val="left" w:pos="851"/>
        </w:tabs>
        <w:spacing w:after="0" w:line="300" w:lineRule="exact"/>
        <w:rPr>
          <w:rFonts w:ascii="Verdana" w:hAnsi="Verdana"/>
          <w:sz w:val="20"/>
        </w:rPr>
      </w:pPr>
    </w:p>
    <w:p w14:paraId="489ED2EA" w14:textId="77777777" w:rsidR="002D5261" w:rsidRPr="00190686" w:rsidRDefault="002D5261" w:rsidP="002D5261">
      <w:pPr>
        <w:tabs>
          <w:tab w:val="left" w:pos="851"/>
        </w:tabs>
        <w:spacing w:after="0" w:line="300" w:lineRule="exact"/>
        <w:rPr>
          <w:rFonts w:ascii="Verdana" w:hAnsi="Verdana"/>
          <w:sz w:val="20"/>
        </w:rPr>
      </w:pPr>
    </w:p>
    <w:p w14:paraId="100E3526" w14:textId="77777777" w:rsidR="002D5261" w:rsidRPr="00190686" w:rsidRDefault="002D5261" w:rsidP="002D5261">
      <w:pPr>
        <w:tabs>
          <w:tab w:val="left" w:pos="851"/>
        </w:tabs>
        <w:spacing w:after="0" w:line="300" w:lineRule="exact"/>
        <w:jc w:val="center"/>
        <w:rPr>
          <w:rFonts w:ascii="Verdana" w:hAnsi="Verdana"/>
          <w:b/>
          <w:smallCaps/>
          <w:sz w:val="20"/>
        </w:rPr>
      </w:pPr>
      <w:bookmarkStart w:id="147" w:name="_Ref147910921"/>
      <w:r w:rsidRPr="00190686">
        <w:rPr>
          <w:rFonts w:ascii="Verdana" w:hAnsi="Verdana"/>
          <w:b/>
          <w:smallCaps/>
          <w:sz w:val="20"/>
        </w:rPr>
        <w:t>Cláusula IX</w:t>
      </w:r>
    </w:p>
    <w:p w14:paraId="0C19B9FD" w14:textId="77777777" w:rsidR="002D5261" w:rsidRPr="00190686" w:rsidRDefault="002D5261" w:rsidP="002D5261">
      <w:pPr>
        <w:tabs>
          <w:tab w:val="left" w:pos="851"/>
        </w:tabs>
        <w:spacing w:after="0" w:line="300" w:lineRule="exact"/>
        <w:jc w:val="center"/>
        <w:rPr>
          <w:rFonts w:ascii="Verdana" w:hAnsi="Verdana"/>
          <w:b/>
          <w:smallCaps/>
          <w:sz w:val="20"/>
        </w:rPr>
      </w:pPr>
      <w:r w:rsidRPr="00190686">
        <w:rPr>
          <w:rFonts w:ascii="Verdana" w:hAnsi="Verdana"/>
          <w:b/>
          <w:smallCaps/>
          <w:sz w:val="20"/>
        </w:rPr>
        <w:t>Declarações e Garantias</w:t>
      </w:r>
      <w:bookmarkEnd w:id="147"/>
    </w:p>
    <w:p w14:paraId="5200E7D1" w14:textId="77777777" w:rsidR="002D5261" w:rsidRPr="00190686" w:rsidRDefault="002D5261" w:rsidP="002D5261">
      <w:pPr>
        <w:tabs>
          <w:tab w:val="left" w:pos="851"/>
        </w:tabs>
        <w:spacing w:after="0" w:line="300" w:lineRule="exact"/>
        <w:jc w:val="center"/>
        <w:rPr>
          <w:rFonts w:ascii="Verdana" w:hAnsi="Verdana"/>
          <w:smallCaps/>
          <w:sz w:val="20"/>
          <w:u w:val="single"/>
        </w:rPr>
      </w:pPr>
    </w:p>
    <w:p w14:paraId="07CA0CA7" w14:textId="77777777" w:rsidR="002D5261" w:rsidRPr="00190686" w:rsidRDefault="002D5261" w:rsidP="002D5261">
      <w:pPr>
        <w:keepNext/>
        <w:numPr>
          <w:ilvl w:val="1"/>
          <w:numId w:val="12"/>
        </w:numPr>
        <w:tabs>
          <w:tab w:val="clear" w:pos="709"/>
          <w:tab w:val="num" w:pos="-567"/>
          <w:tab w:val="left" w:pos="851"/>
        </w:tabs>
        <w:spacing w:after="0" w:line="300" w:lineRule="exact"/>
        <w:ind w:left="851" w:hanging="851"/>
        <w:rPr>
          <w:rFonts w:ascii="Verdana" w:hAnsi="Verdana"/>
          <w:sz w:val="20"/>
        </w:rPr>
      </w:pPr>
      <w:r w:rsidRPr="00190686">
        <w:rPr>
          <w:rFonts w:ascii="Verdana" w:hAnsi="Verdana"/>
          <w:sz w:val="20"/>
        </w:rPr>
        <w:t>O Agente Fiduciário, neste ato, declara e garante à Emissora que:</w:t>
      </w:r>
    </w:p>
    <w:p w14:paraId="6D542055" w14:textId="77777777" w:rsidR="002D5261" w:rsidRPr="00190686" w:rsidRDefault="002D5261" w:rsidP="002D5261">
      <w:pPr>
        <w:keepNext/>
        <w:tabs>
          <w:tab w:val="left" w:pos="851"/>
        </w:tabs>
        <w:spacing w:after="0" w:line="300" w:lineRule="exact"/>
        <w:ind w:left="709"/>
        <w:rPr>
          <w:rFonts w:ascii="Verdana" w:hAnsi="Verdana"/>
          <w:sz w:val="20"/>
        </w:rPr>
      </w:pPr>
    </w:p>
    <w:p w14:paraId="4F694986" w14:textId="77777777" w:rsidR="002D5261" w:rsidRPr="00190686" w:rsidRDefault="002D5261" w:rsidP="002D5261">
      <w:pPr>
        <w:numPr>
          <w:ilvl w:val="2"/>
          <w:numId w:val="33"/>
        </w:numPr>
        <w:tabs>
          <w:tab w:val="clear" w:pos="1701"/>
          <w:tab w:val="num" w:pos="0"/>
          <w:tab w:val="left" w:pos="851"/>
        </w:tabs>
        <w:spacing w:after="0" w:line="300" w:lineRule="exact"/>
        <w:ind w:left="851" w:hanging="851"/>
        <w:rPr>
          <w:rFonts w:ascii="Verdana" w:hAnsi="Verdana"/>
          <w:sz w:val="20"/>
        </w:rPr>
      </w:pPr>
      <w:proofErr w:type="gramStart"/>
      <w:r w:rsidRPr="00190686">
        <w:rPr>
          <w:rFonts w:ascii="Verdana" w:hAnsi="Verdana"/>
          <w:sz w:val="20"/>
        </w:rPr>
        <w:t>é</w:t>
      </w:r>
      <w:proofErr w:type="gramEnd"/>
      <w:r w:rsidRPr="00190686">
        <w:rPr>
          <w:rFonts w:ascii="Verdana" w:hAnsi="Verdana"/>
          <w:sz w:val="20"/>
        </w:rPr>
        <w:t xml:space="preserve"> instituição financeira devidamente organizada, constituída e existente sob a forma de sociedade limitada, de acordo com as leis brasileiras;</w:t>
      </w:r>
    </w:p>
    <w:p w14:paraId="15368235" w14:textId="77777777" w:rsidR="002D5261" w:rsidRPr="00190686" w:rsidRDefault="002D5261" w:rsidP="002D5261">
      <w:pPr>
        <w:tabs>
          <w:tab w:val="left" w:pos="851"/>
        </w:tabs>
        <w:spacing w:after="0" w:line="300" w:lineRule="exact"/>
        <w:ind w:left="851" w:hanging="851"/>
        <w:rPr>
          <w:rFonts w:ascii="Verdana" w:hAnsi="Verdana"/>
          <w:sz w:val="20"/>
        </w:rPr>
      </w:pPr>
    </w:p>
    <w:p w14:paraId="672DEDA3" w14:textId="77777777" w:rsidR="002D5261" w:rsidRPr="00190686" w:rsidRDefault="002D5261" w:rsidP="002D5261">
      <w:pPr>
        <w:numPr>
          <w:ilvl w:val="2"/>
          <w:numId w:val="33"/>
        </w:numPr>
        <w:tabs>
          <w:tab w:val="clear" w:pos="1701"/>
          <w:tab w:val="num" w:pos="0"/>
          <w:tab w:val="left" w:pos="851"/>
        </w:tabs>
        <w:spacing w:after="0" w:line="300" w:lineRule="exact"/>
        <w:ind w:left="851" w:hanging="851"/>
        <w:rPr>
          <w:rFonts w:ascii="Verdana" w:hAnsi="Verdana"/>
          <w:sz w:val="20"/>
        </w:rPr>
      </w:pPr>
      <w:proofErr w:type="gramStart"/>
      <w:r w:rsidRPr="00190686">
        <w:rPr>
          <w:rFonts w:ascii="Verdana" w:hAnsi="Verdana"/>
          <w:sz w:val="20"/>
        </w:rPr>
        <w:t>está</w:t>
      </w:r>
      <w:proofErr w:type="gramEnd"/>
      <w:r w:rsidRPr="00190686">
        <w:rPr>
          <w:rFonts w:ascii="Verdana" w:hAnsi="Verdana"/>
          <w:sz w:val="20"/>
        </w:rPr>
        <w:t xml:space="preserve">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14:paraId="680283DE" w14:textId="77777777" w:rsidR="002D5261" w:rsidRPr="00190686" w:rsidRDefault="002D5261" w:rsidP="002D5261">
      <w:pPr>
        <w:pStyle w:val="GradeMdia1-nfase21"/>
        <w:tabs>
          <w:tab w:val="left" w:pos="851"/>
        </w:tabs>
        <w:spacing w:after="0" w:line="300" w:lineRule="exact"/>
        <w:ind w:left="851" w:hanging="851"/>
        <w:rPr>
          <w:rFonts w:ascii="Verdana" w:hAnsi="Verdana"/>
          <w:sz w:val="20"/>
        </w:rPr>
      </w:pPr>
    </w:p>
    <w:p w14:paraId="4389CCF1" w14:textId="77777777" w:rsidR="002D5261" w:rsidRPr="00190686" w:rsidRDefault="002D5261" w:rsidP="002D5261">
      <w:pPr>
        <w:numPr>
          <w:ilvl w:val="2"/>
          <w:numId w:val="33"/>
        </w:numPr>
        <w:tabs>
          <w:tab w:val="clear" w:pos="1701"/>
          <w:tab w:val="num" w:pos="0"/>
          <w:tab w:val="left" w:pos="851"/>
        </w:tabs>
        <w:spacing w:after="0" w:line="300" w:lineRule="exact"/>
        <w:ind w:left="851" w:hanging="851"/>
        <w:rPr>
          <w:rFonts w:ascii="Verdana" w:hAnsi="Verdana"/>
          <w:sz w:val="20"/>
        </w:rPr>
      </w:pPr>
      <w:proofErr w:type="gramStart"/>
      <w:r w:rsidRPr="00190686">
        <w:rPr>
          <w:rFonts w:ascii="Verdana" w:hAnsi="Verdana"/>
          <w:sz w:val="20"/>
        </w:rPr>
        <w:t>o</w:t>
      </w:r>
      <w:proofErr w:type="gramEnd"/>
      <w:r w:rsidRPr="00190686">
        <w:rPr>
          <w:rFonts w:ascii="Verdana" w:hAnsi="Verdana"/>
          <w:sz w:val="20"/>
        </w:rPr>
        <w:t>(s) representante(s) legal(</w:t>
      </w:r>
      <w:proofErr w:type="spellStart"/>
      <w:r w:rsidRPr="00190686">
        <w:rPr>
          <w:rFonts w:ascii="Verdana" w:hAnsi="Verdana"/>
          <w:sz w:val="20"/>
        </w:rPr>
        <w:t>is</w:t>
      </w:r>
      <w:proofErr w:type="spellEnd"/>
      <w:r w:rsidRPr="00190686">
        <w:rPr>
          <w:rFonts w:ascii="Verdana" w:hAnsi="Verdana"/>
          <w:sz w:val="20"/>
        </w:rPr>
        <w:t>) do Agente Fiduciário que assina(m) esta Escritura de Emissão tem(têm), conforme o caso, poderes societários e/ou delegados para assumir, em nome do Agente Fiduciário, as obrigações aqui previstas e, sendo mandatário(s), tem(têm) os poderes legitimamente outorgados, estando o(s) respectivo(s) mandato(s) em pleno vigor;</w:t>
      </w:r>
    </w:p>
    <w:p w14:paraId="1888059B" w14:textId="77777777" w:rsidR="002D5261" w:rsidRPr="00190686" w:rsidRDefault="002D5261" w:rsidP="002D5261">
      <w:pPr>
        <w:tabs>
          <w:tab w:val="left" w:pos="851"/>
        </w:tabs>
        <w:spacing w:after="0" w:line="300" w:lineRule="exact"/>
        <w:ind w:left="851" w:hanging="851"/>
        <w:rPr>
          <w:rFonts w:ascii="Verdana" w:hAnsi="Verdana"/>
          <w:sz w:val="20"/>
        </w:rPr>
      </w:pPr>
    </w:p>
    <w:p w14:paraId="354BCCCC" w14:textId="77777777" w:rsidR="002D5261" w:rsidRPr="00190686" w:rsidRDefault="002D5261" w:rsidP="002D5261">
      <w:pPr>
        <w:numPr>
          <w:ilvl w:val="2"/>
          <w:numId w:val="33"/>
        </w:numPr>
        <w:tabs>
          <w:tab w:val="clear" w:pos="1701"/>
          <w:tab w:val="num" w:pos="0"/>
          <w:tab w:val="left" w:pos="851"/>
        </w:tabs>
        <w:spacing w:after="0" w:line="300" w:lineRule="exact"/>
        <w:ind w:left="851" w:hanging="851"/>
        <w:rPr>
          <w:rFonts w:ascii="Verdana" w:hAnsi="Verdana"/>
          <w:sz w:val="20"/>
        </w:rPr>
      </w:pPr>
      <w:proofErr w:type="gramStart"/>
      <w:r w:rsidRPr="00190686">
        <w:rPr>
          <w:rFonts w:ascii="Verdana" w:hAnsi="Verdana"/>
          <w:sz w:val="20"/>
        </w:rPr>
        <w:t>esta</w:t>
      </w:r>
      <w:proofErr w:type="gramEnd"/>
      <w:r w:rsidRPr="00190686">
        <w:rPr>
          <w:rFonts w:ascii="Verdana" w:hAnsi="Verdana"/>
          <w:sz w:val="20"/>
        </w:rPr>
        <w:t xml:space="preserve"> Escritura de Emissão e as obrigações aqui previstas constituem obrigações lícitas, válidas, vinculantes e eficazes do Agente Fiduciário, exequíveis de acordo com os seus termos e condições;</w:t>
      </w:r>
    </w:p>
    <w:p w14:paraId="37FC7E82" w14:textId="77777777" w:rsidR="002D5261" w:rsidRPr="00190686" w:rsidRDefault="002D5261" w:rsidP="002D5261">
      <w:pPr>
        <w:tabs>
          <w:tab w:val="left" w:pos="851"/>
        </w:tabs>
        <w:spacing w:after="0" w:line="300" w:lineRule="exact"/>
        <w:ind w:left="851" w:hanging="851"/>
        <w:rPr>
          <w:rFonts w:ascii="Verdana" w:hAnsi="Verdana"/>
          <w:sz w:val="20"/>
        </w:rPr>
      </w:pPr>
    </w:p>
    <w:p w14:paraId="6C8E173E" w14:textId="77777777" w:rsidR="002D5261" w:rsidRPr="00190686" w:rsidRDefault="002D5261" w:rsidP="002D5261">
      <w:pPr>
        <w:numPr>
          <w:ilvl w:val="2"/>
          <w:numId w:val="33"/>
        </w:numPr>
        <w:tabs>
          <w:tab w:val="clear" w:pos="1701"/>
          <w:tab w:val="num" w:pos="0"/>
          <w:tab w:val="left" w:pos="851"/>
        </w:tabs>
        <w:spacing w:after="0" w:line="300" w:lineRule="exact"/>
        <w:ind w:left="851" w:hanging="851"/>
        <w:rPr>
          <w:rFonts w:ascii="Verdana" w:hAnsi="Verdana"/>
          <w:sz w:val="20"/>
        </w:rPr>
      </w:pPr>
      <w:proofErr w:type="gramStart"/>
      <w:r w:rsidRPr="00190686">
        <w:rPr>
          <w:rFonts w:ascii="Verdana" w:hAnsi="Verdana"/>
          <w:sz w:val="20"/>
        </w:rPr>
        <w:t>a</w:t>
      </w:r>
      <w:proofErr w:type="gramEnd"/>
      <w:r w:rsidRPr="00190686">
        <w:rPr>
          <w:rFonts w:ascii="Verdana" w:hAnsi="Verdana"/>
          <w:sz w:val="20"/>
        </w:rPr>
        <w:t xml:space="preserve"> celebração, os termos e condições desta Escritura de Emissão e o cumprimento das obrigações aqui previstas (a) não infringem o contrato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221E9372" w14:textId="77777777" w:rsidR="002D5261" w:rsidRPr="00190686" w:rsidRDefault="002D5261" w:rsidP="002D5261">
      <w:pPr>
        <w:tabs>
          <w:tab w:val="left" w:pos="851"/>
        </w:tabs>
        <w:spacing w:after="0" w:line="300" w:lineRule="exact"/>
        <w:ind w:left="851" w:hanging="851"/>
        <w:rPr>
          <w:rFonts w:ascii="Verdana" w:hAnsi="Verdana"/>
          <w:sz w:val="20"/>
        </w:rPr>
      </w:pPr>
    </w:p>
    <w:p w14:paraId="0A0B41E0" w14:textId="77777777" w:rsidR="002D5261" w:rsidRPr="00190686" w:rsidRDefault="002D5261" w:rsidP="002D5261">
      <w:pPr>
        <w:numPr>
          <w:ilvl w:val="2"/>
          <w:numId w:val="33"/>
        </w:numPr>
        <w:tabs>
          <w:tab w:val="clear" w:pos="1701"/>
          <w:tab w:val="num" w:pos="0"/>
          <w:tab w:val="left" w:pos="851"/>
        </w:tabs>
        <w:spacing w:after="0" w:line="300" w:lineRule="exact"/>
        <w:ind w:left="851" w:hanging="851"/>
        <w:rPr>
          <w:rFonts w:ascii="Verdana" w:hAnsi="Verdana"/>
          <w:sz w:val="20"/>
        </w:rPr>
      </w:pPr>
      <w:proofErr w:type="gramStart"/>
      <w:r w:rsidRPr="00190686">
        <w:rPr>
          <w:rFonts w:ascii="Verdana" w:hAnsi="Verdana"/>
          <w:sz w:val="20"/>
        </w:rPr>
        <w:t>aceita</w:t>
      </w:r>
      <w:proofErr w:type="gramEnd"/>
      <w:r w:rsidRPr="00190686">
        <w:rPr>
          <w:rFonts w:ascii="Verdana" w:hAnsi="Verdana"/>
          <w:sz w:val="20"/>
        </w:rPr>
        <w:t xml:space="preserve"> a função para a qual foi nomeado, assumindo integralmente os deveres e atribuições previstos na legislação específica e nesta Escritura de Emissão;</w:t>
      </w:r>
    </w:p>
    <w:p w14:paraId="6CEAF076" w14:textId="77777777" w:rsidR="002D5261" w:rsidRPr="00190686" w:rsidRDefault="002D5261" w:rsidP="002D5261">
      <w:pPr>
        <w:tabs>
          <w:tab w:val="left" w:pos="851"/>
        </w:tabs>
        <w:spacing w:after="0" w:line="300" w:lineRule="exact"/>
        <w:ind w:left="851" w:hanging="851"/>
        <w:rPr>
          <w:rFonts w:ascii="Verdana" w:hAnsi="Verdana"/>
          <w:sz w:val="20"/>
        </w:rPr>
      </w:pPr>
    </w:p>
    <w:p w14:paraId="0C17C0A7" w14:textId="77777777" w:rsidR="002D5261" w:rsidRPr="00190686" w:rsidRDefault="002D5261" w:rsidP="002D5261">
      <w:pPr>
        <w:numPr>
          <w:ilvl w:val="2"/>
          <w:numId w:val="33"/>
        </w:numPr>
        <w:tabs>
          <w:tab w:val="clear" w:pos="1701"/>
          <w:tab w:val="num" w:pos="0"/>
          <w:tab w:val="left" w:pos="851"/>
        </w:tabs>
        <w:spacing w:after="0" w:line="300" w:lineRule="exact"/>
        <w:ind w:left="851" w:hanging="851"/>
        <w:rPr>
          <w:rFonts w:ascii="Verdana" w:hAnsi="Verdana"/>
          <w:sz w:val="20"/>
        </w:rPr>
      </w:pPr>
      <w:proofErr w:type="gramStart"/>
      <w:r w:rsidRPr="00190686">
        <w:rPr>
          <w:rFonts w:ascii="Verdana" w:hAnsi="Verdana"/>
          <w:sz w:val="20"/>
        </w:rPr>
        <w:lastRenderedPageBreak/>
        <w:t>conhece</w:t>
      </w:r>
      <w:proofErr w:type="gramEnd"/>
      <w:r w:rsidRPr="00190686">
        <w:rPr>
          <w:rFonts w:ascii="Verdana" w:hAnsi="Verdana"/>
          <w:sz w:val="20"/>
        </w:rPr>
        <w:t xml:space="preserve"> e aceita integralmente esta Escritura de Emissão e todos os seus termos e condições;</w:t>
      </w:r>
    </w:p>
    <w:p w14:paraId="06467BCC" w14:textId="77777777" w:rsidR="002D5261" w:rsidRPr="00190686" w:rsidRDefault="002D5261" w:rsidP="002D5261">
      <w:pPr>
        <w:tabs>
          <w:tab w:val="left" w:pos="851"/>
        </w:tabs>
        <w:spacing w:after="0" w:line="300" w:lineRule="exact"/>
        <w:ind w:left="851" w:hanging="851"/>
        <w:rPr>
          <w:rFonts w:ascii="Verdana" w:hAnsi="Verdana"/>
          <w:sz w:val="20"/>
        </w:rPr>
      </w:pPr>
    </w:p>
    <w:p w14:paraId="5907EC44" w14:textId="77777777" w:rsidR="002D5261" w:rsidRPr="00190686" w:rsidRDefault="002D5261" w:rsidP="002D5261">
      <w:pPr>
        <w:numPr>
          <w:ilvl w:val="2"/>
          <w:numId w:val="33"/>
        </w:numPr>
        <w:tabs>
          <w:tab w:val="clear" w:pos="1701"/>
          <w:tab w:val="num" w:pos="0"/>
          <w:tab w:val="left" w:pos="851"/>
        </w:tabs>
        <w:spacing w:after="0" w:line="300" w:lineRule="exact"/>
        <w:ind w:left="851" w:hanging="851"/>
        <w:rPr>
          <w:rFonts w:ascii="Verdana" w:hAnsi="Verdana"/>
          <w:sz w:val="20"/>
        </w:rPr>
      </w:pPr>
      <w:proofErr w:type="gramStart"/>
      <w:r w:rsidRPr="00190686">
        <w:rPr>
          <w:rFonts w:ascii="Verdana" w:hAnsi="Verdana"/>
          <w:sz w:val="20"/>
        </w:rPr>
        <w:t>verificou</w:t>
      </w:r>
      <w:proofErr w:type="gramEnd"/>
      <w:r w:rsidRPr="00190686">
        <w:rPr>
          <w:rFonts w:ascii="Verdana" w:hAnsi="Verdana"/>
          <w:sz w:val="20"/>
        </w:rPr>
        <w:t xml:space="preserve"> a veracidade das informações contidas nesta Escritura de Emissão, com base nas informações prestadas pela Emissora, sendo certo que o Agente Fiduciário não conduziu qualquer procedimento de verificação independente ou adicional da veracidade das informações apresentadas;</w:t>
      </w:r>
    </w:p>
    <w:p w14:paraId="1FFFDE85" w14:textId="77777777" w:rsidR="002D5261" w:rsidRPr="00190686" w:rsidRDefault="002D5261" w:rsidP="002D5261">
      <w:pPr>
        <w:tabs>
          <w:tab w:val="left" w:pos="851"/>
        </w:tabs>
        <w:spacing w:after="0" w:line="300" w:lineRule="exact"/>
        <w:ind w:left="851" w:hanging="851"/>
        <w:rPr>
          <w:rFonts w:ascii="Verdana" w:hAnsi="Verdana"/>
          <w:sz w:val="20"/>
        </w:rPr>
      </w:pPr>
    </w:p>
    <w:p w14:paraId="36086AC9" w14:textId="77777777" w:rsidR="002D5261" w:rsidRPr="00190686" w:rsidRDefault="002D5261" w:rsidP="002D5261">
      <w:pPr>
        <w:numPr>
          <w:ilvl w:val="2"/>
          <w:numId w:val="33"/>
        </w:numPr>
        <w:tabs>
          <w:tab w:val="clear" w:pos="1701"/>
          <w:tab w:val="num" w:pos="0"/>
          <w:tab w:val="left" w:pos="851"/>
        </w:tabs>
        <w:spacing w:after="0" w:line="300" w:lineRule="exact"/>
        <w:ind w:left="851" w:hanging="851"/>
        <w:rPr>
          <w:rFonts w:ascii="Verdana" w:hAnsi="Verdana"/>
          <w:sz w:val="20"/>
        </w:rPr>
      </w:pPr>
      <w:proofErr w:type="gramStart"/>
      <w:r w:rsidRPr="00190686">
        <w:rPr>
          <w:rFonts w:ascii="Verdana" w:hAnsi="Verdana"/>
          <w:sz w:val="20"/>
        </w:rPr>
        <w:t>está</w:t>
      </w:r>
      <w:proofErr w:type="gramEnd"/>
      <w:r w:rsidRPr="00190686">
        <w:rPr>
          <w:rFonts w:ascii="Verdana" w:hAnsi="Verdana"/>
          <w:sz w:val="20"/>
        </w:rPr>
        <w:t xml:space="preserve"> ciente da regulamentação aplicável emanada do Banco Central do Brasil e da CVM;</w:t>
      </w:r>
    </w:p>
    <w:p w14:paraId="7BF56C05" w14:textId="77777777" w:rsidR="002D5261" w:rsidRPr="00190686" w:rsidRDefault="002D5261" w:rsidP="002D5261">
      <w:pPr>
        <w:tabs>
          <w:tab w:val="left" w:pos="851"/>
        </w:tabs>
        <w:spacing w:after="0" w:line="300" w:lineRule="exact"/>
        <w:ind w:left="851" w:hanging="851"/>
        <w:rPr>
          <w:rFonts w:ascii="Verdana" w:hAnsi="Verdana"/>
          <w:sz w:val="20"/>
        </w:rPr>
      </w:pPr>
    </w:p>
    <w:p w14:paraId="113DF534" w14:textId="77777777" w:rsidR="002D5261" w:rsidRPr="00190686" w:rsidRDefault="002D5261" w:rsidP="002D5261">
      <w:pPr>
        <w:numPr>
          <w:ilvl w:val="2"/>
          <w:numId w:val="33"/>
        </w:numPr>
        <w:tabs>
          <w:tab w:val="clear" w:pos="1701"/>
          <w:tab w:val="num" w:pos="0"/>
          <w:tab w:val="left" w:pos="851"/>
        </w:tabs>
        <w:spacing w:after="0" w:line="300" w:lineRule="exact"/>
        <w:ind w:left="851" w:hanging="851"/>
        <w:rPr>
          <w:rFonts w:ascii="Verdana" w:hAnsi="Verdana"/>
          <w:sz w:val="20"/>
        </w:rPr>
      </w:pPr>
      <w:proofErr w:type="gramStart"/>
      <w:r w:rsidRPr="00190686">
        <w:rPr>
          <w:rFonts w:ascii="Verdana" w:hAnsi="Verdana"/>
          <w:sz w:val="20"/>
        </w:rPr>
        <w:t>não</w:t>
      </w:r>
      <w:proofErr w:type="gramEnd"/>
      <w:r w:rsidRPr="00190686">
        <w:rPr>
          <w:rFonts w:ascii="Verdana" w:hAnsi="Verdana"/>
          <w:sz w:val="20"/>
        </w:rPr>
        <w:t xml:space="preserve"> tem, sob as penas de lei, qualquer impedimento legal, conforme o artigo 66, parágrafo 3º, da Lei das Sociedades por Ações, a Instrução CVM 28, e demais normas aplicáveis, para exercer a função que lhe é conferida;</w:t>
      </w:r>
    </w:p>
    <w:p w14:paraId="10F48943" w14:textId="77777777" w:rsidR="002D5261" w:rsidRPr="00190686" w:rsidRDefault="002D5261" w:rsidP="002D5261">
      <w:pPr>
        <w:tabs>
          <w:tab w:val="left" w:pos="851"/>
        </w:tabs>
        <w:spacing w:after="0" w:line="300" w:lineRule="exact"/>
        <w:ind w:left="851" w:hanging="851"/>
        <w:rPr>
          <w:rFonts w:ascii="Verdana" w:hAnsi="Verdana"/>
          <w:sz w:val="20"/>
        </w:rPr>
      </w:pPr>
    </w:p>
    <w:p w14:paraId="104279C1" w14:textId="77777777" w:rsidR="002D5261" w:rsidRPr="00190686" w:rsidRDefault="002D5261" w:rsidP="002D5261">
      <w:pPr>
        <w:numPr>
          <w:ilvl w:val="2"/>
          <w:numId w:val="33"/>
        </w:numPr>
        <w:tabs>
          <w:tab w:val="clear" w:pos="1701"/>
          <w:tab w:val="num" w:pos="0"/>
          <w:tab w:val="left" w:pos="851"/>
        </w:tabs>
        <w:spacing w:after="0" w:line="300" w:lineRule="exact"/>
        <w:ind w:left="851" w:hanging="851"/>
        <w:rPr>
          <w:rFonts w:ascii="Verdana" w:hAnsi="Verdana"/>
          <w:sz w:val="20"/>
        </w:rPr>
      </w:pPr>
      <w:proofErr w:type="gramStart"/>
      <w:r w:rsidRPr="00190686">
        <w:rPr>
          <w:rFonts w:ascii="Verdana" w:hAnsi="Verdana"/>
          <w:sz w:val="20"/>
        </w:rPr>
        <w:t>não</w:t>
      </w:r>
      <w:proofErr w:type="gramEnd"/>
      <w:r w:rsidRPr="00190686">
        <w:rPr>
          <w:rFonts w:ascii="Verdana" w:hAnsi="Verdana"/>
          <w:sz w:val="20"/>
        </w:rPr>
        <w:t xml:space="preserve"> se encontra em nenhuma das situações de conflito de interesse previstas no artigo 10 da Instrução CVM 28;</w:t>
      </w:r>
    </w:p>
    <w:p w14:paraId="61458D3F" w14:textId="77777777" w:rsidR="002D5261" w:rsidRPr="00190686" w:rsidRDefault="002D5261" w:rsidP="002D5261">
      <w:pPr>
        <w:tabs>
          <w:tab w:val="left" w:pos="851"/>
        </w:tabs>
        <w:spacing w:after="0" w:line="300" w:lineRule="exact"/>
        <w:ind w:left="851" w:hanging="851"/>
        <w:rPr>
          <w:rFonts w:ascii="Verdana" w:hAnsi="Verdana"/>
          <w:sz w:val="20"/>
        </w:rPr>
      </w:pPr>
    </w:p>
    <w:p w14:paraId="44488334" w14:textId="77777777" w:rsidR="002D5261" w:rsidRPr="00190686" w:rsidRDefault="002D5261" w:rsidP="002D5261">
      <w:pPr>
        <w:numPr>
          <w:ilvl w:val="2"/>
          <w:numId w:val="33"/>
        </w:numPr>
        <w:tabs>
          <w:tab w:val="clear" w:pos="1701"/>
          <w:tab w:val="num" w:pos="0"/>
          <w:tab w:val="left" w:pos="851"/>
        </w:tabs>
        <w:spacing w:after="0" w:line="300" w:lineRule="exact"/>
        <w:ind w:left="851" w:hanging="851"/>
        <w:rPr>
          <w:rFonts w:ascii="Verdana" w:hAnsi="Verdana"/>
          <w:sz w:val="20"/>
        </w:rPr>
      </w:pPr>
      <w:proofErr w:type="gramStart"/>
      <w:r w:rsidRPr="00190686">
        <w:rPr>
          <w:rFonts w:ascii="Verdana" w:hAnsi="Verdana"/>
          <w:sz w:val="20"/>
        </w:rPr>
        <w:t>não</w:t>
      </w:r>
      <w:proofErr w:type="gramEnd"/>
      <w:r w:rsidRPr="00190686">
        <w:rPr>
          <w:rFonts w:ascii="Verdana" w:hAnsi="Verdana"/>
          <w:sz w:val="20"/>
        </w:rPr>
        <w:t xml:space="preserve"> tem qualquer ligação com a Emissora que o impeça de exercer suas funções; e</w:t>
      </w:r>
    </w:p>
    <w:p w14:paraId="2CDE2926" w14:textId="77777777" w:rsidR="002D5261" w:rsidRPr="00190686" w:rsidRDefault="002D5261" w:rsidP="002D5261">
      <w:pPr>
        <w:tabs>
          <w:tab w:val="left" w:pos="851"/>
        </w:tabs>
        <w:spacing w:after="0" w:line="300" w:lineRule="exact"/>
        <w:ind w:left="851" w:hanging="851"/>
        <w:rPr>
          <w:rFonts w:ascii="Verdana" w:hAnsi="Verdana"/>
          <w:smallCaps/>
          <w:sz w:val="20"/>
          <w:u w:val="single"/>
        </w:rPr>
      </w:pPr>
      <w:bookmarkStart w:id="148" w:name="_Ref327371087"/>
    </w:p>
    <w:p w14:paraId="61DD66AD" w14:textId="6EAD2B83" w:rsidR="002D5261" w:rsidRPr="00190686" w:rsidRDefault="005C59B9" w:rsidP="002D5261">
      <w:pPr>
        <w:numPr>
          <w:ilvl w:val="2"/>
          <w:numId w:val="33"/>
        </w:numPr>
        <w:tabs>
          <w:tab w:val="clear" w:pos="1701"/>
          <w:tab w:val="num" w:pos="0"/>
          <w:tab w:val="left" w:pos="851"/>
        </w:tabs>
        <w:spacing w:after="0" w:line="300" w:lineRule="exact"/>
        <w:ind w:left="851" w:hanging="851"/>
        <w:rPr>
          <w:rFonts w:ascii="Verdana" w:hAnsi="Verdana"/>
          <w:smallCaps/>
          <w:sz w:val="20"/>
          <w:u w:val="single"/>
        </w:rPr>
      </w:pPr>
      <w:proofErr w:type="gramStart"/>
      <w:r w:rsidRPr="000F5C58">
        <w:rPr>
          <w:rFonts w:ascii="Verdana" w:hAnsi="Verdana"/>
          <w:sz w:val="20"/>
        </w:rPr>
        <w:t>conforme</w:t>
      </w:r>
      <w:proofErr w:type="gramEnd"/>
      <w:r w:rsidRPr="000F5C58">
        <w:rPr>
          <w:rFonts w:ascii="Verdana" w:hAnsi="Verdana"/>
          <w:sz w:val="20"/>
        </w:rPr>
        <w:t xml:space="preserve"> exigência do artigo 12, XVII, alínea “k” da Instrução CVM 28, também exerce a função de agente fiduciário nas seguintes emissões: (i) </w:t>
      </w:r>
      <w:r>
        <w:rPr>
          <w:rFonts w:ascii="Verdana" w:hAnsi="Verdana"/>
          <w:sz w:val="20"/>
        </w:rPr>
        <w:t>2</w:t>
      </w:r>
      <w:r w:rsidRPr="000F5C58">
        <w:rPr>
          <w:rFonts w:ascii="Verdana" w:hAnsi="Verdana"/>
          <w:sz w:val="20"/>
        </w:rPr>
        <w:t>ª emissão pública de debêntures simples, da espécie quirografária da Emissora com vencimento em 1</w:t>
      </w:r>
      <w:r>
        <w:rPr>
          <w:rFonts w:ascii="Verdana" w:hAnsi="Verdana"/>
          <w:sz w:val="20"/>
        </w:rPr>
        <w:t>8 de dezembro de 2019,</w:t>
      </w:r>
      <w:r w:rsidRPr="000F5C58">
        <w:rPr>
          <w:rFonts w:ascii="Verdana" w:hAnsi="Verdana"/>
          <w:sz w:val="20"/>
        </w:rPr>
        <w:t xml:space="preserve"> no volume total de R$</w:t>
      </w:r>
      <w:r>
        <w:rPr>
          <w:rFonts w:ascii="Verdana" w:hAnsi="Verdana"/>
          <w:sz w:val="20"/>
        </w:rPr>
        <w:t>300</w:t>
      </w:r>
      <w:r w:rsidRPr="000F5C58">
        <w:rPr>
          <w:rFonts w:ascii="Verdana" w:hAnsi="Verdana"/>
          <w:sz w:val="20"/>
        </w:rPr>
        <w:t>.000.000,00 (</w:t>
      </w:r>
      <w:r>
        <w:rPr>
          <w:rFonts w:ascii="Verdana" w:hAnsi="Verdana"/>
          <w:sz w:val="20"/>
        </w:rPr>
        <w:t>trez</w:t>
      </w:r>
      <w:r w:rsidRPr="000F5C58">
        <w:rPr>
          <w:rFonts w:ascii="Verdana" w:hAnsi="Verdana"/>
          <w:sz w:val="20"/>
        </w:rPr>
        <w:t xml:space="preserve">entos milhões de reais), na data de emissão. Foram emitidas </w:t>
      </w:r>
      <w:r>
        <w:rPr>
          <w:rFonts w:ascii="Verdana" w:hAnsi="Verdana"/>
          <w:sz w:val="20"/>
        </w:rPr>
        <w:t>3</w:t>
      </w:r>
      <w:r w:rsidRPr="000F5C58">
        <w:rPr>
          <w:rFonts w:ascii="Verdana" w:hAnsi="Verdana"/>
          <w:sz w:val="20"/>
        </w:rPr>
        <w:t>.000 (</w:t>
      </w:r>
      <w:r>
        <w:rPr>
          <w:rFonts w:ascii="Verdana" w:hAnsi="Verdana"/>
          <w:sz w:val="20"/>
        </w:rPr>
        <w:t xml:space="preserve">três </w:t>
      </w:r>
      <w:r w:rsidRPr="000F5C58">
        <w:rPr>
          <w:rFonts w:ascii="Verdana" w:hAnsi="Verdana"/>
          <w:sz w:val="20"/>
        </w:rPr>
        <w:t xml:space="preserve">mil) debêntures. Até a presente data, não ocorreram eventos de resgate, </w:t>
      </w:r>
      <w:r>
        <w:rPr>
          <w:rFonts w:ascii="Verdana" w:hAnsi="Verdana"/>
          <w:sz w:val="20"/>
        </w:rPr>
        <w:t xml:space="preserve">amortização, </w:t>
      </w:r>
      <w:r w:rsidRPr="000F5C58">
        <w:rPr>
          <w:rFonts w:ascii="Verdana" w:hAnsi="Verdana"/>
          <w:sz w:val="20"/>
        </w:rPr>
        <w:t>repactuação e inadimplemento das debêntures; e (</w:t>
      </w:r>
      <w:proofErr w:type="spellStart"/>
      <w:r w:rsidRPr="000F5C58">
        <w:rPr>
          <w:rFonts w:ascii="Verdana" w:hAnsi="Verdana"/>
          <w:sz w:val="20"/>
        </w:rPr>
        <w:t>ii</w:t>
      </w:r>
      <w:proofErr w:type="spellEnd"/>
      <w:r w:rsidRPr="000F5C58">
        <w:rPr>
          <w:rFonts w:ascii="Verdana" w:hAnsi="Verdana"/>
          <w:sz w:val="20"/>
        </w:rPr>
        <w:t xml:space="preserve">) </w:t>
      </w:r>
      <w:r>
        <w:rPr>
          <w:rFonts w:ascii="Verdana" w:hAnsi="Verdana"/>
          <w:sz w:val="20"/>
        </w:rPr>
        <w:t>3</w:t>
      </w:r>
      <w:r w:rsidRPr="000F5C58">
        <w:rPr>
          <w:rFonts w:ascii="Verdana" w:hAnsi="Verdana"/>
          <w:sz w:val="20"/>
        </w:rPr>
        <w:t xml:space="preserve">ª emissão pública de debêntures simples, da espécie quirografária da </w:t>
      </w:r>
      <w:r>
        <w:rPr>
          <w:rFonts w:ascii="Verdana" w:hAnsi="Verdana"/>
          <w:sz w:val="20"/>
        </w:rPr>
        <w:t>Emissora</w:t>
      </w:r>
      <w:r w:rsidRPr="000F5C58">
        <w:rPr>
          <w:rFonts w:ascii="Verdana" w:hAnsi="Verdana"/>
          <w:sz w:val="20"/>
        </w:rPr>
        <w:t xml:space="preserve"> com vencimento em 1º de </w:t>
      </w:r>
      <w:r>
        <w:rPr>
          <w:rFonts w:ascii="Verdana" w:hAnsi="Verdana"/>
          <w:sz w:val="20"/>
        </w:rPr>
        <w:t>agosto</w:t>
      </w:r>
      <w:r w:rsidRPr="000F5C58">
        <w:rPr>
          <w:rFonts w:ascii="Verdana" w:hAnsi="Verdana"/>
          <w:sz w:val="20"/>
        </w:rPr>
        <w:t xml:space="preserve"> de 20</w:t>
      </w:r>
      <w:r>
        <w:rPr>
          <w:rFonts w:ascii="Verdana" w:hAnsi="Verdana"/>
          <w:sz w:val="20"/>
        </w:rPr>
        <w:t>20,</w:t>
      </w:r>
      <w:r w:rsidRPr="000F5C58">
        <w:rPr>
          <w:rFonts w:ascii="Verdana" w:hAnsi="Verdana"/>
          <w:sz w:val="20"/>
        </w:rPr>
        <w:t xml:space="preserve"> no volume total de R$200.000.000,00 (duzentos milhões de reais), na data de emissão. Foram emitidas 2.000 (</w:t>
      </w:r>
      <w:r>
        <w:rPr>
          <w:rFonts w:ascii="Verdana" w:hAnsi="Verdana"/>
          <w:sz w:val="20"/>
        </w:rPr>
        <w:t>duas</w:t>
      </w:r>
      <w:r w:rsidRPr="000F5C58">
        <w:rPr>
          <w:rFonts w:ascii="Verdana" w:hAnsi="Verdana"/>
          <w:sz w:val="20"/>
        </w:rPr>
        <w:t xml:space="preserve"> mil) debêntures. Até a presente data, não ocorreram eventos de resgate, </w:t>
      </w:r>
      <w:r>
        <w:rPr>
          <w:rFonts w:ascii="Verdana" w:hAnsi="Verdana"/>
          <w:sz w:val="20"/>
        </w:rPr>
        <w:t xml:space="preserve">amortização, </w:t>
      </w:r>
      <w:r w:rsidRPr="000F5C58">
        <w:rPr>
          <w:rFonts w:ascii="Verdana" w:hAnsi="Verdana"/>
          <w:sz w:val="20"/>
        </w:rPr>
        <w:t>repactuação e inadimplemento das debêntures</w:t>
      </w:r>
      <w:r w:rsidR="002D5261" w:rsidRPr="00190686">
        <w:rPr>
          <w:rFonts w:ascii="Verdana" w:hAnsi="Verdana"/>
          <w:sz w:val="20"/>
        </w:rPr>
        <w:t xml:space="preserve">. </w:t>
      </w:r>
      <w:bookmarkEnd w:id="148"/>
    </w:p>
    <w:p w14:paraId="05B8ECD1" w14:textId="77777777" w:rsidR="002D5261" w:rsidRPr="00190686" w:rsidRDefault="002D5261" w:rsidP="002D5261">
      <w:pPr>
        <w:pStyle w:val="GradeMdia1-nfase21"/>
        <w:tabs>
          <w:tab w:val="left" w:pos="851"/>
        </w:tabs>
        <w:spacing w:after="0" w:line="300" w:lineRule="exact"/>
        <w:rPr>
          <w:rFonts w:ascii="Verdana" w:hAnsi="Verdana"/>
          <w:smallCaps/>
          <w:sz w:val="20"/>
          <w:u w:val="single"/>
        </w:rPr>
      </w:pPr>
    </w:p>
    <w:p w14:paraId="2261CBF8" w14:textId="77777777" w:rsidR="002D5261" w:rsidRPr="00190686" w:rsidRDefault="002D5261" w:rsidP="002D5261">
      <w:pPr>
        <w:keepNext/>
        <w:numPr>
          <w:ilvl w:val="1"/>
          <w:numId w:val="12"/>
        </w:numPr>
        <w:tabs>
          <w:tab w:val="clear" w:pos="709"/>
          <w:tab w:val="num" w:pos="851"/>
        </w:tabs>
        <w:spacing w:after="0" w:line="300" w:lineRule="exact"/>
        <w:ind w:left="851" w:hanging="851"/>
        <w:rPr>
          <w:rFonts w:ascii="Verdana" w:hAnsi="Verdana"/>
          <w:sz w:val="20"/>
        </w:rPr>
      </w:pPr>
      <w:bookmarkStart w:id="149" w:name="_Ref130286814"/>
      <w:r w:rsidRPr="00190686">
        <w:rPr>
          <w:rFonts w:ascii="Verdana" w:hAnsi="Verdana"/>
          <w:sz w:val="20"/>
        </w:rPr>
        <w:t>A Emissora, neste ato, declara ao Agente Fiduciário que:</w:t>
      </w:r>
      <w:bookmarkEnd w:id="146"/>
      <w:bookmarkEnd w:id="149"/>
    </w:p>
    <w:p w14:paraId="1CDAABDB" w14:textId="77777777" w:rsidR="002D5261" w:rsidRPr="00190686" w:rsidRDefault="002D5261" w:rsidP="002D5261">
      <w:pPr>
        <w:tabs>
          <w:tab w:val="left" w:pos="851"/>
        </w:tabs>
        <w:spacing w:after="0" w:line="300" w:lineRule="exact"/>
        <w:ind w:left="709"/>
        <w:rPr>
          <w:rFonts w:ascii="Verdana" w:hAnsi="Verdana"/>
          <w:sz w:val="20"/>
        </w:rPr>
      </w:pPr>
    </w:p>
    <w:p w14:paraId="0BFFC455"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é</w:t>
      </w:r>
      <w:proofErr w:type="gramEnd"/>
      <w:r w:rsidRPr="00190686">
        <w:rPr>
          <w:rFonts w:ascii="Verdana" w:hAnsi="Verdana"/>
          <w:sz w:val="20"/>
        </w:rPr>
        <w:t xml:space="preserve"> sociedade devidamente organizada, constituída e existente sob a forma de sociedade por ações, de acordo com as leis brasileiras, com registro de Emissora de valores mobiliários perante a CVM;</w:t>
      </w:r>
    </w:p>
    <w:p w14:paraId="6E1BA733" w14:textId="77777777" w:rsidR="002D5261" w:rsidRPr="00190686" w:rsidRDefault="002D5261" w:rsidP="002D5261">
      <w:pPr>
        <w:tabs>
          <w:tab w:val="num" w:pos="851"/>
        </w:tabs>
        <w:spacing w:after="0" w:line="300" w:lineRule="exact"/>
        <w:ind w:left="851" w:hanging="851"/>
        <w:rPr>
          <w:rFonts w:ascii="Verdana" w:hAnsi="Verdana"/>
          <w:sz w:val="20"/>
        </w:rPr>
      </w:pPr>
      <w:bookmarkStart w:id="150" w:name="_Ref130286824"/>
    </w:p>
    <w:p w14:paraId="35EA43D1" w14:textId="665D653E"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está</w:t>
      </w:r>
      <w:proofErr w:type="gramEnd"/>
      <w:r w:rsidRPr="00190686">
        <w:rPr>
          <w:rFonts w:ascii="Verdana" w:hAnsi="Verdana"/>
          <w:sz w:val="20"/>
        </w:rPr>
        <w:t xml:space="preserve"> devidamente autorizada e obteve todas as autorizações, inclusive, conforme aplicável, legais, societárias, regulatórias e de terceiros, necessárias </w:t>
      </w:r>
      <w:r w:rsidRPr="00190686">
        <w:rPr>
          <w:rFonts w:ascii="Verdana" w:hAnsi="Verdana"/>
          <w:sz w:val="20"/>
        </w:rPr>
        <w:lastRenderedPageBreak/>
        <w:t xml:space="preserve">à celebração desta Escritura de Emissão e ao cumprimento de todas as obrigações aqui previstas e à realização da Emissão e da Oferta, tendo sido plenamente satisfeitos todos os requisitos legais, societários, regulatórios e de terceiros necessários para tanto, exceto (b.1) pela concessão do </w:t>
      </w:r>
      <w:r w:rsidR="00084FA8">
        <w:rPr>
          <w:rFonts w:ascii="Verdana" w:hAnsi="Verdana"/>
          <w:sz w:val="20"/>
        </w:rPr>
        <w:t xml:space="preserve">depósito </w:t>
      </w:r>
      <w:r w:rsidRPr="00190686">
        <w:rPr>
          <w:rFonts w:ascii="Verdana" w:hAnsi="Verdana"/>
          <w:sz w:val="20"/>
        </w:rPr>
        <w:t xml:space="preserve">para distribuição no mercado primário e negociação no mercado secundário das Debêntures na CETIP; (b.2) pelo arquivamento, na JUCERGS, e pela publicação, nos termos da Lei das Sociedades por Ações, da ata da RCA da Emissora que aprovou a Emissão e a Oferta; (b.3) pela inscrição desta Escritura de Emissão e de seus aditamentos perante a JUCERGS; e (b.4) pelo registro na ANBIMA, exclusivamente para compor a base de dados, nos termos da Cláusula 2.1.2. </w:t>
      </w:r>
      <w:proofErr w:type="gramStart"/>
      <w:r w:rsidRPr="00190686">
        <w:rPr>
          <w:rFonts w:ascii="Verdana" w:hAnsi="Verdana"/>
          <w:sz w:val="20"/>
        </w:rPr>
        <w:t>desta</w:t>
      </w:r>
      <w:proofErr w:type="gramEnd"/>
      <w:r w:rsidRPr="00190686">
        <w:rPr>
          <w:rFonts w:ascii="Verdana" w:hAnsi="Verdana"/>
          <w:sz w:val="20"/>
        </w:rPr>
        <w:t xml:space="preserve"> Escritura de Emissão;</w:t>
      </w:r>
    </w:p>
    <w:p w14:paraId="77387F2A" w14:textId="77777777" w:rsidR="002D5261" w:rsidRPr="00190686" w:rsidRDefault="002D5261" w:rsidP="002D5261">
      <w:pPr>
        <w:tabs>
          <w:tab w:val="num" w:pos="851"/>
        </w:tabs>
        <w:spacing w:after="0" w:line="300" w:lineRule="exact"/>
        <w:ind w:left="851" w:hanging="851"/>
        <w:rPr>
          <w:rFonts w:ascii="Verdana" w:hAnsi="Verdana"/>
          <w:sz w:val="20"/>
        </w:rPr>
      </w:pPr>
    </w:p>
    <w:p w14:paraId="4D737115"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os</w:t>
      </w:r>
      <w:proofErr w:type="gramEnd"/>
      <w:r w:rsidRPr="00190686">
        <w:rPr>
          <w:rFonts w:ascii="Verdana" w:hAnsi="Verdana"/>
          <w:sz w:val="20"/>
        </w:rPr>
        <w:t xml:space="preserve"> representantes legais da Emissora que assinam esta Escritura de Emissão têm, conforme o caso, poderes societários e/ou delegados para assumir, em nome da Emissora, conforme o caso, as obrigações aqui previstas e, sendo mandatários, têm os poderes legitimamente outorgados, estando os respectivos mandatos em pleno vigor;</w:t>
      </w:r>
    </w:p>
    <w:p w14:paraId="60C61229" w14:textId="77777777" w:rsidR="002D5261" w:rsidRPr="00190686" w:rsidRDefault="002D5261" w:rsidP="002D5261">
      <w:pPr>
        <w:tabs>
          <w:tab w:val="num" w:pos="851"/>
        </w:tabs>
        <w:spacing w:after="0" w:line="300" w:lineRule="exact"/>
        <w:ind w:left="851" w:hanging="851"/>
        <w:rPr>
          <w:rFonts w:ascii="Verdana" w:hAnsi="Verdana"/>
          <w:sz w:val="20"/>
        </w:rPr>
      </w:pPr>
    </w:p>
    <w:p w14:paraId="29B39F70"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esta</w:t>
      </w:r>
      <w:proofErr w:type="gramEnd"/>
      <w:r w:rsidRPr="00190686">
        <w:rPr>
          <w:rFonts w:ascii="Verdana" w:hAnsi="Verdana"/>
          <w:sz w:val="20"/>
        </w:rPr>
        <w:t xml:space="preserve"> Escritura de Emissão e as obrigações aqui previstas constituem obrigações lícitas, válidas, vinculantes e eficazes da Emissora, exequíveis de acordo com os seus termos e condições;</w:t>
      </w:r>
    </w:p>
    <w:p w14:paraId="6AF85EC8" w14:textId="77777777" w:rsidR="002D5261" w:rsidRPr="00190686" w:rsidRDefault="002D5261" w:rsidP="002D5261">
      <w:pPr>
        <w:tabs>
          <w:tab w:val="num" w:pos="851"/>
        </w:tabs>
        <w:spacing w:after="0" w:line="300" w:lineRule="exact"/>
        <w:ind w:left="851" w:hanging="851"/>
        <w:rPr>
          <w:rFonts w:ascii="Verdana" w:hAnsi="Verdana"/>
          <w:sz w:val="20"/>
        </w:rPr>
      </w:pPr>
    </w:p>
    <w:p w14:paraId="5559095A"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a</w:t>
      </w:r>
      <w:proofErr w:type="gramEnd"/>
      <w:r w:rsidRPr="00190686">
        <w:rPr>
          <w:rFonts w:ascii="Verdana" w:hAnsi="Verdana"/>
          <w:sz w:val="20"/>
        </w:rPr>
        <w:t xml:space="preserve"> celebração, os termos e condições desta Escritura de Emissão e o cumprimento das obrigações aqui previstas e a realização da Emissão e da Oferta (a) não infringem o estatuto social da Emissora; (b) não infringem qualquer contrato ou instrumento do qual a Emissora seja parte e/ou pelo qual qualquer de seus ativos esteja sujeito; (c) não resultarão em (i) vencimento antecipado de qualquer obrigação estabelecida em qualquer contrato ou instrumento do qual a Emissora seja parte e/ou pelo qual qualquer de seus ativos esteja sujeito; ou (</w:t>
      </w:r>
      <w:proofErr w:type="spellStart"/>
      <w:r w:rsidRPr="00190686">
        <w:rPr>
          <w:rFonts w:ascii="Verdana" w:hAnsi="Verdana"/>
          <w:sz w:val="20"/>
        </w:rPr>
        <w:t>ii</w:t>
      </w:r>
      <w:proofErr w:type="spellEnd"/>
      <w:r w:rsidRPr="00190686">
        <w:rPr>
          <w:rFonts w:ascii="Verdana" w:hAnsi="Verdana"/>
          <w:sz w:val="20"/>
        </w:rPr>
        <w:t>) rescisão de qualquer desses contratos ou instrumentos; (d) não resultarão na criação de qualquer ônus ou gravame, judicial ou extrajudicial, sobre qualquer ativo da Emissora; (e) não infringem qualquer disposição legal ou regulamentar a que a Emissora e/ou qualquer de seus ativos esteja sujeito; e (f) não infringem qualquer ordem, decisão ou sentença administrativa, judicial ou arbitral que afete a Emissora e/ou qualquer de seus ativos;</w:t>
      </w:r>
    </w:p>
    <w:p w14:paraId="53C8B4B6" w14:textId="77777777" w:rsidR="002D5261" w:rsidRPr="00190686" w:rsidRDefault="002D5261" w:rsidP="002D5261">
      <w:pPr>
        <w:tabs>
          <w:tab w:val="num" w:pos="851"/>
        </w:tabs>
        <w:spacing w:after="0" w:line="300" w:lineRule="exact"/>
        <w:ind w:left="851" w:hanging="851"/>
        <w:rPr>
          <w:rFonts w:ascii="Verdana" w:hAnsi="Verdana"/>
          <w:sz w:val="20"/>
        </w:rPr>
      </w:pPr>
    </w:p>
    <w:p w14:paraId="55C97CFD"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está</w:t>
      </w:r>
      <w:proofErr w:type="gramEnd"/>
      <w:r w:rsidRPr="00190686">
        <w:rPr>
          <w:rFonts w:ascii="Verdana" w:hAnsi="Verdana"/>
          <w:sz w:val="20"/>
        </w:rPr>
        <w:t xml:space="preserve"> adimplente com o cumprimento das obrigações constantes desta Escritura de Emissão, e não existe, na presente data, qualquer Evento de Inadimplemento;</w:t>
      </w:r>
    </w:p>
    <w:p w14:paraId="2DCCCBB4" w14:textId="77777777" w:rsidR="002D5261" w:rsidRPr="00190686" w:rsidRDefault="002D5261" w:rsidP="002D5261">
      <w:pPr>
        <w:tabs>
          <w:tab w:val="num" w:pos="851"/>
        </w:tabs>
        <w:spacing w:after="0" w:line="300" w:lineRule="exact"/>
        <w:ind w:left="851" w:hanging="851"/>
        <w:rPr>
          <w:rFonts w:ascii="Verdana" w:hAnsi="Verdana"/>
          <w:sz w:val="20"/>
        </w:rPr>
      </w:pPr>
    </w:p>
    <w:p w14:paraId="24AF9168"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lastRenderedPageBreak/>
        <w:t>tem</w:t>
      </w:r>
      <w:proofErr w:type="gramEnd"/>
      <w:r w:rsidRPr="00190686">
        <w:rPr>
          <w:rFonts w:ascii="Verdana" w:hAnsi="Verdana"/>
          <w:sz w:val="20"/>
        </w:rPr>
        <w:t xml:space="preserve"> plena ciência e concorda integralmente com a forma de divulgação e apuração da Taxa DI, e a forma de cálculo da Remuneração foi acordada por livre vontade da Emissora, em observância ao princípio da boa-fé;</w:t>
      </w:r>
    </w:p>
    <w:p w14:paraId="7E6A1486" w14:textId="77777777" w:rsidR="002D5261" w:rsidRPr="00190686" w:rsidRDefault="002D5261" w:rsidP="002D5261">
      <w:pPr>
        <w:tabs>
          <w:tab w:val="num" w:pos="851"/>
        </w:tabs>
        <w:spacing w:after="0" w:line="300" w:lineRule="exact"/>
        <w:ind w:left="851" w:hanging="851"/>
        <w:rPr>
          <w:rFonts w:ascii="Verdana" w:hAnsi="Verdana"/>
          <w:sz w:val="20"/>
        </w:rPr>
      </w:pPr>
    </w:p>
    <w:p w14:paraId="46A25F67"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os</w:t>
      </w:r>
      <w:proofErr w:type="gramEnd"/>
      <w:r w:rsidRPr="00190686">
        <w:rPr>
          <w:rFonts w:ascii="Verdana" w:hAnsi="Verdana"/>
          <w:sz w:val="20"/>
        </w:rPr>
        <w:t xml:space="preserve"> documentos e informações fornecidos ao Agente Fiduciário e/ou aos Debenturistas são verdadeiros, consistentes, precisos, completos, corretos e suficientes, estão atualizados até a data em que foram fornecidos e incluem os documentos e informações relevantes para a tomada de decisão de investimento sobre as Debêntures;</w:t>
      </w:r>
    </w:p>
    <w:p w14:paraId="5E32BCAC" w14:textId="77777777" w:rsidR="002D5261" w:rsidRPr="00190686" w:rsidRDefault="002D5261" w:rsidP="002D5261">
      <w:pPr>
        <w:tabs>
          <w:tab w:val="num" w:pos="851"/>
        </w:tabs>
        <w:spacing w:after="0" w:line="300" w:lineRule="exact"/>
        <w:ind w:left="851" w:hanging="851"/>
        <w:rPr>
          <w:rFonts w:ascii="Verdana" w:hAnsi="Verdana"/>
          <w:sz w:val="20"/>
        </w:rPr>
      </w:pPr>
    </w:p>
    <w:p w14:paraId="5B7CEC8C"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as</w:t>
      </w:r>
      <w:proofErr w:type="gramEnd"/>
      <w:r w:rsidRPr="00190686">
        <w:rPr>
          <w:rFonts w:ascii="Verdana" w:hAnsi="Verdana"/>
          <w:sz w:val="20"/>
        </w:rPr>
        <w:t xml:space="preserve"> Demonstrações Financeiras da Emissora relativas aos exercícios sociais encerrados em 31 de dezembro de 2015, 2014 e 2013 representam corretamente a posição patrimonial e financeira da Emissora naquelas datas e para aqueles períodos e foram devidamente elaboradas em conformidade com a Lei das Sociedades por Ações e com as regras emitidas pela CVM;</w:t>
      </w:r>
    </w:p>
    <w:p w14:paraId="628B9D6F" w14:textId="77777777" w:rsidR="002D5261" w:rsidRPr="00190686" w:rsidRDefault="002D5261" w:rsidP="002D5261">
      <w:pPr>
        <w:tabs>
          <w:tab w:val="num" w:pos="851"/>
        </w:tabs>
        <w:spacing w:after="0" w:line="300" w:lineRule="exact"/>
        <w:ind w:left="851" w:hanging="851"/>
        <w:rPr>
          <w:rFonts w:ascii="Verdana" w:hAnsi="Verdana"/>
          <w:sz w:val="20"/>
        </w:rPr>
      </w:pPr>
    </w:p>
    <w:p w14:paraId="21239EB7"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está</w:t>
      </w:r>
      <w:proofErr w:type="gramEnd"/>
      <w:r w:rsidRPr="00190686">
        <w:rPr>
          <w:rFonts w:ascii="Verdana" w:hAnsi="Verdana"/>
          <w:sz w:val="20"/>
        </w:rPr>
        <w:t xml:space="preserve">, assim como as Controladas, se houver, estarão, cumprindo, leis, regulamentos, normas administrativas e determinações dos órgãos governamentais, autarquias ou instâncias judiciais aplicáveis ao exercício de suas atividades, exceto por aqueles questionados de boa-fé nas esferas administrativa e/ou judicial; </w:t>
      </w:r>
    </w:p>
    <w:p w14:paraId="6E8CA1D4" w14:textId="77777777" w:rsidR="002D5261" w:rsidRPr="00190686" w:rsidRDefault="002D5261" w:rsidP="002D5261">
      <w:pPr>
        <w:pStyle w:val="PargrafodaLista"/>
        <w:rPr>
          <w:rFonts w:ascii="Verdana" w:hAnsi="Verdana"/>
          <w:sz w:val="20"/>
        </w:rPr>
      </w:pPr>
    </w:p>
    <w:p w14:paraId="24292992"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está</w:t>
      </w:r>
      <w:proofErr w:type="gramEnd"/>
      <w:r w:rsidRPr="00190686">
        <w:rPr>
          <w:rFonts w:ascii="Verdana" w:hAnsi="Verdana"/>
          <w:sz w:val="20"/>
        </w:rPr>
        <w:t xml:space="preserve"> cumprindo as leis, regulamentos e políticas anticorrupção a que está submetida, bem como as determinações e regras emanadas por qualquer órgão ou entidade governamental a que esteja sujeita,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 </w:t>
      </w:r>
    </w:p>
    <w:p w14:paraId="5A2C7AB6" w14:textId="77777777" w:rsidR="002D5261" w:rsidRPr="00190686" w:rsidRDefault="002D5261" w:rsidP="002D5261">
      <w:pPr>
        <w:tabs>
          <w:tab w:val="num" w:pos="851"/>
        </w:tabs>
        <w:spacing w:after="0" w:line="300" w:lineRule="exact"/>
        <w:ind w:left="851" w:hanging="851"/>
        <w:rPr>
          <w:rFonts w:ascii="Verdana" w:hAnsi="Verdana"/>
          <w:sz w:val="20"/>
        </w:rPr>
      </w:pPr>
    </w:p>
    <w:p w14:paraId="776C8C8D"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está</w:t>
      </w:r>
      <w:proofErr w:type="gramEnd"/>
      <w:r w:rsidRPr="00190686">
        <w:rPr>
          <w:rFonts w:ascii="Verdana" w:hAnsi="Verdana"/>
          <w:sz w:val="20"/>
        </w:rPr>
        <w:t>, assim como as Controladas, se houver, em dia com o pagamento de todas as obrigações de natureza tributária (municipal, estadual e federal), trabalhista, previdenciária, ambiental e de quaisquer outras obrigações impostas por lei, exceto por aquelas questionadas de boa-fé nas esferas administrativa e/ou judicial;</w:t>
      </w:r>
    </w:p>
    <w:p w14:paraId="1A5907C5" w14:textId="77777777" w:rsidR="002D5261" w:rsidRPr="00190686" w:rsidRDefault="002D5261" w:rsidP="002D5261">
      <w:pPr>
        <w:tabs>
          <w:tab w:val="num" w:pos="851"/>
        </w:tabs>
        <w:spacing w:after="0" w:line="300" w:lineRule="exact"/>
        <w:ind w:left="851" w:hanging="851"/>
        <w:rPr>
          <w:rFonts w:ascii="Verdana" w:hAnsi="Verdana"/>
          <w:sz w:val="20"/>
        </w:rPr>
      </w:pPr>
    </w:p>
    <w:p w14:paraId="648BBE7F"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a</w:t>
      </w:r>
      <w:proofErr w:type="gramEnd"/>
      <w:r w:rsidRPr="00190686">
        <w:rPr>
          <w:rFonts w:ascii="Verdana" w:hAnsi="Verdana"/>
          <w:sz w:val="20"/>
        </w:rPr>
        <w:t xml:space="preserve"> Emissora não é, assim como as Controladas, se houver, não são, parte de qualquer ação judicial, procedimento administrativo ou arbitral, inquérito ou investigação pendente ou iminente de que tenha conhecimento, inclusive de natureza socioambiental, envolvendo ou que possa afetar a Emissora e/ou as </w:t>
      </w:r>
      <w:r w:rsidRPr="00190686">
        <w:rPr>
          <w:rFonts w:ascii="Verdana" w:hAnsi="Verdana"/>
          <w:sz w:val="20"/>
        </w:rPr>
        <w:lastRenderedPageBreak/>
        <w:t xml:space="preserve">Controladas, se houver, perante qualquer tribunal, órgão governamental ou árbitro; </w:t>
      </w:r>
    </w:p>
    <w:p w14:paraId="6017F53D" w14:textId="77777777" w:rsidR="002D5261" w:rsidRPr="00190686" w:rsidRDefault="002D5261" w:rsidP="002D5261">
      <w:pPr>
        <w:tabs>
          <w:tab w:val="num" w:pos="851"/>
        </w:tabs>
        <w:spacing w:after="0" w:line="300" w:lineRule="exact"/>
        <w:ind w:left="851" w:hanging="851"/>
        <w:rPr>
          <w:rFonts w:ascii="Verdana" w:hAnsi="Verdana"/>
          <w:sz w:val="20"/>
        </w:rPr>
      </w:pPr>
    </w:p>
    <w:p w14:paraId="1227FC9B"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possui</w:t>
      </w:r>
      <w:proofErr w:type="gramEnd"/>
      <w:r w:rsidRPr="00190686">
        <w:rPr>
          <w:rFonts w:ascii="Verdana" w:hAnsi="Verdana"/>
          <w:sz w:val="20"/>
        </w:rPr>
        <w:t>, assim como as Controladas, se houver, possuirão, válidas, eficazes, em perfeita ordem e em pleno vigor todas as licenças, concessões, autorizações, permissões e alvarás, inclusive ambientais, aplicáveis ao exercício de suas atividades, sendo que até a presente data a Emissora não foi notificada acerca da revogação de qualquer delas ou da existência de processo administrativo que tenha por objeto a revogação, suspensão ou cancelamento de qualquer delas, exceto para aquelas que estejam sendo questionadas de boa-fé e/ou estejam em processo legal de renovação;</w:t>
      </w:r>
    </w:p>
    <w:p w14:paraId="231278D0" w14:textId="77777777" w:rsidR="002D5261" w:rsidRPr="00190686" w:rsidRDefault="002D5261" w:rsidP="002D5261">
      <w:pPr>
        <w:tabs>
          <w:tab w:val="num" w:pos="851"/>
        </w:tabs>
        <w:spacing w:after="0" w:line="300" w:lineRule="exact"/>
        <w:ind w:left="851" w:hanging="851"/>
        <w:rPr>
          <w:rFonts w:ascii="Verdana" w:hAnsi="Verdana"/>
          <w:sz w:val="20"/>
        </w:rPr>
      </w:pPr>
    </w:p>
    <w:p w14:paraId="16B18760"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inexiste</w:t>
      </w:r>
      <w:proofErr w:type="gramEnd"/>
      <w:r w:rsidRPr="00190686">
        <w:rPr>
          <w:rFonts w:ascii="Verdana" w:hAnsi="Verdana"/>
          <w:sz w:val="20"/>
        </w:rPr>
        <w:t>, inclusive com relação às Controladas, se houver, (a) descumprimento de qualquer disposição contratual relevante, legal ou de qualquer outra ordem judicial, administrativa ou arbitral; ou (b) qualquer processo, judicial, administrativo ou arbitral, inquérito ou qualquer outro tipo de investigação governamental, em qualquer dos casos desta alínea, visando a anular, alterar, invalidar, questionar ou de qualquer forma afetar esta Escritura de Emissão; e</w:t>
      </w:r>
    </w:p>
    <w:p w14:paraId="33A3301D" w14:textId="77777777" w:rsidR="002D5261" w:rsidRPr="00190686" w:rsidRDefault="002D5261" w:rsidP="002D5261">
      <w:pPr>
        <w:tabs>
          <w:tab w:val="num" w:pos="851"/>
        </w:tabs>
        <w:spacing w:after="0" w:line="300" w:lineRule="exact"/>
        <w:ind w:left="851" w:hanging="851"/>
        <w:rPr>
          <w:rFonts w:ascii="Verdana" w:hAnsi="Verdana"/>
          <w:sz w:val="20"/>
        </w:rPr>
      </w:pPr>
    </w:p>
    <w:p w14:paraId="167991E5" w14:textId="77777777" w:rsidR="002D5261" w:rsidRPr="00190686" w:rsidRDefault="002D5261" w:rsidP="002D5261">
      <w:pPr>
        <w:numPr>
          <w:ilvl w:val="2"/>
          <w:numId w:val="12"/>
        </w:numPr>
        <w:tabs>
          <w:tab w:val="clear" w:pos="1701"/>
          <w:tab w:val="num" w:pos="851"/>
        </w:tabs>
        <w:spacing w:after="0" w:line="300" w:lineRule="exact"/>
        <w:ind w:left="851" w:hanging="851"/>
        <w:rPr>
          <w:rFonts w:ascii="Verdana" w:hAnsi="Verdana"/>
          <w:sz w:val="20"/>
        </w:rPr>
      </w:pPr>
      <w:proofErr w:type="gramStart"/>
      <w:r w:rsidRPr="00190686">
        <w:rPr>
          <w:rFonts w:ascii="Verdana" w:hAnsi="Verdana"/>
          <w:sz w:val="20"/>
        </w:rPr>
        <w:t>não</w:t>
      </w:r>
      <w:proofErr w:type="gramEnd"/>
      <w:r w:rsidRPr="00190686">
        <w:rPr>
          <w:rFonts w:ascii="Verdana" w:hAnsi="Verdana"/>
          <w:sz w:val="20"/>
        </w:rPr>
        <w:t xml:space="preserve"> há qualquer ligação entre a Emissora e o Agente Fiduciário que impeça o Agente Fiduciário de exercer plenamente suas funções.</w:t>
      </w:r>
    </w:p>
    <w:p w14:paraId="50DEAAFF" w14:textId="77777777" w:rsidR="002D5261" w:rsidRPr="00190686" w:rsidRDefault="002D5261" w:rsidP="002D5261">
      <w:pPr>
        <w:tabs>
          <w:tab w:val="left" w:pos="851"/>
        </w:tabs>
        <w:spacing w:after="0" w:line="300" w:lineRule="exact"/>
        <w:ind w:left="709"/>
        <w:rPr>
          <w:rFonts w:ascii="Verdana" w:hAnsi="Verdana"/>
          <w:sz w:val="20"/>
        </w:rPr>
      </w:pPr>
      <w:bookmarkStart w:id="151" w:name="_Ref264567062"/>
      <w:bookmarkEnd w:id="150"/>
    </w:p>
    <w:p w14:paraId="0952EA4E" w14:textId="77777777" w:rsidR="002D5261" w:rsidRPr="00190686" w:rsidRDefault="002D5261" w:rsidP="002D5261">
      <w:pPr>
        <w:numPr>
          <w:ilvl w:val="1"/>
          <w:numId w:val="12"/>
        </w:numPr>
        <w:tabs>
          <w:tab w:val="clear" w:pos="709"/>
          <w:tab w:val="left" w:pos="851"/>
        </w:tabs>
        <w:spacing w:after="0" w:line="300" w:lineRule="exact"/>
        <w:ind w:left="0" w:firstLine="0"/>
        <w:rPr>
          <w:rFonts w:ascii="Verdana" w:hAnsi="Verdana"/>
          <w:sz w:val="20"/>
        </w:rPr>
      </w:pPr>
      <w:r w:rsidRPr="00190686">
        <w:rPr>
          <w:rFonts w:ascii="Verdana" w:hAnsi="Verdana"/>
          <w:sz w:val="20"/>
        </w:rPr>
        <w:t xml:space="preserve">A Emissora, irrevogável e irretratável, se obriga a indenizar os Debenturistas e o Agente Fiduciário por todos e quaisquer prejuízos, danos, perdas, custos e/ou despesas (incluindo </w:t>
      </w:r>
      <w:proofErr w:type="gramStart"/>
      <w:r w:rsidRPr="00190686">
        <w:rPr>
          <w:rFonts w:ascii="Verdana" w:hAnsi="Verdana"/>
          <w:sz w:val="20"/>
        </w:rPr>
        <w:t>custas judiciais e honorários advocatícios</w:t>
      </w:r>
      <w:proofErr w:type="gramEnd"/>
      <w:r w:rsidRPr="00190686">
        <w:rPr>
          <w:rFonts w:ascii="Verdana" w:hAnsi="Verdana"/>
          <w:sz w:val="20"/>
        </w:rPr>
        <w:t xml:space="preserve">) diretamente incorridos e comprovados pelos Debenturistas e/ou pelo Agente Fiduciário em razão da falsidade e/ou incorreção de qualquer das declarações prestadas nos termos da Cláusula 9.2. </w:t>
      </w:r>
      <w:proofErr w:type="gramStart"/>
      <w:r w:rsidRPr="00190686">
        <w:rPr>
          <w:rFonts w:ascii="Verdana" w:hAnsi="Verdana"/>
          <w:sz w:val="20"/>
        </w:rPr>
        <w:t>acima</w:t>
      </w:r>
      <w:proofErr w:type="gramEnd"/>
      <w:r w:rsidRPr="00190686">
        <w:rPr>
          <w:rFonts w:ascii="Verdana" w:hAnsi="Verdana"/>
          <w:sz w:val="20"/>
        </w:rPr>
        <w:t>.</w:t>
      </w:r>
      <w:bookmarkEnd w:id="151"/>
    </w:p>
    <w:p w14:paraId="4CF37ADE" w14:textId="77777777" w:rsidR="002D5261" w:rsidRPr="00190686" w:rsidRDefault="002D5261" w:rsidP="002D5261">
      <w:pPr>
        <w:tabs>
          <w:tab w:val="left" w:pos="851"/>
        </w:tabs>
        <w:spacing w:after="0" w:line="300" w:lineRule="exact"/>
        <w:rPr>
          <w:rFonts w:ascii="Verdana" w:hAnsi="Verdana"/>
          <w:sz w:val="20"/>
        </w:rPr>
      </w:pPr>
    </w:p>
    <w:p w14:paraId="33BD69E5" w14:textId="77777777" w:rsidR="002D5261" w:rsidRPr="00190686" w:rsidRDefault="002D5261" w:rsidP="002D5261">
      <w:pPr>
        <w:numPr>
          <w:ilvl w:val="1"/>
          <w:numId w:val="12"/>
        </w:numPr>
        <w:tabs>
          <w:tab w:val="clear" w:pos="709"/>
          <w:tab w:val="left" w:pos="851"/>
        </w:tabs>
        <w:spacing w:after="0" w:line="300" w:lineRule="exact"/>
        <w:ind w:left="0" w:firstLine="0"/>
        <w:rPr>
          <w:rFonts w:ascii="Verdana" w:hAnsi="Verdana"/>
          <w:sz w:val="20"/>
        </w:rPr>
      </w:pPr>
      <w:r w:rsidRPr="00190686">
        <w:rPr>
          <w:rFonts w:ascii="Verdana" w:hAnsi="Verdana"/>
          <w:sz w:val="20"/>
        </w:rPr>
        <w:t xml:space="preserve">Sem prejuízo do disposto na Cláusula 9.2. </w:t>
      </w:r>
      <w:proofErr w:type="gramStart"/>
      <w:r w:rsidRPr="00190686">
        <w:rPr>
          <w:rFonts w:ascii="Verdana" w:hAnsi="Verdana"/>
          <w:sz w:val="20"/>
        </w:rPr>
        <w:t>acima</w:t>
      </w:r>
      <w:proofErr w:type="gramEnd"/>
      <w:r w:rsidRPr="00190686">
        <w:rPr>
          <w:rFonts w:ascii="Verdana" w:hAnsi="Verdana"/>
          <w:sz w:val="20"/>
        </w:rPr>
        <w:t xml:space="preserve">, a Emissora obriga-se a notificar, na mesma data em que tomar conhecimento, o Agente Fiduciário caso qualquer das declarações prestadas nos termos da Cláusula 9.2. </w:t>
      </w:r>
      <w:proofErr w:type="gramStart"/>
      <w:r w:rsidRPr="00190686">
        <w:rPr>
          <w:rFonts w:ascii="Verdana" w:hAnsi="Verdana"/>
          <w:sz w:val="20"/>
        </w:rPr>
        <w:t>acima</w:t>
      </w:r>
      <w:proofErr w:type="gramEnd"/>
      <w:r w:rsidRPr="00190686">
        <w:rPr>
          <w:rFonts w:ascii="Verdana" w:hAnsi="Verdana"/>
          <w:sz w:val="20"/>
        </w:rPr>
        <w:t xml:space="preserve"> seja falsa e/ou incorreta na data em que foi prestada.</w:t>
      </w:r>
    </w:p>
    <w:p w14:paraId="04944877" w14:textId="77777777" w:rsidR="002D5261" w:rsidRPr="00190686" w:rsidRDefault="002D5261" w:rsidP="002D5261">
      <w:pPr>
        <w:tabs>
          <w:tab w:val="left" w:pos="851"/>
        </w:tabs>
        <w:spacing w:after="0" w:line="300" w:lineRule="exact"/>
        <w:rPr>
          <w:rFonts w:ascii="Verdana" w:hAnsi="Verdana"/>
          <w:sz w:val="20"/>
        </w:rPr>
      </w:pPr>
    </w:p>
    <w:p w14:paraId="47ACC1A4" w14:textId="77777777" w:rsidR="002D5261" w:rsidRPr="00190686" w:rsidRDefault="002D5261" w:rsidP="002D5261">
      <w:pPr>
        <w:tabs>
          <w:tab w:val="left" w:pos="851"/>
        </w:tabs>
        <w:spacing w:after="0" w:line="300" w:lineRule="exact"/>
        <w:rPr>
          <w:rFonts w:ascii="Verdana" w:hAnsi="Verdana"/>
          <w:sz w:val="20"/>
        </w:rPr>
      </w:pPr>
    </w:p>
    <w:p w14:paraId="498D8433" w14:textId="77777777" w:rsidR="002D5261" w:rsidRPr="00190686" w:rsidRDefault="002D5261" w:rsidP="002D5261">
      <w:pPr>
        <w:spacing w:after="0" w:line="300" w:lineRule="exact"/>
        <w:jc w:val="center"/>
        <w:rPr>
          <w:rFonts w:ascii="Verdana" w:hAnsi="Verdana"/>
          <w:b/>
          <w:smallCaps/>
          <w:sz w:val="20"/>
        </w:rPr>
      </w:pPr>
      <w:r w:rsidRPr="00190686">
        <w:rPr>
          <w:rFonts w:ascii="Verdana" w:hAnsi="Verdana"/>
          <w:b/>
          <w:smallCaps/>
          <w:sz w:val="20"/>
        </w:rPr>
        <w:t>Cláusula X</w:t>
      </w:r>
    </w:p>
    <w:p w14:paraId="55156747" w14:textId="77777777" w:rsidR="002D5261" w:rsidRPr="00190686" w:rsidRDefault="002D5261" w:rsidP="002D5261">
      <w:pPr>
        <w:spacing w:after="0" w:line="300" w:lineRule="exact"/>
        <w:jc w:val="center"/>
        <w:rPr>
          <w:rFonts w:ascii="Verdana" w:hAnsi="Verdana"/>
          <w:b/>
          <w:smallCaps/>
          <w:sz w:val="20"/>
        </w:rPr>
      </w:pPr>
      <w:r w:rsidRPr="00190686">
        <w:rPr>
          <w:rFonts w:ascii="Verdana" w:hAnsi="Verdana"/>
          <w:b/>
          <w:smallCaps/>
          <w:sz w:val="20"/>
        </w:rPr>
        <w:t>Disposições Gerais</w:t>
      </w:r>
    </w:p>
    <w:p w14:paraId="3127E4F6" w14:textId="77777777" w:rsidR="002D5261" w:rsidRPr="00190686" w:rsidRDefault="002D5261" w:rsidP="002D5261">
      <w:pPr>
        <w:keepNext/>
        <w:tabs>
          <w:tab w:val="left" w:pos="851"/>
        </w:tabs>
        <w:spacing w:after="0" w:line="300" w:lineRule="exact"/>
        <w:ind w:left="709"/>
        <w:jc w:val="center"/>
        <w:rPr>
          <w:rFonts w:ascii="Verdana" w:hAnsi="Verdana"/>
          <w:smallCaps/>
          <w:sz w:val="20"/>
          <w:u w:val="single"/>
        </w:rPr>
      </w:pPr>
    </w:p>
    <w:p w14:paraId="628786DC" w14:textId="77777777" w:rsidR="002D5261" w:rsidRPr="00190686" w:rsidRDefault="002D5261" w:rsidP="002D5261">
      <w:pPr>
        <w:numPr>
          <w:ilvl w:val="1"/>
          <w:numId w:val="13"/>
        </w:numPr>
        <w:tabs>
          <w:tab w:val="clear" w:pos="709"/>
          <w:tab w:val="num" w:pos="851"/>
        </w:tabs>
        <w:spacing w:after="0" w:line="300" w:lineRule="exact"/>
        <w:ind w:left="851" w:hanging="851"/>
        <w:rPr>
          <w:rFonts w:ascii="Verdana" w:hAnsi="Verdana"/>
          <w:b/>
          <w:sz w:val="20"/>
        </w:rPr>
      </w:pPr>
      <w:r w:rsidRPr="00190686">
        <w:rPr>
          <w:rFonts w:ascii="Verdana" w:hAnsi="Verdana"/>
          <w:b/>
          <w:sz w:val="20"/>
        </w:rPr>
        <w:t>Renúncia</w:t>
      </w:r>
    </w:p>
    <w:p w14:paraId="044D896E" w14:textId="77777777" w:rsidR="002D5261" w:rsidRPr="00190686" w:rsidRDefault="002D5261" w:rsidP="002D5261">
      <w:pPr>
        <w:tabs>
          <w:tab w:val="left" w:pos="851"/>
        </w:tabs>
        <w:spacing w:after="0" w:line="300" w:lineRule="exact"/>
        <w:ind w:left="709"/>
        <w:rPr>
          <w:rFonts w:ascii="Verdana" w:hAnsi="Verdana"/>
          <w:b/>
          <w:sz w:val="20"/>
        </w:rPr>
      </w:pPr>
    </w:p>
    <w:p w14:paraId="2D9DFCD5"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Qualquer tolerância, exercício parcial ou concessão entre as partes será sempre considerado mera liberalidade, e não configurará renúncia ou perda de qualquer direito, faculdade, privilégio, prerrogativa ou poderes conferidos (inclusive de </w:t>
      </w:r>
      <w:r w:rsidRPr="00190686">
        <w:rPr>
          <w:rFonts w:ascii="Verdana" w:hAnsi="Verdana"/>
          <w:sz w:val="20"/>
        </w:rPr>
        <w:lastRenderedPageBreak/>
        <w:t>mandato), nem implicará novação, alteração, transigência, remissão, modificação ou redução dos direitos e obrigações daqui decorrentes.</w:t>
      </w:r>
    </w:p>
    <w:p w14:paraId="20F92FE1" w14:textId="77777777" w:rsidR="002D5261" w:rsidRPr="00190686" w:rsidRDefault="002D5261" w:rsidP="002D5261">
      <w:pPr>
        <w:tabs>
          <w:tab w:val="left" w:pos="851"/>
        </w:tabs>
        <w:spacing w:after="0" w:line="300" w:lineRule="exact"/>
        <w:rPr>
          <w:rFonts w:ascii="Verdana" w:hAnsi="Verdana"/>
          <w:sz w:val="20"/>
        </w:rPr>
      </w:pPr>
    </w:p>
    <w:p w14:paraId="12AE7C92" w14:textId="77777777" w:rsidR="002D5261" w:rsidRPr="00190686" w:rsidRDefault="002D5261" w:rsidP="002D5261">
      <w:pPr>
        <w:numPr>
          <w:ilvl w:val="1"/>
          <w:numId w:val="13"/>
        </w:numPr>
        <w:tabs>
          <w:tab w:val="clear" w:pos="709"/>
          <w:tab w:val="num" w:pos="851"/>
        </w:tabs>
        <w:spacing w:after="0" w:line="300" w:lineRule="exact"/>
        <w:ind w:left="851" w:hanging="851"/>
        <w:rPr>
          <w:rFonts w:ascii="Verdana" w:hAnsi="Verdana"/>
          <w:b/>
          <w:sz w:val="20"/>
        </w:rPr>
      </w:pPr>
      <w:r w:rsidRPr="00190686">
        <w:rPr>
          <w:rFonts w:ascii="Verdana" w:hAnsi="Verdana"/>
          <w:b/>
          <w:sz w:val="20"/>
        </w:rPr>
        <w:t>Custos de Registro</w:t>
      </w:r>
    </w:p>
    <w:p w14:paraId="4AED987F" w14:textId="77777777" w:rsidR="002D5261" w:rsidRPr="00190686" w:rsidRDefault="002D5261" w:rsidP="002D5261">
      <w:pPr>
        <w:tabs>
          <w:tab w:val="left" w:pos="851"/>
        </w:tabs>
        <w:spacing w:after="0" w:line="300" w:lineRule="exact"/>
        <w:rPr>
          <w:rFonts w:ascii="Verdana" w:hAnsi="Verdana"/>
          <w:sz w:val="20"/>
        </w:rPr>
      </w:pPr>
    </w:p>
    <w:p w14:paraId="18002777"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Correrão por conta da Emissora todos os custos incorridos com a Oferta ou com a estruturação, emissão, registro e execução das Debêntures, incluindo publicações, inscrições, registros, contratação do Agente Fiduciário, do </w:t>
      </w:r>
      <w:proofErr w:type="spellStart"/>
      <w:r w:rsidRPr="00190686">
        <w:rPr>
          <w:rFonts w:ascii="Verdana" w:hAnsi="Verdana"/>
          <w:sz w:val="20"/>
        </w:rPr>
        <w:t>Escriturador</w:t>
      </w:r>
      <w:proofErr w:type="spellEnd"/>
      <w:r w:rsidRPr="00190686">
        <w:rPr>
          <w:rFonts w:ascii="Verdana" w:hAnsi="Verdana"/>
          <w:sz w:val="20"/>
        </w:rPr>
        <w:t>, do Banco Liquidante, dos assessores legais</w:t>
      </w:r>
      <w:r w:rsidRPr="00190686" w:rsidDel="00FD5B59">
        <w:rPr>
          <w:rFonts w:ascii="Verdana" w:hAnsi="Verdana"/>
          <w:sz w:val="20"/>
        </w:rPr>
        <w:t xml:space="preserve"> </w:t>
      </w:r>
      <w:r w:rsidRPr="00190686">
        <w:rPr>
          <w:rFonts w:ascii="Verdana" w:hAnsi="Verdana"/>
          <w:sz w:val="20"/>
        </w:rPr>
        <w:t>e dos demais prestadores de serviços, e quaisquer outros custos relacionados às Debêntures.</w:t>
      </w:r>
    </w:p>
    <w:p w14:paraId="58F6C636" w14:textId="77777777" w:rsidR="002D5261" w:rsidRPr="00190686" w:rsidRDefault="002D5261" w:rsidP="002D5261">
      <w:pPr>
        <w:keepNext/>
        <w:tabs>
          <w:tab w:val="left" w:pos="851"/>
        </w:tabs>
        <w:spacing w:after="0" w:line="300" w:lineRule="exact"/>
        <w:rPr>
          <w:rFonts w:ascii="Verdana" w:hAnsi="Verdana"/>
          <w:smallCaps/>
          <w:sz w:val="20"/>
          <w:u w:val="single"/>
        </w:rPr>
      </w:pPr>
    </w:p>
    <w:p w14:paraId="0E1EF87C" w14:textId="77777777" w:rsidR="002D5261" w:rsidRPr="00190686" w:rsidRDefault="002D5261" w:rsidP="002D5261">
      <w:pPr>
        <w:numPr>
          <w:ilvl w:val="1"/>
          <w:numId w:val="13"/>
        </w:numPr>
        <w:tabs>
          <w:tab w:val="clear" w:pos="709"/>
          <w:tab w:val="left" w:pos="851"/>
        </w:tabs>
        <w:spacing w:after="0" w:line="300" w:lineRule="exact"/>
        <w:ind w:left="851" w:hanging="851"/>
        <w:rPr>
          <w:rFonts w:ascii="Verdana" w:hAnsi="Verdana"/>
          <w:b/>
          <w:sz w:val="20"/>
        </w:rPr>
      </w:pPr>
      <w:r w:rsidRPr="00190686">
        <w:rPr>
          <w:rFonts w:ascii="Verdana" w:hAnsi="Verdana"/>
          <w:b/>
          <w:sz w:val="20"/>
        </w:rPr>
        <w:t>Comunicações</w:t>
      </w:r>
    </w:p>
    <w:p w14:paraId="552F71FB" w14:textId="77777777" w:rsidR="002D5261" w:rsidRPr="00190686" w:rsidRDefault="002D5261" w:rsidP="002D5261">
      <w:pPr>
        <w:tabs>
          <w:tab w:val="left" w:pos="851"/>
        </w:tabs>
        <w:spacing w:after="0" w:line="300" w:lineRule="exact"/>
        <w:ind w:left="709"/>
        <w:rPr>
          <w:rFonts w:ascii="Verdana" w:hAnsi="Verdana"/>
          <w:b/>
          <w:sz w:val="20"/>
        </w:rPr>
      </w:pPr>
    </w:p>
    <w:p w14:paraId="18348839" w14:textId="77777777" w:rsidR="002D5261" w:rsidRPr="00190686" w:rsidRDefault="002D5261" w:rsidP="002D5261">
      <w:pPr>
        <w:keepNext/>
        <w:numPr>
          <w:ilvl w:val="0"/>
          <w:numId w:val="34"/>
        </w:numPr>
        <w:tabs>
          <w:tab w:val="left" w:pos="709"/>
          <w:tab w:val="left" w:pos="851"/>
        </w:tabs>
        <w:spacing w:after="0" w:line="300" w:lineRule="exact"/>
        <w:ind w:left="0" w:firstLine="0"/>
        <w:rPr>
          <w:rFonts w:ascii="Verdana" w:hAnsi="Verdana"/>
          <w:sz w:val="20"/>
        </w:rPr>
      </w:pPr>
      <w:r w:rsidRPr="00190686">
        <w:rPr>
          <w:rFonts w:ascii="Verdana" w:hAnsi="Verdana"/>
          <w:bCs/>
          <w:sz w:val="20"/>
        </w:rPr>
        <w:t xml:space="preserve">Todas as comunicações realizadas nos termos desta Escritura de Emissão devem ser sempre realizadas por escrito, para os endereços abaixo. </w:t>
      </w:r>
      <w:r w:rsidRPr="00190686">
        <w:rPr>
          <w:rFonts w:ascii="Verdana" w:hAnsi="Verdana"/>
          <w:sz w:val="20"/>
        </w:rPr>
        <w:t xml:space="preserve">As comunicações serão consideradas recebidas quando entregues, </w:t>
      </w:r>
      <w:proofErr w:type="gramStart"/>
      <w:r w:rsidRPr="00190686">
        <w:rPr>
          <w:rFonts w:ascii="Verdana" w:hAnsi="Verdana"/>
          <w:sz w:val="20"/>
        </w:rPr>
        <w:t>sob protocolo</w:t>
      </w:r>
      <w:proofErr w:type="gramEnd"/>
      <w:r w:rsidRPr="00190686">
        <w:rPr>
          <w:rFonts w:ascii="Verdana" w:hAnsi="Verdana"/>
          <w:sz w:val="20"/>
        </w:rPr>
        <w:t xml:space="preserve"> ou mediante “aviso de recebimento” expedido pela Empresa Brasileira de Correios e Telégrafos, nos endereços abaixo. As comunicações realizadas por fac-símile ou correio eletrônico serão consideradas recebidas na data de seu envio, desde que seu recebimento seja confirmado por meio de indicativo (recibo emitido pela máquina utilizada pelo remetente). A alteração de qualquer dos endereços abaixo deverá ser comunicada às demais partes pela parte que tiver seu endereço alterado.</w:t>
      </w:r>
    </w:p>
    <w:p w14:paraId="325AA49C" w14:textId="77777777" w:rsidR="002D5261" w:rsidRPr="00190686" w:rsidRDefault="002D5261" w:rsidP="002D5261">
      <w:pPr>
        <w:spacing w:after="0" w:line="300" w:lineRule="exact"/>
        <w:rPr>
          <w:rFonts w:ascii="Verdana" w:hAnsi="Verdana"/>
          <w:sz w:val="20"/>
        </w:rPr>
      </w:pPr>
    </w:p>
    <w:p w14:paraId="5A69CD76" w14:textId="77777777" w:rsidR="002D5261" w:rsidRPr="00190686" w:rsidRDefault="002D5261" w:rsidP="002D5261">
      <w:pPr>
        <w:spacing w:after="0" w:line="300" w:lineRule="exact"/>
        <w:rPr>
          <w:rFonts w:ascii="Verdana" w:hAnsi="Verdana"/>
          <w:sz w:val="20"/>
        </w:rPr>
      </w:pPr>
      <w:r w:rsidRPr="00190686">
        <w:rPr>
          <w:rFonts w:ascii="Verdana" w:hAnsi="Verdana"/>
          <w:sz w:val="20"/>
        </w:rPr>
        <w:t>Para a Emissora:</w:t>
      </w:r>
    </w:p>
    <w:p w14:paraId="27FC0B13" w14:textId="77777777" w:rsidR="002D5261" w:rsidRPr="00190686" w:rsidRDefault="002D5261" w:rsidP="002D5261">
      <w:pPr>
        <w:spacing w:after="0" w:line="300" w:lineRule="exact"/>
        <w:rPr>
          <w:rFonts w:ascii="Verdana" w:hAnsi="Verdana"/>
          <w:sz w:val="20"/>
        </w:rPr>
      </w:pPr>
      <w:r w:rsidRPr="00190686">
        <w:rPr>
          <w:rFonts w:ascii="Verdana" w:hAnsi="Verdana"/>
          <w:smallCaps/>
          <w:sz w:val="20"/>
        </w:rPr>
        <w:t xml:space="preserve">Randon S.A. Implementos e </w:t>
      </w:r>
      <w:proofErr w:type="gramStart"/>
      <w:r w:rsidRPr="00190686">
        <w:rPr>
          <w:rFonts w:ascii="Verdana" w:hAnsi="Verdana"/>
          <w:smallCaps/>
          <w:sz w:val="20"/>
        </w:rPr>
        <w:t>Participações</w:t>
      </w:r>
      <w:proofErr w:type="gramEnd"/>
      <w:r w:rsidRPr="00190686">
        <w:rPr>
          <w:rFonts w:ascii="Verdana" w:hAnsi="Verdana"/>
          <w:smallCaps/>
          <w:sz w:val="20"/>
        </w:rPr>
        <w:t xml:space="preserve"> </w:t>
      </w:r>
    </w:p>
    <w:p w14:paraId="0B419E43"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Avenida </w:t>
      </w:r>
      <w:proofErr w:type="spellStart"/>
      <w:r w:rsidRPr="00190686">
        <w:rPr>
          <w:rFonts w:ascii="Verdana" w:hAnsi="Verdana"/>
          <w:sz w:val="20"/>
        </w:rPr>
        <w:t>Abramo</w:t>
      </w:r>
      <w:proofErr w:type="spellEnd"/>
      <w:r w:rsidRPr="00190686">
        <w:rPr>
          <w:rFonts w:ascii="Verdana" w:hAnsi="Verdana"/>
          <w:sz w:val="20"/>
        </w:rPr>
        <w:t xml:space="preserve"> Randon, nº </w:t>
      </w:r>
      <w:proofErr w:type="gramStart"/>
      <w:r w:rsidRPr="00190686">
        <w:rPr>
          <w:rFonts w:ascii="Verdana" w:hAnsi="Verdana"/>
          <w:sz w:val="20"/>
        </w:rPr>
        <w:t>770</w:t>
      </w:r>
      <w:proofErr w:type="gramEnd"/>
    </w:p>
    <w:p w14:paraId="6F613951" w14:textId="77777777" w:rsidR="002D5261" w:rsidRPr="00190686" w:rsidRDefault="002D5261" w:rsidP="002D5261">
      <w:pPr>
        <w:spacing w:after="0" w:line="300" w:lineRule="exact"/>
        <w:rPr>
          <w:rFonts w:ascii="Verdana" w:hAnsi="Verdana"/>
          <w:sz w:val="20"/>
        </w:rPr>
      </w:pPr>
      <w:r w:rsidRPr="00190686">
        <w:rPr>
          <w:rFonts w:ascii="Verdana" w:hAnsi="Verdana"/>
          <w:sz w:val="20"/>
        </w:rPr>
        <w:t>CEP 95055-010</w:t>
      </w:r>
    </w:p>
    <w:p w14:paraId="7FE0D57A"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Caxias do Sul – Rio Grande do Sul </w:t>
      </w:r>
    </w:p>
    <w:p w14:paraId="6F6AAFAA" w14:textId="77777777" w:rsidR="002D5261" w:rsidRPr="00190686" w:rsidRDefault="002D5261" w:rsidP="002D5261">
      <w:pPr>
        <w:spacing w:after="0" w:line="300" w:lineRule="exact"/>
        <w:rPr>
          <w:rFonts w:ascii="Verdana" w:hAnsi="Verdana"/>
          <w:sz w:val="20"/>
        </w:rPr>
      </w:pPr>
      <w:r w:rsidRPr="00190686">
        <w:rPr>
          <w:rFonts w:ascii="Verdana" w:hAnsi="Verdana"/>
          <w:sz w:val="20"/>
        </w:rPr>
        <w:t>At.: Sr. Geraldo Santa Catharina</w:t>
      </w:r>
    </w:p>
    <w:p w14:paraId="6AE200D2" w14:textId="77777777" w:rsidR="002D5261" w:rsidRPr="00190686" w:rsidRDefault="002D5261" w:rsidP="002D5261">
      <w:pPr>
        <w:spacing w:after="0" w:line="300" w:lineRule="exact"/>
        <w:rPr>
          <w:rFonts w:ascii="Verdana" w:hAnsi="Verdana"/>
          <w:sz w:val="20"/>
        </w:rPr>
      </w:pPr>
      <w:r w:rsidRPr="00190686">
        <w:rPr>
          <w:rFonts w:ascii="Verdana" w:hAnsi="Verdana"/>
          <w:sz w:val="20"/>
        </w:rPr>
        <w:t>Telefone: (54) 3209-2560</w:t>
      </w:r>
    </w:p>
    <w:p w14:paraId="7B466010" w14:textId="77777777" w:rsidR="002D5261" w:rsidRPr="00190686" w:rsidRDefault="002D5261" w:rsidP="002D5261">
      <w:pPr>
        <w:spacing w:after="0" w:line="300" w:lineRule="exact"/>
        <w:rPr>
          <w:rFonts w:ascii="Verdana" w:hAnsi="Verdana"/>
          <w:sz w:val="20"/>
        </w:rPr>
      </w:pPr>
      <w:r w:rsidRPr="00190686">
        <w:rPr>
          <w:rFonts w:ascii="Verdana" w:hAnsi="Verdana"/>
          <w:sz w:val="20"/>
        </w:rPr>
        <w:t>Fac-símile: (54) 3209-2505</w:t>
      </w:r>
    </w:p>
    <w:p w14:paraId="55E035AE"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Correio Eletrônico: </w:t>
      </w:r>
      <w:hyperlink r:id="rId14" w:history="1">
        <w:r w:rsidRPr="00190686">
          <w:rPr>
            <w:rStyle w:val="Hyperlink"/>
            <w:rFonts w:ascii="Verdana" w:hAnsi="Verdana"/>
            <w:sz w:val="20"/>
          </w:rPr>
          <w:t>geraldo.catharina@randon.com.br</w:t>
        </w:r>
      </w:hyperlink>
    </w:p>
    <w:p w14:paraId="15783565" w14:textId="77777777" w:rsidR="002D5261" w:rsidRPr="00190686" w:rsidRDefault="002D5261" w:rsidP="002D5261">
      <w:pPr>
        <w:spacing w:after="0" w:line="300" w:lineRule="exact"/>
        <w:rPr>
          <w:rFonts w:ascii="Verdana" w:hAnsi="Verdana"/>
          <w:sz w:val="20"/>
        </w:rPr>
      </w:pPr>
    </w:p>
    <w:p w14:paraId="3FA52DB9" w14:textId="77777777" w:rsidR="002D5261" w:rsidRPr="00190686" w:rsidRDefault="002D5261" w:rsidP="002D5261">
      <w:pPr>
        <w:spacing w:after="0" w:line="300" w:lineRule="exact"/>
        <w:rPr>
          <w:rFonts w:ascii="Verdana" w:hAnsi="Verdana"/>
          <w:sz w:val="20"/>
        </w:rPr>
      </w:pPr>
      <w:r w:rsidRPr="00190686">
        <w:rPr>
          <w:rFonts w:ascii="Verdana" w:hAnsi="Verdana"/>
          <w:sz w:val="20"/>
        </w:rPr>
        <w:t>Para o Agente Fiduciário:</w:t>
      </w:r>
    </w:p>
    <w:p w14:paraId="3ED7D75E" w14:textId="77777777" w:rsidR="002D5261" w:rsidRPr="00190686" w:rsidRDefault="002D5261" w:rsidP="002D5261">
      <w:pPr>
        <w:spacing w:after="0" w:line="300" w:lineRule="exact"/>
        <w:rPr>
          <w:rFonts w:ascii="Verdana" w:hAnsi="Verdana"/>
          <w:bCs/>
          <w:smallCaps/>
          <w:sz w:val="20"/>
        </w:rPr>
      </w:pPr>
      <w:r w:rsidRPr="00190686">
        <w:rPr>
          <w:rFonts w:ascii="Verdana" w:hAnsi="Verdana"/>
          <w:bCs/>
          <w:smallCaps/>
          <w:sz w:val="20"/>
        </w:rPr>
        <w:t xml:space="preserve">Oliveira </w:t>
      </w:r>
      <w:proofErr w:type="spellStart"/>
      <w:r w:rsidRPr="00190686">
        <w:rPr>
          <w:rFonts w:ascii="Verdana" w:hAnsi="Verdana"/>
          <w:bCs/>
          <w:smallCaps/>
          <w:sz w:val="20"/>
        </w:rPr>
        <w:t>Trust</w:t>
      </w:r>
      <w:proofErr w:type="spellEnd"/>
      <w:r w:rsidRPr="00190686">
        <w:rPr>
          <w:rFonts w:ascii="Verdana" w:hAnsi="Verdana"/>
          <w:bCs/>
          <w:smallCaps/>
          <w:sz w:val="20"/>
        </w:rPr>
        <w:t xml:space="preserve"> Distribuidora de Títulos e Valores Mobiliários S.A.</w:t>
      </w:r>
    </w:p>
    <w:p w14:paraId="796DFDB9" w14:textId="3C5793AC" w:rsidR="002D5261" w:rsidRPr="00190686" w:rsidRDefault="002D5261" w:rsidP="002D5261">
      <w:pPr>
        <w:spacing w:after="0" w:line="300" w:lineRule="exact"/>
        <w:rPr>
          <w:rFonts w:ascii="Verdana" w:hAnsi="Verdana"/>
          <w:sz w:val="20"/>
        </w:rPr>
      </w:pPr>
      <w:r w:rsidRPr="00190686">
        <w:rPr>
          <w:rFonts w:ascii="Verdana" w:hAnsi="Verdana"/>
          <w:sz w:val="20"/>
        </w:rPr>
        <w:t xml:space="preserve">Avenida das Américas, nº </w:t>
      </w:r>
      <w:r w:rsidR="005C59B9">
        <w:rPr>
          <w:rFonts w:ascii="Verdana" w:hAnsi="Verdana"/>
          <w:sz w:val="20"/>
        </w:rPr>
        <w:t>3434</w:t>
      </w:r>
      <w:r w:rsidRPr="00190686">
        <w:rPr>
          <w:rFonts w:ascii="Verdana" w:hAnsi="Verdana"/>
          <w:sz w:val="20"/>
        </w:rPr>
        <w:t xml:space="preserve">, Bloco </w:t>
      </w:r>
      <w:r>
        <w:rPr>
          <w:rFonts w:ascii="Verdana" w:hAnsi="Verdana"/>
          <w:sz w:val="20"/>
        </w:rPr>
        <w:t>7</w:t>
      </w:r>
      <w:r w:rsidRPr="00190686">
        <w:rPr>
          <w:rFonts w:ascii="Verdana" w:hAnsi="Verdana"/>
          <w:sz w:val="20"/>
        </w:rPr>
        <w:t xml:space="preserve"> – Grupo </w:t>
      </w:r>
      <w:proofErr w:type="gramStart"/>
      <w:r>
        <w:rPr>
          <w:rFonts w:ascii="Verdana" w:hAnsi="Verdana"/>
          <w:sz w:val="20"/>
        </w:rPr>
        <w:t>201</w:t>
      </w:r>
      <w:proofErr w:type="gramEnd"/>
    </w:p>
    <w:p w14:paraId="0BAB947A" w14:textId="06C8F259" w:rsidR="002D5261" w:rsidRPr="00190686" w:rsidRDefault="002D5261" w:rsidP="002D5261">
      <w:pPr>
        <w:spacing w:after="0" w:line="300" w:lineRule="exact"/>
        <w:rPr>
          <w:rFonts w:ascii="Verdana" w:hAnsi="Verdana"/>
          <w:sz w:val="20"/>
        </w:rPr>
      </w:pPr>
      <w:r w:rsidRPr="00190686">
        <w:rPr>
          <w:rFonts w:ascii="Verdana" w:hAnsi="Verdana"/>
          <w:sz w:val="20"/>
        </w:rPr>
        <w:t>CEP 22640-</w:t>
      </w:r>
      <w:r w:rsidR="005C59B9">
        <w:rPr>
          <w:rFonts w:ascii="Verdana" w:hAnsi="Verdana"/>
          <w:sz w:val="20"/>
        </w:rPr>
        <w:t>102</w:t>
      </w:r>
    </w:p>
    <w:p w14:paraId="506BBFF2"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Rio de Janeiro – Rio de Janeiro </w:t>
      </w:r>
    </w:p>
    <w:p w14:paraId="50AF8686"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At.: Sr. </w:t>
      </w:r>
      <w:proofErr w:type="spellStart"/>
      <w:r w:rsidRPr="00190686">
        <w:rPr>
          <w:rFonts w:ascii="Verdana" w:hAnsi="Verdana"/>
          <w:sz w:val="20"/>
        </w:rPr>
        <w:t>Antonio</w:t>
      </w:r>
      <w:proofErr w:type="spellEnd"/>
      <w:r w:rsidRPr="00190686">
        <w:rPr>
          <w:rFonts w:ascii="Verdana" w:hAnsi="Verdana"/>
          <w:sz w:val="20"/>
        </w:rPr>
        <w:t xml:space="preserve"> Amaro / Sra. Maria Carolina Vieira Abrantes</w:t>
      </w:r>
    </w:p>
    <w:p w14:paraId="78C893D3" w14:textId="77777777" w:rsidR="002D5261" w:rsidRPr="00190686" w:rsidRDefault="002D5261" w:rsidP="002D5261">
      <w:pPr>
        <w:spacing w:after="0" w:line="300" w:lineRule="exact"/>
        <w:rPr>
          <w:rFonts w:ascii="Verdana" w:hAnsi="Verdana"/>
          <w:sz w:val="20"/>
        </w:rPr>
      </w:pPr>
      <w:r w:rsidRPr="00190686">
        <w:rPr>
          <w:rFonts w:ascii="Verdana" w:hAnsi="Verdana"/>
          <w:sz w:val="20"/>
        </w:rPr>
        <w:t>Telefone: (21) 3514-0000</w:t>
      </w:r>
    </w:p>
    <w:p w14:paraId="41DBFAFE" w14:textId="77777777" w:rsidR="002D5261" w:rsidRPr="00190686" w:rsidRDefault="002D5261" w:rsidP="002D5261">
      <w:pPr>
        <w:spacing w:after="0" w:line="300" w:lineRule="exact"/>
        <w:rPr>
          <w:rFonts w:ascii="Verdana" w:hAnsi="Verdana"/>
          <w:sz w:val="20"/>
        </w:rPr>
      </w:pPr>
      <w:r w:rsidRPr="00190686">
        <w:rPr>
          <w:rFonts w:ascii="Verdana" w:hAnsi="Verdana"/>
          <w:sz w:val="20"/>
        </w:rPr>
        <w:t>Fac-símile: (21) 3514-0099</w:t>
      </w:r>
    </w:p>
    <w:p w14:paraId="2F38A722" w14:textId="2B76235E" w:rsidR="002D5261" w:rsidRPr="00190686" w:rsidRDefault="002D5261" w:rsidP="002D5261">
      <w:pPr>
        <w:spacing w:after="0" w:line="300" w:lineRule="exact"/>
        <w:rPr>
          <w:rFonts w:ascii="Verdana" w:hAnsi="Verdana"/>
          <w:sz w:val="20"/>
        </w:rPr>
      </w:pPr>
      <w:r w:rsidRPr="00190686">
        <w:rPr>
          <w:rFonts w:ascii="Verdana" w:hAnsi="Verdana"/>
          <w:sz w:val="20"/>
        </w:rPr>
        <w:t xml:space="preserve">Correio Eletrônico: </w:t>
      </w:r>
      <w:hyperlink r:id="rId15" w:history="1">
        <w:r w:rsidRPr="00190686">
          <w:rPr>
            <w:rStyle w:val="Hyperlink"/>
            <w:rFonts w:ascii="Verdana" w:hAnsi="Verdana"/>
            <w:sz w:val="20"/>
          </w:rPr>
          <w:t>antonio.amaro@oliveiratrust.com.br</w:t>
        </w:r>
      </w:hyperlink>
      <w:r w:rsidR="00EC19F1">
        <w:rPr>
          <w:rFonts w:ascii="Verdana" w:hAnsi="Verdana"/>
          <w:sz w:val="20"/>
        </w:rPr>
        <w:t xml:space="preserve"> / </w:t>
      </w:r>
      <w:proofErr w:type="gramStart"/>
      <w:r w:rsidR="00EC19F1">
        <w:rPr>
          <w:rFonts w:ascii="Verdana" w:hAnsi="Verdana"/>
          <w:sz w:val="20"/>
        </w:rPr>
        <w:t>ger2.</w:t>
      </w:r>
      <w:proofErr w:type="gramEnd"/>
      <w:r w:rsidR="00EC19F1">
        <w:rPr>
          <w:rFonts w:ascii="Verdana" w:hAnsi="Verdana"/>
          <w:sz w:val="20"/>
        </w:rPr>
        <w:t>agente@oliveira</w:t>
      </w:r>
      <w:r w:rsidRPr="00190686">
        <w:rPr>
          <w:rFonts w:ascii="Verdana" w:hAnsi="Verdana"/>
          <w:sz w:val="20"/>
        </w:rPr>
        <w:t xml:space="preserve">trust.com.br </w:t>
      </w:r>
      <w:bookmarkStart w:id="152" w:name="_GoBack"/>
      <w:bookmarkEnd w:id="152"/>
    </w:p>
    <w:p w14:paraId="2B709A6B" w14:textId="77777777" w:rsidR="002D5261" w:rsidRPr="00190686" w:rsidRDefault="002D5261" w:rsidP="002D5261">
      <w:pPr>
        <w:spacing w:after="0" w:line="300" w:lineRule="exact"/>
        <w:rPr>
          <w:rFonts w:ascii="Verdana" w:hAnsi="Verdana"/>
          <w:sz w:val="20"/>
        </w:rPr>
      </w:pPr>
    </w:p>
    <w:p w14:paraId="19E0D743" w14:textId="77777777" w:rsidR="002D5261" w:rsidRPr="00190686" w:rsidRDefault="002D5261" w:rsidP="002D5261">
      <w:pPr>
        <w:spacing w:after="0" w:line="300" w:lineRule="exact"/>
        <w:rPr>
          <w:rFonts w:ascii="Verdana" w:hAnsi="Verdana"/>
          <w:sz w:val="20"/>
        </w:rPr>
      </w:pPr>
      <w:r w:rsidRPr="00190686">
        <w:rPr>
          <w:rFonts w:ascii="Verdana" w:hAnsi="Verdana"/>
          <w:sz w:val="20"/>
        </w:rPr>
        <w:t>Para o Banco Liquidante:</w:t>
      </w:r>
    </w:p>
    <w:p w14:paraId="61AED764" w14:textId="77777777" w:rsidR="002D5261" w:rsidRPr="00190686" w:rsidRDefault="002D5261" w:rsidP="002D5261">
      <w:pPr>
        <w:spacing w:after="0" w:line="300" w:lineRule="exact"/>
        <w:rPr>
          <w:rFonts w:ascii="Verdana" w:hAnsi="Verdana"/>
          <w:bCs/>
          <w:smallCaps/>
          <w:sz w:val="20"/>
        </w:rPr>
      </w:pPr>
      <w:r>
        <w:rPr>
          <w:rFonts w:ascii="Verdana" w:hAnsi="Verdana"/>
          <w:bCs/>
          <w:smallCaps/>
          <w:sz w:val="20"/>
        </w:rPr>
        <w:t>Itaú Unibanco S.A.</w:t>
      </w:r>
    </w:p>
    <w:p w14:paraId="0B89FE0F" w14:textId="77777777" w:rsidR="002D5261" w:rsidRPr="00190686" w:rsidRDefault="002D5261" w:rsidP="002D5261">
      <w:pPr>
        <w:spacing w:after="0" w:line="300" w:lineRule="exact"/>
        <w:rPr>
          <w:rFonts w:ascii="Verdana" w:hAnsi="Verdana"/>
          <w:sz w:val="20"/>
        </w:rPr>
      </w:pPr>
      <w:r>
        <w:rPr>
          <w:rFonts w:ascii="Verdana" w:hAnsi="Verdana"/>
          <w:sz w:val="20"/>
        </w:rPr>
        <w:t xml:space="preserve">Praça Alfredo Egydio de Souza Aranha, nº </w:t>
      </w:r>
      <w:proofErr w:type="gramStart"/>
      <w:r>
        <w:rPr>
          <w:rFonts w:ascii="Verdana" w:hAnsi="Verdana"/>
          <w:sz w:val="20"/>
        </w:rPr>
        <w:t>100</w:t>
      </w:r>
      <w:proofErr w:type="gramEnd"/>
      <w:r>
        <w:rPr>
          <w:rFonts w:ascii="Verdana" w:hAnsi="Verdana"/>
          <w:sz w:val="20"/>
        </w:rPr>
        <w:t xml:space="preserve"> </w:t>
      </w:r>
    </w:p>
    <w:p w14:paraId="47E43A0C"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CEP </w:t>
      </w:r>
      <w:r>
        <w:rPr>
          <w:rFonts w:ascii="Verdana" w:hAnsi="Verdana"/>
          <w:sz w:val="20"/>
        </w:rPr>
        <w:t>04344-902</w:t>
      </w:r>
    </w:p>
    <w:p w14:paraId="1993CBD5" w14:textId="77777777" w:rsidR="002D5261" w:rsidRPr="00190686" w:rsidRDefault="002D5261" w:rsidP="002D5261">
      <w:pPr>
        <w:spacing w:after="0" w:line="300" w:lineRule="exact"/>
        <w:rPr>
          <w:rFonts w:ascii="Verdana" w:hAnsi="Verdana"/>
          <w:sz w:val="20"/>
        </w:rPr>
      </w:pPr>
      <w:r>
        <w:rPr>
          <w:rFonts w:ascii="Verdana" w:hAnsi="Verdana"/>
          <w:sz w:val="20"/>
        </w:rPr>
        <w:t>São Paulo</w:t>
      </w:r>
      <w:r w:rsidRPr="00190686">
        <w:rPr>
          <w:rFonts w:ascii="Verdana" w:hAnsi="Verdana"/>
          <w:sz w:val="20"/>
        </w:rPr>
        <w:t xml:space="preserve"> – </w:t>
      </w:r>
      <w:r>
        <w:rPr>
          <w:rFonts w:ascii="Verdana" w:hAnsi="Verdana"/>
          <w:sz w:val="20"/>
        </w:rPr>
        <w:t xml:space="preserve">São Paulo </w:t>
      </w:r>
    </w:p>
    <w:p w14:paraId="55FF6C51"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At.: Sr. </w:t>
      </w:r>
      <w:r>
        <w:rPr>
          <w:rFonts w:ascii="Verdana" w:hAnsi="Verdana"/>
          <w:sz w:val="20"/>
        </w:rPr>
        <w:t xml:space="preserve">Luiz </w:t>
      </w:r>
      <w:proofErr w:type="spellStart"/>
      <w:r>
        <w:rPr>
          <w:rFonts w:ascii="Verdana" w:hAnsi="Verdana"/>
          <w:sz w:val="20"/>
        </w:rPr>
        <w:t>Petito</w:t>
      </w:r>
      <w:proofErr w:type="spellEnd"/>
    </w:p>
    <w:p w14:paraId="42EB3345" w14:textId="77777777" w:rsidR="002D5261" w:rsidRPr="00190686" w:rsidRDefault="002D5261" w:rsidP="002D5261">
      <w:pPr>
        <w:spacing w:after="0" w:line="300" w:lineRule="exact"/>
        <w:rPr>
          <w:rFonts w:ascii="Verdana" w:hAnsi="Verdana"/>
          <w:sz w:val="20"/>
        </w:rPr>
      </w:pPr>
      <w:r w:rsidRPr="00190686">
        <w:rPr>
          <w:rFonts w:ascii="Verdana" w:hAnsi="Verdana"/>
          <w:sz w:val="20"/>
        </w:rPr>
        <w:t>Telefone: (</w:t>
      </w:r>
      <w:r>
        <w:rPr>
          <w:rFonts w:ascii="Verdana" w:hAnsi="Verdana"/>
          <w:sz w:val="20"/>
        </w:rPr>
        <w:t>11</w:t>
      </w:r>
      <w:r w:rsidRPr="00190686">
        <w:rPr>
          <w:rFonts w:ascii="Verdana" w:hAnsi="Verdana"/>
          <w:sz w:val="20"/>
        </w:rPr>
        <w:t xml:space="preserve">) </w:t>
      </w:r>
      <w:r>
        <w:rPr>
          <w:rFonts w:ascii="Verdana" w:hAnsi="Verdana"/>
          <w:sz w:val="20"/>
        </w:rPr>
        <w:t>2470-2596</w:t>
      </w:r>
    </w:p>
    <w:p w14:paraId="541AC1B8" w14:textId="77777777" w:rsidR="002D5261" w:rsidRPr="00190686" w:rsidRDefault="002D5261" w:rsidP="002D5261">
      <w:pPr>
        <w:spacing w:after="0" w:line="300" w:lineRule="exact"/>
        <w:rPr>
          <w:rFonts w:ascii="Verdana" w:hAnsi="Verdana"/>
          <w:sz w:val="20"/>
        </w:rPr>
      </w:pPr>
      <w:r w:rsidRPr="00190686">
        <w:rPr>
          <w:rFonts w:ascii="Verdana" w:hAnsi="Verdana"/>
          <w:sz w:val="20"/>
        </w:rPr>
        <w:t>Fac-símile: (</w:t>
      </w:r>
      <w:r>
        <w:rPr>
          <w:rFonts w:ascii="Verdana" w:hAnsi="Verdana"/>
          <w:sz w:val="20"/>
        </w:rPr>
        <w:t>11</w:t>
      </w:r>
      <w:r w:rsidRPr="00190686">
        <w:rPr>
          <w:rFonts w:ascii="Verdana" w:hAnsi="Verdana"/>
          <w:sz w:val="20"/>
        </w:rPr>
        <w:t xml:space="preserve">) </w:t>
      </w:r>
      <w:r>
        <w:rPr>
          <w:rFonts w:ascii="Verdana" w:hAnsi="Verdana"/>
          <w:sz w:val="20"/>
        </w:rPr>
        <w:t>2797-3140</w:t>
      </w:r>
    </w:p>
    <w:p w14:paraId="2186A003"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Correio Eletrônico: </w:t>
      </w:r>
      <w:hyperlink r:id="rId16" w:history="1">
        <w:r w:rsidRPr="00873B16">
          <w:rPr>
            <w:rStyle w:val="Hyperlink"/>
            <w:rFonts w:ascii="Verdana" w:hAnsi="Verdana"/>
            <w:sz w:val="20"/>
          </w:rPr>
          <w:t>escrituracaorf@itau-unibanco.com.br</w:t>
        </w:r>
      </w:hyperlink>
      <w:r>
        <w:rPr>
          <w:rFonts w:ascii="Verdana" w:hAnsi="Verdana"/>
          <w:sz w:val="20"/>
        </w:rPr>
        <w:t xml:space="preserve"> </w:t>
      </w:r>
    </w:p>
    <w:p w14:paraId="44B569B5" w14:textId="77777777" w:rsidR="002D5261" w:rsidRDefault="002D5261" w:rsidP="002D5261">
      <w:pPr>
        <w:tabs>
          <w:tab w:val="left" w:pos="851"/>
        </w:tabs>
        <w:spacing w:after="0" w:line="300" w:lineRule="exact"/>
        <w:rPr>
          <w:rFonts w:ascii="Verdana" w:hAnsi="Verdana"/>
          <w:sz w:val="20"/>
        </w:rPr>
      </w:pPr>
    </w:p>
    <w:p w14:paraId="7EA51DB1"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Para o </w:t>
      </w:r>
      <w:proofErr w:type="spellStart"/>
      <w:r>
        <w:rPr>
          <w:rFonts w:ascii="Verdana" w:hAnsi="Verdana"/>
          <w:sz w:val="20"/>
        </w:rPr>
        <w:t>Escriturador</w:t>
      </w:r>
      <w:proofErr w:type="spellEnd"/>
      <w:r w:rsidRPr="00190686">
        <w:rPr>
          <w:rFonts w:ascii="Verdana" w:hAnsi="Verdana"/>
          <w:sz w:val="20"/>
        </w:rPr>
        <w:t>:</w:t>
      </w:r>
    </w:p>
    <w:p w14:paraId="1F710072" w14:textId="77777777" w:rsidR="002D5261" w:rsidRPr="00190686" w:rsidRDefault="002D5261" w:rsidP="002D5261">
      <w:pPr>
        <w:spacing w:after="0" w:line="300" w:lineRule="exact"/>
        <w:rPr>
          <w:rFonts w:ascii="Verdana" w:hAnsi="Verdana"/>
          <w:bCs/>
          <w:smallCaps/>
          <w:sz w:val="20"/>
        </w:rPr>
      </w:pPr>
      <w:r>
        <w:rPr>
          <w:rFonts w:ascii="Verdana" w:hAnsi="Verdana"/>
          <w:bCs/>
          <w:smallCaps/>
          <w:sz w:val="20"/>
        </w:rPr>
        <w:t>Itaú Corretora de Valores S.A.</w:t>
      </w:r>
    </w:p>
    <w:p w14:paraId="4D2AD3AE" w14:textId="77777777" w:rsidR="002D5261" w:rsidRPr="00190686" w:rsidRDefault="002D5261" w:rsidP="002D5261">
      <w:pPr>
        <w:spacing w:after="0" w:line="300" w:lineRule="exact"/>
        <w:rPr>
          <w:rFonts w:ascii="Verdana" w:hAnsi="Verdana"/>
          <w:sz w:val="20"/>
        </w:rPr>
      </w:pPr>
      <w:r>
        <w:rPr>
          <w:rFonts w:ascii="Verdana" w:hAnsi="Verdana"/>
          <w:sz w:val="20"/>
        </w:rPr>
        <w:t xml:space="preserve">Avenida Brigadeiro Faria Lima, nº 3.500, 3º andar, </w:t>
      </w:r>
      <w:proofErr w:type="gramStart"/>
      <w:r>
        <w:rPr>
          <w:rFonts w:ascii="Verdana" w:hAnsi="Verdana"/>
          <w:sz w:val="20"/>
        </w:rPr>
        <w:t>parte</w:t>
      </w:r>
      <w:proofErr w:type="gramEnd"/>
    </w:p>
    <w:p w14:paraId="7F0791E0"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CEP </w:t>
      </w:r>
      <w:r>
        <w:rPr>
          <w:rFonts w:ascii="Verdana" w:hAnsi="Verdana"/>
          <w:sz w:val="20"/>
        </w:rPr>
        <w:t>04538-132</w:t>
      </w:r>
    </w:p>
    <w:p w14:paraId="60742C25" w14:textId="77777777" w:rsidR="002D5261" w:rsidRPr="00190686" w:rsidRDefault="002D5261" w:rsidP="002D5261">
      <w:pPr>
        <w:spacing w:after="0" w:line="300" w:lineRule="exact"/>
        <w:rPr>
          <w:rFonts w:ascii="Verdana" w:hAnsi="Verdana"/>
          <w:sz w:val="20"/>
        </w:rPr>
      </w:pPr>
      <w:r>
        <w:rPr>
          <w:rFonts w:ascii="Verdana" w:hAnsi="Verdana"/>
          <w:sz w:val="20"/>
        </w:rPr>
        <w:t>São Paulo</w:t>
      </w:r>
      <w:r w:rsidRPr="00190686">
        <w:rPr>
          <w:rFonts w:ascii="Verdana" w:hAnsi="Verdana"/>
          <w:sz w:val="20"/>
        </w:rPr>
        <w:t xml:space="preserve"> – </w:t>
      </w:r>
      <w:r>
        <w:rPr>
          <w:rFonts w:ascii="Verdana" w:hAnsi="Verdana"/>
          <w:sz w:val="20"/>
        </w:rPr>
        <w:t xml:space="preserve">São Paulo </w:t>
      </w:r>
    </w:p>
    <w:p w14:paraId="63CE6553"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At.: Sr. </w:t>
      </w:r>
      <w:r>
        <w:rPr>
          <w:rFonts w:ascii="Verdana" w:hAnsi="Verdana"/>
          <w:sz w:val="20"/>
        </w:rPr>
        <w:t xml:space="preserve">Luiz </w:t>
      </w:r>
      <w:proofErr w:type="spellStart"/>
      <w:r>
        <w:rPr>
          <w:rFonts w:ascii="Verdana" w:hAnsi="Verdana"/>
          <w:sz w:val="20"/>
        </w:rPr>
        <w:t>Petito</w:t>
      </w:r>
      <w:proofErr w:type="spellEnd"/>
    </w:p>
    <w:p w14:paraId="001211D9" w14:textId="77777777" w:rsidR="002D5261" w:rsidRPr="00190686" w:rsidRDefault="002D5261" w:rsidP="002D5261">
      <w:pPr>
        <w:spacing w:after="0" w:line="300" w:lineRule="exact"/>
        <w:rPr>
          <w:rFonts w:ascii="Verdana" w:hAnsi="Verdana"/>
          <w:sz w:val="20"/>
        </w:rPr>
      </w:pPr>
      <w:r w:rsidRPr="00190686">
        <w:rPr>
          <w:rFonts w:ascii="Verdana" w:hAnsi="Verdana"/>
          <w:sz w:val="20"/>
        </w:rPr>
        <w:t>Telefone: (</w:t>
      </w:r>
      <w:r>
        <w:rPr>
          <w:rFonts w:ascii="Verdana" w:hAnsi="Verdana"/>
          <w:sz w:val="20"/>
        </w:rPr>
        <w:t>11</w:t>
      </w:r>
      <w:r w:rsidRPr="00190686">
        <w:rPr>
          <w:rFonts w:ascii="Verdana" w:hAnsi="Verdana"/>
          <w:sz w:val="20"/>
        </w:rPr>
        <w:t xml:space="preserve">) </w:t>
      </w:r>
      <w:r>
        <w:rPr>
          <w:rFonts w:ascii="Verdana" w:hAnsi="Verdana"/>
          <w:sz w:val="20"/>
        </w:rPr>
        <w:t>2470-2596</w:t>
      </w:r>
    </w:p>
    <w:p w14:paraId="50436C80" w14:textId="77777777" w:rsidR="002D5261" w:rsidRPr="00190686" w:rsidRDefault="002D5261" w:rsidP="002D5261">
      <w:pPr>
        <w:spacing w:after="0" w:line="300" w:lineRule="exact"/>
        <w:rPr>
          <w:rFonts w:ascii="Verdana" w:hAnsi="Verdana"/>
          <w:sz w:val="20"/>
        </w:rPr>
      </w:pPr>
      <w:r w:rsidRPr="00190686">
        <w:rPr>
          <w:rFonts w:ascii="Verdana" w:hAnsi="Verdana"/>
          <w:sz w:val="20"/>
        </w:rPr>
        <w:t>Fac-símile: (</w:t>
      </w:r>
      <w:r>
        <w:rPr>
          <w:rFonts w:ascii="Verdana" w:hAnsi="Verdana"/>
          <w:sz w:val="20"/>
        </w:rPr>
        <w:t>11</w:t>
      </w:r>
      <w:r w:rsidRPr="00190686">
        <w:rPr>
          <w:rFonts w:ascii="Verdana" w:hAnsi="Verdana"/>
          <w:sz w:val="20"/>
        </w:rPr>
        <w:t xml:space="preserve">) </w:t>
      </w:r>
      <w:r>
        <w:rPr>
          <w:rFonts w:ascii="Verdana" w:hAnsi="Verdana"/>
          <w:sz w:val="20"/>
        </w:rPr>
        <w:t>2797-3140</w:t>
      </w:r>
    </w:p>
    <w:p w14:paraId="45A64CF5"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Correio Eletrônico: </w:t>
      </w:r>
      <w:hyperlink r:id="rId17" w:history="1">
        <w:r w:rsidRPr="00873B16">
          <w:rPr>
            <w:rStyle w:val="Hyperlink"/>
            <w:rFonts w:ascii="Verdana" w:hAnsi="Verdana"/>
            <w:sz w:val="20"/>
          </w:rPr>
          <w:t>escrituracaorf@itau-unibanco.com.br</w:t>
        </w:r>
      </w:hyperlink>
      <w:r>
        <w:rPr>
          <w:rFonts w:ascii="Verdana" w:hAnsi="Verdana"/>
          <w:sz w:val="20"/>
        </w:rPr>
        <w:t xml:space="preserve"> </w:t>
      </w:r>
    </w:p>
    <w:p w14:paraId="17E32E0B" w14:textId="77777777" w:rsidR="002D5261" w:rsidRPr="00190686" w:rsidRDefault="002D5261" w:rsidP="002D5261">
      <w:pPr>
        <w:tabs>
          <w:tab w:val="left" w:pos="851"/>
        </w:tabs>
        <w:spacing w:after="0" w:line="300" w:lineRule="exact"/>
        <w:rPr>
          <w:rFonts w:ascii="Verdana" w:hAnsi="Verdana"/>
          <w:sz w:val="20"/>
        </w:rPr>
      </w:pPr>
    </w:p>
    <w:p w14:paraId="016A2A13"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Para a </w:t>
      </w:r>
      <w:proofErr w:type="spellStart"/>
      <w:r w:rsidRPr="00190686">
        <w:rPr>
          <w:rFonts w:ascii="Verdana" w:hAnsi="Verdana"/>
          <w:sz w:val="20"/>
        </w:rPr>
        <w:t>Cetip</w:t>
      </w:r>
      <w:proofErr w:type="spellEnd"/>
      <w:r w:rsidRPr="00190686">
        <w:rPr>
          <w:rFonts w:ascii="Verdana" w:hAnsi="Verdana"/>
          <w:sz w:val="20"/>
        </w:rPr>
        <w:t>:</w:t>
      </w:r>
    </w:p>
    <w:p w14:paraId="60DCD8B7"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CETIP S.A. – </w:t>
      </w:r>
      <w:r w:rsidRPr="00190686">
        <w:rPr>
          <w:rFonts w:ascii="Verdana" w:hAnsi="Verdana"/>
          <w:smallCaps/>
          <w:sz w:val="20"/>
        </w:rPr>
        <w:t>Mercados Organizados</w:t>
      </w:r>
    </w:p>
    <w:p w14:paraId="1372DF11" w14:textId="57C47F72" w:rsidR="002D5261" w:rsidRPr="00190686" w:rsidRDefault="00084FA8" w:rsidP="002D5261">
      <w:pPr>
        <w:tabs>
          <w:tab w:val="left" w:pos="851"/>
        </w:tabs>
        <w:spacing w:after="0" w:line="300" w:lineRule="exact"/>
        <w:rPr>
          <w:rFonts w:ascii="Verdana" w:hAnsi="Verdana"/>
          <w:sz w:val="20"/>
        </w:rPr>
      </w:pPr>
      <w:r>
        <w:rPr>
          <w:rFonts w:ascii="Verdana" w:hAnsi="Verdana"/>
          <w:sz w:val="20"/>
        </w:rPr>
        <w:t xml:space="preserve">Alameda </w:t>
      </w:r>
      <w:proofErr w:type="spellStart"/>
      <w:r>
        <w:rPr>
          <w:rFonts w:ascii="Verdana" w:hAnsi="Verdana"/>
          <w:sz w:val="20"/>
        </w:rPr>
        <w:t>Xingú</w:t>
      </w:r>
      <w:proofErr w:type="spellEnd"/>
      <w:r>
        <w:rPr>
          <w:rFonts w:ascii="Verdana" w:hAnsi="Verdana"/>
          <w:sz w:val="20"/>
        </w:rPr>
        <w:t xml:space="preserve">, </w:t>
      </w:r>
      <w:r w:rsidR="002D5261" w:rsidRPr="00190686">
        <w:rPr>
          <w:rFonts w:ascii="Verdana" w:hAnsi="Verdana"/>
          <w:sz w:val="20"/>
        </w:rPr>
        <w:t xml:space="preserve">nº </w:t>
      </w:r>
      <w:r>
        <w:rPr>
          <w:rFonts w:ascii="Verdana" w:hAnsi="Verdana"/>
          <w:sz w:val="20"/>
        </w:rPr>
        <w:t>350</w:t>
      </w:r>
      <w:r w:rsidR="002D5261" w:rsidRPr="00190686">
        <w:rPr>
          <w:rFonts w:ascii="Verdana" w:hAnsi="Verdana"/>
          <w:sz w:val="20"/>
        </w:rPr>
        <w:t xml:space="preserve">, </w:t>
      </w:r>
      <w:r>
        <w:rPr>
          <w:rFonts w:ascii="Verdana" w:hAnsi="Verdana"/>
          <w:sz w:val="20"/>
        </w:rPr>
        <w:t>1</w:t>
      </w:r>
      <w:r w:rsidR="002D5261" w:rsidRPr="00190686">
        <w:rPr>
          <w:rFonts w:ascii="Verdana" w:hAnsi="Verdana"/>
          <w:sz w:val="20"/>
        </w:rPr>
        <w:t xml:space="preserve">º </w:t>
      </w:r>
      <w:proofErr w:type="gramStart"/>
      <w:r w:rsidR="002D5261" w:rsidRPr="00190686">
        <w:rPr>
          <w:rFonts w:ascii="Verdana" w:hAnsi="Verdana"/>
          <w:sz w:val="20"/>
        </w:rPr>
        <w:t>andar</w:t>
      </w:r>
      <w:proofErr w:type="gramEnd"/>
    </w:p>
    <w:p w14:paraId="38E45469" w14:textId="2469830B" w:rsidR="002D5261" w:rsidRPr="00190686" w:rsidRDefault="00084FA8" w:rsidP="002D5261">
      <w:pPr>
        <w:tabs>
          <w:tab w:val="left" w:pos="851"/>
        </w:tabs>
        <w:spacing w:after="0" w:line="300" w:lineRule="exact"/>
        <w:rPr>
          <w:rFonts w:ascii="Verdana" w:hAnsi="Verdana"/>
          <w:sz w:val="20"/>
        </w:rPr>
      </w:pPr>
      <w:r>
        <w:rPr>
          <w:rFonts w:ascii="Verdana" w:hAnsi="Verdana"/>
          <w:sz w:val="20"/>
        </w:rPr>
        <w:t>06455</w:t>
      </w:r>
      <w:r w:rsidR="002D5261" w:rsidRPr="00190686">
        <w:rPr>
          <w:rFonts w:ascii="Verdana" w:hAnsi="Verdana"/>
          <w:sz w:val="20"/>
        </w:rPr>
        <w:t>-</w:t>
      </w:r>
      <w:r>
        <w:rPr>
          <w:rFonts w:ascii="Verdana" w:hAnsi="Verdana"/>
          <w:sz w:val="20"/>
        </w:rPr>
        <w:t xml:space="preserve">030 </w:t>
      </w:r>
      <w:r w:rsidR="002D5261" w:rsidRPr="00190686">
        <w:rPr>
          <w:rFonts w:ascii="Verdana" w:hAnsi="Verdana"/>
          <w:sz w:val="20"/>
        </w:rPr>
        <w:t xml:space="preserve">– </w:t>
      </w:r>
      <w:r>
        <w:rPr>
          <w:rFonts w:ascii="Verdana" w:hAnsi="Verdana"/>
          <w:sz w:val="20"/>
        </w:rPr>
        <w:t xml:space="preserve">Alphaville, </w:t>
      </w:r>
      <w:r w:rsidR="002D5261" w:rsidRPr="00190686">
        <w:rPr>
          <w:rFonts w:ascii="Verdana" w:hAnsi="Verdana"/>
          <w:sz w:val="20"/>
        </w:rPr>
        <w:t xml:space="preserve">São Paulo – </w:t>
      </w:r>
      <w:proofErr w:type="gramStart"/>
      <w:r w:rsidR="002D5261" w:rsidRPr="00190686">
        <w:rPr>
          <w:rFonts w:ascii="Verdana" w:hAnsi="Verdana"/>
          <w:sz w:val="20"/>
        </w:rPr>
        <w:t>SP</w:t>
      </w:r>
      <w:proofErr w:type="gramEnd"/>
    </w:p>
    <w:p w14:paraId="2A8713B1"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At.: Superintendência de Valores Mobiliários</w:t>
      </w:r>
    </w:p>
    <w:p w14:paraId="1B0B3516"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Telefone: (11) 3111-1596</w:t>
      </w:r>
    </w:p>
    <w:p w14:paraId="180040EC"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Fac-símile: (11) 3111-1564</w:t>
      </w:r>
    </w:p>
    <w:p w14:paraId="5CC74C7D"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Correio eletrônico: </w:t>
      </w:r>
      <w:hyperlink r:id="rId18" w:history="1">
        <w:r w:rsidRPr="00190686">
          <w:rPr>
            <w:rStyle w:val="Hyperlink"/>
            <w:rFonts w:ascii="Verdana" w:hAnsi="Verdana"/>
            <w:sz w:val="20"/>
          </w:rPr>
          <w:t>valores.mobiliários@cetip.com.br</w:t>
        </w:r>
      </w:hyperlink>
    </w:p>
    <w:p w14:paraId="64CE3E6F" w14:textId="77777777" w:rsidR="002D5261" w:rsidRPr="00190686" w:rsidRDefault="002D5261" w:rsidP="002D5261">
      <w:pPr>
        <w:tabs>
          <w:tab w:val="left" w:pos="851"/>
        </w:tabs>
        <w:spacing w:after="0" w:line="300" w:lineRule="exact"/>
        <w:rPr>
          <w:rFonts w:ascii="Verdana" w:hAnsi="Verdana"/>
          <w:sz w:val="20"/>
        </w:rPr>
      </w:pPr>
    </w:p>
    <w:p w14:paraId="573E1F29" w14:textId="77777777" w:rsidR="002D5261" w:rsidRPr="00190686" w:rsidRDefault="002D5261" w:rsidP="002D5261">
      <w:pPr>
        <w:numPr>
          <w:ilvl w:val="0"/>
          <w:numId w:val="34"/>
        </w:numPr>
        <w:tabs>
          <w:tab w:val="left" w:pos="-993"/>
          <w:tab w:val="left" w:pos="851"/>
        </w:tabs>
        <w:spacing w:after="0" w:line="300" w:lineRule="exact"/>
        <w:ind w:left="0" w:firstLine="0"/>
        <w:rPr>
          <w:rFonts w:ascii="Verdana" w:hAnsi="Verdana"/>
          <w:sz w:val="20"/>
        </w:rPr>
      </w:pPr>
      <w:r w:rsidRPr="00190686">
        <w:rPr>
          <w:rFonts w:ascii="Verdana" w:hAnsi="Verdana"/>
          <w:sz w:val="20"/>
        </w:rPr>
        <w:t xml:space="preserve">A mudança de qualquer um dos endereços acima deverá ser comunicada, de imediato, a todas as partes </w:t>
      </w:r>
      <w:r w:rsidRPr="00190686">
        <w:rPr>
          <w:rFonts w:ascii="Verdana" w:hAnsi="Verdana"/>
          <w:bCs/>
          <w:sz w:val="20"/>
        </w:rPr>
        <w:t>pelo</w:t>
      </w:r>
      <w:r w:rsidRPr="00190686">
        <w:rPr>
          <w:rFonts w:ascii="Verdana" w:hAnsi="Verdana"/>
          <w:sz w:val="20"/>
        </w:rPr>
        <w:t xml:space="preserve"> Agente Fiduciário ou pela Emissora.</w:t>
      </w:r>
    </w:p>
    <w:p w14:paraId="053E44E2" w14:textId="77777777" w:rsidR="002D5261" w:rsidRPr="00190686" w:rsidRDefault="002D5261" w:rsidP="002D5261">
      <w:pPr>
        <w:tabs>
          <w:tab w:val="left" w:pos="-993"/>
          <w:tab w:val="left" w:pos="851"/>
        </w:tabs>
        <w:spacing w:after="0" w:line="300" w:lineRule="exact"/>
        <w:rPr>
          <w:rFonts w:ascii="Verdana" w:hAnsi="Verdana"/>
          <w:sz w:val="20"/>
        </w:rPr>
      </w:pPr>
    </w:p>
    <w:p w14:paraId="40E5558A" w14:textId="77777777" w:rsidR="002D5261" w:rsidRPr="00190686" w:rsidRDefault="002D5261" w:rsidP="002D5261">
      <w:pPr>
        <w:numPr>
          <w:ilvl w:val="1"/>
          <w:numId w:val="13"/>
        </w:numPr>
        <w:tabs>
          <w:tab w:val="clear" w:pos="709"/>
          <w:tab w:val="left" w:pos="851"/>
        </w:tabs>
        <w:spacing w:after="0" w:line="300" w:lineRule="exact"/>
        <w:ind w:left="851" w:hanging="851"/>
        <w:rPr>
          <w:rFonts w:ascii="Verdana" w:hAnsi="Verdana"/>
          <w:b/>
          <w:sz w:val="20"/>
        </w:rPr>
      </w:pPr>
      <w:r w:rsidRPr="00190686">
        <w:rPr>
          <w:rFonts w:ascii="Verdana" w:hAnsi="Verdana"/>
          <w:b/>
          <w:sz w:val="20"/>
        </w:rPr>
        <w:t>Título Executivo</w:t>
      </w:r>
    </w:p>
    <w:p w14:paraId="390F54E4" w14:textId="77777777" w:rsidR="002D5261" w:rsidRPr="00190686" w:rsidRDefault="002D5261" w:rsidP="002D5261">
      <w:pPr>
        <w:tabs>
          <w:tab w:val="left" w:pos="851"/>
        </w:tabs>
        <w:spacing w:after="0" w:line="300" w:lineRule="exact"/>
        <w:rPr>
          <w:rFonts w:ascii="Verdana" w:hAnsi="Verdana"/>
          <w:sz w:val="20"/>
        </w:rPr>
      </w:pPr>
    </w:p>
    <w:p w14:paraId="1C388CCA"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As partes reconhecem esta Escritura de Emissão e as Debêntures como títulos executivos extrajudiciais nos termos do artigo 784, incisos I e II, da Lei nº 13.105, de 16 de março de 2015 (“</w:t>
      </w:r>
      <w:r w:rsidRPr="00190686">
        <w:rPr>
          <w:rFonts w:ascii="Verdana" w:hAnsi="Verdana"/>
          <w:sz w:val="20"/>
          <w:u w:val="single"/>
        </w:rPr>
        <w:t>Código de Processo Civil</w:t>
      </w:r>
      <w:r w:rsidRPr="00190686">
        <w:rPr>
          <w:rFonts w:ascii="Verdana" w:hAnsi="Verdana"/>
          <w:sz w:val="20"/>
        </w:rPr>
        <w:t>”). Para os fins desta Escritura de Emissão, as partes poderão, a seu critério exclusivo, requerer a execução específica das obrigações aqui assumidas, nos termos dos artigos 497, 815 e seguintes do Código de Processo Civil, sem prejuízo do direito de declarar o vencimento antecipado das obrigações decorrentes das Debêntures, nos termos previstos nesta Escritura de Emissão.</w:t>
      </w:r>
    </w:p>
    <w:p w14:paraId="407DF2AE" w14:textId="77777777" w:rsidR="002D5261" w:rsidRPr="00190686" w:rsidRDefault="002D5261" w:rsidP="002D5261">
      <w:pPr>
        <w:tabs>
          <w:tab w:val="left" w:pos="851"/>
        </w:tabs>
        <w:spacing w:after="0" w:line="300" w:lineRule="exact"/>
        <w:rPr>
          <w:rFonts w:ascii="Verdana" w:hAnsi="Verdana"/>
          <w:sz w:val="20"/>
        </w:rPr>
      </w:pPr>
    </w:p>
    <w:p w14:paraId="3AD3DA1F" w14:textId="77777777" w:rsidR="002D5261" w:rsidRPr="00190686" w:rsidRDefault="002D5261" w:rsidP="002D5261">
      <w:pPr>
        <w:numPr>
          <w:ilvl w:val="1"/>
          <w:numId w:val="13"/>
        </w:numPr>
        <w:tabs>
          <w:tab w:val="clear" w:pos="709"/>
          <w:tab w:val="left" w:pos="851"/>
        </w:tabs>
        <w:spacing w:after="0" w:line="300" w:lineRule="exact"/>
        <w:ind w:left="851" w:hanging="851"/>
        <w:rPr>
          <w:rFonts w:ascii="Verdana" w:hAnsi="Verdana"/>
          <w:b/>
          <w:sz w:val="20"/>
        </w:rPr>
      </w:pPr>
      <w:r w:rsidRPr="00190686">
        <w:rPr>
          <w:rFonts w:ascii="Verdana" w:hAnsi="Verdana"/>
          <w:b/>
          <w:sz w:val="20"/>
        </w:rPr>
        <w:t>Efeito Vinculante</w:t>
      </w:r>
    </w:p>
    <w:p w14:paraId="6C63BA17" w14:textId="77777777" w:rsidR="002D5261" w:rsidRPr="00190686" w:rsidRDefault="002D5261" w:rsidP="002D5261">
      <w:pPr>
        <w:tabs>
          <w:tab w:val="left" w:pos="851"/>
        </w:tabs>
        <w:spacing w:after="0" w:line="300" w:lineRule="exact"/>
        <w:ind w:left="709"/>
        <w:rPr>
          <w:rFonts w:ascii="Verdana" w:hAnsi="Verdana"/>
          <w:b/>
          <w:sz w:val="20"/>
        </w:rPr>
      </w:pPr>
    </w:p>
    <w:p w14:paraId="48E6F499"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As obrigações assumidas nesta Escritura de Emissão têm caráter irrevogável e irretratável, obrigando as partes e seus sucessores, a qualquer título, ao seu integral cumprimento.</w:t>
      </w:r>
    </w:p>
    <w:p w14:paraId="5F426F51" w14:textId="77777777" w:rsidR="002D5261" w:rsidRPr="00190686" w:rsidRDefault="002D5261" w:rsidP="002D5261">
      <w:pPr>
        <w:tabs>
          <w:tab w:val="left" w:pos="851"/>
        </w:tabs>
        <w:spacing w:after="0" w:line="300" w:lineRule="exact"/>
        <w:rPr>
          <w:rFonts w:ascii="Verdana" w:hAnsi="Verdana"/>
          <w:sz w:val="20"/>
        </w:rPr>
      </w:pPr>
    </w:p>
    <w:p w14:paraId="12B5592F" w14:textId="77777777" w:rsidR="002D5261" w:rsidRPr="00190686" w:rsidRDefault="002D5261" w:rsidP="002D5261">
      <w:pPr>
        <w:numPr>
          <w:ilvl w:val="1"/>
          <w:numId w:val="13"/>
        </w:numPr>
        <w:tabs>
          <w:tab w:val="clear" w:pos="709"/>
          <w:tab w:val="left" w:pos="851"/>
        </w:tabs>
        <w:spacing w:after="0" w:line="300" w:lineRule="exact"/>
        <w:ind w:left="851" w:hanging="851"/>
        <w:rPr>
          <w:rFonts w:ascii="Verdana" w:hAnsi="Verdana"/>
          <w:b/>
          <w:sz w:val="20"/>
        </w:rPr>
      </w:pPr>
      <w:r w:rsidRPr="00190686">
        <w:rPr>
          <w:rFonts w:ascii="Verdana" w:hAnsi="Verdana"/>
          <w:b/>
          <w:sz w:val="20"/>
        </w:rPr>
        <w:t>Independência das Disposições</w:t>
      </w:r>
    </w:p>
    <w:p w14:paraId="522B22FC" w14:textId="77777777" w:rsidR="002D5261" w:rsidRPr="00190686" w:rsidRDefault="002D5261" w:rsidP="002D5261">
      <w:pPr>
        <w:tabs>
          <w:tab w:val="left" w:pos="851"/>
        </w:tabs>
        <w:spacing w:after="0" w:line="300" w:lineRule="exact"/>
        <w:rPr>
          <w:rFonts w:ascii="Verdana" w:hAnsi="Verdana"/>
          <w:sz w:val="20"/>
        </w:rPr>
      </w:pPr>
    </w:p>
    <w:p w14:paraId="5BE9FF41"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A invalidade ou nulidade, no todo ou em parte, de quaisquer das cláusulas desta Escritura de Emissão não afetará as demais, que permanecerão válidas e eficazes até o cumprimento, pelas partes, de todas as suas obrigações aqui previstas. Ocorrendo a declaração de invalidade ou nulidade de qualquer cláusula desta Escritura de Emissão, as partes se obrigam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14:paraId="3AF2350F" w14:textId="77777777" w:rsidR="002D5261" w:rsidRPr="00190686" w:rsidRDefault="002D5261" w:rsidP="002D5261">
      <w:pPr>
        <w:tabs>
          <w:tab w:val="left" w:pos="851"/>
        </w:tabs>
        <w:spacing w:after="0" w:line="300" w:lineRule="exact"/>
        <w:rPr>
          <w:rFonts w:ascii="Verdana" w:hAnsi="Verdana"/>
          <w:sz w:val="20"/>
        </w:rPr>
      </w:pPr>
    </w:p>
    <w:p w14:paraId="78EA4F1F" w14:textId="77777777" w:rsidR="002D5261" w:rsidRPr="00190686" w:rsidRDefault="002D5261" w:rsidP="002D5261">
      <w:pPr>
        <w:numPr>
          <w:ilvl w:val="1"/>
          <w:numId w:val="13"/>
        </w:numPr>
        <w:tabs>
          <w:tab w:val="clear" w:pos="709"/>
          <w:tab w:val="left" w:pos="851"/>
        </w:tabs>
        <w:spacing w:after="0" w:line="300" w:lineRule="exact"/>
        <w:ind w:left="851" w:hanging="851"/>
        <w:rPr>
          <w:rFonts w:ascii="Verdana" w:hAnsi="Verdana"/>
          <w:b/>
          <w:sz w:val="20"/>
        </w:rPr>
      </w:pPr>
      <w:r w:rsidRPr="00190686">
        <w:rPr>
          <w:rFonts w:ascii="Verdana" w:hAnsi="Verdana"/>
          <w:b/>
          <w:sz w:val="20"/>
        </w:rPr>
        <w:t>Alterações à Escritura de Emissão</w:t>
      </w:r>
    </w:p>
    <w:p w14:paraId="4FEA4DD3" w14:textId="77777777" w:rsidR="002D5261" w:rsidRPr="00190686" w:rsidRDefault="002D5261" w:rsidP="002D5261">
      <w:pPr>
        <w:tabs>
          <w:tab w:val="left" w:pos="851"/>
        </w:tabs>
        <w:spacing w:after="0" w:line="300" w:lineRule="exact"/>
        <w:rPr>
          <w:rFonts w:ascii="Verdana" w:hAnsi="Verdana"/>
          <w:sz w:val="20"/>
        </w:rPr>
      </w:pPr>
    </w:p>
    <w:p w14:paraId="6AB87157"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Qualquer alteração a esta Escritura de Emissão somente será considerada válida se formalizada por escrito, em instrumento próprio assinado por todas as partes.</w:t>
      </w:r>
    </w:p>
    <w:p w14:paraId="40E100B4" w14:textId="77777777" w:rsidR="002D5261" w:rsidRPr="00190686" w:rsidRDefault="002D5261" w:rsidP="002D5261">
      <w:pPr>
        <w:tabs>
          <w:tab w:val="left" w:pos="851"/>
        </w:tabs>
        <w:spacing w:after="0" w:line="300" w:lineRule="exact"/>
        <w:rPr>
          <w:rFonts w:ascii="Verdana" w:hAnsi="Verdana"/>
          <w:sz w:val="20"/>
        </w:rPr>
      </w:pPr>
    </w:p>
    <w:p w14:paraId="12E4DB06" w14:textId="77777777" w:rsidR="002D5261" w:rsidRPr="00190686" w:rsidRDefault="002D5261" w:rsidP="002D5261">
      <w:pPr>
        <w:numPr>
          <w:ilvl w:val="1"/>
          <w:numId w:val="13"/>
        </w:numPr>
        <w:tabs>
          <w:tab w:val="clear" w:pos="709"/>
          <w:tab w:val="left" w:pos="851"/>
        </w:tabs>
        <w:spacing w:after="0" w:line="300" w:lineRule="exact"/>
        <w:ind w:left="851" w:hanging="851"/>
        <w:rPr>
          <w:rFonts w:ascii="Verdana" w:hAnsi="Verdana"/>
          <w:b/>
          <w:sz w:val="20"/>
        </w:rPr>
      </w:pPr>
      <w:r w:rsidRPr="00190686">
        <w:rPr>
          <w:rFonts w:ascii="Verdana" w:hAnsi="Verdana"/>
          <w:b/>
          <w:sz w:val="20"/>
        </w:rPr>
        <w:t xml:space="preserve">Lei de Regência </w:t>
      </w:r>
    </w:p>
    <w:p w14:paraId="70B342A7" w14:textId="77777777" w:rsidR="002D5261" w:rsidRPr="00190686" w:rsidRDefault="002D5261" w:rsidP="002D5261">
      <w:pPr>
        <w:tabs>
          <w:tab w:val="left" w:pos="851"/>
        </w:tabs>
        <w:spacing w:after="0" w:line="300" w:lineRule="exact"/>
        <w:rPr>
          <w:rFonts w:ascii="Verdana" w:hAnsi="Verdana"/>
          <w:sz w:val="20"/>
        </w:rPr>
      </w:pPr>
    </w:p>
    <w:p w14:paraId="2810F9D4"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Esta Escritura de Emissão é regida pelas leis da República Federativa do Brasil.</w:t>
      </w:r>
    </w:p>
    <w:p w14:paraId="2E4D08EB" w14:textId="77777777" w:rsidR="002D5261" w:rsidRPr="00190686" w:rsidRDefault="002D5261" w:rsidP="002D5261">
      <w:pPr>
        <w:tabs>
          <w:tab w:val="left" w:pos="851"/>
        </w:tabs>
        <w:spacing w:after="0" w:line="300" w:lineRule="exact"/>
        <w:rPr>
          <w:rFonts w:ascii="Verdana" w:hAnsi="Verdana"/>
          <w:sz w:val="20"/>
        </w:rPr>
      </w:pPr>
    </w:p>
    <w:p w14:paraId="5C5BDD1C" w14:textId="77777777" w:rsidR="002D5261" w:rsidRPr="00190686" w:rsidRDefault="002D5261" w:rsidP="002D5261">
      <w:pPr>
        <w:numPr>
          <w:ilvl w:val="1"/>
          <w:numId w:val="13"/>
        </w:numPr>
        <w:tabs>
          <w:tab w:val="clear" w:pos="709"/>
          <w:tab w:val="left" w:pos="851"/>
        </w:tabs>
        <w:spacing w:after="0" w:line="300" w:lineRule="exact"/>
        <w:ind w:left="851" w:hanging="851"/>
        <w:rPr>
          <w:rFonts w:ascii="Verdana" w:hAnsi="Verdana"/>
          <w:b/>
          <w:sz w:val="20"/>
        </w:rPr>
      </w:pPr>
      <w:bookmarkStart w:id="153" w:name="_Ref279318438"/>
      <w:r w:rsidRPr="00190686">
        <w:rPr>
          <w:rFonts w:ascii="Verdana" w:hAnsi="Verdana"/>
          <w:b/>
          <w:sz w:val="20"/>
        </w:rPr>
        <w:t>Foro</w:t>
      </w:r>
      <w:bookmarkEnd w:id="153"/>
    </w:p>
    <w:p w14:paraId="4B3E6EC9" w14:textId="77777777" w:rsidR="002D5261" w:rsidRPr="00190686" w:rsidRDefault="002D5261" w:rsidP="002D5261">
      <w:pPr>
        <w:tabs>
          <w:tab w:val="left" w:pos="851"/>
        </w:tabs>
        <w:spacing w:after="0" w:line="300" w:lineRule="exact"/>
        <w:rPr>
          <w:rFonts w:ascii="Verdana" w:hAnsi="Verdana"/>
          <w:sz w:val="20"/>
        </w:rPr>
      </w:pPr>
    </w:p>
    <w:p w14:paraId="352CF946"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z w:val="20"/>
        </w:rPr>
        <w:t xml:space="preserve">Fica eleito o foro da Comarca da Cidade de </w:t>
      </w:r>
      <w:r>
        <w:rPr>
          <w:rFonts w:ascii="Verdana" w:hAnsi="Verdana"/>
          <w:sz w:val="20"/>
        </w:rPr>
        <w:t>São Paulo</w:t>
      </w:r>
      <w:r w:rsidRPr="00190686">
        <w:rPr>
          <w:rFonts w:ascii="Verdana" w:hAnsi="Verdana"/>
          <w:sz w:val="20"/>
        </w:rPr>
        <w:t xml:space="preserve">, Estado de </w:t>
      </w:r>
      <w:r>
        <w:rPr>
          <w:rFonts w:ascii="Verdana" w:hAnsi="Verdana"/>
          <w:sz w:val="20"/>
        </w:rPr>
        <w:t>São Paulo</w:t>
      </w:r>
      <w:r w:rsidRPr="00190686">
        <w:rPr>
          <w:rFonts w:ascii="Verdana" w:hAnsi="Verdana"/>
          <w:sz w:val="20"/>
        </w:rPr>
        <w:t xml:space="preserve">, com exclusão de qualquer outro, por mais privilegiado que </w:t>
      </w:r>
      <w:proofErr w:type="gramStart"/>
      <w:r w:rsidRPr="00190686">
        <w:rPr>
          <w:rFonts w:ascii="Verdana" w:hAnsi="Verdana"/>
          <w:sz w:val="20"/>
        </w:rPr>
        <w:t>seja,</w:t>
      </w:r>
      <w:proofErr w:type="gramEnd"/>
      <w:r w:rsidRPr="00190686">
        <w:rPr>
          <w:rFonts w:ascii="Verdana" w:hAnsi="Verdana"/>
          <w:sz w:val="20"/>
        </w:rPr>
        <w:t xml:space="preserve"> para dirimir as questões porventura resultantes desta Escritura de Emissão.</w:t>
      </w:r>
    </w:p>
    <w:p w14:paraId="1963CD9F" w14:textId="77777777" w:rsidR="002D5261" w:rsidRPr="00190686" w:rsidRDefault="002D5261" w:rsidP="002D5261">
      <w:pPr>
        <w:spacing w:after="0" w:line="300" w:lineRule="exact"/>
        <w:rPr>
          <w:rFonts w:ascii="Verdana" w:hAnsi="Verdana"/>
          <w:sz w:val="20"/>
        </w:rPr>
      </w:pPr>
    </w:p>
    <w:p w14:paraId="24D4026A" w14:textId="77777777" w:rsidR="002D5261" w:rsidRPr="00190686" w:rsidRDefault="002D5261" w:rsidP="002D5261">
      <w:pPr>
        <w:spacing w:after="0" w:line="300" w:lineRule="exact"/>
        <w:rPr>
          <w:rFonts w:ascii="Verdana" w:hAnsi="Verdana"/>
          <w:sz w:val="20"/>
        </w:rPr>
      </w:pPr>
      <w:r w:rsidRPr="00190686">
        <w:rPr>
          <w:rFonts w:ascii="Verdana" w:hAnsi="Verdana"/>
          <w:sz w:val="20"/>
        </w:rPr>
        <w:t xml:space="preserve">Estando assim certas e ajustadas, as partes, obrigando-se por si e sucessores, firmam esta Escritura de Emissão em </w:t>
      </w:r>
      <w:proofErr w:type="gramStart"/>
      <w:r w:rsidRPr="00190686">
        <w:rPr>
          <w:rFonts w:ascii="Verdana" w:hAnsi="Verdana"/>
          <w:sz w:val="20"/>
        </w:rPr>
        <w:t>3</w:t>
      </w:r>
      <w:proofErr w:type="gramEnd"/>
      <w:r w:rsidRPr="00190686">
        <w:rPr>
          <w:rFonts w:ascii="Verdana" w:hAnsi="Verdana"/>
          <w:sz w:val="20"/>
        </w:rPr>
        <w:t> (três) vias de igual teor e forma, juntamente com 2 (duas) testemunhas abaixo identificadas, que também a assinam.</w:t>
      </w:r>
    </w:p>
    <w:p w14:paraId="746D5214" w14:textId="77777777" w:rsidR="002D5261" w:rsidRPr="00190686" w:rsidRDefault="002D5261" w:rsidP="002D5261">
      <w:pPr>
        <w:spacing w:after="0" w:line="300" w:lineRule="exact"/>
        <w:rPr>
          <w:rFonts w:ascii="Verdana" w:hAnsi="Verdana"/>
          <w:sz w:val="20"/>
        </w:rPr>
      </w:pPr>
    </w:p>
    <w:p w14:paraId="20F2C49A" w14:textId="1C077A74" w:rsidR="002D5261" w:rsidRPr="00190686" w:rsidRDefault="00F50AEC" w:rsidP="002D5261">
      <w:pPr>
        <w:spacing w:after="0" w:line="300" w:lineRule="exact"/>
        <w:jc w:val="center"/>
        <w:rPr>
          <w:rFonts w:ascii="Verdana" w:hAnsi="Verdana"/>
          <w:sz w:val="20"/>
        </w:rPr>
      </w:pPr>
      <w:r>
        <w:rPr>
          <w:rFonts w:ascii="Verdana" w:hAnsi="Verdana"/>
          <w:sz w:val="20"/>
        </w:rPr>
        <w:t>Caxias do Sul</w:t>
      </w:r>
      <w:r w:rsidR="002D5261" w:rsidRPr="00190686">
        <w:rPr>
          <w:rFonts w:ascii="Verdana" w:hAnsi="Verdana"/>
          <w:sz w:val="20"/>
        </w:rPr>
        <w:t xml:space="preserve">, </w:t>
      </w:r>
      <w:r>
        <w:rPr>
          <w:rFonts w:ascii="Verdana" w:hAnsi="Verdana"/>
          <w:sz w:val="20"/>
        </w:rPr>
        <w:t xml:space="preserve">10 </w:t>
      </w:r>
      <w:r w:rsidR="002D5261" w:rsidRPr="00190686">
        <w:rPr>
          <w:rFonts w:ascii="Verdana" w:hAnsi="Verdana"/>
          <w:sz w:val="20"/>
        </w:rPr>
        <w:t>de novembro de 2016.</w:t>
      </w:r>
    </w:p>
    <w:p w14:paraId="1C6CFAD3" w14:textId="77777777" w:rsidR="002D5261" w:rsidRPr="00190686" w:rsidRDefault="002D5261" w:rsidP="002D5261">
      <w:pPr>
        <w:spacing w:after="0" w:line="300" w:lineRule="exact"/>
        <w:jc w:val="center"/>
        <w:rPr>
          <w:rFonts w:ascii="Verdana" w:hAnsi="Verdana"/>
          <w:sz w:val="20"/>
        </w:rPr>
      </w:pPr>
    </w:p>
    <w:p w14:paraId="1BDF30F1" w14:textId="77777777" w:rsidR="002D5261" w:rsidRPr="00190686" w:rsidRDefault="002D5261" w:rsidP="002D5261">
      <w:pPr>
        <w:spacing w:after="0" w:line="300" w:lineRule="exact"/>
        <w:jc w:val="center"/>
        <w:rPr>
          <w:rFonts w:ascii="Verdana" w:hAnsi="Verdana"/>
          <w:i/>
          <w:sz w:val="20"/>
        </w:rPr>
      </w:pPr>
      <w:r w:rsidRPr="00190686">
        <w:rPr>
          <w:rFonts w:ascii="Verdana" w:hAnsi="Verdana"/>
          <w:i/>
          <w:sz w:val="20"/>
        </w:rPr>
        <w:t>(As assinaturas seguem nas páginas seguintes.</w:t>
      </w:r>
      <w:proofErr w:type="gramStart"/>
      <w:r w:rsidRPr="00190686">
        <w:rPr>
          <w:rFonts w:ascii="Verdana" w:hAnsi="Verdana"/>
          <w:i/>
          <w:sz w:val="20"/>
        </w:rPr>
        <w:t>)</w:t>
      </w:r>
      <w:proofErr w:type="gramEnd"/>
    </w:p>
    <w:p w14:paraId="5C65618B" w14:textId="77777777" w:rsidR="002D5261" w:rsidRPr="00190686" w:rsidRDefault="002D5261" w:rsidP="002D5261">
      <w:pPr>
        <w:tabs>
          <w:tab w:val="left" w:pos="851"/>
        </w:tabs>
        <w:spacing w:after="0" w:line="300" w:lineRule="exact"/>
        <w:jc w:val="center"/>
        <w:rPr>
          <w:rFonts w:ascii="Verdana" w:hAnsi="Verdana"/>
          <w:i/>
          <w:sz w:val="20"/>
        </w:rPr>
      </w:pPr>
      <w:r w:rsidRPr="00190686">
        <w:rPr>
          <w:rFonts w:ascii="Verdana" w:hAnsi="Verdana"/>
          <w:i/>
          <w:sz w:val="20"/>
        </w:rPr>
        <w:t>(Restante desta página intencionalmente deixado em branco.</w:t>
      </w:r>
      <w:proofErr w:type="gramStart"/>
      <w:r w:rsidRPr="00190686">
        <w:rPr>
          <w:rFonts w:ascii="Verdana" w:hAnsi="Verdana"/>
          <w:i/>
          <w:sz w:val="20"/>
        </w:rPr>
        <w:t>)</w:t>
      </w:r>
      <w:proofErr w:type="gramEnd"/>
    </w:p>
    <w:p w14:paraId="385C0317" w14:textId="77777777" w:rsidR="002D5261" w:rsidRPr="00190686" w:rsidRDefault="002D5261" w:rsidP="002D5261">
      <w:pPr>
        <w:tabs>
          <w:tab w:val="left" w:pos="851"/>
        </w:tabs>
        <w:spacing w:after="0" w:line="300" w:lineRule="exact"/>
        <w:rPr>
          <w:rFonts w:ascii="Verdana" w:hAnsi="Verdana"/>
          <w:sz w:val="20"/>
        </w:rPr>
        <w:sectPr w:rsidR="002D5261" w:rsidRPr="00190686" w:rsidSect="000A1FA1">
          <w:headerReference w:type="even" r:id="rId19"/>
          <w:footerReference w:type="even" r:id="rId20"/>
          <w:footerReference w:type="default" r:id="rId21"/>
          <w:headerReference w:type="first" r:id="rId22"/>
          <w:footerReference w:type="first" r:id="rId23"/>
          <w:pgSz w:w="12242" w:h="15842" w:code="121"/>
          <w:pgMar w:top="1418" w:right="1701" w:bottom="1418" w:left="1701" w:header="720" w:footer="720" w:gutter="0"/>
          <w:cols w:space="720"/>
          <w:titlePg/>
          <w:docGrid w:linePitch="354"/>
        </w:sectPr>
      </w:pPr>
    </w:p>
    <w:p w14:paraId="3CEF4AEB" w14:textId="2BF468AF" w:rsidR="002D5261" w:rsidRPr="00190686" w:rsidRDefault="002D5261" w:rsidP="002D5261">
      <w:pPr>
        <w:spacing w:after="0" w:line="300" w:lineRule="exact"/>
        <w:rPr>
          <w:rFonts w:ascii="Verdana" w:hAnsi="Verdana"/>
          <w:sz w:val="20"/>
        </w:rPr>
      </w:pPr>
      <w:r w:rsidRPr="00190686">
        <w:rPr>
          <w:rFonts w:ascii="Verdana" w:hAnsi="Verdana"/>
          <w:sz w:val="20"/>
        </w:rPr>
        <w:lastRenderedPageBreak/>
        <w:t xml:space="preserve">Instrumento Particular de Escritura de 4ª Emissão de Debêntures Simples, Não Conversíveis em Ações, da Espécie Quirografária, em </w:t>
      </w:r>
      <w:proofErr w:type="gramStart"/>
      <w:r w:rsidRPr="00190686">
        <w:rPr>
          <w:rFonts w:ascii="Verdana" w:hAnsi="Verdana"/>
          <w:sz w:val="20"/>
        </w:rPr>
        <w:t>2</w:t>
      </w:r>
      <w:proofErr w:type="gramEnd"/>
      <w:r w:rsidRPr="00190686">
        <w:rPr>
          <w:rFonts w:ascii="Verdana" w:hAnsi="Verdana"/>
          <w:sz w:val="20"/>
        </w:rPr>
        <w:t xml:space="preserve"> (duas) Séries, para Distribuição Pública com Esforços Restritos, da Randon S.A. Implementos e Participações, celebrado em </w:t>
      </w:r>
      <w:r w:rsidR="00F50AEC">
        <w:rPr>
          <w:rFonts w:ascii="Verdana" w:hAnsi="Verdana"/>
          <w:sz w:val="20"/>
        </w:rPr>
        <w:t xml:space="preserve">10 </w:t>
      </w:r>
      <w:r w:rsidRPr="00190686">
        <w:rPr>
          <w:rFonts w:ascii="Verdana" w:hAnsi="Verdana"/>
          <w:sz w:val="20"/>
        </w:rPr>
        <w:t xml:space="preserve">de novembro de 2016, entre Randon S.A. Implementos e Participações e </w:t>
      </w:r>
      <w:r w:rsidRPr="00E96AD7">
        <w:rPr>
          <w:rFonts w:ascii="Verdana" w:hAnsi="Verdana"/>
          <w:bCs/>
          <w:sz w:val="20"/>
        </w:rPr>
        <w:t xml:space="preserve">Oliveira </w:t>
      </w:r>
      <w:proofErr w:type="spellStart"/>
      <w:r w:rsidRPr="00E96AD7">
        <w:rPr>
          <w:rFonts w:ascii="Verdana" w:hAnsi="Verdana"/>
          <w:bCs/>
          <w:sz w:val="20"/>
        </w:rPr>
        <w:t>Trust</w:t>
      </w:r>
      <w:proofErr w:type="spellEnd"/>
      <w:r w:rsidRPr="00E96AD7">
        <w:rPr>
          <w:rFonts w:ascii="Verdana" w:hAnsi="Verdana"/>
          <w:bCs/>
          <w:sz w:val="20"/>
        </w:rPr>
        <w:t xml:space="preserve"> Distribuidora de Títulos e Valores Mobiliários S.A.</w:t>
      </w:r>
      <w:r w:rsidRPr="00190686">
        <w:rPr>
          <w:rFonts w:ascii="Verdana" w:hAnsi="Verdana"/>
          <w:sz w:val="20"/>
        </w:rPr>
        <w:t xml:space="preserve"> – Página de Assinaturas 01/03.</w:t>
      </w:r>
    </w:p>
    <w:p w14:paraId="4319F0BD" w14:textId="77777777" w:rsidR="002D5261" w:rsidRPr="00190686" w:rsidRDefault="002D5261" w:rsidP="002D5261">
      <w:pPr>
        <w:tabs>
          <w:tab w:val="left" w:pos="851"/>
        </w:tabs>
        <w:spacing w:after="0" w:line="300" w:lineRule="exact"/>
        <w:rPr>
          <w:rFonts w:ascii="Verdana" w:hAnsi="Verdana"/>
          <w:sz w:val="20"/>
        </w:rPr>
      </w:pPr>
    </w:p>
    <w:p w14:paraId="5535548E" w14:textId="77777777" w:rsidR="002D5261" w:rsidRPr="00190686" w:rsidRDefault="002D5261" w:rsidP="002D5261">
      <w:pPr>
        <w:tabs>
          <w:tab w:val="left" w:pos="851"/>
        </w:tabs>
        <w:spacing w:after="0" w:line="300" w:lineRule="exact"/>
        <w:rPr>
          <w:rFonts w:ascii="Verdana" w:hAnsi="Verdana"/>
          <w:sz w:val="20"/>
        </w:rPr>
      </w:pPr>
    </w:p>
    <w:p w14:paraId="79F9B9E1" w14:textId="77777777" w:rsidR="002D5261" w:rsidRPr="00190686" w:rsidRDefault="002D5261" w:rsidP="002D5261">
      <w:pPr>
        <w:tabs>
          <w:tab w:val="left" w:pos="851"/>
        </w:tabs>
        <w:spacing w:after="0" w:line="300" w:lineRule="exact"/>
        <w:rPr>
          <w:rFonts w:ascii="Verdana" w:hAnsi="Verdana"/>
          <w:sz w:val="20"/>
        </w:rPr>
      </w:pPr>
    </w:p>
    <w:p w14:paraId="7C5CD4F6" w14:textId="77777777" w:rsidR="002D5261" w:rsidRPr="00190686" w:rsidRDefault="002D5261" w:rsidP="002D5261">
      <w:pPr>
        <w:tabs>
          <w:tab w:val="left" w:pos="851"/>
        </w:tabs>
        <w:spacing w:after="0" w:line="300" w:lineRule="exact"/>
        <w:rPr>
          <w:rFonts w:ascii="Verdana" w:hAnsi="Verdana"/>
          <w:sz w:val="20"/>
        </w:rPr>
      </w:pPr>
    </w:p>
    <w:p w14:paraId="1062D4AF" w14:textId="77777777" w:rsidR="002D5261" w:rsidRPr="00190686" w:rsidRDefault="002D5261" w:rsidP="002D5261">
      <w:pPr>
        <w:tabs>
          <w:tab w:val="left" w:pos="851"/>
        </w:tabs>
        <w:spacing w:after="0" w:line="300" w:lineRule="exact"/>
        <w:jc w:val="center"/>
        <w:rPr>
          <w:rFonts w:ascii="Verdana" w:hAnsi="Verdana"/>
          <w:b/>
          <w:smallCaps/>
          <w:sz w:val="20"/>
        </w:rPr>
      </w:pPr>
      <w:r w:rsidRPr="00190686">
        <w:rPr>
          <w:rFonts w:ascii="Verdana" w:hAnsi="Verdana"/>
          <w:b/>
          <w:smallCaps/>
          <w:sz w:val="20"/>
        </w:rPr>
        <w:t xml:space="preserve">Randon S.A. Implementos e </w:t>
      </w:r>
      <w:proofErr w:type="gramStart"/>
      <w:r w:rsidRPr="00190686">
        <w:rPr>
          <w:rFonts w:ascii="Verdana" w:hAnsi="Verdana"/>
          <w:b/>
          <w:smallCaps/>
          <w:sz w:val="20"/>
        </w:rPr>
        <w:t>Participações</w:t>
      </w:r>
      <w:proofErr w:type="gramEnd"/>
    </w:p>
    <w:p w14:paraId="3A860608" w14:textId="77777777" w:rsidR="002D5261" w:rsidRPr="00190686" w:rsidRDefault="002D5261" w:rsidP="002D5261">
      <w:pPr>
        <w:tabs>
          <w:tab w:val="left" w:pos="851"/>
        </w:tabs>
        <w:spacing w:after="0" w:line="300" w:lineRule="exact"/>
        <w:rPr>
          <w:rFonts w:ascii="Verdana" w:hAnsi="Verdana"/>
          <w:sz w:val="20"/>
        </w:rPr>
      </w:pPr>
    </w:p>
    <w:p w14:paraId="42A22D2F" w14:textId="77777777" w:rsidR="002D5261" w:rsidRPr="00190686" w:rsidRDefault="002D5261" w:rsidP="002D5261">
      <w:pPr>
        <w:tabs>
          <w:tab w:val="left" w:pos="851"/>
        </w:tabs>
        <w:spacing w:after="0" w:line="300" w:lineRule="exact"/>
        <w:rPr>
          <w:rFonts w:ascii="Verdana" w:hAnsi="Verdana"/>
          <w:sz w:val="20"/>
        </w:rPr>
      </w:pPr>
    </w:p>
    <w:p w14:paraId="62AC3A77" w14:textId="77777777" w:rsidR="002D5261" w:rsidRPr="00190686" w:rsidRDefault="002D5261" w:rsidP="002D5261">
      <w:pPr>
        <w:tabs>
          <w:tab w:val="left" w:pos="851"/>
        </w:tabs>
        <w:spacing w:after="0" w:line="30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2D5261" w:rsidRPr="00190686" w14:paraId="6D354DE9" w14:textId="77777777" w:rsidTr="000A1FA1">
        <w:trPr>
          <w:cantSplit/>
        </w:trPr>
        <w:tc>
          <w:tcPr>
            <w:tcW w:w="4253" w:type="dxa"/>
            <w:tcBorders>
              <w:top w:val="single" w:sz="6" w:space="0" w:color="auto"/>
            </w:tcBorders>
          </w:tcPr>
          <w:p w14:paraId="044BD1A2" w14:textId="77777777" w:rsidR="002D5261" w:rsidRPr="00190686" w:rsidRDefault="002D5261" w:rsidP="000A1FA1">
            <w:pPr>
              <w:tabs>
                <w:tab w:val="left" w:pos="851"/>
              </w:tabs>
              <w:spacing w:after="0" w:line="300" w:lineRule="exact"/>
              <w:jc w:val="left"/>
              <w:rPr>
                <w:rFonts w:ascii="Verdana" w:hAnsi="Verdana"/>
                <w:sz w:val="20"/>
              </w:rPr>
            </w:pPr>
            <w:r w:rsidRPr="00190686">
              <w:rPr>
                <w:rFonts w:ascii="Verdana" w:hAnsi="Verdana"/>
                <w:sz w:val="20"/>
              </w:rPr>
              <w:t>Nome:</w:t>
            </w:r>
            <w:r w:rsidRPr="00190686">
              <w:rPr>
                <w:rFonts w:ascii="Verdana" w:hAnsi="Verdana"/>
                <w:sz w:val="20"/>
              </w:rPr>
              <w:br/>
              <w:t>Cargo:</w:t>
            </w:r>
          </w:p>
        </w:tc>
        <w:tc>
          <w:tcPr>
            <w:tcW w:w="567" w:type="dxa"/>
          </w:tcPr>
          <w:p w14:paraId="6BB5E4A1" w14:textId="77777777" w:rsidR="002D5261" w:rsidRPr="00190686" w:rsidRDefault="002D5261" w:rsidP="000A1FA1">
            <w:pPr>
              <w:tabs>
                <w:tab w:val="left" w:pos="851"/>
              </w:tabs>
              <w:spacing w:after="0" w:line="300" w:lineRule="exact"/>
              <w:rPr>
                <w:rFonts w:ascii="Verdana" w:hAnsi="Verdana"/>
                <w:sz w:val="20"/>
              </w:rPr>
            </w:pPr>
          </w:p>
        </w:tc>
        <w:tc>
          <w:tcPr>
            <w:tcW w:w="4253" w:type="dxa"/>
            <w:tcBorders>
              <w:top w:val="single" w:sz="6" w:space="0" w:color="auto"/>
            </w:tcBorders>
          </w:tcPr>
          <w:p w14:paraId="3C10D7D8" w14:textId="77777777" w:rsidR="002D5261" w:rsidRPr="00190686" w:rsidRDefault="002D5261" w:rsidP="000A1FA1">
            <w:pPr>
              <w:tabs>
                <w:tab w:val="left" w:pos="851"/>
              </w:tabs>
              <w:spacing w:after="0" w:line="300" w:lineRule="exact"/>
              <w:jc w:val="left"/>
              <w:rPr>
                <w:rFonts w:ascii="Verdana" w:hAnsi="Verdana"/>
                <w:sz w:val="20"/>
              </w:rPr>
            </w:pPr>
            <w:r w:rsidRPr="00190686">
              <w:rPr>
                <w:rFonts w:ascii="Verdana" w:hAnsi="Verdana"/>
                <w:sz w:val="20"/>
              </w:rPr>
              <w:t>Nome:</w:t>
            </w:r>
            <w:r w:rsidRPr="00190686">
              <w:rPr>
                <w:rFonts w:ascii="Verdana" w:hAnsi="Verdana"/>
                <w:sz w:val="20"/>
              </w:rPr>
              <w:br/>
              <w:t>Cargo:</w:t>
            </w:r>
          </w:p>
        </w:tc>
      </w:tr>
    </w:tbl>
    <w:p w14:paraId="30FAD8AF" w14:textId="77777777" w:rsidR="002D5261" w:rsidRPr="00190686" w:rsidRDefault="002D5261" w:rsidP="002D5261">
      <w:pPr>
        <w:tabs>
          <w:tab w:val="left" w:pos="851"/>
        </w:tabs>
        <w:spacing w:after="0" w:line="300" w:lineRule="exact"/>
        <w:rPr>
          <w:rFonts w:ascii="Verdana" w:hAnsi="Verdana"/>
          <w:sz w:val="20"/>
        </w:rPr>
      </w:pPr>
    </w:p>
    <w:p w14:paraId="225780ED" w14:textId="12C7DFAE" w:rsidR="002D5261" w:rsidRPr="00190686" w:rsidRDefault="002D5261" w:rsidP="002D5261">
      <w:pPr>
        <w:spacing w:after="0" w:line="300" w:lineRule="exact"/>
        <w:rPr>
          <w:rFonts w:ascii="Verdana" w:hAnsi="Verdana"/>
          <w:sz w:val="20"/>
        </w:rPr>
      </w:pPr>
      <w:r w:rsidRPr="00190686">
        <w:rPr>
          <w:rFonts w:ascii="Verdana" w:hAnsi="Verdana"/>
          <w:sz w:val="20"/>
        </w:rPr>
        <w:br w:type="page"/>
      </w:r>
      <w:r w:rsidRPr="00190686">
        <w:rPr>
          <w:rFonts w:ascii="Verdana" w:hAnsi="Verdana"/>
          <w:sz w:val="20"/>
        </w:rPr>
        <w:lastRenderedPageBreak/>
        <w:t xml:space="preserve">Instrumento Particular de Escritura de 4ª Emissão de Debêntures Simples, Não Conversíveis em Ações, da Espécie Quirografária, em </w:t>
      </w:r>
      <w:proofErr w:type="gramStart"/>
      <w:r w:rsidRPr="00190686">
        <w:rPr>
          <w:rFonts w:ascii="Verdana" w:hAnsi="Verdana"/>
          <w:sz w:val="20"/>
        </w:rPr>
        <w:t>2</w:t>
      </w:r>
      <w:proofErr w:type="gramEnd"/>
      <w:r w:rsidRPr="00190686">
        <w:rPr>
          <w:rFonts w:ascii="Verdana" w:hAnsi="Verdana"/>
          <w:sz w:val="20"/>
        </w:rPr>
        <w:t xml:space="preserve"> (duas) Séries, para Distribuição Pública com Esforços Restritos, da Randon S.A. Implementos e Participações, celebrado em </w:t>
      </w:r>
      <w:r w:rsidR="00F50AEC">
        <w:rPr>
          <w:rFonts w:ascii="Verdana" w:hAnsi="Verdana"/>
          <w:sz w:val="20"/>
        </w:rPr>
        <w:t xml:space="preserve">10 </w:t>
      </w:r>
      <w:r w:rsidRPr="00190686">
        <w:rPr>
          <w:rFonts w:ascii="Verdana" w:hAnsi="Verdana"/>
          <w:sz w:val="20"/>
        </w:rPr>
        <w:t xml:space="preserve">de novembro de 2016, entre Randon S.A. Implementos e Participações e </w:t>
      </w:r>
      <w:r w:rsidRPr="00E96AD7">
        <w:rPr>
          <w:rFonts w:ascii="Verdana" w:hAnsi="Verdana"/>
          <w:bCs/>
          <w:sz w:val="20"/>
        </w:rPr>
        <w:t xml:space="preserve">Oliveira </w:t>
      </w:r>
      <w:proofErr w:type="spellStart"/>
      <w:r w:rsidRPr="00E96AD7">
        <w:rPr>
          <w:rFonts w:ascii="Verdana" w:hAnsi="Verdana"/>
          <w:bCs/>
          <w:sz w:val="20"/>
        </w:rPr>
        <w:t>Trust</w:t>
      </w:r>
      <w:proofErr w:type="spellEnd"/>
      <w:r w:rsidRPr="00E96AD7">
        <w:rPr>
          <w:rFonts w:ascii="Verdana" w:hAnsi="Verdana"/>
          <w:bCs/>
          <w:sz w:val="20"/>
        </w:rPr>
        <w:t xml:space="preserve"> Distribuidora de Títulos e Valores Mobiliários S.A.</w:t>
      </w:r>
      <w:r w:rsidRPr="00190686">
        <w:rPr>
          <w:rFonts w:ascii="Verdana" w:hAnsi="Verdana"/>
          <w:sz w:val="20"/>
        </w:rPr>
        <w:t xml:space="preserve"> – Página de Assinaturas 02/03.</w:t>
      </w:r>
    </w:p>
    <w:p w14:paraId="11F9C54A" w14:textId="77777777" w:rsidR="002D5261" w:rsidRPr="00190686" w:rsidRDefault="002D5261" w:rsidP="002D5261">
      <w:pPr>
        <w:tabs>
          <w:tab w:val="left" w:pos="851"/>
        </w:tabs>
        <w:spacing w:after="0" w:line="300" w:lineRule="exact"/>
        <w:rPr>
          <w:rFonts w:ascii="Verdana" w:hAnsi="Verdana"/>
          <w:sz w:val="20"/>
        </w:rPr>
      </w:pPr>
    </w:p>
    <w:p w14:paraId="36125C69" w14:textId="77777777" w:rsidR="002D5261" w:rsidRPr="00190686" w:rsidRDefault="002D5261" w:rsidP="002D5261">
      <w:pPr>
        <w:tabs>
          <w:tab w:val="left" w:pos="851"/>
        </w:tabs>
        <w:spacing w:after="0" w:line="300" w:lineRule="exact"/>
        <w:rPr>
          <w:rFonts w:ascii="Verdana" w:hAnsi="Verdana"/>
          <w:sz w:val="20"/>
        </w:rPr>
      </w:pPr>
    </w:p>
    <w:p w14:paraId="796FE848" w14:textId="77777777" w:rsidR="002D5261" w:rsidRPr="00190686" w:rsidRDefault="002D5261" w:rsidP="002D5261">
      <w:pPr>
        <w:tabs>
          <w:tab w:val="left" w:pos="851"/>
        </w:tabs>
        <w:spacing w:after="0" w:line="300" w:lineRule="exact"/>
        <w:rPr>
          <w:rFonts w:ascii="Verdana" w:hAnsi="Verdana"/>
          <w:sz w:val="20"/>
        </w:rPr>
      </w:pPr>
    </w:p>
    <w:p w14:paraId="552EFE94" w14:textId="77777777" w:rsidR="002D5261" w:rsidRPr="00190686" w:rsidRDefault="002D5261" w:rsidP="002D5261">
      <w:pPr>
        <w:tabs>
          <w:tab w:val="left" w:pos="851"/>
        </w:tabs>
        <w:spacing w:after="0" w:line="300" w:lineRule="exact"/>
        <w:rPr>
          <w:rFonts w:ascii="Verdana" w:hAnsi="Verdana"/>
          <w:sz w:val="20"/>
        </w:rPr>
      </w:pPr>
    </w:p>
    <w:p w14:paraId="06E94751" w14:textId="77777777" w:rsidR="002D5261" w:rsidRPr="00E96AD7" w:rsidRDefault="002D5261" w:rsidP="002D5261">
      <w:pPr>
        <w:spacing w:after="0" w:line="300" w:lineRule="exact"/>
        <w:jc w:val="center"/>
        <w:rPr>
          <w:rFonts w:ascii="Verdana" w:hAnsi="Verdana"/>
          <w:b/>
          <w:smallCaps/>
          <w:sz w:val="20"/>
        </w:rPr>
      </w:pPr>
      <w:r w:rsidRPr="00E96AD7">
        <w:rPr>
          <w:rFonts w:ascii="Verdana" w:hAnsi="Verdana"/>
          <w:b/>
          <w:bCs/>
          <w:smallCaps/>
          <w:sz w:val="20"/>
        </w:rPr>
        <w:t xml:space="preserve">Oliveira </w:t>
      </w:r>
      <w:proofErr w:type="spellStart"/>
      <w:r w:rsidRPr="00E96AD7">
        <w:rPr>
          <w:rFonts w:ascii="Verdana" w:hAnsi="Verdana"/>
          <w:b/>
          <w:bCs/>
          <w:smallCaps/>
          <w:sz w:val="20"/>
        </w:rPr>
        <w:t>Trust</w:t>
      </w:r>
      <w:proofErr w:type="spellEnd"/>
      <w:r w:rsidRPr="00E96AD7">
        <w:rPr>
          <w:rFonts w:ascii="Verdana" w:hAnsi="Verdana"/>
          <w:b/>
          <w:bCs/>
          <w:smallCaps/>
          <w:sz w:val="20"/>
        </w:rPr>
        <w:t xml:space="preserve"> Distribuidora de Títulos e Valores Mobiliários S.A.</w:t>
      </w:r>
    </w:p>
    <w:p w14:paraId="3E618FD8" w14:textId="77777777" w:rsidR="002D5261" w:rsidRPr="00190686" w:rsidRDefault="002D5261" w:rsidP="002D5261">
      <w:pPr>
        <w:tabs>
          <w:tab w:val="left" w:pos="851"/>
        </w:tabs>
        <w:spacing w:after="0" w:line="300" w:lineRule="exact"/>
        <w:rPr>
          <w:rFonts w:ascii="Verdana" w:hAnsi="Verdana"/>
          <w:sz w:val="20"/>
        </w:rPr>
      </w:pPr>
    </w:p>
    <w:p w14:paraId="3FD82BC2" w14:textId="77777777" w:rsidR="002D5261" w:rsidRPr="00190686" w:rsidRDefault="002D5261" w:rsidP="002D5261">
      <w:pPr>
        <w:tabs>
          <w:tab w:val="left" w:pos="851"/>
        </w:tabs>
        <w:spacing w:after="0" w:line="300" w:lineRule="exact"/>
        <w:rPr>
          <w:rFonts w:ascii="Verdana" w:hAnsi="Verdana"/>
          <w:sz w:val="20"/>
        </w:rPr>
      </w:pPr>
    </w:p>
    <w:p w14:paraId="63138698" w14:textId="77777777" w:rsidR="002D5261" w:rsidRPr="00190686" w:rsidRDefault="002D5261" w:rsidP="002D5261">
      <w:pPr>
        <w:tabs>
          <w:tab w:val="left" w:pos="851"/>
        </w:tabs>
        <w:spacing w:after="0" w:line="30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2D5261" w:rsidRPr="00190686" w14:paraId="69676265" w14:textId="77777777" w:rsidTr="000A1FA1">
        <w:trPr>
          <w:cantSplit/>
        </w:trPr>
        <w:tc>
          <w:tcPr>
            <w:tcW w:w="4253" w:type="dxa"/>
            <w:tcBorders>
              <w:top w:val="single" w:sz="6" w:space="0" w:color="auto"/>
            </w:tcBorders>
          </w:tcPr>
          <w:p w14:paraId="7F1F5C3E" w14:textId="77777777" w:rsidR="002D5261" w:rsidRPr="00190686" w:rsidRDefault="002D5261" w:rsidP="000A1FA1">
            <w:pPr>
              <w:tabs>
                <w:tab w:val="left" w:pos="851"/>
              </w:tabs>
              <w:spacing w:after="0" w:line="300" w:lineRule="exact"/>
              <w:jc w:val="left"/>
              <w:rPr>
                <w:rFonts w:ascii="Verdana" w:hAnsi="Verdana"/>
                <w:sz w:val="20"/>
              </w:rPr>
            </w:pPr>
            <w:r w:rsidRPr="00190686">
              <w:rPr>
                <w:rFonts w:ascii="Verdana" w:hAnsi="Verdana"/>
                <w:sz w:val="20"/>
              </w:rPr>
              <w:t>Nome:</w:t>
            </w:r>
            <w:r w:rsidRPr="00190686">
              <w:rPr>
                <w:rFonts w:ascii="Verdana" w:hAnsi="Verdana"/>
                <w:sz w:val="20"/>
              </w:rPr>
              <w:br/>
              <w:t>Cargo:</w:t>
            </w:r>
          </w:p>
        </w:tc>
        <w:tc>
          <w:tcPr>
            <w:tcW w:w="567" w:type="dxa"/>
          </w:tcPr>
          <w:p w14:paraId="7122AD5B" w14:textId="77777777" w:rsidR="002D5261" w:rsidRPr="00190686" w:rsidRDefault="002D5261" w:rsidP="000A1FA1">
            <w:pPr>
              <w:tabs>
                <w:tab w:val="left" w:pos="851"/>
              </w:tabs>
              <w:spacing w:after="0" w:line="300" w:lineRule="exact"/>
              <w:rPr>
                <w:rFonts w:ascii="Verdana" w:hAnsi="Verdana"/>
                <w:sz w:val="20"/>
              </w:rPr>
            </w:pPr>
          </w:p>
        </w:tc>
        <w:tc>
          <w:tcPr>
            <w:tcW w:w="4253" w:type="dxa"/>
            <w:tcBorders>
              <w:top w:val="single" w:sz="6" w:space="0" w:color="auto"/>
            </w:tcBorders>
          </w:tcPr>
          <w:p w14:paraId="5A617F8E" w14:textId="77777777" w:rsidR="002D5261" w:rsidRPr="00190686" w:rsidRDefault="002D5261" w:rsidP="000A1FA1">
            <w:pPr>
              <w:tabs>
                <w:tab w:val="left" w:pos="851"/>
              </w:tabs>
              <w:spacing w:after="0" w:line="300" w:lineRule="exact"/>
              <w:jc w:val="left"/>
              <w:rPr>
                <w:rFonts w:ascii="Verdana" w:hAnsi="Verdana"/>
                <w:sz w:val="20"/>
              </w:rPr>
            </w:pPr>
            <w:r w:rsidRPr="00190686">
              <w:rPr>
                <w:rFonts w:ascii="Verdana" w:hAnsi="Verdana"/>
                <w:sz w:val="20"/>
              </w:rPr>
              <w:t>Nome:</w:t>
            </w:r>
            <w:r w:rsidRPr="00190686">
              <w:rPr>
                <w:rFonts w:ascii="Verdana" w:hAnsi="Verdana"/>
                <w:sz w:val="20"/>
              </w:rPr>
              <w:br/>
              <w:t>Cargo:</w:t>
            </w:r>
          </w:p>
        </w:tc>
      </w:tr>
    </w:tbl>
    <w:p w14:paraId="3E36A78A" w14:textId="77777777" w:rsidR="002D5261" w:rsidRPr="00190686" w:rsidRDefault="002D5261" w:rsidP="002D5261">
      <w:pPr>
        <w:tabs>
          <w:tab w:val="left" w:pos="851"/>
        </w:tabs>
        <w:spacing w:after="0" w:line="300" w:lineRule="exact"/>
        <w:rPr>
          <w:rFonts w:ascii="Verdana" w:hAnsi="Verdana"/>
          <w:sz w:val="20"/>
        </w:rPr>
      </w:pPr>
      <w:r w:rsidRPr="00190686">
        <w:rPr>
          <w:rFonts w:ascii="Verdana" w:hAnsi="Verdana"/>
          <w:smallCaps/>
          <w:sz w:val="20"/>
        </w:rPr>
        <w:br w:type="page"/>
      </w:r>
    </w:p>
    <w:p w14:paraId="51C633B8" w14:textId="3C0997FF" w:rsidR="002D5261" w:rsidRPr="00190686" w:rsidRDefault="002D5261" w:rsidP="002D5261">
      <w:pPr>
        <w:spacing w:after="0" w:line="300" w:lineRule="exact"/>
        <w:rPr>
          <w:rFonts w:ascii="Verdana" w:hAnsi="Verdana"/>
          <w:sz w:val="20"/>
        </w:rPr>
      </w:pPr>
      <w:r w:rsidRPr="00190686">
        <w:rPr>
          <w:rFonts w:ascii="Verdana" w:hAnsi="Verdana"/>
          <w:sz w:val="20"/>
        </w:rPr>
        <w:lastRenderedPageBreak/>
        <w:t xml:space="preserve">Instrumento Particular de Escritura de 4ª Emissão de Debêntures Simples, Não Conversíveis em Ações, da Espécie Quirografária, em </w:t>
      </w:r>
      <w:proofErr w:type="gramStart"/>
      <w:r w:rsidRPr="00190686">
        <w:rPr>
          <w:rFonts w:ascii="Verdana" w:hAnsi="Verdana"/>
          <w:sz w:val="20"/>
        </w:rPr>
        <w:t>2</w:t>
      </w:r>
      <w:proofErr w:type="gramEnd"/>
      <w:r w:rsidRPr="00190686">
        <w:rPr>
          <w:rFonts w:ascii="Verdana" w:hAnsi="Verdana"/>
          <w:sz w:val="20"/>
        </w:rPr>
        <w:t xml:space="preserve"> (duas) Séries, para Distribuição Pública com Esforços Restritos, da Randon S.A. Implementos e Participações, celebrado em </w:t>
      </w:r>
      <w:r w:rsidR="00F50AEC">
        <w:rPr>
          <w:rFonts w:ascii="Verdana" w:hAnsi="Verdana"/>
          <w:sz w:val="20"/>
        </w:rPr>
        <w:t xml:space="preserve">10 </w:t>
      </w:r>
      <w:r w:rsidRPr="00190686">
        <w:rPr>
          <w:rFonts w:ascii="Verdana" w:hAnsi="Verdana"/>
          <w:sz w:val="20"/>
        </w:rPr>
        <w:t xml:space="preserve">de novembro de 2016, entre Randon S.A. Implementos e Participações e </w:t>
      </w:r>
      <w:r w:rsidRPr="00E96AD7">
        <w:rPr>
          <w:rFonts w:ascii="Verdana" w:hAnsi="Verdana"/>
          <w:bCs/>
          <w:sz w:val="20"/>
        </w:rPr>
        <w:t xml:space="preserve">Oliveira </w:t>
      </w:r>
      <w:proofErr w:type="spellStart"/>
      <w:r w:rsidRPr="00E96AD7">
        <w:rPr>
          <w:rFonts w:ascii="Verdana" w:hAnsi="Verdana"/>
          <w:bCs/>
          <w:sz w:val="20"/>
        </w:rPr>
        <w:t>Trust</w:t>
      </w:r>
      <w:proofErr w:type="spellEnd"/>
      <w:r w:rsidRPr="00E96AD7">
        <w:rPr>
          <w:rFonts w:ascii="Verdana" w:hAnsi="Verdana"/>
          <w:bCs/>
          <w:sz w:val="20"/>
        </w:rPr>
        <w:t xml:space="preserve"> Distribuidora de Títulos e Valores Mobiliários S.A.</w:t>
      </w:r>
      <w:r w:rsidRPr="00190686">
        <w:rPr>
          <w:rFonts w:ascii="Verdana" w:hAnsi="Verdana"/>
          <w:sz w:val="20"/>
        </w:rPr>
        <w:t xml:space="preserve"> – Página de Assinaturas 03/03.</w:t>
      </w:r>
    </w:p>
    <w:p w14:paraId="3BBB0AD6" w14:textId="77777777" w:rsidR="002D5261" w:rsidRPr="00190686" w:rsidRDefault="002D5261" w:rsidP="002D5261">
      <w:pPr>
        <w:tabs>
          <w:tab w:val="left" w:pos="851"/>
        </w:tabs>
        <w:spacing w:after="0" w:line="300" w:lineRule="exact"/>
        <w:rPr>
          <w:rFonts w:ascii="Verdana" w:hAnsi="Verdana"/>
          <w:sz w:val="20"/>
        </w:rPr>
      </w:pPr>
    </w:p>
    <w:p w14:paraId="119B8A4A" w14:textId="77777777" w:rsidR="002D5261" w:rsidRPr="00190686" w:rsidRDefault="002D5261" w:rsidP="002D5261">
      <w:pPr>
        <w:tabs>
          <w:tab w:val="left" w:pos="851"/>
        </w:tabs>
        <w:spacing w:after="0" w:line="300" w:lineRule="exact"/>
        <w:rPr>
          <w:rFonts w:ascii="Verdana" w:hAnsi="Verdana"/>
          <w:sz w:val="20"/>
        </w:rPr>
      </w:pPr>
    </w:p>
    <w:p w14:paraId="1714E47E" w14:textId="77777777" w:rsidR="002D5261" w:rsidRPr="00190686" w:rsidRDefault="002D5261" w:rsidP="002D5261">
      <w:pPr>
        <w:tabs>
          <w:tab w:val="left" w:pos="851"/>
        </w:tabs>
        <w:spacing w:after="0" w:line="300" w:lineRule="exact"/>
        <w:rPr>
          <w:rFonts w:ascii="Verdana" w:hAnsi="Verdana"/>
          <w:b/>
          <w:smallCaps/>
          <w:sz w:val="20"/>
        </w:rPr>
      </w:pPr>
      <w:r w:rsidRPr="00190686">
        <w:rPr>
          <w:rFonts w:ascii="Verdana" w:hAnsi="Verdana"/>
          <w:b/>
          <w:smallCaps/>
          <w:sz w:val="20"/>
        </w:rPr>
        <w:t>Testemunhas:</w:t>
      </w:r>
    </w:p>
    <w:p w14:paraId="178E84AD" w14:textId="77777777" w:rsidR="002D5261" w:rsidRPr="00190686" w:rsidRDefault="002D5261" w:rsidP="002D5261">
      <w:pPr>
        <w:tabs>
          <w:tab w:val="left" w:pos="851"/>
        </w:tabs>
        <w:spacing w:after="0" w:line="300" w:lineRule="exact"/>
        <w:rPr>
          <w:rFonts w:ascii="Verdana" w:hAnsi="Verdana"/>
          <w:sz w:val="20"/>
        </w:rPr>
      </w:pPr>
    </w:p>
    <w:p w14:paraId="51849E96" w14:textId="77777777" w:rsidR="002D5261" w:rsidRPr="00190686" w:rsidRDefault="002D5261" w:rsidP="002D5261">
      <w:pPr>
        <w:tabs>
          <w:tab w:val="left" w:pos="851"/>
        </w:tabs>
        <w:spacing w:after="0" w:line="300" w:lineRule="exact"/>
        <w:rPr>
          <w:rFonts w:ascii="Verdana" w:hAnsi="Verdana"/>
          <w:sz w:val="20"/>
        </w:rPr>
      </w:pPr>
    </w:p>
    <w:p w14:paraId="67C4D41B" w14:textId="77777777" w:rsidR="002D5261" w:rsidRPr="00190686" w:rsidRDefault="002D5261" w:rsidP="002D5261">
      <w:pPr>
        <w:tabs>
          <w:tab w:val="left" w:pos="851"/>
        </w:tabs>
        <w:spacing w:after="0" w:line="300" w:lineRule="exact"/>
        <w:rPr>
          <w:rFonts w:ascii="Verdana" w:hAnsi="Verdana"/>
          <w:sz w:val="20"/>
        </w:rPr>
      </w:pPr>
    </w:p>
    <w:p w14:paraId="0509F411" w14:textId="77777777" w:rsidR="002D5261" w:rsidRPr="00190686" w:rsidRDefault="002D5261" w:rsidP="002D5261">
      <w:pPr>
        <w:tabs>
          <w:tab w:val="left" w:pos="851"/>
        </w:tabs>
        <w:spacing w:after="0" w:line="300" w:lineRule="exact"/>
        <w:rPr>
          <w:rFonts w:ascii="Verdana" w:hAnsi="Verdan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2D5261" w:rsidRPr="00190686" w14:paraId="6B82C982" w14:textId="77777777" w:rsidTr="000A1FA1">
        <w:trPr>
          <w:cantSplit/>
        </w:trPr>
        <w:tc>
          <w:tcPr>
            <w:tcW w:w="4253" w:type="dxa"/>
            <w:tcBorders>
              <w:top w:val="single" w:sz="6" w:space="0" w:color="auto"/>
            </w:tcBorders>
          </w:tcPr>
          <w:p w14:paraId="69E4E4FF" w14:textId="77777777" w:rsidR="002D5261" w:rsidRPr="00190686" w:rsidRDefault="002D5261" w:rsidP="000A1FA1">
            <w:pPr>
              <w:tabs>
                <w:tab w:val="left" w:pos="851"/>
              </w:tabs>
              <w:spacing w:after="0" w:line="300" w:lineRule="exact"/>
              <w:jc w:val="left"/>
              <w:rPr>
                <w:rFonts w:ascii="Verdana" w:hAnsi="Verdana"/>
                <w:sz w:val="20"/>
              </w:rPr>
            </w:pPr>
            <w:r w:rsidRPr="00190686">
              <w:rPr>
                <w:rFonts w:ascii="Verdana" w:hAnsi="Verdana"/>
                <w:sz w:val="20"/>
              </w:rPr>
              <w:t>Nome:</w:t>
            </w:r>
            <w:r w:rsidRPr="00190686">
              <w:rPr>
                <w:rFonts w:ascii="Verdana" w:hAnsi="Verdana"/>
                <w:sz w:val="20"/>
              </w:rPr>
              <w:br/>
              <w:t>Id</w:t>
            </w:r>
            <w:proofErr w:type="gramStart"/>
            <w:r w:rsidRPr="00190686">
              <w:rPr>
                <w:rFonts w:ascii="Verdana" w:hAnsi="Verdana"/>
                <w:sz w:val="20"/>
              </w:rPr>
              <w:t>.:</w:t>
            </w:r>
            <w:proofErr w:type="gramEnd"/>
            <w:r w:rsidRPr="00190686">
              <w:rPr>
                <w:rFonts w:ascii="Verdana" w:hAnsi="Verdana"/>
                <w:sz w:val="20"/>
              </w:rPr>
              <w:br/>
              <w:t>CPF/MF:</w:t>
            </w:r>
          </w:p>
        </w:tc>
        <w:tc>
          <w:tcPr>
            <w:tcW w:w="567" w:type="dxa"/>
          </w:tcPr>
          <w:p w14:paraId="0D320D04" w14:textId="77777777" w:rsidR="002D5261" w:rsidRPr="00190686" w:rsidRDefault="002D5261" w:rsidP="000A1FA1">
            <w:pPr>
              <w:tabs>
                <w:tab w:val="left" w:pos="851"/>
              </w:tabs>
              <w:spacing w:after="0" w:line="300" w:lineRule="exact"/>
              <w:rPr>
                <w:rFonts w:ascii="Verdana" w:hAnsi="Verdana"/>
                <w:sz w:val="20"/>
              </w:rPr>
            </w:pPr>
          </w:p>
        </w:tc>
        <w:tc>
          <w:tcPr>
            <w:tcW w:w="4253" w:type="dxa"/>
            <w:tcBorders>
              <w:top w:val="single" w:sz="6" w:space="0" w:color="auto"/>
            </w:tcBorders>
          </w:tcPr>
          <w:p w14:paraId="542A0807" w14:textId="77777777" w:rsidR="002D5261" w:rsidRPr="00190686" w:rsidRDefault="002D5261" w:rsidP="000A1FA1">
            <w:pPr>
              <w:tabs>
                <w:tab w:val="left" w:pos="851"/>
              </w:tabs>
              <w:spacing w:after="0" w:line="300" w:lineRule="exact"/>
              <w:jc w:val="left"/>
              <w:rPr>
                <w:rFonts w:ascii="Verdana" w:hAnsi="Verdana"/>
                <w:sz w:val="20"/>
              </w:rPr>
            </w:pPr>
            <w:r w:rsidRPr="00190686">
              <w:rPr>
                <w:rFonts w:ascii="Verdana" w:hAnsi="Verdana"/>
                <w:sz w:val="20"/>
              </w:rPr>
              <w:t>Nome:</w:t>
            </w:r>
            <w:r w:rsidRPr="00190686">
              <w:rPr>
                <w:rFonts w:ascii="Verdana" w:hAnsi="Verdana"/>
                <w:sz w:val="20"/>
              </w:rPr>
              <w:br/>
              <w:t>Id</w:t>
            </w:r>
            <w:proofErr w:type="gramStart"/>
            <w:r w:rsidRPr="00190686">
              <w:rPr>
                <w:rFonts w:ascii="Verdana" w:hAnsi="Verdana"/>
                <w:sz w:val="20"/>
              </w:rPr>
              <w:t>.:</w:t>
            </w:r>
            <w:proofErr w:type="gramEnd"/>
            <w:r w:rsidRPr="00190686">
              <w:rPr>
                <w:rFonts w:ascii="Verdana" w:hAnsi="Verdana"/>
                <w:sz w:val="20"/>
              </w:rPr>
              <w:br/>
              <w:t>CPF/MF:</w:t>
            </w:r>
          </w:p>
        </w:tc>
      </w:tr>
    </w:tbl>
    <w:p w14:paraId="13797FAF" w14:textId="77777777" w:rsidR="002D5261" w:rsidRPr="00190686" w:rsidRDefault="002D5261" w:rsidP="002D5261">
      <w:pPr>
        <w:tabs>
          <w:tab w:val="left" w:pos="851"/>
        </w:tabs>
        <w:spacing w:after="0" w:line="300" w:lineRule="exact"/>
        <w:rPr>
          <w:rFonts w:ascii="Verdana" w:hAnsi="Verdana"/>
          <w:sz w:val="20"/>
        </w:rPr>
      </w:pPr>
    </w:p>
    <w:p w14:paraId="37240F00" w14:textId="77777777" w:rsidR="002D5261" w:rsidRPr="00190686" w:rsidRDefault="002D5261" w:rsidP="002D5261">
      <w:pPr>
        <w:rPr>
          <w:rFonts w:ascii="Verdana" w:hAnsi="Verdana"/>
          <w:sz w:val="20"/>
        </w:rPr>
      </w:pPr>
    </w:p>
    <w:p w14:paraId="7D605634" w14:textId="77777777" w:rsidR="002D5261" w:rsidRDefault="002D5261" w:rsidP="002D5261"/>
    <w:p w14:paraId="73D7F59C" w14:textId="77777777" w:rsidR="002D5261" w:rsidRDefault="002D5261" w:rsidP="002D5261"/>
    <w:p w14:paraId="3EF65117" w14:textId="77777777" w:rsidR="0032358D" w:rsidRDefault="0032358D"/>
    <w:sectPr w:rsidR="0032358D" w:rsidSect="000A1FA1">
      <w:footerReference w:type="default" r:id="rId24"/>
      <w:pgSz w:w="12242" w:h="15842" w:code="121"/>
      <w:pgMar w:top="1418" w:right="1701" w:bottom="1418" w:left="1701" w:header="720" w:footer="720" w:gutter="0"/>
      <w:pgNumType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BED8A" w14:textId="77777777" w:rsidR="0088366B" w:rsidRDefault="0088366B" w:rsidP="00FA48A1">
      <w:pPr>
        <w:spacing w:after="0"/>
      </w:pPr>
      <w:r>
        <w:separator/>
      </w:r>
    </w:p>
  </w:endnote>
  <w:endnote w:type="continuationSeparator" w:id="0">
    <w:p w14:paraId="68C06C0F" w14:textId="77777777" w:rsidR="0088366B" w:rsidRDefault="0088366B" w:rsidP="00FA48A1">
      <w:pPr>
        <w:spacing w:after="0"/>
      </w:pPr>
      <w:r>
        <w:continuationSeparator/>
      </w:r>
    </w:p>
  </w:endnote>
  <w:endnote w:type="continuationNotice" w:id="1">
    <w:p w14:paraId="365B41A8" w14:textId="77777777" w:rsidR="0088366B" w:rsidRDefault="0088366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Frutiger Light">
    <w:altName w:val="Kartik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6B76D" w14:textId="77777777" w:rsidR="0088366B" w:rsidRDefault="0088366B" w:rsidP="000A1FA1">
    <w:pPr>
      <w:pStyle w:val="Rodap"/>
      <w:framePr w:wrap="around" w:vAnchor="text" w:hAnchor="margin" w:xAlign="right" w:y="1"/>
      <w:rPr>
        <w:rStyle w:val="Nmerodepgina"/>
      </w:rPr>
    </w:pPr>
  </w:p>
  <w:p w14:paraId="29B7C629" w14:textId="77777777" w:rsidR="0088366B" w:rsidRDefault="0088366B" w:rsidP="000A1FA1">
    <w:pPr>
      <w:framePr w:wrap="around" w:vAnchor="text" w:hAnchor="margin" w:xAlign="center" w:y="1"/>
      <w:ind w:right="360"/>
    </w:pPr>
  </w:p>
  <w:p w14:paraId="0A39EC96" w14:textId="77777777" w:rsidR="0088366B" w:rsidRDefault="0088366B">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CE94F" w14:textId="77777777" w:rsidR="00534CAF" w:rsidRDefault="0088366B" w:rsidP="0088518D">
    <w:pPr>
      <w:pStyle w:val="Rodap"/>
      <w:jc w:val="left"/>
      <w:rPr>
        <w:rFonts w:ascii="Verdana" w:hAnsi="Verdana"/>
        <w:sz w:val="14"/>
      </w:rPr>
    </w:pPr>
    <w:r>
      <w:rPr>
        <w:rFonts w:ascii="Verdana" w:hAnsi="Verdana"/>
        <w:sz w:val="14"/>
      </w:rPr>
      <w:fldChar w:fldCharType="begin"/>
    </w:r>
    <w:r>
      <w:rPr>
        <w:rFonts w:ascii="Verdana" w:hAnsi="Verdana"/>
        <w:sz w:val="14"/>
      </w:rPr>
      <w:instrText xml:space="preserve"> DOCPROPERTY "iManageFooter"  \* MERGEFORMAT </w:instrText>
    </w:r>
    <w:r>
      <w:rPr>
        <w:rFonts w:ascii="Verdana" w:hAnsi="Verdana"/>
        <w:sz w:val="14"/>
      </w:rPr>
      <w:fldChar w:fldCharType="separate"/>
    </w:r>
  </w:p>
  <w:p w14:paraId="329D1AF1" w14:textId="6E924EFB" w:rsidR="0088366B" w:rsidRPr="00190686" w:rsidRDefault="00534CAF" w:rsidP="00660511">
    <w:pPr>
      <w:pStyle w:val="Rodap"/>
      <w:jc w:val="left"/>
      <w:rPr>
        <w:rFonts w:ascii="Verdana" w:hAnsi="Verdana"/>
        <w:sz w:val="14"/>
        <w:szCs w:val="14"/>
      </w:rPr>
    </w:pPr>
    <w:r>
      <w:rPr>
        <w:rFonts w:ascii="Verdana" w:hAnsi="Verdana"/>
        <w:sz w:val="14"/>
      </w:rPr>
      <w:t xml:space="preserve">TEXT_SP - 12426875v16 12288.1 </w:t>
    </w:r>
    <w:r w:rsidR="0088366B">
      <w:rPr>
        <w:rFonts w:ascii="Verdana" w:hAnsi="Verdana"/>
        <w:sz w:val="14"/>
      </w:rPr>
      <w:fldChar w:fldCharType="end"/>
    </w:r>
    <w:r w:rsidR="0088366B">
      <w:rPr>
        <w:rFonts w:ascii="Verdana" w:hAnsi="Verdana"/>
        <w:sz w:val="14"/>
      </w:rPr>
      <w:tab/>
    </w:r>
    <w:r w:rsidR="0088366B">
      <w:rPr>
        <w:rFonts w:ascii="Verdana" w:hAnsi="Verdana"/>
        <w:sz w:val="14"/>
      </w:rPr>
      <w:tab/>
    </w:r>
    <w:r w:rsidR="0088366B" w:rsidRPr="00190686">
      <w:rPr>
        <w:rFonts w:ascii="Verdana" w:hAnsi="Verdana"/>
        <w:sz w:val="14"/>
        <w:szCs w:val="14"/>
      </w:rPr>
      <w:fldChar w:fldCharType="begin"/>
    </w:r>
    <w:r w:rsidR="0088366B" w:rsidRPr="00190686">
      <w:rPr>
        <w:rFonts w:ascii="Verdana" w:hAnsi="Verdana"/>
        <w:sz w:val="14"/>
        <w:szCs w:val="14"/>
      </w:rPr>
      <w:instrText>PAGE   \* MERGEFORMAT</w:instrText>
    </w:r>
    <w:r w:rsidR="0088366B" w:rsidRPr="00190686">
      <w:rPr>
        <w:rFonts w:ascii="Verdana" w:hAnsi="Verdana"/>
        <w:sz w:val="14"/>
        <w:szCs w:val="14"/>
      </w:rPr>
      <w:fldChar w:fldCharType="separate"/>
    </w:r>
    <w:r>
      <w:rPr>
        <w:rFonts w:ascii="Verdana" w:hAnsi="Verdana"/>
        <w:noProof/>
        <w:sz w:val="14"/>
        <w:szCs w:val="14"/>
      </w:rPr>
      <w:t>51</w:t>
    </w:r>
    <w:r w:rsidR="0088366B" w:rsidRPr="00190686">
      <w:rPr>
        <w:rFonts w:ascii="Verdana" w:hAnsi="Verdana"/>
        <w:sz w:val="14"/>
        <w:szCs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01A59" w14:textId="77777777" w:rsidR="0088366B" w:rsidRPr="00E96AD7" w:rsidRDefault="0088366B" w:rsidP="000A1FA1">
    <w:pPr>
      <w:pStyle w:val="Rodap"/>
      <w:jc w:val="left"/>
      <w:rPr>
        <w:rFonts w:ascii="Verdana" w:hAnsi="Verdana"/>
        <w:sz w:val="1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7B3D3" w14:textId="77777777" w:rsidR="0088366B" w:rsidRPr="00190686" w:rsidRDefault="0088366B" w:rsidP="000A1FA1">
    <w:pPr>
      <w:pStyle w:val="Rodap"/>
      <w:jc w:val="left"/>
      <w:rPr>
        <w:rFonts w:ascii="Verdana" w:hAnsi="Verdana"/>
        <w:sz w:val="20"/>
      </w:rPr>
    </w:pPr>
    <w:r>
      <w:rPr>
        <w:rFonts w:ascii="Verdana" w:hAnsi="Verdana"/>
        <w:sz w:val="14"/>
      </w:rPr>
      <w:tab/>
    </w:r>
    <w:r>
      <w:rPr>
        <w:rFonts w:ascii="Verdana" w:hAnsi="Verdana"/>
        <w:sz w:val="14"/>
      </w:rPr>
      <w:tab/>
    </w:r>
    <w:r w:rsidRPr="00190686">
      <w:rPr>
        <w:rFonts w:ascii="Verdana" w:hAnsi="Verdana"/>
        <w:sz w:val="20"/>
      </w:rPr>
      <w:fldChar w:fldCharType="begin"/>
    </w:r>
    <w:r w:rsidRPr="00190686">
      <w:rPr>
        <w:rFonts w:ascii="Verdana" w:hAnsi="Verdana"/>
        <w:sz w:val="20"/>
      </w:rPr>
      <w:instrText xml:space="preserve"> PAGE  \* ROMAN  \* MERGEFORMAT </w:instrText>
    </w:r>
    <w:r w:rsidRPr="00190686">
      <w:rPr>
        <w:rFonts w:ascii="Verdana" w:hAnsi="Verdana"/>
        <w:sz w:val="20"/>
      </w:rPr>
      <w:fldChar w:fldCharType="separate"/>
    </w:r>
    <w:r w:rsidR="00534CAF">
      <w:rPr>
        <w:rFonts w:ascii="Verdana" w:hAnsi="Verdana"/>
        <w:noProof/>
        <w:sz w:val="20"/>
      </w:rPr>
      <w:t>III</w:t>
    </w:r>
    <w:r w:rsidRPr="00190686">
      <w:rPr>
        <w:rFonts w:ascii="Verdana" w:hAnsi="Verda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DE169" w14:textId="77777777" w:rsidR="0088366B" w:rsidRDefault="0088366B" w:rsidP="00FA48A1">
      <w:pPr>
        <w:spacing w:after="0"/>
      </w:pPr>
      <w:r>
        <w:separator/>
      </w:r>
    </w:p>
  </w:footnote>
  <w:footnote w:type="continuationSeparator" w:id="0">
    <w:p w14:paraId="525CCBBE" w14:textId="77777777" w:rsidR="0088366B" w:rsidRDefault="0088366B" w:rsidP="00FA48A1">
      <w:pPr>
        <w:spacing w:after="0"/>
      </w:pPr>
      <w:r>
        <w:continuationSeparator/>
      </w:r>
    </w:p>
  </w:footnote>
  <w:footnote w:type="continuationNotice" w:id="1">
    <w:p w14:paraId="293158BA" w14:textId="77777777" w:rsidR="0088366B" w:rsidRDefault="0088366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1BD18" w14:textId="77777777" w:rsidR="0088366B" w:rsidRDefault="0088366B">
    <w:pPr>
      <w:framePr w:wrap="around" w:vAnchor="text" w:hAnchor="margin" w:xAlign="right" w:y="1"/>
    </w:pPr>
    <w:r>
      <w:fldChar w:fldCharType="begin"/>
    </w:r>
    <w:r>
      <w:instrText xml:space="preserve">PAGE  </w:instrText>
    </w:r>
    <w:r>
      <w:fldChar w:fldCharType="separate"/>
    </w:r>
    <w:r>
      <w:rPr>
        <w:noProof/>
      </w:rPr>
      <w:t>1</w:t>
    </w:r>
    <w:r>
      <w:fldChar w:fldCharType="end"/>
    </w:r>
  </w:p>
  <w:p w14:paraId="140FFE1D" w14:textId="77777777" w:rsidR="0088366B" w:rsidRDefault="0088366B">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81321" w14:textId="77777777" w:rsidR="0088366B" w:rsidRPr="00EF07E6" w:rsidRDefault="0088366B" w:rsidP="000A1FA1">
    <w:pPr>
      <w:pStyle w:val="Cabealho"/>
      <w:spacing w:after="0"/>
      <w:jc w:val="center"/>
      <w:rPr>
        <w:b/>
        <w:smallCaps/>
        <w:sz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C5E96DC"/>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000010"/>
    <w:multiLevelType w:val="hybridMultilevel"/>
    <w:tmpl w:val="CAB2B934"/>
    <w:lvl w:ilvl="0" w:tplc="A27AA064">
      <w:start w:val="1"/>
      <w:numFmt w:val="lowerLetter"/>
      <w:lvlText w:val="(%1)"/>
      <w:lvlJc w:val="left"/>
      <w:pPr>
        <w:tabs>
          <w:tab w:val="num" w:pos="360"/>
        </w:tabs>
        <w:ind w:left="360" w:hanging="360"/>
      </w:pPr>
      <w:rPr>
        <w:rFonts w:ascii="Garamond" w:hAnsi="Garamond" w:cs="Times New Roman" w:hint="default"/>
        <w:sz w:val="24"/>
        <w:szCs w:val="24"/>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3">
    <w:nsid w:val="03481BCA"/>
    <w:multiLevelType w:val="multilevel"/>
    <w:tmpl w:val="88DA8C22"/>
    <w:lvl w:ilvl="0">
      <w:start w:val="8"/>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90A7617"/>
    <w:multiLevelType w:val="multilevel"/>
    <w:tmpl w:val="45BA3E5A"/>
    <w:lvl w:ilvl="0">
      <w:start w:val="7"/>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C553D84"/>
    <w:multiLevelType w:val="hybridMultilevel"/>
    <w:tmpl w:val="42029F62"/>
    <w:lvl w:ilvl="0" w:tplc="2C3C7320">
      <w:start w:val="1"/>
      <w:numFmt w:val="decimal"/>
      <w:lvlText w:val="7.4.%1."/>
      <w:lvlJc w:val="left"/>
      <w:pPr>
        <w:ind w:left="106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1DE2D58"/>
    <w:multiLevelType w:val="multilevel"/>
    <w:tmpl w:val="6D70C804"/>
    <w:lvl w:ilvl="0">
      <w:start w:val="5"/>
      <w:numFmt w:val="decimal"/>
      <w:lvlText w:val="%1."/>
      <w:lvlJc w:val="left"/>
      <w:pPr>
        <w:ind w:left="585" w:hanging="585"/>
      </w:pPr>
      <w:rPr>
        <w:rFonts w:hint="default"/>
      </w:rPr>
    </w:lvl>
    <w:lvl w:ilvl="1">
      <w:start w:val="1"/>
      <w:numFmt w:val="decimal"/>
      <w:lvlText w:val="%1.%2."/>
      <w:lvlJc w:val="left"/>
      <w:pPr>
        <w:ind w:left="1605" w:hanging="72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995" w:hanging="1800"/>
      </w:pPr>
      <w:rPr>
        <w:rFonts w:hint="default"/>
      </w:rPr>
    </w:lvl>
    <w:lvl w:ilvl="8">
      <w:start w:val="1"/>
      <w:numFmt w:val="decimal"/>
      <w:lvlText w:val="%1.%2.%3.%4.%5.%6.%7.%8.%9."/>
      <w:lvlJc w:val="left"/>
      <w:pPr>
        <w:ind w:left="8880" w:hanging="1800"/>
      </w:pPr>
      <w:rPr>
        <w:rFonts w:hint="default"/>
      </w:rPr>
    </w:lvl>
  </w:abstractNum>
  <w:abstractNum w:abstractNumId="7">
    <w:nsid w:val="13C6564A"/>
    <w:multiLevelType w:val="multilevel"/>
    <w:tmpl w:val="B086809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7.%2."/>
      <w:lvlJc w:val="left"/>
      <w:pPr>
        <w:tabs>
          <w:tab w:val="num" w:pos="709"/>
        </w:tabs>
        <w:ind w:left="709" w:hanging="709"/>
      </w:pPr>
      <w:rPr>
        <w:rFonts w:hint="default"/>
        <w:b/>
        <w:i w:val="0"/>
        <w:sz w:val="20"/>
        <w:szCs w:val="20"/>
      </w:rPr>
    </w:lvl>
    <w:lvl w:ilvl="2">
      <w:start w:val="1"/>
      <w:numFmt w:val="lowerLetter"/>
      <w:lvlText w:val="(%3)"/>
      <w:lvlJc w:val="left"/>
      <w:pPr>
        <w:tabs>
          <w:tab w:val="num" w:pos="1701"/>
        </w:tabs>
        <w:ind w:left="1701" w:hanging="992"/>
      </w:pPr>
      <w:rPr>
        <w:rFonts w:hint="default"/>
        <w:b w:val="0"/>
        <w:i w:val="0"/>
        <w:sz w:val="20"/>
        <w:szCs w:val="20"/>
      </w:rPr>
    </w:lvl>
    <w:lvl w:ilvl="3">
      <w:start w:val="1"/>
      <w:numFmt w:val="lowerLetter"/>
      <w:lvlText w:val="(%4)"/>
      <w:lvlJc w:val="left"/>
      <w:pPr>
        <w:tabs>
          <w:tab w:val="num" w:pos="2126"/>
        </w:tabs>
        <w:ind w:left="2126" w:hanging="425"/>
      </w:pPr>
      <w:rPr>
        <w:rFonts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7.17.%6."/>
      <w:lvlJc w:val="left"/>
      <w:pPr>
        <w:tabs>
          <w:tab w:val="num" w:pos="709"/>
        </w:tabs>
        <w:ind w:left="709" w:hanging="709"/>
      </w:pPr>
      <w:rPr>
        <w:rFonts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
    <w:nsid w:val="145B11A6"/>
    <w:multiLevelType w:val="multilevel"/>
    <w:tmpl w:val="AC942CD4"/>
    <w:lvl w:ilvl="0">
      <w:start w:val="4"/>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4.7.%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5D82538"/>
    <w:multiLevelType w:val="hybridMultilevel"/>
    <w:tmpl w:val="1C1489DC"/>
    <w:lvl w:ilvl="0" w:tplc="44AE41F2">
      <w:start w:val="1"/>
      <w:numFmt w:val="decimal"/>
      <w:lvlText w:val="4.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8064BB0"/>
    <w:multiLevelType w:val="multilevel"/>
    <w:tmpl w:val="C3AA02EE"/>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A4D1FD6"/>
    <w:multiLevelType w:val="hybridMultilevel"/>
    <w:tmpl w:val="2BE0872C"/>
    <w:lvl w:ilvl="0" w:tplc="077216E8">
      <w:start w:val="1"/>
      <w:numFmt w:val="decimal"/>
      <w:lvlText w:val="7.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3">
    <w:nsid w:val="2C904D89"/>
    <w:multiLevelType w:val="multilevel"/>
    <w:tmpl w:val="56EAA636"/>
    <w:lvl w:ilvl="0">
      <w:start w:val="4"/>
      <w:numFmt w:val="decimal"/>
      <w:lvlText w:val="%1."/>
      <w:lvlJc w:val="left"/>
      <w:pPr>
        <w:ind w:left="585" w:hanging="585"/>
      </w:pPr>
      <w:rPr>
        <w:rFonts w:hint="default"/>
      </w:rPr>
    </w:lvl>
    <w:lvl w:ilvl="1">
      <w:start w:val="8"/>
      <w:numFmt w:val="decimal"/>
      <w:lvlText w:val="%1.%2."/>
      <w:lvlJc w:val="left"/>
      <w:pPr>
        <w:ind w:left="720" w:hanging="72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EE5338D"/>
    <w:multiLevelType w:val="hybridMultilevel"/>
    <w:tmpl w:val="D3DE9138"/>
    <w:lvl w:ilvl="0" w:tplc="5B9603CE">
      <w:start w:val="1"/>
      <w:numFmt w:val="decimal"/>
      <w:lvlText w:val="4.2.%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614AA9"/>
    <w:multiLevelType w:val="hybridMultilevel"/>
    <w:tmpl w:val="1584DAC6"/>
    <w:lvl w:ilvl="0" w:tplc="9258E478">
      <w:start w:val="1"/>
      <w:numFmt w:val="decimal"/>
      <w:lvlText w:val="5.%1."/>
      <w:lvlJc w:val="left"/>
      <w:pPr>
        <w:ind w:left="106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1361C94"/>
    <w:multiLevelType w:val="hybridMultilevel"/>
    <w:tmpl w:val="6652C34A"/>
    <w:lvl w:ilvl="0" w:tplc="7610CD68">
      <w:start w:val="1"/>
      <w:numFmt w:val="decimal"/>
      <w:lvlText w:val="4.%1."/>
      <w:lvlJc w:val="left"/>
      <w:pPr>
        <w:ind w:left="1429"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25D4C2D"/>
    <w:multiLevelType w:val="hybridMultilevel"/>
    <w:tmpl w:val="E788D97A"/>
    <w:lvl w:ilvl="0" w:tplc="9A30B8C4">
      <w:start w:val="1"/>
      <w:numFmt w:val="decimal"/>
      <w:lvlText w:val="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63F5771"/>
    <w:multiLevelType w:val="multilevel"/>
    <w:tmpl w:val="01C89F4A"/>
    <w:lvl w:ilvl="0">
      <w:start w:val="1"/>
      <w:numFmt w:val="upperRoman"/>
      <w:lvlText w:val="%1."/>
      <w:lvlJc w:val="left"/>
      <w:pPr>
        <w:tabs>
          <w:tab w:val="num" w:pos="1418"/>
        </w:tabs>
        <w:ind w:left="1418" w:hanging="709"/>
      </w:pPr>
      <w:rPr>
        <w:rFonts w:hint="default"/>
      </w:rPr>
    </w:lvl>
    <w:lvl w:ilvl="1">
      <w:start w:val="1"/>
      <w:numFmt w:val="decimal"/>
      <w:lvlText w:val="2.%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9">
    <w:nsid w:val="37211CB6"/>
    <w:multiLevelType w:val="multilevel"/>
    <w:tmpl w:val="AADA2098"/>
    <w:lvl w:ilvl="0">
      <w:start w:val="4"/>
      <w:numFmt w:val="decimal"/>
      <w:lvlText w:val="%1."/>
      <w:lvlJc w:val="left"/>
      <w:pPr>
        <w:ind w:left="600" w:hanging="600"/>
      </w:pPr>
      <w:rPr>
        <w:rFonts w:ascii="Garamond" w:hAnsi="Garamond" w:hint="default"/>
        <w:sz w:val="22"/>
      </w:rPr>
    </w:lvl>
    <w:lvl w:ilvl="1">
      <w:start w:val="2"/>
      <w:numFmt w:val="decimal"/>
      <w:lvlText w:val="%1.%2."/>
      <w:lvlJc w:val="left"/>
      <w:pPr>
        <w:ind w:left="720" w:hanging="720"/>
      </w:pPr>
      <w:rPr>
        <w:rFonts w:ascii="Garamond" w:hAnsi="Garamond" w:hint="default"/>
        <w:sz w:val="22"/>
      </w:rPr>
    </w:lvl>
    <w:lvl w:ilvl="2">
      <w:start w:val="5"/>
      <w:numFmt w:val="decimal"/>
      <w:lvlText w:val="%1.%2.%3."/>
      <w:lvlJc w:val="left"/>
      <w:pPr>
        <w:ind w:left="720" w:hanging="720"/>
      </w:pPr>
      <w:rPr>
        <w:rFonts w:ascii="Garamond" w:hAnsi="Garamond" w:hint="default"/>
        <w:sz w:val="22"/>
      </w:rPr>
    </w:lvl>
    <w:lvl w:ilvl="3">
      <w:start w:val="1"/>
      <w:numFmt w:val="decimal"/>
      <w:lvlText w:val="%1.%2.%3.%4."/>
      <w:lvlJc w:val="left"/>
      <w:pPr>
        <w:ind w:left="1080" w:hanging="1080"/>
      </w:pPr>
      <w:rPr>
        <w:rFonts w:ascii="Verdana" w:hAnsi="Verdana" w:cs="Times New Roman" w:hint="default"/>
        <w:sz w:val="20"/>
        <w:szCs w:val="20"/>
      </w:rPr>
    </w:lvl>
    <w:lvl w:ilvl="4">
      <w:start w:val="1"/>
      <w:numFmt w:val="decimal"/>
      <w:lvlText w:val="%1.%2.%3.%4.%5."/>
      <w:lvlJc w:val="left"/>
      <w:pPr>
        <w:ind w:left="1080" w:hanging="1080"/>
      </w:pPr>
      <w:rPr>
        <w:rFonts w:ascii="Garamond" w:hAnsi="Garamond" w:hint="default"/>
        <w:sz w:val="22"/>
      </w:rPr>
    </w:lvl>
    <w:lvl w:ilvl="5">
      <w:start w:val="1"/>
      <w:numFmt w:val="decimal"/>
      <w:lvlText w:val="%1.%2.%3.%4.%5.%6."/>
      <w:lvlJc w:val="left"/>
      <w:pPr>
        <w:ind w:left="1440" w:hanging="1440"/>
      </w:pPr>
      <w:rPr>
        <w:rFonts w:ascii="Garamond" w:hAnsi="Garamond" w:hint="default"/>
        <w:sz w:val="22"/>
      </w:rPr>
    </w:lvl>
    <w:lvl w:ilvl="6">
      <w:start w:val="1"/>
      <w:numFmt w:val="decimal"/>
      <w:lvlText w:val="%1.%2.%3.%4.%5.%6.%7."/>
      <w:lvlJc w:val="left"/>
      <w:pPr>
        <w:ind w:left="1440" w:hanging="1440"/>
      </w:pPr>
      <w:rPr>
        <w:rFonts w:ascii="Garamond" w:hAnsi="Garamond" w:hint="default"/>
        <w:sz w:val="22"/>
      </w:rPr>
    </w:lvl>
    <w:lvl w:ilvl="7">
      <w:start w:val="1"/>
      <w:numFmt w:val="decimal"/>
      <w:lvlText w:val="%1.%2.%3.%4.%5.%6.%7.%8."/>
      <w:lvlJc w:val="left"/>
      <w:pPr>
        <w:ind w:left="1800" w:hanging="1800"/>
      </w:pPr>
      <w:rPr>
        <w:rFonts w:ascii="Garamond" w:hAnsi="Garamond" w:hint="default"/>
        <w:sz w:val="22"/>
      </w:rPr>
    </w:lvl>
    <w:lvl w:ilvl="8">
      <w:start w:val="1"/>
      <w:numFmt w:val="decimal"/>
      <w:lvlText w:val="%1.%2.%3.%4.%5.%6.%7.%8.%9."/>
      <w:lvlJc w:val="left"/>
      <w:pPr>
        <w:ind w:left="1800" w:hanging="1800"/>
      </w:pPr>
      <w:rPr>
        <w:rFonts w:ascii="Garamond" w:hAnsi="Garamond" w:hint="default"/>
        <w:sz w:val="22"/>
      </w:rPr>
    </w:lvl>
  </w:abstractNum>
  <w:abstractNum w:abstractNumId="20">
    <w:nsid w:val="37FA31F9"/>
    <w:multiLevelType w:val="multilevel"/>
    <w:tmpl w:val="3F1A3206"/>
    <w:lvl w:ilvl="0">
      <w:start w:val="1"/>
      <w:numFmt w:val="decimal"/>
      <w:lvlText w:val="%1."/>
      <w:lvlJc w:val="left"/>
      <w:pPr>
        <w:tabs>
          <w:tab w:val="num" w:pos="709"/>
        </w:tabs>
        <w:ind w:left="709" w:hanging="709"/>
      </w:pPr>
      <w:rPr>
        <w:rFonts w:ascii="Times New Roman" w:hAnsi="Times New Roman" w:hint="default"/>
        <w:b w:val="0"/>
        <w:i w:val="0"/>
        <w:sz w:val="26"/>
      </w:rPr>
    </w:lvl>
    <w:lvl w:ilvl="1">
      <w:start w:val="6"/>
      <w:numFmt w:val="decimal"/>
      <w:lvlText w:val="7.%2."/>
      <w:lvlJc w:val="left"/>
      <w:pPr>
        <w:tabs>
          <w:tab w:val="num" w:pos="709"/>
        </w:tabs>
        <w:ind w:left="709" w:hanging="709"/>
      </w:pPr>
      <w:rPr>
        <w:rFonts w:hint="default"/>
        <w:b/>
        <w:i w:val="0"/>
        <w:sz w:val="26"/>
      </w:rPr>
    </w:lvl>
    <w:lvl w:ilvl="2">
      <w:start w:val="1"/>
      <w:numFmt w:val="lowerLetter"/>
      <w:lvlText w:val="(%3)"/>
      <w:lvlJc w:val="left"/>
      <w:pPr>
        <w:tabs>
          <w:tab w:val="num" w:pos="1701"/>
        </w:tabs>
        <w:ind w:left="1701" w:hanging="992"/>
      </w:pPr>
      <w:rPr>
        <w:rFonts w:hint="default"/>
        <w:b w:val="0"/>
        <w:i w:val="0"/>
        <w:sz w:val="26"/>
        <w:szCs w:val="20"/>
      </w:rPr>
    </w:lvl>
    <w:lvl w:ilvl="3">
      <w:start w:val="1"/>
      <w:numFmt w:val="lowerLetter"/>
      <w:lvlText w:val="(%4)"/>
      <w:lvlJc w:val="lef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7.17.%6."/>
      <w:lvlJc w:val="left"/>
      <w:pPr>
        <w:tabs>
          <w:tab w:val="num" w:pos="709"/>
        </w:tabs>
        <w:ind w:left="709" w:hanging="709"/>
      </w:pPr>
      <w:rPr>
        <w:rFonts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1">
    <w:nsid w:val="385549C0"/>
    <w:multiLevelType w:val="hybridMultilevel"/>
    <w:tmpl w:val="FBDCC286"/>
    <w:lvl w:ilvl="0" w:tplc="F684B0F0">
      <w:start w:val="1"/>
      <w:numFmt w:val="decimal"/>
      <w:lvlText w:val="4.1.%1."/>
      <w:lvlJc w:val="left"/>
      <w:pPr>
        <w:ind w:left="142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97459F4"/>
    <w:multiLevelType w:val="multilevel"/>
    <w:tmpl w:val="6D4C64A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2.%2."/>
      <w:lvlJc w:val="left"/>
      <w:pPr>
        <w:tabs>
          <w:tab w:val="num" w:pos="709"/>
        </w:tabs>
        <w:ind w:left="709" w:hanging="709"/>
      </w:pPr>
      <w:rPr>
        <w:rFonts w:hint="default"/>
        <w:b/>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Verdana" w:hAnsi="Verdana" w:hint="default"/>
        <w:b w:val="0"/>
        <w:i w:val="0"/>
        <w:sz w:val="20"/>
        <w:szCs w:val="20"/>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3">
    <w:nsid w:val="3B8C21BD"/>
    <w:multiLevelType w:val="hybridMultilevel"/>
    <w:tmpl w:val="F4A63C0C"/>
    <w:lvl w:ilvl="0" w:tplc="EB604592">
      <w:start w:val="1"/>
      <w:numFmt w:val="decimal"/>
      <w:lvlText w:val="7.2.%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360CD6"/>
    <w:multiLevelType w:val="hybridMultilevel"/>
    <w:tmpl w:val="94A4D722"/>
    <w:lvl w:ilvl="0" w:tplc="77B0026E">
      <w:start w:val="1"/>
      <w:numFmt w:val="decimal"/>
      <w:lvlText w:val="8.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FFC6F5A"/>
    <w:multiLevelType w:val="hybridMultilevel"/>
    <w:tmpl w:val="961C5EA4"/>
    <w:lvl w:ilvl="0" w:tplc="55B6A8A0">
      <w:start w:val="1"/>
      <w:numFmt w:val="decimal"/>
      <w:lvlText w:val="4.3.%1."/>
      <w:lvlJc w:val="left"/>
      <w:pPr>
        <w:ind w:left="142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41F06897"/>
    <w:multiLevelType w:val="multilevel"/>
    <w:tmpl w:val="A260ED9C"/>
    <w:lvl w:ilvl="0">
      <w:start w:val="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4.3.5.%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4580059C"/>
    <w:multiLevelType w:val="multilevel"/>
    <w:tmpl w:val="607E36F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6.%2."/>
      <w:lvlJc w:val="left"/>
      <w:pPr>
        <w:tabs>
          <w:tab w:val="num" w:pos="709"/>
        </w:tabs>
        <w:ind w:left="709" w:hanging="709"/>
      </w:pPr>
      <w:rPr>
        <w:rFonts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Roman"/>
      <w:lvlText w:val="(%4)"/>
      <w:lvlJc w:val="left"/>
      <w:pPr>
        <w:tabs>
          <w:tab w:val="num" w:pos="1418"/>
        </w:tabs>
        <w:ind w:left="1418"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8">
    <w:nsid w:val="46E04F0D"/>
    <w:multiLevelType w:val="hybridMultilevel"/>
    <w:tmpl w:val="755CE258"/>
    <w:lvl w:ilvl="0" w:tplc="6F686776">
      <w:start w:val="1"/>
      <w:numFmt w:val="decimal"/>
      <w:lvlText w:val="4.4.%1."/>
      <w:lvlJc w:val="left"/>
      <w:pPr>
        <w:ind w:left="3621" w:hanging="360"/>
      </w:pPr>
      <w:rPr>
        <w:rFonts w:hint="default"/>
        <w:i w:val="0"/>
      </w:rPr>
    </w:lvl>
    <w:lvl w:ilvl="1" w:tplc="04160019" w:tentative="1">
      <w:start w:val="1"/>
      <w:numFmt w:val="lowerLetter"/>
      <w:lvlText w:val="%2."/>
      <w:lvlJc w:val="left"/>
      <w:pPr>
        <w:ind w:left="4701" w:hanging="360"/>
      </w:pPr>
    </w:lvl>
    <w:lvl w:ilvl="2" w:tplc="0416001B" w:tentative="1">
      <w:start w:val="1"/>
      <w:numFmt w:val="lowerRoman"/>
      <w:lvlText w:val="%3."/>
      <w:lvlJc w:val="right"/>
      <w:pPr>
        <w:ind w:left="5421" w:hanging="180"/>
      </w:pPr>
    </w:lvl>
    <w:lvl w:ilvl="3" w:tplc="0416000F" w:tentative="1">
      <w:start w:val="1"/>
      <w:numFmt w:val="decimal"/>
      <w:lvlText w:val="%4."/>
      <w:lvlJc w:val="left"/>
      <w:pPr>
        <w:ind w:left="6141" w:hanging="360"/>
      </w:pPr>
    </w:lvl>
    <w:lvl w:ilvl="4" w:tplc="04160019" w:tentative="1">
      <w:start w:val="1"/>
      <w:numFmt w:val="lowerLetter"/>
      <w:lvlText w:val="%5."/>
      <w:lvlJc w:val="left"/>
      <w:pPr>
        <w:ind w:left="6861" w:hanging="360"/>
      </w:pPr>
    </w:lvl>
    <w:lvl w:ilvl="5" w:tplc="0416001B" w:tentative="1">
      <w:start w:val="1"/>
      <w:numFmt w:val="lowerRoman"/>
      <w:lvlText w:val="%6."/>
      <w:lvlJc w:val="right"/>
      <w:pPr>
        <w:ind w:left="7581" w:hanging="180"/>
      </w:pPr>
    </w:lvl>
    <w:lvl w:ilvl="6" w:tplc="0416000F" w:tentative="1">
      <w:start w:val="1"/>
      <w:numFmt w:val="decimal"/>
      <w:lvlText w:val="%7."/>
      <w:lvlJc w:val="left"/>
      <w:pPr>
        <w:ind w:left="8301" w:hanging="360"/>
      </w:pPr>
    </w:lvl>
    <w:lvl w:ilvl="7" w:tplc="04160019" w:tentative="1">
      <w:start w:val="1"/>
      <w:numFmt w:val="lowerLetter"/>
      <w:lvlText w:val="%8."/>
      <w:lvlJc w:val="left"/>
      <w:pPr>
        <w:ind w:left="9021" w:hanging="360"/>
      </w:pPr>
    </w:lvl>
    <w:lvl w:ilvl="8" w:tplc="0416001B" w:tentative="1">
      <w:start w:val="1"/>
      <w:numFmt w:val="lowerRoman"/>
      <w:lvlText w:val="%9."/>
      <w:lvlJc w:val="right"/>
      <w:pPr>
        <w:ind w:left="9741" w:hanging="180"/>
      </w:pPr>
    </w:lvl>
  </w:abstractNum>
  <w:abstractNum w:abstractNumId="29">
    <w:nsid w:val="48A40989"/>
    <w:multiLevelType w:val="hybridMultilevel"/>
    <w:tmpl w:val="F44213DA"/>
    <w:lvl w:ilvl="0" w:tplc="78B07DB8">
      <w:start w:val="1"/>
      <w:numFmt w:val="lowerLetter"/>
      <w:lvlText w:val="(%1)"/>
      <w:lvlJc w:val="left"/>
      <w:pPr>
        <w:ind w:left="3661" w:hanging="40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620BE1"/>
    <w:multiLevelType w:val="multilevel"/>
    <w:tmpl w:val="CDF0143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6.%2."/>
      <w:lvlJc w:val="left"/>
      <w:pPr>
        <w:tabs>
          <w:tab w:val="num" w:pos="709"/>
        </w:tabs>
        <w:ind w:left="709" w:hanging="709"/>
      </w:pPr>
      <w:rPr>
        <w:rFonts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Roman"/>
      <w:lvlText w:val="(%4)"/>
      <w:lvlJc w:val="left"/>
      <w:pPr>
        <w:tabs>
          <w:tab w:val="num" w:pos="2126"/>
        </w:tabs>
        <w:ind w:left="2126"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1">
    <w:nsid w:val="4E2C3A0A"/>
    <w:multiLevelType w:val="hybridMultilevel"/>
    <w:tmpl w:val="C930C40C"/>
    <w:lvl w:ilvl="0" w:tplc="6C964F26">
      <w:start w:val="1"/>
      <w:numFmt w:val="decimal"/>
      <w:lvlText w:val="4.6.%1."/>
      <w:lvlJc w:val="left"/>
      <w:pPr>
        <w:ind w:left="3621"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5137674A"/>
    <w:multiLevelType w:val="hybridMultilevel"/>
    <w:tmpl w:val="907C57C4"/>
    <w:lvl w:ilvl="0" w:tplc="6B0E912A">
      <w:start w:val="1"/>
      <w:numFmt w:val="decimal"/>
      <w:lvlText w:val="8.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28A4C76"/>
    <w:multiLevelType w:val="multilevel"/>
    <w:tmpl w:val="F1C01A9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8.%2."/>
      <w:lvlJc w:val="left"/>
      <w:pPr>
        <w:tabs>
          <w:tab w:val="num" w:pos="709"/>
        </w:tabs>
        <w:ind w:left="709" w:hanging="709"/>
      </w:pPr>
      <w:rPr>
        <w:rFonts w:hint="default"/>
        <w:b/>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8.6.%6."/>
      <w:lvlJc w:val="left"/>
      <w:pPr>
        <w:tabs>
          <w:tab w:val="num" w:pos="709"/>
        </w:tabs>
        <w:ind w:left="709" w:hanging="709"/>
      </w:pPr>
      <w:rPr>
        <w:rFonts w:hint="default"/>
        <w:b w:val="0"/>
        <w:i w:val="0"/>
        <w:sz w:val="26"/>
        <w:szCs w:val="20"/>
      </w:rPr>
    </w:lvl>
    <w:lvl w:ilvl="6">
      <w:start w:val="1"/>
      <w:numFmt w:val="lowerLetter"/>
      <w:lvlText w:val="(%7)"/>
      <w:lvlJc w:val="left"/>
      <w:pPr>
        <w:tabs>
          <w:tab w:val="num" w:pos="1701"/>
        </w:tabs>
        <w:ind w:left="1701" w:hanging="992"/>
      </w:pPr>
      <w:rPr>
        <w:rFonts w:hint="default"/>
        <w:b w:val="0"/>
        <w:i w:val="0"/>
        <w:sz w:val="20"/>
        <w:szCs w:val="20"/>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4">
    <w:nsid w:val="531227C6"/>
    <w:multiLevelType w:val="hybridMultilevel"/>
    <w:tmpl w:val="9926ED76"/>
    <w:lvl w:ilvl="0" w:tplc="DE005184">
      <w:start w:val="1"/>
      <w:numFmt w:val="lowerLetter"/>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5315155F"/>
    <w:multiLevelType w:val="hybridMultilevel"/>
    <w:tmpl w:val="6D4A1610"/>
    <w:lvl w:ilvl="0" w:tplc="AFC22E3E">
      <w:start w:val="1"/>
      <w:numFmt w:val="lowerRoman"/>
      <w:lvlText w:val="(%1)"/>
      <w:lvlJc w:val="left"/>
      <w:pPr>
        <w:ind w:left="1713" w:hanging="72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372006B"/>
    <w:multiLevelType w:val="multilevel"/>
    <w:tmpl w:val="8D206B7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6.%2."/>
      <w:lvlJc w:val="left"/>
      <w:pPr>
        <w:tabs>
          <w:tab w:val="num" w:pos="709"/>
        </w:tabs>
        <w:ind w:left="709" w:hanging="709"/>
      </w:pPr>
      <w:rPr>
        <w:rFonts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Verdana" w:hAnsi="Verdana"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7">
    <w:nsid w:val="58B71F05"/>
    <w:multiLevelType w:val="multilevel"/>
    <w:tmpl w:val="77FEAD24"/>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B157D6C"/>
    <w:multiLevelType w:val="multilevel"/>
    <w:tmpl w:val="7862AA6E"/>
    <w:lvl w:ilvl="0">
      <w:start w:val="1"/>
      <w:numFmt w:val="decimal"/>
      <w:lvlText w:val="%1."/>
      <w:lvlJc w:val="left"/>
      <w:pPr>
        <w:tabs>
          <w:tab w:val="num" w:pos="709"/>
        </w:tabs>
        <w:ind w:left="709" w:hanging="709"/>
      </w:pPr>
      <w:rPr>
        <w:rFonts w:ascii="Times New Roman" w:hAnsi="Times New Roman" w:hint="default"/>
        <w:b w:val="0"/>
        <w:i w:val="0"/>
        <w:sz w:val="26"/>
      </w:rPr>
    </w:lvl>
    <w:lvl w:ilvl="1">
      <w:start w:val="6"/>
      <w:numFmt w:val="decimal"/>
      <w:lvlText w:val="7.%2."/>
      <w:lvlJc w:val="left"/>
      <w:pPr>
        <w:tabs>
          <w:tab w:val="num" w:pos="709"/>
        </w:tabs>
        <w:ind w:left="709" w:hanging="709"/>
      </w:pPr>
      <w:rPr>
        <w:rFonts w:hint="default"/>
        <w:b/>
        <w:i w:val="0"/>
        <w:sz w:val="26"/>
      </w:rPr>
    </w:lvl>
    <w:lvl w:ilvl="2">
      <w:start w:val="1"/>
      <w:numFmt w:val="lowerLetter"/>
      <w:lvlText w:val="(%3)"/>
      <w:lvlJc w:val="left"/>
      <w:pPr>
        <w:tabs>
          <w:tab w:val="num" w:pos="1701"/>
        </w:tabs>
        <w:ind w:left="1701" w:hanging="992"/>
      </w:pPr>
      <w:rPr>
        <w:rFonts w:hint="default"/>
        <w:b w:val="0"/>
        <w:i w:val="0"/>
        <w:sz w:val="20"/>
        <w:szCs w:val="20"/>
      </w:rPr>
    </w:lvl>
    <w:lvl w:ilvl="3">
      <w:start w:val="1"/>
      <w:numFmt w:val="lowerLetter"/>
      <w:lvlText w:val="(%4)"/>
      <w:lvlJc w:val="lef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7.17.%6."/>
      <w:lvlJc w:val="left"/>
      <w:pPr>
        <w:tabs>
          <w:tab w:val="num" w:pos="709"/>
        </w:tabs>
        <w:ind w:left="709" w:hanging="709"/>
      </w:pPr>
      <w:rPr>
        <w:rFonts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9">
    <w:nsid w:val="5BE6416A"/>
    <w:multiLevelType w:val="multilevel"/>
    <w:tmpl w:val="8250DC38"/>
    <w:lvl w:ilvl="0">
      <w:start w:val="4"/>
      <w:numFmt w:val="decimal"/>
      <w:lvlText w:val="%1."/>
      <w:lvlJc w:val="left"/>
      <w:pPr>
        <w:ind w:left="585" w:hanging="585"/>
      </w:pPr>
      <w:rPr>
        <w:rFonts w:hint="default"/>
      </w:rPr>
    </w:lvl>
    <w:lvl w:ilvl="1">
      <w:start w:val="6"/>
      <w:numFmt w:val="decimal"/>
      <w:lvlText w:val="%1.%2."/>
      <w:lvlJc w:val="left"/>
      <w:pPr>
        <w:ind w:left="720" w:hanging="720"/>
      </w:pPr>
      <w:rPr>
        <w:rFonts w:hint="default"/>
        <w:b/>
      </w:rPr>
    </w:lvl>
    <w:lvl w:ilvl="2">
      <w:start w:val="1"/>
      <w:numFmt w:val="lowerLetter"/>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5BF87D2B"/>
    <w:multiLevelType w:val="multilevel"/>
    <w:tmpl w:val="DC94DAF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9.%2."/>
      <w:lvlJc w:val="left"/>
      <w:pPr>
        <w:tabs>
          <w:tab w:val="num" w:pos="709"/>
        </w:tabs>
        <w:ind w:left="709" w:hanging="709"/>
      </w:pPr>
      <w:rPr>
        <w:rFonts w:hint="default"/>
        <w:b w:val="0"/>
        <w:i w:val="0"/>
        <w:sz w:val="20"/>
        <w:szCs w:val="20"/>
      </w:rPr>
    </w:lvl>
    <w:lvl w:ilvl="2">
      <w:start w:val="1"/>
      <w:numFmt w:val="lowerLetter"/>
      <w:lvlText w:val="(%3)"/>
      <w:lvlJc w:val="left"/>
      <w:pPr>
        <w:tabs>
          <w:tab w:val="num" w:pos="1701"/>
        </w:tabs>
        <w:ind w:left="1701" w:hanging="992"/>
      </w:pPr>
      <w:rPr>
        <w:rFonts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8.6.%6."/>
      <w:lvlJc w:val="left"/>
      <w:pPr>
        <w:tabs>
          <w:tab w:val="num" w:pos="709"/>
        </w:tabs>
        <w:ind w:left="709" w:hanging="709"/>
      </w:pPr>
      <w:rPr>
        <w:rFonts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1">
    <w:nsid w:val="5E577623"/>
    <w:multiLevelType w:val="hybridMultilevel"/>
    <w:tmpl w:val="0B7CEECC"/>
    <w:lvl w:ilvl="0" w:tplc="C1D22CA4">
      <w:start w:val="1"/>
      <w:numFmt w:val="decimal"/>
      <w:lvlText w:val="8.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64AD1CEE"/>
    <w:multiLevelType w:val="hybridMultilevel"/>
    <w:tmpl w:val="3274DBA0"/>
    <w:lvl w:ilvl="0" w:tplc="C6F89BBA">
      <w:start w:val="1"/>
      <w:numFmt w:val="decimal"/>
      <w:lvlText w:val="7.3.%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68584024"/>
    <w:multiLevelType w:val="hybridMultilevel"/>
    <w:tmpl w:val="C50E5A6A"/>
    <w:lvl w:ilvl="0" w:tplc="2B64EECC">
      <w:start w:val="1"/>
      <w:numFmt w:val="decimal"/>
      <w:lvlText w:val="2.2.%1."/>
      <w:lvlJc w:val="left"/>
      <w:pPr>
        <w:ind w:left="3621"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71C90B51"/>
    <w:multiLevelType w:val="hybridMultilevel"/>
    <w:tmpl w:val="BDB66826"/>
    <w:lvl w:ilvl="0" w:tplc="E8FCA3DE">
      <w:start w:val="1"/>
      <w:numFmt w:val="decimal"/>
      <w:lvlText w:val="10.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72C258F9"/>
    <w:multiLevelType w:val="multilevel"/>
    <w:tmpl w:val="816A1CC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0.%2."/>
      <w:lvlJc w:val="left"/>
      <w:pPr>
        <w:tabs>
          <w:tab w:val="num" w:pos="709"/>
        </w:tabs>
        <w:ind w:left="709" w:hanging="709"/>
      </w:pPr>
      <w:rPr>
        <w:rFonts w:hint="default"/>
        <w:b/>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8.6.%6."/>
      <w:lvlJc w:val="left"/>
      <w:pPr>
        <w:tabs>
          <w:tab w:val="num" w:pos="709"/>
        </w:tabs>
        <w:ind w:left="709" w:hanging="709"/>
      </w:pPr>
      <w:rPr>
        <w:rFonts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num w:numId="1">
    <w:abstractNumId w:val="12"/>
  </w:num>
  <w:num w:numId="2">
    <w:abstractNumId w:val="18"/>
  </w:num>
  <w:num w:numId="3">
    <w:abstractNumId w:val="0"/>
  </w:num>
  <w:num w:numId="4">
    <w:abstractNumId w:val="22"/>
  </w:num>
  <w:num w:numId="5">
    <w:abstractNumId w:val="37"/>
  </w:num>
  <w:num w:numId="6">
    <w:abstractNumId w:val="13"/>
  </w:num>
  <w:num w:numId="7">
    <w:abstractNumId w:val="6"/>
  </w:num>
  <w:num w:numId="8">
    <w:abstractNumId w:val="15"/>
  </w:num>
  <w:num w:numId="9">
    <w:abstractNumId w:val="36"/>
  </w:num>
  <w:num w:numId="10">
    <w:abstractNumId w:val="7"/>
  </w:num>
  <w:num w:numId="11">
    <w:abstractNumId w:val="33"/>
  </w:num>
  <w:num w:numId="12">
    <w:abstractNumId w:val="40"/>
  </w:num>
  <w:num w:numId="13">
    <w:abstractNumId w:val="45"/>
  </w:num>
  <w:num w:numId="14">
    <w:abstractNumId w:val="28"/>
  </w:num>
  <w:num w:numId="15">
    <w:abstractNumId w:val="8"/>
  </w:num>
  <w:num w:numId="16">
    <w:abstractNumId w:val="39"/>
  </w:num>
  <w:num w:numId="17">
    <w:abstractNumId w:val="31"/>
  </w:num>
  <w:num w:numId="18">
    <w:abstractNumId w:val="43"/>
  </w:num>
  <w:num w:numId="19">
    <w:abstractNumId w:val="16"/>
  </w:num>
  <w:num w:numId="20">
    <w:abstractNumId w:val="21"/>
  </w:num>
  <w:num w:numId="21">
    <w:abstractNumId w:val="14"/>
  </w:num>
  <w:num w:numId="22">
    <w:abstractNumId w:val="19"/>
  </w:num>
  <w:num w:numId="23">
    <w:abstractNumId w:val="25"/>
  </w:num>
  <w:num w:numId="24">
    <w:abstractNumId w:val="26"/>
  </w:num>
  <w:num w:numId="25">
    <w:abstractNumId w:val="23"/>
  </w:num>
  <w:num w:numId="26">
    <w:abstractNumId w:val="42"/>
  </w:num>
  <w:num w:numId="27">
    <w:abstractNumId w:val="11"/>
  </w:num>
  <w:num w:numId="28">
    <w:abstractNumId w:val="20"/>
  </w:num>
  <w:num w:numId="29">
    <w:abstractNumId w:val="24"/>
  </w:num>
  <w:num w:numId="30">
    <w:abstractNumId w:val="3"/>
  </w:num>
  <w:num w:numId="31">
    <w:abstractNumId w:val="32"/>
  </w:num>
  <w:num w:numId="32">
    <w:abstractNumId w:val="41"/>
  </w:num>
  <w:num w:numId="33">
    <w:abstractNumId w:val="38"/>
  </w:num>
  <w:num w:numId="34">
    <w:abstractNumId w:val="44"/>
  </w:num>
  <w:num w:numId="35">
    <w:abstractNumId w:val="5"/>
  </w:num>
  <w:num w:numId="36">
    <w:abstractNumId w:val="10"/>
  </w:num>
  <w:num w:numId="37">
    <w:abstractNumId w:val="29"/>
  </w:num>
  <w:num w:numId="38">
    <w:abstractNumId w:val="27"/>
  </w:num>
  <w:num w:numId="39">
    <w:abstractNumId w:val="30"/>
  </w:num>
  <w:num w:numId="40">
    <w:abstractNumId w:val="4"/>
  </w:num>
  <w:num w:numId="41">
    <w:abstractNumId w:val="34"/>
  </w:num>
  <w:num w:numId="42">
    <w:abstractNumId w:val="9"/>
  </w:num>
  <w:num w:numId="43">
    <w:abstractNumId w:val="17"/>
  </w:num>
  <w:num w:numId="44">
    <w:abstractNumId w:val="2"/>
  </w:num>
  <w:num w:numId="45">
    <w:abstractNumId w:val="1"/>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261"/>
    <w:rsid w:val="00061DF8"/>
    <w:rsid w:val="00084FA8"/>
    <w:rsid w:val="000A1FA1"/>
    <w:rsid w:val="00106815"/>
    <w:rsid w:val="001C53B9"/>
    <w:rsid w:val="001C699B"/>
    <w:rsid w:val="00213040"/>
    <w:rsid w:val="0027156E"/>
    <w:rsid w:val="002D5261"/>
    <w:rsid w:val="00317A19"/>
    <w:rsid w:val="0032358D"/>
    <w:rsid w:val="00334C56"/>
    <w:rsid w:val="003C78DF"/>
    <w:rsid w:val="004001B5"/>
    <w:rsid w:val="00502D46"/>
    <w:rsid w:val="00507583"/>
    <w:rsid w:val="00514A40"/>
    <w:rsid w:val="00534CAF"/>
    <w:rsid w:val="005A1706"/>
    <w:rsid w:val="005C59B9"/>
    <w:rsid w:val="00647458"/>
    <w:rsid w:val="00647740"/>
    <w:rsid w:val="00660511"/>
    <w:rsid w:val="00705A09"/>
    <w:rsid w:val="007339AB"/>
    <w:rsid w:val="0075699B"/>
    <w:rsid w:val="007A4AB0"/>
    <w:rsid w:val="0088366B"/>
    <w:rsid w:val="0088518D"/>
    <w:rsid w:val="00890211"/>
    <w:rsid w:val="008A2844"/>
    <w:rsid w:val="00954E48"/>
    <w:rsid w:val="009956B5"/>
    <w:rsid w:val="009F3F9D"/>
    <w:rsid w:val="00AA59AC"/>
    <w:rsid w:val="00AD7334"/>
    <w:rsid w:val="00CF31F1"/>
    <w:rsid w:val="00D103FD"/>
    <w:rsid w:val="00EC19F1"/>
    <w:rsid w:val="00F50AEC"/>
    <w:rsid w:val="00F61CBE"/>
    <w:rsid w:val="00F927B8"/>
    <w:rsid w:val="00FA4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HAnsi"/>
        <w:sz w:val="1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261"/>
    <w:pPr>
      <w:spacing w:after="120" w:line="240" w:lineRule="auto"/>
      <w:jc w:val="both"/>
    </w:pPr>
    <w:rPr>
      <w:rFonts w:ascii="Times New Roman" w:eastAsia="Times New Roman" w:hAnsi="Times New Roman" w:cs="Times New Roman"/>
      <w:sz w:val="26"/>
      <w:szCs w:val="20"/>
      <w:lang w:val="pt-BR" w:eastAsia="pt-BR"/>
    </w:rPr>
  </w:style>
  <w:style w:type="paragraph" w:styleId="Ttulo1">
    <w:name w:val="heading 1"/>
    <w:basedOn w:val="Normal"/>
    <w:next w:val="Normal"/>
    <w:link w:val="Ttulo1Char"/>
    <w:qFormat/>
    <w:rsid w:val="002D5261"/>
    <w:pPr>
      <w:keepNext/>
      <w:outlineLvl w:val="0"/>
    </w:pPr>
    <w:rPr>
      <w:rFonts w:ascii="CG Times" w:hAnsi="CG Times"/>
      <w:b/>
    </w:rPr>
  </w:style>
  <w:style w:type="paragraph" w:styleId="Ttulo2">
    <w:name w:val="heading 2"/>
    <w:basedOn w:val="Normal"/>
    <w:next w:val="Normal"/>
    <w:link w:val="Ttulo2Char"/>
    <w:qFormat/>
    <w:rsid w:val="002D5261"/>
    <w:pPr>
      <w:keepNext/>
      <w:outlineLvl w:val="1"/>
    </w:pPr>
    <w:rPr>
      <w:rFonts w:ascii="CG Times" w:hAnsi="CG Times"/>
    </w:rPr>
  </w:style>
  <w:style w:type="paragraph" w:styleId="Ttulo3">
    <w:name w:val="heading 3"/>
    <w:basedOn w:val="Normal"/>
    <w:next w:val="Normal"/>
    <w:link w:val="Ttulo3Char"/>
    <w:qFormat/>
    <w:rsid w:val="002D5261"/>
    <w:pPr>
      <w:keepNext/>
      <w:jc w:val="center"/>
      <w:outlineLvl w:val="2"/>
    </w:pPr>
    <w:rPr>
      <w:rFonts w:ascii="CG Times" w:hAnsi="CG Times"/>
      <w:b/>
    </w:rPr>
  </w:style>
  <w:style w:type="paragraph" w:styleId="Ttulo4">
    <w:name w:val="heading 4"/>
    <w:basedOn w:val="Normal"/>
    <w:next w:val="Normal"/>
    <w:link w:val="Ttulo4Char"/>
    <w:qFormat/>
    <w:rsid w:val="002D5261"/>
    <w:pPr>
      <w:keepNext/>
      <w:jc w:val="center"/>
      <w:outlineLvl w:val="3"/>
    </w:pPr>
    <w:rPr>
      <w:rFonts w:ascii="CG Times" w:hAnsi="CG Times"/>
      <w:b/>
      <w:color w:val="0000FF"/>
    </w:rPr>
  </w:style>
  <w:style w:type="paragraph" w:styleId="Ttulo5">
    <w:name w:val="heading 5"/>
    <w:basedOn w:val="Normal"/>
    <w:next w:val="Normal"/>
    <w:link w:val="Ttulo5Char"/>
    <w:qFormat/>
    <w:rsid w:val="002D5261"/>
    <w:pPr>
      <w:keepNext/>
      <w:tabs>
        <w:tab w:val="left" w:pos="2268"/>
      </w:tabs>
      <w:ind w:left="709"/>
      <w:outlineLvl w:val="4"/>
    </w:pPr>
    <w:rPr>
      <w:sz w:val="24"/>
    </w:rPr>
  </w:style>
  <w:style w:type="paragraph" w:styleId="Ttulo6">
    <w:name w:val="heading 6"/>
    <w:basedOn w:val="Normal"/>
    <w:next w:val="Normal"/>
    <w:link w:val="Ttulo6Char"/>
    <w:qFormat/>
    <w:rsid w:val="002D5261"/>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2D5261"/>
    <w:pPr>
      <w:keepNext/>
      <w:tabs>
        <w:tab w:val="left" w:pos="2268"/>
      </w:tabs>
      <w:spacing w:after="240"/>
      <w:jc w:val="center"/>
      <w:outlineLvl w:val="6"/>
    </w:pPr>
    <w:rPr>
      <w:bCs/>
    </w:rPr>
  </w:style>
  <w:style w:type="paragraph" w:styleId="Ttulo8">
    <w:name w:val="heading 8"/>
    <w:basedOn w:val="Normal"/>
    <w:next w:val="Normal"/>
    <w:link w:val="Ttulo8Char"/>
    <w:qFormat/>
    <w:rsid w:val="002D5261"/>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D5261"/>
    <w:rPr>
      <w:rFonts w:ascii="CG Times" w:eastAsia="Times New Roman" w:hAnsi="CG Times" w:cs="Times New Roman"/>
      <w:b/>
      <w:sz w:val="26"/>
      <w:szCs w:val="20"/>
      <w:lang w:val="pt-BR" w:eastAsia="pt-BR"/>
    </w:rPr>
  </w:style>
  <w:style w:type="character" w:customStyle="1" w:styleId="Ttulo2Char">
    <w:name w:val="Título 2 Char"/>
    <w:basedOn w:val="Fontepargpadro"/>
    <w:link w:val="Ttulo2"/>
    <w:rsid w:val="002D5261"/>
    <w:rPr>
      <w:rFonts w:ascii="CG Times" w:eastAsia="Times New Roman" w:hAnsi="CG Times" w:cs="Times New Roman"/>
      <w:sz w:val="26"/>
      <w:szCs w:val="20"/>
      <w:lang w:val="pt-BR" w:eastAsia="pt-BR"/>
    </w:rPr>
  </w:style>
  <w:style w:type="character" w:customStyle="1" w:styleId="Ttulo3Char">
    <w:name w:val="Título 3 Char"/>
    <w:basedOn w:val="Fontepargpadro"/>
    <w:link w:val="Ttulo3"/>
    <w:rsid w:val="002D5261"/>
    <w:rPr>
      <w:rFonts w:ascii="CG Times" w:eastAsia="Times New Roman" w:hAnsi="CG Times" w:cs="Times New Roman"/>
      <w:b/>
      <w:sz w:val="26"/>
      <w:szCs w:val="20"/>
      <w:lang w:val="pt-BR" w:eastAsia="pt-BR"/>
    </w:rPr>
  </w:style>
  <w:style w:type="character" w:customStyle="1" w:styleId="Ttulo4Char">
    <w:name w:val="Título 4 Char"/>
    <w:basedOn w:val="Fontepargpadro"/>
    <w:link w:val="Ttulo4"/>
    <w:rsid w:val="002D5261"/>
    <w:rPr>
      <w:rFonts w:ascii="CG Times" w:eastAsia="Times New Roman" w:hAnsi="CG Times" w:cs="Times New Roman"/>
      <w:b/>
      <w:color w:val="0000FF"/>
      <w:sz w:val="26"/>
      <w:szCs w:val="20"/>
      <w:lang w:val="pt-BR" w:eastAsia="pt-BR"/>
    </w:rPr>
  </w:style>
  <w:style w:type="character" w:customStyle="1" w:styleId="Ttulo5Char">
    <w:name w:val="Título 5 Char"/>
    <w:basedOn w:val="Fontepargpadro"/>
    <w:link w:val="Ttulo5"/>
    <w:rsid w:val="002D5261"/>
    <w:rPr>
      <w:rFonts w:ascii="Times New Roman" w:eastAsia="Times New Roman" w:hAnsi="Times New Roman" w:cs="Times New Roman"/>
      <w:sz w:val="24"/>
      <w:szCs w:val="20"/>
      <w:lang w:val="pt-BR" w:eastAsia="pt-BR"/>
    </w:rPr>
  </w:style>
  <w:style w:type="character" w:customStyle="1" w:styleId="Ttulo6Char">
    <w:name w:val="Título 6 Char"/>
    <w:basedOn w:val="Fontepargpadro"/>
    <w:link w:val="Ttulo6"/>
    <w:rsid w:val="002D5261"/>
    <w:rPr>
      <w:rFonts w:ascii="Times New Roman" w:eastAsia="Times New Roman" w:hAnsi="Times New Roman" w:cs="Times New Roman"/>
      <w:bCs/>
      <w:smallCaps/>
      <w:sz w:val="26"/>
      <w:szCs w:val="20"/>
      <w:u w:val="single"/>
      <w:lang w:val="pt-BR" w:eastAsia="pt-BR"/>
    </w:rPr>
  </w:style>
  <w:style w:type="character" w:customStyle="1" w:styleId="Ttulo7Char">
    <w:name w:val="Título 7 Char"/>
    <w:basedOn w:val="Fontepargpadro"/>
    <w:link w:val="Ttulo7"/>
    <w:rsid w:val="002D5261"/>
    <w:rPr>
      <w:rFonts w:ascii="Times New Roman" w:eastAsia="Times New Roman" w:hAnsi="Times New Roman" w:cs="Times New Roman"/>
      <w:bCs/>
      <w:sz w:val="26"/>
      <w:szCs w:val="20"/>
      <w:lang w:val="pt-BR" w:eastAsia="pt-BR"/>
    </w:rPr>
  </w:style>
  <w:style w:type="character" w:customStyle="1" w:styleId="Ttulo8Char">
    <w:name w:val="Título 8 Char"/>
    <w:basedOn w:val="Fontepargpadro"/>
    <w:link w:val="Ttulo8"/>
    <w:rsid w:val="002D5261"/>
    <w:rPr>
      <w:rFonts w:ascii="Times New Roman" w:eastAsia="Times New Roman" w:hAnsi="Times New Roman" w:cs="Times New Roman"/>
      <w:sz w:val="26"/>
      <w:szCs w:val="20"/>
      <w:lang w:val="pt-BR" w:eastAsia="pt-BR"/>
    </w:rPr>
  </w:style>
  <w:style w:type="character" w:styleId="Hyperlink">
    <w:name w:val="Hyperlink"/>
    <w:rsid w:val="002D5261"/>
    <w:rPr>
      <w:color w:val="0000FF"/>
      <w:u w:val="single"/>
    </w:rPr>
  </w:style>
  <w:style w:type="paragraph" w:styleId="Rodap">
    <w:name w:val="footer"/>
    <w:basedOn w:val="Normal"/>
    <w:link w:val="RodapChar"/>
    <w:uiPriority w:val="99"/>
    <w:rsid w:val="002D5261"/>
    <w:pPr>
      <w:tabs>
        <w:tab w:val="center" w:pos="4252"/>
        <w:tab w:val="right" w:pos="8504"/>
      </w:tabs>
    </w:pPr>
  </w:style>
  <w:style w:type="character" w:customStyle="1" w:styleId="RodapChar">
    <w:name w:val="Rodapé Char"/>
    <w:basedOn w:val="Fontepargpadro"/>
    <w:link w:val="Rodap"/>
    <w:uiPriority w:val="99"/>
    <w:rsid w:val="002D5261"/>
    <w:rPr>
      <w:rFonts w:ascii="Times New Roman" w:eastAsia="Times New Roman" w:hAnsi="Times New Roman" w:cs="Times New Roman"/>
      <w:sz w:val="26"/>
      <w:szCs w:val="20"/>
      <w:lang w:val="pt-BR" w:eastAsia="pt-BR"/>
    </w:rPr>
  </w:style>
  <w:style w:type="paragraph" w:customStyle="1" w:styleId="BodyText21">
    <w:name w:val="Body Text 21"/>
    <w:basedOn w:val="Normal"/>
    <w:rsid w:val="002D5261"/>
    <w:pPr>
      <w:widowControl w:val="0"/>
      <w:spacing w:after="0"/>
    </w:pPr>
    <w:rPr>
      <w:rFonts w:ascii="Arial" w:hAnsi="Arial"/>
      <w:sz w:val="24"/>
      <w:lang w:eastAsia="en-US"/>
    </w:rPr>
  </w:style>
  <w:style w:type="paragraph" w:styleId="Cabealho">
    <w:name w:val="header"/>
    <w:basedOn w:val="Normal"/>
    <w:link w:val="CabealhoChar"/>
    <w:rsid w:val="002D5261"/>
    <w:pPr>
      <w:tabs>
        <w:tab w:val="center" w:pos="4252"/>
        <w:tab w:val="right" w:pos="8504"/>
      </w:tabs>
    </w:pPr>
  </w:style>
  <w:style w:type="character" w:customStyle="1" w:styleId="CabealhoChar">
    <w:name w:val="Cabeçalho Char"/>
    <w:basedOn w:val="Fontepargpadro"/>
    <w:link w:val="Cabealho"/>
    <w:rsid w:val="002D5261"/>
    <w:rPr>
      <w:rFonts w:ascii="Times New Roman" w:eastAsia="Times New Roman" w:hAnsi="Times New Roman" w:cs="Times New Roman"/>
      <w:sz w:val="26"/>
      <w:szCs w:val="20"/>
      <w:lang w:val="pt-BR" w:eastAsia="pt-BR"/>
    </w:rPr>
  </w:style>
  <w:style w:type="paragraph" w:styleId="Corpodetexto2">
    <w:name w:val="Body Text 2"/>
    <w:basedOn w:val="Normal"/>
    <w:link w:val="Corpodetexto2Char"/>
    <w:rsid w:val="002D5261"/>
    <w:pPr>
      <w:spacing w:after="0"/>
    </w:pPr>
    <w:rPr>
      <w:rFonts w:ascii="Arial" w:hAnsi="Arial"/>
      <w:b/>
      <w:sz w:val="24"/>
      <w:lang w:eastAsia="en-US"/>
    </w:rPr>
  </w:style>
  <w:style w:type="character" w:customStyle="1" w:styleId="Corpodetexto2Char">
    <w:name w:val="Corpo de texto 2 Char"/>
    <w:basedOn w:val="Fontepargpadro"/>
    <w:link w:val="Corpodetexto2"/>
    <w:rsid w:val="002D5261"/>
    <w:rPr>
      <w:rFonts w:ascii="Arial" w:eastAsia="Times New Roman" w:hAnsi="Arial" w:cs="Times New Roman"/>
      <w:b/>
      <w:sz w:val="24"/>
      <w:szCs w:val="20"/>
      <w:lang w:val="pt-BR"/>
    </w:rPr>
  </w:style>
  <w:style w:type="paragraph" w:styleId="Corpodetexto3">
    <w:name w:val="Body Text 3"/>
    <w:basedOn w:val="Normal"/>
    <w:link w:val="Corpodetexto3Char"/>
    <w:rsid w:val="002D5261"/>
    <w:pPr>
      <w:spacing w:after="0"/>
    </w:pPr>
    <w:rPr>
      <w:rFonts w:ascii="Arial" w:hAnsi="Arial"/>
      <w:sz w:val="24"/>
      <w:lang w:eastAsia="en-US"/>
    </w:rPr>
  </w:style>
  <w:style w:type="character" w:customStyle="1" w:styleId="Corpodetexto3Char">
    <w:name w:val="Corpo de texto 3 Char"/>
    <w:basedOn w:val="Fontepargpadro"/>
    <w:link w:val="Corpodetexto3"/>
    <w:rsid w:val="002D5261"/>
    <w:rPr>
      <w:rFonts w:ascii="Arial" w:eastAsia="Times New Roman" w:hAnsi="Arial" w:cs="Times New Roman"/>
      <w:sz w:val="24"/>
      <w:szCs w:val="20"/>
      <w:lang w:val="pt-BR"/>
    </w:rPr>
  </w:style>
  <w:style w:type="paragraph" w:styleId="Recuodecorpodetexto">
    <w:name w:val="Body Text Indent"/>
    <w:basedOn w:val="Normal"/>
    <w:link w:val="RecuodecorpodetextoChar"/>
    <w:rsid w:val="002D5261"/>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2D5261"/>
    <w:rPr>
      <w:rFonts w:ascii="Times New Roman" w:eastAsia="Times New Roman" w:hAnsi="Times New Roman" w:cs="Times New Roman"/>
      <w:color w:val="000000"/>
      <w:sz w:val="24"/>
      <w:szCs w:val="20"/>
      <w:lang w:val="pt-BR"/>
    </w:rPr>
  </w:style>
  <w:style w:type="paragraph" w:styleId="NormalWeb">
    <w:name w:val="Normal (Web)"/>
    <w:basedOn w:val="Normal"/>
    <w:rsid w:val="002D5261"/>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2D5261"/>
    <w:pPr>
      <w:widowControl w:val="0"/>
      <w:tabs>
        <w:tab w:val="left" w:pos="720"/>
      </w:tabs>
      <w:spacing w:after="0" w:line="240" w:lineRule="atLeast"/>
    </w:pPr>
    <w:rPr>
      <w:rFonts w:ascii="Times" w:hAnsi="Times"/>
      <w:snapToGrid w:val="0"/>
      <w:sz w:val="24"/>
    </w:rPr>
  </w:style>
  <w:style w:type="character" w:customStyle="1" w:styleId="INDENT2">
    <w:name w:val="INDENT 2"/>
    <w:rsid w:val="002D5261"/>
    <w:rPr>
      <w:rFonts w:ascii="Times New Roman" w:hAnsi="Times New Roman"/>
      <w:sz w:val="24"/>
    </w:rPr>
  </w:style>
  <w:style w:type="paragraph" w:styleId="Recuodecorpodetexto2">
    <w:name w:val="Body Text Indent 2"/>
    <w:basedOn w:val="Normal"/>
    <w:link w:val="Recuodecorpodetexto2Char"/>
    <w:rsid w:val="002D5261"/>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2D5261"/>
    <w:rPr>
      <w:rFonts w:ascii="Frutiger Light" w:eastAsia="Times New Roman" w:hAnsi="Frutiger Light" w:cs="Times New Roman"/>
      <w:sz w:val="26"/>
      <w:szCs w:val="26"/>
      <w:lang w:val="pt-BR" w:eastAsia="pt-BR"/>
    </w:rPr>
  </w:style>
  <w:style w:type="character" w:customStyle="1" w:styleId="DeltaViewInsertion">
    <w:name w:val="DeltaView Insertion"/>
    <w:rsid w:val="002D5261"/>
    <w:rPr>
      <w:color w:val="0000FF"/>
      <w:spacing w:val="0"/>
      <w:u w:val="double"/>
    </w:rPr>
  </w:style>
  <w:style w:type="character" w:styleId="Refdecomentrio">
    <w:name w:val="annotation reference"/>
    <w:semiHidden/>
    <w:rsid w:val="002D5261"/>
    <w:rPr>
      <w:sz w:val="16"/>
      <w:szCs w:val="16"/>
    </w:rPr>
  </w:style>
  <w:style w:type="paragraph" w:styleId="Textodecomentrio">
    <w:name w:val="annotation text"/>
    <w:basedOn w:val="Normal"/>
    <w:link w:val="TextodecomentrioChar"/>
    <w:semiHidden/>
    <w:rsid w:val="002D5261"/>
    <w:rPr>
      <w:sz w:val="20"/>
    </w:rPr>
  </w:style>
  <w:style w:type="character" w:customStyle="1" w:styleId="TextodecomentrioChar">
    <w:name w:val="Texto de comentário Char"/>
    <w:basedOn w:val="Fontepargpadro"/>
    <w:link w:val="Textodecomentrio"/>
    <w:semiHidden/>
    <w:rsid w:val="002D5261"/>
    <w:rPr>
      <w:rFonts w:ascii="Times New Roman" w:eastAsia="Times New Roman" w:hAnsi="Times New Roman" w:cs="Times New Roman"/>
      <w:sz w:val="20"/>
      <w:szCs w:val="20"/>
      <w:lang w:val="pt-BR" w:eastAsia="pt-BR"/>
    </w:rPr>
  </w:style>
  <w:style w:type="paragraph" w:styleId="Assuntodocomentrio">
    <w:name w:val="annotation subject"/>
    <w:basedOn w:val="Textodecomentrio"/>
    <w:next w:val="Textodecomentrio"/>
    <w:link w:val="AssuntodocomentrioChar"/>
    <w:semiHidden/>
    <w:rsid w:val="002D5261"/>
    <w:rPr>
      <w:b/>
      <w:bCs/>
    </w:rPr>
  </w:style>
  <w:style w:type="character" w:customStyle="1" w:styleId="AssuntodocomentrioChar">
    <w:name w:val="Assunto do comentário Char"/>
    <w:basedOn w:val="TextodecomentrioChar"/>
    <w:link w:val="Assuntodocomentrio"/>
    <w:semiHidden/>
    <w:rsid w:val="002D5261"/>
    <w:rPr>
      <w:rFonts w:ascii="Times New Roman" w:eastAsia="Times New Roman" w:hAnsi="Times New Roman" w:cs="Times New Roman"/>
      <w:b/>
      <w:bCs/>
      <w:sz w:val="20"/>
      <w:szCs w:val="20"/>
      <w:lang w:val="pt-BR" w:eastAsia="pt-BR"/>
    </w:rPr>
  </w:style>
  <w:style w:type="paragraph" w:styleId="Textodebalo">
    <w:name w:val="Balloon Text"/>
    <w:basedOn w:val="Normal"/>
    <w:link w:val="TextodebaloChar"/>
    <w:semiHidden/>
    <w:rsid w:val="002D5261"/>
    <w:rPr>
      <w:rFonts w:ascii="Tahoma" w:hAnsi="Tahoma" w:cs="Tahoma"/>
      <w:sz w:val="16"/>
      <w:szCs w:val="16"/>
    </w:rPr>
  </w:style>
  <w:style w:type="character" w:customStyle="1" w:styleId="TextodebaloChar">
    <w:name w:val="Texto de balão Char"/>
    <w:basedOn w:val="Fontepargpadro"/>
    <w:link w:val="Textodebalo"/>
    <w:semiHidden/>
    <w:rsid w:val="002D5261"/>
    <w:rPr>
      <w:rFonts w:ascii="Tahoma" w:eastAsia="Times New Roman" w:hAnsi="Tahoma" w:cs="Tahoma"/>
      <w:sz w:val="16"/>
      <w:szCs w:val="16"/>
      <w:lang w:val="pt-BR" w:eastAsia="pt-BR"/>
    </w:rPr>
  </w:style>
  <w:style w:type="character" w:customStyle="1" w:styleId="apple-style-span">
    <w:name w:val="apple-style-span"/>
    <w:basedOn w:val="Fontepargpadro"/>
    <w:rsid w:val="002D5261"/>
  </w:style>
  <w:style w:type="table" w:styleId="Tabelacomgrade">
    <w:name w:val="Table Grid"/>
    <w:basedOn w:val="Tabelanormal"/>
    <w:rsid w:val="002D5261"/>
    <w:pPr>
      <w:spacing w:after="0" w:line="240" w:lineRule="auto"/>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2D5261"/>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2D5261"/>
  </w:style>
  <w:style w:type="paragraph" w:customStyle="1" w:styleId="Char2">
    <w:name w:val="Char2"/>
    <w:basedOn w:val="Normal"/>
    <w:rsid w:val="002D5261"/>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2D5261"/>
    <w:pPr>
      <w:spacing w:after="0"/>
    </w:pPr>
    <w:rPr>
      <w:sz w:val="20"/>
    </w:rPr>
  </w:style>
  <w:style w:type="character" w:customStyle="1" w:styleId="TextodenotaderodapChar">
    <w:name w:val="Texto de nota de rodapé Char"/>
    <w:basedOn w:val="Fontepargpadro"/>
    <w:link w:val="Textodenotaderodap"/>
    <w:semiHidden/>
    <w:rsid w:val="002D5261"/>
    <w:rPr>
      <w:rFonts w:ascii="Times New Roman" w:eastAsia="Times New Roman" w:hAnsi="Times New Roman" w:cs="Times New Roman"/>
      <w:sz w:val="20"/>
      <w:szCs w:val="20"/>
      <w:lang w:val="pt-BR" w:eastAsia="pt-BR"/>
    </w:rPr>
  </w:style>
  <w:style w:type="character" w:styleId="Refdenotaderodap">
    <w:name w:val="footnote reference"/>
    <w:semiHidden/>
    <w:rsid w:val="002D5261"/>
    <w:rPr>
      <w:vertAlign w:val="superscript"/>
    </w:rPr>
  </w:style>
  <w:style w:type="character" w:customStyle="1" w:styleId="PinheiroGuimares-Advogados">
    <w:name w:val="Pinheiro Guimarães - Advogados"/>
    <w:semiHidden/>
    <w:rsid w:val="002D5261"/>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2D5261"/>
  </w:style>
  <w:style w:type="character" w:customStyle="1" w:styleId="CorpodetextoChar">
    <w:name w:val="Corpo de texto Char"/>
    <w:basedOn w:val="Fontepargpadro"/>
    <w:link w:val="Corpodetexto"/>
    <w:rsid w:val="002D5261"/>
    <w:rPr>
      <w:rFonts w:ascii="Times New Roman" w:eastAsia="Times New Roman" w:hAnsi="Times New Roman" w:cs="Times New Roman"/>
      <w:sz w:val="26"/>
      <w:szCs w:val="20"/>
      <w:lang w:val="pt-BR" w:eastAsia="pt-BR"/>
    </w:rPr>
  </w:style>
  <w:style w:type="paragraph" w:customStyle="1" w:styleId="BodyText22">
    <w:name w:val="Body Text 22"/>
    <w:basedOn w:val="Normal"/>
    <w:rsid w:val="002D5261"/>
    <w:pPr>
      <w:widowControl w:val="0"/>
      <w:spacing w:after="220"/>
      <w:ind w:left="2127" w:hanging="709"/>
    </w:pPr>
  </w:style>
  <w:style w:type="paragraph" w:customStyle="1" w:styleId="ListaMdia2-nfase21">
    <w:name w:val="Lista Média 2 - Ênfase 21"/>
    <w:hidden/>
    <w:uiPriority w:val="99"/>
    <w:semiHidden/>
    <w:rsid w:val="002D5261"/>
    <w:pPr>
      <w:spacing w:after="0" w:line="240" w:lineRule="auto"/>
    </w:pPr>
    <w:rPr>
      <w:rFonts w:ascii="Times New Roman" w:eastAsia="Times New Roman" w:hAnsi="Times New Roman" w:cs="Times New Roman"/>
      <w:sz w:val="26"/>
      <w:szCs w:val="20"/>
      <w:lang w:val="pt-BR" w:eastAsia="pt-BR"/>
    </w:rPr>
  </w:style>
  <w:style w:type="paragraph" w:styleId="Commarcadores">
    <w:name w:val="List Bullet"/>
    <w:basedOn w:val="Normal"/>
    <w:uiPriority w:val="99"/>
    <w:unhideWhenUsed/>
    <w:rsid w:val="002D5261"/>
    <w:pPr>
      <w:widowControl w:val="0"/>
      <w:numPr>
        <w:numId w:val="3"/>
      </w:numPr>
      <w:autoSpaceDE w:val="0"/>
      <w:autoSpaceDN w:val="0"/>
      <w:adjustRightInd w:val="0"/>
      <w:spacing w:after="0" w:line="340" w:lineRule="exact"/>
      <w:contextualSpacing/>
    </w:pPr>
  </w:style>
  <w:style w:type="paragraph" w:customStyle="1" w:styleId="GradeMdia1-nfase21">
    <w:name w:val="Grade Média 1 - Ênfase 21"/>
    <w:basedOn w:val="Normal"/>
    <w:uiPriority w:val="34"/>
    <w:qFormat/>
    <w:rsid w:val="002D5261"/>
    <w:pPr>
      <w:ind w:left="708"/>
    </w:pPr>
  </w:style>
  <w:style w:type="character" w:styleId="Nmerodepgina">
    <w:name w:val="page number"/>
    <w:rsid w:val="002D5261"/>
  </w:style>
  <w:style w:type="paragraph" w:customStyle="1" w:styleId="ListaColorida-nfase11">
    <w:name w:val="Lista Colorida - Ênfase 11"/>
    <w:basedOn w:val="Normal"/>
    <w:uiPriority w:val="34"/>
    <w:qFormat/>
    <w:rsid w:val="002D5261"/>
    <w:pPr>
      <w:ind w:left="708"/>
    </w:pPr>
  </w:style>
  <w:style w:type="paragraph" w:styleId="PargrafodaLista">
    <w:name w:val="List Paragraph"/>
    <w:basedOn w:val="Normal"/>
    <w:link w:val="PargrafodaListaChar"/>
    <w:uiPriority w:val="34"/>
    <w:qFormat/>
    <w:rsid w:val="002D5261"/>
    <w:pPr>
      <w:ind w:left="708"/>
    </w:pPr>
  </w:style>
  <w:style w:type="paragraph" w:customStyle="1" w:styleId="STDTextoDois-Quatro">
    <w:name w:val="STD Texto Dois-Quatro"/>
    <w:basedOn w:val="Normal"/>
    <w:rsid w:val="002D5261"/>
    <w:pPr>
      <w:autoSpaceDE w:val="0"/>
      <w:autoSpaceDN w:val="0"/>
      <w:adjustRightInd w:val="0"/>
      <w:spacing w:before="240" w:after="0" w:line="240" w:lineRule="exact"/>
      <w:ind w:left="471"/>
    </w:pPr>
    <w:rPr>
      <w:rFonts w:ascii="Arial" w:hAnsi="Arial"/>
      <w:sz w:val="20"/>
      <w:szCs w:val="24"/>
    </w:rPr>
  </w:style>
  <w:style w:type="character" w:customStyle="1" w:styleId="PargrafodaListaChar">
    <w:name w:val="Parágrafo da Lista Char"/>
    <w:link w:val="PargrafodaLista"/>
    <w:uiPriority w:val="34"/>
    <w:locked/>
    <w:rsid w:val="002D5261"/>
    <w:rPr>
      <w:rFonts w:ascii="Times New Roman" w:eastAsia="Times New Roman" w:hAnsi="Times New Roman" w:cs="Times New Roman"/>
      <w:sz w:val="26"/>
      <w:szCs w:val="20"/>
      <w:lang w:val="pt-BR" w:eastAsia="pt-BR"/>
    </w:rPr>
  </w:style>
  <w:style w:type="paragraph" w:customStyle="1" w:styleId="Default">
    <w:name w:val="Default"/>
    <w:rsid w:val="002D5261"/>
    <w:pPr>
      <w:autoSpaceDE w:val="0"/>
      <w:autoSpaceDN w:val="0"/>
      <w:adjustRightInd w:val="0"/>
      <w:spacing w:after="0" w:line="240" w:lineRule="auto"/>
    </w:pPr>
    <w:rPr>
      <w:rFonts w:ascii="Arial" w:hAnsi="Arial" w:cs="Arial"/>
      <w:color w:val="000000"/>
      <w:sz w:val="24"/>
      <w:szCs w:val="2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HAnsi"/>
        <w:sz w:val="1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261"/>
    <w:pPr>
      <w:spacing w:after="120" w:line="240" w:lineRule="auto"/>
      <w:jc w:val="both"/>
    </w:pPr>
    <w:rPr>
      <w:rFonts w:ascii="Times New Roman" w:eastAsia="Times New Roman" w:hAnsi="Times New Roman" w:cs="Times New Roman"/>
      <w:sz w:val="26"/>
      <w:szCs w:val="20"/>
      <w:lang w:val="pt-BR" w:eastAsia="pt-BR"/>
    </w:rPr>
  </w:style>
  <w:style w:type="paragraph" w:styleId="Ttulo1">
    <w:name w:val="heading 1"/>
    <w:basedOn w:val="Normal"/>
    <w:next w:val="Normal"/>
    <w:link w:val="Ttulo1Char"/>
    <w:qFormat/>
    <w:rsid w:val="002D5261"/>
    <w:pPr>
      <w:keepNext/>
      <w:outlineLvl w:val="0"/>
    </w:pPr>
    <w:rPr>
      <w:rFonts w:ascii="CG Times" w:hAnsi="CG Times"/>
      <w:b/>
    </w:rPr>
  </w:style>
  <w:style w:type="paragraph" w:styleId="Ttulo2">
    <w:name w:val="heading 2"/>
    <w:basedOn w:val="Normal"/>
    <w:next w:val="Normal"/>
    <w:link w:val="Ttulo2Char"/>
    <w:qFormat/>
    <w:rsid w:val="002D5261"/>
    <w:pPr>
      <w:keepNext/>
      <w:outlineLvl w:val="1"/>
    </w:pPr>
    <w:rPr>
      <w:rFonts w:ascii="CG Times" w:hAnsi="CG Times"/>
    </w:rPr>
  </w:style>
  <w:style w:type="paragraph" w:styleId="Ttulo3">
    <w:name w:val="heading 3"/>
    <w:basedOn w:val="Normal"/>
    <w:next w:val="Normal"/>
    <w:link w:val="Ttulo3Char"/>
    <w:qFormat/>
    <w:rsid w:val="002D5261"/>
    <w:pPr>
      <w:keepNext/>
      <w:jc w:val="center"/>
      <w:outlineLvl w:val="2"/>
    </w:pPr>
    <w:rPr>
      <w:rFonts w:ascii="CG Times" w:hAnsi="CG Times"/>
      <w:b/>
    </w:rPr>
  </w:style>
  <w:style w:type="paragraph" w:styleId="Ttulo4">
    <w:name w:val="heading 4"/>
    <w:basedOn w:val="Normal"/>
    <w:next w:val="Normal"/>
    <w:link w:val="Ttulo4Char"/>
    <w:qFormat/>
    <w:rsid w:val="002D5261"/>
    <w:pPr>
      <w:keepNext/>
      <w:jc w:val="center"/>
      <w:outlineLvl w:val="3"/>
    </w:pPr>
    <w:rPr>
      <w:rFonts w:ascii="CG Times" w:hAnsi="CG Times"/>
      <w:b/>
      <w:color w:val="0000FF"/>
    </w:rPr>
  </w:style>
  <w:style w:type="paragraph" w:styleId="Ttulo5">
    <w:name w:val="heading 5"/>
    <w:basedOn w:val="Normal"/>
    <w:next w:val="Normal"/>
    <w:link w:val="Ttulo5Char"/>
    <w:qFormat/>
    <w:rsid w:val="002D5261"/>
    <w:pPr>
      <w:keepNext/>
      <w:tabs>
        <w:tab w:val="left" w:pos="2268"/>
      </w:tabs>
      <w:ind w:left="709"/>
      <w:outlineLvl w:val="4"/>
    </w:pPr>
    <w:rPr>
      <w:sz w:val="24"/>
    </w:rPr>
  </w:style>
  <w:style w:type="paragraph" w:styleId="Ttulo6">
    <w:name w:val="heading 6"/>
    <w:basedOn w:val="Normal"/>
    <w:next w:val="Normal"/>
    <w:link w:val="Ttulo6Char"/>
    <w:qFormat/>
    <w:rsid w:val="002D5261"/>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2D5261"/>
    <w:pPr>
      <w:keepNext/>
      <w:tabs>
        <w:tab w:val="left" w:pos="2268"/>
      </w:tabs>
      <w:spacing w:after="240"/>
      <w:jc w:val="center"/>
      <w:outlineLvl w:val="6"/>
    </w:pPr>
    <w:rPr>
      <w:bCs/>
    </w:rPr>
  </w:style>
  <w:style w:type="paragraph" w:styleId="Ttulo8">
    <w:name w:val="heading 8"/>
    <w:basedOn w:val="Normal"/>
    <w:next w:val="Normal"/>
    <w:link w:val="Ttulo8Char"/>
    <w:qFormat/>
    <w:rsid w:val="002D5261"/>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D5261"/>
    <w:rPr>
      <w:rFonts w:ascii="CG Times" w:eastAsia="Times New Roman" w:hAnsi="CG Times" w:cs="Times New Roman"/>
      <w:b/>
      <w:sz w:val="26"/>
      <w:szCs w:val="20"/>
      <w:lang w:val="pt-BR" w:eastAsia="pt-BR"/>
    </w:rPr>
  </w:style>
  <w:style w:type="character" w:customStyle="1" w:styleId="Ttulo2Char">
    <w:name w:val="Título 2 Char"/>
    <w:basedOn w:val="Fontepargpadro"/>
    <w:link w:val="Ttulo2"/>
    <w:rsid w:val="002D5261"/>
    <w:rPr>
      <w:rFonts w:ascii="CG Times" w:eastAsia="Times New Roman" w:hAnsi="CG Times" w:cs="Times New Roman"/>
      <w:sz w:val="26"/>
      <w:szCs w:val="20"/>
      <w:lang w:val="pt-BR" w:eastAsia="pt-BR"/>
    </w:rPr>
  </w:style>
  <w:style w:type="character" w:customStyle="1" w:styleId="Ttulo3Char">
    <w:name w:val="Título 3 Char"/>
    <w:basedOn w:val="Fontepargpadro"/>
    <w:link w:val="Ttulo3"/>
    <w:rsid w:val="002D5261"/>
    <w:rPr>
      <w:rFonts w:ascii="CG Times" w:eastAsia="Times New Roman" w:hAnsi="CG Times" w:cs="Times New Roman"/>
      <w:b/>
      <w:sz w:val="26"/>
      <w:szCs w:val="20"/>
      <w:lang w:val="pt-BR" w:eastAsia="pt-BR"/>
    </w:rPr>
  </w:style>
  <w:style w:type="character" w:customStyle="1" w:styleId="Ttulo4Char">
    <w:name w:val="Título 4 Char"/>
    <w:basedOn w:val="Fontepargpadro"/>
    <w:link w:val="Ttulo4"/>
    <w:rsid w:val="002D5261"/>
    <w:rPr>
      <w:rFonts w:ascii="CG Times" w:eastAsia="Times New Roman" w:hAnsi="CG Times" w:cs="Times New Roman"/>
      <w:b/>
      <w:color w:val="0000FF"/>
      <w:sz w:val="26"/>
      <w:szCs w:val="20"/>
      <w:lang w:val="pt-BR" w:eastAsia="pt-BR"/>
    </w:rPr>
  </w:style>
  <w:style w:type="character" w:customStyle="1" w:styleId="Ttulo5Char">
    <w:name w:val="Título 5 Char"/>
    <w:basedOn w:val="Fontepargpadro"/>
    <w:link w:val="Ttulo5"/>
    <w:rsid w:val="002D5261"/>
    <w:rPr>
      <w:rFonts w:ascii="Times New Roman" w:eastAsia="Times New Roman" w:hAnsi="Times New Roman" w:cs="Times New Roman"/>
      <w:sz w:val="24"/>
      <w:szCs w:val="20"/>
      <w:lang w:val="pt-BR" w:eastAsia="pt-BR"/>
    </w:rPr>
  </w:style>
  <w:style w:type="character" w:customStyle="1" w:styleId="Ttulo6Char">
    <w:name w:val="Título 6 Char"/>
    <w:basedOn w:val="Fontepargpadro"/>
    <w:link w:val="Ttulo6"/>
    <w:rsid w:val="002D5261"/>
    <w:rPr>
      <w:rFonts w:ascii="Times New Roman" w:eastAsia="Times New Roman" w:hAnsi="Times New Roman" w:cs="Times New Roman"/>
      <w:bCs/>
      <w:smallCaps/>
      <w:sz w:val="26"/>
      <w:szCs w:val="20"/>
      <w:u w:val="single"/>
      <w:lang w:val="pt-BR" w:eastAsia="pt-BR"/>
    </w:rPr>
  </w:style>
  <w:style w:type="character" w:customStyle="1" w:styleId="Ttulo7Char">
    <w:name w:val="Título 7 Char"/>
    <w:basedOn w:val="Fontepargpadro"/>
    <w:link w:val="Ttulo7"/>
    <w:rsid w:val="002D5261"/>
    <w:rPr>
      <w:rFonts w:ascii="Times New Roman" w:eastAsia="Times New Roman" w:hAnsi="Times New Roman" w:cs="Times New Roman"/>
      <w:bCs/>
      <w:sz w:val="26"/>
      <w:szCs w:val="20"/>
      <w:lang w:val="pt-BR" w:eastAsia="pt-BR"/>
    </w:rPr>
  </w:style>
  <w:style w:type="character" w:customStyle="1" w:styleId="Ttulo8Char">
    <w:name w:val="Título 8 Char"/>
    <w:basedOn w:val="Fontepargpadro"/>
    <w:link w:val="Ttulo8"/>
    <w:rsid w:val="002D5261"/>
    <w:rPr>
      <w:rFonts w:ascii="Times New Roman" w:eastAsia="Times New Roman" w:hAnsi="Times New Roman" w:cs="Times New Roman"/>
      <w:sz w:val="26"/>
      <w:szCs w:val="20"/>
      <w:lang w:val="pt-BR" w:eastAsia="pt-BR"/>
    </w:rPr>
  </w:style>
  <w:style w:type="character" w:styleId="Hyperlink">
    <w:name w:val="Hyperlink"/>
    <w:rsid w:val="002D5261"/>
    <w:rPr>
      <w:color w:val="0000FF"/>
      <w:u w:val="single"/>
    </w:rPr>
  </w:style>
  <w:style w:type="paragraph" w:styleId="Rodap">
    <w:name w:val="footer"/>
    <w:basedOn w:val="Normal"/>
    <w:link w:val="RodapChar"/>
    <w:uiPriority w:val="99"/>
    <w:rsid w:val="002D5261"/>
    <w:pPr>
      <w:tabs>
        <w:tab w:val="center" w:pos="4252"/>
        <w:tab w:val="right" w:pos="8504"/>
      </w:tabs>
    </w:pPr>
  </w:style>
  <w:style w:type="character" w:customStyle="1" w:styleId="RodapChar">
    <w:name w:val="Rodapé Char"/>
    <w:basedOn w:val="Fontepargpadro"/>
    <w:link w:val="Rodap"/>
    <w:uiPriority w:val="99"/>
    <w:rsid w:val="002D5261"/>
    <w:rPr>
      <w:rFonts w:ascii="Times New Roman" w:eastAsia="Times New Roman" w:hAnsi="Times New Roman" w:cs="Times New Roman"/>
      <w:sz w:val="26"/>
      <w:szCs w:val="20"/>
      <w:lang w:val="pt-BR" w:eastAsia="pt-BR"/>
    </w:rPr>
  </w:style>
  <w:style w:type="paragraph" w:customStyle="1" w:styleId="BodyText21">
    <w:name w:val="Body Text 21"/>
    <w:basedOn w:val="Normal"/>
    <w:rsid w:val="002D5261"/>
    <w:pPr>
      <w:widowControl w:val="0"/>
      <w:spacing w:after="0"/>
    </w:pPr>
    <w:rPr>
      <w:rFonts w:ascii="Arial" w:hAnsi="Arial"/>
      <w:sz w:val="24"/>
      <w:lang w:eastAsia="en-US"/>
    </w:rPr>
  </w:style>
  <w:style w:type="paragraph" w:styleId="Cabealho">
    <w:name w:val="header"/>
    <w:basedOn w:val="Normal"/>
    <w:link w:val="CabealhoChar"/>
    <w:rsid w:val="002D5261"/>
    <w:pPr>
      <w:tabs>
        <w:tab w:val="center" w:pos="4252"/>
        <w:tab w:val="right" w:pos="8504"/>
      </w:tabs>
    </w:pPr>
  </w:style>
  <w:style w:type="character" w:customStyle="1" w:styleId="CabealhoChar">
    <w:name w:val="Cabeçalho Char"/>
    <w:basedOn w:val="Fontepargpadro"/>
    <w:link w:val="Cabealho"/>
    <w:rsid w:val="002D5261"/>
    <w:rPr>
      <w:rFonts w:ascii="Times New Roman" w:eastAsia="Times New Roman" w:hAnsi="Times New Roman" w:cs="Times New Roman"/>
      <w:sz w:val="26"/>
      <w:szCs w:val="20"/>
      <w:lang w:val="pt-BR" w:eastAsia="pt-BR"/>
    </w:rPr>
  </w:style>
  <w:style w:type="paragraph" w:styleId="Corpodetexto2">
    <w:name w:val="Body Text 2"/>
    <w:basedOn w:val="Normal"/>
    <w:link w:val="Corpodetexto2Char"/>
    <w:rsid w:val="002D5261"/>
    <w:pPr>
      <w:spacing w:after="0"/>
    </w:pPr>
    <w:rPr>
      <w:rFonts w:ascii="Arial" w:hAnsi="Arial"/>
      <w:b/>
      <w:sz w:val="24"/>
      <w:lang w:eastAsia="en-US"/>
    </w:rPr>
  </w:style>
  <w:style w:type="character" w:customStyle="1" w:styleId="Corpodetexto2Char">
    <w:name w:val="Corpo de texto 2 Char"/>
    <w:basedOn w:val="Fontepargpadro"/>
    <w:link w:val="Corpodetexto2"/>
    <w:rsid w:val="002D5261"/>
    <w:rPr>
      <w:rFonts w:ascii="Arial" w:eastAsia="Times New Roman" w:hAnsi="Arial" w:cs="Times New Roman"/>
      <w:b/>
      <w:sz w:val="24"/>
      <w:szCs w:val="20"/>
      <w:lang w:val="pt-BR"/>
    </w:rPr>
  </w:style>
  <w:style w:type="paragraph" w:styleId="Corpodetexto3">
    <w:name w:val="Body Text 3"/>
    <w:basedOn w:val="Normal"/>
    <w:link w:val="Corpodetexto3Char"/>
    <w:rsid w:val="002D5261"/>
    <w:pPr>
      <w:spacing w:after="0"/>
    </w:pPr>
    <w:rPr>
      <w:rFonts w:ascii="Arial" w:hAnsi="Arial"/>
      <w:sz w:val="24"/>
      <w:lang w:eastAsia="en-US"/>
    </w:rPr>
  </w:style>
  <w:style w:type="character" w:customStyle="1" w:styleId="Corpodetexto3Char">
    <w:name w:val="Corpo de texto 3 Char"/>
    <w:basedOn w:val="Fontepargpadro"/>
    <w:link w:val="Corpodetexto3"/>
    <w:rsid w:val="002D5261"/>
    <w:rPr>
      <w:rFonts w:ascii="Arial" w:eastAsia="Times New Roman" w:hAnsi="Arial" w:cs="Times New Roman"/>
      <w:sz w:val="24"/>
      <w:szCs w:val="20"/>
      <w:lang w:val="pt-BR"/>
    </w:rPr>
  </w:style>
  <w:style w:type="paragraph" w:styleId="Recuodecorpodetexto">
    <w:name w:val="Body Text Indent"/>
    <w:basedOn w:val="Normal"/>
    <w:link w:val="RecuodecorpodetextoChar"/>
    <w:rsid w:val="002D5261"/>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2D5261"/>
    <w:rPr>
      <w:rFonts w:ascii="Times New Roman" w:eastAsia="Times New Roman" w:hAnsi="Times New Roman" w:cs="Times New Roman"/>
      <w:color w:val="000000"/>
      <w:sz w:val="24"/>
      <w:szCs w:val="20"/>
      <w:lang w:val="pt-BR"/>
    </w:rPr>
  </w:style>
  <w:style w:type="paragraph" w:styleId="NormalWeb">
    <w:name w:val="Normal (Web)"/>
    <w:basedOn w:val="Normal"/>
    <w:rsid w:val="002D5261"/>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2D5261"/>
    <w:pPr>
      <w:widowControl w:val="0"/>
      <w:tabs>
        <w:tab w:val="left" w:pos="720"/>
      </w:tabs>
      <w:spacing w:after="0" w:line="240" w:lineRule="atLeast"/>
    </w:pPr>
    <w:rPr>
      <w:rFonts w:ascii="Times" w:hAnsi="Times"/>
      <w:snapToGrid w:val="0"/>
      <w:sz w:val="24"/>
    </w:rPr>
  </w:style>
  <w:style w:type="character" w:customStyle="1" w:styleId="INDENT2">
    <w:name w:val="INDENT 2"/>
    <w:rsid w:val="002D5261"/>
    <w:rPr>
      <w:rFonts w:ascii="Times New Roman" w:hAnsi="Times New Roman"/>
      <w:sz w:val="24"/>
    </w:rPr>
  </w:style>
  <w:style w:type="paragraph" w:styleId="Recuodecorpodetexto2">
    <w:name w:val="Body Text Indent 2"/>
    <w:basedOn w:val="Normal"/>
    <w:link w:val="Recuodecorpodetexto2Char"/>
    <w:rsid w:val="002D5261"/>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2D5261"/>
    <w:rPr>
      <w:rFonts w:ascii="Frutiger Light" w:eastAsia="Times New Roman" w:hAnsi="Frutiger Light" w:cs="Times New Roman"/>
      <w:sz w:val="26"/>
      <w:szCs w:val="26"/>
      <w:lang w:val="pt-BR" w:eastAsia="pt-BR"/>
    </w:rPr>
  </w:style>
  <w:style w:type="character" w:customStyle="1" w:styleId="DeltaViewInsertion">
    <w:name w:val="DeltaView Insertion"/>
    <w:rsid w:val="002D5261"/>
    <w:rPr>
      <w:color w:val="0000FF"/>
      <w:spacing w:val="0"/>
      <w:u w:val="double"/>
    </w:rPr>
  </w:style>
  <w:style w:type="character" w:styleId="Refdecomentrio">
    <w:name w:val="annotation reference"/>
    <w:semiHidden/>
    <w:rsid w:val="002D5261"/>
    <w:rPr>
      <w:sz w:val="16"/>
      <w:szCs w:val="16"/>
    </w:rPr>
  </w:style>
  <w:style w:type="paragraph" w:styleId="Textodecomentrio">
    <w:name w:val="annotation text"/>
    <w:basedOn w:val="Normal"/>
    <w:link w:val="TextodecomentrioChar"/>
    <w:semiHidden/>
    <w:rsid w:val="002D5261"/>
    <w:rPr>
      <w:sz w:val="20"/>
    </w:rPr>
  </w:style>
  <w:style w:type="character" w:customStyle="1" w:styleId="TextodecomentrioChar">
    <w:name w:val="Texto de comentário Char"/>
    <w:basedOn w:val="Fontepargpadro"/>
    <w:link w:val="Textodecomentrio"/>
    <w:semiHidden/>
    <w:rsid w:val="002D5261"/>
    <w:rPr>
      <w:rFonts w:ascii="Times New Roman" w:eastAsia="Times New Roman" w:hAnsi="Times New Roman" w:cs="Times New Roman"/>
      <w:sz w:val="20"/>
      <w:szCs w:val="20"/>
      <w:lang w:val="pt-BR" w:eastAsia="pt-BR"/>
    </w:rPr>
  </w:style>
  <w:style w:type="paragraph" w:styleId="Assuntodocomentrio">
    <w:name w:val="annotation subject"/>
    <w:basedOn w:val="Textodecomentrio"/>
    <w:next w:val="Textodecomentrio"/>
    <w:link w:val="AssuntodocomentrioChar"/>
    <w:semiHidden/>
    <w:rsid w:val="002D5261"/>
    <w:rPr>
      <w:b/>
      <w:bCs/>
    </w:rPr>
  </w:style>
  <w:style w:type="character" w:customStyle="1" w:styleId="AssuntodocomentrioChar">
    <w:name w:val="Assunto do comentário Char"/>
    <w:basedOn w:val="TextodecomentrioChar"/>
    <w:link w:val="Assuntodocomentrio"/>
    <w:semiHidden/>
    <w:rsid w:val="002D5261"/>
    <w:rPr>
      <w:rFonts w:ascii="Times New Roman" w:eastAsia="Times New Roman" w:hAnsi="Times New Roman" w:cs="Times New Roman"/>
      <w:b/>
      <w:bCs/>
      <w:sz w:val="20"/>
      <w:szCs w:val="20"/>
      <w:lang w:val="pt-BR" w:eastAsia="pt-BR"/>
    </w:rPr>
  </w:style>
  <w:style w:type="paragraph" w:styleId="Textodebalo">
    <w:name w:val="Balloon Text"/>
    <w:basedOn w:val="Normal"/>
    <w:link w:val="TextodebaloChar"/>
    <w:semiHidden/>
    <w:rsid w:val="002D5261"/>
    <w:rPr>
      <w:rFonts w:ascii="Tahoma" w:hAnsi="Tahoma" w:cs="Tahoma"/>
      <w:sz w:val="16"/>
      <w:szCs w:val="16"/>
    </w:rPr>
  </w:style>
  <w:style w:type="character" w:customStyle="1" w:styleId="TextodebaloChar">
    <w:name w:val="Texto de balão Char"/>
    <w:basedOn w:val="Fontepargpadro"/>
    <w:link w:val="Textodebalo"/>
    <w:semiHidden/>
    <w:rsid w:val="002D5261"/>
    <w:rPr>
      <w:rFonts w:ascii="Tahoma" w:eastAsia="Times New Roman" w:hAnsi="Tahoma" w:cs="Tahoma"/>
      <w:sz w:val="16"/>
      <w:szCs w:val="16"/>
      <w:lang w:val="pt-BR" w:eastAsia="pt-BR"/>
    </w:rPr>
  </w:style>
  <w:style w:type="character" w:customStyle="1" w:styleId="apple-style-span">
    <w:name w:val="apple-style-span"/>
    <w:basedOn w:val="Fontepargpadro"/>
    <w:rsid w:val="002D5261"/>
  </w:style>
  <w:style w:type="table" w:styleId="Tabelacomgrade">
    <w:name w:val="Table Grid"/>
    <w:basedOn w:val="Tabelanormal"/>
    <w:rsid w:val="002D5261"/>
    <w:pPr>
      <w:spacing w:after="0" w:line="240" w:lineRule="auto"/>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2D5261"/>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2D5261"/>
  </w:style>
  <w:style w:type="paragraph" w:customStyle="1" w:styleId="Char2">
    <w:name w:val="Char2"/>
    <w:basedOn w:val="Normal"/>
    <w:rsid w:val="002D5261"/>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2D5261"/>
    <w:pPr>
      <w:spacing w:after="0"/>
    </w:pPr>
    <w:rPr>
      <w:sz w:val="20"/>
    </w:rPr>
  </w:style>
  <w:style w:type="character" w:customStyle="1" w:styleId="TextodenotaderodapChar">
    <w:name w:val="Texto de nota de rodapé Char"/>
    <w:basedOn w:val="Fontepargpadro"/>
    <w:link w:val="Textodenotaderodap"/>
    <w:semiHidden/>
    <w:rsid w:val="002D5261"/>
    <w:rPr>
      <w:rFonts w:ascii="Times New Roman" w:eastAsia="Times New Roman" w:hAnsi="Times New Roman" w:cs="Times New Roman"/>
      <w:sz w:val="20"/>
      <w:szCs w:val="20"/>
      <w:lang w:val="pt-BR" w:eastAsia="pt-BR"/>
    </w:rPr>
  </w:style>
  <w:style w:type="character" w:styleId="Refdenotaderodap">
    <w:name w:val="footnote reference"/>
    <w:semiHidden/>
    <w:rsid w:val="002D5261"/>
    <w:rPr>
      <w:vertAlign w:val="superscript"/>
    </w:rPr>
  </w:style>
  <w:style w:type="character" w:customStyle="1" w:styleId="PinheiroGuimares-Advogados">
    <w:name w:val="Pinheiro Guimarães - Advogados"/>
    <w:semiHidden/>
    <w:rsid w:val="002D5261"/>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2D5261"/>
  </w:style>
  <w:style w:type="character" w:customStyle="1" w:styleId="CorpodetextoChar">
    <w:name w:val="Corpo de texto Char"/>
    <w:basedOn w:val="Fontepargpadro"/>
    <w:link w:val="Corpodetexto"/>
    <w:rsid w:val="002D5261"/>
    <w:rPr>
      <w:rFonts w:ascii="Times New Roman" w:eastAsia="Times New Roman" w:hAnsi="Times New Roman" w:cs="Times New Roman"/>
      <w:sz w:val="26"/>
      <w:szCs w:val="20"/>
      <w:lang w:val="pt-BR" w:eastAsia="pt-BR"/>
    </w:rPr>
  </w:style>
  <w:style w:type="paragraph" w:customStyle="1" w:styleId="BodyText22">
    <w:name w:val="Body Text 22"/>
    <w:basedOn w:val="Normal"/>
    <w:rsid w:val="002D5261"/>
    <w:pPr>
      <w:widowControl w:val="0"/>
      <w:spacing w:after="220"/>
      <w:ind w:left="2127" w:hanging="709"/>
    </w:pPr>
  </w:style>
  <w:style w:type="paragraph" w:customStyle="1" w:styleId="ListaMdia2-nfase21">
    <w:name w:val="Lista Média 2 - Ênfase 21"/>
    <w:hidden/>
    <w:uiPriority w:val="99"/>
    <w:semiHidden/>
    <w:rsid w:val="002D5261"/>
    <w:pPr>
      <w:spacing w:after="0" w:line="240" w:lineRule="auto"/>
    </w:pPr>
    <w:rPr>
      <w:rFonts w:ascii="Times New Roman" w:eastAsia="Times New Roman" w:hAnsi="Times New Roman" w:cs="Times New Roman"/>
      <w:sz w:val="26"/>
      <w:szCs w:val="20"/>
      <w:lang w:val="pt-BR" w:eastAsia="pt-BR"/>
    </w:rPr>
  </w:style>
  <w:style w:type="paragraph" w:styleId="Commarcadores">
    <w:name w:val="List Bullet"/>
    <w:basedOn w:val="Normal"/>
    <w:uiPriority w:val="99"/>
    <w:unhideWhenUsed/>
    <w:rsid w:val="002D5261"/>
    <w:pPr>
      <w:widowControl w:val="0"/>
      <w:numPr>
        <w:numId w:val="3"/>
      </w:numPr>
      <w:autoSpaceDE w:val="0"/>
      <w:autoSpaceDN w:val="0"/>
      <w:adjustRightInd w:val="0"/>
      <w:spacing w:after="0" w:line="340" w:lineRule="exact"/>
      <w:contextualSpacing/>
    </w:pPr>
  </w:style>
  <w:style w:type="paragraph" w:customStyle="1" w:styleId="GradeMdia1-nfase21">
    <w:name w:val="Grade Média 1 - Ênfase 21"/>
    <w:basedOn w:val="Normal"/>
    <w:uiPriority w:val="34"/>
    <w:qFormat/>
    <w:rsid w:val="002D5261"/>
    <w:pPr>
      <w:ind w:left="708"/>
    </w:pPr>
  </w:style>
  <w:style w:type="character" w:styleId="Nmerodepgina">
    <w:name w:val="page number"/>
    <w:rsid w:val="002D5261"/>
  </w:style>
  <w:style w:type="paragraph" w:customStyle="1" w:styleId="ListaColorida-nfase11">
    <w:name w:val="Lista Colorida - Ênfase 11"/>
    <w:basedOn w:val="Normal"/>
    <w:uiPriority w:val="34"/>
    <w:qFormat/>
    <w:rsid w:val="002D5261"/>
    <w:pPr>
      <w:ind w:left="708"/>
    </w:pPr>
  </w:style>
  <w:style w:type="paragraph" w:styleId="PargrafodaLista">
    <w:name w:val="List Paragraph"/>
    <w:basedOn w:val="Normal"/>
    <w:link w:val="PargrafodaListaChar"/>
    <w:uiPriority w:val="34"/>
    <w:qFormat/>
    <w:rsid w:val="002D5261"/>
    <w:pPr>
      <w:ind w:left="708"/>
    </w:pPr>
  </w:style>
  <w:style w:type="paragraph" w:customStyle="1" w:styleId="STDTextoDois-Quatro">
    <w:name w:val="STD Texto Dois-Quatro"/>
    <w:basedOn w:val="Normal"/>
    <w:rsid w:val="002D5261"/>
    <w:pPr>
      <w:autoSpaceDE w:val="0"/>
      <w:autoSpaceDN w:val="0"/>
      <w:adjustRightInd w:val="0"/>
      <w:spacing w:before="240" w:after="0" w:line="240" w:lineRule="exact"/>
      <w:ind w:left="471"/>
    </w:pPr>
    <w:rPr>
      <w:rFonts w:ascii="Arial" w:hAnsi="Arial"/>
      <w:sz w:val="20"/>
      <w:szCs w:val="24"/>
    </w:rPr>
  </w:style>
  <w:style w:type="character" w:customStyle="1" w:styleId="PargrafodaListaChar">
    <w:name w:val="Parágrafo da Lista Char"/>
    <w:link w:val="PargrafodaLista"/>
    <w:uiPriority w:val="34"/>
    <w:locked/>
    <w:rsid w:val="002D5261"/>
    <w:rPr>
      <w:rFonts w:ascii="Times New Roman" w:eastAsia="Times New Roman" w:hAnsi="Times New Roman" w:cs="Times New Roman"/>
      <w:sz w:val="26"/>
      <w:szCs w:val="20"/>
      <w:lang w:val="pt-BR" w:eastAsia="pt-BR"/>
    </w:rPr>
  </w:style>
  <w:style w:type="paragraph" w:customStyle="1" w:styleId="Default">
    <w:name w:val="Default"/>
    <w:rsid w:val="002D5261"/>
    <w:pPr>
      <w:autoSpaceDE w:val="0"/>
      <w:autoSpaceDN w:val="0"/>
      <w:adjustRightInd w:val="0"/>
      <w:spacing w:after="0" w:line="240" w:lineRule="auto"/>
    </w:pPr>
    <w:rPr>
      <w:rFonts w:ascii="Arial" w:hAnsi="Arial" w:cs="Arial"/>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tip.com.br" TargetMode="External"/><Relationship Id="rId13" Type="http://schemas.openxmlformats.org/officeDocument/2006/relationships/image" Target="media/image5.emf"/><Relationship Id="rId18" Type="http://schemas.openxmlformats.org/officeDocument/2006/relationships/hyperlink" Target="mailto:valores.mobili&#225;rios@cetip.com.br"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mailto:escrituracaorf@itau-unibanco.com.b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escrituracaorf@itau-unibanco.com.b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antonio.amaro@oliveiratrust.com.br" TargetMode="External"/><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mailto:geraldo.catharina@randon.com.br" TargetMode="Externa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54</Pages>
  <Words>18079</Words>
  <Characters>97630</Characters>
  <Application>Microsoft Office Word</Application>
  <DocSecurity>0</DocSecurity>
  <Lines>813</Lines>
  <Paragraphs>230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MMSO</Company>
  <LinksUpToDate>false</LinksUpToDate>
  <CharactersWithSpaces>115479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Machado Meyer 11/10</dc:creator>
  <cp:lastModifiedBy>thales.tarre</cp:lastModifiedBy>
  <cp:revision>4</cp:revision>
  <cp:lastPrinted>2016-11-17T13:26:00Z</cp:lastPrinted>
  <dcterms:created xsi:type="dcterms:W3CDTF">2016-11-16T18:48:00Z</dcterms:created>
  <dcterms:modified xsi:type="dcterms:W3CDTF">2016-11-17T13:27:00Z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_x000d_TEXT_SP - 12426875v16 12288.1 </vt:lpwstr>
  </property>
</Properties>
</file>