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C24D" w14:textId="77777777" w:rsidR="00FC10E9" w:rsidRDefault="00FC10E9">
      <w:pPr>
        <w:pStyle w:val="DeltaViewTableBody"/>
        <w:pBdr>
          <w:bottom w:val="double" w:sz="6" w:space="4" w:color="auto"/>
        </w:pBdr>
        <w:tabs>
          <w:tab w:val="left" w:pos="2366"/>
        </w:tabs>
        <w:autoSpaceDE/>
        <w:autoSpaceDN/>
        <w:adjustRightInd/>
        <w:spacing w:line="300" w:lineRule="atLeast"/>
        <w:jc w:val="center"/>
        <w:rPr>
          <w:lang w:val="pt-BR"/>
        </w:rPr>
      </w:pPr>
    </w:p>
    <w:p w14:paraId="667EF9C2" w14:textId="77777777" w:rsidR="00FC10E9" w:rsidRDefault="00FC10E9">
      <w:pPr>
        <w:pStyle w:val="DeltaViewTableBody"/>
        <w:pBdr>
          <w:bottom w:val="double" w:sz="6" w:space="4" w:color="auto"/>
        </w:pBdr>
        <w:tabs>
          <w:tab w:val="left" w:pos="2366"/>
        </w:tabs>
        <w:autoSpaceDE/>
        <w:autoSpaceDN/>
        <w:adjustRightInd/>
        <w:spacing w:line="300" w:lineRule="atLeast"/>
        <w:jc w:val="center"/>
        <w:rPr>
          <w:rFonts w:cs="Arial"/>
          <w:smallCaps/>
          <w:color w:val="000000"/>
          <w:sz w:val="22"/>
          <w:szCs w:val="22"/>
          <w:lang w:val="pt-BR"/>
        </w:rPr>
      </w:pPr>
    </w:p>
    <w:p w14:paraId="304075FF" w14:textId="77777777" w:rsidR="00FC10E9" w:rsidRDefault="00FC10E9">
      <w:pPr>
        <w:tabs>
          <w:tab w:val="left" w:pos="2366"/>
        </w:tabs>
        <w:spacing w:line="300" w:lineRule="atLeast"/>
        <w:jc w:val="center"/>
        <w:rPr>
          <w:rFonts w:ascii="Arial" w:hAnsi="Arial" w:cs="Arial"/>
          <w:color w:val="000000"/>
          <w:sz w:val="22"/>
          <w:szCs w:val="22"/>
        </w:rPr>
      </w:pPr>
    </w:p>
    <w:p w14:paraId="33FB8E68" w14:textId="77777777" w:rsidR="00FC10E9" w:rsidRDefault="00FC10E9">
      <w:pPr>
        <w:tabs>
          <w:tab w:val="left" w:pos="2366"/>
        </w:tabs>
        <w:spacing w:line="300" w:lineRule="atLeast"/>
        <w:jc w:val="center"/>
        <w:rPr>
          <w:rFonts w:ascii="Arial" w:hAnsi="Arial" w:cs="Arial"/>
          <w:color w:val="000000"/>
          <w:sz w:val="22"/>
          <w:szCs w:val="22"/>
        </w:rPr>
      </w:pPr>
    </w:p>
    <w:p w14:paraId="5492EC4B" w14:textId="77777777" w:rsidR="00FC10E9" w:rsidRDefault="00B10E1A">
      <w:pPr>
        <w:tabs>
          <w:tab w:val="left" w:pos="2366"/>
        </w:tabs>
        <w:spacing w:line="300" w:lineRule="atLeast"/>
        <w:jc w:val="both"/>
        <w:rPr>
          <w:rFonts w:ascii="Arial" w:hAnsi="Arial" w:cs="Arial"/>
          <w:b/>
          <w:color w:val="000000"/>
          <w:sz w:val="22"/>
          <w:szCs w:val="22"/>
        </w:rPr>
      </w:pPr>
      <w:r>
        <w:rPr>
          <w:rFonts w:ascii="Arial" w:hAnsi="Arial" w:cs="Arial"/>
          <w:b/>
          <w:bCs/>
          <w:color w:val="000000"/>
          <w:sz w:val="22"/>
          <w:szCs w:val="22"/>
        </w:rPr>
        <w:t>INSTRUMENTO PARTICULAR DE ESCRITURA DA DÉCIMA QUARTA EMISSÃO DE DEBÊNTURES SIMPLES, NÃO CONVERSÍVEIS EM AÇÕES, DA ESPÉCIE QUIROGRAFÁRIA, EM SÉRIE ÚNICA, PARA DISTRIBUIÇÃO PÚBLICA, COM ESFORÇOS RESTRITOS, DA AMERICANAS S.A.</w:t>
      </w:r>
    </w:p>
    <w:p w14:paraId="237FE226" w14:textId="77777777" w:rsidR="00FC10E9" w:rsidRDefault="00FC10E9">
      <w:pPr>
        <w:tabs>
          <w:tab w:val="left" w:pos="2366"/>
        </w:tabs>
        <w:spacing w:line="300" w:lineRule="atLeast"/>
        <w:jc w:val="center"/>
        <w:rPr>
          <w:rFonts w:ascii="Arial" w:hAnsi="Arial" w:cs="Arial"/>
          <w:color w:val="000000"/>
          <w:sz w:val="22"/>
          <w:szCs w:val="22"/>
        </w:rPr>
      </w:pPr>
    </w:p>
    <w:p w14:paraId="7C138AAB" w14:textId="77777777" w:rsidR="00FC10E9" w:rsidRDefault="00FC10E9">
      <w:pPr>
        <w:tabs>
          <w:tab w:val="left" w:pos="2366"/>
        </w:tabs>
        <w:spacing w:line="300" w:lineRule="atLeast"/>
        <w:jc w:val="center"/>
        <w:rPr>
          <w:rFonts w:ascii="Arial" w:hAnsi="Arial" w:cs="Arial"/>
          <w:color w:val="000000"/>
          <w:sz w:val="22"/>
          <w:szCs w:val="22"/>
        </w:rPr>
      </w:pPr>
    </w:p>
    <w:p w14:paraId="14BBAB2C" w14:textId="77777777" w:rsidR="00FC10E9" w:rsidRDefault="00FC10E9">
      <w:pPr>
        <w:tabs>
          <w:tab w:val="left" w:pos="2366"/>
        </w:tabs>
        <w:spacing w:line="300" w:lineRule="atLeast"/>
        <w:jc w:val="center"/>
        <w:rPr>
          <w:rFonts w:ascii="Arial" w:hAnsi="Arial" w:cs="Arial"/>
          <w:color w:val="000000"/>
          <w:sz w:val="22"/>
          <w:szCs w:val="22"/>
        </w:rPr>
      </w:pPr>
    </w:p>
    <w:p w14:paraId="7EA283EF" w14:textId="77777777" w:rsidR="00FC10E9" w:rsidRDefault="00FC10E9">
      <w:pPr>
        <w:tabs>
          <w:tab w:val="left" w:pos="2366"/>
        </w:tabs>
        <w:spacing w:line="300" w:lineRule="atLeast"/>
        <w:jc w:val="center"/>
        <w:rPr>
          <w:rFonts w:ascii="Arial" w:hAnsi="Arial" w:cs="Arial"/>
          <w:color w:val="000000"/>
          <w:sz w:val="22"/>
          <w:szCs w:val="22"/>
        </w:rPr>
      </w:pPr>
    </w:p>
    <w:p w14:paraId="3BAC5692" w14:textId="77777777" w:rsidR="00FC10E9" w:rsidRDefault="00B10E1A">
      <w:pPr>
        <w:pStyle w:val="c3"/>
        <w:tabs>
          <w:tab w:val="left" w:pos="2366"/>
        </w:tabs>
        <w:spacing w:line="300" w:lineRule="atLeast"/>
        <w:rPr>
          <w:rFonts w:ascii="Arial" w:hAnsi="Arial" w:cs="Arial"/>
          <w:color w:val="000000"/>
          <w:sz w:val="22"/>
          <w:szCs w:val="22"/>
        </w:rPr>
      </w:pPr>
      <w:r>
        <w:rPr>
          <w:rFonts w:ascii="Arial" w:hAnsi="Arial" w:cs="Arial"/>
          <w:color w:val="000000"/>
          <w:sz w:val="22"/>
          <w:szCs w:val="22"/>
        </w:rPr>
        <w:t>entre</w:t>
      </w:r>
    </w:p>
    <w:p w14:paraId="5D81E47F" w14:textId="77777777" w:rsidR="00FC10E9" w:rsidRDefault="00FC10E9">
      <w:pPr>
        <w:tabs>
          <w:tab w:val="left" w:pos="2366"/>
        </w:tabs>
        <w:spacing w:line="300" w:lineRule="atLeast"/>
        <w:jc w:val="center"/>
        <w:rPr>
          <w:rFonts w:ascii="Arial" w:hAnsi="Arial" w:cs="Arial"/>
          <w:color w:val="000000"/>
          <w:sz w:val="22"/>
          <w:szCs w:val="22"/>
        </w:rPr>
      </w:pPr>
    </w:p>
    <w:p w14:paraId="5B27C496" w14:textId="77777777" w:rsidR="00FC10E9" w:rsidRDefault="00FC10E9">
      <w:pPr>
        <w:tabs>
          <w:tab w:val="left" w:pos="2366"/>
        </w:tabs>
        <w:spacing w:line="300" w:lineRule="atLeast"/>
        <w:jc w:val="center"/>
        <w:rPr>
          <w:rFonts w:ascii="Arial" w:hAnsi="Arial" w:cs="Arial"/>
          <w:color w:val="000000"/>
          <w:sz w:val="22"/>
          <w:szCs w:val="22"/>
        </w:rPr>
      </w:pPr>
    </w:p>
    <w:p w14:paraId="1FAD9047" w14:textId="77777777" w:rsidR="00FC10E9" w:rsidRDefault="00FC10E9">
      <w:pPr>
        <w:tabs>
          <w:tab w:val="left" w:pos="2366"/>
        </w:tabs>
        <w:spacing w:line="300" w:lineRule="atLeast"/>
        <w:jc w:val="center"/>
        <w:rPr>
          <w:rFonts w:ascii="Arial" w:hAnsi="Arial" w:cs="Arial"/>
          <w:color w:val="000000"/>
          <w:sz w:val="22"/>
          <w:szCs w:val="22"/>
        </w:rPr>
      </w:pPr>
    </w:p>
    <w:p w14:paraId="6084A8D7" w14:textId="77777777" w:rsidR="00FC10E9" w:rsidRDefault="00FC10E9">
      <w:pPr>
        <w:tabs>
          <w:tab w:val="left" w:pos="2366"/>
        </w:tabs>
        <w:spacing w:line="300" w:lineRule="atLeast"/>
        <w:jc w:val="center"/>
        <w:rPr>
          <w:rFonts w:ascii="Arial" w:hAnsi="Arial" w:cs="Arial"/>
          <w:color w:val="000000"/>
          <w:sz w:val="22"/>
          <w:szCs w:val="22"/>
        </w:rPr>
      </w:pPr>
    </w:p>
    <w:p w14:paraId="5C4E3105" w14:textId="77777777" w:rsidR="00FC10E9" w:rsidRDefault="00B10E1A">
      <w:pPr>
        <w:tabs>
          <w:tab w:val="left" w:pos="2366"/>
        </w:tabs>
        <w:spacing w:line="300" w:lineRule="atLeast"/>
        <w:jc w:val="center"/>
        <w:rPr>
          <w:rFonts w:ascii="Arial" w:hAnsi="Arial" w:cs="Arial"/>
          <w:b/>
          <w:color w:val="000000"/>
          <w:sz w:val="22"/>
          <w:szCs w:val="22"/>
        </w:rPr>
      </w:pPr>
      <w:r>
        <w:rPr>
          <w:rFonts w:ascii="Arial" w:hAnsi="Arial" w:cs="Arial"/>
          <w:b/>
          <w:color w:val="000000"/>
          <w:sz w:val="22"/>
          <w:szCs w:val="22"/>
        </w:rPr>
        <w:t>AMERICANAS S.A.</w:t>
      </w:r>
    </w:p>
    <w:p w14:paraId="3EBB82C1" w14:textId="77777777" w:rsidR="00FC10E9" w:rsidRDefault="00B10E1A">
      <w:pPr>
        <w:tabs>
          <w:tab w:val="left" w:pos="2366"/>
        </w:tabs>
        <w:spacing w:line="300" w:lineRule="atLeast"/>
        <w:jc w:val="center"/>
        <w:rPr>
          <w:rFonts w:ascii="Arial" w:hAnsi="Arial" w:cs="Arial"/>
          <w:i/>
          <w:iCs/>
          <w:color w:val="000000"/>
          <w:sz w:val="22"/>
          <w:szCs w:val="22"/>
        </w:rPr>
      </w:pPr>
      <w:r>
        <w:rPr>
          <w:rFonts w:ascii="Arial" w:hAnsi="Arial" w:cs="Arial"/>
          <w:i/>
          <w:iCs/>
          <w:color w:val="000000"/>
          <w:sz w:val="22"/>
          <w:szCs w:val="22"/>
        </w:rPr>
        <w:t>como Emissora</w:t>
      </w:r>
    </w:p>
    <w:p w14:paraId="3A93FC35" w14:textId="77777777" w:rsidR="00FC10E9" w:rsidRDefault="00FC10E9">
      <w:pPr>
        <w:tabs>
          <w:tab w:val="left" w:pos="2366"/>
        </w:tabs>
        <w:spacing w:line="300" w:lineRule="atLeast"/>
        <w:jc w:val="center"/>
        <w:rPr>
          <w:rFonts w:ascii="Arial" w:hAnsi="Arial" w:cs="Arial"/>
          <w:color w:val="000000"/>
          <w:sz w:val="22"/>
          <w:szCs w:val="22"/>
        </w:rPr>
      </w:pPr>
    </w:p>
    <w:p w14:paraId="5A3F4BC7" w14:textId="77777777" w:rsidR="00FC10E9" w:rsidRDefault="00FC10E9">
      <w:pPr>
        <w:tabs>
          <w:tab w:val="left" w:pos="2366"/>
        </w:tabs>
        <w:spacing w:line="300" w:lineRule="atLeast"/>
        <w:jc w:val="center"/>
        <w:rPr>
          <w:rFonts w:ascii="Arial" w:hAnsi="Arial" w:cs="Arial"/>
          <w:color w:val="000000"/>
          <w:sz w:val="22"/>
          <w:szCs w:val="22"/>
        </w:rPr>
      </w:pPr>
    </w:p>
    <w:p w14:paraId="494AF8EB" w14:textId="77777777" w:rsidR="00FC10E9" w:rsidRDefault="00FC10E9">
      <w:pPr>
        <w:tabs>
          <w:tab w:val="left" w:pos="2366"/>
        </w:tabs>
        <w:spacing w:line="300" w:lineRule="atLeast"/>
        <w:jc w:val="center"/>
        <w:rPr>
          <w:rFonts w:ascii="Arial" w:hAnsi="Arial" w:cs="Arial"/>
          <w:color w:val="000000"/>
          <w:sz w:val="22"/>
          <w:szCs w:val="22"/>
        </w:rPr>
      </w:pPr>
    </w:p>
    <w:p w14:paraId="5C3C313A" w14:textId="77777777" w:rsidR="00FC10E9" w:rsidRDefault="00FC10E9">
      <w:pPr>
        <w:tabs>
          <w:tab w:val="left" w:pos="2366"/>
        </w:tabs>
        <w:spacing w:line="300" w:lineRule="atLeast"/>
        <w:jc w:val="center"/>
        <w:rPr>
          <w:rFonts w:ascii="Arial" w:hAnsi="Arial" w:cs="Arial"/>
          <w:color w:val="000000"/>
          <w:sz w:val="22"/>
          <w:szCs w:val="22"/>
        </w:rPr>
      </w:pPr>
    </w:p>
    <w:p w14:paraId="0C396074" w14:textId="77777777" w:rsidR="00FC10E9" w:rsidRDefault="00B10E1A">
      <w:pPr>
        <w:tabs>
          <w:tab w:val="left" w:pos="2366"/>
        </w:tabs>
        <w:spacing w:line="300" w:lineRule="atLeast"/>
        <w:jc w:val="center"/>
        <w:outlineLvl w:val="0"/>
        <w:rPr>
          <w:rFonts w:ascii="Arial" w:hAnsi="Arial" w:cs="Arial"/>
          <w:color w:val="000000"/>
          <w:sz w:val="22"/>
          <w:szCs w:val="22"/>
        </w:rPr>
      </w:pPr>
      <w:bookmarkStart w:id="0" w:name="_Toc300658546"/>
      <w:r>
        <w:rPr>
          <w:rFonts w:ascii="Arial" w:hAnsi="Arial" w:cs="Arial"/>
          <w:color w:val="000000"/>
          <w:sz w:val="22"/>
          <w:szCs w:val="22"/>
        </w:rPr>
        <w:t>e</w:t>
      </w:r>
      <w:bookmarkEnd w:id="0"/>
    </w:p>
    <w:p w14:paraId="10360894" w14:textId="77777777" w:rsidR="00FC10E9" w:rsidRDefault="00FC10E9">
      <w:pPr>
        <w:tabs>
          <w:tab w:val="left" w:pos="2366"/>
        </w:tabs>
        <w:spacing w:line="300" w:lineRule="atLeast"/>
        <w:jc w:val="center"/>
        <w:rPr>
          <w:rFonts w:ascii="Arial" w:hAnsi="Arial" w:cs="Arial"/>
          <w:color w:val="000000"/>
          <w:sz w:val="22"/>
          <w:szCs w:val="22"/>
        </w:rPr>
      </w:pPr>
    </w:p>
    <w:p w14:paraId="03F3BF5B" w14:textId="77777777" w:rsidR="00FC10E9" w:rsidRDefault="00FC10E9">
      <w:pPr>
        <w:tabs>
          <w:tab w:val="left" w:pos="2366"/>
        </w:tabs>
        <w:spacing w:line="300" w:lineRule="atLeast"/>
        <w:jc w:val="center"/>
        <w:rPr>
          <w:rFonts w:ascii="Arial" w:hAnsi="Arial" w:cs="Arial"/>
          <w:color w:val="000000"/>
          <w:sz w:val="22"/>
          <w:szCs w:val="22"/>
        </w:rPr>
      </w:pPr>
    </w:p>
    <w:p w14:paraId="3900B244" w14:textId="77777777" w:rsidR="00FC10E9" w:rsidRDefault="00FC10E9">
      <w:pPr>
        <w:tabs>
          <w:tab w:val="left" w:pos="2366"/>
        </w:tabs>
        <w:spacing w:line="300" w:lineRule="atLeast"/>
        <w:jc w:val="center"/>
        <w:rPr>
          <w:rFonts w:ascii="Arial" w:hAnsi="Arial" w:cs="Arial"/>
          <w:color w:val="000000"/>
          <w:sz w:val="22"/>
          <w:szCs w:val="22"/>
        </w:rPr>
      </w:pPr>
    </w:p>
    <w:p w14:paraId="6AC3BAFC" w14:textId="77777777" w:rsidR="00FC10E9" w:rsidRDefault="00FC10E9">
      <w:pPr>
        <w:tabs>
          <w:tab w:val="left" w:pos="2366"/>
        </w:tabs>
        <w:spacing w:line="300" w:lineRule="atLeast"/>
        <w:jc w:val="center"/>
        <w:rPr>
          <w:rFonts w:ascii="Arial" w:hAnsi="Arial" w:cs="Arial"/>
          <w:color w:val="000000"/>
          <w:sz w:val="22"/>
          <w:szCs w:val="22"/>
        </w:rPr>
      </w:pPr>
    </w:p>
    <w:p w14:paraId="71E93F0B" w14:textId="77777777" w:rsidR="00FC10E9" w:rsidRDefault="00B10E1A">
      <w:pPr>
        <w:widowControl w:val="0"/>
        <w:tabs>
          <w:tab w:val="left" w:pos="2366"/>
        </w:tabs>
        <w:spacing w:line="300" w:lineRule="exact"/>
        <w:jc w:val="center"/>
        <w:rPr>
          <w:rFonts w:ascii="Arial" w:hAnsi="Arial" w:cs="Arial"/>
          <w:b/>
          <w:color w:val="000000"/>
          <w:sz w:val="22"/>
          <w:szCs w:val="22"/>
        </w:rPr>
      </w:pPr>
      <w:r>
        <w:rPr>
          <w:rFonts w:ascii="Arial" w:hAnsi="Arial" w:cs="Arial"/>
          <w:b/>
          <w:bCs/>
          <w:color w:val="000000"/>
          <w:sz w:val="22"/>
          <w:szCs w:val="22"/>
        </w:rPr>
        <w:t>OLIVEIRA TRUST DISTRIBUIDORA DE TÍTULOS E VALORES MOBILIÁRIOS S.A.</w:t>
      </w:r>
    </w:p>
    <w:p w14:paraId="1C247F9C" w14:textId="77777777" w:rsidR="00FC10E9" w:rsidRDefault="00B10E1A">
      <w:pPr>
        <w:tabs>
          <w:tab w:val="left" w:pos="2366"/>
        </w:tabs>
        <w:spacing w:line="300" w:lineRule="atLeast"/>
        <w:jc w:val="center"/>
        <w:rPr>
          <w:rFonts w:ascii="Arial" w:hAnsi="Arial" w:cs="Arial"/>
          <w:b/>
          <w:color w:val="000000"/>
          <w:sz w:val="22"/>
          <w:szCs w:val="22"/>
        </w:rPr>
      </w:pPr>
      <w:r>
        <w:rPr>
          <w:rFonts w:ascii="Arial" w:hAnsi="Arial" w:cs="Arial"/>
          <w:i/>
          <w:iCs/>
          <w:color w:val="000000"/>
          <w:sz w:val="22"/>
          <w:szCs w:val="22"/>
        </w:rPr>
        <w:t>como Agente Fiduciário</w:t>
      </w:r>
      <w:r>
        <w:rPr>
          <w:rFonts w:ascii="Arial" w:hAnsi="Arial" w:cs="Arial"/>
          <w:i/>
          <w:color w:val="000000"/>
          <w:sz w:val="22"/>
          <w:szCs w:val="22"/>
        </w:rPr>
        <w:t>, representando a comunhão de Debenturistas</w:t>
      </w:r>
    </w:p>
    <w:p w14:paraId="3F404BD4" w14:textId="77777777" w:rsidR="00FC10E9" w:rsidRDefault="00FC10E9">
      <w:pPr>
        <w:tabs>
          <w:tab w:val="left" w:pos="2366"/>
        </w:tabs>
        <w:spacing w:line="300" w:lineRule="atLeast"/>
        <w:rPr>
          <w:rFonts w:ascii="Arial" w:hAnsi="Arial" w:cs="Arial"/>
          <w:color w:val="000000"/>
          <w:sz w:val="22"/>
          <w:szCs w:val="22"/>
        </w:rPr>
      </w:pPr>
    </w:p>
    <w:p w14:paraId="20A9DAC9" w14:textId="77777777" w:rsidR="00FC10E9" w:rsidRDefault="00FC10E9">
      <w:pPr>
        <w:tabs>
          <w:tab w:val="left" w:pos="2366"/>
        </w:tabs>
        <w:spacing w:line="300" w:lineRule="atLeast"/>
        <w:jc w:val="center"/>
        <w:rPr>
          <w:rFonts w:ascii="Arial" w:hAnsi="Arial" w:cs="Arial"/>
          <w:color w:val="000000"/>
          <w:sz w:val="22"/>
          <w:szCs w:val="22"/>
        </w:rPr>
      </w:pPr>
    </w:p>
    <w:p w14:paraId="2F3B1189" w14:textId="77777777" w:rsidR="00FC10E9" w:rsidRDefault="00FC10E9">
      <w:pPr>
        <w:tabs>
          <w:tab w:val="left" w:pos="2366"/>
        </w:tabs>
        <w:spacing w:line="300" w:lineRule="atLeast"/>
        <w:jc w:val="center"/>
        <w:rPr>
          <w:rFonts w:ascii="Arial" w:hAnsi="Arial" w:cs="Arial"/>
          <w:color w:val="000000"/>
          <w:sz w:val="22"/>
          <w:szCs w:val="22"/>
        </w:rPr>
      </w:pPr>
    </w:p>
    <w:p w14:paraId="081C774F" w14:textId="77777777" w:rsidR="00FC10E9" w:rsidRDefault="00FC10E9">
      <w:pPr>
        <w:tabs>
          <w:tab w:val="left" w:pos="2366"/>
        </w:tabs>
        <w:spacing w:line="300" w:lineRule="atLeast"/>
        <w:jc w:val="center"/>
        <w:rPr>
          <w:rFonts w:ascii="Arial" w:hAnsi="Arial" w:cs="Arial"/>
          <w:color w:val="000000"/>
          <w:sz w:val="22"/>
          <w:szCs w:val="22"/>
        </w:rPr>
      </w:pPr>
    </w:p>
    <w:p w14:paraId="4719D090"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w:t>
      </w:r>
    </w:p>
    <w:p w14:paraId="44630D5D" w14:textId="77777777" w:rsidR="00FC10E9" w:rsidRDefault="00FC10E9">
      <w:pPr>
        <w:tabs>
          <w:tab w:val="left" w:pos="2366"/>
        </w:tabs>
        <w:spacing w:line="300" w:lineRule="atLeast"/>
        <w:jc w:val="center"/>
        <w:rPr>
          <w:rFonts w:ascii="Arial" w:hAnsi="Arial" w:cs="Arial"/>
          <w:color w:val="000000"/>
          <w:sz w:val="22"/>
          <w:szCs w:val="22"/>
        </w:rPr>
      </w:pPr>
    </w:p>
    <w:p w14:paraId="27047597"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Datado de</w:t>
      </w:r>
    </w:p>
    <w:p w14:paraId="711FDC4C"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22 de junho de 2022</w:t>
      </w:r>
    </w:p>
    <w:p w14:paraId="6E534385"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w:t>
      </w:r>
    </w:p>
    <w:p w14:paraId="0B524586" w14:textId="77777777" w:rsidR="00FC10E9" w:rsidRDefault="00FC10E9">
      <w:pPr>
        <w:pBdr>
          <w:bottom w:val="double" w:sz="6" w:space="1" w:color="auto"/>
        </w:pBdr>
        <w:tabs>
          <w:tab w:val="left" w:pos="2366"/>
        </w:tabs>
        <w:spacing w:line="300" w:lineRule="atLeast"/>
        <w:jc w:val="center"/>
        <w:rPr>
          <w:rFonts w:ascii="Arial" w:hAnsi="Arial" w:cs="Arial"/>
          <w:smallCaps/>
          <w:color w:val="000000"/>
          <w:sz w:val="22"/>
          <w:szCs w:val="22"/>
        </w:rPr>
      </w:pPr>
    </w:p>
    <w:p w14:paraId="6E41D110" w14:textId="77777777" w:rsidR="00FC10E9" w:rsidRDefault="00FC10E9">
      <w:pPr>
        <w:pBdr>
          <w:bottom w:val="double" w:sz="6" w:space="1" w:color="auto"/>
        </w:pBdr>
        <w:tabs>
          <w:tab w:val="left" w:pos="2366"/>
        </w:tabs>
        <w:spacing w:line="300" w:lineRule="atLeast"/>
        <w:jc w:val="center"/>
        <w:rPr>
          <w:rFonts w:ascii="Arial" w:hAnsi="Arial" w:cs="Arial"/>
          <w:smallCaps/>
          <w:color w:val="000000"/>
          <w:sz w:val="22"/>
          <w:szCs w:val="22"/>
        </w:rPr>
      </w:pPr>
    </w:p>
    <w:p w14:paraId="6DFE332B" w14:textId="77777777" w:rsidR="00FC10E9" w:rsidRDefault="00FC10E9">
      <w:pPr>
        <w:tabs>
          <w:tab w:val="left" w:pos="2366"/>
        </w:tabs>
        <w:spacing w:line="300" w:lineRule="atLeast"/>
        <w:rPr>
          <w:rFonts w:ascii="Arial" w:hAnsi="Arial" w:cs="Arial"/>
          <w:b/>
          <w:bCs/>
          <w:color w:val="000000"/>
          <w:sz w:val="22"/>
          <w:szCs w:val="22"/>
        </w:rPr>
      </w:pPr>
    </w:p>
    <w:p w14:paraId="4BFDE93D" w14:textId="77777777" w:rsidR="00FC10E9" w:rsidRDefault="00FC10E9">
      <w:pPr>
        <w:tabs>
          <w:tab w:val="left" w:pos="2366"/>
        </w:tabs>
        <w:spacing w:line="300" w:lineRule="atLeast"/>
        <w:jc w:val="center"/>
        <w:rPr>
          <w:rFonts w:ascii="Arial" w:hAnsi="Arial" w:cs="Arial"/>
          <w:b/>
          <w:bCs/>
          <w:color w:val="000000"/>
          <w:sz w:val="22"/>
          <w:szCs w:val="22"/>
        </w:rPr>
        <w:sectPr w:rsidR="00FC10E9">
          <w:headerReference w:type="default" r:id="rId8"/>
          <w:footerReference w:type="even" r:id="rId9"/>
          <w:headerReference w:type="first" r:id="rId10"/>
          <w:pgSz w:w="11906" w:h="16838" w:code="9"/>
          <w:pgMar w:top="1701" w:right="1418" w:bottom="1418" w:left="1418" w:header="709" w:footer="227" w:gutter="0"/>
          <w:cols w:space="708"/>
          <w:docGrid w:linePitch="360"/>
        </w:sectPr>
      </w:pPr>
    </w:p>
    <w:p w14:paraId="66E9A34C" w14:textId="77777777" w:rsidR="00FC10E9" w:rsidRDefault="00B10E1A">
      <w:pPr>
        <w:tabs>
          <w:tab w:val="left" w:pos="2366"/>
        </w:tabs>
        <w:spacing w:line="300" w:lineRule="atLeast"/>
        <w:jc w:val="center"/>
        <w:rPr>
          <w:rFonts w:ascii="Arial" w:hAnsi="Arial" w:cs="Arial"/>
          <w:b/>
          <w:bCs/>
          <w:color w:val="000000"/>
          <w:sz w:val="22"/>
          <w:szCs w:val="22"/>
        </w:rPr>
      </w:pPr>
      <w:r>
        <w:rPr>
          <w:rFonts w:ascii="Arial" w:hAnsi="Arial" w:cs="Arial"/>
          <w:b/>
          <w:bCs/>
          <w:color w:val="000000"/>
          <w:sz w:val="22"/>
          <w:szCs w:val="22"/>
        </w:rPr>
        <w:lastRenderedPageBreak/>
        <w:t>ÍNDICE</w:t>
      </w:r>
    </w:p>
    <w:p w14:paraId="2C2A8828" w14:textId="77777777" w:rsidR="00FC10E9" w:rsidRDefault="00FC10E9">
      <w:pPr>
        <w:tabs>
          <w:tab w:val="left" w:pos="2366"/>
        </w:tabs>
        <w:spacing w:line="300" w:lineRule="atLeast"/>
        <w:rPr>
          <w:rFonts w:ascii="Arial" w:hAnsi="Arial" w:cs="Arial"/>
          <w:b/>
          <w:bCs/>
          <w:color w:val="000000"/>
          <w:sz w:val="22"/>
          <w:szCs w:val="22"/>
        </w:rPr>
      </w:pPr>
    </w:p>
    <w:p w14:paraId="76B62F6F" w14:textId="77777777" w:rsidR="00FC10E9" w:rsidRDefault="00FC10E9">
      <w:pPr>
        <w:tabs>
          <w:tab w:val="left" w:pos="2366"/>
        </w:tabs>
        <w:spacing w:line="300" w:lineRule="atLeast"/>
        <w:rPr>
          <w:rFonts w:ascii="Arial" w:hAnsi="Arial" w:cs="Arial"/>
          <w:b/>
          <w:bCs/>
          <w:color w:val="000000"/>
          <w:sz w:val="22"/>
          <w:szCs w:val="22"/>
        </w:rPr>
      </w:pPr>
    </w:p>
    <w:p w14:paraId="4646AB69" w14:textId="19F07AB0" w:rsidR="00FC10E9" w:rsidRDefault="00B10E1A">
      <w:pPr>
        <w:pStyle w:val="Sumrio1"/>
        <w:rPr>
          <w:rFonts w:ascii="Arial" w:eastAsiaTheme="minorEastAsia" w:hAnsi="Arial" w:cs="Arial"/>
          <w:noProof/>
        </w:rPr>
      </w:pPr>
      <w:r>
        <w:rPr>
          <w:bCs/>
          <w:color w:val="000000"/>
        </w:rPr>
        <w:fldChar w:fldCharType="begin"/>
      </w:r>
      <w:r>
        <w:rPr>
          <w:bCs/>
          <w:color w:val="000000"/>
        </w:rPr>
        <w:instrText xml:space="preserve"> TOC \h \z \t "SCBF_Título1;1" </w:instrText>
      </w:r>
      <w:r>
        <w:rPr>
          <w:bCs/>
          <w:color w:val="000000"/>
        </w:rPr>
        <w:fldChar w:fldCharType="separate"/>
      </w:r>
      <w:hyperlink w:anchor="_Toc510004471" w:history="1">
        <w:r>
          <w:rPr>
            <w:rStyle w:val="Hyperlink"/>
            <w:rFonts w:ascii="Arial" w:hAnsi="Arial" w:cs="Arial"/>
            <w:noProof/>
            <w:szCs w:val="22"/>
          </w:rPr>
          <w:t>CLÁUSULA I  AUTORIZAÇÃO</w:t>
        </w:r>
        <w:r>
          <w:rPr>
            <w:noProof/>
            <w:webHidden/>
          </w:rPr>
          <w:tab/>
        </w:r>
        <w:r>
          <w:rPr>
            <w:noProof/>
            <w:webHidden/>
          </w:rPr>
          <w:fldChar w:fldCharType="begin"/>
        </w:r>
        <w:r>
          <w:rPr>
            <w:noProof/>
            <w:webHidden/>
          </w:rPr>
          <w:instrText xml:space="preserve"> PAGEREF _Toc510004471 \h </w:instrText>
        </w:r>
        <w:r>
          <w:rPr>
            <w:noProof/>
            <w:webHidden/>
          </w:rPr>
        </w:r>
        <w:r>
          <w:rPr>
            <w:noProof/>
            <w:webHidden/>
          </w:rPr>
          <w:fldChar w:fldCharType="separate"/>
        </w:r>
        <w:r w:rsidR="00556BDE">
          <w:rPr>
            <w:noProof/>
            <w:webHidden/>
          </w:rPr>
          <w:t>2</w:t>
        </w:r>
        <w:r>
          <w:rPr>
            <w:noProof/>
            <w:webHidden/>
          </w:rPr>
          <w:fldChar w:fldCharType="end"/>
        </w:r>
      </w:hyperlink>
    </w:p>
    <w:p w14:paraId="202ABF2D" w14:textId="47FFF2CF" w:rsidR="00FC10E9" w:rsidRDefault="00E14759">
      <w:pPr>
        <w:pStyle w:val="Sumrio1"/>
        <w:rPr>
          <w:rFonts w:eastAsiaTheme="minorEastAsia"/>
          <w:noProof/>
        </w:rPr>
      </w:pPr>
      <w:hyperlink w:anchor="_Toc510004472" w:history="1">
        <w:r w:rsidR="00B10E1A">
          <w:rPr>
            <w:rStyle w:val="Hyperlink"/>
            <w:rFonts w:ascii="Arial" w:hAnsi="Arial" w:cs="Arial"/>
            <w:noProof/>
            <w:szCs w:val="22"/>
          </w:rPr>
          <w:t>CLÁUSULA II  REQUISITOS</w:t>
        </w:r>
        <w:r w:rsidR="00B10E1A">
          <w:rPr>
            <w:noProof/>
            <w:webHidden/>
          </w:rPr>
          <w:tab/>
        </w:r>
        <w:r w:rsidR="00B10E1A">
          <w:rPr>
            <w:noProof/>
            <w:webHidden/>
          </w:rPr>
          <w:fldChar w:fldCharType="begin"/>
        </w:r>
        <w:r w:rsidR="00B10E1A">
          <w:rPr>
            <w:noProof/>
            <w:webHidden/>
          </w:rPr>
          <w:instrText xml:space="preserve"> PAGEREF _Toc510004472 \h </w:instrText>
        </w:r>
        <w:r w:rsidR="00B10E1A">
          <w:rPr>
            <w:noProof/>
            <w:webHidden/>
          </w:rPr>
        </w:r>
        <w:r w:rsidR="00B10E1A">
          <w:rPr>
            <w:noProof/>
            <w:webHidden/>
          </w:rPr>
          <w:fldChar w:fldCharType="separate"/>
        </w:r>
        <w:r w:rsidR="00556BDE">
          <w:rPr>
            <w:noProof/>
            <w:webHidden/>
          </w:rPr>
          <w:t>3</w:t>
        </w:r>
        <w:r w:rsidR="00B10E1A">
          <w:rPr>
            <w:noProof/>
            <w:webHidden/>
          </w:rPr>
          <w:fldChar w:fldCharType="end"/>
        </w:r>
      </w:hyperlink>
    </w:p>
    <w:p w14:paraId="22F4E7A2" w14:textId="0BC53322" w:rsidR="00FC10E9" w:rsidRDefault="00E14759">
      <w:pPr>
        <w:pStyle w:val="Sumrio1"/>
        <w:rPr>
          <w:rFonts w:eastAsiaTheme="minorEastAsia"/>
          <w:noProof/>
        </w:rPr>
      </w:pPr>
      <w:hyperlink w:anchor="_Toc510004473" w:history="1">
        <w:r w:rsidR="00B10E1A">
          <w:rPr>
            <w:rStyle w:val="Hyperlink"/>
            <w:rFonts w:ascii="Arial" w:hAnsi="Arial" w:cs="Arial"/>
            <w:noProof/>
            <w:szCs w:val="22"/>
          </w:rPr>
          <w:t>CLÁUSULA III  CARACTERÍSTICAS DA EMISSÃO</w:t>
        </w:r>
        <w:r w:rsidR="00B10E1A">
          <w:rPr>
            <w:noProof/>
            <w:webHidden/>
          </w:rPr>
          <w:tab/>
        </w:r>
        <w:r w:rsidR="00B10E1A">
          <w:rPr>
            <w:noProof/>
            <w:webHidden/>
          </w:rPr>
          <w:fldChar w:fldCharType="begin"/>
        </w:r>
        <w:r w:rsidR="00B10E1A">
          <w:rPr>
            <w:noProof/>
            <w:webHidden/>
          </w:rPr>
          <w:instrText xml:space="preserve"> PAGEREF _Toc510004473 \h </w:instrText>
        </w:r>
        <w:r w:rsidR="00B10E1A">
          <w:rPr>
            <w:noProof/>
            <w:webHidden/>
          </w:rPr>
        </w:r>
        <w:r w:rsidR="00B10E1A">
          <w:rPr>
            <w:noProof/>
            <w:webHidden/>
          </w:rPr>
          <w:fldChar w:fldCharType="separate"/>
        </w:r>
        <w:r w:rsidR="00556BDE">
          <w:rPr>
            <w:noProof/>
            <w:webHidden/>
          </w:rPr>
          <w:t>4</w:t>
        </w:r>
        <w:r w:rsidR="00B10E1A">
          <w:rPr>
            <w:noProof/>
            <w:webHidden/>
          </w:rPr>
          <w:fldChar w:fldCharType="end"/>
        </w:r>
      </w:hyperlink>
    </w:p>
    <w:p w14:paraId="2866F3DD" w14:textId="77777777" w:rsidR="00FC10E9" w:rsidRDefault="00E14759">
      <w:pPr>
        <w:pStyle w:val="Sumrio1"/>
        <w:rPr>
          <w:rFonts w:eastAsiaTheme="minorEastAsia"/>
          <w:noProof/>
        </w:rPr>
      </w:pPr>
      <w:hyperlink w:anchor="_Toc510004474" w:history="1">
        <w:r w:rsidR="00B10E1A">
          <w:rPr>
            <w:rStyle w:val="Hyperlink"/>
            <w:rFonts w:ascii="Arial" w:hAnsi="Arial" w:cs="Arial"/>
            <w:noProof/>
            <w:szCs w:val="22"/>
          </w:rPr>
          <w:t>CLÁUSULA IV  CARACTERÍSTICAS DAS DEBÊNTURES</w:t>
        </w:r>
        <w:r w:rsidR="00B10E1A">
          <w:rPr>
            <w:noProof/>
            <w:webHidden/>
          </w:rPr>
          <w:tab/>
          <w:t>7</w:t>
        </w:r>
      </w:hyperlink>
    </w:p>
    <w:p w14:paraId="10A6401A" w14:textId="74EE2FF2" w:rsidR="00FC10E9" w:rsidRDefault="00E14759">
      <w:pPr>
        <w:pStyle w:val="Sumrio1"/>
        <w:rPr>
          <w:rFonts w:eastAsiaTheme="minorEastAsia"/>
          <w:noProof/>
        </w:rPr>
      </w:pPr>
      <w:hyperlink w:anchor="_Toc510004475" w:history="1">
        <w:r w:rsidR="00B10E1A">
          <w:rPr>
            <w:rStyle w:val="Hyperlink"/>
            <w:rFonts w:ascii="Arial" w:hAnsi="Arial" w:cs="Arial"/>
            <w:noProof/>
            <w:szCs w:val="22"/>
          </w:rPr>
          <w:t>CLÁUSULA V  ADITAMENTOS À PRESENTE ESCRITURA</w:t>
        </w:r>
        <w:r w:rsidR="00B10E1A">
          <w:rPr>
            <w:noProof/>
            <w:webHidden/>
          </w:rPr>
          <w:tab/>
        </w:r>
        <w:r w:rsidR="00B10E1A">
          <w:rPr>
            <w:noProof/>
            <w:webHidden/>
          </w:rPr>
          <w:fldChar w:fldCharType="begin"/>
        </w:r>
        <w:r w:rsidR="00B10E1A">
          <w:rPr>
            <w:noProof/>
            <w:webHidden/>
          </w:rPr>
          <w:instrText xml:space="preserve"> PAGEREF _Toc510004475 \h </w:instrText>
        </w:r>
        <w:r w:rsidR="00B10E1A">
          <w:rPr>
            <w:noProof/>
            <w:webHidden/>
          </w:rPr>
        </w:r>
        <w:r w:rsidR="00B10E1A">
          <w:rPr>
            <w:noProof/>
            <w:webHidden/>
          </w:rPr>
          <w:fldChar w:fldCharType="separate"/>
        </w:r>
        <w:r w:rsidR="00556BDE">
          <w:rPr>
            <w:noProof/>
            <w:webHidden/>
          </w:rPr>
          <w:t>16</w:t>
        </w:r>
        <w:r w:rsidR="00B10E1A">
          <w:rPr>
            <w:noProof/>
            <w:webHidden/>
          </w:rPr>
          <w:fldChar w:fldCharType="end"/>
        </w:r>
      </w:hyperlink>
    </w:p>
    <w:p w14:paraId="54F5DE9D" w14:textId="02D681E5" w:rsidR="00FC10E9" w:rsidRDefault="00E14759">
      <w:pPr>
        <w:pStyle w:val="Sumrio1"/>
        <w:rPr>
          <w:rFonts w:eastAsiaTheme="minorEastAsia"/>
          <w:noProof/>
        </w:rPr>
      </w:pPr>
      <w:hyperlink w:anchor="_Toc510004476" w:history="1">
        <w:r w:rsidR="00B10E1A">
          <w:rPr>
            <w:rStyle w:val="Hyperlink"/>
            <w:rFonts w:ascii="Arial" w:hAnsi="Arial" w:cs="Arial"/>
            <w:noProof/>
            <w:szCs w:val="22"/>
          </w:rPr>
          <w:t>CLÁUSULA VI  RESGATE ANTECIPADO FACULTATIVO, AMORTIZAÇÃO EXTRAORDINÁRIA FACULTATIVA E AQUISIÇÃO FACULTATIVA</w:t>
        </w:r>
        <w:r w:rsidR="00B10E1A">
          <w:rPr>
            <w:noProof/>
            <w:webHidden/>
          </w:rPr>
          <w:tab/>
        </w:r>
        <w:r w:rsidR="00B10E1A">
          <w:rPr>
            <w:noProof/>
            <w:webHidden/>
          </w:rPr>
          <w:fldChar w:fldCharType="begin"/>
        </w:r>
        <w:r w:rsidR="00B10E1A">
          <w:rPr>
            <w:noProof/>
            <w:webHidden/>
          </w:rPr>
          <w:instrText xml:space="preserve"> PAGEREF _Toc510004476 \h </w:instrText>
        </w:r>
        <w:r w:rsidR="00B10E1A">
          <w:rPr>
            <w:noProof/>
            <w:webHidden/>
          </w:rPr>
        </w:r>
        <w:r w:rsidR="00B10E1A">
          <w:rPr>
            <w:noProof/>
            <w:webHidden/>
          </w:rPr>
          <w:fldChar w:fldCharType="separate"/>
        </w:r>
        <w:r w:rsidR="00556BDE">
          <w:rPr>
            <w:noProof/>
            <w:webHidden/>
          </w:rPr>
          <w:t>16</w:t>
        </w:r>
        <w:r w:rsidR="00B10E1A">
          <w:rPr>
            <w:noProof/>
            <w:webHidden/>
          </w:rPr>
          <w:fldChar w:fldCharType="end"/>
        </w:r>
      </w:hyperlink>
    </w:p>
    <w:p w14:paraId="776A1D93" w14:textId="4A75C613" w:rsidR="00FC10E9" w:rsidRDefault="00E14759">
      <w:pPr>
        <w:pStyle w:val="Sumrio1"/>
        <w:rPr>
          <w:rFonts w:eastAsiaTheme="minorEastAsia"/>
          <w:noProof/>
        </w:rPr>
      </w:pPr>
      <w:hyperlink w:anchor="_Toc510004477" w:history="1">
        <w:r w:rsidR="00B10E1A">
          <w:rPr>
            <w:rStyle w:val="Hyperlink"/>
            <w:rFonts w:ascii="Arial" w:hAnsi="Arial" w:cs="Arial"/>
            <w:noProof/>
            <w:szCs w:val="22"/>
          </w:rPr>
          <w:t>CLÁUSULA VII  VENCIMENTO ANTECIPADO</w:t>
        </w:r>
        <w:r w:rsidR="00B10E1A">
          <w:rPr>
            <w:noProof/>
            <w:webHidden/>
          </w:rPr>
          <w:tab/>
        </w:r>
        <w:r w:rsidR="00B10E1A">
          <w:rPr>
            <w:noProof/>
            <w:webHidden/>
          </w:rPr>
          <w:fldChar w:fldCharType="begin"/>
        </w:r>
        <w:r w:rsidR="00B10E1A">
          <w:rPr>
            <w:noProof/>
            <w:webHidden/>
          </w:rPr>
          <w:instrText xml:space="preserve"> PAGEREF _Toc510004477 \h </w:instrText>
        </w:r>
        <w:r w:rsidR="00B10E1A">
          <w:rPr>
            <w:noProof/>
            <w:webHidden/>
          </w:rPr>
        </w:r>
        <w:r w:rsidR="00B10E1A">
          <w:rPr>
            <w:noProof/>
            <w:webHidden/>
          </w:rPr>
          <w:fldChar w:fldCharType="separate"/>
        </w:r>
        <w:r w:rsidR="00556BDE">
          <w:rPr>
            <w:noProof/>
            <w:webHidden/>
          </w:rPr>
          <w:t>19</w:t>
        </w:r>
        <w:r w:rsidR="00B10E1A">
          <w:rPr>
            <w:noProof/>
            <w:webHidden/>
          </w:rPr>
          <w:fldChar w:fldCharType="end"/>
        </w:r>
      </w:hyperlink>
    </w:p>
    <w:p w14:paraId="3CFD89DD" w14:textId="67822F9C" w:rsidR="00FC10E9" w:rsidRDefault="00E14759">
      <w:pPr>
        <w:pStyle w:val="Sumrio1"/>
        <w:rPr>
          <w:rFonts w:eastAsiaTheme="minorEastAsia"/>
          <w:noProof/>
        </w:rPr>
      </w:pPr>
      <w:hyperlink w:anchor="_Toc510004478" w:history="1">
        <w:r w:rsidR="00B10E1A">
          <w:rPr>
            <w:rStyle w:val="Hyperlink"/>
            <w:rFonts w:ascii="Arial" w:hAnsi="Arial" w:cs="Arial"/>
            <w:noProof/>
            <w:szCs w:val="22"/>
          </w:rPr>
          <w:t>CLÁUSULA VIII  OBRIGAÇÕES ADICIONAIS DA EMISSORA</w:t>
        </w:r>
        <w:r w:rsidR="00B10E1A">
          <w:rPr>
            <w:noProof/>
            <w:webHidden/>
          </w:rPr>
          <w:tab/>
        </w:r>
        <w:r w:rsidR="00B10E1A">
          <w:rPr>
            <w:noProof/>
            <w:webHidden/>
          </w:rPr>
          <w:fldChar w:fldCharType="begin"/>
        </w:r>
        <w:r w:rsidR="00B10E1A">
          <w:rPr>
            <w:noProof/>
            <w:webHidden/>
          </w:rPr>
          <w:instrText xml:space="preserve"> PAGEREF _Toc510004478 \h </w:instrText>
        </w:r>
        <w:r w:rsidR="00B10E1A">
          <w:rPr>
            <w:noProof/>
            <w:webHidden/>
          </w:rPr>
        </w:r>
        <w:r w:rsidR="00B10E1A">
          <w:rPr>
            <w:noProof/>
            <w:webHidden/>
          </w:rPr>
          <w:fldChar w:fldCharType="separate"/>
        </w:r>
        <w:r w:rsidR="00556BDE">
          <w:rPr>
            <w:noProof/>
            <w:webHidden/>
          </w:rPr>
          <w:t>23</w:t>
        </w:r>
        <w:r w:rsidR="00B10E1A">
          <w:rPr>
            <w:noProof/>
            <w:webHidden/>
          </w:rPr>
          <w:fldChar w:fldCharType="end"/>
        </w:r>
      </w:hyperlink>
    </w:p>
    <w:p w14:paraId="659EA7B1" w14:textId="4B36E79B" w:rsidR="00FC10E9" w:rsidRDefault="00E14759">
      <w:pPr>
        <w:pStyle w:val="Sumrio1"/>
        <w:rPr>
          <w:rFonts w:eastAsiaTheme="minorEastAsia"/>
          <w:noProof/>
        </w:rPr>
      </w:pPr>
      <w:hyperlink w:anchor="_Toc510004479" w:history="1">
        <w:r w:rsidR="00B10E1A">
          <w:rPr>
            <w:rStyle w:val="Hyperlink"/>
            <w:rFonts w:ascii="Arial" w:hAnsi="Arial" w:cs="Arial"/>
            <w:noProof/>
            <w:szCs w:val="22"/>
          </w:rPr>
          <w:t>CLÁUSULA IX  AGENTE FIDUCIÁRIO</w:t>
        </w:r>
        <w:r w:rsidR="00B10E1A">
          <w:rPr>
            <w:noProof/>
            <w:webHidden/>
          </w:rPr>
          <w:tab/>
        </w:r>
        <w:r w:rsidR="00B10E1A">
          <w:rPr>
            <w:noProof/>
            <w:webHidden/>
          </w:rPr>
          <w:fldChar w:fldCharType="begin"/>
        </w:r>
        <w:r w:rsidR="00B10E1A">
          <w:rPr>
            <w:noProof/>
            <w:webHidden/>
          </w:rPr>
          <w:instrText xml:space="preserve"> PAGEREF _Toc510004479 \h </w:instrText>
        </w:r>
        <w:r w:rsidR="00B10E1A">
          <w:rPr>
            <w:noProof/>
            <w:webHidden/>
          </w:rPr>
        </w:r>
        <w:r w:rsidR="00B10E1A">
          <w:rPr>
            <w:noProof/>
            <w:webHidden/>
          </w:rPr>
          <w:fldChar w:fldCharType="separate"/>
        </w:r>
        <w:r w:rsidR="00556BDE">
          <w:rPr>
            <w:noProof/>
            <w:webHidden/>
          </w:rPr>
          <w:t>29</w:t>
        </w:r>
        <w:r w:rsidR="00B10E1A">
          <w:rPr>
            <w:noProof/>
            <w:webHidden/>
          </w:rPr>
          <w:fldChar w:fldCharType="end"/>
        </w:r>
      </w:hyperlink>
    </w:p>
    <w:p w14:paraId="12942B4A" w14:textId="427E5E75" w:rsidR="00FC10E9" w:rsidRDefault="00E14759">
      <w:pPr>
        <w:pStyle w:val="Sumrio1"/>
        <w:rPr>
          <w:rFonts w:eastAsiaTheme="minorEastAsia"/>
          <w:noProof/>
        </w:rPr>
      </w:pPr>
      <w:hyperlink w:anchor="_Toc510004480" w:history="1">
        <w:r w:rsidR="00B10E1A">
          <w:rPr>
            <w:rStyle w:val="Hyperlink"/>
            <w:rFonts w:ascii="Arial" w:hAnsi="Arial" w:cs="Arial"/>
            <w:noProof/>
            <w:szCs w:val="22"/>
          </w:rPr>
          <w:t>CLÁUSULA X  ASSEMBLEIA GERAL DE DEBENTURISTAS</w:t>
        </w:r>
        <w:r w:rsidR="00B10E1A">
          <w:rPr>
            <w:noProof/>
            <w:webHidden/>
          </w:rPr>
          <w:tab/>
        </w:r>
        <w:r w:rsidR="00B10E1A">
          <w:rPr>
            <w:noProof/>
            <w:webHidden/>
          </w:rPr>
          <w:fldChar w:fldCharType="begin"/>
        </w:r>
        <w:r w:rsidR="00B10E1A">
          <w:rPr>
            <w:noProof/>
            <w:webHidden/>
          </w:rPr>
          <w:instrText xml:space="preserve"> PAGEREF _Toc510004480 \h </w:instrText>
        </w:r>
        <w:r w:rsidR="00B10E1A">
          <w:rPr>
            <w:noProof/>
            <w:webHidden/>
          </w:rPr>
        </w:r>
        <w:r w:rsidR="00B10E1A">
          <w:rPr>
            <w:noProof/>
            <w:webHidden/>
          </w:rPr>
          <w:fldChar w:fldCharType="separate"/>
        </w:r>
        <w:r w:rsidR="00556BDE">
          <w:rPr>
            <w:noProof/>
            <w:webHidden/>
          </w:rPr>
          <w:t>37</w:t>
        </w:r>
        <w:r w:rsidR="00B10E1A">
          <w:rPr>
            <w:noProof/>
            <w:webHidden/>
          </w:rPr>
          <w:fldChar w:fldCharType="end"/>
        </w:r>
      </w:hyperlink>
    </w:p>
    <w:p w14:paraId="594D5E45" w14:textId="1C3053EB" w:rsidR="00FC10E9" w:rsidRDefault="00E14759">
      <w:pPr>
        <w:pStyle w:val="Sumrio1"/>
        <w:rPr>
          <w:rFonts w:eastAsiaTheme="minorEastAsia"/>
          <w:noProof/>
        </w:rPr>
      </w:pPr>
      <w:hyperlink w:anchor="_Toc510004481" w:history="1">
        <w:r w:rsidR="00B10E1A">
          <w:rPr>
            <w:rStyle w:val="Hyperlink"/>
            <w:rFonts w:ascii="Arial" w:hAnsi="Arial" w:cs="Arial"/>
            <w:noProof/>
            <w:szCs w:val="22"/>
          </w:rPr>
          <w:t>CLÁUSULA XI  DECLARAÇÕES E GARANTIAS DA EMISSORA</w:t>
        </w:r>
        <w:r w:rsidR="00B10E1A">
          <w:rPr>
            <w:noProof/>
            <w:webHidden/>
          </w:rPr>
          <w:tab/>
        </w:r>
        <w:r w:rsidR="00B10E1A">
          <w:rPr>
            <w:noProof/>
            <w:webHidden/>
          </w:rPr>
          <w:fldChar w:fldCharType="begin"/>
        </w:r>
        <w:r w:rsidR="00B10E1A">
          <w:rPr>
            <w:noProof/>
            <w:webHidden/>
          </w:rPr>
          <w:instrText xml:space="preserve"> PAGEREF _Toc510004481 \h </w:instrText>
        </w:r>
        <w:r w:rsidR="00B10E1A">
          <w:rPr>
            <w:noProof/>
            <w:webHidden/>
          </w:rPr>
        </w:r>
        <w:r w:rsidR="00B10E1A">
          <w:rPr>
            <w:noProof/>
            <w:webHidden/>
          </w:rPr>
          <w:fldChar w:fldCharType="separate"/>
        </w:r>
        <w:r w:rsidR="00556BDE">
          <w:rPr>
            <w:noProof/>
            <w:webHidden/>
          </w:rPr>
          <w:t>39</w:t>
        </w:r>
        <w:r w:rsidR="00B10E1A">
          <w:rPr>
            <w:noProof/>
            <w:webHidden/>
          </w:rPr>
          <w:fldChar w:fldCharType="end"/>
        </w:r>
      </w:hyperlink>
    </w:p>
    <w:p w14:paraId="0826533D" w14:textId="54334762" w:rsidR="00FC10E9" w:rsidRDefault="00E14759">
      <w:pPr>
        <w:pStyle w:val="Sumrio1"/>
        <w:rPr>
          <w:rFonts w:eastAsiaTheme="minorEastAsia"/>
          <w:noProof/>
        </w:rPr>
      </w:pPr>
      <w:hyperlink w:anchor="_Toc510004482" w:history="1">
        <w:r w:rsidR="00B10E1A">
          <w:rPr>
            <w:rStyle w:val="Hyperlink"/>
            <w:rFonts w:ascii="Arial" w:hAnsi="Arial" w:cs="Arial"/>
            <w:noProof/>
            <w:szCs w:val="22"/>
          </w:rPr>
          <w:t>CLÁUSULA XII  DISPOSIÇÕES GERAIS</w:t>
        </w:r>
        <w:r w:rsidR="00B10E1A">
          <w:rPr>
            <w:noProof/>
            <w:webHidden/>
          </w:rPr>
          <w:tab/>
        </w:r>
        <w:r w:rsidR="00B10E1A">
          <w:rPr>
            <w:noProof/>
            <w:webHidden/>
          </w:rPr>
          <w:fldChar w:fldCharType="begin"/>
        </w:r>
        <w:r w:rsidR="00B10E1A">
          <w:rPr>
            <w:noProof/>
            <w:webHidden/>
          </w:rPr>
          <w:instrText xml:space="preserve"> PAGEREF _Toc510004482 \h </w:instrText>
        </w:r>
        <w:r w:rsidR="00B10E1A">
          <w:rPr>
            <w:noProof/>
            <w:webHidden/>
          </w:rPr>
        </w:r>
        <w:r w:rsidR="00B10E1A">
          <w:rPr>
            <w:noProof/>
            <w:webHidden/>
          </w:rPr>
          <w:fldChar w:fldCharType="separate"/>
        </w:r>
        <w:r w:rsidR="00556BDE">
          <w:rPr>
            <w:noProof/>
            <w:webHidden/>
          </w:rPr>
          <w:t>43</w:t>
        </w:r>
        <w:r w:rsidR="00B10E1A">
          <w:rPr>
            <w:noProof/>
            <w:webHidden/>
          </w:rPr>
          <w:fldChar w:fldCharType="end"/>
        </w:r>
      </w:hyperlink>
    </w:p>
    <w:p w14:paraId="4153FA4A" w14:textId="77777777" w:rsidR="00FC10E9" w:rsidRDefault="00B10E1A">
      <w:pPr>
        <w:tabs>
          <w:tab w:val="left" w:pos="2366"/>
        </w:tabs>
        <w:spacing w:line="320" w:lineRule="atLeast"/>
        <w:rPr>
          <w:rFonts w:ascii="Arial" w:hAnsi="Arial" w:cs="Arial"/>
          <w:b/>
          <w:bCs/>
          <w:color w:val="000000"/>
          <w:sz w:val="22"/>
          <w:szCs w:val="22"/>
        </w:rPr>
      </w:pPr>
      <w:r>
        <w:rPr>
          <w:rFonts w:ascii="Arial" w:hAnsi="Arial" w:cs="Arial"/>
          <w:bCs/>
          <w:color w:val="000000"/>
          <w:sz w:val="22"/>
          <w:szCs w:val="22"/>
        </w:rPr>
        <w:fldChar w:fldCharType="end"/>
      </w:r>
    </w:p>
    <w:p w14:paraId="4DB5CC63" w14:textId="77777777" w:rsidR="00FC10E9" w:rsidRDefault="00FC10E9">
      <w:pPr>
        <w:tabs>
          <w:tab w:val="left" w:pos="2366"/>
        </w:tabs>
        <w:spacing w:line="300" w:lineRule="atLeast"/>
        <w:jc w:val="both"/>
        <w:rPr>
          <w:rFonts w:ascii="Arial" w:hAnsi="Arial" w:cs="Arial"/>
          <w:b/>
          <w:bCs/>
          <w:color w:val="000000"/>
          <w:sz w:val="22"/>
          <w:szCs w:val="22"/>
        </w:rPr>
      </w:pPr>
    </w:p>
    <w:p w14:paraId="526ED432" w14:textId="77777777" w:rsidR="00FC10E9" w:rsidRDefault="00FC10E9">
      <w:pPr>
        <w:tabs>
          <w:tab w:val="left" w:pos="2366"/>
        </w:tabs>
        <w:spacing w:line="300" w:lineRule="atLeast"/>
        <w:jc w:val="both"/>
        <w:rPr>
          <w:rFonts w:ascii="Arial" w:hAnsi="Arial" w:cs="Arial"/>
          <w:b/>
          <w:bCs/>
          <w:color w:val="000000"/>
          <w:sz w:val="22"/>
          <w:szCs w:val="22"/>
        </w:rPr>
        <w:sectPr w:rsidR="00FC10E9">
          <w:footerReference w:type="default" r:id="rId11"/>
          <w:pgSz w:w="11906" w:h="16838" w:code="9"/>
          <w:pgMar w:top="1701" w:right="1418" w:bottom="1418" w:left="1418" w:header="709" w:footer="0" w:gutter="0"/>
          <w:pgNumType w:start="1"/>
          <w:cols w:space="708"/>
          <w:docGrid w:linePitch="360"/>
        </w:sectPr>
      </w:pPr>
    </w:p>
    <w:p w14:paraId="00CF6107" w14:textId="77777777" w:rsidR="00FC10E9" w:rsidRDefault="00B10E1A">
      <w:pPr>
        <w:tabs>
          <w:tab w:val="left" w:pos="2366"/>
        </w:tabs>
        <w:spacing w:line="300" w:lineRule="atLeast"/>
        <w:jc w:val="both"/>
        <w:rPr>
          <w:rFonts w:ascii="Arial" w:hAnsi="Arial" w:cs="Arial"/>
          <w:b/>
          <w:color w:val="000000"/>
          <w:sz w:val="22"/>
          <w:szCs w:val="22"/>
        </w:rPr>
      </w:pPr>
      <w:r>
        <w:rPr>
          <w:rFonts w:ascii="Arial" w:hAnsi="Arial" w:cs="Arial"/>
          <w:b/>
          <w:bCs/>
          <w:color w:val="000000"/>
          <w:sz w:val="22"/>
          <w:szCs w:val="22"/>
        </w:rPr>
        <w:lastRenderedPageBreak/>
        <w:t>INSTRUMENTO PARTICULAR DE ESCRITURA DA DÉCIMA QUARTA EMISSÃO DE DEBÊNTURES SIMPLES, NÃO CONVERSÍVEIS EM AÇÕES, DA ESPÉCIE QUIROGRAFÁRIA, EM SÉRIE ÚNICA, PARA DISTRIBUIÇÃO PÚBLICA, COM ESFORÇOS RESTRITOS, DA AMERICANAS S.A.</w:t>
      </w:r>
    </w:p>
    <w:p w14:paraId="2EC9FB5F" w14:textId="77777777" w:rsidR="00FC10E9" w:rsidRDefault="00FC10E9">
      <w:pPr>
        <w:tabs>
          <w:tab w:val="left" w:pos="2366"/>
        </w:tabs>
        <w:spacing w:line="300" w:lineRule="atLeast"/>
        <w:jc w:val="both"/>
        <w:rPr>
          <w:rFonts w:ascii="Arial" w:hAnsi="Arial" w:cs="Arial"/>
          <w:color w:val="000000"/>
          <w:sz w:val="22"/>
          <w:szCs w:val="22"/>
        </w:rPr>
      </w:pPr>
    </w:p>
    <w:p w14:paraId="15BD3D56" w14:textId="77777777" w:rsidR="00FC10E9" w:rsidRDefault="00FC10E9">
      <w:pPr>
        <w:tabs>
          <w:tab w:val="left" w:pos="2366"/>
        </w:tabs>
        <w:spacing w:line="300" w:lineRule="atLeast"/>
        <w:jc w:val="both"/>
        <w:rPr>
          <w:rFonts w:ascii="Arial" w:hAnsi="Arial" w:cs="Arial"/>
          <w:color w:val="000000"/>
          <w:sz w:val="22"/>
          <w:szCs w:val="22"/>
        </w:rPr>
      </w:pPr>
    </w:p>
    <w:p w14:paraId="17E6D8B6"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Pelo presente instrumento particular:</w:t>
      </w:r>
    </w:p>
    <w:p w14:paraId="0E146C64" w14:textId="77777777" w:rsidR="00FC10E9" w:rsidRDefault="00FC10E9">
      <w:pPr>
        <w:tabs>
          <w:tab w:val="left" w:pos="2366"/>
        </w:tabs>
        <w:spacing w:line="300" w:lineRule="atLeast"/>
        <w:jc w:val="both"/>
        <w:rPr>
          <w:rFonts w:ascii="Arial" w:hAnsi="Arial" w:cs="Arial"/>
          <w:color w:val="000000"/>
          <w:sz w:val="22"/>
          <w:szCs w:val="22"/>
        </w:rPr>
      </w:pPr>
    </w:p>
    <w:p w14:paraId="408EDEE1"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b/>
          <w:smallCaps/>
          <w:color w:val="000000"/>
          <w:sz w:val="22"/>
          <w:szCs w:val="22"/>
        </w:rPr>
        <w:t>Americanas S.A.</w:t>
      </w:r>
      <w:r>
        <w:rPr>
          <w:rFonts w:ascii="Arial" w:hAnsi="Arial" w:cs="Arial"/>
          <w:color w:val="000000"/>
          <w:sz w:val="22"/>
          <w:szCs w:val="22"/>
        </w:rPr>
        <w:t>, sociedade anônima com registro de companhia aberta perante a Comissão de Valores Mobiliários (“</w:t>
      </w:r>
      <w:r>
        <w:rPr>
          <w:rFonts w:ascii="Arial" w:hAnsi="Arial" w:cs="Arial"/>
          <w:color w:val="000000"/>
          <w:sz w:val="22"/>
          <w:szCs w:val="22"/>
          <w:u w:val="single"/>
        </w:rPr>
        <w:t>CVM</w:t>
      </w:r>
      <w:r>
        <w:rPr>
          <w:rFonts w:ascii="Arial" w:hAnsi="Arial" w:cs="Arial"/>
          <w:color w:val="000000"/>
          <w:sz w:val="22"/>
          <w:szCs w:val="22"/>
        </w:rPr>
        <w:t>”), com sede na cidade do Rio de Janeiro, Estado do Rio de Janeiro, na Rua Sacadura Cabral, 102, Parte, Saúde, CEP 20081-902, inscrita no Cadastro Nacional da Pessoa Jurídica do Ministério da Economia (“</w:t>
      </w:r>
      <w:r>
        <w:rPr>
          <w:rFonts w:ascii="Arial" w:hAnsi="Arial" w:cs="Arial"/>
          <w:color w:val="000000"/>
          <w:sz w:val="22"/>
          <w:szCs w:val="22"/>
          <w:u w:val="single"/>
        </w:rPr>
        <w:t>CNPJ/ME</w:t>
      </w:r>
      <w:r>
        <w:rPr>
          <w:rFonts w:ascii="Arial" w:hAnsi="Arial" w:cs="Arial"/>
          <w:color w:val="000000"/>
          <w:sz w:val="22"/>
          <w:szCs w:val="22"/>
        </w:rPr>
        <w:t xml:space="preserve">”) sob o nº 00.776.574/0006-60, </w:t>
      </w:r>
      <w:r>
        <w:rPr>
          <w:rFonts w:ascii="Arial" w:hAnsi="Arial" w:cs="Arial"/>
          <w:sz w:val="22"/>
          <w:szCs w:val="22"/>
        </w:rPr>
        <w:t xml:space="preserve">e na </w:t>
      </w:r>
      <w:r>
        <w:rPr>
          <w:rFonts w:ascii="Arial" w:hAnsi="Arial" w:cs="Arial"/>
          <w:bCs/>
          <w:sz w:val="22"/>
          <w:szCs w:val="22"/>
        </w:rPr>
        <w:t>Junta Comercial do Estado do Rio de Janeiro (“</w:t>
      </w:r>
      <w:r>
        <w:rPr>
          <w:rFonts w:ascii="Arial" w:hAnsi="Arial" w:cs="Arial"/>
          <w:caps/>
          <w:sz w:val="22"/>
          <w:szCs w:val="22"/>
          <w:u w:val="single"/>
        </w:rPr>
        <w:t>JUCERJA</w:t>
      </w:r>
      <w:r>
        <w:rPr>
          <w:rFonts w:ascii="Arial" w:hAnsi="Arial" w:cs="Arial"/>
          <w:bCs/>
          <w:sz w:val="22"/>
          <w:szCs w:val="22"/>
        </w:rPr>
        <w:t>”)</w:t>
      </w:r>
      <w:r>
        <w:rPr>
          <w:rFonts w:ascii="Arial" w:hAnsi="Arial" w:cs="Arial"/>
          <w:sz w:val="22"/>
          <w:szCs w:val="22"/>
        </w:rPr>
        <w:t xml:space="preserve"> sob o NIRE </w:t>
      </w:r>
      <w:r>
        <w:rPr>
          <w:rFonts w:ascii="Arial" w:hAnsi="Arial" w:cs="Arial"/>
          <w:bCs/>
          <w:sz w:val="22"/>
          <w:szCs w:val="22"/>
        </w:rPr>
        <w:t>3330029074-5</w:t>
      </w:r>
      <w:r>
        <w:rPr>
          <w:rFonts w:ascii="Arial" w:hAnsi="Arial" w:cs="Arial"/>
          <w:sz w:val="22"/>
          <w:szCs w:val="22"/>
        </w:rPr>
        <w:t xml:space="preserve">, </w:t>
      </w:r>
      <w:r>
        <w:rPr>
          <w:rFonts w:ascii="Arial" w:hAnsi="Arial" w:cs="Arial"/>
          <w:color w:val="000000"/>
          <w:sz w:val="22"/>
          <w:szCs w:val="22"/>
        </w:rPr>
        <w:t xml:space="preserve">neste ato representada na forma de seu estatuto social </w:t>
      </w:r>
      <w:r>
        <w:rPr>
          <w:rFonts w:ascii="Arial" w:hAnsi="Arial" w:cs="Arial"/>
          <w:color w:val="000000"/>
          <w:sz w:val="22"/>
          <w:szCs w:val="22"/>
          <w:lang w:val="pt-PT"/>
        </w:rPr>
        <w:t>por seu(s) representante(s) legal(is) devidamente autorizado(s) e identificado(s) nas páginas de assinaturas do presente instrumento</w:t>
      </w:r>
      <w:r>
        <w:rPr>
          <w:rFonts w:ascii="Arial" w:hAnsi="Arial" w:cs="Arial"/>
          <w:color w:val="000000"/>
          <w:sz w:val="22"/>
          <w:szCs w:val="22"/>
        </w:rPr>
        <w:t xml:space="preserve"> (“</w:t>
      </w:r>
      <w:r>
        <w:rPr>
          <w:rFonts w:ascii="Arial" w:hAnsi="Arial" w:cs="Arial"/>
          <w:color w:val="000000"/>
          <w:sz w:val="22"/>
          <w:szCs w:val="22"/>
          <w:u w:val="single"/>
        </w:rPr>
        <w:t>Emissora</w:t>
      </w:r>
      <w:r>
        <w:rPr>
          <w:rFonts w:ascii="Arial" w:hAnsi="Arial" w:cs="Arial"/>
          <w:color w:val="000000"/>
          <w:sz w:val="22"/>
          <w:szCs w:val="22"/>
        </w:rPr>
        <w:t>” ou “</w:t>
      </w:r>
      <w:r>
        <w:rPr>
          <w:rFonts w:ascii="Arial" w:hAnsi="Arial" w:cs="Arial"/>
          <w:color w:val="000000"/>
          <w:sz w:val="22"/>
          <w:szCs w:val="22"/>
          <w:u w:val="single"/>
        </w:rPr>
        <w:t>Companhia</w:t>
      </w:r>
      <w:r>
        <w:rPr>
          <w:rFonts w:ascii="Arial" w:hAnsi="Arial" w:cs="Arial"/>
          <w:color w:val="000000"/>
          <w:sz w:val="22"/>
          <w:szCs w:val="22"/>
        </w:rPr>
        <w:t>”); e</w:t>
      </w:r>
    </w:p>
    <w:p w14:paraId="440935D1" w14:textId="77777777" w:rsidR="00FC10E9" w:rsidRDefault="00FC10E9">
      <w:pPr>
        <w:tabs>
          <w:tab w:val="left" w:pos="2366"/>
        </w:tabs>
        <w:spacing w:line="300" w:lineRule="atLeast"/>
        <w:jc w:val="both"/>
        <w:rPr>
          <w:rFonts w:ascii="Arial" w:hAnsi="Arial" w:cs="Arial"/>
          <w:color w:val="000000"/>
          <w:sz w:val="22"/>
          <w:szCs w:val="22"/>
        </w:rPr>
      </w:pPr>
    </w:p>
    <w:p w14:paraId="30626D71"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b/>
          <w:smallCaps/>
          <w:snapToGrid w:val="0"/>
          <w:sz w:val="22"/>
          <w:szCs w:val="22"/>
        </w:rPr>
        <w:t>Oliveira Trust Distribuidora de Títulos e Valores Mobiliários S.A.</w:t>
      </w:r>
      <w:r>
        <w:rPr>
          <w:rFonts w:ascii="Arial" w:hAnsi="Arial" w:cs="Arial"/>
          <w:sz w:val="22"/>
          <w:szCs w:val="22"/>
        </w:rPr>
        <w:t>, instituição financeira autorizada a funcionar pelo Banco Central, com sede na Cidade do Rio de Janeiro, Estado do Rio de Janeiro, na Avenida das Américas 3434, bloco 7, sala 201, inscrita no CNPJ/ME sob o nº 36.113.876/0001</w:t>
      </w:r>
      <w:r>
        <w:rPr>
          <w:rFonts w:ascii="Arial" w:hAnsi="Arial" w:cs="Arial"/>
          <w:sz w:val="22"/>
          <w:szCs w:val="22"/>
        </w:rPr>
        <w:noBreakHyphen/>
        <w:t>91, neste ato representada por seu(s) representante(s) legal(</w:t>
      </w:r>
      <w:proofErr w:type="spellStart"/>
      <w:r>
        <w:rPr>
          <w:rFonts w:ascii="Arial" w:hAnsi="Arial" w:cs="Arial"/>
          <w:sz w:val="22"/>
          <w:szCs w:val="22"/>
        </w:rPr>
        <w:t>is</w:t>
      </w:r>
      <w:proofErr w:type="spellEnd"/>
      <w:r>
        <w:rPr>
          <w:rFonts w:ascii="Arial" w:hAnsi="Arial" w:cs="Arial"/>
          <w:sz w:val="22"/>
          <w:szCs w:val="22"/>
        </w:rPr>
        <w:t>) devidamente autorizado(s) e identificado(s) nas páginas de assinaturas do presente instrumento, na qualidade de representante dos titulares das Debêntures (conforme abaixo definido)</w:t>
      </w:r>
      <w:r>
        <w:rPr>
          <w:rFonts w:ascii="Arial" w:hAnsi="Arial" w:cs="Arial"/>
          <w:b/>
          <w:smallCaps/>
          <w:sz w:val="22"/>
          <w:szCs w:val="22"/>
        </w:rPr>
        <w:t xml:space="preserve"> </w:t>
      </w:r>
      <w:r>
        <w:rPr>
          <w:rFonts w:ascii="Arial" w:hAnsi="Arial" w:cs="Arial"/>
          <w:color w:val="000000"/>
          <w:sz w:val="22"/>
          <w:szCs w:val="22"/>
        </w:rPr>
        <w:t>(“</w:t>
      </w:r>
      <w:r>
        <w:rPr>
          <w:rFonts w:ascii="Arial" w:hAnsi="Arial" w:cs="Arial"/>
          <w:color w:val="000000"/>
          <w:sz w:val="22"/>
          <w:szCs w:val="22"/>
          <w:u w:val="single"/>
        </w:rPr>
        <w:t>Agente Fiduciário</w:t>
      </w:r>
      <w:r>
        <w:rPr>
          <w:rFonts w:ascii="Arial" w:hAnsi="Arial" w:cs="Arial"/>
          <w:color w:val="000000"/>
          <w:sz w:val="22"/>
          <w:szCs w:val="22"/>
        </w:rPr>
        <w:t xml:space="preserve">”); </w:t>
      </w:r>
    </w:p>
    <w:p w14:paraId="4B0D4BB6" w14:textId="77777777" w:rsidR="00FC10E9" w:rsidRDefault="00FC10E9">
      <w:pPr>
        <w:tabs>
          <w:tab w:val="left" w:pos="2366"/>
        </w:tabs>
        <w:spacing w:line="300" w:lineRule="atLeast"/>
        <w:jc w:val="both"/>
        <w:rPr>
          <w:rFonts w:ascii="Arial" w:hAnsi="Arial" w:cs="Arial"/>
          <w:color w:val="000000"/>
          <w:sz w:val="22"/>
          <w:szCs w:val="22"/>
        </w:rPr>
      </w:pPr>
    </w:p>
    <w:p w14:paraId="581E5FC7"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sendo a Emissora e o Agente Fiduciário doravante designados, em conjunto, como “</w:t>
      </w:r>
      <w:r>
        <w:rPr>
          <w:rFonts w:ascii="Arial" w:hAnsi="Arial" w:cs="Arial"/>
          <w:color w:val="000000"/>
          <w:sz w:val="22"/>
          <w:szCs w:val="22"/>
          <w:u w:val="single"/>
        </w:rPr>
        <w:t>Partes</w:t>
      </w:r>
      <w:r>
        <w:rPr>
          <w:rFonts w:ascii="Arial" w:hAnsi="Arial" w:cs="Arial"/>
          <w:color w:val="000000"/>
          <w:sz w:val="22"/>
          <w:szCs w:val="22"/>
        </w:rPr>
        <w:t>” e, individual e indistintamente, como “</w:t>
      </w:r>
      <w:r>
        <w:rPr>
          <w:rFonts w:ascii="Arial" w:hAnsi="Arial" w:cs="Arial"/>
          <w:color w:val="000000"/>
          <w:sz w:val="22"/>
          <w:szCs w:val="22"/>
          <w:u w:val="single"/>
        </w:rPr>
        <w:t>Parte</w:t>
      </w:r>
      <w:r>
        <w:rPr>
          <w:rFonts w:ascii="Arial" w:hAnsi="Arial" w:cs="Arial"/>
          <w:color w:val="000000"/>
          <w:sz w:val="22"/>
          <w:szCs w:val="22"/>
        </w:rPr>
        <w:t>”,</w:t>
      </w:r>
    </w:p>
    <w:p w14:paraId="204D4D41" w14:textId="77777777" w:rsidR="00FC10E9" w:rsidRDefault="00FC10E9">
      <w:pPr>
        <w:tabs>
          <w:tab w:val="left" w:pos="2366"/>
        </w:tabs>
        <w:spacing w:line="300" w:lineRule="atLeast"/>
        <w:jc w:val="both"/>
        <w:rPr>
          <w:rFonts w:ascii="Arial" w:hAnsi="Arial" w:cs="Arial"/>
          <w:color w:val="000000"/>
          <w:sz w:val="22"/>
          <w:szCs w:val="22"/>
        </w:rPr>
      </w:pPr>
    </w:p>
    <w:p w14:paraId="50998909" w14:textId="77777777" w:rsidR="00FC10E9" w:rsidRDefault="00B10E1A">
      <w:pPr>
        <w:tabs>
          <w:tab w:val="left" w:pos="2366"/>
        </w:tabs>
        <w:spacing w:line="300" w:lineRule="atLeast"/>
        <w:jc w:val="both"/>
        <w:rPr>
          <w:rFonts w:ascii="Arial" w:hAnsi="Arial" w:cs="Arial"/>
          <w:b/>
          <w:color w:val="000000"/>
          <w:sz w:val="22"/>
          <w:szCs w:val="22"/>
        </w:rPr>
      </w:pPr>
      <w:r>
        <w:rPr>
          <w:rFonts w:ascii="Arial" w:hAnsi="Arial" w:cs="Arial"/>
          <w:color w:val="000000"/>
          <w:sz w:val="22"/>
          <w:szCs w:val="22"/>
        </w:rPr>
        <w:t xml:space="preserve">vêm, por meio desta e na melhor forma de direito, firmar o presente </w:t>
      </w:r>
      <w:r>
        <w:rPr>
          <w:rFonts w:ascii="Arial" w:hAnsi="Arial" w:cs="Arial"/>
          <w:i/>
          <w:color w:val="000000"/>
          <w:sz w:val="22"/>
          <w:szCs w:val="22"/>
        </w:rPr>
        <w:t>“Instrumento Particular de Escritura da Décima Quarta Emissão de Debêntures Simples, Não Conversíveis em Ações, da Espécie Quirografária, em Série Única, para Distribuição Pública, com Esforços Restritos, das Americanas S.A.”</w:t>
      </w:r>
      <w:r>
        <w:rPr>
          <w:rFonts w:ascii="Arial" w:hAnsi="Arial" w:cs="Arial"/>
          <w:color w:val="000000"/>
          <w:sz w:val="22"/>
          <w:szCs w:val="22"/>
        </w:rPr>
        <w:t xml:space="preserve"> (“</w:t>
      </w:r>
      <w:r>
        <w:rPr>
          <w:rFonts w:ascii="Arial" w:hAnsi="Arial" w:cs="Arial"/>
          <w:color w:val="000000"/>
          <w:sz w:val="22"/>
          <w:szCs w:val="22"/>
          <w:u w:val="single"/>
        </w:rPr>
        <w:t>Escritura</w:t>
      </w:r>
      <w:r>
        <w:rPr>
          <w:rFonts w:ascii="Arial" w:hAnsi="Arial" w:cs="Arial"/>
          <w:color w:val="000000"/>
          <w:sz w:val="22"/>
          <w:szCs w:val="22"/>
        </w:rPr>
        <w:t xml:space="preserve">”), mediante as cláusulas e condições a seguir. </w:t>
      </w:r>
    </w:p>
    <w:p w14:paraId="2D2AF09E" w14:textId="77777777" w:rsidR="00FC10E9" w:rsidRDefault="00FC10E9">
      <w:pPr>
        <w:tabs>
          <w:tab w:val="left" w:pos="2366"/>
        </w:tabs>
        <w:spacing w:line="300" w:lineRule="atLeast"/>
        <w:jc w:val="both"/>
        <w:rPr>
          <w:rFonts w:ascii="Arial" w:hAnsi="Arial" w:cs="Arial"/>
          <w:color w:val="000000"/>
          <w:sz w:val="22"/>
          <w:szCs w:val="22"/>
        </w:rPr>
      </w:pPr>
    </w:p>
    <w:p w14:paraId="635DA8C6"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Os termos aqui iniciados em letra maiúscula, estejam no singular ou no plural, terão o significado a eles atribuído nesta Escritura, ainda que posteriormente ao seu uso.</w:t>
      </w:r>
    </w:p>
    <w:p w14:paraId="1B20A9CB" w14:textId="77777777" w:rsidR="00FC10E9" w:rsidRDefault="00FC10E9">
      <w:pPr>
        <w:tabs>
          <w:tab w:val="left" w:pos="2366"/>
        </w:tabs>
        <w:spacing w:line="300" w:lineRule="atLeast"/>
        <w:jc w:val="both"/>
        <w:rPr>
          <w:rFonts w:ascii="Arial" w:hAnsi="Arial" w:cs="Arial"/>
          <w:color w:val="000000"/>
          <w:sz w:val="22"/>
          <w:szCs w:val="22"/>
        </w:rPr>
      </w:pPr>
    </w:p>
    <w:p w14:paraId="4F1E9FDF" w14:textId="77777777" w:rsidR="00FC10E9" w:rsidRDefault="00B10E1A">
      <w:pPr>
        <w:pStyle w:val="SCBFTtulo1"/>
        <w:keepLines w:val="0"/>
        <w:spacing w:line="300" w:lineRule="atLeast"/>
        <w:rPr>
          <w:rFonts w:ascii="Arial" w:hAnsi="Arial" w:cs="Arial"/>
          <w:color w:val="000000"/>
        </w:rPr>
      </w:pPr>
      <w:bookmarkStart w:id="1" w:name="_Toc510004471"/>
      <w:r>
        <w:rPr>
          <w:rFonts w:ascii="Arial" w:hAnsi="Arial" w:cs="Arial"/>
          <w:color w:val="000000"/>
        </w:rPr>
        <w:t xml:space="preserve">CLÁUSULA I </w:t>
      </w:r>
      <w:r>
        <w:rPr>
          <w:rFonts w:ascii="Arial" w:hAnsi="Arial" w:cs="Arial"/>
          <w:color w:val="000000"/>
        </w:rPr>
        <w:br/>
        <w:t>AUTORIZAÇÃO</w:t>
      </w:r>
      <w:bookmarkEnd w:id="1"/>
    </w:p>
    <w:p w14:paraId="64E800A8" w14:textId="77777777" w:rsidR="00FC10E9" w:rsidRDefault="00FC10E9">
      <w:pPr>
        <w:keepNext/>
        <w:tabs>
          <w:tab w:val="left" w:pos="2366"/>
        </w:tabs>
        <w:spacing w:line="300" w:lineRule="atLeast"/>
        <w:jc w:val="both"/>
        <w:rPr>
          <w:rFonts w:ascii="Arial" w:hAnsi="Arial" w:cs="Arial"/>
          <w:color w:val="000000"/>
          <w:sz w:val="22"/>
          <w:szCs w:val="22"/>
        </w:rPr>
      </w:pPr>
    </w:p>
    <w:p w14:paraId="336E1449" w14:textId="77777777" w:rsidR="00FC10E9" w:rsidRDefault="00B10E1A">
      <w:pPr>
        <w:pStyle w:val="Saudao"/>
        <w:keepNext/>
        <w:numPr>
          <w:ilvl w:val="0"/>
          <w:numId w:val="1"/>
        </w:numPr>
        <w:tabs>
          <w:tab w:val="clear" w:pos="2160"/>
          <w:tab w:val="num" w:pos="-4253"/>
          <w:tab w:val="left" w:pos="720"/>
          <w:tab w:val="left" w:pos="2366"/>
        </w:tabs>
        <w:spacing w:line="300" w:lineRule="atLeast"/>
        <w:rPr>
          <w:rFonts w:ascii="Arial" w:hAnsi="Arial" w:cs="Arial"/>
          <w:b/>
          <w:color w:val="000000"/>
          <w:sz w:val="22"/>
          <w:szCs w:val="22"/>
        </w:rPr>
      </w:pPr>
      <w:r>
        <w:rPr>
          <w:rFonts w:ascii="Arial" w:hAnsi="Arial" w:cs="Arial"/>
          <w:b/>
          <w:color w:val="000000"/>
          <w:sz w:val="22"/>
          <w:szCs w:val="22"/>
        </w:rPr>
        <w:t>Autorização da Emissora</w:t>
      </w:r>
    </w:p>
    <w:p w14:paraId="210CF389"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08E79F65" w14:textId="77777777" w:rsidR="00FC10E9" w:rsidRDefault="00B10E1A">
      <w:pPr>
        <w:numPr>
          <w:ilvl w:val="2"/>
          <w:numId w:val="2"/>
        </w:numPr>
        <w:tabs>
          <w:tab w:val="left" w:pos="720"/>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A presente Escritura é firmada com base nas deliberações do Conselho de Administração da Companhia em reunião realizada em 17 de junho de 2022 (“</w:t>
      </w:r>
      <w:r>
        <w:rPr>
          <w:rFonts w:ascii="Arial" w:hAnsi="Arial" w:cs="Arial"/>
          <w:color w:val="000000"/>
          <w:sz w:val="22"/>
          <w:szCs w:val="22"/>
          <w:u w:val="single"/>
        </w:rPr>
        <w:t>RCA</w:t>
      </w:r>
      <w:r>
        <w:rPr>
          <w:rFonts w:ascii="Arial" w:hAnsi="Arial" w:cs="Arial"/>
          <w:color w:val="000000"/>
          <w:sz w:val="22"/>
          <w:szCs w:val="22"/>
        </w:rPr>
        <w:t xml:space="preserve">”), na qual foram deliberadas: (a) a aprovação da Emissão e da Oferta Restrita, bem como de seus termos e condições; e (b) a autorização à Diretoria da Companhia para praticar todos os atos </w:t>
      </w:r>
      <w:r>
        <w:rPr>
          <w:rFonts w:ascii="Arial" w:hAnsi="Arial" w:cs="Arial"/>
          <w:color w:val="000000"/>
          <w:sz w:val="22"/>
          <w:szCs w:val="22"/>
        </w:rPr>
        <w:lastRenderedPageBreak/>
        <w:t>necessários à efetivação das deliberações consubstanciadas na RCA; tudo em conformidade com o disposto no artigo 59 da Lei nº 6.404, de 15 de dezembro de 1976, conforme alterada (“</w:t>
      </w:r>
      <w:r>
        <w:rPr>
          <w:rFonts w:ascii="Arial" w:hAnsi="Arial" w:cs="Arial"/>
          <w:color w:val="000000"/>
          <w:sz w:val="22"/>
          <w:szCs w:val="22"/>
          <w:u w:val="single"/>
        </w:rPr>
        <w:t>Lei das Sociedades por Ações</w:t>
      </w:r>
      <w:r>
        <w:rPr>
          <w:rFonts w:ascii="Arial" w:hAnsi="Arial" w:cs="Arial"/>
          <w:color w:val="000000"/>
          <w:sz w:val="22"/>
          <w:szCs w:val="22"/>
        </w:rPr>
        <w:t>”).</w:t>
      </w:r>
    </w:p>
    <w:p w14:paraId="38DAAA40" w14:textId="77777777" w:rsidR="00FC10E9" w:rsidRDefault="00FC10E9">
      <w:pPr>
        <w:tabs>
          <w:tab w:val="left" w:pos="2366"/>
        </w:tabs>
        <w:spacing w:line="300" w:lineRule="atLeast"/>
        <w:jc w:val="both"/>
        <w:rPr>
          <w:rFonts w:ascii="Arial" w:hAnsi="Arial" w:cs="Arial"/>
          <w:color w:val="000000"/>
          <w:sz w:val="22"/>
          <w:szCs w:val="22"/>
        </w:rPr>
      </w:pPr>
    </w:p>
    <w:p w14:paraId="37C23ACF" w14:textId="77777777" w:rsidR="00FC10E9" w:rsidRDefault="00FC10E9">
      <w:pPr>
        <w:tabs>
          <w:tab w:val="left" w:pos="2366"/>
        </w:tabs>
        <w:spacing w:line="300" w:lineRule="atLeast"/>
        <w:jc w:val="both"/>
        <w:rPr>
          <w:rFonts w:ascii="Arial" w:hAnsi="Arial" w:cs="Arial"/>
          <w:color w:val="000000"/>
          <w:sz w:val="22"/>
          <w:szCs w:val="22"/>
        </w:rPr>
      </w:pPr>
    </w:p>
    <w:p w14:paraId="3156DDB5" w14:textId="77777777" w:rsidR="00FC10E9" w:rsidRDefault="00B10E1A">
      <w:pPr>
        <w:pStyle w:val="SCBFTtulo1"/>
        <w:keepLines w:val="0"/>
        <w:spacing w:line="300" w:lineRule="atLeast"/>
        <w:rPr>
          <w:rFonts w:ascii="Arial" w:hAnsi="Arial" w:cs="Arial"/>
          <w:color w:val="000000"/>
        </w:rPr>
      </w:pPr>
      <w:bookmarkStart w:id="2" w:name="_Toc510004472"/>
      <w:r>
        <w:rPr>
          <w:rFonts w:ascii="Arial" w:hAnsi="Arial" w:cs="Arial"/>
          <w:color w:val="000000"/>
        </w:rPr>
        <w:t xml:space="preserve">CLÁUSULA II </w:t>
      </w:r>
      <w:r>
        <w:rPr>
          <w:rFonts w:ascii="Arial" w:hAnsi="Arial" w:cs="Arial"/>
          <w:color w:val="000000"/>
        </w:rPr>
        <w:br/>
        <w:t>REQUISITOS</w:t>
      </w:r>
      <w:bookmarkEnd w:id="2"/>
    </w:p>
    <w:p w14:paraId="6C843FAB" w14:textId="77777777" w:rsidR="00FC10E9" w:rsidRDefault="00FC10E9">
      <w:pPr>
        <w:keepNext/>
        <w:tabs>
          <w:tab w:val="left" w:pos="2366"/>
        </w:tabs>
        <w:spacing w:line="300" w:lineRule="atLeast"/>
        <w:jc w:val="both"/>
        <w:rPr>
          <w:rFonts w:ascii="Arial" w:hAnsi="Arial" w:cs="Arial"/>
          <w:color w:val="000000"/>
          <w:sz w:val="22"/>
          <w:szCs w:val="22"/>
        </w:rPr>
      </w:pPr>
    </w:p>
    <w:p w14:paraId="288B77F0"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A décima quarta emissão de debêntures simples, ou seja, não conversíveis em ações, da espécie quirografária, em série única, da Emissora, para distribuição pública, com esforços restritos, nos termos da Instrução da CVM nº 476, de 16 de janeiro de 2009, conforme alterada (“</w:t>
      </w:r>
      <w:r>
        <w:rPr>
          <w:rFonts w:ascii="Arial" w:hAnsi="Arial" w:cs="Arial"/>
          <w:color w:val="000000"/>
          <w:sz w:val="22"/>
          <w:szCs w:val="22"/>
          <w:u w:val="single"/>
        </w:rPr>
        <w:t>Emissão</w:t>
      </w:r>
      <w:r>
        <w:rPr>
          <w:rFonts w:ascii="Arial" w:hAnsi="Arial" w:cs="Arial"/>
          <w:color w:val="000000"/>
          <w:sz w:val="22"/>
          <w:szCs w:val="22"/>
        </w:rPr>
        <w:t>”, “</w:t>
      </w:r>
      <w:r>
        <w:rPr>
          <w:rFonts w:ascii="Arial" w:hAnsi="Arial" w:cs="Arial"/>
          <w:color w:val="000000"/>
          <w:sz w:val="22"/>
          <w:szCs w:val="22"/>
          <w:u w:val="single"/>
        </w:rPr>
        <w:t>Oferta Restrita</w:t>
      </w:r>
      <w:r>
        <w:rPr>
          <w:rFonts w:ascii="Arial" w:hAnsi="Arial" w:cs="Arial"/>
          <w:color w:val="000000"/>
          <w:sz w:val="22"/>
          <w:szCs w:val="22"/>
        </w:rPr>
        <w:t>” e “</w:t>
      </w:r>
      <w:r>
        <w:rPr>
          <w:rFonts w:ascii="Arial" w:hAnsi="Arial" w:cs="Arial"/>
          <w:color w:val="000000"/>
          <w:sz w:val="22"/>
          <w:szCs w:val="22"/>
          <w:u w:val="single"/>
        </w:rPr>
        <w:t>Instrução CVM 476</w:t>
      </w:r>
      <w:r>
        <w:rPr>
          <w:rFonts w:ascii="Arial" w:hAnsi="Arial" w:cs="Arial"/>
          <w:color w:val="000000"/>
          <w:sz w:val="22"/>
          <w:szCs w:val="22"/>
        </w:rPr>
        <w:t>”, respectivamente), será realizada com observância dos seguintes requisitos:</w:t>
      </w:r>
    </w:p>
    <w:p w14:paraId="0984EC8F" w14:textId="77777777" w:rsidR="00FC10E9" w:rsidRDefault="00FC10E9">
      <w:pPr>
        <w:tabs>
          <w:tab w:val="left" w:pos="2366"/>
        </w:tabs>
        <w:spacing w:line="300" w:lineRule="atLeast"/>
        <w:jc w:val="both"/>
        <w:rPr>
          <w:rFonts w:ascii="Arial" w:hAnsi="Arial" w:cs="Arial"/>
          <w:b/>
          <w:color w:val="000000"/>
          <w:sz w:val="22"/>
          <w:szCs w:val="22"/>
        </w:rPr>
      </w:pPr>
    </w:p>
    <w:p w14:paraId="4B73F088" w14:textId="77777777" w:rsidR="00FC10E9" w:rsidRDefault="00B10E1A">
      <w:pPr>
        <w:keepNext/>
        <w:numPr>
          <w:ilvl w:val="0"/>
          <w:numId w:val="3"/>
        </w:numPr>
        <w:tabs>
          <w:tab w:val="left" w:pos="720"/>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Dispensa de Registro na Comissão de Valores Mobiliários e Registro na Associação Brasileira das Entidades dos Mercados Financeiro e de Capitais</w:t>
      </w:r>
    </w:p>
    <w:p w14:paraId="39DF6F4B"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BBD5A93" w14:textId="77777777" w:rsidR="00FC10E9" w:rsidRDefault="00B10E1A">
      <w:pPr>
        <w:numPr>
          <w:ilvl w:val="2"/>
          <w:numId w:val="4"/>
        </w:numPr>
        <w:tabs>
          <w:tab w:val="num" w:pos="0"/>
          <w:tab w:val="left" w:pos="720"/>
          <w:tab w:val="left" w:pos="2366"/>
        </w:tabs>
        <w:autoSpaceDE w:val="0"/>
        <w:autoSpaceDN w:val="0"/>
        <w:adjustRightInd w:val="0"/>
        <w:spacing w:line="300" w:lineRule="atLeast"/>
        <w:ind w:left="0" w:firstLine="0"/>
        <w:jc w:val="both"/>
        <w:rPr>
          <w:rFonts w:ascii="Arial" w:hAnsi="Arial" w:cs="Arial"/>
          <w:color w:val="000000"/>
          <w:sz w:val="22"/>
          <w:szCs w:val="22"/>
        </w:rPr>
      </w:pPr>
      <w:bookmarkStart w:id="3" w:name="_DV_M27"/>
      <w:bookmarkStart w:id="4" w:name="_DV_M28"/>
      <w:bookmarkStart w:id="5" w:name="_DV_M29"/>
      <w:bookmarkEnd w:id="3"/>
      <w:bookmarkEnd w:id="4"/>
      <w:bookmarkEnd w:id="5"/>
      <w:r>
        <w:rPr>
          <w:rFonts w:ascii="Arial" w:hAnsi="Arial" w:cs="Arial"/>
          <w:color w:val="000000"/>
          <w:sz w:val="22"/>
          <w:szCs w:val="22"/>
        </w:rPr>
        <w:t>A Oferta Restrita será realizada nos termos do artigo 6º da Instrução CVM 476 e das demais disposições legais e regulamentares aplicáveis, estando, portanto, automaticamente dispensada do registro de distribuição de que trata o artigo 19 da Lei nº 6.385, de 7 de dezembro de 1976, conforme alterada, não sendo objeto de protocolo, registro e arquivamento perante a CVM, exceto pelo envio da comunicação sobre o início da Oferta Restrita e a comunicação de seu encerramento à CVM, nos termos dos artigos 7°-A e 8°, respectivamente, da Instrução CVM 476 (“</w:t>
      </w:r>
      <w:r>
        <w:rPr>
          <w:rFonts w:ascii="Arial" w:hAnsi="Arial" w:cs="Arial"/>
          <w:color w:val="000000"/>
          <w:sz w:val="22"/>
          <w:szCs w:val="22"/>
          <w:u w:val="single"/>
        </w:rPr>
        <w:t>Comunicação de Encerramento</w:t>
      </w:r>
      <w:r>
        <w:rPr>
          <w:rFonts w:ascii="Arial" w:hAnsi="Arial" w:cs="Arial"/>
          <w:color w:val="000000"/>
          <w:sz w:val="22"/>
          <w:szCs w:val="22"/>
        </w:rPr>
        <w:t>”).</w:t>
      </w:r>
    </w:p>
    <w:p w14:paraId="3A489A6F" w14:textId="77777777" w:rsidR="00FC10E9" w:rsidRDefault="00FC10E9">
      <w:pPr>
        <w:tabs>
          <w:tab w:val="left" w:pos="2366"/>
        </w:tabs>
        <w:autoSpaceDE w:val="0"/>
        <w:autoSpaceDN w:val="0"/>
        <w:adjustRightInd w:val="0"/>
        <w:spacing w:line="300" w:lineRule="atLeast"/>
        <w:jc w:val="both"/>
        <w:rPr>
          <w:rFonts w:ascii="Arial" w:hAnsi="Arial" w:cs="Arial"/>
          <w:color w:val="000000"/>
          <w:sz w:val="22"/>
          <w:szCs w:val="22"/>
        </w:rPr>
      </w:pPr>
    </w:p>
    <w:p w14:paraId="0E5976C9" w14:textId="77777777" w:rsidR="00FC10E9" w:rsidRDefault="00B10E1A">
      <w:pPr>
        <w:numPr>
          <w:ilvl w:val="2"/>
          <w:numId w:val="4"/>
        </w:numPr>
        <w:tabs>
          <w:tab w:val="num" w:pos="0"/>
          <w:tab w:val="left" w:pos="720"/>
          <w:tab w:val="left" w:pos="2366"/>
        </w:tabs>
        <w:autoSpaceDE w:val="0"/>
        <w:autoSpaceDN w:val="0"/>
        <w:adjustRightInd w:val="0"/>
        <w:spacing w:line="300" w:lineRule="atLeast"/>
        <w:ind w:left="0" w:firstLine="0"/>
        <w:jc w:val="both"/>
        <w:rPr>
          <w:rFonts w:ascii="Arial" w:hAnsi="Arial" w:cs="Arial"/>
          <w:color w:val="000000"/>
          <w:sz w:val="22"/>
          <w:szCs w:val="22"/>
        </w:rPr>
      </w:pPr>
      <w:r>
        <w:rPr>
          <w:rFonts w:ascii="Arial" w:hAnsi="Arial" w:cs="Arial"/>
          <w:color w:val="000000"/>
          <w:sz w:val="22"/>
          <w:szCs w:val="22"/>
        </w:rPr>
        <w:t>Nos termos do inciso I do artigo 16 e do inciso V do artigo 18 do “</w:t>
      </w:r>
      <w:r>
        <w:rPr>
          <w:rFonts w:ascii="Arial" w:hAnsi="Arial" w:cs="Arial"/>
          <w:i/>
          <w:iCs/>
          <w:color w:val="000000"/>
          <w:sz w:val="22"/>
          <w:szCs w:val="22"/>
        </w:rPr>
        <w:t>Código ANBIMA para Ofertas Públicas</w:t>
      </w:r>
      <w:r>
        <w:rPr>
          <w:rFonts w:ascii="Arial" w:hAnsi="Arial" w:cs="Arial"/>
          <w:color w:val="000000"/>
          <w:sz w:val="22"/>
          <w:szCs w:val="22"/>
        </w:rPr>
        <w:t>”, atualmente em vigor (“</w:t>
      </w:r>
      <w:r>
        <w:rPr>
          <w:rFonts w:ascii="Arial" w:hAnsi="Arial" w:cs="Arial"/>
          <w:color w:val="000000"/>
          <w:sz w:val="22"/>
          <w:szCs w:val="22"/>
          <w:u w:val="single"/>
        </w:rPr>
        <w:t>Código ANBIMA</w:t>
      </w:r>
      <w:r>
        <w:rPr>
          <w:rFonts w:ascii="Arial" w:hAnsi="Arial" w:cs="Arial"/>
          <w:color w:val="000000"/>
          <w:sz w:val="22"/>
          <w:szCs w:val="22"/>
        </w:rPr>
        <w:t>”), a Oferta Restrita será objeto de registro na ANBIMA no prazo de até 15 (quinze) dias contado da data da Comunicação de Encerramento</w:t>
      </w:r>
      <w:r>
        <w:rPr>
          <w:rFonts w:ascii="Arial" w:hAnsi="Arial" w:cs="Arial"/>
          <w:sz w:val="22"/>
          <w:szCs w:val="22"/>
        </w:rPr>
        <w:t xml:space="preserve">. </w:t>
      </w:r>
    </w:p>
    <w:p w14:paraId="192EA40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D589F47" w14:textId="77777777" w:rsidR="00FC10E9" w:rsidRDefault="00B10E1A">
      <w:pPr>
        <w:keepNext/>
        <w:numPr>
          <w:ilvl w:val="0"/>
          <w:numId w:val="3"/>
        </w:numPr>
        <w:tabs>
          <w:tab w:val="left" w:pos="720"/>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Arquivamento na Junta Comercial do Estado do Rio de Janeiro e Publicação dos Atos Societários</w:t>
      </w:r>
    </w:p>
    <w:p w14:paraId="3BE339BD"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172AE46D" w14:textId="77777777" w:rsidR="00FC10E9" w:rsidRDefault="00B10E1A">
      <w:pPr>
        <w:spacing w:line="300" w:lineRule="atLeast"/>
        <w:jc w:val="both"/>
        <w:rPr>
          <w:rFonts w:ascii="Arial" w:hAnsi="Arial" w:cs="Arial"/>
          <w:color w:val="000000"/>
          <w:sz w:val="22"/>
          <w:szCs w:val="22"/>
        </w:rPr>
      </w:pPr>
      <w:r>
        <w:rPr>
          <w:rFonts w:ascii="Arial" w:hAnsi="Arial" w:cs="Arial"/>
          <w:color w:val="000000"/>
          <w:sz w:val="22"/>
          <w:szCs w:val="22"/>
        </w:rPr>
        <w:t>2.2.1.</w:t>
      </w:r>
      <w:r>
        <w:rPr>
          <w:rFonts w:ascii="Arial" w:hAnsi="Arial" w:cs="Arial"/>
          <w:color w:val="000000"/>
          <w:sz w:val="22"/>
          <w:szCs w:val="22"/>
        </w:rPr>
        <w:tab/>
        <w:t>A ata da RCA será arquivada na JUCERJA e será publicada no jornal Valor Econômico – Edição Nacional, nos termos da Lei das Sociedades por Ações.</w:t>
      </w:r>
    </w:p>
    <w:p w14:paraId="6389D820" w14:textId="77777777" w:rsidR="00FC10E9" w:rsidRDefault="00FC10E9">
      <w:pPr>
        <w:spacing w:line="300" w:lineRule="atLeast"/>
        <w:rPr>
          <w:rFonts w:ascii="Arial" w:hAnsi="Arial" w:cs="Arial"/>
          <w:color w:val="000000"/>
          <w:sz w:val="22"/>
          <w:szCs w:val="22"/>
        </w:rPr>
      </w:pPr>
    </w:p>
    <w:p w14:paraId="3A353C1C" w14:textId="77777777" w:rsidR="00FC10E9" w:rsidRDefault="00B10E1A">
      <w:pPr>
        <w:keepNext/>
        <w:numPr>
          <w:ilvl w:val="0"/>
          <w:numId w:val="3"/>
        </w:numPr>
        <w:tabs>
          <w:tab w:val="left" w:pos="720"/>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Arquivamento da Escritura na Junta Comercial do Estado do Rio de Janeiro</w:t>
      </w:r>
    </w:p>
    <w:p w14:paraId="274FDB03"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3D91B797" w14:textId="77777777" w:rsidR="00FC10E9" w:rsidRDefault="00B10E1A">
      <w:pPr>
        <w:pStyle w:val="Saudao"/>
        <w:tabs>
          <w:tab w:val="left" w:pos="720"/>
          <w:tab w:val="left" w:pos="2366"/>
        </w:tabs>
        <w:spacing w:line="300" w:lineRule="atLeast"/>
        <w:ind w:firstLine="0"/>
        <w:rPr>
          <w:rFonts w:ascii="Arial" w:hAnsi="Arial" w:cs="Arial"/>
          <w:color w:val="000000"/>
          <w:sz w:val="22"/>
          <w:szCs w:val="22"/>
        </w:rPr>
      </w:pPr>
      <w:r>
        <w:rPr>
          <w:rFonts w:ascii="Arial" w:hAnsi="Arial" w:cs="Arial"/>
          <w:color w:val="000000"/>
          <w:sz w:val="22"/>
          <w:szCs w:val="22"/>
        </w:rPr>
        <w:t>2.3.1.</w:t>
      </w:r>
      <w:r>
        <w:rPr>
          <w:rFonts w:ascii="Arial" w:hAnsi="Arial" w:cs="Arial"/>
          <w:color w:val="000000"/>
          <w:sz w:val="22"/>
          <w:szCs w:val="22"/>
        </w:rPr>
        <w:tab/>
        <w:t>Esta Escritura e seus eventuais aditamentos serão arquivados na JUCERJA, conforme disposto no artigo 62, inciso II e parágrafo 3º da Lei das Sociedades por Ações.</w:t>
      </w:r>
    </w:p>
    <w:p w14:paraId="1A3CE9DC"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DE453C5" w14:textId="77777777" w:rsidR="00FC10E9" w:rsidRDefault="00B10E1A">
      <w:pPr>
        <w:keepNext/>
        <w:numPr>
          <w:ilvl w:val="0"/>
          <w:numId w:val="3"/>
        </w:numPr>
        <w:tabs>
          <w:tab w:val="left" w:pos="720"/>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lastRenderedPageBreak/>
        <w:t>Depósito para Distribuição e Negociação</w:t>
      </w:r>
    </w:p>
    <w:p w14:paraId="2B6E84E9" w14:textId="77777777" w:rsidR="00FC10E9" w:rsidRDefault="00FC10E9">
      <w:pPr>
        <w:keepNext/>
        <w:tabs>
          <w:tab w:val="left" w:pos="720"/>
          <w:tab w:val="left" w:pos="2366"/>
        </w:tabs>
        <w:spacing w:line="300" w:lineRule="atLeast"/>
        <w:rPr>
          <w:rFonts w:ascii="Arial" w:hAnsi="Arial" w:cs="Arial"/>
          <w:i/>
          <w:color w:val="000000"/>
          <w:sz w:val="22"/>
          <w:szCs w:val="22"/>
        </w:rPr>
      </w:pPr>
    </w:p>
    <w:p w14:paraId="49ED980A" w14:textId="77777777" w:rsidR="00FC10E9" w:rsidRDefault="00B10E1A">
      <w:pPr>
        <w:pStyle w:val="Saudao"/>
        <w:keepNext/>
        <w:numPr>
          <w:ilvl w:val="0"/>
          <w:numId w:val="6"/>
        </w:numPr>
        <w:tabs>
          <w:tab w:val="left" w:pos="720"/>
          <w:tab w:val="left" w:pos="2366"/>
        </w:tabs>
        <w:spacing w:line="300" w:lineRule="atLeast"/>
        <w:ind w:left="0" w:firstLine="0"/>
        <w:rPr>
          <w:rFonts w:ascii="Arial" w:hAnsi="Arial" w:cs="Arial"/>
          <w:iCs/>
          <w:color w:val="000000"/>
          <w:sz w:val="22"/>
          <w:szCs w:val="22"/>
        </w:rPr>
      </w:pPr>
      <w:r>
        <w:rPr>
          <w:rFonts w:ascii="Arial" w:hAnsi="Arial" w:cs="Arial"/>
          <w:iCs/>
          <w:color w:val="000000"/>
          <w:sz w:val="22"/>
          <w:szCs w:val="22"/>
        </w:rPr>
        <w:t>As Debêntures serão depositadas para:</w:t>
      </w:r>
    </w:p>
    <w:p w14:paraId="3AEE96B8" w14:textId="77777777" w:rsidR="00FC10E9" w:rsidRDefault="00FC10E9">
      <w:pPr>
        <w:pStyle w:val="Saudao"/>
        <w:keepNext/>
        <w:tabs>
          <w:tab w:val="left" w:pos="720"/>
          <w:tab w:val="left" w:pos="2366"/>
        </w:tabs>
        <w:spacing w:line="300" w:lineRule="atLeast"/>
        <w:ind w:firstLine="0"/>
        <w:rPr>
          <w:rFonts w:ascii="Arial" w:hAnsi="Arial" w:cs="Arial"/>
          <w:iCs/>
          <w:color w:val="000000"/>
          <w:sz w:val="22"/>
          <w:szCs w:val="22"/>
        </w:rPr>
      </w:pPr>
    </w:p>
    <w:p w14:paraId="6E18D793" w14:textId="77777777" w:rsidR="00FC10E9" w:rsidRDefault="00B10E1A">
      <w:pPr>
        <w:pStyle w:val="Saudao"/>
        <w:numPr>
          <w:ilvl w:val="1"/>
          <w:numId w:val="6"/>
        </w:numPr>
        <w:tabs>
          <w:tab w:val="left" w:pos="709"/>
          <w:tab w:val="left" w:pos="2366"/>
        </w:tabs>
        <w:spacing w:line="300" w:lineRule="atLeast"/>
        <w:ind w:left="709" w:hanging="709"/>
        <w:rPr>
          <w:rFonts w:ascii="Arial" w:hAnsi="Arial" w:cs="Arial"/>
          <w:iCs/>
          <w:color w:val="000000"/>
          <w:sz w:val="22"/>
          <w:szCs w:val="22"/>
        </w:rPr>
      </w:pPr>
      <w:r>
        <w:rPr>
          <w:rFonts w:ascii="Arial" w:hAnsi="Arial" w:cs="Arial"/>
          <w:sz w:val="22"/>
          <w:szCs w:val="22"/>
        </w:rPr>
        <w:t>distribuição no mercado primário por meio do MDA – Módulo de Distribuição de Ativos (“</w:t>
      </w:r>
      <w:r>
        <w:rPr>
          <w:rFonts w:ascii="Arial" w:hAnsi="Arial" w:cs="Arial"/>
          <w:sz w:val="22"/>
          <w:szCs w:val="22"/>
          <w:u w:val="single"/>
        </w:rPr>
        <w:t>MDA</w:t>
      </w:r>
      <w:r>
        <w:rPr>
          <w:rFonts w:ascii="Arial" w:hAnsi="Arial" w:cs="Arial"/>
          <w:sz w:val="22"/>
          <w:szCs w:val="22"/>
        </w:rPr>
        <w:t>”), administrado e operacionalizado pela B3 S.A. – Brasil, Bolsa, Balcão – Balcão B3 (“</w:t>
      </w:r>
      <w:r>
        <w:rPr>
          <w:rFonts w:ascii="Arial" w:hAnsi="Arial" w:cs="Arial"/>
          <w:sz w:val="22"/>
          <w:szCs w:val="22"/>
          <w:u w:val="single"/>
        </w:rPr>
        <w:t>B3</w:t>
      </w:r>
      <w:r>
        <w:rPr>
          <w:rFonts w:ascii="Arial" w:hAnsi="Arial" w:cs="Arial"/>
          <w:sz w:val="22"/>
          <w:szCs w:val="22"/>
        </w:rPr>
        <w:t>”), sendo a distribuição liquidada financeiramente por meio da B3;</w:t>
      </w:r>
      <w:r>
        <w:rPr>
          <w:rFonts w:ascii="Arial" w:hAnsi="Arial" w:cs="Arial"/>
          <w:iCs/>
          <w:color w:val="000000"/>
          <w:sz w:val="22"/>
          <w:szCs w:val="22"/>
        </w:rPr>
        <w:t xml:space="preserve"> e</w:t>
      </w:r>
    </w:p>
    <w:p w14:paraId="4A130E39" w14:textId="77777777" w:rsidR="00FC10E9" w:rsidRDefault="00FC10E9">
      <w:pPr>
        <w:pStyle w:val="Saudao"/>
        <w:tabs>
          <w:tab w:val="left" w:pos="709"/>
          <w:tab w:val="left" w:pos="2366"/>
        </w:tabs>
        <w:spacing w:line="300" w:lineRule="atLeast"/>
        <w:ind w:left="709" w:hanging="709"/>
        <w:rPr>
          <w:rFonts w:ascii="Arial" w:hAnsi="Arial" w:cs="Arial"/>
          <w:iCs/>
          <w:color w:val="000000"/>
          <w:sz w:val="22"/>
          <w:szCs w:val="22"/>
        </w:rPr>
      </w:pPr>
    </w:p>
    <w:p w14:paraId="5815893B" w14:textId="77777777" w:rsidR="00FC10E9" w:rsidRDefault="00B10E1A">
      <w:pPr>
        <w:pStyle w:val="Saudao"/>
        <w:numPr>
          <w:ilvl w:val="1"/>
          <w:numId w:val="6"/>
        </w:numPr>
        <w:tabs>
          <w:tab w:val="left" w:pos="709"/>
          <w:tab w:val="left" w:pos="2366"/>
        </w:tabs>
        <w:spacing w:line="300" w:lineRule="atLeast"/>
        <w:ind w:left="709" w:hanging="709"/>
        <w:rPr>
          <w:rFonts w:ascii="Arial" w:hAnsi="Arial" w:cs="Arial"/>
          <w:sz w:val="22"/>
          <w:szCs w:val="22"/>
        </w:rPr>
      </w:pPr>
      <w:r>
        <w:rPr>
          <w:rFonts w:ascii="Arial" w:hAnsi="Arial" w:cs="Arial"/>
          <w:sz w:val="22"/>
          <w:szCs w:val="22"/>
        </w:rPr>
        <w:t>negociação no mercado secundário por meio do CETIP21 – Títulos e Valores Mobiliários, administrado e operacionalizado pela B3, sendo as negociações liquidadas financeiramente e as Debêntures custodiadas eletronicamente na B3.</w:t>
      </w:r>
    </w:p>
    <w:p w14:paraId="4D3E852F" w14:textId="77777777" w:rsidR="00FC10E9" w:rsidRDefault="00FC10E9">
      <w:pPr>
        <w:tabs>
          <w:tab w:val="left" w:pos="2366"/>
        </w:tabs>
        <w:spacing w:line="300" w:lineRule="atLeast"/>
        <w:rPr>
          <w:rFonts w:ascii="Arial" w:hAnsi="Arial" w:cs="Arial"/>
          <w:color w:val="000000"/>
          <w:sz w:val="22"/>
          <w:szCs w:val="22"/>
        </w:rPr>
      </w:pPr>
    </w:p>
    <w:p w14:paraId="7288335D" w14:textId="44EEF269" w:rsidR="00FC10E9" w:rsidRDefault="00B10E1A">
      <w:pPr>
        <w:pStyle w:val="Saudao"/>
        <w:numPr>
          <w:ilvl w:val="0"/>
          <w:numId w:val="6"/>
        </w:numPr>
        <w:tabs>
          <w:tab w:val="left" w:pos="720"/>
          <w:tab w:val="left" w:pos="2366"/>
        </w:tabs>
        <w:spacing w:line="300" w:lineRule="atLeast"/>
        <w:ind w:left="0" w:firstLine="0"/>
        <w:rPr>
          <w:rFonts w:ascii="Arial" w:hAnsi="Arial" w:cs="Arial"/>
          <w:b/>
          <w:iCs/>
          <w:color w:val="000000"/>
          <w:sz w:val="22"/>
          <w:szCs w:val="22"/>
        </w:rPr>
      </w:pPr>
      <w:r>
        <w:rPr>
          <w:rFonts w:ascii="Arial" w:hAnsi="Arial" w:cs="Arial"/>
          <w:iCs/>
          <w:color w:val="000000"/>
          <w:sz w:val="22"/>
          <w:szCs w:val="22"/>
        </w:rPr>
        <w:t>Não obstante o descrito na Cláusula 2.4.1 acima, as Debêntures somente poderão ser negociadas nos mercados regulamentados de valores mobiliários entre Investidores Qualificados (conforme definido na Cláusula 3.5.2.1, (b) depois de decorridos 90 (noventa) dias contados da data de cada subscrição ou aquisição pelo Investidor Profissional (conforme definido na Cláusula 3.5.2.1(a) abaixo, conforme disposto nos artigos 13 e 15 da Instrução CVM 476, salvo na hipótese do lote objeto de garantia firme de colocação pelo Coordenador Líder (conforme definido abaixo) indicado no momento da subscrição, observados, na negociação subsequente, os limites e condições previstos nos artigos 2º e 3º da Instrução CVM 476 e, em todos os casos, observado o cumprimento, pela Emissora, das obrigações descritas no artigo 17 da Instrução CVM 476, sendo que a negociação das Debêntures deverá sempre respeitar as disposições legais e regulamentares aplicáveis e vigentes, conforme alteradas de tempos em tempos</w:t>
      </w:r>
      <w:r>
        <w:rPr>
          <w:rFonts w:ascii="Arial" w:hAnsi="Arial" w:cs="Arial"/>
          <w:color w:val="000000"/>
          <w:sz w:val="22"/>
          <w:szCs w:val="22"/>
        </w:rPr>
        <w:t xml:space="preserve">. </w:t>
      </w:r>
    </w:p>
    <w:p w14:paraId="6E276813" w14:textId="77777777" w:rsidR="00FC10E9" w:rsidRDefault="00FC10E9">
      <w:pPr>
        <w:tabs>
          <w:tab w:val="left" w:pos="2366"/>
        </w:tabs>
        <w:spacing w:line="300" w:lineRule="atLeast"/>
        <w:jc w:val="both"/>
        <w:rPr>
          <w:rFonts w:ascii="Arial" w:hAnsi="Arial" w:cs="Arial"/>
          <w:color w:val="000000"/>
          <w:sz w:val="22"/>
          <w:szCs w:val="22"/>
        </w:rPr>
      </w:pPr>
    </w:p>
    <w:p w14:paraId="78D09351" w14:textId="77777777" w:rsidR="00FC10E9" w:rsidRDefault="00B10E1A">
      <w:pPr>
        <w:pStyle w:val="SCBFTtulo1"/>
        <w:keepLines w:val="0"/>
        <w:spacing w:line="300" w:lineRule="atLeast"/>
        <w:rPr>
          <w:rFonts w:ascii="Arial" w:hAnsi="Arial" w:cs="Arial"/>
          <w:color w:val="000000"/>
        </w:rPr>
      </w:pPr>
      <w:bookmarkStart w:id="6" w:name="_Toc510004473"/>
      <w:r>
        <w:rPr>
          <w:rFonts w:ascii="Arial" w:hAnsi="Arial" w:cs="Arial"/>
          <w:color w:val="000000"/>
        </w:rPr>
        <w:t xml:space="preserve">CLÁUSULA III </w:t>
      </w:r>
      <w:r>
        <w:rPr>
          <w:rFonts w:ascii="Arial" w:hAnsi="Arial" w:cs="Arial"/>
          <w:color w:val="000000"/>
        </w:rPr>
        <w:br/>
        <w:t>CARACTERÍSTICAS DA EMISSÃO</w:t>
      </w:r>
      <w:bookmarkEnd w:id="6"/>
    </w:p>
    <w:p w14:paraId="74B07259" w14:textId="77777777" w:rsidR="00FC10E9" w:rsidRDefault="00FC10E9">
      <w:pPr>
        <w:tabs>
          <w:tab w:val="left" w:pos="2366"/>
        </w:tabs>
        <w:spacing w:line="300" w:lineRule="atLeast"/>
        <w:ind w:left="502"/>
        <w:jc w:val="both"/>
        <w:rPr>
          <w:rFonts w:ascii="Arial" w:hAnsi="Arial" w:cs="Arial"/>
          <w:color w:val="000000"/>
          <w:sz w:val="22"/>
          <w:szCs w:val="22"/>
        </w:rPr>
      </w:pPr>
    </w:p>
    <w:p w14:paraId="301FBE23" w14:textId="77777777" w:rsidR="00FC10E9" w:rsidRDefault="00B10E1A">
      <w:pPr>
        <w:keepNext/>
        <w:numPr>
          <w:ilvl w:val="1"/>
          <w:numId w:val="7"/>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Número da Emissão</w:t>
      </w:r>
    </w:p>
    <w:p w14:paraId="4CCE1DA7"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1A5480D0" w14:textId="77777777" w:rsidR="00FC10E9" w:rsidRDefault="00B10E1A">
      <w:pPr>
        <w:numPr>
          <w:ilvl w:val="2"/>
          <w:numId w:val="7"/>
        </w:numPr>
        <w:tabs>
          <w:tab w:val="clear" w:pos="1429"/>
          <w:tab w:val="num" w:pos="709"/>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A Emissão objeto da presente Escritura constitui a décima quarta emissão de debêntures da Emissora.</w:t>
      </w:r>
    </w:p>
    <w:p w14:paraId="36DE69AE"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D8901F2" w14:textId="77777777" w:rsidR="00FC10E9" w:rsidRDefault="00B10E1A">
      <w:pPr>
        <w:keepNext/>
        <w:numPr>
          <w:ilvl w:val="1"/>
          <w:numId w:val="7"/>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Valor Total da Emissão</w:t>
      </w:r>
    </w:p>
    <w:p w14:paraId="5C1C4A33"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4576397" w14:textId="77777777" w:rsidR="00FC10E9" w:rsidRDefault="00B10E1A">
      <w:pPr>
        <w:numPr>
          <w:ilvl w:val="2"/>
          <w:numId w:val="7"/>
        </w:numPr>
        <w:tabs>
          <w:tab w:val="clear" w:pos="1429"/>
          <w:tab w:val="num" w:pos="709"/>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O valor total da Emissão é de R$2.000.000.000,00 (dois bilhões de reais), na Data de Emissão.</w:t>
      </w:r>
    </w:p>
    <w:p w14:paraId="67946242" w14:textId="77777777" w:rsidR="00FC10E9" w:rsidRDefault="00FC10E9">
      <w:pPr>
        <w:tabs>
          <w:tab w:val="num" w:pos="709"/>
          <w:tab w:val="left" w:pos="2366"/>
        </w:tabs>
        <w:spacing w:line="300" w:lineRule="atLeast"/>
        <w:jc w:val="both"/>
        <w:rPr>
          <w:rFonts w:ascii="Arial" w:hAnsi="Arial" w:cs="Arial"/>
          <w:color w:val="000000"/>
          <w:sz w:val="22"/>
          <w:szCs w:val="22"/>
        </w:rPr>
      </w:pPr>
    </w:p>
    <w:p w14:paraId="428A65FA" w14:textId="77777777" w:rsidR="00FC10E9" w:rsidRDefault="00B10E1A">
      <w:pPr>
        <w:keepNext/>
        <w:numPr>
          <w:ilvl w:val="1"/>
          <w:numId w:val="7"/>
        </w:numPr>
        <w:tabs>
          <w:tab w:val="clear" w:pos="720"/>
          <w:tab w:val="num" w:pos="709"/>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Número de Séries</w:t>
      </w:r>
    </w:p>
    <w:p w14:paraId="52770627" w14:textId="77777777" w:rsidR="00FC10E9" w:rsidRDefault="00FC10E9">
      <w:pPr>
        <w:keepNext/>
        <w:tabs>
          <w:tab w:val="num" w:pos="709"/>
          <w:tab w:val="left" w:pos="2366"/>
        </w:tabs>
        <w:spacing w:line="300" w:lineRule="atLeast"/>
        <w:jc w:val="both"/>
        <w:rPr>
          <w:rFonts w:ascii="Arial" w:hAnsi="Arial" w:cs="Arial"/>
          <w:color w:val="000000"/>
          <w:sz w:val="22"/>
          <w:szCs w:val="22"/>
        </w:rPr>
      </w:pPr>
    </w:p>
    <w:p w14:paraId="3B33FA4F" w14:textId="77777777" w:rsidR="00FC10E9" w:rsidRDefault="00B10E1A">
      <w:pPr>
        <w:numPr>
          <w:ilvl w:val="2"/>
          <w:numId w:val="7"/>
        </w:numPr>
        <w:tabs>
          <w:tab w:val="clear" w:pos="1429"/>
          <w:tab w:val="num" w:pos="851"/>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A Emissão será realizada em série única.</w:t>
      </w:r>
    </w:p>
    <w:p w14:paraId="54167101" w14:textId="77777777" w:rsidR="00FC10E9" w:rsidRDefault="00FC10E9">
      <w:pPr>
        <w:tabs>
          <w:tab w:val="left" w:pos="720"/>
          <w:tab w:val="num" w:pos="851"/>
          <w:tab w:val="left" w:pos="2366"/>
        </w:tabs>
        <w:spacing w:line="300" w:lineRule="atLeast"/>
        <w:jc w:val="both"/>
        <w:rPr>
          <w:rFonts w:ascii="Arial" w:hAnsi="Arial" w:cs="Arial"/>
          <w:color w:val="000000"/>
          <w:sz w:val="22"/>
          <w:szCs w:val="22"/>
        </w:rPr>
      </w:pPr>
    </w:p>
    <w:p w14:paraId="7BFA1810" w14:textId="77777777" w:rsidR="00FC10E9" w:rsidRDefault="00B10E1A">
      <w:pPr>
        <w:keepNext/>
        <w:numPr>
          <w:ilvl w:val="1"/>
          <w:numId w:val="7"/>
        </w:numPr>
        <w:tabs>
          <w:tab w:val="num" w:pos="851"/>
          <w:tab w:val="left" w:pos="2366"/>
        </w:tabs>
        <w:spacing w:line="300" w:lineRule="atLeast"/>
        <w:jc w:val="both"/>
        <w:rPr>
          <w:rFonts w:ascii="Arial" w:hAnsi="Arial" w:cs="Arial"/>
          <w:b/>
          <w:color w:val="000000"/>
          <w:sz w:val="22"/>
          <w:szCs w:val="22"/>
        </w:rPr>
      </w:pPr>
      <w:r>
        <w:rPr>
          <w:rFonts w:ascii="Arial" w:hAnsi="Arial" w:cs="Arial"/>
          <w:b/>
          <w:color w:val="000000"/>
          <w:sz w:val="22"/>
          <w:szCs w:val="22"/>
        </w:rPr>
        <w:lastRenderedPageBreak/>
        <w:t>Destinação dos Recursos</w:t>
      </w:r>
    </w:p>
    <w:p w14:paraId="447A22CF" w14:textId="77777777" w:rsidR="00FC10E9" w:rsidRDefault="00FC10E9">
      <w:pPr>
        <w:keepNext/>
        <w:tabs>
          <w:tab w:val="left" w:pos="720"/>
          <w:tab w:val="num" w:pos="851"/>
          <w:tab w:val="left" w:pos="2366"/>
        </w:tabs>
        <w:spacing w:line="300" w:lineRule="atLeast"/>
        <w:jc w:val="both"/>
        <w:rPr>
          <w:rFonts w:ascii="Arial" w:hAnsi="Arial" w:cs="Arial"/>
          <w:color w:val="000000"/>
          <w:sz w:val="22"/>
          <w:szCs w:val="22"/>
        </w:rPr>
      </w:pPr>
    </w:p>
    <w:p w14:paraId="1C9648ED" w14:textId="77777777" w:rsidR="00FC10E9" w:rsidRDefault="00B10E1A">
      <w:pPr>
        <w:numPr>
          <w:ilvl w:val="2"/>
          <w:numId w:val="7"/>
        </w:numPr>
        <w:tabs>
          <w:tab w:val="clear" w:pos="1429"/>
          <w:tab w:val="num" w:pos="851"/>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Os recursos líquidos captados pela Emissora por meio da integralização das Debêntures serão utilizados para o reforço do caixa da Emissora para fazer frente às dívidas da Emissora com vencimentos previstos para 2022 e 2023.</w:t>
      </w:r>
    </w:p>
    <w:p w14:paraId="4C786AE3" w14:textId="77777777" w:rsidR="00FC10E9" w:rsidRDefault="00FC10E9">
      <w:pPr>
        <w:tabs>
          <w:tab w:val="left" w:pos="2366"/>
        </w:tabs>
        <w:spacing w:line="300" w:lineRule="atLeast"/>
        <w:jc w:val="both"/>
        <w:rPr>
          <w:rFonts w:ascii="Arial" w:hAnsi="Arial" w:cs="Arial"/>
          <w:color w:val="000000"/>
          <w:sz w:val="22"/>
          <w:szCs w:val="22"/>
        </w:rPr>
      </w:pPr>
    </w:p>
    <w:p w14:paraId="42A9688C" w14:textId="77777777" w:rsidR="00FC10E9" w:rsidRDefault="00B10E1A">
      <w:pPr>
        <w:numPr>
          <w:ilvl w:val="2"/>
          <w:numId w:val="7"/>
        </w:numPr>
        <w:tabs>
          <w:tab w:val="clear" w:pos="1429"/>
          <w:tab w:val="num" w:pos="851"/>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Para fins de cumprimento da Resolução CVM 17, posteriormente definido, a Emissora deverá enviar ao Agente Fiduciário, anualmente, a partir da Primeira Data de Integralização, até 31 de março de cada ano, e até que seja comprovada a totalidade da destinação dos recursos (i) declaração em papel timbrado e assinada por representante legal, atestando a destinação dos recursos da presente Emissão, acompanhada dos (</w:t>
      </w:r>
      <w:proofErr w:type="spellStart"/>
      <w:r>
        <w:rPr>
          <w:rFonts w:ascii="Arial" w:hAnsi="Arial" w:cs="Arial"/>
          <w:color w:val="000000"/>
          <w:sz w:val="22"/>
          <w:szCs w:val="22"/>
        </w:rPr>
        <w:t>ii</w:t>
      </w:r>
      <w:proofErr w:type="spellEnd"/>
      <w:r>
        <w:rPr>
          <w:rFonts w:ascii="Arial" w:hAnsi="Arial" w:cs="Arial"/>
          <w:color w:val="000000"/>
          <w:sz w:val="22"/>
          <w:szCs w:val="22"/>
        </w:rPr>
        <w:t>) documentos que comprovem a destinação prevista na Cláusula 3.4, podendo o Agente Fiduciário solicitar à Emissora todos os eventuais esclarecimentos e documentos adicionais que se façam necessários.</w:t>
      </w:r>
    </w:p>
    <w:p w14:paraId="781C93C7" w14:textId="77777777" w:rsidR="00FC10E9" w:rsidRDefault="00FC10E9">
      <w:pPr>
        <w:tabs>
          <w:tab w:val="left" w:pos="720"/>
          <w:tab w:val="num" w:pos="851"/>
          <w:tab w:val="left" w:pos="2366"/>
        </w:tabs>
        <w:spacing w:line="300" w:lineRule="atLeast"/>
        <w:jc w:val="both"/>
        <w:rPr>
          <w:rFonts w:ascii="Arial" w:hAnsi="Arial" w:cs="Arial"/>
          <w:color w:val="000000"/>
          <w:sz w:val="22"/>
          <w:szCs w:val="22"/>
        </w:rPr>
      </w:pPr>
    </w:p>
    <w:p w14:paraId="7B5E4016" w14:textId="77777777" w:rsidR="00FC10E9" w:rsidRDefault="00B10E1A">
      <w:pPr>
        <w:keepNext/>
        <w:numPr>
          <w:ilvl w:val="1"/>
          <w:numId w:val="7"/>
        </w:numPr>
        <w:tabs>
          <w:tab w:val="num" w:pos="851"/>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Colocação e Procedimento de Distribuição</w:t>
      </w:r>
    </w:p>
    <w:p w14:paraId="69CD8380" w14:textId="77777777" w:rsidR="00FC10E9" w:rsidRDefault="00FC10E9">
      <w:pPr>
        <w:keepNext/>
        <w:tabs>
          <w:tab w:val="left" w:pos="720"/>
          <w:tab w:val="num" w:pos="851"/>
          <w:tab w:val="left" w:pos="2366"/>
        </w:tabs>
        <w:spacing w:line="300" w:lineRule="atLeast"/>
        <w:jc w:val="both"/>
        <w:rPr>
          <w:rFonts w:ascii="Arial" w:hAnsi="Arial" w:cs="Arial"/>
          <w:color w:val="000000"/>
          <w:sz w:val="22"/>
          <w:szCs w:val="22"/>
        </w:rPr>
      </w:pPr>
    </w:p>
    <w:p w14:paraId="0C3ABAEB" w14:textId="77777777" w:rsidR="00FC10E9" w:rsidRDefault="00B10E1A">
      <w:pPr>
        <w:numPr>
          <w:ilvl w:val="2"/>
          <w:numId w:val="7"/>
        </w:numPr>
        <w:tabs>
          <w:tab w:val="clear" w:pos="1429"/>
          <w:tab w:val="num" w:pos="851"/>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As Debêntures serão objeto de distribuição pública, com esforços restritos, nos termos da Instrução CVM 476, sob o regime de garantia firme de colocação da totalidade das Debêntures, com a intermediação de instituição financeira integrante do sistema de distribuição de valores mobiliários (“</w:t>
      </w:r>
      <w:r>
        <w:rPr>
          <w:rFonts w:ascii="Arial" w:hAnsi="Arial" w:cs="Arial"/>
          <w:color w:val="000000"/>
          <w:sz w:val="22"/>
          <w:szCs w:val="22"/>
          <w:u w:val="single"/>
        </w:rPr>
        <w:t>Coordenador Líder</w:t>
      </w:r>
      <w:r>
        <w:rPr>
          <w:rFonts w:ascii="Arial" w:hAnsi="Arial" w:cs="Arial"/>
          <w:color w:val="000000"/>
          <w:sz w:val="22"/>
          <w:szCs w:val="22"/>
        </w:rPr>
        <w:t xml:space="preserve">”), nos termos do </w:t>
      </w:r>
      <w:r>
        <w:rPr>
          <w:rFonts w:ascii="Arial" w:hAnsi="Arial" w:cs="Arial"/>
          <w:i/>
          <w:color w:val="000000"/>
          <w:sz w:val="22"/>
          <w:szCs w:val="22"/>
        </w:rPr>
        <w:t>“Contrato de Coordenação, Colocação e Distribuição Pública, com Esforços Restritos, sob o Regime de Garantia Firme de Colocação, de Debêntures Simples, Não Conversíveis em Ações, da Espécie Quirografária, em Série Única, da Décima Quarta Emissão da Americanas S.A.”</w:t>
      </w:r>
      <w:r>
        <w:rPr>
          <w:rFonts w:ascii="Arial" w:hAnsi="Arial" w:cs="Arial"/>
          <w:color w:val="000000"/>
          <w:sz w:val="22"/>
          <w:szCs w:val="22"/>
        </w:rPr>
        <w:t>, a ser celebrado entre a Emissora e o Coordenador Líder (“</w:t>
      </w:r>
      <w:r>
        <w:rPr>
          <w:rFonts w:ascii="Arial" w:hAnsi="Arial" w:cs="Arial"/>
          <w:color w:val="000000"/>
          <w:sz w:val="22"/>
          <w:szCs w:val="22"/>
          <w:u w:val="single"/>
        </w:rPr>
        <w:t>Contrato de Distribuição</w:t>
      </w:r>
      <w:r>
        <w:rPr>
          <w:rFonts w:ascii="Arial" w:hAnsi="Arial" w:cs="Arial"/>
          <w:color w:val="000000"/>
          <w:sz w:val="22"/>
          <w:szCs w:val="22"/>
        </w:rPr>
        <w:t>”).</w:t>
      </w:r>
    </w:p>
    <w:p w14:paraId="44216EA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1A01AF2" w14:textId="77777777" w:rsidR="00FC10E9" w:rsidRDefault="00B10E1A">
      <w:pPr>
        <w:numPr>
          <w:ilvl w:val="2"/>
          <w:numId w:val="7"/>
        </w:numPr>
        <w:tabs>
          <w:tab w:val="clear" w:pos="1429"/>
          <w:tab w:val="num" w:pos="709"/>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O plano de distribuição seguirá o procedimento descrito na Instrução CVM 476, conforme previsto no Contrato de Distribuição. Para tanto, o Coordenador Líder poderá acessar no máximo 75 (setenta e cinco) Investidores Profissionais, sendo possível a subscrição ou aquisição por, no máximo, 50 (cinquenta) Investidores Profissionais.</w:t>
      </w:r>
    </w:p>
    <w:p w14:paraId="06369AEC" w14:textId="77777777" w:rsidR="00FC10E9" w:rsidRDefault="00B10E1A">
      <w:pPr>
        <w:pStyle w:val="PargrafodaLista"/>
        <w:tabs>
          <w:tab w:val="left" w:pos="1429"/>
        </w:tabs>
        <w:spacing w:line="300" w:lineRule="atLeast"/>
        <w:rPr>
          <w:rFonts w:ascii="Arial" w:hAnsi="Arial" w:cs="Arial"/>
          <w:color w:val="000000"/>
          <w:sz w:val="22"/>
          <w:szCs w:val="22"/>
        </w:rPr>
      </w:pPr>
      <w:r>
        <w:rPr>
          <w:rFonts w:ascii="Arial" w:hAnsi="Arial" w:cs="Arial"/>
          <w:color w:val="000000"/>
          <w:sz w:val="22"/>
          <w:szCs w:val="22"/>
        </w:rPr>
        <w:tab/>
      </w:r>
    </w:p>
    <w:p w14:paraId="77E1FD83" w14:textId="77777777" w:rsidR="00FC10E9" w:rsidRDefault="00B10E1A">
      <w:pPr>
        <w:numPr>
          <w:ilvl w:val="3"/>
          <w:numId w:val="7"/>
        </w:numPr>
        <w:tabs>
          <w:tab w:val="clear" w:pos="720"/>
          <w:tab w:val="left" w:pos="1560"/>
        </w:tabs>
        <w:spacing w:line="300" w:lineRule="atLeast"/>
        <w:ind w:left="0" w:firstLine="720"/>
        <w:jc w:val="both"/>
        <w:rPr>
          <w:rFonts w:ascii="Arial" w:hAnsi="Arial" w:cs="Arial"/>
          <w:color w:val="000000"/>
          <w:sz w:val="22"/>
          <w:szCs w:val="22"/>
        </w:rPr>
      </w:pPr>
      <w:r>
        <w:rPr>
          <w:rFonts w:ascii="Arial" w:hAnsi="Arial" w:cs="Arial"/>
          <w:sz w:val="22"/>
          <w:szCs w:val="22"/>
        </w:rPr>
        <w:t>Nos termos da Resolução CVM n° 30, de 11 de maio de 2021, (“</w:t>
      </w:r>
      <w:r>
        <w:rPr>
          <w:rFonts w:ascii="Arial" w:hAnsi="Arial" w:cs="Arial"/>
          <w:sz w:val="22"/>
          <w:szCs w:val="22"/>
          <w:u w:val="single"/>
        </w:rPr>
        <w:t>Resolução CVM 30</w:t>
      </w:r>
      <w:r>
        <w:rPr>
          <w:rFonts w:ascii="Arial" w:hAnsi="Arial" w:cs="Arial"/>
          <w:sz w:val="22"/>
          <w:szCs w:val="22"/>
        </w:rPr>
        <w:t>”), e para fins da Oferta Restrita, serão considerados:</w:t>
      </w:r>
    </w:p>
    <w:p w14:paraId="33C78A1E" w14:textId="77777777" w:rsidR="00FC10E9" w:rsidRDefault="00FC10E9">
      <w:pPr>
        <w:tabs>
          <w:tab w:val="left" w:pos="1620"/>
          <w:tab w:val="left" w:pos="2366"/>
        </w:tabs>
        <w:spacing w:line="300" w:lineRule="atLeast"/>
        <w:jc w:val="both"/>
        <w:rPr>
          <w:rFonts w:ascii="Arial" w:hAnsi="Arial" w:cs="Arial"/>
          <w:color w:val="000000"/>
          <w:sz w:val="22"/>
          <w:szCs w:val="22"/>
        </w:rPr>
      </w:pPr>
    </w:p>
    <w:p w14:paraId="090A80BC" w14:textId="77777777" w:rsidR="00FC10E9" w:rsidRDefault="00B10E1A">
      <w:pPr>
        <w:numPr>
          <w:ilvl w:val="0"/>
          <w:numId w:val="38"/>
        </w:numPr>
        <w:tabs>
          <w:tab w:val="left" w:pos="1418"/>
        </w:tabs>
        <w:autoSpaceDE w:val="0"/>
        <w:autoSpaceDN w:val="0"/>
        <w:adjustRightInd w:val="0"/>
        <w:spacing w:line="300" w:lineRule="atLeast"/>
        <w:ind w:left="1418" w:hanging="709"/>
        <w:jc w:val="both"/>
        <w:rPr>
          <w:rFonts w:ascii="Arial" w:hAnsi="Arial" w:cs="Arial"/>
          <w:sz w:val="22"/>
          <w:szCs w:val="22"/>
        </w:rPr>
      </w:pPr>
      <w:r>
        <w:rPr>
          <w:rFonts w:ascii="Arial" w:hAnsi="Arial" w:cs="Arial"/>
          <w:sz w:val="22"/>
          <w:szCs w:val="22"/>
        </w:rPr>
        <w:t>“</w:t>
      </w:r>
      <w:r>
        <w:rPr>
          <w:rFonts w:ascii="Arial" w:hAnsi="Arial" w:cs="Arial"/>
          <w:sz w:val="22"/>
          <w:szCs w:val="22"/>
          <w:u w:val="single"/>
        </w:rPr>
        <w:t>Investidores Profissionais</w:t>
      </w:r>
      <w:r>
        <w:rPr>
          <w:rFonts w:ascii="Arial" w:hAnsi="Arial" w:cs="Arial"/>
          <w:sz w:val="22"/>
          <w:szCs w:val="22"/>
        </w:rPr>
        <w:t>”: (i) instituições financeiras e demais instituições autorizadas a funcionar pelo Banco Central do Brasil; (</w:t>
      </w:r>
      <w:proofErr w:type="spellStart"/>
      <w:r>
        <w:rPr>
          <w:rFonts w:ascii="Arial" w:hAnsi="Arial" w:cs="Arial"/>
          <w:sz w:val="22"/>
          <w:szCs w:val="22"/>
        </w:rPr>
        <w:t>ii</w:t>
      </w:r>
      <w:proofErr w:type="spellEnd"/>
      <w:r>
        <w:rPr>
          <w:rFonts w:ascii="Arial" w:hAnsi="Arial" w:cs="Arial"/>
          <w:sz w:val="22"/>
          <w:szCs w:val="22"/>
        </w:rPr>
        <w:t>) companhias seguradoras e sociedades de capitalização; (</w:t>
      </w:r>
      <w:proofErr w:type="spellStart"/>
      <w:r>
        <w:rPr>
          <w:rFonts w:ascii="Arial" w:hAnsi="Arial" w:cs="Arial"/>
          <w:sz w:val="22"/>
          <w:szCs w:val="22"/>
        </w:rPr>
        <w:t>iii</w:t>
      </w:r>
      <w:proofErr w:type="spellEnd"/>
      <w:r>
        <w:rPr>
          <w:rFonts w:ascii="Arial" w:hAnsi="Arial" w:cs="Arial"/>
          <w:sz w:val="22"/>
          <w:szCs w:val="22"/>
        </w:rPr>
        <w:t>) entidades abertas e fechadas de previdência complementar; (</w:t>
      </w:r>
      <w:proofErr w:type="spellStart"/>
      <w:r>
        <w:rPr>
          <w:rFonts w:ascii="Arial" w:hAnsi="Arial" w:cs="Arial"/>
          <w:sz w:val="22"/>
          <w:szCs w:val="22"/>
        </w:rPr>
        <w:t>iv</w:t>
      </w:r>
      <w:proofErr w:type="spellEnd"/>
      <w:r>
        <w:rPr>
          <w:rFonts w:ascii="Arial" w:hAnsi="Arial" w:cs="Arial"/>
          <w:sz w:val="22"/>
          <w:szCs w:val="22"/>
        </w:rPr>
        <w:t>) pessoas naturais ou jurídicas que possuam investimentos financeiros em valor superior a R$ 10.000.000,00 (dez milhões de reais) e que, adicionalmente, atestem por escrito sua condição de investidor profissional mediante termo próprio, de acordo com o artigo 11 da Resolução CVM 30; (v) fundos de investimento; (vi) clubes de investimento, desde que tenham a carteira gerida por administrador de carteira de valores mobiliários autorizado pela CVM; (</w:t>
      </w:r>
      <w:proofErr w:type="spellStart"/>
      <w:r>
        <w:rPr>
          <w:rFonts w:ascii="Arial" w:hAnsi="Arial" w:cs="Arial"/>
          <w:sz w:val="22"/>
          <w:szCs w:val="22"/>
        </w:rPr>
        <w:t>vii</w:t>
      </w:r>
      <w:proofErr w:type="spellEnd"/>
      <w:r>
        <w:rPr>
          <w:rFonts w:ascii="Arial" w:hAnsi="Arial" w:cs="Arial"/>
          <w:sz w:val="22"/>
          <w:szCs w:val="22"/>
        </w:rPr>
        <w:t xml:space="preserve">) agentes autônomos de investimento, administradores de carteira, analistas e consultores de valores mobiliários </w:t>
      </w:r>
      <w:r>
        <w:rPr>
          <w:rFonts w:ascii="Arial" w:hAnsi="Arial" w:cs="Arial"/>
          <w:sz w:val="22"/>
          <w:szCs w:val="22"/>
        </w:rPr>
        <w:lastRenderedPageBreak/>
        <w:t>autorizados pela CVM, em relação a seus recursos próprios; e (</w:t>
      </w:r>
      <w:proofErr w:type="spellStart"/>
      <w:r>
        <w:rPr>
          <w:rFonts w:ascii="Arial" w:hAnsi="Arial" w:cs="Arial"/>
          <w:sz w:val="22"/>
          <w:szCs w:val="22"/>
        </w:rPr>
        <w:t>viii</w:t>
      </w:r>
      <w:proofErr w:type="spellEnd"/>
      <w:r>
        <w:rPr>
          <w:rFonts w:ascii="Arial" w:hAnsi="Arial" w:cs="Arial"/>
          <w:sz w:val="22"/>
          <w:szCs w:val="22"/>
        </w:rPr>
        <w:t>) investidores não residentes; e</w:t>
      </w:r>
    </w:p>
    <w:p w14:paraId="72F96BFC" w14:textId="77777777" w:rsidR="00FC10E9" w:rsidRDefault="00FC10E9">
      <w:pPr>
        <w:tabs>
          <w:tab w:val="left" w:pos="1418"/>
        </w:tabs>
        <w:spacing w:line="300" w:lineRule="atLeast"/>
        <w:ind w:left="1418" w:hanging="709"/>
        <w:jc w:val="both"/>
        <w:rPr>
          <w:rFonts w:ascii="Arial" w:hAnsi="Arial" w:cs="Arial"/>
          <w:sz w:val="22"/>
          <w:szCs w:val="22"/>
        </w:rPr>
      </w:pPr>
    </w:p>
    <w:p w14:paraId="65B08B85" w14:textId="77777777" w:rsidR="00FC10E9" w:rsidRDefault="00B10E1A">
      <w:pPr>
        <w:numPr>
          <w:ilvl w:val="0"/>
          <w:numId w:val="38"/>
        </w:numPr>
        <w:tabs>
          <w:tab w:val="left" w:pos="1418"/>
        </w:tabs>
        <w:autoSpaceDE w:val="0"/>
        <w:autoSpaceDN w:val="0"/>
        <w:adjustRightInd w:val="0"/>
        <w:spacing w:line="300" w:lineRule="atLeast"/>
        <w:ind w:left="1418" w:hanging="709"/>
        <w:jc w:val="both"/>
        <w:rPr>
          <w:rFonts w:ascii="Arial" w:hAnsi="Arial" w:cs="Arial"/>
          <w:sz w:val="22"/>
          <w:szCs w:val="22"/>
        </w:rPr>
      </w:pPr>
      <w:r>
        <w:rPr>
          <w:rFonts w:ascii="Arial" w:hAnsi="Arial" w:cs="Arial"/>
          <w:sz w:val="22"/>
          <w:szCs w:val="22"/>
        </w:rPr>
        <w:t>“</w:t>
      </w:r>
      <w:r>
        <w:rPr>
          <w:rFonts w:ascii="Arial" w:hAnsi="Arial" w:cs="Arial"/>
          <w:sz w:val="22"/>
          <w:szCs w:val="22"/>
          <w:u w:val="single"/>
        </w:rPr>
        <w:t>Investidores Qualificados</w:t>
      </w:r>
      <w:r>
        <w:rPr>
          <w:rFonts w:ascii="Arial" w:hAnsi="Arial" w:cs="Arial"/>
          <w:sz w:val="22"/>
          <w:szCs w:val="22"/>
        </w:rPr>
        <w:t>”: (i) Investidores Profissionais; (</w:t>
      </w:r>
      <w:proofErr w:type="spellStart"/>
      <w:r>
        <w:rPr>
          <w:rFonts w:ascii="Arial" w:hAnsi="Arial" w:cs="Arial"/>
          <w:sz w:val="22"/>
          <w:szCs w:val="22"/>
        </w:rPr>
        <w:t>ii</w:t>
      </w:r>
      <w:proofErr w:type="spellEnd"/>
      <w:r>
        <w:rPr>
          <w:rFonts w:ascii="Arial" w:hAnsi="Arial" w:cs="Arial"/>
          <w:sz w:val="22"/>
          <w:szCs w:val="22"/>
        </w:rPr>
        <w:t>) pessoas naturais ou jurídicas que possuam investimentos financeiros em valor superior a R$ 1.000.000,00 (um milhão de reais) e que, adicionalmente, atestem por escrito sua condição de investidor qualificado mediante termo próprio, de acordo com o artigo 12 da Resolução CVM 30; (</w:t>
      </w:r>
      <w:proofErr w:type="spellStart"/>
      <w:r>
        <w:rPr>
          <w:rFonts w:ascii="Arial" w:hAnsi="Arial" w:cs="Arial"/>
          <w:sz w:val="22"/>
          <w:szCs w:val="22"/>
        </w:rPr>
        <w:t>iii</w:t>
      </w:r>
      <w:proofErr w:type="spellEnd"/>
      <w:r>
        <w:rPr>
          <w:rFonts w:ascii="Arial" w:hAnsi="Arial" w:cs="Arial"/>
          <w:sz w:val="22"/>
          <w:szCs w:val="22"/>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Pr>
          <w:rFonts w:ascii="Arial" w:hAnsi="Arial" w:cs="Arial"/>
          <w:sz w:val="22"/>
          <w:szCs w:val="22"/>
        </w:rPr>
        <w:t>iv</w:t>
      </w:r>
      <w:proofErr w:type="spellEnd"/>
      <w:r>
        <w:rPr>
          <w:rFonts w:ascii="Arial" w:hAnsi="Arial" w:cs="Arial"/>
          <w:sz w:val="22"/>
          <w:szCs w:val="22"/>
        </w:rPr>
        <w:t>) clubes de investimento, desde que tenham a carteira gerida por um ou mais cotistas, que sejam investidores qualificados.</w:t>
      </w:r>
    </w:p>
    <w:p w14:paraId="40E55997" w14:textId="77777777" w:rsidR="00FC10E9" w:rsidRDefault="00FC10E9">
      <w:pPr>
        <w:tabs>
          <w:tab w:val="left" w:pos="1418"/>
        </w:tabs>
        <w:spacing w:line="300" w:lineRule="atLeast"/>
        <w:jc w:val="both"/>
        <w:rPr>
          <w:rFonts w:ascii="Arial" w:hAnsi="Arial" w:cs="Arial"/>
          <w:sz w:val="22"/>
          <w:szCs w:val="22"/>
        </w:rPr>
      </w:pPr>
    </w:p>
    <w:p w14:paraId="39AABB64" w14:textId="77777777" w:rsidR="00FC10E9" w:rsidRDefault="00B10E1A">
      <w:pPr>
        <w:numPr>
          <w:ilvl w:val="3"/>
          <w:numId w:val="7"/>
        </w:numPr>
        <w:tabs>
          <w:tab w:val="clear" w:pos="720"/>
          <w:tab w:val="left" w:pos="1560"/>
        </w:tabs>
        <w:spacing w:line="300" w:lineRule="atLeast"/>
        <w:ind w:left="0" w:firstLine="720"/>
        <w:jc w:val="both"/>
        <w:rPr>
          <w:rFonts w:ascii="Arial" w:hAnsi="Arial" w:cs="Arial"/>
          <w:color w:val="000000"/>
          <w:sz w:val="22"/>
          <w:szCs w:val="22"/>
        </w:rPr>
      </w:pPr>
      <w:r>
        <w:rPr>
          <w:rFonts w:ascii="Arial" w:hAnsi="Arial" w:cs="Arial"/>
          <w:sz w:val="22"/>
          <w:szCs w:val="22"/>
        </w:rPr>
        <w:t xml:space="preserve">Os regimes próprios de previdência social instituídos pela União, pelos Estados, pelo Distrito Federal ou por Municípios são considerados Investidores Profissionais ou Investidores Qualificados apenas se reconhecidos como tais conforme regulamentação específica </w:t>
      </w:r>
      <w:r>
        <w:rPr>
          <w:rFonts w:ascii="Arial" w:hAnsi="Arial" w:cs="Arial"/>
          <w:sz w:val="22"/>
          <w:szCs w:val="22"/>
          <w:lang w:val="pt-PT"/>
        </w:rPr>
        <w:t>do Ministério da Previdência Social.</w:t>
      </w:r>
    </w:p>
    <w:p w14:paraId="65E3B462" w14:textId="77777777" w:rsidR="00FC10E9" w:rsidRDefault="00FC10E9">
      <w:pPr>
        <w:tabs>
          <w:tab w:val="left" w:pos="720"/>
          <w:tab w:val="left" w:pos="2366"/>
        </w:tabs>
        <w:spacing w:line="300" w:lineRule="atLeast"/>
        <w:jc w:val="both"/>
        <w:rPr>
          <w:rFonts w:ascii="Arial" w:hAnsi="Arial" w:cs="Arial"/>
          <w:color w:val="000000"/>
          <w:sz w:val="22"/>
          <w:szCs w:val="22"/>
        </w:rPr>
      </w:pPr>
    </w:p>
    <w:p w14:paraId="6B8BF142" w14:textId="77777777" w:rsidR="00FC10E9" w:rsidRDefault="00B10E1A">
      <w:pPr>
        <w:numPr>
          <w:ilvl w:val="2"/>
          <w:numId w:val="7"/>
        </w:numPr>
        <w:tabs>
          <w:tab w:val="clear" w:pos="1429"/>
          <w:tab w:val="num" w:pos="709"/>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Não será admitida a distribuição parcial das Debêntures.</w:t>
      </w:r>
    </w:p>
    <w:p w14:paraId="72B37320" w14:textId="77777777" w:rsidR="00FC10E9" w:rsidRDefault="00FC10E9">
      <w:pPr>
        <w:tabs>
          <w:tab w:val="left" w:pos="1620"/>
          <w:tab w:val="left" w:pos="2366"/>
        </w:tabs>
        <w:spacing w:line="300" w:lineRule="atLeast"/>
        <w:jc w:val="both"/>
        <w:rPr>
          <w:rFonts w:ascii="Arial" w:hAnsi="Arial" w:cs="Arial"/>
          <w:color w:val="000000"/>
          <w:sz w:val="22"/>
          <w:szCs w:val="22"/>
        </w:rPr>
      </w:pPr>
    </w:p>
    <w:p w14:paraId="69548018" w14:textId="77777777" w:rsidR="00FC10E9" w:rsidRDefault="00B10E1A">
      <w:pPr>
        <w:keepNext/>
        <w:numPr>
          <w:ilvl w:val="1"/>
          <w:numId w:val="7"/>
        </w:numPr>
        <w:tabs>
          <w:tab w:val="left" w:pos="2366"/>
        </w:tabs>
        <w:spacing w:line="300" w:lineRule="atLeast"/>
        <w:jc w:val="both"/>
        <w:rPr>
          <w:rFonts w:ascii="Arial" w:hAnsi="Arial" w:cs="Arial"/>
          <w:b/>
          <w:color w:val="000000"/>
          <w:sz w:val="22"/>
          <w:szCs w:val="22"/>
        </w:rPr>
      </w:pPr>
      <w:r>
        <w:rPr>
          <w:rFonts w:ascii="Arial" w:hAnsi="Arial" w:cs="Arial"/>
          <w:b/>
          <w:sz w:val="22"/>
          <w:szCs w:val="22"/>
        </w:rPr>
        <w:t xml:space="preserve">Banco Liquidante e </w:t>
      </w:r>
      <w:proofErr w:type="spellStart"/>
      <w:r>
        <w:rPr>
          <w:rFonts w:ascii="Arial" w:hAnsi="Arial" w:cs="Arial"/>
          <w:b/>
          <w:sz w:val="22"/>
          <w:szCs w:val="22"/>
        </w:rPr>
        <w:t>Escriturador</w:t>
      </w:r>
      <w:proofErr w:type="spellEnd"/>
      <w:r>
        <w:rPr>
          <w:rFonts w:ascii="Arial" w:hAnsi="Arial" w:cs="Arial"/>
          <w:b/>
          <w:sz w:val="22"/>
          <w:szCs w:val="22"/>
        </w:rPr>
        <w:t xml:space="preserve"> </w:t>
      </w:r>
    </w:p>
    <w:p w14:paraId="69C30117"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790DD087" w14:textId="77777777" w:rsidR="00FC10E9" w:rsidRDefault="00B10E1A">
      <w:pPr>
        <w:numPr>
          <w:ilvl w:val="2"/>
          <w:numId w:val="7"/>
        </w:numPr>
        <w:tabs>
          <w:tab w:val="clear" w:pos="1429"/>
          <w:tab w:val="num" w:pos="0"/>
          <w:tab w:val="left" w:pos="851"/>
        </w:tabs>
        <w:spacing w:line="300" w:lineRule="atLeast"/>
        <w:ind w:left="0" w:firstLine="0"/>
        <w:jc w:val="both"/>
        <w:rPr>
          <w:rFonts w:ascii="Arial" w:hAnsi="Arial" w:cs="Arial"/>
          <w:color w:val="000000"/>
          <w:sz w:val="22"/>
          <w:szCs w:val="22"/>
        </w:rPr>
      </w:pPr>
      <w:r>
        <w:t xml:space="preserve"> </w:t>
      </w:r>
      <w:r>
        <w:rPr>
          <w:rFonts w:ascii="Arial" w:hAnsi="Arial" w:cs="Arial"/>
          <w:sz w:val="22"/>
          <w:szCs w:val="22"/>
        </w:rPr>
        <w:t xml:space="preserve">O banco liquidante da presente Emissão é o Itaú Unibanco S.A., instituição financeira com sede na Cidade de São Paulo, Estado de São Paulo, na Praça Alfredo Egydio de Souza Aranha, nº 100, Torre Olavo </w:t>
      </w:r>
      <w:proofErr w:type="spellStart"/>
      <w:r>
        <w:rPr>
          <w:rFonts w:ascii="Arial" w:hAnsi="Arial" w:cs="Arial"/>
          <w:sz w:val="22"/>
          <w:szCs w:val="22"/>
        </w:rPr>
        <w:t>Setubal</w:t>
      </w:r>
      <w:proofErr w:type="spellEnd"/>
      <w:r>
        <w:rPr>
          <w:rFonts w:ascii="Arial" w:hAnsi="Arial" w:cs="Arial"/>
          <w:sz w:val="22"/>
          <w:szCs w:val="22"/>
        </w:rPr>
        <w:t>, inscrita no CNPJ/ME sob o nº 60.701.190/0001-04 (“</w:t>
      </w:r>
      <w:r>
        <w:rPr>
          <w:rFonts w:ascii="Arial" w:hAnsi="Arial" w:cs="Arial"/>
          <w:sz w:val="22"/>
          <w:szCs w:val="22"/>
          <w:u w:val="single"/>
        </w:rPr>
        <w:t>Banco Liquidante</w:t>
      </w:r>
      <w:r>
        <w:rPr>
          <w:rFonts w:ascii="Arial" w:hAnsi="Arial" w:cs="Arial"/>
          <w:sz w:val="22"/>
          <w:szCs w:val="22"/>
        </w:rPr>
        <w:t xml:space="preserve">”). </w:t>
      </w:r>
    </w:p>
    <w:p w14:paraId="2205D0F1" w14:textId="77777777" w:rsidR="00FC10E9" w:rsidRDefault="00FC10E9">
      <w:pPr>
        <w:tabs>
          <w:tab w:val="left" w:pos="851"/>
        </w:tabs>
        <w:spacing w:line="300" w:lineRule="atLeast"/>
        <w:jc w:val="both"/>
        <w:rPr>
          <w:rFonts w:ascii="Arial" w:hAnsi="Arial" w:cs="Arial"/>
          <w:color w:val="000000"/>
          <w:sz w:val="22"/>
          <w:szCs w:val="22"/>
        </w:rPr>
      </w:pPr>
    </w:p>
    <w:p w14:paraId="542D77CE" w14:textId="77777777" w:rsidR="00FC10E9" w:rsidRDefault="00B10E1A">
      <w:pPr>
        <w:numPr>
          <w:ilvl w:val="2"/>
          <w:numId w:val="7"/>
        </w:numPr>
        <w:tabs>
          <w:tab w:val="clear" w:pos="1429"/>
          <w:tab w:val="num" w:pos="0"/>
          <w:tab w:val="left" w:pos="851"/>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O </w:t>
      </w:r>
      <w:proofErr w:type="spellStart"/>
      <w:r>
        <w:rPr>
          <w:rFonts w:ascii="Arial" w:hAnsi="Arial" w:cs="Arial"/>
          <w:color w:val="000000"/>
          <w:sz w:val="22"/>
          <w:szCs w:val="22"/>
        </w:rPr>
        <w:t>escriturador</w:t>
      </w:r>
      <w:proofErr w:type="spellEnd"/>
      <w:r>
        <w:rPr>
          <w:rFonts w:ascii="Arial" w:hAnsi="Arial" w:cs="Arial"/>
          <w:color w:val="000000"/>
          <w:sz w:val="22"/>
          <w:szCs w:val="22"/>
        </w:rPr>
        <w:t xml:space="preserve"> da presente Emissão é o Itaú Corretora de Valores S.A., instituição financeira com sede na Cidade de São Paulo, Estado de São Paulo, na Avenida Brigadeiro Faria Lima, nº 3.500, 3º andar, inscrita no CNPJ/ME sob o nº 61.194.353/0001-64 (“</w:t>
      </w:r>
      <w:proofErr w:type="spellStart"/>
      <w:r>
        <w:rPr>
          <w:rFonts w:ascii="Arial" w:hAnsi="Arial" w:cs="Arial"/>
          <w:color w:val="000000"/>
          <w:sz w:val="22"/>
          <w:szCs w:val="22"/>
          <w:u w:val="single"/>
        </w:rPr>
        <w:t>Escriturador</w:t>
      </w:r>
      <w:proofErr w:type="spellEnd"/>
      <w:r>
        <w:rPr>
          <w:rFonts w:ascii="Arial" w:hAnsi="Arial" w:cs="Arial"/>
          <w:color w:val="000000"/>
          <w:sz w:val="22"/>
          <w:szCs w:val="22"/>
        </w:rPr>
        <w:t>”).</w:t>
      </w:r>
    </w:p>
    <w:p w14:paraId="6F59F3E6" w14:textId="77777777" w:rsidR="00FC10E9" w:rsidRDefault="00FC10E9">
      <w:pPr>
        <w:tabs>
          <w:tab w:val="left" w:pos="851"/>
        </w:tabs>
        <w:spacing w:line="300" w:lineRule="atLeast"/>
        <w:jc w:val="both"/>
        <w:rPr>
          <w:rFonts w:ascii="Arial" w:hAnsi="Arial" w:cs="Arial"/>
          <w:color w:val="000000"/>
          <w:sz w:val="22"/>
          <w:szCs w:val="22"/>
        </w:rPr>
      </w:pPr>
    </w:p>
    <w:p w14:paraId="68EEA521" w14:textId="77777777" w:rsidR="00FC10E9" w:rsidRDefault="00B10E1A">
      <w:pPr>
        <w:numPr>
          <w:ilvl w:val="2"/>
          <w:numId w:val="7"/>
        </w:numPr>
        <w:tabs>
          <w:tab w:val="clear" w:pos="1429"/>
          <w:tab w:val="num" w:pos="0"/>
          <w:tab w:val="left" w:pos="851"/>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O </w:t>
      </w:r>
      <w:proofErr w:type="spellStart"/>
      <w:r>
        <w:rPr>
          <w:rFonts w:ascii="Arial" w:hAnsi="Arial" w:cs="Arial"/>
          <w:color w:val="000000"/>
          <w:sz w:val="22"/>
          <w:szCs w:val="22"/>
        </w:rPr>
        <w:t>Escriturador</w:t>
      </w:r>
      <w:proofErr w:type="spellEnd"/>
      <w:r>
        <w:rPr>
          <w:rFonts w:ascii="Arial" w:hAnsi="Arial" w:cs="Arial"/>
          <w:color w:val="000000"/>
          <w:sz w:val="22"/>
          <w:szCs w:val="22"/>
        </w:rPr>
        <w:t xml:space="preserve"> será responsável por efetuar a escrituração das Debêntures, entre outras atribuições descritas nas normas da B3.</w:t>
      </w:r>
    </w:p>
    <w:p w14:paraId="2641D674" w14:textId="77777777" w:rsidR="00FC10E9" w:rsidRDefault="00FC10E9">
      <w:pPr>
        <w:tabs>
          <w:tab w:val="left" w:pos="720"/>
          <w:tab w:val="left" w:pos="851"/>
          <w:tab w:val="left" w:pos="2366"/>
        </w:tabs>
        <w:spacing w:line="300" w:lineRule="atLeast"/>
        <w:jc w:val="both"/>
        <w:rPr>
          <w:rFonts w:ascii="Arial" w:hAnsi="Arial" w:cs="Arial"/>
          <w:b/>
          <w:color w:val="000000"/>
          <w:sz w:val="22"/>
          <w:szCs w:val="22"/>
        </w:rPr>
      </w:pPr>
    </w:p>
    <w:p w14:paraId="46CCF675" w14:textId="77777777" w:rsidR="00FC10E9" w:rsidRDefault="00B10E1A">
      <w:pPr>
        <w:keepNext/>
        <w:numPr>
          <w:ilvl w:val="1"/>
          <w:numId w:val="7"/>
        </w:numPr>
        <w:tabs>
          <w:tab w:val="left" w:pos="851"/>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Objeto Social da Emissora</w:t>
      </w:r>
    </w:p>
    <w:p w14:paraId="4017C9EF" w14:textId="77777777" w:rsidR="00FC10E9" w:rsidRDefault="00FC10E9">
      <w:pPr>
        <w:keepNext/>
        <w:tabs>
          <w:tab w:val="left" w:pos="720"/>
          <w:tab w:val="left" w:pos="851"/>
          <w:tab w:val="left" w:pos="2366"/>
        </w:tabs>
        <w:spacing w:line="300" w:lineRule="atLeast"/>
        <w:jc w:val="both"/>
        <w:rPr>
          <w:rFonts w:ascii="Arial" w:hAnsi="Arial" w:cs="Arial"/>
          <w:color w:val="000000"/>
          <w:sz w:val="22"/>
          <w:szCs w:val="22"/>
        </w:rPr>
      </w:pPr>
    </w:p>
    <w:p w14:paraId="6BAAB116" w14:textId="77777777" w:rsidR="00FC10E9" w:rsidRDefault="00B10E1A">
      <w:pPr>
        <w:numPr>
          <w:ilvl w:val="2"/>
          <w:numId w:val="7"/>
        </w:numPr>
        <w:tabs>
          <w:tab w:val="clear" w:pos="1429"/>
          <w:tab w:val="left" w:pos="851"/>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De acordo com o Estatuto Social da Emissora atualmente em vigor, o objeto social da Emissora compreende </w:t>
      </w:r>
      <w:r>
        <w:rPr>
          <w:rFonts w:ascii="Arial" w:hAnsi="Arial" w:cs="Arial"/>
          <w:sz w:val="22"/>
          <w:szCs w:val="22"/>
        </w:rPr>
        <w:t xml:space="preserve">(i) o comércio varejista e atacadista em geral, incluindo produtos alimentícios, bebidas e fumo, no País e/ou no exterior, de quaisquer bens e produtos, podendo importar ou exportar de e para quaisquer países, podendo, ainda, utilizar meios eletrônicos para divulgação e/ou comercialização de seus produtos, em especial, a Internet, sem restrição a outros meios (telemarketing, televendas, TV, canais comuns de comércio, catálogos, lojas </w:t>
      </w:r>
      <w:r>
        <w:rPr>
          <w:rFonts w:ascii="Arial" w:hAnsi="Arial" w:cs="Arial"/>
          <w:sz w:val="22"/>
          <w:szCs w:val="22"/>
        </w:rPr>
        <w:lastRenderedPageBreak/>
        <w:t>físicas, supermercados, lanchonetes, lojas de conveniência, etc.),incluindo, ainda, a operação de franquias; (</w:t>
      </w:r>
      <w:proofErr w:type="spellStart"/>
      <w:r>
        <w:rPr>
          <w:rFonts w:ascii="Arial" w:hAnsi="Arial" w:cs="Arial"/>
          <w:sz w:val="22"/>
          <w:szCs w:val="22"/>
        </w:rPr>
        <w:t>ii</w:t>
      </w:r>
      <w:proofErr w:type="spellEnd"/>
      <w:r>
        <w:rPr>
          <w:rFonts w:ascii="Arial" w:hAnsi="Arial" w:cs="Arial"/>
          <w:sz w:val="22"/>
          <w:szCs w:val="22"/>
        </w:rPr>
        <w:t>) prestar serviços de operação logística, compreendendo o armazenamento, gestão de estoques em depósitos próprios ou de terceiros; (</w:t>
      </w:r>
      <w:proofErr w:type="spellStart"/>
      <w:r>
        <w:rPr>
          <w:rFonts w:ascii="Arial" w:hAnsi="Arial" w:cs="Arial"/>
          <w:sz w:val="22"/>
          <w:szCs w:val="22"/>
        </w:rPr>
        <w:t>iii</w:t>
      </w:r>
      <w:proofErr w:type="spellEnd"/>
      <w:r>
        <w:rPr>
          <w:rFonts w:ascii="Arial" w:hAnsi="Arial" w:cs="Arial"/>
          <w:sz w:val="22"/>
          <w:szCs w:val="22"/>
        </w:rPr>
        <w:t>) prestar serviços de assistência técnica, mercadológica, financeira, administrativa, de publicidade, de marketing e de merchandising, bem como promover marketing relacionado às empresas operantes em áreas afins ou não, de correspondente bancário, financiamento a clientes, recarga de aparelhos de telefonia móvel, de estacionamento rotativo e outros relacionados, direta ou indiretamente; (</w:t>
      </w:r>
      <w:proofErr w:type="spellStart"/>
      <w:r>
        <w:rPr>
          <w:rFonts w:ascii="Arial" w:hAnsi="Arial" w:cs="Arial"/>
          <w:sz w:val="22"/>
          <w:szCs w:val="22"/>
        </w:rPr>
        <w:t>iv</w:t>
      </w:r>
      <w:proofErr w:type="spellEnd"/>
      <w:r>
        <w:rPr>
          <w:rFonts w:ascii="Arial" w:hAnsi="Arial" w:cs="Arial"/>
          <w:sz w:val="22"/>
          <w:szCs w:val="22"/>
        </w:rPr>
        <w:t>) participar de outras sociedades, comerciais e civis, como sócia ou acionista, no País ou no exterior; (v) promover a intermediação e distribuição de ingressos, passagens e tickets para atrações públicas, parques temáticos, teatros, shows e outros eventos destinados ao público, de caráter cultural ou não, transportes e outros similares ou não, excluindo-se pules de apostas, tickets de jogo ou similares, nacionais ou não; (vi) promover e intermediar a distribuição de produtos da indústria cinematográfica, nacional ou internacional, bem como a comercialização de músicas via arquivo eletrônico, de artistas nacionais ou internacionais; (</w:t>
      </w:r>
      <w:proofErr w:type="spellStart"/>
      <w:r>
        <w:rPr>
          <w:rFonts w:ascii="Arial" w:hAnsi="Arial" w:cs="Arial"/>
          <w:sz w:val="22"/>
          <w:szCs w:val="22"/>
        </w:rPr>
        <w:t>vii</w:t>
      </w:r>
      <w:proofErr w:type="spellEnd"/>
      <w:r>
        <w:rPr>
          <w:rFonts w:ascii="Arial" w:hAnsi="Arial" w:cs="Arial"/>
          <w:sz w:val="22"/>
          <w:szCs w:val="22"/>
        </w:rPr>
        <w:t>) representar empresas detentoras de softwares para visualização de imagens, sons e outros através de intermediação de downloads (cópias) não gratuitas; (</w:t>
      </w:r>
      <w:proofErr w:type="spellStart"/>
      <w:r>
        <w:rPr>
          <w:rFonts w:ascii="Arial" w:hAnsi="Arial" w:cs="Arial"/>
          <w:sz w:val="22"/>
          <w:szCs w:val="22"/>
        </w:rPr>
        <w:t>viii</w:t>
      </w:r>
      <w:proofErr w:type="spellEnd"/>
      <w:r>
        <w:rPr>
          <w:rFonts w:ascii="Arial" w:hAnsi="Arial" w:cs="Arial"/>
          <w:sz w:val="22"/>
          <w:szCs w:val="22"/>
        </w:rPr>
        <w:t>) agir como representante de vendas de empresas diversas, utilizando-se do canal tecnológico desenvolvido para comércio eletrônico (e-commerce), ou ainda outro que pratique normalmente; (</w:t>
      </w:r>
      <w:proofErr w:type="spellStart"/>
      <w:r>
        <w:rPr>
          <w:rFonts w:ascii="Arial" w:hAnsi="Arial" w:cs="Arial"/>
          <w:sz w:val="22"/>
          <w:szCs w:val="22"/>
        </w:rPr>
        <w:t>ix</w:t>
      </w:r>
      <w:proofErr w:type="spellEnd"/>
      <w:r>
        <w:rPr>
          <w:rFonts w:ascii="Arial" w:hAnsi="Arial" w:cs="Arial"/>
          <w:sz w:val="22"/>
          <w:szCs w:val="22"/>
        </w:rPr>
        <w:t xml:space="preserve">) programadora de comunicação eletrônica de massa por assinatura, programadora de canal de televendas ou </w:t>
      </w:r>
      <w:proofErr w:type="spellStart"/>
      <w:r>
        <w:rPr>
          <w:rFonts w:ascii="Arial" w:hAnsi="Arial" w:cs="Arial"/>
          <w:sz w:val="22"/>
          <w:szCs w:val="22"/>
        </w:rPr>
        <w:t>infomerciais</w:t>
      </w:r>
      <w:proofErr w:type="spellEnd"/>
      <w:r>
        <w:rPr>
          <w:rFonts w:ascii="Arial" w:hAnsi="Arial" w:cs="Arial"/>
          <w:sz w:val="22"/>
          <w:szCs w:val="22"/>
        </w:rPr>
        <w:t>; (x) serviços de informática e congêneres; (xi) prestação de serviços de logística e transporte de carga em geral para toda a cadeia de suprimento por quaisquer meios, incluindo o transporte aéreo, aquaviário e rodoviário no âmbito municipal, estadual, interestadual e internacional, atuando inclusive como operador multimodal – OTM. (</w:t>
      </w:r>
      <w:proofErr w:type="spellStart"/>
      <w:r>
        <w:rPr>
          <w:rFonts w:ascii="Arial" w:hAnsi="Arial" w:cs="Arial"/>
          <w:sz w:val="22"/>
          <w:szCs w:val="22"/>
        </w:rPr>
        <w:t>xii</w:t>
      </w:r>
      <w:proofErr w:type="spellEnd"/>
      <w:r>
        <w:rPr>
          <w:rFonts w:ascii="Arial" w:hAnsi="Arial" w:cs="Arial"/>
          <w:sz w:val="22"/>
          <w:szCs w:val="22"/>
        </w:rPr>
        <w:t>) produção de conteúdo e filmes em estúdios cinematográficos, bem como reprodução de textos, desenhos e outros materiais, incluindo, ainda, a prestação de serviços para terceiros, de propaganda e publicidade; (</w:t>
      </w:r>
      <w:proofErr w:type="spellStart"/>
      <w:r>
        <w:rPr>
          <w:rFonts w:ascii="Arial" w:hAnsi="Arial" w:cs="Arial"/>
          <w:sz w:val="22"/>
          <w:szCs w:val="22"/>
        </w:rPr>
        <w:t>xiii</w:t>
      </w:r>
      <w:proofErr w:type="spellEnd"/>
      <w:r>
        <w:rPr>
          <w:rFonts w:ascii="Arial" w:hAnsi="Arial" w:cs="Arial"/>
          <w:sz w:val="22"/>
          <w:szCs w:val="22"/>
        </w:rPr>
        <w:t>) atividades de apoio à educação, incluindo a comercialização de cursos online; (</w:t>
      </w:r>
      <w:proofErr w:type="spellStart"/>
      <w:r>
        <w:rPr>
          <w:rFonts w:ascii="Arial" w:hAnsi="Arial" w:cs="Arial"/>
          <w:sz w:val="22"/>
          <w:szCs w:val="22"/>
        </w:rPr>
        <w:t>xiv</w:t>
      </w:r>
      <w:proofErr w:type="spellEnd"/>
      <w:r>
        <w:rPr>
          <w:rFonts w:ascii="Arial" w:hAnsi="Arial" w:cs="Arial"/>
          <w:sz w:val="22"/>
          <w:szCs w:val="22"/>
        </w:rPr>
        <w:t>) comercialização de produtos farmacêuticos, medicamentos, saneantes, cosméticos, perfumaria, bem como produtos médicos e acessórios; (</w:t>
      </w:r>
      <w:proofErr w:type="spellStart"/>
      <w:r>
        <w:rPr>
          <w:rFonts w:ascii="Arial" w:hAnsi="Arial" w:cs="Arial"/>
          <w:sz w:val="22"/>
          <w:szCs w:val="22"/>
        </w:rPr>
        <w:t>xv</w:t>
      </w:r>
      <w:proofErr w:type="spellEnd"/>
      <w:r>
        <w:rPr>
          <w:rFonts w:ascii="Arial" w:hAnsi="Arial" w:cs="Arial"/>
          <w:sz w:val="22"/>
          <w:szCs w:val="22"/>
        </w:rPr>
        <w:t xml:space="preserve">) comercialização de artigos para animais, rações, acessórios, produtos de uso veterinário, </w:t>
      </w:r>
      <w:proofErr w:type="spellStart"/>
      <w:r>
        <w:rPr>
          <w:rFonts w:ascii="Arial" w:hAnsi="Arial" w:cs="Arial"/>
          <w:sz w:val="22"/>
          <w:szCs w:val="22"/>
        </w:rPr>
        <w:t>produtos“pet</w:t>
      </w:r>
      <w:proofErr w:type="spellEnd"/>
      <w:r>
        <w:rPr>
          <w:rFonts w:ascii="Arial" w:hAnsi="Arial" w:cs="Arial"/>
          <w:sz w:val="22"/>
          <w:szCs w:val="22"/>
        </w:rPr>
        <w:t>”; e (</w:t>
      </w:r>
      <w:proofErr w:type="spellStart"/>
      <w:r>
        <w:rPr>
          <w:rFonts w:ascii="Arial" w:hAnsi="Arial" w:cs="Arial"/>
          <w:sz w:val="22"/>
          <w:szCs w:val="22"/>
        </w:rPr>
        <w:t>xvi</w:t>
      </w:r>
      <w:proofErr w:type="spellEnd"/>
      <w:r>
        <w:rPr>
          <w:rFonts w:ascii="Arial" w:hAnsi="Arial" w:cs="Arial"/>
          <w:sz w:val="22"/>
          <w:szCs w:val="22"/>
        </w:rPr>
        <w:t>) atividades de impressão em geral, incluindo serviços de fotocópias e impressão de fotografias</w:t>
      </w:r>
      <w:r>
        <w:rPr>
          <w:rFonts w:ascii="Arial" w:hAnsi="Arial" w:cs="Arial"/>
          <w:color w:val="000000"/>
          <w:sz w:val="22"/>
          <w:szCs w:val="22"/>
        </w:rPr>
        <w:t>.</w:t>
      </w:r>
    </w:p>
    <w:p w14:paraId="0E587BFA" w14:textId="77777777" w:rsidR="00FC10E9" w:rsidRDefault="00FC10E9">
      <w:pPr>
        <w:tabs>
          <w:tab w:val="left" w:pos="2366"/>
        </w:tabs>
        <w:spacing w:line="300" w:lineRule="atLeast"/>
        <w:rPr>
          <w:rFonts w:ascii="Arial" w:hAnsi="Arial" w:cs="Arial"/>
          <w:color w:val="000000"/>
          <w:sz w:val="22"/>
          <w:szCs w:val="22"/>
        </w:rPr>
      </w:pPr>
    </w:p>
    <w:p w14:paraId="7398D758" w14:textId="77777777" w:rsidR="00FC10E9" w:rsidRDefault="00B10E1A">
      <w:pPr>
        <w:pStyle w:val="SCBFTtulo1"/>
        <w:keepLines w:val="0"/>
        <w:spacing w:line="300" w:lineRule="atLeast"/>
        <w:rPr>
          <w:rFonts w:ascii="Arial" w:hAnsi="Arial" w:cs="Arial"/>
          <w:color w:val="000000"/>
        </w:rPr>
      </w:pPr>
      <w:bookmarkStart w:id="7" w:name="_Toc510004474"/>
      <w:r>
        <w:rPr>
          <w:rFonts w:ascii="Arial" w:hAnsi="Arial" w:cs="Arial"/>
          <w:color w:val="000000"/>
        </w:rPr>
        <w:t xml:space="preserve">CLÁUSULA IV </w:t>
      </w:r>
      <w:r>
        <w:rPr>
          <w:rFonts w:ascii="Arial" w:hAnsi="Arial" w:cs="Arial"/>
          <w:color w:val="000000"/>
        </w:rPr>
        <w:br/>
        <w:t>CARACTERÍSTICAS DAS DEBÊNTURES</w:t>
      </w:r>
      <w:bookmarkEnd w:id="7"/>
    </w:p>
    <w:p w14:paraId="498A4DA5" w14:textId="77777777" w:rsidR="00FC10E9" w:rsidRDefault="00FC10E9">
      <w:pPr>
        <w:keepNext/>
        <w:tabs>
          <w:tab w:val="left" w:pos="2366"/>
        </w:tabs>
        <w:spacing w:line="300" w:lineRule="atLeast"/>
        <w:jc w:val="both"/>
        <w:rPr>
          <w:rFonts w:ascii="Arial" w:hAnsi="Arial" w:cs="Arial"/>
          <w:color w:val="000000"/>
          <w:sz w:val="22"/>
          <w:szCs w:val="22"/>
        </w:rPr>
      </w:pPr>
    </w:p>
    <w:p w14:paraId="59D18463" w14:textId="77777777" w:rsidR="00FC10E9" w:rsidRDefault="00B10E1A">
      <w:pPr>
        <w:keepNext/>
        <w:numPr>
          <w:ilvl w:val="1"/>
          <w:numId w:val="8"/>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Características Básicas</w:t>
      </w:r>
    </w:p>
    <w:p w14:paraId="55D0B4D0"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2B56A27" w14:textId="77777777" w:rsidR="00FC10E9" w:rsidRDefault="00B10E1A">
      <w:pPr>
        <w:numPr>
          <w:ilvl w:val="2"/>
          <w:numId w:val="8"/>
        </w:numPr>
        <w:tabs>
          <w:tab w:val="left" w:pos="2366"/>
        </w:tabs>
        <w:spacing w:line="300" w:lineRule="atLeast"/>
        <w:ind w:left="0" w:firstLine="0"/>
        <w:jc w:val="both"/>
        <w:rPr>
          <w:rFonts w:ascii="Arial" w:hAnsi="Arial" w:cs="Arial"/>
          <w:b/>
          <w:color w:val="000000"/>
          <w:sz w:val="22"/>
          <w:szCs w:val="22"/>
        </w:rPr>
      </w:pPr>
      <w:r>
        <w:rPr>
          <w:rFonts w:ascii="Arial" w:hAnsi="Arial" w:cs="Arial"/>
          <w:b/>
          <w:i/>
          <w:color w:val="000000"/>
          <w:sz w:val="22"/>
          <w:szCs w:val="22"/>
        </w:rPr>
        <w:t>Data de Emissão</w:t>
      </w:r>
      <w:r>
        <w:rPr>
          <w:rFonts w:ascii="Arial" w:hAnsi="Arial" w:cs="Arial"/>
          <w:color w:val="000000"/>
          <w:sz w:val="22"/>
          <w:szCs w:val="22"/>
        </w:rPr>
        <w:t xml:space="preserve">: Para todos os fins de direito e efeitos, a data de emissão das Debêntures será o dia </w:t>
      </w:r>
      <w:r>
        <w:rPr>
          <w:rFonts w:ascii="Arial" w:hAnsi="Arial" w:cs="Arial"/>
          <w:sz w:val="22"/>
          <w:szCs w:val="22"/>
        </w:rPr>
        <w:t xml:space="preserve">15 </w:t>
      </w:r>
      <w:r>
        <w:rPr>
          <w:rFonts w:ascii="Arial" w:hAnsi="Arial" w:cs="Arial"/>
          <w:color w:val="000000"/>
          <w:sz w:val="22"/>
          <w:szCs w:val="22"/>
        </w:rPr>
        <w:t xml:space="preserve">de </w:t>
      </w:r>
      <w:r>
        <w:rPr>
          <w:rFonts w:ascii="Arial" w:hAnsi="Arial" w:cs="Arial"/>
          <w:sz w:val="22"/>
          <w:szCs w:val="22"/>
        </w:rPr>
        <w:t xml:space="preserve">julho </w:t>
      </w:r>
      <w:r>
        <w:rPr>
          <w:rFonts w:ascii="Arial" w:hAnsi="Arial" w:cs="Arial"/>
          <w:color w:val="000000"/>
          <w:sz w:val="22"/>
          <w:szCs w:val="22"/>
        </w:rPr>
        <w:t>de 2022 (“</w:t>
      </w:r>
      <w:r>
        <w:rPr>
          <w:rFonts w:ascii="Arial" w:hAnsi="Arial" w:cs="Arial"/>
          <w:color w:val="000000"/>
          <w:sz w:val="22"/>
          <w:szCs w:val="22"/>
          <w:u w:val="single"/>
        </w:rPr>
        <w:t>Data de Emissão</w:t>
      </w:r>
      <w:r>
        <w:rPr>
          <w:rFonts w:ascii="Arial" w:hAnsi="Arial" w:cs="Arial"/>
          <w:color w:val="000000"/>
          <w:sz w:val="22"/>
          <w:szCs w:val="22"/>
        </w:rPr>
        <w:t>”).</w:t>
      </w:r>
    </w:p>
    <w:p w14:paraId="44B624CC"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AAE7CA7"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t>Conversibilidade</w:t>
      </w:r>
      <w:r>
        <w:rPr>
          <w:rFonts w:ascii="Arial" w:hAnsi="Arial" w:cs="Arial"/>
          <w:color w:val="000000"/>
          <w:sz w:val="22"/>
          <w:szCs w:val="22"/>
        </w:rPr>
        <w:t>: As Debêntures serão simples, ou seja, não conversíveis em ações de emissão da Emissora.</w:t>
      </w:r>
    </w:p>
    <w:p w14:paraId="32F0E4A4"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E80367A"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t>Espécie</w:t>
      </w:r>
      <w:r>
        <w:rPr>
          <w:rFonts w:ascii="Arial" w:hAnsi="Arial" w:cs="Arial"/>
          <w:color w:val="000000"/>
          <w:sz w:val="22"/>
          <w:szCs w:val="22"/>
        </w:rPr>
        <w:t>: As Debêntures serão da espécie quirografária.</w:t>
      </w:r>
    </w:p>
    <w:p w14:paraId="77B6CA6C" w14:textId="77777777" w:rsidR="00FC10E9" w:rsidRDefault="00FC10E9">
      <w:pPr>
        <w:pStyle w:val="PargrafodaLista"/>
        <w:spacing w:line="300" w:lineRule="atLeast"/>
        <w:ind w:left="0"/>
        <w:rPr>
          <w:rFonts w:ascii="Arial" w:hAnsi="Arial" w:cs="Arial"/>
          <w:b/>
          <w:color w:val="000000"/>
          <w:sz w:val="22"/>
          <w:szCs w:val="22"/>
        </w:rPr>
      </w:pPr>
    </w:p>
    <w:p w14:paraId="3A8084D9"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lastRenderedPageBreak/>
        <w:t>Tipo e Forma</w:t>
      </w:r>
      <w:r>
        <w:rPr>
          <w:rFonts w:ascii="Arial" w:hAnsi="Arial" w:cs="Arial"/>
          <w:color w:val="000000"/>
          <w:sz w:val="22"/>
          <w:szCs w:val="22"/>
        </w:rPr>
        <w:t>: As Debêntures serão nominativas e escriturais, sem emissão de cautelas ou certificados.</w:t>
      </w:r>
    </w:p>
    <w:p w14:paraId="6F755D29"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483D00E"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t>Prazo e Data de Vencimento</w:t>
      </w:r>
      <w:r>
        <w:rPr>
          <w:rFonts w:ascii="Arial" w:hAnsi="Arial" w:cs="Arial"/>
          <w:color w:val="000000"/>
          <w:sz w:val="22"/>
          <w:szCs w:val="22"/>
        </w:rPr>
        <w:t>: As Debêntures terão prazo de vencimento de 11 (onze) anos a contar da Data de Emissão, com vencimento final previsto para 15 de julho de 2033 (“</w:t>
      </w:r>
      <w:r>
        <w:rPr>
          <w:rFonts w:ascii="Arial" w:hAnsi="Arial" w:cs="Arial"/>
          <w:color w:val="000000"/>
          <w:sz w:val="22"/>
          <w:szCs w:val="22"/>
          <w:u w:val="single"/>
        </w:rPr>
        <w:t>Data de Vencimento</w:t>
      </w:r>
      <w:r>
        <w:rPr>
          <w:rFonts w:ascii="Arial" w:hAnsi="Arial" w:cs="Arial"/>
          <w:color w:val="000000"/>
          <w:sz w:val="22"/>
          <w:szCs w:val="22"/>
        </w:rPr>
        <w:t>”), ressalvadas as hipóteses de liquidação antecipada das Debêntures</w:t>
      </w:r>
      <w:r>
        <w:rPr>
          <w:rFonts w:ascii="Arial" w:hAnsi="Arial" w:cs="Arial"/>
          <w:sz w:val="22"/>
          <w:szCs w:val="22"/>
        </w:rPr>
        <w:t xml:space="preserve"> </w:t>
      </w:r>
      <w:r>
        <w:rPr>
          <w:rFonts w:ascii="Arial" w:hAnsi="Arial" w:cs="Arial"/>
          <w:color w:val="000000"/>
          <w:sz w:val="22"/>
          <w:szCs w:val="22"/>
        </w:rPr>
        <w:t xml:space="preserve">resultante do seu resgate antecipado ou vencimento antecipado, nos termos desta Escritura. Por ocasião da Data de Vencimento, a Emissora se obriga a proceder ao resgate das Debêntures, com o seu consequente cancelamento, mediante o pagamento do Valor Nominal Unitário </w:t>
      </w:r>
      <w:r>
        <w:rPr>
          <w:rFonts w:ascii="Arial" w:hAnsi="Arial" w:cs="Arial"/>
          <w:sz w:val="22"/>
          <w:szCs w:val="22"/>
        </w:rPr>
        <w:t xml:space="preserve">(ou saldo do Valor Nominal Unitário, conforme o caso) </w:t>
      </w:r>
      <w:r>
        <w:rPr>
          <w:rFonts w:ascii="Arial" w:hAnsi="Arial" w:cs="Arial"/>
          <w:color w:val="000000"/>
          <w:sz w:val="22"/>
          <w:szCs w:val="22"/>
        </w:rPr>
        <w:t xml:space="preserve">das Debêntures, acrescido dos respectivos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desde a primeira Data de Integralização ou a Data de Pagamento dos Juros Remuneratórios imediatamente anterior, conforme aplicável, até a Data de Vencimento.</w:t>
      </w:r>
    </w:p>
    <w:p w14:paraId="4FD15AC3"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D93D517"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t>Valor Nominal Unitário</w:t>
      </w:r>
      <w:r>
        <w:rPr>
          <w:rFonts w:ascii="Arial" w:hAnsi="Arial" w:cs="Arial"/>
          <w:color w:val="000000"/>
          <w:sz w:val="22"/>
          <w:szCs w:val="22"/>
        </w:rPr>
        <w:t>: O valor nominal unitário das Debêntures será de R$ 10.000,00 (dez mil reais), na Data de Emissão (“</w:t>
      </w:r>
      <w:r>
        <w:rPr>
          <w:rFonts w:ascii="Arial" w:hAnsi="Arial" w:cs="Arial"/>
          <w:color w:val="000000"/>
          <w:sz w:val="22"/>
          <w:szCs w:val="22"/>
          <w:u w:val="single"/>
        </w:rPr>
        <w:t>Valor Nominal Unitário</w:t>
      </w:r>
      <w:r>
        <w:rPr>
          <w:rFonts w:ascii="Arial" w:hAnsi="Arial" w:cs="Arial"/>
          <w:color w:val="000000"/>
          <w:sz w:val="22"/>
          <w:szCs w:val="22"/>
        </w:rPr>
        <w:t xml:space="preserve">”). </w:t>
      </w:r>
    </w:p>
    <w:p w14:paraId="1B629C90"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11D058C" w14:textId="77777777" w:rsidR="00FC10E9" w:rsidRDefault="00B10E1A">
      <w:pPr>
        <w:numPr>
          <w:ilvl w:val="2"/>
          <w:numId w:val="8"/>
        </w:numPr>
        <w:tabs>
          <w:tab w:val="left" w:pos="2366"/>
        </w:tabs>
        <w:spacing w:line="300" w:lineRule="atLeast"/>
        <w:ind w:left="0" w:firstLine="0"/>
        <w:jc w:val="both"/>
        <w:rPr>
          <w:rFonts w:ascii="Arial" w:hAnsi="Arial" w:cs="Arial"/>
          <w:color w:val="000000"/>
          <w:sz w:val="22"/>
          <w:szCs w:val="22"/>
        </w:rPr>
      </w:pPr>
      <w:r>
        <w:rPr>
          <w:rFonts w:ascii="Arial" w:hAnsi="Arial" w:cs="Arial"/>
          <w:b/>
          <w:i/>
          <w:color w:val="000000"/>
          <w:sz w:val="22"/>
          <w:szCs w:val="22"/>
        </w:rPr>
        <w:t>Quantidade de Debêntures</w:t>
      </w:r>
      <w:r>
        <w:rPr>
          <w:rFonts w:ascii="Arial" w:hAnsi="Arial" w:cs="Arial"/>
          <w:color w:val="000000"/>
          <w:sz w:val="22"/>
          <w:szCs w:val="22"/>
        </w:rPr>
        <w:t>: Serão emitidas 200.000 (duzentas mil) debêntures (“</w:t>
      </w:r>
      <w:r>
        <w:rPr>
          <w:rFonts w:ascii="Arial" w:hAnsi="Arial" w:cs="Arial"/>
          <w:color w:val="000000"/>
          <w:sz w:val="22"/>
          <w:szCs w:val="22"/>
          <w:u w:val="single"/>
        </w:rPr>
        <w:t>Debêntures</w:t>
      </w:r>
      <w:r>
        <w:rPr>
          <w:rFonts w:ascii="Arial" w:hAnsi="Arial" w:cs="Arial"/>
          <w:color w:val="000000"/>
          <w:sz w:val="22"/>
          <w:szCs w:val="22"/>
        </w:rPr>
        <w:t xml:space="preserve">”). </w:t>
      </w:r>
    </w:p>
    <w:p w14:paraId="416A9F68"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32722090" w14:textId="77777777" w:rsidR="00FC10E9" w:rsidRDefault="00B10E1A">
      <w:pPr>
        <w:keepNext/>
        <w:numPr>
          <w:ilvl w:val="1"/>
          <w:numId w:val="8"/>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Remuneração</w:t>
      </w:r>
    </w:p>
    <w:p w14:paraId="5F580E99" w14:textId="77777777" w:rsidR="00FC10E9" w:rsidRDefault="00FC10E9">
      <w:pPr>
        <w:keepNext/>
        <w:tabs>
          <w:tab w:val="left" w:pos="2366"/>
        </w:tabs>
        <w:spacing w:line="300" w:lineRule="atLeast"/>
        <w:ind w:left="720"/>
        <w:jc w:val="both"/>
        <w:rPr>
          <w:rFonts w:ascii="Arial" w:hAnsi="Arial" w:cs="Arial"/>
          <w:b/>
          <w:color w:val="000000"/>
          <w:sz w:val="22"/>
          <w:szCs w:val="22"/>
        </w:rPr>
      </w:pPr>
    </w:p>
    <w:p w14:paraId="5034FF10" w14:textId="77777777" w:rsidR="00FC10E9" w:rsidRDefault="00B10E1A">
      <w:pPr>
        <w:numPr>
          <w:ilvl w:val="2"/>
          <w:numId w:val="34"/>
        </w:numPr>
        <w:spacing w:line="300" w:lineRule="atLeast"/>
        <w:ind w:left="0" w:firstLine="0"/>
        <w:jc w:val="both"/>
        <w:rPr>
          <w:rFonts w:ascii="Arial" w:hAnsi="Arial" w:cs="Arial"/>
          <w:sz w:val="22"/>
          <w:szCs w:val="22"/>
        </w:rPr>
      </w:pPr>
      <w:bookmarkStart w:id="8" w:name="_Ref147892691"/>
      <w:r>
        <w:rPr>
          <w:rFonts w:ascii="Arial" w:hAnsi="Arial" w:cs="Arial"/>
          <w:i/>
          <w:sz w:val="22"/>
          <w:szCs w:val="22"/>
          <w:u w:val="single"/>
        </w:rPr>
        <w:t>Atualização Monetária das Debêntures</w:t>
      </w:r>
      <w:r>
        <w:rPr>
          <w:rFonts w:ascii="Arial" w:hAnsi="Arial" w:cs="Arial"/>
          <w:i/>
          <w:sz w:val="22"/>
          <w:szCs w:val="22"/>
        </w:rPr>
        <w:t>:</w:t>
      </w:r>
      <w:r>
        <w:rPr>
          <w:rFonts w:ascii="Arial" w:hAnsi="Arial" w:cs="Arial"/>
          <w:b/>
          <w:i/>
          <w:sz w:val="22"/>
          <w:szCs w:val="22"/>
        </w:rPr>
        <w:t xml:space="preserve"> </w:t>
      </w:r>
      <w:r>
        <w:rPr>
          <w:rFonts w:ascii="Arial" w:hAnsi="Arial" w:cs="Arial"/>
          <w:sz w:val="22"/>
          <w:szCs w:val="22"/>
        </w:rPr>
        <w:t>O Valor Nominal Unitário ou o saldo do Valor Nominal Unitário, conforme o caso, das Debêntures não será atualizado monetariamente.</w:t>
      </w:r>
    </w:p>
    <w:p w14:paraId="1C29EFD7" w14:textId="77777777" w:rsidR="00FC10E9" w:rsidRDefault="00FC10E9">
      <w:pPr>
        <w:tabs>
          <w:tab w:val="num" w:pos="851"/>
          <w:tab w:val="left" w:pos="2366"/>
        </w:tabs>
        <w:spacing w:line="300" w:lineRule="atLeast"/>
        <w:jc w:val="both"/>
        <w:rPr>
          <w:rFonts w:ascii="Arial" w:hAnsi="Arial" w:cs="Arial"/>
          <w:color w:val="000000"/>
          <w:sz w:val="22"/>
          <w:szCs w:val="22"/>
        </w:rPr>
      </w:pPr>
    </w:p>
    <w:p w14:paraId="0FE2DB95" w14:textId="77777777" w:rsidR="00FC10E9" w:rsidRDefault="00B10E1A">
      <w:pPr>
        <w:numPr>
          <w:ilvl w:val="2"/>
          <w:numId w:val="34"/>
        </w:numPr>
        <w:spacing w:line="300" w:lineRule="atLeast"/>
        <w:ind w:left="0" w:firstLine="0"/>
        <w:jc w:val="both"/>
        <w:rPr>
          <w:rFonts w:ascii="Arial" w:hAnsi="Arial" w:cs="Arial"/>
          <w:color w:val="000000"/>
          <w:sz w:val="22"/>
          <w:szCs w:val="22"/>
        </w:rPr>
      </w:pPr>
      <w:r>
        <w:rPr>
          <w:rFonts w:ascii="Arial" w:hAnsi="Arial" w:cs="Arial"/>
          <w:i/>
          <w:sz w:val="22"/>
          <w:szCs w:val="22"/>
          <w:u w:val="single"/>
        </w:rPr>
        <w:t>Juros Remuneratórios das Debêntures</w:t>
      </w:r>
      <w:r>
        <w:rPr>
          <w:rFonts w:ascii="Arial" w:hAnsi="Arial" w:cs="Arial"/>
          <w:color w:val="000000"/>
          <w:sz w:val="22"/>
          <w:szCs w:val="22"/>
        </w:rPr>
        <w:t xml:space="preserve">: </w:t>
      </w:r>
      <w:bookmarkStart w:id="9" w:name="_DV_M176"/>
      <w:bookmarkStart w:id="10" w:name="_DV_M182"/>
      <w:bookmarkStart w:id="11" w:name="_DV_M184"/>
      <w:bookmarkEnd w:id="9"/>
      <w:bookmarkEnd w:id="10"/>
      <w:bookmarkEnd w:id="11"/>
      <w:r>
        <w:rPr>
          <w:rFonts w:ascii="Arial" w:hAnsi="Arial" w:cs="Arial"/>
          <w:color w:val="000000" w:themeColor="text1"/>
          <w:sz w:val="22"/>
          <w:szCs w:val="22"/>
          <w:bdr w:val="none" w:sz="0" w:space="0" w:color="auto" w:frame="1"/>
        </w:rPr>
        <w:t>sobre o Valor Nominal Unitário ou saldo do Valor Nominal Unitário das Debêntures, conforme o caso, incidirão juros remuneratórios correspondentes à variação acumulada de 100% (cem por cento) das taxas médias diárias do DI de um dia, “</w:t>
      </w:r>
      <w:r>
        <w:rPr>
          <w:rFonts w:ascii="Arial" w:hAnsi="Arial" w:cs="Arial"/>
          <w:i/>
          <w:iCs/>
          <w:color w:val="000000" w:themeColor="text1"/>
          <w:sz w:val="22"/>
          <w:szCs w:val="22"/>
          <w:bdr w:val="none" w:sz="0" w:space="0" w:color="auto" w:frame="1"/>
        </w:rPr>
        <w:t>over</w:t>
      </w:r>
      <w:r>
        <w:rPr>
          <w:rFonts w:ascii="Arial" w:hAnsi="Arial" w:cs="Arial"/>
          <w:color w:val="000000" w:themeColor="text1"/>
          <w:sz w:val="22"/>
          <w:szCs w:val="22"/>
          <w:bdr w:val="none" w:sz="0" w:space="0" w:color="auto" w:frame="1"/>
        </w:rPr>
        <w:t xml:space="preserve"> </w:t>
      </w:r>
      <w:proofErr w:type="spellStart"/>
      <w:r>
        <w:rPr>
          <w:rFonts w:ascii="Arial" w:hAnsi="Arial" w:cs="Arial"/>
          <w:color w:val="000000" w:themeColor="text1"/>
          <w:sz w:val="22"/>
          <w:szCs w:val="22"/>
          <w:bdr w:val="none" w:sz="0" w:space="0" w:color="auto" w:frame="1"/>
        </w:rPr>
        <w:t>extra-grupo</w:t>
      </w:r>
      <w:proofErr w:type="spellEnd"/>
      <w:r>
        <w:rPr>
          <w:rFonts w:ascii="Arial" w:hAnsi="Arial" w:cs="Arial"/>
          <w:color w:val="000000" w:themeColor="text1"/>
          <w:sz w:val="22"/>
          <w:szCs w:val="22"/>
          <w:bdr w:val="none" w:sz="0" w:space="0" w:color="auto" w:frame="1"/>
        </w:rPr>
        <w:t>”, expressas na forma percentual ao ano-base de 252 (duzentos e cinquenta e dois) Dias Úteis, calculadas e divulgadas diariamente pela B3 S.A. – Brasil, Bolsa, Balcão (“</w:t>
      </w:r>
      <w:r>
        <w:rPr>
          <w:rFonts w:ascii="Arial" w:hAnsi="Arial" w:cs="Arial"/>
          <w:color w:val="000000" w:themeColor="text1"/>
          <w:sz w:val="22"/>
          <w:szCs w:val="22"/>
          <w:u w:val="single"/>
          <w:bdr w:val="none" w:sz="0" w:space="0" w:color="auto" w:frame="1"/>
        </w:rPr>
        <w:t>Taxa DI</w:t>
      </w:r>
      <w:r>
        <w:rPr>
          <w:rFonts w:ascii="Arial" w:hAnsi="Arial" w:cs="Arial"/>
          <w:color w:val="000000" w:themeColor="text1"/>
          <w:sz w:val="22"/>
          <w:szCs w:val="22"/>
          <w:bdr w:val="none" w:sz="0" w:space="0" w:color="auto" w:frame="1"/>
        </w:rPr>
        <w:t xml:space="preserve">”), acrescida de </w:t>
      </w:r>
      <w:r>
        <w:rPr>
          <w:rFonts w:ascii="Arial" w:hAnsi="Arial" w:cs="Arial"/>
          <w:i/>
          <w:color w:val="000000" w:themeColor="text1"/>
          <w:sz w:val="22"/>
          <w:szCs w:val="22"/>
          <w:bdr w:val="none" w:sz="0" w:space="0" w:color="auto" w:frame="1"/>
        </w:rPr>
        <w:t>spread</w:t>
      </w:r>
      <w:r>
        <w:rPr>
          <w:rFonts w:ascii="Arial" w:hAnsi="Arial" w:cs="Arial"/>
          <w:color w:val="000000" w:themeColor="text1"/>
          <w:sz w:val="22"/>
          <w:szCs w:val="22"/>
          <w:bdr w:val="none" w:sz="0" w:space="0" w:color="auto" w:frame="1"/>
        </w:rPr>
        <w:t xml:space="preserve"> (sobretaxa) correspondente a 2,75% (dois inteiros e setenta e cinco centésimos por cento) ao ano base de 252 (duzentos e cinquenta e dois) Dias Úteis</w:t>
      </w:r>
      <w:r>
        <w:rPr>
          <w:rFonts w:ascii="Arial" w:hAnsi="Arial" w:cs="Arial"/>
          <w:i/>
          <w:sz w:val="22"/>
          <w:szCs w:val="22"/>
          <w:bdr w:val="none" w:sz="0" w:space="0" w:color="auto" w:frame="1"/>
        </w:rPr>
        <w:t xml:space="preserve"> </w:t>
      </w:r>
      <w:r>
        <w:rPr>
          <w:rFonts w:ascii="Arial" w:hAnsi="Arial" w:cs="Arial"/>
          <w:color w:val="000000" w:themeColor="text1"/>
          <w:sz w:val="22"/>
          <w:szCs w:val="22"/>
          <w:bdr w:val="none" w:sz="0" w:space="0" w:color="auto" w:frame="1"/>
        </w:rPr>
        <w:t>(“</w:t>
      </w:r>
      <w:r>
        <w:rPr>
          <w:rFonts w:ascii="Arial" w:hAnsi="Arial" w:cs="Arial"/>
          <w:color w:val="000000" w:themeColor="text1"/>
          <w:sz w:val="22"/>
          <w:szCs w:val="22"/>
          <w:u w:val="single"/>
          <w:bdr w:val="none" w:sz="0" w:space="0" w:color="auto" w:frame="1"/>
        </w:rPr>
        <w:t>Juros Remuneratórios</w:t>
      </w:r>
      <w:r>
        <w:rPr>
          <w:rFonts w:ascii="Arial" w:hAnsi="Arial" w:cs="Arial"/>
          <w:color w:val="000000" w:themeColor="text1"/>
          <w:sz w:val="22"/>
          <w:szCs w:val="22"/>
          <w:bdr w:val="none" w:sz="0" w:space="0" w:color="auto" w:frame="1"/>
        </w:rPr>
        <w:t>”)</w:t>
      </w:r>
      <w:r>
        <w:rPr>
          <w:rFonts w:ascii="Arial" w:hAnsi="Arial" w:cs="Arial"/>
          <w:color w:val="000000"/>
          <w:sz w:val="22"/>
          <w:szCs w:val="22"/>
        </w:rPr>
        <w:t>.</w:t>
      </w:r>
    </w:p>
    <w:p w14:paraId="0D0E99C1" w14:textId="77777777" w:rsidR="00FC10E9" w:rsidRDefault="00FC10E9">
      <w:pPr>
        <w:pStyle w:val="PargrafodaLista"/>
        <w:spacing w:line="300" w:lineRule="atLeast"/>
        <w:rPr>
          <w:rFonts w:ascii="Arial" w:hAnsi="Arial" w:cs="Arial"/>
          <w:color w:val="000000"/>
          <w:sz w:val="22"/>
          <w:szCs w:val="22"/>
          <w:highlight w:val="green"/>
        </w:rPr>
      </w:pPr>
    </w:p>
    <w:p w14:paraId="042D448D" w14:textId="77777777" w:rsidR="00FC10E9" w:rsidRDefault="00B10E1A">
      <w:pPr>
        <w:numPr>
          <w:ilvl w:val="4"/>
          <w:numId w:val="49"/>
        </w:numPr>
        <w:tabs>
          <w:tab w:val="clear" w:pos="1080"/>
          <w:tab w:val="num" w:pos="709"/>
        </w:tabs>
        <w:spacing w:line="300" w:lineRule="atLeast"/>
        <w:ind w:left="709" w:firstLine="0"/>
        <w:jc w:val="both"/>
        <w:rPr>
          <w:rFonts w:ascii="Arial" w:hAnsi="Arial" w:cs="Arial"/>
          <w:color w:val="000000"/>
          <w:sz w:val="22"/>
          <w:szCs w:val="22"/>
        </w:rPr>
      </w:pPr>
      <w:r>
        <w:rPr>
          <w:rFonts w:ascii="Arial" w:hAnsi="Arial" w:cs="Arial"/>
          <w:color w:val="000000"/>
          <w:sz w:val="22"/>
          <w:szCs w:val="22"/>
        </w:rPr>
        <w:t>Observada a periodicidade prevista na Cláusula 4.4.1 abaixo, os Juros Remuneratórios serão pagos em cada Data de Pagamento dos Juros Remuneratórios, ressalvadas as hipóteses de amortização extraordinária, prevista na Cláusula 6.1 abaixo, ou liquidação antecipada das Debêntures</w:t>
      </w:r>
      <w:r>
        <w:rPr>
          <w:rFonts w:ascii="Arial" w:hAnsi="Arial" w:cs="Arial"/>
          <w:sz w:val="22"/>
          <w:szCs w:val="22"/>
        </w:rPr>
        <w:t xml:space="preserve"> </w:t>
      </w:r>
      <w:r>
        <w:rPr>
          <w:rFonts w:ascii="Arial" w:hAnsi="Arial" w:cs="Arial"/>
          <w:color w:val="000000"/>
          <w:sz w:val="22"/>
          <w:szCs w:val="22"/>
        </w:rPr>
        <w:t>resultante do seu resgate antecipado ou vencimento antecipado, nos termos desta Escritura.</w:t>
      </w:r>
    </w:p>
    <w:p w14:paraId="57AB9AFB" w14:textId="77777777" w:rsidR="00FC10E9" w:rsidRDefault="00FC10E9">
      <w:pPr>
        <w:spacing w:line="300" w:lineRule="atLeast"/>
        <w:ind w:left="698"/>
        <w:jc w:val="both"/>
        <w:rPr>
          <w:rFonts w:ascii="Arial" w:hAnsi="Arial" w:cs="Arial"/>
          <w:color w:val="000000"/>
          <w:sz w:val="22"/>
          <w:szCs w:val="22"/>
          <w:highlight w:val="green"/>
        </w:rPr>
      </w:pPr>
    </w:p>
    <w:p w14:paraId="6D656D24" w14:textId="77777777" w:rsidR="00FC10E9" w:rsidRDefault="00B10E1A">
      <w:pPr>
        <w:numPr>
          <w:ilvl w:val="4"/>
          <w:numId w:val="49"/>
        </w:numPr>
        <w:spacing w:line="300" w:lineRule="atLeast"/>
        <w:ind w:left="709" w:firstLine="0"/>
        <w:jc w:val="both"/>
        <w:rPr>
          <w:rFonts w:ascii="Arial" w:hAnsi="Arial" w:cs="Arial"/>
          <w:color w:val="000000"/>
          <w:sz w:val="22"/>
          <w:szCs w:val="22"/>
        </w:rPr>
      </w:pPr>
      <w:r>
        <w:rPr>
          <w:rFonts w:ascii="Arial" w:hAnsi="Arial" w:cs="Arial"/>
          <w:color w:val="000000"/>
          <w:sz w:val="22"/>
          <w:szCs w:val="22"/>
        </w:rPr>
        <w:t xml:space="preserve">Os Juros Remuneratórios serão calculados pela seguinte fórmula: </w:t>
      </w:r>
    </w:p>
    <w:p w14:paraId="6718F5BD" w14:textId="77777777" w:rsidR="00FC10E9" w:rsidRDefault="00FC10E9">
      <w:pPr>
        <w:keepNext/>
        <w:tabs>
          <w:tab w:val="left" w:pos="2366"/>
        </w:tabs>
        <w:spacing w:line="300" w:lineRule="atLeast"/>
        <w:jc w:val="both"/>
        <w:rPr>
          <w:rFonts w:ascii="Arial" w:hAnsi="Arial" w:cs="Arial"/>
          <w:color w:val="000000"/>
          <w:sz w:val="22"/>
          <w:szCs w:val="22"/>
          <w:highlight w:val="green"/>
        </w:rPr>
      </w:pPr>
    </w:p>
    <w:p w14:paraId="439830A5" w14:textId="77777777" w:rsidR="00FC10E9" w:rsidRDefault="00B10E1A">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b/>
          <w:bCs w:val="0"/>
          <w:color w:val="auto"/>
          <w:szCs w:val="22"/>
        </w:rPr>
      </w:pPr>
      <w:r>
        <w:rPr>
          <w:rFonts w:ascii="Arial" w:eastAsia="Arial Unicode MS" w:hAnsi="Arial" w:cs="Arial"/>
          <w:b/>
          <w:bCs w:val="0"/>
          <w:color w:val="auto"/>
          <w:szCs w:val="22"/>
        </w:rPr>
        <w:t xml:space="preserve">J = </w:t>
      </w:r>
      <w:proofErr w:type="spellStart"/>
      <w:r>
        <w:rPr>
          <w:rFonts w:ascii="Arial" w:eastAsia="Arial Unicode MS" w:hAnsi="Arial" w:cs="Arial"/>
          <w:b/>
          <w:bCs w:val="0"/>
          <w:color w:val="auto"/>
          <w:szCs w:val="22"/>
        </w:rPr>
        <w:t>VNe</w:t>
      </w:r>
      <w:proofErr w:type="spellEnd"/>
      <w:r>
        <w:rPr>
          <w:rFonts w:ascii="Arial" w:eastAsia="Arial Unicode MS" w:hAnsi="Arial" w:cs="Arial"/>
          <w:b/>
          <w:bCs w:val="0"/>
          <w:color w:val="auto"/>
          <w:szCs w:val="22"/>
        </w:rPr>
        <w:t xml:space="preserve"> x (Fator Juros – 1)</w:t>
      </w:r>
    </w:p>
    <w:p w14:paraId="408F13BE" w14:textId="77777777" w:rsidR="00FC10E9" w:rsidRDefault="00FC10E9">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p>
    <w:p w14:paraId="4BF525C8" w14:textId="77777777" w:rsidR="00FC10E9" w:rsidRDefault="00B10E1A">
      <w:pPr>
        <w:autoSpaceDE w:val="0"/>
        <w:autoSpaceDN w:val="0"/>
        <w:adjustRightInd w:val="0"/>
        <w:spacing w:line="312" w:lineRule="auto"/>
        <w:ind w:left="709"/>
        <w:jc w:val="both"/>
        <w:rPr>
          <w:rFonts w:ascii="Arial" w:eastAsia="Arial Unicode MS" w:hAnsi="Arial" w:cs="Arial"/>
          <w:bCs/>
          <w:sz w:val="22"/>
          <w:szCs w:val="22"/>
        </w:rPr>
      </w:pPr>
      <w:r>
        <w:rPr>
          <w:rFonts w:ascii="Arial" w:hAnsi="Arial" w:cs="Arial"/>
          <w:bCs/>
          <w:sz w:val="22"/>
          <w:szCs w:val="22"/>
        </w:rPr>
        <w:t>onde:</w:t>
      </w:r>
    </w:p>
    <w:p w14:paraId="16B7479F" w14:textId="77777777" w:rsidR="00FC10E9" w:rsidRDefault="00FC10E9">
      <w:pPr>
        <w:autoSpaceDE w:val="0"/>
        <w:autoSpaceDN w:val="0"/>
        <w:adjustRightInd w:val="0"/>
        <w:spacing w:line="312" w:lineRule="auto"/>
        <w:ind w:left="709"/>
        <w:jc w:val="center"/>
        <w:rPr>
          <w:rFonts w:ascii="Arial" w:hAnsi="Arial" w:cs="Arial"/>
          <w:bCs/>
          <w:sz w:val="22"/>
          <w:szCs w:val="22"/>
        </w:rPr>
      </w:pPr>
    </w:p>
    <w:p w14:paraId="104349B3" w14:textId="77777777" w:rsidR="00FC10E9" w:rsidRDefault="00B10E1A">
      <w:pPr>
        <w:autoSpaceDE w:val="0"/>
        <w:autoSpaceDN w:val="0"/>
        <w:adjustRightInd w:val="0"/>
        <w:spacing w:line="312" w:lineRule="auto"/>
        <w:ind w:left="709"/>
        <w:jc w:val="both"/>
        <w:rPr>
          <w:rFonts w:ascii="Arial" w:hAnsi="Arial" w:cs="Arial"/>
          <w:bCs/>
          <w:sz w:val="22"/>
          <w:szCs w:val="22"/>
        </w:rPr>
      </w:pPr>
      <w:r>
        <w:rPr>
          <w:rFonts w:ascii="Arial" w:hAnsi="Arial" w:cs="Arial"/>
          <w:b/>
          <w:bCs/>
          <w:sz w:val="22"/>
          <w:szCs w:val="22"/>
        </w:rPr>
        <w:t>J =</w:t>
      </w:r>
      <w:r>
        <w:rPr>
          <w:rFonts w:ascii="Arial" w:hAnsi="Arial" w:cs="Arial"/>
          <w:bCs/>
          <w:sz w:val="22"/>
          <w:szCs w:val="22"/>
        </w:rPr>
        <w:t xml:space="preserve"> </w:t>
      </w:r>
      <w:r>
        <w:rPr>
          <w:rFonts w:ascii="Arial" w:hAnsi="Arial" w:cs="Arial"/>
          <w:color w:val="000000" w:themeColor="text1"/>
          <w:sz w:val="22"/>
          <w:szCs w:val="22"/>
        </w:rPr>
        <w:t xml:space="preserve">valor unitário dos Juros Remuneratórios devido ao final do Período de Capitalização (conforme abaixo definido), calculado com 8 (oito) casas decimais, sem arredondamento. </w:t>
      </w:r>
    </w:p>
    <w:p w14:paraId="006F0E94" w14:textId="77777777" w:rsidR="00FC10E9" w:rsidRDefault="00FC10E9">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3F8F003C" w14:textId="77777777" w:rsidR="00FC10E9" w:rsidRDefault="00B10E1A">
      <w:pPr>
        <w:autoSpaceDE w:val="0"/>
        <w:autoSpaceDN w:val="0"/>
        <w:adjustRightInd w:val="0"/>
        <w:spacing w:line="312" w:lineRule="auto"/>
        <w:ind w:left="709"/>
        <w:jc w:val="both"/>
        <w:rPr>
          <w:rFonts w:ascii="Arial" w:eastAsia="Arial Unicode MS" w:hAnsi="Arial" w:cs="Arial"/>
          <w:bCs/>
          <w:sz w:val="22"/>
          <w:szCs w:val="22"/>
        </w:rPr>
      </w:pPr>
      <w:proofErr w:type="spellStart"/>
      <w:r>
        <w:rPr>
          <w:rFonts w:ascii="Arial" w:hAnsi="Arial" w:cs="Arial"/>
          <w:b/>
          <w:bCs/>
          <w:sz w:val="22"/>
          <w:szCs w:val="22"/>
        </w:rPr>
        <w:t>VNe</w:t>
      </w:r>
      <w:proofErr w:type="spellEnd"/>
      <w:r>
        <w:rPr>
          <w:rFonts w:ascii="Arial" w:hAnsi="Arial" w:cs="Arial"/>
          <w:b/>
          <w:bCs/>
          <w:sz w:val="22"/>
          <w:szCs w:val="22"/>
        </w:rPr>
        <w:t xml:space="preserve"> =</w:t>
      </w:r>
      <w:r>
        <w:rPr>
          <w:rFonts w:ascii="Arial" w:hAnsi="Arial" w:cs="Arial"/>
          <w:bCs/>
          <w:sz w:val="22"/>
          <w:szCs w:val="22"/>
        </w:rPr>
        <w:t xml:space="preserve"> Valor Nominal Unitário ou saldo do Valor Nominal Unitário da Debênture, informado/calculado com 8 (oito) casas decimais, sem arredondamento.</w:t>
      </w:r>
    </w:p>
    <w:p w14:paraId="6C08C7AD" w14:textId="77777777" w:rsidR="00FC10E9" w:rsidRDefault="00FC10E9">
      <w:pPr>
        <w:autoSpaceDE w:val="0"/>
        <w:autoSpaceDN w:val="0"/>
        <w:adjustRightInd w:val="0"/>
        <w:spacing w:line="312" w:lineRule="auto"/>
        <w:jc w:val="both"/>
        <w:rPr>
          <w:rFonts w:ascii="Arial" w:hAnsi="Arial" w:cs="Arial"/>
          <w:bCs/>
          <w:sz w:val="22"/>
          <w:szCs w:val="22"/>
        </w:rPr>
      </w:pPr>
    </w:p>
    <w:p w14:paraId="27E120E6" w14:textId="77777777" w:rsidR="00FC10E9" w:rsidRDefault="00B10E1A">
      <w:pPr>
        <w:autoSpaceDE w:val="0"/>
        <w:autoSpaceDN w:val="0"/>
        <w:adjustRightInd w:val="0"/>
        <w:spacing w:line="312" w:lineRule="auto"/>
        <w:ind w:left="709"/>
        <w:jc w:val="both"/>
        <w:rPr>
          <w:rFonts w:ascii="Arial" w:hAnsi="Arial" w:cs="Arial"/>
          <w:bCs/>
          <w:sz w:val="22"/>
          <w:szCs w:val="22"/>
        </w:rPr>
      </w:pPr>
      <w:r>
        <w:rPr>
          <w:rFonts w:ascii="Arial" w:hAnsi="Arial" w:cs="Arial"/>
          <w:b/>
          <w:bCs/>
          <w:sz w:val="22"/>
          <w:szCs w:val="22"/>
        </w:rPr>
        <w:t>Fator Juros =</w:t>
      </w:r>
      <w:r>
        <w:rPr>
          <w:rFonts w:ascii="Arial" w:hAnsi="Arial" w:cs="Arial"/>
          <w:bCs/>
          <w:sz w:val="22"/>
          <w:szCs w:val="22"/>
        </w:rPr>
        <w:t xml:space="preserve"> fator de juros composto pelo parâmetro de flutuação acrescido de </w:t>
      </w:r>
      <w:r>
        <w:rPr>
          <w:rFonts w:ascii="Arial" w:hAnsi="Arial" w:cs="Arial"/>
          <w:bCs/>
          <w:i/>
          <w:sz w:val="22"/>
          <w:szCs w:val="22"/>
        </w:rPr>
        <w:t xml:space="preserve">spread </w:t>
      </w:r>
      <w:r>
        <w:rPr>
          <w:rFonts w:ascii="Arial" w:hAnsi="Arial" w:cs="Arial"/>
          <w:sz w:val="22"/>
          <w:szCs w:val="22"/>
        </w:rPr>
        <w:t>calculado com 9 (nove) casas decimais, com arredondamento, apurado da seguinte forma:</w:t>
      </w:r>
    </w:p>
    <w:p w14:paraId="02B7E483" w14:textId="77777777" w:rsidR="00FC10E9" w:rsidRDefault="00FC10E9">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63C6179B" w14:textId="77777777" w:rsidR="00FC10E9" w:rsidRDefault="00B10E1A">
      <w:pPr>
        <w:pStyle w:val="EstiloEstilo2NegritoJustificado"/>
        <w:widowControl w:val="0"/>
        <w:numPr>
          <w:ilvl w:val="0"/>
          <w:numId w:val="0"/>
        </w:numPr>
        <w:tabs>
          <w:tab w:val="left" w:pos="709"/>
        </w:tabs>
        <w:spacing w:line="312" w:lineRule="auto"/>
        <w:ind w:left="709"/>
        <w:jc w:val="center"/>
        <w:outlineLvl w:val="1"/>
        <w:rPr>
          <w:rFonts w:ascii="Arial" w:eastAsia="Arial Unicode MS" w:hAnsi="Arial" w:cs="Arial"/>
          <w:color w:val="auto"/>
          <w:szCs w:val="22"/>
        </w:rPr>
      </w:pPr>
      <w:r>
        <w:rPr>
          <w:rFonts w:ascii="Arial" w:eastAsia="Arial Unicode MS" w:hAnsi="Arial" w:cs="Arial"/>
          <w:color w:val="auto"/>
          <w:szCs w:val="22"/>
        </w:rPr>
        <w:t>Fator Juros = (Fator DI x Fator Spread)</w:t>
      </w:r>
    </w:p>
    <w:p w14:paraId="418480FC" w14:textId="77777777" w:rsidR="00FC10E9" w:rsidRDefault="00FC10E9">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13550EB4" w14:textId="77777777" w:rsidR="00FC10E9" w:rsidRDefault="00B10E1A">
      <w:pPr>
        <w:autoSpaceDE w:val="0"/>
        <w:autoSpaceDN w:val="0"/>
        <w:adjustRightInd w:val="0"/>
        <w:spacing w:line="312" w:lineRule="auto"/>
        <w:ind w:left="709"/>
        <w:jc w:val="both"/>
        <w:rPr>
          <w:rFonts w:ascii="Arial" w:eastAsia="Arial Unicode MS" w:hAnsi="Arial" w:cs="Arial"/>
          <w:bCs/>
          <w:sz w:val="22"/>
          <w:szCs w:val="22"/>
        </w:rPr>
      </w:pPr>
      <w:r>
        <w:rPr>
          <w:rFonts w:ascii="Arial" w:hAnsi="Arial" w:cs="Arial"/>
          <w:bCs/>
          <w:sz w:val="22"/>
          <w:szCs w:val="22"/>
        </w:rPr>
        <w:t>onde:</w:t>
      </w:r>
    </w:p>
    <w:p w14:paraId="4121C9FC" w14:textId="77777777" w:rsidR="00FC10E9" w:rsidRDefault="00FC10E9">
      <w:pPr>
        <w:autoSpaceDE w:val="0"/>
        <w:autoSpaceDN w:val="0"/>
        <w:adjustRightInd w:val="0"/>
        <w:spacing w:line="312" w:lineRule="auto"/>
        <w:ind w:left="709"/>
        <w:jc w:val="both"/>
        <w:rPr>
          <w:rFonts w:ascii="Arial" w:hAnsi="Arial" w:cs="Arial"/>
          <w:bCs/>
          <w:sz w:val="22"/>
          <w:szCs w:val="22"/>
        </w:rPr>
      </w:pPr>
    </w:p>
    <w:p w14:paraId="484EA409" w14:textId="77777777" w:rsidR="00FC10E9" w:rsidRDefault="00B10E1A">
      <w:pPr>
        <w:autoSpaceDE w:val="0"/>
        <w:autoSpaceDN w:val="0"/>
        <w:adjustRightInd w:val="0"/>
        <w:spacing w:line="312" w:lineRule="auto"/>
        <w:ind w:left="709"/>
        <w:jc w:val="both"/>
        <w:rPr>
          <w:rFonts w:ascii="Arial" w:hAnsi="Arial" w:cs="Arial"/>
          <w:bCs/>
          <w:sz w:val="22"/>
          <w:szCs w:val="22"/>
        </w:rPr>
      </w:pPr>
      <w:r>
        <w:rPr>
          <w:rFonts w:ascii="Arial" w:hAnsi="Arial" w:cs="Arial"/>
          <w:b/>
          <w:bCs/>
          <w:sz w:val="22"/>
          <w:szCs w:val="22"/>
        </w:rPr>
        <w:t>Fator DI =</w:t>
      </w:r>
      <w:r>
        <w:rPr>
          <w:rFonts w:ascii="Arial" w:hAnsi="Arial" w:cs="Arial"/>
          <w:bCs/>
          <w:sz w:val="22"/>
          <w:szCs w:val="22"/>
        </w:rPr>
        <w:t xml:space="preserve"> </w:t>
      </w:r>
      <w:proofErr w:type="spellStart"/>
      <w:r>
        <w:rPr>
          <w:rFonts w:ascii="Arial" w:hAnsi="Arial" w:cs="Arial"/>
          <w:bCs/>
          <w:sz w:val="22"/>
          <w:szCs w:val="22"/>
        </w:rPr>
        <w:t>produtório</w:t>
      </w:r>
      <w:proofErr w:type="spellEnd"/>
      <w:r>
        <w:rPr>
          <w:rFonts w:ascii="Arial" w:hAnsi="Arial" w:cs="Arial"/>
          <w:bCs/>
          <w:sz w:val="22"/>
          <w:szCs w:val="22"/>
        </w:rPr>
        <w:t xml:space="preserve"> das taxas </w:t>
      </w:r>
      <w:proofErr w:type="spellStart"/>
      <w:r>
        <w:rPr>
          <w:rFonts w:ascii="Arial" w:hAnsi="Arial" w:cs="Arial"/>
          <w:bCs/>
          <w:sz w:val="22"/>
          <w:szCs w:val="22"/>
        </w:rPr>
        <w:t>DI-Over</w:t>
      </w:r>
      <w:proofErr w:type="spellEnd"/>
      <w:r>
        <w:rPr>
          <w:rFonts w:ascii="Arial" w:hAnsi="Arial" w:cs="Arial"/>
          <w:bCs/>
          <w:sz w:val="22"/>
          <w:szCs w:val="22"/>
        </w:rPr>
        <w:t xml:space="preserve">, com uso de percentual aplicado, da data de início do Período de Capitalização, inclusive, até a data de cálculo, exclusive, calculado com 8 (oito) </w:t>
      </w:r>
      <w:r>
        <w:rPr>
          <w:rFonts w:ascii="Arial" w:hAnsi="Arial" w:cs="Arial"/>
          <w:sz w:val="22"/>
          <w:szCs w:val="22"/>
        </w:rPr>
        <w:t>casas decimais, com arredondamento, apurado da seguinte forma:</w:t>
      </w:r>
    </w:p>
    <w:p w14:paraId="0BF7BECC" w14:textId="77777777" w:rsidR="00FC10E9" w:rsidRDefault="00FC10E9">
      <w:pPr>
        <w:pStyle w:val="EstiloEstilo2NegritoJustificado"/>
        <w:widowControl w:val="0"/>
        <w:numPr>
          <w:ilvl w:val="0"/>
          <w:numId w:val="0"/>
        </w:numPr>
        <w:tabs>
          <w:tab w:val="left" w:pos="709"/>
        </w:tabs>
        <w:spacing w:line="312" w:lineRule="auto"/>
        <w:outlineLvl w:val="1"/>
        <w:rPr>
          <w:rFonts w:ascii="Arial" w:eastAsia="Arial Unicode MS" w:hAnsi="Arial" w:cs="Arial"/>
          <w:color w:val="auto"/>
          <w:szCs w:val="22"/>
        </w:rPr>
      </w:pPr>
    </w:p>
    <w:p w14:paraId="3A5F3D33" w14:textId="77777777" w:rsidR="00FC10E9" w:rsidRDefault="00B10E1A">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r>
        <w:rPr>
          <w:rFonts w:ascii="Arial" w:eastAsia="Arial Unicode MS" w:hAnsi="Arial" w:cs="Arial"/>
          <w:noProof/>
          <w:color w:val="auto"/>
          <w:szCs w:val="22"/>
        </w:rPr>
        <w:drawing>
          <wp:inline distT="0" distB="0" distL="0" distR="0" wp14:anchorId="1F815244" wp14:editId="3F3DADA8">
            <wp:extent cx="2466975" cy="53340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6975" cy="533400"/>
                    </a:xfrm>
                    <a:prstGeom prst="rect">
                      <a:avLst/>
                    </a:prstGeom>
                    <a:noFill/>
                    <a:ln>
                      <a:noFill/>
                    </a:ln>
                  </pic:spPr>
                </pic:pic>
              </a:graphicData>
            </a:graphic>
          </wp:inline>
        </w:drawing>
      </w:r>
    </w:p>
    <w:p w14:paraId="72BBA3FE" w14:textId="77777777" w:rsidR="00FC10E9" w:rsidRDefault="00FC10E9">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p>
    <w:p w14:paraId="238F38A4" w14:textId="77777777" w:rsidR="00FC10E9" w:rsidRDefault="00B10E1A">
      <w:pPr>
        <w:autoSpaceDE w:val="0"/>
        <w:autoSpaceDN w:val="0"/>
        <w:adjustRightInd w:val="0"/>
        <w:spacing w:line="312" w:lineRule="auto"/>
        <w:ind w:left="709"/>
        <w:jc w:val="both"/>
        <w:rPr>
          <w:rFonts w:ascii="Arial" w:eastAsia="Arial Unicode MS" w:hAnsi="Arial" w:cs="Arial"/>
          <w:bCs/>
          <w:sz w:val="22"/>
          <w:szCs w:val="22"/>
        </w:rPr>
      </w:pPr>
      <w:r>
        <w:rPr>
          <w:rFonts w:ascii="Arial" w:hAnsi="Arial" w:cs="Arial"/>
          <w:bCs/>
          <w:sz w:val="22"/>
          <w:szCs w:val="22"/>
        </w:rPr>
        <w:t>onde:</w:t>
      </w:r>
    </w:p>
    <w:p w14:paraId="487CBEAC" w14:textId="77777777" w:rsidR="00FC10E9" w:rsidRDefault="00FC10E9">
      <w:pPr>
        <w:autoSpaceDE w:val="0"/>
        <w:autoSpaceDN w:val="0"/>
        <w:adjustRightInd w:val="0"/>
        <w:spacing w:line="312" w:lineRule="auto"/>
        <w:ind w:left="709"/>
        <w:jc w:val="center"/>
        <w:rPr>
          <w:rFonts w:ascii="Arial" w:hAnsi="Arial" w:cs="Arial"/>
          <w:bCs/>
          <w:sz w:val="22"/>
          <w:szCs w:val="22"/>
        </w:rPr>
      </w:pPr>
    </w:p>
    <w:p w14:paraId="74ABB72E" w14:textId="77777777" w:rsidR="00FC10E9" w:rsidRDefault="00B10E1A">
      <w:pPr>
        <w:autoSpaceDE w:val="0"/>
        <w:autoSpaceDN w:val="0"/>
        <w:adjustRightInd w:val="0"/>
        <w:spacing w:line="312" w:lineRule="auto"/>
        <w:ind w:left="709"/>
        <w:jc w:val="both"/>
        <w:rPr>
          <w:rFonts w:ascii="Arial" w:hAnsi="Arial" w:cs="Arial"/>
          <w:bCs/>
          <w:sz w:val="22"/>
          <w:szCs w:val="22"/>
        </w:rPr>
      </w:pPr>
      <w:proofErr w:type="spellStart"/>
      <w:r>
        <w:rPr>
          <w:rFonts w:ascii="Arial" w:hAnsi="Arial" w:cs="Arial"/>
          <w:b/>
          <w:bCs/>
          <w:sz w:val="22"/>
          <w:szCs w:val="22"/>
        </w:rPr>
        <w:t>nDI</w:t>
      </w:r>
      <w:proofErr w:type="spellEnd"/>
      <w:r>
        <w:rPr>
          <w:rFonts w:ascii="Arial" w:hAnsi="Arial" w:cs="Arial"/>
          <w:b/>
          <w:bCs/>
          <w:sz w:val="22"/>
          <w:szCs w:val="22"/>
        </w:rPr>
        <w:t xml:space="preserve"> =</w:t>
      </w:r>
      <w:r>
        <w:rPr>
          <w:rFonts w:ascii="Arial" w:hAnsi="Arial" w:cs="Arial"/>
          <w:bCs/>
          <w:sz w:val="22"/>
          <w:szCs w:val="22"/>
        </w:rPr>
        <w:t xml:space="preserve"> número total de taxas </w:t>
      </w:r>
      <w:proofErr w:type="spellStart"/>
      <w:r>
        <w:rPr>
          <w:rFonts w:ascii="Arial" w:hAnsi="Arial" w:cs="Arial"/>
          <w:bCs/>
          <w:sz w:val="22"/>
          <w:szCs w:val="22"/>
        </w:rPr>
        <w:t>DI-Over</w:t>
      </w:r>
      <w:proofErr w:type="spellEnd"/>
      <w:r>
        <w:rPr>
          <w:rFonts w:ascii="Arial" w:hAnsi="Arial" w:cs="Arial"/>
          <w:bCs/>
          <w:sz w:val="22"/>
          <w:szCs w:val="22"/>
        </w:rPr>
        <w:t>, consideradas na atualização do ativo, sendo “</w:t>
      </w:r>
      <w:proofErr w:type="spellStart"/>
      <w:r>
        <w:rPr>
          <w:rFonts w:ascii="Arial" w:hAnsi="Arial" w:cs="Arial"/>
          <w:bCs/>
          <w:sz w:val="22"/>
          <w:szCs w:val="22"/>
        </w:rPr>
        <w:t>nDI</w:t>
      </w:r>
      <w:proofErr w:type="spellEnd"/>
      <w:r>
        <w:rPr>
          <w:rFonts w:ascii="Arial" w:hAnsi="Arial" w:cs="Arial"/>
          <w:bCs/>
          <w:sz w:val="22"/>
          <w:szCs w:val="22"/>
        </w:rPr>
        <w:t>” um número inteiro.</w:t>
      </w:r>
    </w:p>
    <w:p w14:paraId="7A9F52B9" w14:textId="77777777" w:rsidR="00FC10E9" w:rsidRDefault="00FC10E9">
      <w:pPr>
        <w:autoSpaceDE w:val="0"/>
        <w:autoSpaceDN w:val="0"/>
        <w:adjustRightInd w:val="0"/>
        <w:spacing w:line="312" w:lineRule="auto"/>
        <w:ind w:left="709"/>
        <w:jc w:val="both"/>
        <w:rPr>
          <w:rFonts w:ascii="Arial" w:hAnsi="Arial" w:cs="Arial"/>
          <w:bCs/>
          <w:sz w:val="22"/>
          <w:szCs w:val="22"/>
        </w:rPr>
      </w:pPr>
    </w:p>
    <w:p w14:paraId="4D357C84" w14:textId="77777777" w:rsidR="00FC10E9" w:rsidRDefault="00B10E1A">
      <w:pPr>
        <w:autoSpaceDE w:val="0"/>
        <w:autoSpaceDN w:val="0"/>
        <w:adjustRightInd w:val="0"/>
        <w:spacing w:line="312" w:lineRule="auto"/>
        <w:ind w:left="709"/>
        <w:jc w:val="both"/>
        <w:rPr>
          <w:rFonts w:ascii="Arial" w:hAnsi="Arial" w:cs="Arial"/>
          <w:bCs/>
          <w:sz w:val="22"/>
          <w:szCs w:val="22"/>
        </w:rPr>
      </w:pPr>
      <w:proofErr w:type="spellStart"/>
      <w:r>
        <w:rPr>
          <w:rFonts w:ascii="Arial" w:hAnsi="Arial" w:cs="Arial"/>
          <w:b/>
          <w:bCs/>
          <w:sz w:val="22"/>
          <w:szCs w:val="22"/>
        </w:rPr>
        <w:t>TDIk</w:t>
      </w:r>
      <w:proofErr w:type="spellEnd"/>
      <w:r>
        <w:rPr>
          <w:rFonts w:ascii="Arial" w:hAnsi="Arial" w:cs="Arial"/>
          <w:b/>
          <w:bCs/>
          <w:sz w:val="22"/>
          <w:szCs w:val="22"/>
        </w:rPr>
        <w:t xml:space="preserve"> =</w:t>
      </w:r>
      <w:r>
        <w:rPr>
          <w:rFonts w:ascii="Arial" w:hAnsi="Arial" w:cs="Arial"/>
          <w:bCs/>
          <w:sz w:val="22"/>
          <w:szCs w:val="22"/>
        </w:rPr>
        <w:t xml:space="preserve"> taxa </w:t>
      </w:r>
      <w:proofErr w:type="spellStart"/>
      <w:r>
        <w:rPr>
          <w:rFonts w:ascii="Arial" w:hAnsi="Arial" w:cs="Arial"/>
          <w:bCs/>
          <w:sz w:val="22"/>
          <w:szCs w:val="22"/>
        </w:rPr>
        <w:t>DI-Over</w:t>
      </w:r>
      <w:proofErr w:type="spellEnd"/>
      <w:r>
        <w:rPr>
          <w:rFonts w:ascii="Arial" w:hAnsi="Arial" w:cs="Arial"/>
          <w:bCs/>
          <w:sz w:val="22"/>
          <w:szCs w:val="22"/>
        </w:rPr>
        <w:t xml:space="preserve">, expressa ao dia, calculada com 8 (oito) casas decimais com </w:t>
      </w:r>
      <w:r>
        <w:rPr>
          <w:rFonts w:ascii="Arial" w:hAnsi="Arial" w:cs="Arial"/>
          <w:sz w:val="22"/>
          <w:szCs w:val="22"/>
        </w:rPr>
        <w:t>arredondamento, apurada da seguinte forma:</w:t>
      </w:r>
    </w:p>
    <w:p w14:paraId="17F6B0CB" w14:textId="77777777" w:rsidR="00FC10E9" w:rsidRDefault="00FC10E9">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p>
    <w:p w14:paraId="6DE9113E" w14:textId="77777777" w:rsidR="00FC10E9" w:rsidRDefault="00B10E1A">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r>
        <w:rPr>
          <w:rFonts w:ascii="Arial" w:eastAsia="Arial Unicode MS" w:hAnsi="Arial" w:cs="Arial"/>
          <w:noProof/>
          <w:color w:val="auto"/>
          <w:szCs w:val="22"/>
        </w:rPr>
        <w:drawing>
          <wp:inline distT="0" distB="0" distL="0" distR="0" wp14:anchorId="3C3BCD4A" wp14:editId="5D3F5FC1">
            <wp:extent cx="1704975" cy="695325"/>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4975" cy="695325"/>
                    </a:xfrm>
                    <a:prstGeom prst="rect">
                      <a:avLst/>
                    </a:prstGeom>
                    <a:noFill/>
                    <a:ln>
                      <a:noFill/>
                    </a:ln>
                  </pic:spPr>
                </pic:pic>
              </a:graphicData>
            </a:graphic>
          </wp:inline>
        </w:drawing>
      </w:r>
    </w:p>
    <w:p w14:paraId="21476BE4" w14:textId="77777777" w:rsidR="00FC10E9" w:rsidRDefault="00FC10E9">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p>
    <w:p w14:paraId="4C02C0C0" w14:textId="77777777" w:rsidR="00FC10E9" w:rsidRDefault="00B10E1A">
      <w:pPr>
        <w:autoSpaceDE w:val="0"/>
        <w:autoSpaceDN w:val="0"/>
        <w:adjustRightInd w:val="0"/>
        <w:spacing w:line="312" w:lineRule="auto"/>
        <w:ind w:left="709"/>
        <w:jc w:val="both"/>
        <w:rPr>
          <w:rFonts w:ascii="Arial" w:eastAsia="Arial Unicode MS" w:hAnsi="Arial" w:cs="Arial"/>
          <w:bCs/>
          <w:sz w:val="22"/>
          <w:szCs w:val="22"/>
        </w:rPr>
      </w:pPr>
      <w:r>
        <w:rPr>
          <w:rFonts w:ascii="Arial" w:hAnsi="Arial" w:cs="Arial"/>
          <w:bCs/>
          <w:sz w:val="22"/>
          <w:szCs w:val="22"/>
        </w:rPr>
        <w:t>onde:</w:t>
      </w:r>
    </w:p>
    <w:p w14:paraId="20A96510" w14:textId="77777777" w:rsidR="00FC10E9" w:rsidRDefault="00FC10E9">
      <w:pPr>
        <w:autoSpaceDE w:val="0"/>
        <w:autoSpaceDN w:val="0"/>
        <w:adjustRightInd w:val="0"/>
        <w:spacing w:line="312" w:lineRule="auto"/>
        <w:ind w:left="709"/>
        <w:jc w:val="center"/>
        <w:rPr>
          <w:rFonts w:ascii="Arial" w:hAnsi="Arial" w:cs="Arial"/>
          <w:bCs/>
          <w:sz w:val="22"/>
          <w:szCs w:val="22"/>
        </w:rPr>
      </w:pPr>
    </w:p>
    <w:p w14:paraId="1D96CC17" w14:textId="77777777" w:rsidR="00FC10E9" w:rsidRDefault="00B10E1A">
      <w:pPr>
        <w:autoSpaceDE w:val="0"/>
        <w:autoSpaceDN w:val="0"/>
        <w:adjustRightInd w:val="0"/>
        <w:spacing w:line="312" w:lineRule="auto"/>
        <w:ind w:left="709"/>
        <w:jc w:val="both"/>
        <w:rPr>
          <w:rFonts w:ascii="Arial" w:hAnsi="Arial" w:cs="Arial"/>
          <w:bCs/>
          <w:sz w:val="22"/>
          <w:szCs w:val="22"/>
        </w:rPr>
      </w:pPr>
      <w:proofErr w:type="spellStart"/>
      <w:r>
        <w:rPr>
          <w:rFonts w:ascii="Arial" w:hAnsi="Arial" w:cs="Arial"/>
          <w:b/>
          <w:bCs/>
          <w:sz w:val="22"/>
          <w:szCs w:val="22"/>
        </w:rPr>
        <w:t>DIk</w:t>
      </w:r>
      <w:proofErr w:type="spellEnd"/>
      <w:r>
        <w:rPr>
          <w:rFonts w:ascii="Arial" w:hAnsi="Arial" w:cs="Arial"/>
          <w:b/>
          <w:bCs/>
          <w:sz w:val="22"/>
          <w:szCs w:val="22"/>
        </w:rPr>
        <w:t xml:space="preserve"> =</w:t>
      </w:r>
      <w:r>
        <w:rPr>
          <w:rFonts w:ascii="Arial" w:hAnsi="Arial" w:cs="Arial"/>
          <w:bCs/>
          <w:sz w:val="22"/>
          <w:szCs w:val="22"/>
        </w:rPr>
        <w:t xml:space="preserve"> taxa </w:t>
      </w:r>
      <w:proofErr w:type="spellStart"/>
      <w:r>
        <w:rPr>
          <w:rFonts w:ascii="Arial" w:hAnsi="Arial" w:cs="Arial"/>
          <w:bCs/>
          <w:sz w:val="22"/>
          <w:szCs w:val="22"/>
        </w:rPr>
        <w:t>DI-Over</w:t>
      </w:r>
      <w:proofErr w:type="spellEnd"/>
      <w:r>
        <w:rPr>
          <w:rFonts w:ascii="Arial" w:hAnsi="Arial" w:cs="Arial"/>
          <w:bCs/>
          <w:sz w:val="22"/>
          <w:szCs w:val="22"/>
        </w:rPr>
        <w:t>, divulgada pela B3, válida por 1 (um) Dia Útil (overnight), utilizada com 2 (duas) casas decimais.</w:t>
      </w:r>
    </w:p>
    <w:p w14:paraId="3D204774" w14:textId="77777777" w:rsidR="00FC10E9" w:rsidRDefault="00FC10E9">
      <w:pPr>
        <w:autoSpaceDE w:val="0"/>
        <w:autoSpaceDN w:val="0"/>
        <w:adjustRightInd w:val="0"/>
        <w:spacing w:line="312" w:lineRule="auto"/>
        <w:ind w:left="709"/>
        <w:jc w:val="both"/>
        <w:rPr>
          <w:rFonts w:ascii="Arial" w:hAnsi="Arial" w:cs="Arial"/>
          <w:bCs/>
          <w:sz w:val="22"/>
          <w:szCs w:val="22"/>
        </w:rPr>
      </w:pPr>
    </w:p>
    <w:p w14:paraId="1A61F05B" w14:textId="77777777" w:rsidR="00FC10E9" w:rsidRDefault="00B10E1A">
      <w:pPr>
        <w:autoSpaceDE w:val="0"/>
        <w:autoSpaceDN w:val="0"/>
        <w:adjustRightInd w:val="0"/>
        <w:spacing w:line="312" w:lineRule="auto"/>
        <w:ind w:left="709"/>
        <w:jc w:val="both"/>
        <w:rPr>
          <w:rFonts w:ascii="Arial" w:hAnsi="Arial" w:cs="Arial"/>
          <w:bCs/>
          <w:sz w:val="22"/>
          <w:szCs w:val="22"/>
        </w:rPr>
      </w:pPr>
      <w:r>
        <w:rPr>
          <w:rFonts w:ascii="Arial" w:hAnsi="Arial" w:cs="Arial"/>
          <w:b/>
          <w:bCs/>
          <w:sz w:val="22"/>
          <w:szCs w:val="22"/>
        </w:rPr>
        <w:lastRenderedPageBreak/>
        <w:t>Fator Spread =</w:t>
      </w:r>
      <w:r>
        <w:rPr>
          <w:rFonts w:ascii="Arial" w:hAnsi="Arial" w:cs="Arial"/>
          <w:bCs/>
          <w:sz w:val="22"/>
          <w:szCs w:val="22"/>
        </w:rPr>
        <w:t xml:space="preserve"> sobretaxa de juros fixo, calculada com 9 (nove) casas decimais, com arredondamento, apurado da seguinte forma:</w:t>
      </w:r>
    </w:p>
    <w:p w14:paraId="3A4E83EA" w14:textId="77777777" w:rsidR="00FC10E9" w:rsidRDefault="00B10E1A">
      <w:pPr>
        <w:pStyle w:val="Level3"/>
        <w:widowControl w:val="0"/>
        <w:numPr>
          <w:ilvl w:val="0"/>
          <w:numId w:val="0"/>
        </w:numPr>
        <w:tabs>
          <w:tab w:val="left" w:pos="708"/>
        </w:tabs>
        <w:spacing w:after="0" w:line="312" w:lineRule="auto"/>
        <w:ind w:left="709" w:hanging="681"/>
        <w:outlineLvl w:val="9"/>
        <w:rPr>
          <w:b/>
          <w:sz w:val="22"/>
          <w:szCs w:val="22"/>
        </w:rPr>
      </w:pPr>
      <w:r>
        <w:rPr>
          <w:noProof/>
        </w:rPr>
        <w:drawing>
          <wp:anchor distT="0" distB="0" distL="114300" distR="114300" simplePos="0" relativeHeight="251658240" behindDoc="1" locked="0" layoutInCell="1" allowOverlap="1" wp14:anchorId="63496114" wp14:editId="111E20AC">
            <wp:simplePos x="0" y="0"/>
            <wp:positionH relativeFrom="margin">
              <wp:align>center</wp:align>
            </wp:positionH>
            <wp:positionV relativeFrom="paragraph">
              <wp:posOffset>156210</wp:posOffset>
            </wp:positionV>
            <wp:extent cx="2015490" cy="590550"/>
            <wp:effectExtent l="0" t="0" r="3810" b="0"/>
            <wp:wrapTight wrapText="bothSides">
              <wp:wrapPolygon edited="0">
                <wp:start x="0" y="0"/>
                <wp:lineTo x="0" y="20903"/>
                <wp:lineTo x="21437" y="20903"/>
                <wp:lineTo x="21437"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5490" cy="590550"/>
                    </a:xfrm>
                    <a:prstGeom prst="rect">
                      <a:avLst/>
                    </a:prstGeom>
                    <a:noFill/>
                  </pic:spPr>
                </pic:pic>
              </a:graphicData>
            </a:graphic>
            <wp14:sizeRelH relativeFrom="page">
              <wp14:pctWidth>0</wp14:pctWidth>
            </wp14:sizeRelH>
            <wp14:sizeRelV relativeFrom="page">
              <wp14:pctHeight>0</wp14:pctHeight>
            </wp14:sizeRelV>
          </wp:anchor>
        </w:drawing>
      </w:r>
    </w:p>
    <w:p w14:paraId="71276BF7" w14:textId="77777777" w:rsidR="00FC10E9" w:rsidRDefault="00FC10E9">
      <w:pPr>
        <w:pStyle w:val="Level3"/>
        <w:widowControl w:val="0"/>
        <w:numPr>
          <w:ilvl w:val="0"/>
          <w:numId w:val="0"/>
        </w:numPr>
        <w:tabs>
          <w:tab w:val="left" w:pos="708"/>
        </w:tabs>
        <w:spacing w:after="0" w:line="312" w:lineRule="auto"/>
        <w:ind w:left="709" w:hanging="681"/>
        <w:outlineLvl w:val="9"/>
        <w:rPr>
          <w:sz w:val="22"/>
          <w:szCs w:val="22"/>
        </w:rPr>
      </w:pPr>
    </w:p>
    <w:p w14:paraId="1065D945" w14:textId="77777777" w:rsidR="00FC10E9" w:rsidRDefault="00FC10E9">
      <w:pPr>
        <w:pStyle w:val="Level3"/>
        <w:widowControl w:val="0"/>
        <w:numPr>
          <w:ilvl w:val="0"/>
          <w:numId w:val="0"/>
        </w:numPr>
        <w:tabs>
          <w:tab w:val="left" w:pos="708"/>
        </w:tabs>
        <w:spacing w:after="0" w:line="312" w:lineRule="auto"/>
        <w:ind w:left="709" w:hanging="681"/>
        <w:outlineLvl w:val="9"/>
        <w:rPr>
          <w:sz w:val="22"/>
          <w:szCs w:val="22"/>
        </w:rPr>
      </w:pPr>
    </w:p>
    <w:p w14:paraId="2E4CED55" w14:textId="77777777" w:rsidR="00FC10E9" w:rsidRDefault="00B10E1A">
      <w:pPr>
        <w:pStyle w:val="Level3"/>
        <w:widowControl w:val="0"/>
        <w:numPr>
          <w:ilvl w:val="0"/>
          <w:numId w:val="0"/>
        </w:numPr>
        <w:tabs>
          <w:tab w:val="left" w:pos="708"/>
        </w:tabs>
        <w:spacing w:after="0" w:line="312" w:lineRule="auto"/>
        <w:ind w:left="709"/>
        <w:outlineLvl w:val="9"/>
        <w:rPr>
          <w:sz w:val="22"/>
          <w:szCs w:val="22"/>
        </w:rPr>
      </w:pPr>
      <w:r>
        <w:rPr>
          <w:sz w:val="22"/>
          <w:szCs w:val="22"/>
        </w:rPr>
        <w:t>onde:</w:t>
      </w:r>
    </w:p>
    <w:p w14:paraId="5839915F" w14:textId="77777777" w:rsidR="00FC10E9" w:rsidRDefault="00FC10E9">
      <w:pPr>
        <w:pStyle w:val="Level3"/>
        <w:widowControl w:val="0"/>
        <w:numPr>
          <w:ilvl w:val="0"/>
          <w:numId w:val="0"/>
        </w:numPr>
        <w:tabs>
          <w:tab w:val="left" w:pos="708"/>
        </w:tabs>
        <w:spacing w:after="0" w:line="312" w:lineRule="auto"/>
        <w:ind w:left="709"/>
        <w:jc w:val="center"/>
        <w:outlineLvl w:val="9"/>
        <w:rPr>
          <w:sz w:val="22"/>
          <w:szCs w:val="22"/>
        </w:rPr>
      </w:pPr>
    </w:p>
    <w:p w14:paraId="338ACBE5" w14:textId="77777777" w:rsidR="00FC10E9" w:rsidRDefault="00B10E1A">
      <w:pPr>
        <w:pStyle w:val="Level3"/>
        <w:widowControl w:val="0"/>
        <w:numPr>
          <w:ilvl w:val="0"/>
          <w:numId w:val="0"/>
        </w:numPr>
        <w:tabs>
          <w:tab w:val="left" w:pos="708"/>
        </w:tabs>
        <w:spacing w:after="0" w:line="312" w:lineRule="auto"/>
        <w:ind w:left="709"/>
        <w:outlineLvl w:val="9"/>
        <w:rPr>
          <w:sz w:val="22"/>
          <w:szCs w:val="22"/>
        </w:rPr>
      </w:pPr>
      <w:r>
        <w:rPr>
          <w:b/>
          <w:sz w:val="22"/>
          <w:szCs w:val="22"/>
        </w:rPr>
        <w:t xml:space="preserve">Spread </w:t>
      </w:r>
      <w:r>
        <w:rPr>
          <w:sz w:val="22"/>
          <w:szCs w:val="22"/>
        </w:rPr>
        <w:t>= 2,7500</w:t>
      </w:r>
    </w:p>
    <w:p w14:paraId="6EBCD69F" w14:textId="77777777" w:rsidR="00FC10E9" w:rsidRDefault="00FC10E9">
      <w:pPr>
        <w:pStyle w:val="Level3"/>
        <w:widowControl w:val="0"/>
        <w:numPr>
          <w:ilvl w:val="0"/>
          <w:numId w:val="0"/>
        </w:numPr>
        <w:tabs>
          <w:tab w:val="left" w:pos="708"/>
        </w:tabs>
        <w:spacing w:after="0" w:line="312" w:lineRule="auto"/>
        <w:ind w:left="709"/>
        <w:jc w:val="center"/>
        <w:outlineLvl w:val="9"/>
        <w:rPr>
          <w:sz w:val="22"/>
          <w:szCs w:val="22"/>
        </w:rPr>
      </w:pPr>
    </w:p>
    <w:p w14:paraId="5D828812" w14:textId="77777777" w:rsidR="00FC10E9" w:rsidRDefault="00B10E1A">
      <w:pPr>
        <w:pStyle w:val="Level3"/>
        <w:widowControl w:val="0"/>
        <w:numPr>
          <w:ilvl w:val="0"/>
          <w:numId w:val="0"/>
        </w:numPr>
        <w:tabs>
          <w:tab w:val="left" w:pos="708"/>
        </w:tabs>
        <w:spacing w:after="0" w:line="312" w:lineRule="auto"/>
        <w:ind w:left="709"/>
        <w:outlineLvl w:val="9"/>
        <w:rPr>
          <w:sz w:val="22"/>
          <w:szCs w:val="22"/>
        </w:rPr>
      </w:pPr>
      <w:r>
        <w:rPr>
          <w:b/>
          <w:sz w:val="22"/>
          <w:szCs w:val="22"/>
        </w:rPr>
        <w:t>n =</w:t>
      </w:r>
      <w:r>
        <w:rPr>
          <w:sz w:val="22"/>
          <w:szCs w:val="22"/>
        </w:rPr>
        <w:t xml:space="preserve"> número de Dias Úteis entre a data do próximo Período de Capitalização (conforme abaixo definido) e a data do evento anterior, sendo “n” um número inteiro.</w:t>
      </w:r>
    </w:p>
    <w:p w14:paraId="73AB138C" w14:textId="77777777" w:rsidR="00FC10E9" w:rsidRDefault="00FC10E9">
      <w:pPr>
        <w:pStyle w:val="Level3"/>
        <w:widowControl w:val="0"/>
        <w:numPr>
          <w:ilvl w:val="0"/>
          <w:numId w:val="0"/>
        </w:numPr>
        <w:tabs>
          <w:tab w:val="left" w:pos="708"/>
        </w:tabs>
        <w:spacing w:after="0" w:line="312" w:lineRule="auto"/>
        <w:ind w:left="709"/>
        <w:outlineLvl w:val="9"/>
        <w:rPr>
          <w:sz w:val="22"/>
          <w:szCs w:val="22"/>
        </w:rPr>
      </w:pPr>
    </w:p>
    <w:p w14:paraId="0519C91D" w14:textId="77777777" w:rsidR="00FC10E9" w:rsidRDefault="00B10E1A">
      <w:pPr>
        <w:pStyle w:val="Level3"/>
        <w:widowControl w:val="0"/>
        <w:numPr>
          <w:ilvl w:val="0"/>
          <w:numId w:val="0"/>
        </w:numPr>
        <w:tabs>
          <w:tab w:val="left" w:pos="708"/>
        </w:tabs>
        <w:spacing w:after="0" w:line="312" w:lineRule="auto"/>
        <w:ind w:left="709"/>
        <w:outlineLvl w:val="9"/>
        <w:rPr>
          <w:sz w:val="22"/>
          <w:szCs w:val="22"/>
        </w:rPr>
      </w:pPr>
      <w:r>
        <w:rPr>
          <w:b/>
          <w:sz w:val="22"/>
          <w:szCs w:val="22"/>
        </w:rPr>
        <w:t>DT =</w:t>
      </w:r>
      <w:r>
        <w:rPr>
          <w:sz w:val="22"/>
          <w:szCs w:val="22"/>
        </w:rPr>
        <w:t xml:space="preserve"> número de Dias Úteis entre o último e o próximo Período de Capitalização (conforme abaixo definido), sendo “DT” um número inteiro.</w:t>
      </w:r>
    </w:p>
    <w:p w14:paraId="49451CB3" w14:textId="77777777" w:rsidR="00FC10E9" w:rsidRDefault="00FC10E9">
      <w:pPr>
        <w:pStyle w:val="Level2"/>
        <w:widowControl w:val="0"/>
        <w:numPr>
          <w:ilvl w:val="0"/>
          <w:numId w:val="0"/>
        </w:numPr>
        <w:tabs>
          <w:tab w:val="left" w:pos="708"/>
        </w:tabs>
        <w:autoSpaceDE w:val="0"/>
        <w:autoSpaceDN w:val="0"/>
        <w:adjustRightInd w:val="0"/>
        <w:spacing w:after="0" w:line="312" w:lineRule="auto"/>
        <w:outlineLvl w:val="9"/>
        <w:rPr>
          <w:rFonts w:cs="Arial"/>
          <w:sz w:val="22"/>
          <w:szCs w:val="22"/>
        </w:rPr>
      </w:pPr>
    </w:p>
    <w:p w14:paraId="7B6ADD95" w14:textId="77777777" w:rsidR="00FC10E9" w:rsidRDefault="00B10E1A">
      <w:pPr>
        <w:pStyle w:val="Level2"/>
        <w:widowControl w:val="0"/>
        <w:numPr>
          <w:ilvl w:val="0"/>
          <w:numId w:val="0"/>
        </w:numPr>
        <w:tabs>
          <w:tab w:val="left" w:pos="708"/>
        </w:tabs>
        <w:autoSpaceDE w:val="0"/>
        <w:autoSpaceDN w:val="0"/>
        <w:adjustRightInd w:val="0"/>
        <w:spacing w:after="0" w:line="312" w:lineRule="auto"/>
        <w:ind w:left="709"/>
        <w:outlineLvl w:val="9"/>
        <w:rPr>
          <w:rFonts w:cs="Arial"/>
          <w:sz w:val="22"/>
          <w:szCs w:val="22"/>
        </w:rPr>
      </w:pPr>
      <w:r>
        <w:rPr>
          <w:rFonts w:cs="Arial"/>
          <w:b/>
          <w:sz w:val="22"/>
          <w:szCs w:val="22"/>
        </w:rPr>
        <w:t>DP =</w:t>
      </w:r>
      <w:r>
        <w:rPr>
          <w:rFonts w:cs="Arial"/>
          <w:sz w:val="22"/>
          <w:szCs w:val="22"/>
        </w:rPr>
        <w:t xml:space="preserve"> número de Dias Úteis entre o último Período de Capitalização e a data atual, sendo “DP” um número inteiro.</w:t>
      </w:r>
    </w:p>
    <w:p w14:paraId="4DC3A62C" w14:textId="77777777" w:rsidR="00FC10E9" w:rsidRDefault="00FC10E9">
      <w:pPr>
        <w:keepNext/>
        <w:spacing w:line="300" w:lineRule="atLeast"/>
        <w:jc w:val="both"/>
        <w:rPr>
          <w:rFonts w:ascii="Arial" w:hAnsi="Arial" w:cs="Arial"/>
          <w:color w:val="000000"/>
          <w:sz w:val="22"/>
          <w:szCs w:val="22"/>
        </w:rPr>
      </w:pPr>
    </w:p>
    <w:p w14:paraId="65CAC85D" w14:textId="77777777" w:rsidR="00FC10E9" w:rsidRDefault="00B10E1A">
      <w:pPr>
        <w:keepNext/>
        <w:numPr>
          <w:ilvl w:val="4"/>
          <w:numId w:val="49"/>
        </w:numPr>
        <w:spacing w:line="300" w:lineRule="atLeast"/>
        <w:ind w:left="709" w:firstLine="0"/>
        <w:jc w:val="both"/>
        <w:rPr>
          <w:rFonts w:ascii="Arial" w:hAnsi="Arial" w:cs="Arial"/>
          <w:color w:val="000000"/>
          <w:sz w:val="22"/>
          <w:szCs w:val="22"/>
        </w:rPr>
      </w:pPr>
      <w:r>
        <w:rPr>
          <w:rFonts w:ascii="Arial" w:hAnsi="Arial" w:cs="Arial"/>
          <w:color w:val="000000"/>
          <w:sz w:val="22"/>
          <w:szCs w:val="22"/>
          <w:u w:val="single"/>
        </w:rPr>
        <w:t>Observações</w:t>
      </w:r>
      <w:r>
        <w:rPr>
          <w:rFonts w:ascii="Arial" w:hAnsi="Arial" w:cs="Arial"/>
          <w:color w:val="000000"/>
          <w:sz w:val="22"/>
          <w:szCs w:val="22"/>
        </w:rPr>
        <w:t>:</w:t>
      </w:r>
    </w:p>
    <w:p w14:paraId="2F758495" w14:textId="77777777" w:rsidR="00FC10E9" w:rsidRDefault="00FC10E9">
      <w:pPr>
        <w:keepNext/>
        <w:spacing w:line="300" w:lineRule="atLeast"/>
        <w:ind w:left="709"/>
        <w:jc w:val="both"/>
        <w:rPr>
          <w:rFonts w:ascii="Arial" w:hAnsi="Arial" w:cs="Arial"/>
          <w:color w:val="000000"/>
          <w:sz w:val="22"/>
          <w:szCs w:val="22"/>
        </w:rPr>
      </w:pPr>
    </w:p>
    <w:p w14:paraId="4A6C1814" w14:textId="77777777" w:rsidR="00FC10E9" w:rsidRDefault="00B10E1A">
      <w:pPr>
        <w:keepNext/>
        <w:numPr>
          <w:ilvl w:val="0"/>
          <w:numId w:val="9"/>
        </w:numPr>
        <w:tabs>
          <w:tab w:val="clear" w:pos="1080"/>
          <w:tab w:val="left" w:pos="1560"/>
        </w:tabs>
        <w:spacing w:line="300" w:lineRule="atLeast"/>
        <w:ind w:left="709" w:firstLine="0"/>
        <w:jc w:val="both"/>
        <w:rPr>
          <w:rFonts w:ascii="Arial" w:hAnsi="Arial" w:cs="Arial"/>
          <w:color w:val="000000"/>
          <w:sz w:val="22"/>
          <w:szCs w:val="22"/>
        </w:rPr>
      </w:pPr>
      <w:r>
        <w:rPr>
          <w:rFonts w:ascii="Arial" w:hAnsi="Arial" w:cs="Arial"/>
          <w:sz w:val="22"/>
          <w:szCs w:val="22"/>
        </w:rPr>
        <w:t xml:space="preserve">Efetua-se o </w:t>
      </w:r>
      <w:proofErr w:type="spellStart"/>
      <w:r>
        <w:rPr>
          <w:rFonts w:ascii="Arial" w:hAnsi="Arial" w:cs="Arial"/>
          <w:sz w:val="22"/>
          <w:szCs w:val="22"/>
        </w:rPr>
        <w:t>produtório</w:t>
      </w:r>
      <w:proofErr w:type="spellEnd"/>
      <w:r>
        <w:rPr>
          <w:rFonts w:ascii="Arial" w:hAnsi="Arial" w:cs="Arial"/>
          <w:sz w:val="22"/>
          <w:szCs w:val="22"/>
        </w:rPr>
        <w:t xml:space="preserve"> dos fatores diários (1 + </w:t>
      </w:r>
      <w:proofErr w:type="spellStart"/>
      <w:r>
        <w:rPr>
          <w:rFonts w:ascii="Arial" w:hAnsi="Arial" w:cs="Arial"/>
          <w:sz w:val="22"/>
          <w:szCs w:val="22"/>
        </w:rPr>
        <w:t>TDI</w:t>
      </w:r>
      <w:r>
        <w:rPr>
          <w:rFonts w:ascii="Arial" w:hAnsi="Arial" w:cs="Arial"/>
          <w:sz w:val="22"/>
          <w:szCs w:val="22"/>
          <w:vertAlign w:val="subscript"/>
        </w:rPr>
        <w:t>k</w:t>
      </w:r>
      <w:proofErr w:type="spellEnd"/>
      <w:r>
        <w:rPr>
          <w:rFonts w:ascii="Arial" w:hAnsi="Arial" w:cs="Arial"/>
          <w:sz w:val="22"/>
          <w:szCs w:val="22"/>
        </w:rPr>
        <w:t>), sendo que a cada fator diário acumulado, trunca-se o resultado com 16 (dezesseis) casas decimais, aplicando-se o próximo fator diário, e assim por diante até o último considerado</w:t>
      </w:r>
      <w:r>
        <w:rPr>
          <w:rFonts w:ascii="Arial" w:hAnsi="Arial" w:cs="Arial"/>
          <w:color w:val="000000"/>
          <w:sz w:val="22"/>
          <w:szCs w:val="22"/>
        </w:rPr>
        <w:t>;</w:t>
      </w:r>
    </w:p>
    <w:p w14:paraId="2FE489D7" w14:textId="77777777" w:rsidR="00FC10E9" w:rsidRDefault="00FC10E9">
      <w:pPr>
        <w:tabs>
          <w:tab w:val="num" w:pos="720"/>
          <w:tab w:val="left" w:pos="1560"/>
        </w:tabs>
        <w:spacing w:line="300" w:lineRule="atLeast"/>
        <w:ind w:left="709"/>
        <w:jc w:val="both"/>
        <w:rPr>
          <w:rFonts w:ascii="Arial" w:hAnsi="Arial" w:cs="Arial"/>
          <w:color w:val="000000"/>
          <w:sz w:val="22"/>
          <w:szCs w:val="22"/>
        </w:rPr>
      </w:pPr>
    </w:p>
    <w:p w14:paraId="6D88B706" w14:textId="77777777" w:rsidR="00FC10E9" w:rsidRDefault="00B10E1A">
      <w:pPr>
        <w:numPr>
          <w:ilvl w:val="0"/>
          <w:numId w:val="9"/>
        </w:numPr>
        <w:tabs>
          <w:tab w:val="clear" w:pos="1080"/>
          <w:tab w:val="left" w:pos="1560"/>
        </w:tabs>
        <w:spacing w:line="300" w:lineRule="atLeast"/>
        <w:ind w:left="709" w:firstLine="0"/>
        <w:jc w:val="both"/>
        <w:rPr>
          <w:rFonts w:ascii="Arial" w:hAnsi="Arial" w:cs="Arial"/>
          <w:color w:val="000000"/>
          <w:sz w:val="22"/>
          <w:szCs w:val="22"/>
        </w:rPr>
      </w:pPr>
      <w:r>
        <w:rPr>
          <w:rFonts w:ascii="Arial" w:hAnsi="Arial" w:cs="Arial"/>
          <w:sz w:val="22"/>
          <w:szCs w:val="22"/>
        </w:rPr>
        <w:t>Se os fatores diários estiverem acumulados, considerar-se-á o fator resultante “Fator DI” com 8 (oito) casas decimais, com arredondamento</w:t>
      </w:r>
      <w:r>
        <w:rPr>
          <w:rFonts w:ascii="Arial" w:hAnsi="Arial" w:cs="Arial"/>
          <w:color w:val="000000"/>
          <w:sz w:val="22"/>
          <w:szCs w:val="22"/>
        </w:rPr>
        <w:t>;</w:t>
      </w:r>
    </w:p>
    <w:p w14:paraId="30E24AAE" w14:textId="77777777" w:rsidR="00FC10E9" w:rsidRDefault="00FC10E9">
      <w:pPr>
        <w:pStyle w:val="PargrafodaLista"/>
        <w:tabs>
          <w:tab w:val="left" w:pos="1560"/>
        </w:tabs>
        <w:spacing w:line="300" w:lineRule="atLeast"/>
        <w:ind w:left="709"/>
        <w:jc w:val="both"/>
        <w:rPr>
          <w:rFonts w:ascii="Arial" w:hAnsi="Arial" w:cs="Arial"/>
          <w:color w:val="000000"/>
          <w:sz w:val="22"/>
          <w:szCs w:val="22"/>
        </w:rPr>
      </w:pPr>
    </w:p>
    <w:p w14:paraId="7457C575" w14:textId="77777777" w:rsidR="00FC10E9" w:rsidRDefault="00B10E1A">
      <w:pPr>
        <w:numPr>
          <w:ilvl w:val="0"/>
          <w:numId w:val="9"/>
        </w:numPr>
        <w:tabs>
          <w:tab w:val="clear" w:pos="1080"/>
          <w:tab w:val="left" w:pos="1560"/>
        </w:tabs>
        <w:spacing w:line="300" w:lineRule="atLeast"/>
        <w:ind w:left="709" w:firstLine="0"/>
        <w:jc w:val="both"/>
        <w:rPr>
          <w:rFonts w:ascii="Arial" w:hAnsi="Arial" w:cs="Arial"/>
          <w:color w:val="000000"/>
          <w:sz w:val="22"/>
          <w:szCs w:val="22"/>
        </w:rPr>
      </w:pPr>
      <w:r>
        <w:rPr>
          <w:rFonts w:ascii="Arial" w:hAnsi="Arial" w:cs="Arial"/>
          <w:sz w:val="22"/>
          <w:szCs w:val="22"/>
        </w:rPr>
        <w:t>O fator resultante da expressão (Fator DI x Fator spread) é considerado com 9 (nove) casas decimais, com arredondamento</w:t>
      </w:r>
      <w:r>
        <w:rPr>
          <w:rFonts w:ascii="Arial" w:hAnsi="Arial" w:cs="Arial"/>
          <w:color w:val="000000"/>
          <w:sz w:val="22"/>
          <w:szCs w:val="22"/>
        </w:rPr>
        <w:t>; e</w:t>
      </w:r>
    </w:p>
    <w:p w14:paraId="663F07F2" w14:textId="77777777" w:rsidR="00FC10E9" w:rsidRDefault="00FC10E9">
      <w:pPr>
        <w:pStyle w:val="PargrafodaLista"/>
        <w:tabs>
          <w:tab w:val="left" w:pos="1560"/>
        </w:tabs>
        <w:spacing w:line="300" w:lineRule="atLeast"/>
        <w:ind w:left="709"/>
        <w:jc w:val="both"/>
        <w:rPr>
          <w:rFonts w:ascii="Arial" w:hAnsi="Arial" w:cs="Arial"/>
          <w:color w:val="000000"/>
          <w:sz w:val="22"/>
          <w:szCs w:val="22"/>
        </w:rPr>
      </w:pPr>
    </w:p>
    <w:p w14:paraId="1B20C53A" w14:textId="77777777" w:rsidR="00FC10E9" w:rsidRDefault="00B10E1A">
      <w:pPr>
        <w:numPr>
          <w:ilvl w:val="0"/>
          <w:numId w:val="9"/>
        </w:numPr>
        <w:tabs>
          <w:tab w:val="clear" w:pos="1080"/>
          <w:tab w:val="left" w:pos="1560"/>
        </w:tabs>
        <w:spacing w:line="300" w:lineRule="atLeast"/>
        <w:ind w:left="709" w:firstLine="0"/>
        <w:jc w:val="both"/>
        <w:rPr>
          <w:rFonts w:ascii="Arial" w:hAnsi="Arial" w:cs="Arial"/>
          <w:color w:val="000000"/>
          <w:sz w:val="22"/>
          <w:szCs w:val="22"/>
        </w:rPr>
      </w:pPr>
      <w:r>
        <w:rPr>
          <w:rFonts w:ascii="Arial" w:hAnsi="Arial" w:cs="Arial"/>
          <w:sz w:val="22"/>
          <w:szCs w:val="22"/>
        </w:rPr>
        <w:t>A Taxa DI deverá ser utilizada considerando idêntico número de casas decimais divulgado pelo órgão responsável pelo seu cálculo</w:t>
      </w:r>
      <w:r>
        <w:rPr>
          <w:rFonts w:ascii="Arial" w:hAnsi="Arial" w:cs="Arial"/>
          <w:color w:val="000000"/>
          <w:sz w:val="22"/>
          <w:szCs w:val="22"/>
        </w:rPr>
        <w:t>.</w:t>
      </w:r>
    </w:p>
    <w:p w14:paraId="533B14A4" w14:textId="77777777" w:rsidR="00FC10E9" w:rsidRDefault="00FC10E9">
      <w:pPr>
        <w:spacing w:line="300" w:lineRule="atLeast"/>
        <w:ind w:left="360"/>
        <w:jc w:val="both"/>
        <w:rPr>
          <w:rFonts w:ascii="Arial" w:hAnsi="Arial" w:cs="Arial"/>
          <w:color w:val="000000"/>
          <w:sz w:val="22"/>
          <w:szCs w:val="22"/>
        </w:rPr>
      </w:pPr>
    </w:p>
    <w:p w14:paraId="1C93B7DD" w14:textId="77777777" w:rsidR="00FC10E9" w:rsidRDefault="00B10E1A">
      <w:pPr>
        <w:numPr>
          <w:ilvl w:val="4"/>
          <w:numId w:val="49"/>
        </w:numPr>
        <w:spacing w:line="300" w:lineRule="atLeast"/>
        <w:ind w:left="709" w:firstLine="0"/>
        <w:jc w:val="both"/>
        <w:rPr>
          <w:rFonts w:ascii="Arial" w:hAnsi="Arial" w:cs="Arial"/>
          <w:color w:val="000000"/>
          <w:sz w:val="22"/>
          <w:szCs w:val="22"/>
        </w:rPr>
      </w:pPr>
      <w:bookmarkStart w:id="12" w:name="_DV_C96"/>
      <w:r>
        <w:rPr>
          <w:rFonts w:ascii="Arial" w:hAnsi="Arial" w:cs="Arial"/>
          <w:color w:val="000000"/>
          <w:sz w:val="22"/>
          <w:szCs w:val="22"/>
        </w:rPr>
        <w:t xml:space="preserve">Se, na data de vencimento de quaisquer obrigações pecuniárias da Emissora decorrentes desta Escritura com relação às Debêntures, não houver divulgação da Taxa DI Over pela B3, será aplicada na apuração de </w:t>
      </w:r>
      <w:proofErr w:type="spellStart"/>
      <w:r>
        <w:rPr>
          <w:rFonts w:ascii="Arial" w:hAnsi="Arial" w:cs="Arial"/>
          <w:color w:val="000000"/>
          <w:sz w:val="22"/>
          <w:szCs w:val="22"/>
        </w:rPr>
        <w:t>TDI</w:t>
      </w:r>
      <w:r>
        <w:rPr>
          <w:rFonts w:ascii="Arial" w:hAnsi="Arial" w:cs="Arial"/>
          <w:color w:val="000000"/>
          <w:sz w:val="22"/>
          <w:szCs w:val="22"/>
          <w:vertAlign w:val="subscript"/>
        </w:rPr>
        <w:t>k</w:t>
      </w:r>
      <w:proofErr w:type="spellEnd"/>
      <w:r>
        <w:rPr>
          <w:rFonts w:ascii="Arial" w:hAnsi="Arial" w:cs="Arial"/>
          <w:color w:val="000000"/>
          <w:sz w:val="22"/>
          <w:szCs w:val="22"/>
        </w:rPr>
        <w:t xml:space="preserve"> a última Taxa DI Over divulgada, não sendo devidas quaisquer compensações entre a Emissora e os Debenturistas quando da divulgação posterior da Taxa DI Over que seria aplicável. Se a não divulgação da Taxa DI Over for superior ao prazo de 10 (dez) dias consecutivos, ou caso seja extinta, ou haja a impossibilidade legal de aplicação da Taxa DI</w:t>
      </w:r>
      <w:r>
        <w:rPr>
          <w:rFonts w:ascii="Arial" w:hAnsi="Arial" w:cs="Arial"/>
          <w:i/>
          <w:color w:val="000000"/>
          <w:sz w:val="22"/>
          <w:szCs w:val="22"/>
        </w:rPr>
        <w:t xml:space="preserve"> </w:t>
      </w:r>
      <w:r>
        <w:rPr>
          <w:rFonts w:ascii="Arial" w:hAnsi="Arial" w:cs="Arial"/>
          <w:color w:val="000000"/>
          <w:sz w:val="22"/>
          <w:szCs w:val="22"/>
        </w:rPr>
        <w:t>Over a quaisquer obrigações pecuniárias da Emissora decorrentes desta Escritura, aplicar-se-á o disposto nas Cláusulas 4.2.2.5, 4.2.2.6 e 4.2.2.7 abaixo.</w:t>
      </w:r>
    </w:p>
    <w:p w14:paraId="6A015C6B" w14:textId="77777777" w:rsidR="00FC10E9" w:rsidRDefault="00FC10E9">
      <w:pPr>
        <w:spacing w:line="300" w:lineRule="atLeast"/>
        <w:jc w:val="both"/>
        <w:rPr>
          <w:rFonts w:ascii="Arial" w:hAnsi="Arial" w:cs="Arial"/>
          <w:color w:val="000000"/>
          <w:sz w:val="22"/>
          <w:szCs w:val="22"/>
        </w:rPr>
      </w:pPr>
    </w:p>
    <w:p w14:paraId="51436B7B" w14:textId="77777777" w:rsidR="00FC10E9" w:rsidRDefault="00B10E1A">
      <w:pPr>
        <w:numPr>
          <w:ilvl w:val="4"/>
          <w:numId w:val="49"/>
        </w:numPr>
        <w:spacing w:line="300" w:lineRule="atLeast"/>
        <w:ind w:left="709" w:firstLine="0"/>
        <w:jc w:val="both"/>
        <w:rPr>
          <w:rFonts w:ascii="Arial" w:hAnsi="Arial" w:cs="Arial"/>
          <w:color w:val="000000"/>
          <w:sz w:val="22"/>
          <w:szCs w:val="22"/>
        </w:rPr>
      </w:pPr>
      <w:r>
        <w:rPr>
          <w:rFonts w:ascii="Arial" w:hAnsi="Arial" w:cs="Arial"/>
          <w:color w:val="000000"/>
          <w:sz w:val="22"/>
          <w:szCs w:val="22"/>
        </w:rPr>
        <w:lastRenderedPageBreak/>
        <w:t xml:space="preserve">No caso de extinção, ausência de apuração e/ou divulgação por mais de 10 (dez) dias consecutivos após a data esperada para sua apuração e/ou divulgação, ou impossibilidade legal de aplicação às Debêntures, ou determinação judicial, aplicar-se-á no lugar da Taxa DI Over, automaticamente, a taxa que venha a </w:t>
      </w:r>
      <w:proofErr w:type="gramStart"/>
      <w:r>
        <w:rPr>
          <w:rFonts w:ascii="Arial" w:hAnsi="Arial" w:cs="Arial"/>
          <w:color w:val="000000"/>
          <w:sz w:val="22"/>
          <w:szCs w:val="22"/>
        </w:rPr>
        <w:t>substituí-la</w:t>
      </w:r>
      <w:proofErr w:type="gramEnd"/>
      <w:r>
        <w:rPr>
          <w:rFonts w:ascii="Arial" w:hAnsi="Arial" w:cs="Arial"/>
          <w:color w:val="000000"/>
          <w:sz w:val="22"/>
          <w:szCs w:val="22"/>
        </w:rPr>
        <w:t xml:space="preserve"> legalmente. Caso não haja uma taxa substituta legal para a Taxa DI Over, o Agente Fiduciário deverá, no prazo máximo de 2 (dois) Dias Úteis a contar do fim do prazo de 10 (dez) dias indicado nesta Cláusula 4.2.2.5, convocar Assembleia Geral de Debenturistas (no modo e prazos estipulados na Cláusula X desta Escritura e no artigo 124 da Lei das Sociedades por Ações), para a deliberação, de comum acordo com a Emissora, do novo parâmetro a ser utilizado para fins de cálculo dos Juros Remuneratórios que serão aplicados, observado o disposto nas Cláusulas 4.2.2.6 e 4.2.2.7 abaixo.</w:t>
      </w:r>
    </w:p>
    <w:p w14:paraId="227F3C21" w14:textId="77777777" w:rsidR="00FC10E9" w:rsidRDefault="00FC10E9">
      <w:pPr>
        <w:spacing w:line="300" w:lineRule="atLeast"/>
        <w:ind w:left="698"/>
        <w:jc w:val="both"/>
        <w:rPr>
          <w:rFonts w:ascii="Arial" w:hAnsi="Arial" w:cs="Arial"/>
          <w:color w:val="000000"/>
          <w:sz w:val="22"/>
          <w:szCs w:val="22"/>
        </w:rPr>
      </w:pPr>
    </w:p>
    <w:p w14:paraId="06328DCA" w14:textId="77777777" w:rsidR="00FC10E9" w:rsidRDefault="00B10E1A">
      <w:pPr>
        <w:numPr>
          <w:ilvl w:val="4"/>
          <w:numId w:val="49"/>
        </w:numPr>
        <w:spacing w:line="300" w:lineRule="atLeast"/>
        <w:ind w:left="709" w:firstLine="0"/>
        <w:jc w:val="both"/>
        <w:rPr>
          <w:rFonts w:ascii="Arial" w:hAnsi="Arial" w:cs="Arial"/>
          <w:color w:val="000000"/>
          <w:sz w:val="22"/>
          <w:szCs w:val="22"/>
        </w:rPr>
      </w:pPr>
      <w:r>
        <w:rPr>
          <w:rFonts w:ascii="Arial" w:hAnsi="Arial" w:cs="Arial"/>
          <w:color w:val="000000"/>
          <w:sz w:val="22"/>
          <w:szCs w:val="22"/>
        </w:rPr>
        <w:t xml:space="preserve">Caso não haja acordo sobre o novo parâmetro a ser utilizado para fins de cálculo dos Juros Remuneratórios entre a Emissora e os Debenturistas representando, no mínimo, 2/3 (dois terços) das Debêntures em Circulação ou caso não haja obtenção de quórum de instalação e/ou de deliberação em segunda convocação, a Emissora deverá resgatar a totalidade das Debêntures, no prazo de até 30 (trinta) dias contados da data da realização da respectiva Assembleia Geral de Debenturistas, pelo seu Valor Nominal Unitário </w:t>
      </w:r>
      <w:r>
        <w:rPr>
          <w:rFonts w:ascii="Arial" w:hAnsi="Arial" w:cs="Arial"/>
          <w:sz w:val="22"/>
          <w:szCs w:val="22"/>
        </w:rPr>
        <w:t>(ou saldo do Valor Nominal Unitário, conforme o caso)</w:t>
      </w:r>
      <w:r>
        <w:rPr>
          <w:rFonts w:ascii="Arial" w:hAnsi="Arial" w:cs="Arial"/>
          <w:color w:val="000000"/>
          <w:sz w:val="22"/>
          <w:szCs w:val="22"/>
        </w:rPr>
        <w:t xml:space="preserve">, acrescido dos Juros Remuneratórios devidos até a data do efetivo resgate,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xml:space="preserve">, a partir da primeira Data de Integralização (ou a partir da Data de Pagamento dos Juros Remuneratórios imediatamente anterior, conforme o caso). Nesta alternativa, para cálculo dos Juros Remuneratórios com relação às Debêntures a serem resgatadas, será utilizado para a apuração de </w:t>
      </w:r>
      <w:proofErr w:type="spellStart"/>
      <w:r>
        <w:rPr>
          <w:rFonts w:ascii="Arial" w:hAnsi="Arial" w:cs="Arial"/>
          <w:color w:val="000000"/>
          <w:sz w:val="22"/>
          <w:szCs w:val="22"/>
        </w:rPr>
        <w:t>TDI</w:t>
      </w:r>
      <w:r>
        <w:rPr>
          <w:rFonts w:ascii="Arial" w:hAnsi="Arial" w:cs="Arial"/>
          <w:color w:val="000000"/>
          <w:sz w:val="22"/>
          <w:szCs w:val="22"/>
          <w:vertAlign w:val="subscript"/>
        </w:rPr>
        <w:t>k</w:t>
      </w:r>
      <w:proofErr w:type="spellEnd"/>
      <w:r>
        <w:rPr>
          <w:rFonts w:ascii="Arial" w:hAnsi="Arial" w:cs="Arial"/>
          <w:color w:val="000000"/>
          <w:sz w:val="22"/>
          <w:szCs w:val="22"/>
        </w:rPr>
        <w:t xml:space="preserve"> a última Taxa DI Over divulgada oficialmente, observadas ainda as demais disposições previstas nesta Escritura para fins de cálculo dos Juros Remuneratórios. </w:t>
      </w:r>
    </w:p>
    <w:p w14:paraId="5C764304" w14:textId="77777777" w:rsidR="00FC10E9" w:rsidRDefault="00FC10E9">
      <w:pPr>
        <w:spacing w:line="300" w:lineRule="atLeast"/>
        <w:ind w:left="697"/>
        <w:jc w:val="both"/>
        <w:rPr>
          <w:rFonts w:ascii="Arial" w:hAnsi="Arial" w:cs="Arial"/>
          <w:color w:val="000000"/>
          <w:sz w:val="22"/>
          <w:szCs w:val="22"/>
        </w:rPr>
      </w:pPr>
    </w:p>
    <w:p w14:paraId="3FF5D8FA" w14:textId="77777777" w:rsidR="00FC10E9" w:rsidRDefault="00B10E1A">
      <w:pPr>
        <w:numPr>
          <w:ilvl w:val="4"/>
          <w:numId w:val="49"/>
        </w:numPr>
        <w:spacing w:line="300" w:lineRule="atLeast"/>
        <w:ind w:left="709" w:firstLine="0"/>
        <w:jc w:val="both"/>
        <w:rPr>
          <w:rFonts w:ascii="Arial" w:hAnsi="Arial" w:cs="Arial"/>
          <w:color w:val="000000"/>
          <w:sz w:val="22"/>
          <w:szCs w:val="22"/>
        </w:rPr>
      </w:pPr>
      <w:r>
        <w:rPr>
          <w:rFonts w:ascii="Arial" w:hAnsi="Arial" w:cs="Arial"/>
          <w:color w:val="000000"/>
          <w:sz w:val="22"/>
          <w:szCs w:val="22"/>
        </w:rPr>
        <w:t>Não obstante o disposto acima, caso a Taxa DI Over venha a ser divulgada antes da realização da Assembleia Geral de Debenturistas, esta não será mais realizada e a Taxa DI Over então divulgada, a partir da respectiva data de referência, será utilizada para o cálculo dos Juros Remuneratórios.</w:t>
      </w:r>
    </w:p>
    <w:bookmarkEnd w:id="12"/>
    <w:p w14:paraId="5591D792" w14:textId="77777777" w:rsidR="00FC10E9" w:rsidRDefault="00FC10E9">
      <w:pPr>
        <w:pStyle w:val="PargrafodaLista"/>
        <w:spacing w:line="300" w:lineRule="atLeast"/>
        <w:ind w:left="0"/>
        <w:jc w:val="both"/>
        <w:rPr>
          <w:rFonts w:ascii="Arial" w:hAnsi="Arial" w:cs="Arial"/>
          <w:sz w:val="22"/>
          <w:szCs w:val="22"/>
        </w:rPr>
      </w:pPr>
    </w:p>
    <w:p w14:paraId="5707D354" w14:textId="77777777" w:rsidR="00FC10E9" w:rsidRDefault="00B10E1A">
      <w:pPr>
        <w:numPr>
          <w:ilvl w:val="2"/>
          <w:numId w:val="34"/>
        </w:numPr>
        <w:spacing w:line="300" w:lineRule="atLeast"/>
        <w:ind w:left="0" w:firstLine="0"/>
        <w:jc w:val="both"/>
        <w:rPr>
          <w:rFonts w:ascii="Arial" w:hAnsi="Arial" w:cs="Arial"/>
          <w:color w:val="000000"/>
          <w:sz w:val="22"/>
          <w:szCs w:val="22"/>
        </w:rPr>
      </w:pPr>
      <w:r>
        <w:rPr>
          <w:rFonts w:ascii="Arial" w:hAnsi="Arial" w:cs="Arial"/>
          <w:color w:val="000000"/>
          <w:sz w:val="22"/>
          <w:szCs w:val="22"/>
        </w:rPr>
        <w:t>Para fins da presente Escritura, a expressão “</w:t>
      </w:r>
      <w:r>
        <w:rPr>
          <w:rFonts w:ascii="Arial" w:hAnsi="Arial" w:cs="Arial"/>
          <w:color w:val="000000"/>
          <w:sz w:val="22"/>
          <w:szCs w:val="22"/>
          <w:u w:val="single"/>
        </w:rPr>
        <w:t>Dia(s) Útil(eis)</w:t>
      </w:r>
      <w:r>
        <w:rPr>
          <w:rFonts w:ascii="Arial" w:hAnsi="Arial" w:cs="Arial"/>
          <w:color w:val="000000"/>
          <w:sz w:val="22"/>
          <w:szCs w:val="22"/>
        </w:rPr>
        <w:t>” significa qualquer dia, exceção feita aos sábados, domingos e feriados declarados nacionais.</w:t>
      </w:r>
    </w:p>
    <w:p w14:paraId="62432ECE" w14:textId="77777777" w:rsidR="00FC10E9" w:rsidRDefault="00FC10E9">
      <w:pPr>
        <w:pStyle w:val="PargrafodaLista"/>
        <w:tabs>
          <w:tab w:val="left" w:pos="709"/>
        </w:tabs>
        <w:spacing w:line="300" w:lineRule="atLeast"/>
        <w:rPr>
          <w:rFonts w:ascii="Arial" w:hAnsi="Arial" w:cs="Arial"/>
          <w:color w:val="000000"/>
          <w:sz w:val="22"/>
          <w:szCs w:val="22"/>
        </w:rPr>
      </w:pPr>
    </w:p>
    <w:p w14:paraId="46678740" w14:textId="77777777" w:rsidR="00FC10E9" w:rsidRDefault="00B10E1A">
      <w:pPr>
        <w:numPr>
          <w:ilvl w:val="2"/>
          <w:numId w:val="34"/>
        </w:numPr>
        <w:spacing w:line="300" w:lineRule="atLeast"/>
        <w:ind w:left="0" w:firstLine="0"/>
        <w:jc w:val="both"/>
        <w:rPr>
          <w:rFonts w:ascii="Arial" w:hAnsi="Arial" w:cs="Arial"/>
          <w:color w:val="000000"/>
          <w:sz w:val="22"/>
          <w:szCs w:val="22"/>
        </w:rPr>
      </w:pPr>
      <w:r>
        <w:rPr>
          <w:rFonts w:ascii="Arial" w:hAnsi="Arial" w:cs="Arial"/>
          <w:color w:val="000000"/>
          <w:sz w:val="22"/>
          <w:szCs w:val="22"/>
        </w:rPr>
        <w:t>Para fins da presente Escritura, a expressão “</w:t>
      </w:r>
      <w:r>
        <w:rPr>
          <w:rFonts w:ascii="Arial" w:hAnsi="Arial" w:cs="Arial"/>
          <w:color w:val="000000"/>
          <w:sz w:val="22"/>
          <w:szCs w:val="22"/>
          <w:u w:val="single"/>
        </w:rPr>
        <w:t>Período de Capitalização</w:t>
      </w:r>
      <w:r>
        <w:rPr>
          <w:rFonts w:ascii="Arial" w:hAnsi="Arial" w:cs="Arial"/>
          <w:color w:val="000000"/>
          <w:sz w:val="22"/>
          <w:szCs w:val="22"/>
        </w:rPr>
        <w:t xml:space="preserve">” significa o </w:t>
      </w:r>
      <w:r>
        <w:rPr>
          <w:rFonts w:ascii="Arial" w:hAnsi="Arial" w:cs="Arial"/>
          <w:sz w:val="22"/>
          <w:szCs w:val="22"/>
        </w:rPr>
        <w:t xml:space="preserve">intervalo de tempo que se inicia na </w:t>
      </w:r>
      <w:r>
        <w:rPr>
          <w:rFonts w:ascii="Arial" w:hAnsi="Arial" w:cs="Arial"/>
          <w:color w:val="000000"/>
          <w:sz w:val="22"/>
          <w:szCs w:val="22"/>
        </w:rPr>
        <w:t>primeira Data de Integralização (inclusive)</w:t>
      </w:r>
      <w:r>
        <w:rPr>
          <w:rFonts w:ascii="Arial" w:hAnsi="Arial" w:cs="Arial"/>
          <w:sz w:val="22"/>
          <w:szCs w:val="22"/>
        </w:rPr>
        <w:t xml:space="preserve">, no caso do primeiro Período de Capitalização, ou na Data de Pagamento dos Juros Remuneratórios imediatamente anterior </w:t>
      </w:r>
      <w:r>
        <w:rPr>
          <w:rFonts w:ascii="Arial" w:hAnsi="Arial" w:cs="Arial"/>
          <w:color w:val="000000"/>
          <w:sz w:val="22"/>
          <w:szCs w:val="22"/>
        </w:rPr>
        <w:t>(inclusive)</w:t>
      </w:r>
      <w:r>
        <w:rPr>
          <w:rFonts w:ascii="Arial" w:hAnsi="Arial" w:cs="Arial"/>
          <w:sz w:val="22"/>
          <w:szCs w:val="22"/>
        </w:rPr>
        <w:t xml:space="preserve">, no caso dos demais Períodos de Capitalização, e termina na Data de Pagamento dos Juros Remuneratórios correspondente ao Período de Capitalização em questão </w:t>
      </w:r>
      <w:r>
        <w:rPr>
          <w:rFonts w:ascii="Arial" w:hAnsi="Arial" w:cs="Arial"/>
          <w:color w:val="000000"/>
          <w:sz w:val="22"/>
          <w:szCs w:val="22"/>
        </w:rPr>
        <w:t>(exclusive)</w:t>
      </w:r>
      <w:r>
        <w:rPr>
          <w:rFonts w:ascii="Arial" w:hAnsi="Arial" w:cs="Arial"/>
          <w:sz w:val="22"/>
          <w:szCs w:val="22"/>
        </w:rPr>
        <w:t>. Cada Período de Capitalização sucede o anterior sem solução de continuidade, até a Data de Vencimento.</w:t>
      </w:r>
    </w:p>
    <w:bookmarkEnd w:id="8"/>
    <w:p w14:paraId="0CBC8A1B" w14:textId="77777777" w:rsidR="00FC10E9" w:rsidRDefault="00FC10E9">
      <w:pPr>
        <w:tabs>
          <w:tab w:val="left" w:pos="1620"/>
          <w:tab w:val="left" w:pos="2366"/>
        </w:tabs>
        <w:spacing w:line="300" w:lineRule="atLeast"/>
        <w:jc w:val="both"/>
        <w:rPr>
          <w:rFonts w:ascii="Arial" w:hAnsi="Arial" w:cs="Arial"/>
          <w:color w:val="000000"/>
          <w:sz w:val="22"/>
          <w:szCs w:val="22"/>
        </w:rPr>
      </w:pPr>
    </w:p>
    <w:p w14:paraId="380AD7D8"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lastRenderedPageBreak/>
        <w:t>Periodicidade de Amortização do Valor Nominal Unitário</w:t>
      </w:r>
    </w:p>
    <w:p w14:paraId="13074F7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A8135F8"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4.3.1.</w:t>
      </w:r>
      <w:r>
        <w:rPr>
          <w:rFonts w:ascii="Arial" w:hAnsi="Arial" w:cs="Arial"/>
          <w:color w:val="000000"/>
          <w:sz w:val="22"/>
          <w:szCs w:val="22"/>
        </w:rPr>
        <w:tab/>
        <w:t>Ressalvadas as hipóteses de amortização extraordinária, prevista na Cláusula 6.1 abaixo, ou de liquidação antecipada das Debêntures resultante do seu resgate antecipado ou vencimento antecipado, nos termos desta Escritura, o saldo do Valor Nominal Unitário das Debêntures da será amortizado, após a carência de 8 (oito) anos a contar da Data de Emissão, em 3 (três) parcelas, nas datas e percentuais indicados na tabela abaixo:</w:t>
      </w:r>
    </w:p>
    <w:p w14:paraId="6A00307A" w14:textId="77777777" w:rsidR="00FC10E9" w:rsidRDefault="00FC10E9">
      <w:pPr>
        <w:tabs>
          <w:tab w:val="left" w:pos="709"/>
        </w:tabs>
        <w:spacing w:line="300" w:lineRule="atLeast"/>
        <w:jc w:val="both"/>
        <w:rPr>
          <w:rFonts w:ascii="Arial" w:hAnsi="Arial" w:cs="Arial"/>
          <w:b/>
          <w:color w:val="000000"/>
          <w:sz w:val="22"/>
          <w:szCs w:val="22"/>
          <w:highlight w:val="green"/>
        </w:rPr>
      </w:pPr>
    </w:p>
    <w:tbl>
      <w:tblPr>
        <w:tblStyle w:val="Tabelacomgrade"/>
        <w:tblW w:w="0" w:type="auto"/>
        <w:tblLook w:val="04A0" w:firstRow="1" w:lastRow="0" w:firstColumn="1" w:lastColumn="0" w:noHBand="0" w:noVBand="1"/>
      </w:tblPr>
      <w:tblGrid>
        <w:gridCol w:w="1098"/>
        <w:gridCol w:w="4939"/>
        <w:gridCol w:w="3023"/>
      </w:tblGrid>
      <w:tr w:rsidR="00FC10E9" w14:paraId="32231316" w14:textId="77777777">
        <w:tc>
          <w:tcPr>
            <w:tcW w:w="1101" w:type="dxa"/>
            <w:shd w:val="clear" w:color="auto" w:fill="D9D9D9" w:themeFill="background1" w:themeFillShade="D9"/>
          </w:tcPr>
          <w:p w14:paraId="245099CE" w14:textId="77777777" w:rsidR="00FC10E9" w:rsidRDefault="00B10E1A">
            <w:pPr>
              <w:tabs>
                <w:tab w:val="left" w:pos="709"/>
              </w:tabs>
              <w:spacing w:line="300" w:lineRule="atLeast"/>
              <w:jc w:val="both"/>
              <w:rPr>
                <w:rFonts w:ascii="Arial" w:hAnsi="Arial" w:cs="Arial"/>
                <w:b/>
                <w:color w:val="000000"/>
                <w:sz w:val="22"/>
                <w:szCs w:val="22"/>
                <w:highlight w:val="green"/>
              </w:rPr>
            </w:pPr>
            <w:r>
              <w:rPr>
                <w:rFonts w:ascii="Arial" w:hAnsi="Arial" w:cs="Arial"/>
                <w:b/>
                <w:color w:val="000000"/>
                <w:sz w:val="22"/>
                <w:szCs w:val="22"/>
              </w:rPr>
              <w:t>Parcela</w:t>
            </w:r>
          </w:p>
        </w:tc>
        <w:tc>
          <w:tcPr>
            <w:tcW w:w="5039" w:type="dxa"/>
            <w:shd w:val="clear" w:color="auto" w:fill="D9D9D9" w:themeFill="background1" w:themeFillShade="D9"/>
            <w:vAlign w:val="center"/>
          </w:tcPr>
          <w:p w14:paraId="43293360"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Data de Amortização do Valor Nominal Unitário das Debêntures</w:t>
            </w:r>
          </w:p>
        </w:tc>
        <w:tc>
          <w:tcPr>
            <w:tcW w:w="3070" w:type="dxa"/>
            <w:shd w:val="clear" w:color="auto" w:fill="D9D9D9" w:themeFill="background1" w:themeFillShade="D9"/>
            <w:vAlign w:val="center"/>
          </w:tcPr>
          <w:p w14:paraId="1EA4C4EA"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Percentual Amortizado do saldo do Valor Nominal Unitário das Debêntures</w:t>
            </w:r>
          </w:p>
        </w:tc>
      </w:tr>
      <w:tr w:rsidR="00FC10E9" w14:paraId="3F65B7ED" w14:textId="77777777">
        <w:tc>
          <w:tcPr>
            <w:tcW w:w="1101" w:type="dxa"/>
          </w:tcPr>
          <w:p w14:paraId="069FF0D0"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1ª</w:t>
            </w:r>
          </w:p>
        </w:tc>
        <w:tc>
          <w:tcPr>
            <w:tcW w:w="5039" w:type="dxa"/>
          </w:tcPr>
          <w:p w14:paraId="40E6096B"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15 de julho de 2031</w:t>
            </w:r>
          </w:p>
        </w:tc>
        <w:tc>
          <w:tcPr>
            <w:tcW w:w="3070" w:type="dxa"/>
          </w:tcPr>
          <w:p w14:paraId="54042E01"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33,3333%</w:t>
            </w:r>
          </w:p>
        </w:tc>
      </w:tr>
      <w:tr w:rsidR="00FC10E9" w14:paraId="27A054A4" w14:textId="77777777">
        <w:tc>
          <w:tcPr>
            <w:tcW w:w="1101" w:type="dxa"/>
          </w:tcPr>
          <w:p w14:paraId="3C4DD797"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2ª</w:t>
            </w:r>
          </w:p>
        </w:tc>
        <w:tc>
          <w:tcPr>
            <w:tcW w:w="5039" w:type="dxa"/>
          </w:tcPr>
          <w:p w14:paraId="11548331"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15 de julho de 2032</w:t>
            </w:r>
          </w:p>
        </w:tc>
        <w:tc>
          <w:tcPr>
            <w:tcW w:w="3070" w:type="dxa"/>
          </w:tcPr>
          <w:p w14:paraId="72399F47" w14:textId="77777777" w:rsidR="00FC10E9" w:rsidRDefault="00B10E1A">
            <w:pPr>
              <w:tabs>
                <w:tab w:val="left" w:pos="709"/>
              </w:tabs>
              <w:spacing w:line="300" w:lineRule="atLeast"/>
              <w:jc w:val="center"/>
              <w:rPr>
                <w:rFonts w:ascii="Arial" w:hAnsi="Arial" w:cs="Arial"/>
                <w:color w:val="000000"/>
                <w:sz w:val="22"/>
                <w:szCs w:val="22"/>
              </w:rPr>
            </w:pPr>
            <w:r>
              <w:rPr>
                <w:rFonts w:ascii="Arial" w:hAnsi="Arial" w:cs="Arial"/>
                <w:color w:val="000000" w:themeColor="text1"/>
                <w:sz w:val="22"/>
                <w:szCs w:val="22"/>
              </w:rPr>
              <w:t>50,0000%</w:t>
            </w:r>
          </w:p>
        </w:tc>
      </w:tr>
      <w:tr w:rsidR="00FC10E9" w14:paraId="79C380E1" w14:textId="77777777">
        <w:tc>
          <w:tcPr>
            <w:tcW w:w="1101" w:type="dxa"/>
          </w:tcPr>
          <w:p w14:paraId="4CDBD625"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3ª</w:t>
            </w:r>
          </w:p>
        </w:tc>
        <w:tc>
          <w:tcPr>
            <w:tcW w:w="5039" w:type="dxa"/>
          </w:tcPr>
          <w:p w14:paraId="28B3169F"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Data de Vencimento das Debêntures</w:t>
            </w:r>
          </w:p>
        </w:tc>
        <w:tc>
          <w:tcPr>
            <w:tcW w:w="3070" w:type="dxa"/>
          </w:tcPr>
          <w:p w14:paraId="797788AE"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100,0000%</w:t>
            </w:r>
          </w:p>
        </w:tc>
      </w:tr>
    </w:tbl>
    <w:p w14:paraId="5C3439BD" w14:textId="77777777" w:rsidR="00FC10E9" w:rsidRDefault="00FC10E9">
      <w:pPr>
        <w:keepNext/>
        <w:tabs>
          <w:tab w:val="left" w:pos="2366"/>
        </w:tabs>
        <w:spacing w:line="300" w:lineRule="atLeast"/>
        <w:jc w:val="both"/>
        <w:rPr>
          <w:rFonts w:ascii="Arial" w:hAnsi="Arial" w:cs="Arial"/>
          <w:b/>
          <w:color w:val="000000"/>
          <w:sz w:val="22"/>
          <w:szCs w:val="22"/>
          <w:highlight w:val="green"/>
        </w:rPr>
      </w:pPr>
    </w:p>
    <w:p w14:paraId="5A97E731"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 xml:space="preserve">Periodicidade de Pagamento dos Juros Remuneratórios </w:t>
      </w:r>
    </w:p>
    <w:p w14:paraId="108D3359" w14:textId="77777777" w:rsidR="00FC10E9" w:rsidRDefault="00FC10E9">
      <w:pPr>
        <w:keepNext/>
        <w:tabs>
          <w:tab w:val="left" w:pos="709"/>
        </w:tabs>
        <w:spacing w:line="300" w:lineRule="atLeast"/>
        <w:jc w:val="both"/>
        <w:rPr>
          <w:rFonts w:ascii="Arial" w:hAnsi="Arial" w:cs="Arial"/>
          <w:color w:val="000000"/>
          <w:sz w:val="22"/>
          <w:szCs w:val="22"/>
        </w:rPr>
      </w:pPr>
    </w:p>
    <w:p w14:paraId="13F78A11"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4.4.1.</w:t>
      </w:r>
      <w:r>
        <w:rPr>
          <w:rFonts w:ascii="Arial" w:hAnsi="Arial" w:cs="Arial"/>
          <w:color w:val="000000"/>
          <w:sz w:val="22"/>
          <w:szCs w:val="22"/>
        </w:rPr>
        <w:tab/>
        <w:t xml:space="preserve">Os valores relativos aos Juros Remuneratórios deverão ser pagos semestralmente, sempre no dia </w:t>
      </w:r>
      <w:r>
        <w:rPr>
          <w:rFonts w:ascii="Arial" w:hAnsi="Arial" w:cs="Arial"/>
          <w:bCs/>
          <w:color w:val="000000"/>
          <w:sz w:val="22"/>
          <w:szCs w:val="22"/>
        </w:rPr>
        <w:t xml:space="preserve">15 </w:t>
      </w:r>
      <w:r>
        <w:rPr>
          <w:rFonts w:ascii="Arial" w:hAnsi="Arial" w:cs="Arial"/>
          <w:color w:val="000000"/>
          <w:sz w:val="22"/>
          <w:szCs w:val="22"/>
        </w:rPr>
        <w:t xml:space="preserve">dos meses de </w:t>
      </w:r>
      <w:r>
        <w:rPr>
          <w:rFonts w:ascii="Arial" w:hAnsi="Arial" w:cs="Arial"/>
          <w:bCs/>
          <w:color w:val="000000"/>
          <w:sz w:val="22"/>
          <w:szCs w:val="22"/>
        </w:rPr>
        <w:t xml:space="preserve">Janeiro </w:t>
      </w:r>
      <w:r>
        <w:rPr>
          <w:rFonts w:ascii="Arial" w:hAnsi="Arial" w:cs="Arial"/>
          <w:color w:val="000000"/>
          <w:sz w:val="22"/>
          <w:szCs w:val="22"/>
        </w:rPr>
        <w:t xml:space="preserve">e </w:t>
      </w:r>
      <w:r>
        <w:rPr>
          <w:rFonts w:ascii="Arial" w:hAnsi="Arial" w:cs="Arial"/>
          <w:bCs/>
          <w:color w:val="000000"/>
          <w:sz w:val="22"/>
          <w:szCs w:val="22"/>
        </w:rPr>
        <w:t>Julho</w:t>
      </w:r>
      <w:r>
        <w:rPr>
          <w:rFonts w:ascii="Arial" w:hAnsi="Arial" w:cs="Arial"/>
          <w:color w:val="000000"/>
          <w:sz w:val="22"/>
          <w:szCs w:val="22"/>
        </w:rPr>
        <w:t xml:space="preserve">, sendo o primeiro pagamento dos Juros Remuneratórios devido em </w:t>
      </w:r>
      <w:r>
        <w:rPr>
          <w:rFonts w:ascii="Arial" w:hAnsi="Arial" w:cs="Arial"/>
          <w:bCs/>
          <w:color w:val="000000"/>
          <w:sz w:val="22"/>
          <w:szCs w:val="22"/>
        </w:rPr>
        <w:t xml:space="preserve">15 </w:t>
      </w:r>
      <w:r>
        <w:rPr>
          <w:rFonts w:ascii="Arial" w:hAnsi="Arial" w:cs="Arial"/>
          <w:color w:val="000000"/>
          <w:sz w:val="22"/>
          <w:szCs w:val="22"/>
        </w:rPr>
        <w:t xml:space="preserve">de </w:t>
      </w:r>
      <w:r>
        <w:rPr>
          <w:rFonts w:ascii="Arial" w:hAnsi="Arial" w:cs="Arial"/>
          <w:bCs/>
          <w:color w:val="000000"/>
          <w:sz w:val="22"/>
          <w:szCs w:val="22"/>
        </w:rPr>
        <w:t xml:space="preserve">Janeiro </w:t>
      </w:r>
      <w:r>
        <w:rPr>
          <w:rFonts w:ascii="Arial" w:hAnsi="Arial" w:cs="Arial"/>
          <w:color w:val="000000"/>
          <w:sz w:val="22"/>
          <w:szCs w:val="22"/>
        </w:rPr>
        <w:t xml:space="preserve">de </w:t>
      </w:r>
      <w:r>
        <w:rPr>
          <w:rFonts w:ascii="Arial" w:hAnsi="Arial" w:cs="Arial"/>
          <w:bCs/>
          <w:color w:val="000000"/>
          <w:sz w:val="22"/>
          <w:szCs w:val="22"/>
        </w:rPr>
        <w:t xml:space="preserve">2023 </w:t>
      </w:r>
      <w:r>
        <w:rPr>
          <w:rFonts w:ascii="Arial" w:hAnsi="Arial" w:cs="Arial"/>
          <w:color w:val="000000"/>
          <w:sz w:val="22"/>
          <w:szCs w:val="22"/>
        </w:rPr>
        <w:t>e o último na Data de Vencimento, de acordo com o cronograma previsto abaixo (cada uma dessas datas de pagamento, uma “</w:t>
      </w:r>
      <w:r>
        <w:rPr>
          <w:rFonts w:ascii="Arial" w:hAnsi="Arial" w:cs="Arial"/>
          <w:color w:val="000000"/>
          <w:sz w:val="22"/>
          <w:szCs w:val="22"/>
          <w:u w:val="single"/>
        </w:rPr>
        <w:t>Data de Pagamento dos Juros Remuneratórios</w:t>
      </w:r>
      <w:r>
        <w:rPr>
          <w:rFonts w:ascii="Arial" w:hAnsi="Arial" w:cs="Arial"/>
          <w:color w:val="000000"/>
          <w:sz w:val="22"/>
          <w:szCs w:val="22"/>
        </w:rPr>
        <w:t>”), ressalvadas as hipóteses de amortização extraordinária, prevista na Cláusula 6.1 abaixo, ou de liquidação antecipada das Debêntures resultante do seu resgate antecipado ou vencimento antecipado, nos termos desta Escritura:</w:t>
      </w:r>
    </w:p>
    <w:p w14:paraId="1A787283" w14:textId="77777777" w:rsidR="00FC10E9" w:rsidRDefault="00FC10E9">
      <w:pPr>
        <w:tabs>
          <w:tab w:val="left" w:pos="709"/>
        </w:tabs>
        <w:spacing w:line="300" w:lineRule="atLeast"/>
        <w:jc w:val="both"/>
        <w:rPr>
          <w:rFonts w:ascii="Arial" w:hAnsi="Arial" w:cs="Arial"/>
          <w:color w:val="000000"/>
          <w:sz w:val="22"/>
          <w:szCs w:val="22"/>
        </w:rPr>
      </w:pPr>
    </w:p>
    <w:tbl>
      <w:tblPr>
        <w:tblStyle w:val="Tabelacomgrade"/>
        <w:tblW w:w="0" w:type="auto"/>
        <w:jc w:val="center"/>
        <w:tblLook w:val="04A0" w:firstRow="1" w:lastRow="0" w:firstColumn="1" w:lastColumn="0" w:noHBand="0" w:noVBand="1"/>
      </w:tblPr>
      <w:tblGrid>
        <w:gridCol w:w="1101"/>
        <w:gridCol w:w="5039"/>
      </w:tblGrid>
      <w:tr w:rsidR="00FC10E9" w14:paraId="1D89197D" w14:textId="77777777">
        <w:trPr>
          <w:jc w:val="center"/>
        </w:trPr>
        <w:tc>
          <w:tcPr>
            <w:tcW w:w="1101" w:type="dxa"/>
            <w:shd w:val="clear" w:color="auto" w:fill="D9D9D9" w:themeFill="background1" w:themeFillShade="D9"/>
          </w:tcPr>
          <w:p w14:paraId="19CDD83F" w14:textId="77777777" w:rsidR="00FC10E9" w:rsidRDefault="00B10E1A">
            <w:pPr>
              <w:tabs>
                <w:tab w:val="left" w:pos="709"/>
              </w:tabs>
              <w:spacing w:line="300" w:lineRule="atLeast"/>
              <w:jc w:val="both"/>
              <w:rPr>
                <w:rFonts w:ascii="Arial" w:hAnsi="Arial" w:cs="Arial"/>
                <w:b/>
                <w:color w:val="000000"/>
                <w:sz w:val="22"/>
                <w:szCs w:val="22"/>
                <w:highlight w:val="green"/>
              </w:rPr>
            </w:pPr>
            <w:r>
              <w:rPr>
                <w:rFonts w:ascii="Arial" w:hAnsi="Arial" w:cs="Arial"/>
                <w:b/>
                <w:color w:val="000000"/>
                <w:sz w:val="22"/>
                <w:szCs w:val="22"/>
              </w:rPr>
              <w:t>Parcela</w:t>
            </w:r>
          </w:p>
        </w:tc>
        <w:tc>
          <w:tcPr>
            <w:tcW w:w="5039" w:type="dxa"/>
            <w:shd w:val="clear" w:color="auto" w:fill="D9D9D9" w:themeFill="background1" w:themeFillShade="D9"/>
            <w:vAlign w:val="center"/>
          </w:tcPr>
          <w:p w14:paraId="08ED9566"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Data de Pagamento dos Juros Remuneratórios do Valor Nominal Unitário das Debêntures</w:t>
            </w:r>
          </w:p>
        </w:tc>
      </w:tr>
      <w:tr w:rsidR="00FC10E9" w14:paraId="0DEC244F" w14:textId="77777777">
        <w:trPr>
          <w:jc w:val="center"/>
        </w:trPr>
        <w:tc>
          <w:tcPr>
            <w:tcW w:w="1101" w:type="dxa"/>
          </w:tcPr>
          <w:p w14:paraId="2FA38310"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1ª</w:t>
            </w:r>
          </w:p>
        </w:tc>
        <w:tc>
          <w:tcPr>
            <w:tcW w:w="5039" w:type="dxa"/>
          </w:tcPr>
          <w:p w14:paraId="2EE7CE90"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2023</w:t>
            </w:r>
          </w:p>
        </w:tc>
      </w:tr>
      <w:tr w:rsidR="00FC10E9" w14:paraId="377CE230" w14:textId="77777777">
        <w:trPr>
          <w:trHeight w:val="70"/>
          <w:jc w:val="center"/>
        </w:trPr>
        <w:tc>
          <w:tcPr>
            <w:tcW w:w="1101" w:type="dxa"/>
          </w:tcPr>
          <w:p w14:paraId="3739B4CE"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2ª</w:t>
            </w:r>
          </w:p>
        </w:tc>
        <w:tc>
          <w:tcPr>
            <w:tcW w:w="5039" w:type="dxa"/>
          </w:tcPr>
          <w:p w14:paraId="3BDA0EF7"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2023</w:t>
            </w:r>
          </w:p>
        </w:tc>
      </w:tr>
      <w:tr w:rsidR="00FC10E9" w14:paraId="26155E69" w14:textId="77777777">
        <w:trPr>
          <w:jc w:val="center"/>
        </w:trPr>
        <w:tc>
          <w:tcPr>
            <w:tcW w:w="1101" w:type="dxa"/>
          </w:tcPr>
          <w:p w14:paraId="4CFE17B7"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3ª</w:t>
            </w:r>
          </w:p>
        </w:tc>
        <w:tc>
          <w:tcPr>
            <w:tcW w:w="5039" w:type="dxa"/>
          </w:tcPr>
          <w:p w14:paraId="4AE09DDF"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2024</w:t>
            </w:r>
          </w:p>
        </w:tc>
      </w:tr>
      <w:tr w:rsidR="00FC10E9" w14:paraId="74F94DAB" w14:textId="77777777">
        <w:trPr>
          <w:jc w:val="center"/>
        </w:trPr>
        <w:tc>
          <w:tcPr>
            <w:tcW w:w="1101" w:type="dxa"/>
          </w:tcPr>
          <w:p w14:paraId="1CD3B94A"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4ª</w:t>
            </w:r>
          </w:p>
        </w:tc>
        <w:tc>
          <w:tcPr>
            <w:tcW w:w="5039" w:type="dxa"/>
          </w:tcPr>
          <w:p w14:paraId="017808E1"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2024</w:t>
            </w:r>
          </w:p>
        </w:tc>
      </w:tr>
      <w:tr w:rsidR="00FC10E9" w14:paraId="200F50C1" w14:textId="77777777">
        <w:trPr>
          <w:jc w:val="center"/>
        </w:trPr>
        <w:tc>
          <w:tcPr>
            <w:tcW w:w="1101" w:type="dxa"/>
          </w:tcPr>
          <w:p w14:paraId="1B25803A"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5ª</w:t>
            </w:r>
          </w:p>
        </w:tc>
        <w:tc>
          <w:tcPr>
            <w:tcW w:w="5039" w:type="dxa"/>
          </w:tcPr>
          <w:p w14:paraId="08B4EDB1"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2025</w:t>
            </w:r>
          </w:p>
        </w:tc>
      </w:tr>
      <w:tr w:rsidR="00FC10E9" w14:paraId="241DDC04" w14:textId="77777777">
        <w:trPr>
          <w:jc w:val="center"/>
        </w:trPr>
        <w:tc>
          <w:tcPr>
            <w:tcW w:w="1101" w:type="dxa"/>
          </w:tcPr>
          <w:p w14:paraId="0699D176"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6ª</w:t>
            </w:r>
          </w:p>
        </w:tc>
        <w:tc>
          <w:tcPr>
            <w:tcW w:w="5039" w:type="dxa"/>
          </w:tcPr>
          <w:p w14:paraId="56054B12"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2025</w:t>
            </w:r>
          </w:p>
        </w:tc>
      </w:tr>
      <w:tr w:rsidR="00FC10E9" w14:paraId="5AC68982" w14:textId="77777777">
        <w:trPr>
          <w:jc w:val="center"/>
        </w:trPr>
        <w:tc>
          <w:tcPr>
            <w:tcW w:w="1101" w:type="dxa"/>
          </w:tcPr>
          <w:p w14:paraId="288E3D34"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7ª</w:t>
            </w:r>
          </w:p>
        </w:tc>
        <w:tc>
          <w:tcPr>
            <w:tcW w:w="5039" w:type="dxa"/>
          </w:tcPr>
          <w:p w14:paraId="73CEACC2"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2026</w:t>
            </w:r>
          </w:p>
        </w:tc>
      </w:tr>
      <w:tr w:rsidR="00FC10E9" w14:paraId="75EB2AC9" w14:textId="77777777">
        <w:trPr>
          <w:jc w:val="center"/>
        </w:trPr>
        <w:tc>
          <w:tcPr>
            <w:tcW w:w="1101" w:type="dxa"/>
          </w:tcPr>
          <w:p w14:paraId="0D9623F6"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8ª</w:t>
            </w:r>
          </w:p>
        </w:tc>
        <w:tc>
          <w:tcPr>
            <w:tcW w:w="5039" w:type="dxa"/>
          </w:tcPr>
          <w:p w14:paraId="53EE3EC7"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2026</w:t>
            </w:r>
          </w:p>
        </w:tc>
      </w:tr>
      <w:tr w:rsidR="00FC10E9" w14:paraId="09BF1266" w14:textId="77777777">
        <w:trPr>
          <w:jc w:val="center"/>
        </w:trPr>
        <w:tc>
          <w:tcPr>
            <w:tcW w:w="1101" w:type="dxa"/>
          </w:tcPr>
          <w:p w14:paraId="59D560B2"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9ª</w:t>
            </w:r>
          </w:p>
        </w:tc>
        <w:tc>
          <w:tcPr>
            <w:tcW w:w="5039" w:type="dxa"/>
          </w:tcPr>
          <w:p w14:paraId="69EB7A48"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2027</w:t>
            </w:r>
          </w:p>
        </w:tc>
      </w:tr>
      <w:tr w:rsidR="00FC10E9" w14:paraId="4E3EFE6E" w14:textId="77777777">
        <w:trPr>
          <w:jc w:val="center"/>
        </w:trPr>
        <w:tc>
          <w:tcPr>
            <w:tcW w:w="1101" w:type="dxa"/>
          </w:tcPr>
          <w:p w14:paraId="0231784C"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10ª</w:t>
            </w:r>
          </w:p>
        </w:tc>
        <w:tc>
          <w:tcPr>
            <w:tcW w:w="5039" w:type="dxa"/>
          </w:tcPr>
          <w:p w14:paraId="3EE0B9A7"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2027</w:t>
            </w:r>
          </w:p>
        </w:tc>
      </w:tr>
      <w:tr w:rsidR="00FC10E9" w14:paraId="3EFCB51F" w14:textId="77777777">
        <w:trPr>
          <w:jc w:val="center"/>
        </w:trPr>
        <w:tc>
          <w:tcPr>
            <w:tcW w:w="1101" w:type="dxa"/>
          </w:tcPr>
          <w:p w14:paraId="61B3ACBB"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11ª</w:t>
            </w:r>
          </w:p>
        </w:tc>
        <w:tc>
          <w:tcPr>
            <w:tcW w:w="5039" w:type="dxa"/>
          </w:tcPr>
          <w:p w14:paraId="44F67BEB"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2028</w:t>
            </w:r>
          </w:p>
        </w:tc>
      </w:tr>
      <w:tr w:rsidR="00FC10E9" w14:paraId="13AACEB9" w14:textId="77777777">
        <w:trPr>
          <w:jc w:val="center"/>
        </w:trPr>
        <w:tc>
          <w:tcPr>
            <w:tcW w:w="1101" w:type="dxa"/>
          </w:tcPr>
          <w:p w14:paraId="7FBD3C6D"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12ª</w:t>
            </w:r>
          </w:p>
        </w:tc>
        <w:tc>
          <w:tcPr>
            <w:tcW w:w="5039" w:type="dxa"/>
          </w:tcPr>
          <w:p w14:paraId="19C41D75"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2028</w:t>
            </w:r>
          </w:p>
        </w:tc>
      </w:tr>
      <w:tr w:rsidR="00FC10E9" w14:paraId="6E08E6DC" w14:textId="77777777">
        <w:trPr>
          <w:jc w:val="center"/>
        </w:trPr>
        <w:tc>
          <w:tcPr>
            <w:tcW w:w="1101" w:type="dxa"/>
          </w:tcPr>
          <w:p w14:paraId="1AC9520C"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13ª</w:t>
            </w:r>
          </w:p>
        </w:tc>
        <w:tc>
          <w:tcPr>
            <w:tcW w:w="5039" w:type="dxa"/>
          </w:tcPr>
          <w:p w14:paraId="385D4ABC" w14:textId="77777777" w:rsidR="00FC10E9" w:rsidRDefault="00B10E1A">
            <w:pPr>
              <w:tabs>
                <w:tab w:val="left" w:pos="709"/>
                <w:tab w:val="left" w:pos="1464"/>
                <w:tab w:val="center" w:pos="2411"/>
              </w:tabs>
              <w:spacing w:line="300" w:lineRule="atLeast"/>
              <w:rPr>
                <w:rFonts w:ascii="Arial" w:hAnsi="Arial" w:cs="Arial"/>
                <w:bCs/>
                <w:color w:val="000000"/>
                <w:sz w:val="22"/>
                <w:szCs w:val="22"/>
              </w:rPr>
            </w:pPr>
            <w:r>
              <w:rPr>
                <w:rFonts w:ascii="Arial" w:hAnsi="Arial" w:cs="Arial"/>
                <w:bCs/>
                <w:color w:val="000000"/>
                <w:sz w:val="22"/>
                <w:szCs w:val="22"/>
              </w:rPr>
              <w:tab/>
            </w:r>
            <w:r>
              <w:rPr>
                <w:rFonts w:ascii="Arial" w:hAnsi="Arial" w:cs="Arial"/>
                <w:bCs/>
                <w:color w:val="000000"/>
                <w:sz w:val="22"/>
                <w:szCs w:val="22"/>
              </w:rPr>
              <w:tab/>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2029</w:t>
            </w:r>
          </w:p>
        </w:tc>
      </w:tr>
      <w:tr w:rsidR="00FC10E9" w14:paraId="327FA8B5" w14:textId="77777777">
        <w:trPr>
          <w:jc w:val="center"/>
        </w:trPr>
        <w:tc>
          <w:tcPr>
            <w:tcW w:w="1101" w:type="dxa"/>
          </w:tcPr>
          <w:p w14:paraId="668D7A95"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14ª</w:t>
            </w:r>
          </w:p>
        </w:tc>
        <w:tc>
          <w:tcPr>
            <w:tcW w:w="5039" w:type="dxa"/>
          </w:tcPr>
          <w:p w14:paraId="5CA49F49"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2029</w:t>
            </w:r>
          </w:p>
        </w:tc>
      </w:tr>
      <w:tr w:rsidR="00FC10E9" w14:paraId="7FBD3867" w14:textId="77777777">
        <w:trPr>
          <w:jc w:val="center"/>
        </w:trPr>
        <w:tc>
          <w:tcPr>
            <w:tcW w:w="1101" w:type="dxa"/>
          </w:tcPr>
          <w:p w14:paraId="667804E3"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15ª</w:t>
            </w:r>
          </w:p>
        </w:tc>
        <w:tc>
          <w:tcPr>
            <w:tcW w:w="5039" w:type="dxa"/>
          </w:tcPr>
          <w:p w14:paraId="25607034"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2030</w:t>
            </w:r>
          </w:p>
        </w:tc>
      </w:tr>
      <w:tr w:rsidR="00FC10E9" w14:paraId="7A848E9B" w14:textId="77777777">
        <w:trPr>
          <w:jc w:val="center"/>
        </w:trPr>
        <w:tc>
          <w:tcPr>
            <w:tcW w:w="1101" w:type="dxa"/>
          </w:tcPr>
          <w:p w14:paraId="1929CC7E"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16ª</w:t>
            </w:r>
          </w:p>
        </w:tc>
        <w:tc>
          <w:tcPr>
            <w:tcW w:w="5039" w:type="dxa"/>
          </w:tcPr>
          <w:p w14:paraId="7396C806"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2030</w:t>
            </w:r>
          </w:p>
        </w:tc>
      </w:tr>
      <w:tr w:rsidR="00FC10E9" w14:paraId="233B37C7" w14:textId="77777777">
        <w:trPr>
          <w:jc w:val="center"/>
        </w:trPr>
        <w:tc>
          <w:tcPr>
            <w:tcW w:w="1101" w:type="dxa"/>
          </w:tcPr>
          <w:p w14:paraId="4A5FB709"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lastRenderedPageBreak/>
              <w:t>17ª</w:t>
            </w:r>
          </w:p>
        </w:tc>
        <w:tc>
          <w:tcPr>
            <w:tcW w:w="5039" w:type="dxa"/>
          </w:tcPr>
          <w:p w14:paraId="54FDAF4E"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2031</w:t>
            </w:r>
          </w:p>
        </w:tc>
      </w:tr>
      <w:tr w:rsidR="00FC10E9" w14:paraId="700A2D75" w14:textId="77777777">
        <w:trPr>
          <w:jc w:val="center"/>
        </w:trPr>
        <w:tc>
          <w:tcPr>
            <w:tcW w:w="1101" w:type="dxa"/>
          </w:tcPr>
          <w:p w14:paraId="31D78B1C"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18ª</w:t>
            </w:r>
          </w:p>
        </w:tc>
        <w:tc>
          <w:tcPr>
            <w:tcW w:w="5039" w:type="dxa"/>
          </w:tcPr>
          <w:p w14:paraId="35008564"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2031</w:t>
            </w:r>
          </w:p>
        </w:tc>
      </w:tr>
      <w:tr w:rsidR="00FC10E9" w14:paraId="567AA836" w14:textId="77777777">
        <w:trPr>
          <w:jc w:val="center"/>
        </w:trPr>
        <w:tc>
          <w:tcPr>
            <w:tcW w:w="1101" w:type="dxa"/>
          </w:tcPr>
          <w:p w14:paraId="517EE36E"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19ª</w:t>
            </w:r>
          </w:p>
        </w:tc>
        <w:tc>
          <w:tcPr>
            <w:tcW w:w="5039" w:type="dxa"/>
          </w:tcPr>
          <w:p w14:paraId="0BE7CB9B"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2032</w:t>
            </w:r>
          </w:p>
        </w:tc>
      </w:tr>
      <w:tr w:rsidR="00FC10E9" w14:paraId="6A0B8728" w14:textId="77777777">
        <w:trPr>
          <w:jc w:val="center"/>
        </w:trPr>
        <w:tc>
          <w:tcPr>
            <w:tcW w:w="1101" w:type="dxa"/>
          </w:tcPr>
          <w:p w14:paraId="3A941495"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20ª</w:t>
            </w:r>
          </w:p>
        </w:tc>
        <w:tc>
          <w:tcPr>
            <w:tcW w:w="5039" w:type="dxa"/>
          </w:tcPr>
          <w:p w14:paraId="5DE6605C"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Julho</w:t>
            </w:r>
            <w:proofErr w:type="gramEnd"/>
            <w:r>
              <w:rPr>
                <w:rFonts w:ascii="Arial" w:hAnsi="Arial" w:cs="Arial"/>
                <w:bCs/>
                <w:color w:val="000000"/>
                <w:sz w:val="22"/>
                <w:szCs w:val="22"/>
              </w:rPr>
              <w:t xml:space="preserve"> de 2032</w:t>
            </w:r>
          </w:p>
        </w:tc>
      </w:tr>
      <w:tr w:rsidR="00FC10E9" w14:paraId="66AC6E73" w14:textId="77777777">
        <w:trPr>
          <w:jc w:val="center"/>
        </w:trPr>
        <w:tc>
          <w:tcPr>
            <w:tcW w:w="1101" w:type="dxa"/>
          </w:tcPr>
          <w:p w14:paraId="574CEC49"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21ª</w:t>
            </w:r>
          </w:p>
        </w:tc>
        <w:tc>
          <w:tcPr>
            <w:tcW w:w="5039" w:type="dxa"/>
          </w:tcPr>
          <w:p w14:paraId="3D1195CB"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 xml:space="preserve">15 de </w:t>
            </w:r>
            <w:proofErr w:type="gramStart"/>
            <w:r>
              <w:rPr>
                <w:rFonts w:ascii="Arial" w:hAnsi="Arial" w:cs="Arial"/>
                <w:bCs/>
                <w:color w:val="000000"/>
                <w:sz w:val="22"/>
                <w:szCs w:val="22"/>
              </w:rPr>
              <w:t>Janeiro</w:t>
            </w:r>
            <w:proofErr w:type="gramEnd"/>
            <w:r>
              <w:rPr>
                <w:rFonts w:ascii="Arial" w:hAnsi="Arial" w:cs="Arial"/>
                <w:bCs/>
                <w:color w:val="000000"/>
                <w:sz w:val="22"/>
                <w:szCs w:val="22"/>
              </w:rPr>
              <w:t xml:space="preserve"> de 2033</w:t>
            </w:r>
          </w:p>
        </w:tc>
      </w:tr>
      <w:tr w:rsidR="00FC10E9" w14:paraId="779F51D2" w14:textId="77777777">
        <w:trPr>
          <w:jc w:val="center"/>
        </w:trPr>
        <w:tc>
          <w:tcPr>
            <w:tcW w:w="1101" w:type="dxa"/>
          </w:tcPr>
          <w:p w14:paraId="00162C97" w14:textId="77777777" w:rsidR="00FC10E9" w:rsidRDefault="00B10E1A">
            <w:pPr>
              <w:tabs>
                <w:tab w:val="left" w:pos="709"/>
              </w:tabs>
              <w:spacing w:line="300" w:lineRule="atLeast"/>
              <w:jc w:val="center"/>
              <w:rPr>
                <w:rFonts w:ascii="Arial" w:hAnsi="Arial" w:cs="Arial"/>
                <w:b/>
                <w:color w:val="000000"/>
                <w:sz w:val="22"/>
                <w:szCs w:val="22"/>
              </w:rPr>
            </w:pPr>
            <w:r>
              <w:rPr>
                <w:rFonts w:ascii="Arial" w:hAnsi="Arial" w:cs="Arial"/>
                <w:b/>
                <w:color w:val="000000"/>
                <w:sz w:val="22"/>
                <w:szCs w:val="22"/>
              </w:rPr>
              <w:t>22ª</w:t>
            </w:r>
          </w:p>
        </w:tc>
        <w:tc>
          <w:tcPr>
            <w:tcW w:w="5039" w:type="dxa"/>
          </w:tcPr>
          <w:p w14:paraId="6DB9452A" w14:textId="77777777" w:rsidR="00FC10E9" w:rsidRDefault="00B10E1A">
            <w:pPr>
              <w:tabs>
                <w:tab w:val="left" w:pos="709"/>
              </w:tabs>
              <w:spacing w:line="300" w:lineRule="atLeast"/>
              <w:jc w:val="center"/>
              <w:rPr>
                <w:rFonts w:ascii="Arial" w:hAnsi="Arial" w:cs="Arial"/>
                <w:bCs/>
                <w:color w:val="000000"/>
                <w:sz w:val="22"/>
                <w:szCs w:val="22"/>
              </w:rPr>
            </w:pPr>
            <w:r>
              <w:rPr>
                <w:rFonts w:ascii="Arial" w:hAnsi="Arial" w:cs="Arial"/>
                <w:bCs/>
                <w:color w:val="000000"/>
                <w:sz w:val="22"/>
                <w:szCs w:val="22"/>
              </w:rPr>
              <w:t>Data de Vencimento das Debêntures</w:t>
            </w:r>
          </w:p>
        </w:tc>
      </w:tr>
    </w:tbl>
    <w:p w14:paraId="3612CC9E" w14:textId="77777777" w:rsidR="00FC10E9" w:rsidRDefault="00FC10E9">
      <w:pPr>
        <w:tabs>
          <w:tab w:val="left" w:pos="709"/>
        </w:tabs>
        <w:spacing w:line="300" w:lineRule="atLeast"/>
        <w:jc w:val="both"/>
        <w:rPr>
          <w:rFonts w:ascii="Arial" w:hAnsi="Arial" w:cs="Arial"/>
          <w:color w:val="000000"/>
          <w:sz w:val="22"/>
          <w:szCs w:val="22"/>
        </w:rPr>
      </w:pPr>
    </w:p>
    <w:p w14:paraId="0A408F76" w14:textId="77777777" w:rsidR="00FC10E9" w:rsidRDefault="00FC10E9">
      <w:pPr>
        <w:tabs>
          <w:tab w:val="left" w:pos="720"/>
          <w:tab w:val="left" w:pos="2366"/>
        </w:tabs>
        <w:spacing w:line="300" w:lineRule="atLeast"/>
        <w:jc w:val="both"/>
        <w:rPr>
          <w:rFonts w:ascii="Arial" w:hAnsi="Arial" w:cs="Arial"/>
          <w:color w:val="000000"/>
          <w:sz w:val="22"/>
          <w:szCs w:val="22"/>
        </w:rPr>
      </w:pPr>
    </w:p>
    <w:p w14:paraId="69CC4EF9"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Local de Pagamento</w:t>
      </w:r>
    </w:p>
    <w:p w14:paraId="5DFE8DA2" w14:textId="77777777" w:rsidR="00FC10E9" w:rsidRDefault="00FC10E9">
      <w:pPr>
        <w:keepNext/>
        <w:tabs>
          <w:tab w:val="left" w:pos="709"/>
        </w:tabs>
        <w:spacing w:line="300" w:lineRule="atLeast"/>
        <w:jc w:val="both"/>
        <w:rPr>
          <w:rFonts w:ascii="Arial" w:hAnsi="Arial" w:cs="Arial"/>
          <w:color w:val="000000"/>
          <w:sz w:val="22"/>
          <w:szCs w:val="22"/>
        </w:rPr>
      </w:pPr>
    </w:p>
    <w:p w14:paraId="098C5E44" w14:textId="77777777" w:rsidR="00FC10E9" w:rsidRDefault="00B10E1A">
      <w:pPr>
        <w:pStyle w:val="PargrafodaLista"/>
        <w:numPr>
          <w:ilvl w:val="2"/>
          <w:numId w:val="49"/>
        </w:numPr>
        <w:tabs>
          <w:tab w:val="clear" w:pos="720"/>
          <w:tab w:val="num" w:pos="0"/>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Os pagamentos a que fizerem jus as Debêntures serão efetuados pela Emissora no respectivo vencimento utilizando-se, conforme o caso: (a) os procedimentos adotados pela B3, para as Debêntures custodiadas eletronicamente na B3; e/ou (b) os procedimentos adotados pelo </w:t>
      </w:r>
      <w:proofErr w:type="spellStart"/>
      <w:r>
        <w:rPr>
          <w:rFonts w:ascii="Arial" w:hAnsi="Arial" w:cs="Arial"/>
          <w:color w:val="000000"/>
          <w:sz w:val="22"/>
          <w:szCs w:val="22"/>
        </w:rPr>
        <w:t>Escriturador</w:t>
      </w:r>
      <w:proofErr w:type="spellEnd"/>
      <w:r>
        <w:rPr>
          <w:rFonts w:ascii="Arial" w:hAnsi="Arial" w:cs="Arial"/>
          <w:color w:val="000000"/>
          <w:sz w:val="22"/>
          <w:szCs w:val="22"/>
        </w:rPr>
        <w:t>, para as Debêntures que não estejam custodiadas eletronicamente na B3 (“</w:t>
      </w:r>
      <w:r>
        <w:rPr>
          <w:rFonts w:ascii="Arial" w:hAnsi="Arial" w:cs="Arial"/>
          <w:color w:val="000000"/>
          <w:sz w:val="22"/>
          <w:szCs w:val="22"/>
          <w:u w:val="single"/>
        </w:rPr>
        <w:t>Local de Pagamento</w:t>
      </w:r>
      <w:r>
        <w:rPr>
          <w:rFonts w:ascii="Arial" w:hAnsi="Arial" w:cs="Arial"/>
          <w:color w:val="000000"/>
          <w:sz w:val="22"/>
          <w:szCs w:val="22"/>
        </w:rPr>
        <w:t>”).</w:t>
      </w:r>
    </w:p>
    <w:p w14:paraId="69090515" w14:textId="77777777" w:rsidR="00FC10E9" w:rsidRDefault="00FC10E9">
      <w:pPr>
        <w:pStyle w:val="PargrafodaLista"/>
        <w:spacing w:line="300" w:lineRule="atLeast"/>
        <w:ind w:left="720"/>
        <w:jc w:val="both"/>
        <w:rPr>
          <w:rFonts w:ascii="Arial" w:hAnsi="Arial" w:cs="Arial"/>
          <w:color w:val="000000"/>
          <w:sz w:val="22"/>
          <w:szCs w:val="22"/>
        </w:rPr>
      </w:pPr>
    </w:p>
    <w:p w14:paraId="1A14E12E" w14:textId="77777777" w:rsidR="00FC10E9" w:rsidRDefault="00B10E1A">
      <w:pPr>
        <w:pStyle w:val="PargrafodaLista"/>
        <w:numPr>
          <w:ilvl w:val="2"/>
          <w:numId w:val="49"/>
        </w:numPr>
        <w:tabs>
          <w:tab w:val="clear" w:pos="720"/>
          <w:tab w:val="num" w:pos="0"/>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Farão jus ao recebimento de qualquer valor devido aos Debenturistas nos termos desta Escritura de Emissão aqueles que </w:t>
      </w:r>
      <w:proofErr w:type="gramStart"/>
      <w:r>
        <w:rPr>
          <w:rFonts w:ascii="Arial" w:hAnsi="Arial" w:cs="Arial"/>
          <w:color w:val="000000"/>
          <w:sz w:val="22"/>
          <w:szCs w:val="22"/>
        </w:rPr>
        <w:t>sejam Debenturistas</w:t>
      </w:r>
      <w:proofErr w:type="gramEnd"/>
      <w:r>
        <w:rPr>
          <w:rFonts w:ascii="Arial" w:hAnsi="Arial" w:cs="Arial"/>
          <w:color w:val="000000"/>
          <w:sz w:val="22"/>
          <w:szCs w:val="22"/>
        </w:rPr>
        <w:t xml:space="preserve"> ao final do Dia Útil imediatamente anterior à respectiva data do pagamento.</w:t>
      </w:r>
    </w:p>
    <w:p w14:paraId="2E0F606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EF310B6"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 xml:space="preserve">Prorrogação dos Prazos </w:t>
      </w:r>
    </w:p>
    <w:p w14:paraId="6DD4EB29" w14:textId="77777777" w:rsidR="00FC10E9" w:rsidRDefault="00FC10E9">
      <w:pPr>
        <w:keepNext/>
        <w:tabs>
          <w:tab w:val="left" w:pos="709"/>
        </w:tabs>
        <w:spacing w:line="300" w:lineRule="atLeast"/>
        <w:jc w:val="both"/>
        <w:rPr>
          <w:rFonts w:ascii="Arial" w:hAnsi="Arial" w:cs="Arial"/>
          <w:color w:val="000000"/>
          <w:sz w:val="22"/>
          <w:szCs w:val="22"/>
        </w:rPr>
      </w:pPr>
    </w:p>
    <w:p w14:paraId="1C4E63F5"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4.6.1.</w:t>
      </w:r>
      <w:r>
        <w:rPr>
          <w:rFonts w:ascii="Arial" w:hAnsi="Arial" w:cs="Arial"/>
          <w:color w:val="000000"/>
          <w:sz w:val="22"/>
          <w:szCs w:val="22"/>
        </w:rPr>
        <w:tab/>
        <w:t>Considerar-se-ão prorrogados os prazos referentes ao pagamento de qualquer obrigação até o 1º (primeiro) Dia Útil subsequente, se a data do vencimento coincidir com dia em que não houver expediente bancário no local de pagamento das Debêntures, ressalvados os casos cujos pagamentos devam ser realizados por meio da B3, hipótese em que somente haverá prorrogação quando a data de pagamento coincidir com feriado declarado nacional, sábado ou domingo.</w:t>
      </w:r>
    </w:p>
    <w:p w14:paraId="065D5C63" w14:textId="77777777" w:rsidR="00FC10E9" w:rsidRDefault="00FC10E9">
      <w:pPr>
        <w:tabs>
          <w:tab w:val="left" w:pos="709"/>
        </w:tabs>
        <w:spacing w:line="300" w:lineRule="atLeast"/>
        <w:jc w:val="both"/>
        <w:rPr>
          <w:rFonts w:ascii="Arial" w:hAnsi="Arial" w:cs="Arial"/>
          <w:color w:val="000000"/>
          <w:sz w:val="22"/>
          <w:szCs w:val="22"/>
        </w:rPr>
      </w:pPr>
    </w:p>
    <w:p w14:paraId="46AE0626"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Encargos Moratórios</w:t>
      </w:r>
    </w:p>
    <w:p w14:paraId="1D2EC4E3" w14:textId="77777777" w:rsidR="00FC10E9" w:rsidRDefault="00FC10E9">
      <w:pPr>
        <w:keepNext/>
        <w:tabs>
          <w:tab w:val="left" w:pos="709"/>
        </w:tabs>
        <w:spacing w:line="300" w:lineRule="atLeast"/>
        <w:jc w:val="both"/>
        <w:rPr>
          <w:rFonts w:ascii="Arial" w:hAnsi="Arial" w:cs="Arial"/>
          <w:color w:val="000000"/>
          <w:sz w:val="22"/>
          <w:szCs w:val="22"/>
        </w:rPr>
      </w:pPr>
    </w:p>
    <w:p w14:paraId="2643ED37"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4.7.1.</w:t>
      </w:r>
      <w:r>
        <w:rPr>
          <w:rFonts w:ascii="Arial" w:hAnsi="Arial" w:cs="Arial"/>
          <w:color w:val="000000"/>
          <w:sz w:val="22"/>
          <w:szCs w:val="22"/>
        </w:rPr>
        <w:tab/>
        <w:t xml:space="preserve">Sem prejuízo dos Juros Remuneratórios, e observado ainda o disposto na Cláusula VII desta Escritura, ocorrendo atraso imputável à Emissora no pagamento de qualquer quantia devida aos Debenturistas, o valor em atraso ficará sujeito, independentemente de aviso, interpelação ou notificação judicial ou extrajudicial, a: (a) multa moratória convencional, irredutível e de natureza não compensatória, de 2% (dois por cento) sobre o valor devido e não pago; e (b) juros de mora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i/>
          <w:color w:val="000000"/>
          <w:sz w:val="22"/>
          <w:szCs w:val="22"/>
        </w:rPr>
        <w:t xml:space="preserve"> </w:t>
      </w:r>
      <w:r>
        <w:rPr>
          <w:rFonts w:ascii="Arial" w:hAnsi="Arial" w:cs="Arial"/>
          <w:color w:val="000000"/>
          <w:sz w:val="22"/>
          <w:szCs w:val="22"/>
        </w:rPr>
        <w:t>desde a data do inadimplemento financeiro até a data do efetivo pagamento, à taxa de 1% (um por cento) ao mês sobre o montante devido e não pago; além das despesas incorridas para cobrança (“</w:t>
      </w:r>
      <w:r>
        <w:rPr>
          <w:rFonts w:ascii="Arial" w:hAnsi="Arial" w:cs="Arial"/>
          <w:color w:val="000000"/>
          <w:sz w:val="22"/>
          <w:szCs w:val="22"/>
          <w:u w:val="single"/>
        </w:rPr>
        <w:t>Encargos Moratórios</w:t>
      </w:r>
      <w:r>
        <w:rPr>
          <w:rFonts w:ascii="Arial" w:hAnsi="Arial" w:cs="Arial"/>
          <w:color w:val="000000"/>
          <w:sz w:val="22"/>
          <w:szCs w:val="22"/>
        </w:rPr>
        <w:t>”).</w:t>
      </w:r>
    </w:p>
    <w:p w14:paraId="16F02C07"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6D5C23E"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bookmarkStart w:id="13" w:name="_DV_M210"/>
      <w:bookmarkEnd w:id="13"/>
      <w:r>
        <w:rPr>
          <w:rFonts w:ascii="Arial" w:hAnsi="Arial" w:cs="Arial"/>
          <w:b/>
          <w:color w:val="000000"/>
          <w:sz w:val="22"/>
          <w:szCs w:val="22"/>
        </w:rPr>
        <w:t>Decadência dos Direitos aos Acréscimos</w:t>
      </w:r>
    </w:p>
    <w:p w14:paraId="218972C2" w14:textId="77777777" w:rsidR="00FC10E9" w:rsidRDefault="00FC10E9">
      <w:pPr>
        <w:keepNext/>
        <w:tabs>
          <w:tab w:val="left" w:pos="709"/>
        </w:tabs>
        <w:spacing w:line="300" w:lineRule="atLeast"/>
        <w:jc w:val="both"/>
        <w:rPr>
          <w:rFonts w:ascii="Arial" w:hAnsi="Arial" w:cs="Arial"/>
          <w:color w:val="000000"/>
          <w:sz w:val="22"/>
          <w:szCs w:val="22"/>
        </w:rPr>
      </w:pPr>
    </w:p>
    <w:p w14:paraId="310432BA"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4.8.1.</w:t>
      </w:r>
      <w:r>
        <w:rPr>
          <w:rFonts w:ascii="Arial" w:hAnsi="Arial" w:cs="Arial"/>
          <w:color w:val="000000"/>
          <w:sz w:val="22"/>
          <w:szCs w:val="22"/>
        </w:rPr>
        <w:tab/>
        <w:t xml:space="preserve">O não comparecimento do Debenturista para receber o valor correspondente a quaisquer das obrigações pecuniárias da Emissora, nas datas previstas nesta Escritura, ou </w:t>
      </w:r>
      <w:r>
        <w:rPr>
          <w:rFonts w:ascii="Arial" w:hAnsi="Arial" w:cs="Arial"/>
          <w:color w:val="000000"/>
          <w:sz w:val="22"/>
          <w:szCs w:val="22"/>
        </w:rPr>
        <w:lastRenderedPageBreak/>
        <w:t>em comunicado publicado pela Emissora, não lhe dará direito ao recebimento de Juros Remuneratórios e/ou encargos moratórios no período relativo ao atraso no recebimento, sendo-lhe, todavia, assegurados os direitos adquiridos até a data do respectivo vencimento.</w:t>
      </w:r>
    </w:p>
    <w:p w14:paraId="091AD088" w14:textId="77777777" w:rsidR="00FC10E9" w:rsidRDefault="00FC10E9">
      <w:pPr>
        <w:tabs>
          <w:tab w:val="left" w:pos="709"/>
        </w:tabs>
        <w:spacing w:line="300" w:lineRule="atLeast"/>
        <w:jc w:val="both"/>
        <w:rPr>
          <w:rFonts w:ascii="Arial" w:hAnsi="Arial" w:cs="Arial"/>
          <w:color w:val="000000"/>
          <w:sz w:val="22"/>
          <w:szCs w:val="22"/>
        </w:rPr>
      </w:pPr>
    </w:p>
    <w:p w14:paraId="64BEA568"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Preço de Subscrição e Forma de Subscrição e Integralização</w:t>
      </w:r>
    </w:p>
    <w:p w14:paraId="00DC62DF" w14:textId="77777777" w:rsidR="00FC10E9" w:rsidRDefault="00FC10E9">
      <w:pPr>
        <w:keepNext/>
        <w:tabs>
          <w:tab w:val="left" w:pos="709"/>
        </w:tabs>
        <w:spacing w:line="300" w:lineRule="atLeast"/>
        <w:jc w:val="both"/>
        <w:rPr>
          <w:rFonts w:ascii="Arial" w:hAnsi="Arial" w:cs="Arial"/>
          <w:color w:val="000000"/>
          <w:sz w:val="22"/>
          <w:szCs w:val="22"/>
        </w:rPr>
      </w:pPr>
    </w:p>
    <w:p w14:paraId="21C9C18E"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4.9.1.</w:t>
      </w:r>
      <w:r>
        <w:rPr>
          <w:rFonts w:ascii="Arial" w:hAnsi="Arial" w:cs="Arial"/>
          <w:color w:val="000000"/>
          <w:sz w:val="22"/>
          <w:szCs w:val="22"/>
        </w:rPr>
        <w:tab/>
        <w:t xml:space="preserve">As Debêntures </w:t>
      </w:r>
      <w:r>
        <w:rPr>
          <w:rFonts w:ascii="Arial" w:hAnsi="Arial" w:cs="Arial"/>
          <w:sz w:val="22"/>
          <w:szCs w:val="22"/>
        </w:rPr>
        <w:t>serão subscritas e integralizadas, no mercado primário, em uma única data, pelo seu Valor Nominal Unitário (“</w:t>
      </w:r>
      <w:r>
        <w:rPr>
          <w:rFonts w:ascii="Arial" w:hAnsi="Arial" w:cs="Arial"/>
          <w:sz w:val="22"/>
          <w:szCs w:val="22"/>
          <w:u w:val="single"/>
        </w:rPr>
        <w:t>Data de Integralização</w:t>
      </w:r>
      <w:r>
        <w:rPr>
          <w:rFonts w:ascii="Arial" w:hAnsi="Arial" w:cs="Arial"/>
          <w:sz w:val="22"/>
          <w:szCs w:val="22"/>
        </w:rPr>
        <w:t>”)</w:t>
      </w:r>
      <w:r>
        <w:rPr>
          <w:rFonts w:ascii="Arial" w:hAnsi="Arial" w:cs="Arial"/>
          <w:color w:val="000000"/>
          <w:sz w:val="22"/>
          <w:szCs w:val="22"/>
        </w:rPr>
        <w:t xml:space="preserve">. Caso não ocorra a subscrição e a integralização da totalidade das Debêntures na Data de Integralização, o preço de subscrição para as Debêntures que forem integralizadas após a Data de Integralização será o Valor Nominal Unitário, acrescido do respectivo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desde a primeira Data de Integralização até a data de sua efetiva integralização, utilizando-se, para tanto, 8 (oito) casas decimais, sem arredondamentos, de acordo com as normas de liquidação aplicáveis à B3 (“</w:t>
      </w:r>
      <w:r>
        <w:rPr>
          <w:rFonts w:ascii="Arial" w:hAnsi="Arial" w:cs="Arial"/>
          <w:color w:val="000000"/>
          <w:sz w:val="22"/>
          <w:szCs w:val="22"/>
          <w:u w:val="single"/>
        </w:rPr>
        <w:t>Preço de Subscrição</w:t>
      </w:r>
      <w:r>
        <w:rPr>
          <w:rFonts w:ascii="Arial" w:hAnsi="Arial" w:cs="Arial"/>
          <w:color w:val="000000"/>
          <w:sz w:val="22"/>
          <w:szCs w:val="22"/>
        </w:rPr>
        <w:t xml:space="preserve">”). </w:t>
      </w:r>
    </w:p>
    <w:p w14:paraId="5413356F" w14:textId="77777777" w:rsidR="00FC10E9" w:rsidRDefault="00FC10E9">
      <w:pPr>
        <w:tabs>
          <w:tab w:val="left" w:pos="709"/>
        </w:tabs>
        <w:spacing w:line="300" w:lineRule="atLeast"/>
        <w:jc w:val="both"/>
        <w:rPr>
          <w:rFonts w:ascii="Arial" w:hAnsi="Arial" w:cs="Arial"/>
          <w:color w:val="000000"/>
          <w:sz w:val="22"/>
          <w:szCs w:val="22"/>
        </w:rPr>
      </w:pPr>
    </w:p>
    <w:p w14:paraId="7FF5C849"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4.9.2.</w:t>
      </w:r>
      <w:r>
        <w:rPr>
          <w:rFonts w:ascii="Arial" w:hAnsi="Arial" w:cs="Arial"/>
          <w:color w:val="000000"/>
          <w:sz w:val="22"/>
          <w:szCs w:val="22"/>
        </w:rPr>
        <w:tab/>
        <w:t xml:space="preserve">As Debêntures poderão ser subscritas com ágio ou deságio a ser definido no ato de subscrição das Debêntures, sendo certo que, caso aplicável, o ágio ou deságio será o mesmo para todas as Debêntures integralizadas em uma mesma data, observado o disposto a esse respeito no Contrato de Distribuição. </w:t>
      </w:r>
    </w:p>
    <w:p w14:paraId="1311A2B1" w14:textId="77777777" w:rsidR="00FC10E9" w:rsidRDefault="00FC10E9">
      <w:pPr>
        <w:tabs>
          <w:tab w:val="left" w:pos="709"/>
          <w:tab w:val="left" w:pos="2160"/>
        </w:tabs>
        <w:spacing w:line="300" w:lineRule="atLeast"/>
        <w:jc w:val="both"/>
        <w:rPr>
          <w:rFonts w:ascii="Arial" w:hAnsi="Arial" w:cs="Arial"/>
          <w:color w:val="000000"/>
          <w:sz w:val="22"/>
          <w:szCs w:val="22"/>
        </w:rPr>
      </w:pPr>
    </w:p>
    <w:p w14:paraId="269B11AE"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Repactuação</w:t>
      </w:r>
    </w:p>
    <w:p w14:paraId="26020E96" w14:textId="77777777" w:rsidR="00FC10E9" w:rsidRDefault="00FC10E9">
      <w:pPr>
        <w:keepNext/>
        <w:tabs>
          <w:tab w:val="left" w:pos="709"/>
        </w:tabs>
        <w:spacing w:line="300" w:lineRule="atLeast"/>
        <w:jc w:val="both"/>
        <w:rPr>
          <w:rFonts w:ascii="Arial" w:hAnsi="Arial" w:cs="Arial"/>
          <w:color w:val="000000"/>
          <w:sz w:val="22"/>
          <w:szCs w:val="22"/>
        </w:rPr>
      </w:pPr>
    </w:p>
    <w:p w14:paraId="37F66A2F" w14:textId="77777777" w:rsidR="00FC10E9" w:rsidRDefault="00B10E1A">
      <w:pPr>
        <w:numPr>
          <w:ilvl w:val="2"/>
          <w:numId w:val="37"/>
        </w:numPr>
        <w:tabs>
          <w:tab w:val="left" w:pos="709"/>
        </w:tabs>
        <w:spacing w:line="300" w:lineRule="atLeast"/>
        <w:ind w:left="709"/>
        <w:jc w:val="both"/>
        <w:rPr>
          <w:rFonts w:ascii="Arial" w:hAnsi="Arial" w:cs="Arial"/>
          <w:color w:val="000000"/>
          <w:sz w:val="22"/>
          <w:szCs w:val="22"/>
        </w:rPr>
      </w:pPr>
      <w:r>
        <w:rPr>
          <w:rFonts w:ascii="Arial" w:hAnsi="Arial" w:cs="Arial"/>
          <w:color w:val="000000"/>
          <w:sz w:val="22"/>
          <w:szCs w:val="22"/>
        </w:rPr>
        <w:t xml:space="preserve">Não haverá repactuação das Debêntures. </w:t>
      </w:r>
    </w:p>
    <w:p w14:paraId="035450D0" w14:textId="77777777" w:rsidR="00FC10E9" w:rsidRDefault="00FC10E9">
      <w:pPr>
        <w:tabs>
          <w:tab w:val="left" w:pos="709"/>
        </w:tabs>
        <w:spacing w:line="300" w:lineRule="atLeast"/>
        <w:jc w:val="both"/>
        <w:rPr>
          <w:rFonts w:ascii="Arial" w:hAnsi="Arial" w:cs="Arial"/>
          <w:color w:val="000000"/>
          <w:sz w:val="22"/>
          <w:szCs w:val="22"/>
        </w:rPr>
      </w:pPr>
    </w:p>
    <w:p w14:paraId="54ACF6D4"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Publicidade</w:t>
      </w:r>
    </w:p>
    <w:p w14:paraId="0A8616DC" w14:textId="77777777" w:rsidR="00FC10E9" w:rsidRDefault="00FC10E9">
      <w:pPr>
        <w:keepNext/>
        <w:tabs>
          <w:tab w:val="left" w:pos="709"/>
        </w:tabs>
        <w:spacing w:line="300" w:lineRule="atLeast"/>
        <w:jc w:val="both"/>
        <w:rPr>
          <w:rFonts w:ascii="Arial" w:hAnsi="Arial" w:cs="Arial"/>
          <w:color w:val="000000"/>
          <w:sz w:val="22"/>
          <w:szCs w:val="22"/>
        </w:rPr>
      </w:pPr>
    </w:p>
    <w:p w14:paraId="5527B95B"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4.11.1.</w:t>
      </w:r>
      <w:r>
        <w:rPr>
          <w:rFonts w:ascii="Arial" w:hAnsi="Arial" w:cs="Arial"/>
          <w:color w:val="000000"/>
          <w:sz w:val="22"/>
          <w:szCs w:val="22"/>
        </w:rPr>
        <w:tab/>
        <w:t>Todos os atos e decisões a serem tomados decorrentes desta Emissão que, de qualquer forma, vierem a envolver interesses dos Debenturistas, deverão ser obrigatoriamente comunicados na forma de avisos no jornal Valor Econômico – Edição Nacional, bem como na página da Emissora na rede mundial de computadores – Internet (</w:t>
      </w:r>
      <w:r>
        <w:rPr>
          <w:rFonts w:ascii="Arial" w:hAnsi="Arial" w:cs="Arial"/>
          <w:sz w:val="22"/>
          <w:szCs w:val="22"/>
        </w:rPr>
        <w:t>http://ri.americanas.com</w:t>
      </w:r>
      <w:r>
        <w:rPr>
          <w:rFonts w:ascii="Arial" w:hAnsi="Arial" w:cs="Arial"/>
          <w:color w:val="000000"/>
          <w:sz w:val="22"/>
          <w:szCs w:val="22"/>
        </w:rPr>
        <w:t>) (“</w:t>
      </w:r>
      <w:r>
        <w:rPr>
          <w:rFonts w:ascii="Arial" w:hAnsi="Arial" w:cs="Arial"/>
          <w:color w:val="000000"/>
          <w:sz w:val="22"/>
          <w:szCs w:val="22"/>
          <w:u w:val="single"/>
        </w:rPr>
        <w:t>Avisos aos Debenturistas</w:t>
      </w:r>
      <w:r>
        <w:rPr>
          <w:rFonts w:ascii="Arial" w:hAnsi="Arial" w:cs="Arial"/>
          <w:color w:val="000000"/>
          <w:sz w:val="22"/>
          <w:szCs w:val="22"/>
        </w:rPr>
        <w:t xml:space="preserve">”), observado o estabelecido no artigo 289 da Lei das Sociedades por Ações e as limitações impostas pela Instrução CVM 476 em relação à publicidade da Oferta Restrita e os prazos legais, devendo a Emissora comunicar o Agente Fiduciário a respeito de qualquer publicação na data da sua realização. </w:t>
      </w:r>
    </w:p>
    <w:p w14:paraId="6FFEC42D"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1BB8F6AC"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Comprovação de Titularidade das Debêntures</w:t>
      </w:r>
    </w:p>
    <w:p w14:paraId="21DBF5EF" w14:textId="77777777" w:rsidR="00FC10E9" w:rsidRDefault="00FC10E9">
      <w:pPr>
        <w:keepNext/>
        <w:tabs>
          <w:tab w:val="left" w:pos="709"/>
        </w:tabs>
        <w:spacing w:line="300" w:lineRule="atLeast"/>
        <w:ind w:left="709" w:hanging="709"/>
        <w:jc w:val="both"/>
        <w:rPr>
          <w:rFonts w:ascii="Arial" w:hAnsi="Arial" w:cs="Arial"/>
          <w:color w:val="000000"/>
          <w:sz w:val="22"/>
          <w:szCs w:val="22"/>
        </w:rPr>
      </w:pPr>
    </w:p>
    <w:p w14:paraId="0E769650" w14:textId="77777777" w:rsidR="00FC10E9" w:rsidRDefault="00B10E1A">
      <w:pPr>
        <w:spacing w:line="300" w:lineRule="atLeast"/>
        <w:jc w:val="both"/>
        <w:rPr>
          <w:rFonts w:ascii="Arial" w:hAnsi="Arial" w:cs="Arial"/>
          <w:color w:val="000000"/>
          <w:sz w:val="22"/>
          <w:szCs w:val="22"/>
        </w:rPr>
      </w:pPr>
      <w:r>
        <w:rPr>
          <w:rFonts w:ascii="Arial" w:hAnsi="Arial" w:cs="Arial"/>
          <w:color w:val="000000"/>
          <w:sz w:val="22"/>
          <w:szCs w:val="22"/>
        </w:rPr>
        <w:t>4.12.1.</w:t>
      </w:r>
      <w:r>
        <w:rPr>
          <w:rFonts w:ascii="Arial" w:hAnsi="Arial" w:cs="Arial"/>
          <w:color w:val="000000"/>
          <w:sz w:val="22"/>
          <w:szCs w:val="22"/>
        </w:rPr>
        <w:tab/>
        <w:t xml:space="preserve">A Emissora não emitirá certificados de Debêntures. Para todos os fins de direito, a titularidade das Debêntures será comprovada pelo extrato emitido pelo </w:t>
      </w:r>
      <w:proofErr w:type="spellStart"/>
      <w:r>
        <w:rPr>
          <w:rFonts w:ascii="Arial" w:hAnsi="Arial" w:cs="Arial"/>
          <w:sz w:val="22"/>
          <w:szCs w:val="22"/>
        </w:rPr>
        <w:t>Escriturador</w:t>
      </w:r>
      <w:proofErr w:type="spellEnd"/>
      <w:r>
        <w:rPr>
          <w:rFonts w:ascii="Arial" w:hAnsi="Arial" w:cs="Arial"/>
          <w:color w:val="000000"/>
          <w:sz w:val="22"/>
          <w:szCs w:val="22"/>
        </w:rPr>
        <w:t>. Adicionalmente, será reconhecido como comprovante de titularidade das Debêntures o extrato expedido pela B3, em nome de cada Debenturista, quando esses títulos estiverem custodiados eletronicamente na B3.</w:t>
      </w:r>
    </w:p>
    <w:p w14:paraId="76712F49"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F2FF482"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lastRenderedPageBreak/>
        <w:t>Liquidez e Estabilização</w:t>
      </w:r>
    </w:p>
    <w:p w14:paraId="1DC41C22" w14:textId="77777777" w:rsidR="00FC10E9" w:rsidRDefault="00FC10E9">
      <w:pPr>
        <w:keepNext/>
        <w:tabs>
          <w:tab w:val="left" w:pos="709"/>
        </w:tabs>
        <w:spacing w:line="300" w:lineRule="atLeast"/>
        <w:ind w:left="709" w:hanging="709"/>
        <w:jc w:val="both"/>
        <w:rPr>
          <w:rFonts w:ascii="Arial" w:hAnsi="Arial" w:cs="Arial"/>
          <w:color w:val="000000"/>
          <w:sz w:val="22"/>
          <w:szCs w:val="22"/>
        </w:rPr>
      </w:pPr>
    </w:p>
    <w:p w14:paraId="07781667" w14:textId="77777777" w:rsidR="00FC10E9" w:rsidRDefault="00B10E1A">
      <w:pPr>
        <w:spacing w:line="300" w:lineRule="atLeast"/>
        <w:jc w:val="both"/>
        <w:rPr>
          <w:rFonts w:ascii="Arial" w:hAnsi="Arial" w:cs="Arial"/>
          <w:color w:val="000000"/>
          <w:sz w:val="22"/>
          <w:szCs w:val="22"/>
        </w:rPr>
      </w:pPr>
      <w:r>
        <w:rPr>
          <w:rFonts w:ascii="Arial" w:hAnsi="Arial" w:cs="Arial"/>
          <w:color w:val="000000"/>
          <w:sz w:val="22"/>
          <w:szCs w:val="22"/>
        </w:rPr>
        <w:t>4.13.1.</w:t>
      </w:r>
      <w:r>
        <w:rPr>
          <w:rFonts w:ascii="Arial" w:hAnsi="Arial" w:cs="Arial"/>
          <w:color w:val="000000"/>
          <w:sz w:val="22"/>
          <w:szCs w:val="22"/>
        </w:rPr>
        <w:tab/>
        <w:t>Não será constituído fundo de manutenção de liquidez ou firmado contrato de garantia de liquidez ou estabilização de preço para as Debêntures.</w:t>
      </w:r>
    </w:p>
    <w:p w14:paraId="25001CE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06269B9"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Imunidade de Debenturistas</w:t>
      </w:r>
    </w:p>
    <w:p w14:paraId="2A7E8579" w14:textId="77777777" w:rsidR="00FC10E9" w:rsidRDefault="00FC10E9">
      <w:pPr>
        <w:keepNext/>
        <w:tabs>
          <w:tab w:val="left" w:pos="720"/>
          <w:tab w:val="left" w:pos="851"/>
        </w:tabs>
        <w:spacing w:line="300" w:lineRule="atLeast"/>
        <w:ind w:left="851" w:hanging="851"/>
        <w:jc w:val="both"/>
        <w:rPr>
          <w:rFonts w:ascii="Arial" w:hAnsi="Arial" w:cs="Arial"/>
          <w:color w:val="000000"/>
          <w:sz w:val="22"/>
          <w:szCs w:val="22"/>
        </w:rPr>
      </w:pPr>
    </w:p>
    <w:p w14:paraId="52D32D53"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4.14.1.</w:t>
      </w:r>
      <w:r>
        <w:rPr>
          <w:rFonts w:ascii="Arial" w:hAnsi="Arial" w:cs="Arial"/>
          <w:color w:val="000000"/>
          <w:sz w:val="22"/>
          <w:szCs w:val="22"/>
        </w:rPr>
        <w:tab/>
        <w:t xml:space="preserve">Caso qualquer Debenturista goze de algum tipo de imunidade ou isenção tributária, este deverá encaminhar </w:t>
      </w:r>
      <w:r>
        <w:rPr>
          <w:rFonts w:ascii="Arial" w:hAnsi="Arial" w:cs="Arial"/>
          <w:bCs/>
          <w:sz w:val="22"/>
          <w:szCs w:val="22"/>
        </w:rPr>
        <w:t xml:space="preserve">à Emissora, com cópia ao </w:t>
      </w:r>
      <w:proofErr w:type="spellStart"/>
      <w:r>
        <w:rPr>
          <w:rFonts w:ascii="Arial" w:hAnsi="Arial" w:cs="Arial"/>
          <w:sz w:val="22"/>
          <w:szCs w:val="22"/>
        </w:rPr>
        <w:t>Escriturador</w:t>
      </w:r>
      <w:proofErr w:type="spellEnd"/>
      <w:r>
        <w:rPr>
          <w:rFonts w:ascii="Arial" w:hAnsi="Arial" w:cs="Arial"/>
          <w:sz w:val="22"/>
          <w:szCs w:val="22"/>
        </w:rPr>
        <w:t xml:space="preserve"> e Banco Liquidante</w:t>
      </w:r>
      <w:r>
        <w:rPr>
          <w:rFonts w:ascii="Arial" w:hAnsi="Arial" w:cs="Arial"/>
          <w:color w:val="000000"/>
          <w:sz w:val="22"/>
          <w:szCs w:val="22"/>
        </w:rPr>
        <w:t xml:space="preserve">, no prazo mínimo de 10 (dez) Dias Úteis de antecedência em relação à data prevista para recebimento de quaisquer valores relativos às Debêntures, documentação comprobatória dessa imunidade ou isenção tributária, </w:t>
      </w:r>
      <w:r>
        <w:rPr>
          <w:rFonts w:ascii="Arial" w:hAnsi="Arial" w:cs="Arial"/>
          <w:bCs/>
          <w:sz w:val="22"/>
          <w:szCs w:val="22"/>
        </w:rPr>
        <w:t>sob pena de ter descontados dos seus rendimentos os valores devidos nos termos da legislação tributária em vigor</w:t>
      </w:r>
      <w:r>
        <w:rPr>
          <w:rFonts w:ascii="Arial" w:hAnsi="Arial" w:cs="Arial"/>
          <w:color w:val="000000"/>
          <w:sz w:val="22"/>
          <w:szCs w:val="22"/>
        </w:rPr>
        <w:t>.</w:t>
      </w:r>
    </w:p>
    <w:p w14:paraId="0A7EB61A" w14:textId="77777777" w:rsidR="00FC10E9" w:rsidRDefault="00FC10E9">
      <w:pPr>
        <w:tabs>
          <w:tab w:val="left" w:pos="2366"/>
        </w:tabs>
        <w:spacing w:line="300" w:lineRule="atLeast"/>
        <w:jc w:val="both"/>
        <w:rPr>
          <w:rFonts w:ascii="Arial" w:hAnsi="Arial" w:cs="Arial"/>
          <w:color w:val="000000"/>
          <w:sz w:val="22"/>
          <w:szCs w:val="22"/>
        </w:rPr>
      </w:pPr>
    </w:p>
    <w:p w14:paraId="3A1CBAF8" w14:textId="77777777" w:rsidR="00FC10E9" w:rsidRDefault="00B10E1A">
      <w:pPr>
        <w:tabs>
          <w:tab w:val="left" w:pos="1560"/>
        </w:tabs>
        <w:spacing w:line="300" w:lineRule="atLeast"/>
        <w:ind w:firstLine="709"/>
        <w:jc w:val="both"/>
        <w:rPr>
          <w:rFonts w:ascii="Arial" w:hAnsi="Arial" w:cs="Arial"/>
          <w:color w:val="000000"/>
          <w:sz w:val="22"/>
          <w:szCs w:val="22"/>
        </w:rPr>
      </w:pPr>
      <w:r>
        <w:rPr>
          <w:rFonts w:ascii="Arial" w:hAnsi="Arial" w:cs="Arial"/>
          <w:color w:val="000000"/>
          <w:sz w:val="22"/>
          <w:szCs w:val="22"/>
        </w:rPr>
        <w:t>4.14.1.1.</w:t>
      </w:r>
      <w:r>
        <w:rPr>
          <w:rFonts w:ascii="Arial" w:hAnsi="Arial" w:cs="Arial"/>
          <w:color w:val="000000"/>
          <w:sz w:val="22"/>
          <w:szCs w:val="22"/>
        </w:rPr>
        <w:tab/>
        <w:t xml:space="preserve">O Debenturista que tenha apresentado documentação comprobatória de sua condição de imunidade ou isenção tributária, nos termos da Cláusula 4.14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w:t>
      </w:r>
      <w:r>
        <w:rPr>
          <w:rFonts w:ascii="Arial" w:hAnsi="Arial" w:cs="Arial"/>
          <w:bCs/>
          <w:sz w:val="22"/>
          <w:szCs w:val="22"/>
        </w:rPr>
        <w:t xml:space="preserve">à Emissora, com cópia ao </w:t>
      </w:r>
      <w:proofErr w:type="spellStart"/>
      <w:r>
        <w:rPr>
          <w:rFonts w:ascii="Arial" w:hAnsi="Arial" w:cs="Arial"/>
          <w:sz w:val="22"/>
          <w:szCs w:val="22"/>
        </w:rPr>
        <w:t>Escriturador</w:t>
      </w:r>
      <w:proofErr w:type="spellEnd"/>
      <w:r>
        <w:rPr>
          <w:rFonts w:ascii="Arial" w:hAnsi="Arial" w:cs="Arial"/>
          <w:sz w:val="22"/>
          <w:szCs w:val="22"/>
        </w:rPr>
        <w:t xml:space="preserve"> e Banco Liquidante</w:t>
      </w:r>
      <w:r>
        <w:rPr>
          <w:rFonts w:ascii="Arial" w:hAnsi="Arial" w:cs="Arial"/>
          <w:color w:val="000000"/>
          <w:sz w:val="22"/>
          <w:szCs w:val="22"/>
        </w:rPr>
        <w:t xml:space="preserve">, bem como prestar qualquer informação adicional em relação ao tema que lhe seja solicitada pela </w:t>
      </w:r>
      <w:r>
        <w:rPr>
          <w:rFonts w:ascii="Arial" w:hAnsi="Arial" w:cs="Arial"/>
          <w:bCs/>
          <w:sz w:val="22"/>
          <w:szCs w:val="22"/>
        </w:rPr>
        <w:t xml:space="preserve">Emissora, pelo </w:t>
      </w:r>
      <w:proofErr w:type="spellStart"/>
      <w:r>
        <w:rPr>
          <w:rFonts w:ascii="Arial" w:hAnsi="Arial" w:cs="Arial"/>
          <w:sz w:val="22"/>
          <w:szCs w:val="22"/>
        </w:rPr>
        <w:t>Escriturador</w:t>
      </w:r>
      <w:proofErr w:type="spellEnd"/>
      <w:r>
        <w:rPr>
          <w:rFonts w:ascii="Arial" w:hAnsi="Arial" w:cs="Arial"/>
          <w:sz w:val="22"/>
          <w:szCs w:val="22"/>
        </w:rPr>
        <w:t xml:space="preserve"> e/ou pelo Banco Liquidante</w:t>
      </w:r>
      <w:r>
        <w:rPr>
          <w:rFonts w:ascii="Arial" w:hAnsi="Arial" w:cs="Arial"/>
          <w:color w:val="000000"/>
          <w:sz w:val="22"/>
          <w:szCs w:val="22"/>
        </w:rPr>
        <w:t>.</w:t>
      </w:r>
    </w:p>
    <w:p w14:paraId="7B3D866B" w14:textId="77777777" w:rsidR="00FC10E9" w:rsidRDefault="00FC10E9">
      <w:pPr>
        <w:tabs>
          <w:tab w:val="left" w:pos="1418"/>
          <w:tab w:val="left" w:pos="1560"/>
        </w:tabs>
        <w:spacing w:line="300" w:lineRule="atLeast"/>
        <w:ind w:firstLine="709"/>
        <w:jc w:val="both"/>
        <w:rPr>
          <w:rFonts w:ascii="Arial" w:hAnsi="Arial" w:cs="Arial"/>
          <w:color w:val="000000"/>
          <w:sz w:val="22"/>
          <w:szCs w:val="22"/>
        </w:rPr>
      </w:pPr>
    </w:p>
    <w:p w14:paraId="025ABE45" w14:textId="77777777" w:rsidR="00FC10E9" w:rsidRDefault="00B10E1A">
      <w:pPr>
        <w:tabs>
          <w:tab w:val="left" w:pos="1560"/>
        </w:tabs>
        <w:spacing w:line="300" w:lineRule="atLeast"/>
        <w:ind w:firstLine="709"/>
        <w:jc w:val="both"/>
        <w:rPr>
          <w:rFonts w:ascii="Arial" w:hAnsi="Arial" w:cs="Arial"/>
          <w:color w:val="000000"/>
          <w:sz w:val="22"/>
          <w:szCs w:val="22"/>
        </w:rPr>
      </w:pPr>
      <w:r>
        <w:rPr>
          <w:rFonts w:ascii="Arial" w:hAnsi="Arial" w:cs="Arial"/>
          <w:color w:val="000000"/>
          <w:sz w:val="22"/>
          <w:szCs w:val="22"/>
        </w:rPr>
        <w:t>4.14.1.2.</w:t>
      </w:r>
      <w:r>
        <w:rPr>
          <w:rFonts w:ascii="Arial" w:hAnsi="Arial" w:cs="Arial"/>
          <w:color w:val="000000"/>
          <w:sz w:val="22"/>
          <w:szCs w:val="22"/>
        </w:rPr>
        <w:tab/>
        <w:t>Mesmo que tenha recebido a documentação referida na Cláusula 4.14.1 acima, e desde que tenha fundamento legal para tanto, fica facultado à Emissora</w:t>
      </w:r>
      <w:r>
        <w:rPr>
          <w:rFonts w:ascii="Arial" w:hAnsi="Arial" w:cs="Arial"/>
          <w:bCs/>
          <w:sz w:val="22"/>
          <w:szCs w:val="22"/>
        </w:rPr>
        <w:t xml:space="preserve">, ao </w:t>
      </w:r>
      <w:proofErr w:type="spellStart"/>
      <w:r>
        <w:rPr>
          <w:rFonts w:ascii="Arial" w:hAnsi="Arial" w:cs="Arial"/>
          <w:sz w:val="22"/>
          <w:szCs w:val="22"/>
        </w:rPr>
        <w:t>Escriturador</w:t>
      </w:r>
      <w:proofErr w:type="spellEnd"/>
      <w:r>
        <w:rPr>
          <w:rFonts w:ascii="Arial" w:hAnsi="Arial" w:cs="Arial"/>
          <w:sz w:val="22"/>
          <w:szCs w:val="22"/>
        </w:rPr>
        <w:t xml:space="preserve"> e/ou ao Banco Liquidante </w:t>
      </w:r>
      <w:r>
        <w:rPr>
          <w:rFonts w:ascii="Arial" w:hAnsi="Arial" w:cs="Arial"/>
          <w:color w:val="000000"/>
          <w:sz w:val="22"/>
          <w:szCs w:val="22"/>
        </w:rPr>
        <w:t xml:space="preserve">depositar em juízo ou descontar de quaisquer valores relacionados às Debêntures a tributação que entender devida, sem que esse fato possa gerar pretensão indenizatória contra a Emissora, </w:t>
      </w:r>
      <w:r>
        <w:rPr>
          <w:rFonts w:ascii="Arial" w:hAnsi="Arial" w:cs="Arial"/>
          <w:bCs/>
          <w:sz w:val="22"/>
          <w:szCs w:val="22"/>
        </w:rPr>
        <w:t xml:space="preserve">o </w:t>
      </w:r>
      <w:proofErr w:type="spellStart"/>
      <w:r>
        <w:rPr>
          <w:rFonts w:ascii="Arial" w:hAnsi="Arial" w:cs="Arial"/>
          <w:sz w:val="22"/>
          <w:szCs w:val="22"/>
        </w:rPr>
        <w:t>Escriturador</w:t>
      </w:r>
      <w:proofErr w:type="spellEnd"/>
      <w:r>
        <w:rPr>
          <w:rFonts w:ascii="Arial" w:hAnsi="Arial" w:cs="Arial"/>
          <w:sz w:val="22"/>
          <w:szCs w:val="22"/>
        </w:rPr>
        <w:t xml:space="preserve"> e/ou o Banco Liquidante</w:t>
      </w:r>
      <w:r>
        <w:rPr>
          <w:rFonts w:ascii="Arial" w:hAnsi="Arial" w:cs="Arial"/>
          <w:color w:val="000000"/>
          <w:sz w:val="22"/>
          <w:szCs w:val="22"/>
        </w:rPr>
        <w:t xml:space="preserve"> por parte de qualquer Debenturista ou terceiro.</w:t>
      </w:r>
    </w:p>
    <w:p w14:paraId="6E42193B"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8CEE72A"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Fundo de Amortização</w:t>
      </w:r>
    </w:p>
    <w:p w14:paraId="34873B68" w14:textId="77777777" w:rsidR="00FC10E9" w:rsidRDefault="00FC10E9">
      <w:pPr>
        <w:keepNext/>
        <w:tabs>
          <w:tab w:val="left" w:pos="720"/>
          <w:tab w:val="left" w:pos="851"/>
        </w:tabs>
        <w:spacing w:line="300" w:lineRule="atLeast"/>
        <w:ind w:left="851" w:hanging="933"/>
        <w:jc w:val="both"/>
        <w:rPr>
          <w:rFonts w:ascii="Arial" w:hAnsi="Arial" w:cs="Arial"/>
          <w:color w:val="000000"/>
          <w:sz w:val="22"/>
          <w:szCs w:val="22"/>
        </w:rPr>
      </w:pPr>
    </w:p>
    <w:p w14:paraId="42FED614" w14:textId="77777777" w:rsidR="00FC10E9" w:rsidRDefault="00B10E1A">
      <w:pPr>
        <w:tabs>
          <w:tab w:val="left" w:pos="851"/>
        </w:tabs>
        <w:spacing w:line="300" w:lineRule="atLeast"/>
        <w:jc w:val="both"/>
        <w:rPr>
          <w:rFonts w:ascii="Arial" w:hAnsi="Arial" w:cs="Arial"/>
          <w:color w:val="000000"/>
          <w:sz w:val="22"/>
          <w:szCs w:val="22"/>
        </w:rPr>
      </w:pPr>
      <w:r>
        <w:rPr>
          <w:rFonts w:ascii="Arial" w:hAnsi="Arial" w:cs="Arial"/>
          <w:color w:val="000000"/>
          <w:sz w:val="22"/>
          <w:szCs w:val="22"/>
        </w:rPr>
        <w:t>4.15.1.</w:t>
      </w:r>
      <w:r>
        <w:rPr>
          <w:rFonts w:ascii="Arial" w:hAnsi="Arial" w:cs="Arial"/>
          <w:color w:val="000000"/>
          <w:sz w:val="22"/>
          <w:szCs w:val="22"/>
        </w:rPr>
        <w:tab/>
        <w:t>Não será constituído fundo de amortização para a presente Emissão.</w:t>
      </w:r>
    </w:p>
    <w:p w14:paraId="45679A2D" w14:textId="77777777" w:rsidR="00FC10E9" w:rsidRDefault="00FC10E9">
      <w:pPr>
        <w:tabs>
          <w:tab w:val="left" w:pos="851"/>
        </w:tabs>
        <w:spacing w:line="300" w:lineRule="atLeast"/>
        <w:ind w:left="851"/>
        <w:jc w:val="both"/>
        <w:rPr>
          <w:rFonts w:ascii="Arial" w:hAnsi="Arial" w:cs="Arial"/>
          <w:color w:val="000000"/>
          <w:sz w:val="22"/>
          <w:szCs w:val="22"/>
        </w:rPr>
      </w:pPr>
    </w:p>
    <w:p w14:paraId="3292932E" w14:textId="77777777" w:rsidR="00FC10E9" w:rsidRDefault="00B10E1A">
      <w:pPr>
        <w:keepNext/>
        <w:numPr>
          <w:ilvl w:val="1"/>
          <w:numId w:val="49"/>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Classificação de Risco</w:t>
      </w:r>
    </w:p>
    <w:p w14:paraId="3C251597" w14:textId="77777777" w:rsidR="00FC10E9" w:rsidRDefault="00FC10E9">
      <w:pPr>
        <w:keepNext/>
        <w:keepLines/>
        <w:tabs>
          <w:tab w:val="left" w:pos="851"/>
        </w:tabs>
        <w:spacing w:line="300" w:lineRule="atLeast"/>
        <w:jc w:val="both"/>
        <w:rPr>
          <w:rFonts w:ascii="Arial" w:hAnsi="Arial" w:cs="Arial"/>
          <w:b/>
          <w:color w:val="000000"/>
          <w:sz w:val="22"/>
          <w:szCs w:val="22"/>
        </w:rPr>
      </w:pPr>
    </w:p>
    <w:p w14:paraId="75BA1F70" w14:textId="77777777" w:rsidR="00FC10E9" w:rsidRDefault="00B10E1A">
      <w:pPr>
        <w:tabs>
          <w:tab w:val="left" w:pos="851"/>
        </w:tabs>
        <w:spacing w:line="300" w:lineRule="atLeast"/>
        <w:jc w:val="both"/>
        <w:rPr>
          <w:rFonts w:ascii="Arial" w:hAnsi="Arial" w:cs="Arial"/>
          <w:color w:val="000000"/>
          <w:sz w:val="22"/>
          <w:szCs w:val="22"/>
        </w:rPr>
      </w:pPr>
      <w:r>
        <w:rPr>
          <w:rFonts w:ascii="Arial" w:hAnsi="Arial" w:cs="Arial"/>
          <w:color w:val="000000"/>
          <w:sz w:val="22"/>
          <w:szCs w:val="22"/>
        </w:rPr>
        <w:t>4.16.1.</w:t>
      </w:r>
      <w:r>
        <w:rPr>
          <w:rFonts w:ascii="Arial" w:hAnsi="Arial" w:cs="Arial"/>
          <w:color w:val="000000"/>
          <w:sz w:val="22"/>
          <w:szCs w:val="22"/>
        </w:rPr>
        <w:tab/>
      </w:r>
      <w:r>
        <w:rPr>
          <w:rFonts w:ascii="Arial" w:hAnsi="Arial" w:cs="Arial"/>
          <w:color w:val="000000"/>
          <w:sz w:val="22"/>
          <w:szCs w:val="22"/>
          <w:lang w:val="pt-PT"/>
        </w:rPr>
        <w:t xml:space="preserve">Será contratada como agência de classificação de risco da Oferta Restrita </w:t>
      </w:r>
      <w:r>
        <w:rPr>
          <w:rFonts w:ascii="Arial" w:hAnsi="Arial" w:cs="Arial"/>
          <w:sz w:val="22"/>
          <w:szCs w:val="22"/>
        </w:rPr>
        <w:t>a Fitch Ratings (“</w:t>
      </w:r>
      <w:r>
        <w:rPr>
          <w:rFonts w:ascii="Arial" w:hAnsi="Arial" w:cs="Arial"/>
          <w:sz w:val="22"/>
          <w:szCs w:val="22"/>
          <w:u w:val="single"/>
        </w:rPr>
        <w:t>Agência de Classificação de Risco</w:t>
      </w:r>
      <w:r>
        <w:rPr>
          <w:rFonts w:ascii="Arial" w:hAnsi="Arial" w:cs="Arial"/>
          <w:sz w:val="22"/>
          <w:szCs w:val="22"/>
        </w:rPr>
        <w:t>”)</w:t>
      </w:r>
      <w:r>
        <w:rPr>
          <w:rFonts w:ascii="Arial" w:hAnsi="Arial" w:cs="Arial"/>
          <w:color w:val="000000"/>
          <w:sz w:val="22"/>
          <w:szCs w:val="22"/>
          <w:lang w:val="pt-PT"/>
        </w:rPr>
        <w:t xml:space="preserve">, que atribuirá </w:t>
      </w:r>
      <w:r>
        <w:rPr>
          <w:rFonts w:ascii="Arial" w:hAnsi="Arial" w:cs="Arial"/>
          <w:i/>
          <w:color w:val="000000"/>
          <w:sz w:val="22"/>
          <w:szCs w:val="22"/>
          <w:lang w:val="pt-PT"/>
        </w:rPr>
        <w:t>rating</w:t>
      </w:r>
      <w:r>
        <w:rPr>
          <w:rFonts w:ascii="Arial" w:hAnsi="Arial" w:cs="Arial"/>
          <w:color w:val="000000"/>
          <w:sz w:val="22"/>
          <w:szCs w:val="22"/>
          <w:lang w:val="pt-PT"/>
        </w:rPr>
        <w:t xml:space="preserve"> às Debêntures, sendo certo que a atualização do </w:t>
      </w:r>
      <w:r>
        <w:rPr>
          <w:rFonts w:ascii="Arial" w:hAnsi="Arial" w:cs="Arial"/>
          <w:i/>
          <w:color w:val="000000"/>
          <w:sz w:val="22"/>
          <w:szCs w:val="22"/>
          <w:lang w:val="pt-PT"/>
        </w:rPr>
        <w:t xml:space="preserve">rating </w:t>
      </w:r>
      <w:r>
        <w:rPr>
          <w:rFonts w:ascii="Arial" w:hAnsi="Arial" w:cs="Arial"/>
          <w:color w:val="000000"/>
          <w:sz w:val="22"/>
          <w:szCs w:val="22"/>
          <w:lang w:val="pt-PT"/>
        </w:rPr>
        <w:t>não será obrigatória</w:t>
      </w:r>
      <w:r>
        <w:rPr>
          <w:rFonts w:ascii="Arial" w:hAnsi="Arial" w:cs="Arial"/>
          <w:color w:val="000000"/>
          <w:sz w:val="22"/>
          <w:szCs w:val="22"/>
        </w:rPr>
        <w:t xml:space="preserve">. </w:t>
      </w:r>
    </w:p>
    <w:p w14:paraId="005506E0" w14:textId="77777777" w:rsidR="00FC10E9" w:rsidRDefault="00FC10E9">
      <w:pPr>
        <w:tabs>
          <w:tab w:val="left" w:pos="720"/>
          <w:tab w:val="left" w:pos="2366"/>
        </w:tabs>
        <w:spacing w:line="300" w:lineRule="atLeast"/>
        <w:jc w:val="both"/>
        <w:rPr>
          <w:rFonts w:ascii="Arial" w:hAnsi="Arial" w:cs="Arial"/>
          <w:color w:val="000000"/>
          <w:sz w:val="22"/>
          <w:szCs w:val="22"/>
          <w:lang w:val="pt-PT"/>
        </w:rPr>
      </w:pPr>
      <w:bookmarkStart w:id="14" w:name="_DV_M232"/>
      <w:bookmarkEnd w:id="14"/>
    </w:p>
    <w:p w14:paraId="58F5642A" w14:textId="77777777" w:rsidR="00FC10E9" w:rsidRDefault="00FC10E9">
      <w:pPr>
        <w:tabs>
          <w:tab w:val="left" w:pos="720"/>
          <w:tab w:val="left" w:pos="2366"/>
        </w:tabs>
        <w:spacing w:line="300" w:lineRule="atLeast"/>
        <w:jc w:val="both"/>
        <w:rPr>
          <w:rFonts w:ascii="Arial" w:hAnsi="Arial" w:cs="Arial"/>
          <w:color w:val="000000"/>
          <w:sz w:val="22"/>
          <w:szCs w:val="22"/>
          <w:lang w:val="pt-PT"/>
        </w:rPr>
      </w:pPr>
    </w:p>
    <w:p w14:paraId="59108037" w14:textId="77777777" w:rsidR="00FC10E9" w:rsidRDefault="00B10E1A">
      <w:pPr>
        <w:pStyle w:val="SCBFTtulo1"/>
        <w:keepLines w:val="0"/>
        <w:spacing w:line="300" w:lineRule="atLeast"/>
        <w:rPr>
          <w:rFonts w:ascii="Arial" w:hAnsi="Arial" w:cs="Arial"/>
          <w:color w:val="000000"/>
        </w:rPr>
      </w:pPr>
      <w:bookmarkStart w:id="15" w:name="_Toc510004475"/>
      <w:r>
        <w:rPr>
          <w:rFonts w:ascii="Arial" w:hAnsi="Arial" w:cs="Arial"/>
          <w:color w:val="000000"/>
        </w:rPr>
        <w:lastRenderedPageBreak/>
        <w:t xml:space="preserve">CLÁUSULA V </w:t>
      </w:r>
      <w:r>
        <w:rPr>
          <w:rFonts w:ascii="Arial" w:hAnsi="Arial" w:cs="Arial"/>
          <w:color w:val="000000"/>
        </w:rPr>
        <w:br/>
        <w:t>ADITAMENTOS À PRESENTE ESCRITURA</w:t>
      </w:r>
      <w:bookmarkEnd w:id="15"/>
    </w:p>
    <w:p w14:paraId="6913A7DA"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321B4949" w14:textId="77777777" w:rsidR="00FC10E9" w:rsidRDefault="00B10E1A">
      <w:pPr>
        <w:keepNext/>
        <w:numPr>
          <w:ilvl w:val="1"/>
          <w:numId w:val="11"/>
        </w:num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Celebração de Aditamentos à Escritura e Arquivamento na JUCERJA</w:t>
      </w:r>
    </w:p>
    <w:p w14:paraId="5BD74F5B"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6E0C4E17" w14:textId="77777777" w:rsidR="00FC10E9" w:rsidRDefault="00B10E1A">
      <w:pPr>
        <w:keepNext/>
        <w:numPr>
          <w:ilvl w:val="2"/>
          <w:numId w:val="12"/>
        </w:numPr>
        <w:tabs>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Quaisquer aditamentos a esta Escritura deverão ser celebrados pela Emissora e pelo Agente Fiduciário e posteriormente arquivados pela Emissora, em até 30 (trinta) dias, na JUCERJA, e enviada uma cópia ao Agente Fiduciário contendo o devido registro na JUCERJA.</w:t>
      </w:r>
    </w:p>
    <w:p w14:paraId="691CC81B"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035A87A"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58CFCAD" w14:textId="77777777" w:rsidR="00FC10E9" w:rsidRDefault="00B10E1A">
      <w:pPr>
        <w:pStyle w:val="SCBFTtulo1"/>
        <w:keepLines w:val="0"/>
        <w:spacing w:line="300" w:lineRule="atLeast"/>
        <w:rPr>
          <w:rFonts w:ascii="Arial" w:hAnsi="Arial" w:cs="Arial"/>
          <w:color w:val="000000"/>
        </w:rPr>
      </w:pPr>
      <w:bookmarkStart w:id="16" w:name="_Toc510004476"/>
      <w:r>
        <w:rPr>
          <w:rFonts w:ascii="Arial" w:hAnsi="Arial" w:cs="Arial"/>
          <w:color w:val="000000"/>
        </w:rPr>
        <w:t xml:space="preserve">CLÁUSULA VI </w:t>
      </w:r>
      <w:r>
        <w:rPr>
          <w:rFonts w:ascii="Arial" w:hAnsi="Arial" w:cs="Arial"/>
          <w:color w:val="000000"/>
        </w:rPr>
        <w:br/>
        <w:t>RESGATE ANTECIPADO FACULTATIVO,</w:t>
      </w:r>
      <w:r>
        <w:rPr>
          <w:rFonts w:ascii="Arial" w:hAnsi="Arial" w:cs="Arial"/>
          <w:color w:val="000000"/>
          <w:lang w:val="pt-BR"/>
        </w:rPr>
        <w:t xml:space="preserve"> </w:t>
      </w:r>
      <w:r>
        <w:rPr>
          <w:rFonts w:ascii="Arial" w:hAnsi="Arial" w:cs="Arial"/>
          <w:color w:val="000000"/>
        </w:rPr>
        <w:t xml:space="preserve">AMORTIZAÇÃO </w:t>
      </w:r>
      <w:r>
        <w:rPr>
          <w:rFonts w:ascii="Arial" w:hAnsi="Arial" w:cs="Arial"/>
          <w:color w:val="000000"/>
          <w:lang w:val="pt-BR"/>
        </w:rPr>
        <w:t xml:space="preserve">EXTRAORDINÁRIA </w:t>
      </w:r>
      <w:r>
        <w:rPr>
          <w:rFonts w:ascii="Arial" w:hAnsi="Arial" w:cs="Arial"/>
          <w:color w:val="000000"/>
        </w:rPr>
        <w:t>FACULTATIVA E AQUISIÇÃO FACULTATIVA</w:t>
      </w:r>
      <w:bookmarkEnd w:id="16"/>
    </w:p>
    <w:p w14:paraId="3CC66711"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226CD882" w14:textId="77777777" w:rsidR="00FC10E9" w:rsidRDefault="00B10E1A">
      <w:pPr>
        <w:keepNext/>
        <w:numPr>
          <w:ilvl w:val="1"/>
          <w:numId w:val="13"/>
        </w:numPr>
        <w:tabs>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Resgate Antecipado Facultativo Total e Amortização Extraordinária Facultativa</w:t>
      </w:r>
    </w:p>
    <w:p w14:paraId="44BACB31"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D11FA15" w14:textId="77777777" w:rsidR="00FC10E9" w:rsidRDefault="00B10E1A">
      <w:pPr>
        <w:numPr>
          <w:ilvl w:val="0"/>
          <w:numId w:val="14"/>
        </w:numPr>
        <w:spacing w:line="300" w:lineRule="atLeast"/>
        <w:ind w:left="0" w:firstLine="0"/>
        <w:jc w:val="both"/>
        <w:rPr>
          <w:rFonts w:ascii="Arial" w:hAnsi="Arial" w:cs="Arial"/>
          <w:bCs/>
          <w:color w:val="000000"/>
          <w:sz w:val="22"/>
          <w:szCs w:val="22"/>
        </w:rPr>
      </w:pPr>
      <w:r>
        <w:rPr>
          <w:rFonts w:ascii="Arial" w:hAnsi="Arial" w:cs="Arial"/>
          <w:bCs/>
          <w:color w:val="000000"/>
          <w:sz w:val="22"/>
          <w:szCs w:val="22"/>
          <w:u w:val="single"/>
        </w:rPr>
        <w:t>Resgate Antecipado Facultativo Total</w:t>
      </w:r>
      <w:r>
        <w:rPr>
          <w:rFonts w:ascii="Arial" w:hAnsi="Arial" w:cs="Arial"/>
          <w:bCs/>
          <w:color w:val="000000"/>
          <w:sz w:val="22"/>
          <w:szCs w:val="22"/>
        </w:rPr>
        <w:t xml:space="preserve">. </w:t>
      </w:r>
      <w:r>
        <w:rPr>
          <w:rFonts w:ascii="Arial" w:hAnsi="Arial" w:cs="Arial"/>
          <w:sz w:val="22"/>
          <w:szCs w:val="22"/>
          <w:bdr w:val="none" w:sz="0" w:space="0" w:color="auto" w:frame="1"/>
        </w:rPr>
        <w:t>A Emissora poderá, a seu exclusivo critério, a partir de 15 de julho de 2027 (inclusive), realizar o resgate antecipado total das Debêntures (“</w:t>
      </w:r>
      <w:r>
        <w:rPr>
          <w:rFonts w:ascii="Arial" w:hAnsi="Arial" w:cs="Arial"/>
          <w:sz w:val="22"/>
          <w:szCs w:val="22"/>
          <w:u w:val="single"/>
          <w:bdr w:val="none" w:sz="0" w:space="0" w:color="auto" w:frame="1"/>
        </w:rPr>
        <w:t>Resgate Antecipado Facultativo Total</w:t>
      </w:r>
      <w:r>
        <w:rPr>
          <w:rFonts w:ascii="Arial" w:hAnsi="Arial" w:cs="Arial"/>
          <w:sz w:val="22"/>
          <w:szCs w:val="22"/>
          <w:bdr w:val="none" w:sz="0" w:space="0" w:color="auto" w:frame="1"/>
        </w:rPr>
        <w:t xml:space="preserve">”). Por ocasião do Resgate Antecipado Facultativo Total, o </w:t>
      </w:r>
      <w:r>
        <w:rPr>
          <w:rFonts w:ascii="Arial" w:eastAsia="Garamond" w:hAnsi="Arial" w:cs="Arial"/>
          <w:bCs/>
          <w:sz w:val="22"/>
          <w:szCs w:val="22"/>
          <w:bdr w:val="none" w:sz="0" w:space="0" w:color="auto" w:frame="1"/>
        </w:rPr>
        <w:t xml:space="preserve">valor a ser pago aos Debenturistas será </w:t>
      </w:r>
      <w:r>
        <w:rPr>
          <w:rStyle w:val="NenhumA"/>
          <w:rFonts w:ascii="Arial" w:eastAsia="Garamond" w:hAnsi="Arial" w:cs="Arial"/>
          <w:bCs/>
          <w:sz w:val="22"/>
          <w:szCs w:val="22"/>
          <w:bdr w:val="none" w:sz="0" w:space="0" w:color="auto" w:frame="1"/>
        </w:rPr>
        <w:t xml:space="preserve">equivalente (a) ao Valor Nominal Unitário ou saldo do Valor Nominal Unitário das Debêntures a serem resgatadas, acrescido (b) da Remuneração e dos Encargos Moratórios, se for o caso, devidos e ainda não pagos, calculados </w:t>
      </w:r>
      <w:r>
        <w:rPr>
          <w:rStyle w:val="NenhumA"/>
          <w:rFonts w:ascii="Arial" w:eastAsia="Garamond" w:hAnsi="Arial" w:cs="Arial"/>
          <w:bCs/>
          <w:i/>
          <w:sz w:val="22"/>
          <w:szCs w:val="22"/>
          <w:bdr w:val="none" w:sz="0" w:space="0" w:color="auto" w:frame="1"/>
        </w:rPr>
        <w:t xml:space="preserve">pro rata </w:t>
      </w:r>
      <w:proofErr w:type="spellStart"/>
      <w:r>
        <w:rPr>
          <w:rStyle w:val="NenhumA"/>
          <w:rFonts w:ascii="Arial" w:eastAsia="Garamond" w:hAnsi="Arial" w:cs="Arial"/>
          <w:bCs/>
          <w:i/>
          <w:sz w:val="22"/>
          <w:szCs w:val="22"/>
          <w:bdr w:val="none" w:sz="0" w:space="0" w:color="auto" w:frame="1"/>
        </w:rPr>
        <w:t>temporis</w:t>
      </w:r>
      <w:proofErr w:type="spellEnd"/>
      <w:r>
        <w:rPr>
          <w:rStyle w:val="NenhumA"/>
          <w:rFonts w:ascii="Arial" w:eastAsia="Garamond" w:hAnsi="Arial" w:cs="Arial"/>
          <w:bCs/>
          <w:sz w:val="22"/>
          <w:szCs w:val="22"/>
          <w:bdr w:val="none" w:sz="0" w:space="0" w:color="auto" w:frame="1"/>
        </w:rPr>
        <w:t xml:space="preserve"> desde a primeira Data de Integralização ou a Data de Pagamento da Remuneração imediatamente anterior, o que tiver ocorrido por último, até a data do Resgate Antecipado Facultativo Total e (c) de prêmio </w:t>
      </w:r>
      <w:r>
        <w:rPr>
          <w:rStyle w:val="NenhumA"/>
          <w:rFonts w:ascii="Arial" w:eastAsia="Garamond" w:hAnsi="Arial" w:cs="Arial"/>
          <w:bCs/>
          <w:i/>
          <w:sz w:val="22"/>
          <w:szCs w:val="22"/>
          <w:bdr w:val="none" w:sz="0" w:space="0" w:color="auto" w:frame="1"/>
        </w:rPr>
        <w:t>flat</w:t>
      </w:r>
      <w:r>
        <w:rPr>
          <w:rStyle w:val="NenhumA"/>
          <w:rFonts w:ascii="Arial" w:eastAsia="Garamond" w:hAnsi="Arial" w:cs="Arial"/>
          <w:bCs/>
          <w:sz w:val="22"/>
          <w:szCs w:val="22"/>
          <w:bdr w:val="none" w:sz="0" w:space="0" w:color="auto" w:frame="1"/>
        </w:rPr>
        <w:t xml:space="preserve"> correspondente a 0,60% (sessenta centésimos por cento) ao ano, considerando os Dias Úteis transcorridos entre a data do Resgate Antecipado Facultativo Total e a Data de Vencimento, incidente sobre o Valor Nominal Unitário ou saldo do Valor Nominal Unitário, conforme fórmula abaixo (“</w:t>
      </w:r>
      <w:r>
        <w:rPr>
          <w:rStyle w:val="NenhumA"/>
          <w:rFonts w:ascii="Arial" w:eastAsia="Garamond" w:hAnsi="Arial" w:cs="Arial"/>
          <w:bCs/>
          <w:sz w:val="22"/>
          <w:szCs w:val="22"/>
          <w:u w:val="single"/>
          <w:bdr w:val="none" w:sz="0" w:space="0" w:color="auto" w:frame="1"/>
        </w:rPr>
        <w:t>Prêmio de Resgate</w:t>
      </w:r>
      <w:r>
        <w:rPr>
          <w:rStyle w:val="NenhumA"/>
          <w:rFonts w:ascii="Arial" w:eastAsia="Garamond" w:hAnsi="Arial" w:cs="Arial"/>
          <w:bCs/>
          <w:sz w:val="22"/>
          <w:szCs w:val="22"/>
          <w:bdr w:val="none" w:sz="0" w:space="0" w:color="auto" w:frame="1"/>
        </w:rPr>
        <w:t>”</w:t>
      </w:r>
      <w:r>
        <w:rPr>
          <w:rFonts w:ascii="Arial" w:hAnsi="Arial" w:cs="Arial"/>
          <w:bCs/>
          <w:color w:val="000000"/>
          <w:sz w:val="22"/>
          <w:szCs w:val="22"/>
        </w:rPr>
        <w:t xml:space="preserve">). </w:t>
      </w:r>
    </w:p>
    <w:p w14:paraId="45B3C4F4" w14:textId="77777777" w:rsidR="00FC10E9" w:rsidRDefault="00FC10E9">
      <w:pPr>
        <w:spacing w:line="300" w:lineRule="atLeast"/>
        <w:jc w:val="both"/>
        <w:rPr>
          <w:rFonts w:ascii="Arial" w:hAnsi="Arial" w:cs="Arial"/>
          <w:bCs/>
          <w:color w:val="000000"/>
          <w:sz w:val="22"/>
          <w:szCs w:val="22"/>
        </w:rPr>
      </w:pPr>
    </w:p>
    <w:p w14:paraId="1C97AFDE" w14:textId="77777777" w:rsidR="00FC10E9" w:rsidRDefault="00B10E1A">
      <w:pPr>
        <w:spacing w:line="300" w:lineRule="atLeast"/>
        <w:ind w:left="2127"/>
        <w:rPr>
          <w:rFonts w:ascii="Arial" w:hAnsi="Arial" w:cs="Arial"/>
          <w:i/>
          <w:color w:val="000000"/>
          <w:sz w:val="22"/>
          <w:szCs w:val="22"/>
        </w:rPr>
      </w:pPr>
      <w:proofErr w:type="spellStart"/>
      <w:r>
        <w:rPr>
          <w:rFonts w:ascii="Arial" w:hAnsi="Arial" w:cs="Arial"/>
          <w:i/>
          <w:color w:val="000000"/>
          <w:sz w:val="22"/>
          <w:szCs w:val="22"/>
        </w:rPr>
        <w:t>PUprêmio</w:t>
      </w:r>
      <w:proofErr w:type="spellEnd"/>
      <w:r>
        <w:rPr>
          <w:rFonts w:ascii="Arial" w:hAnsi="Arial" w:cs="Arial"/>
          <w:i/>
          <w:color w:val="000000"/>
          <w:sz w:val="22"/>
          <w:szCs w:val="22"/>
        </w:rPr>
        <w:t xml:space="preserve"> = Prêmio * (Prazo Remanescente/252) * </w:t>
      </w:r>
      <w:proofErr w:type="spellStart"/>
      <w:r>
        <w:rPr>
          <w:rFonts w:ascii="Arial" w:hAnsi="Arial" w:cs="Arial"/>
          <w:i/>
          <w:color w:val="000000"/>
          <w:sz w:val="22"/>
          <w:szCs w:val="22"/>
        </w:rPr>
        <w:t>PUdebênture</w:t>
      </w:r>
      <w:proofErr w:type="spellEnd"/>
    </w:p>
    <w:p w14:paraId="0242885B" w14:textId="77777777" w:rsidR="00FC10E9" w:rsidRDefault="00FC10E9">
      <w:pPr>
        <w:spacing w:line="300" w:lineRule="atLeast"/>
        <w:ind w:left="1418"/>
        <w:rPr>
          <w:rFonts w:ascii="Arial" w:hAnsi="Arial" w:cs="Arial"/>
          <w:i/>
          <w:color w:val="000000"/>
          <w:sz w:val="22"/>
          <w:szCs w:val="22"/>
        </w:rPr>
      </w:pPr>
    </w:p>
    <w:p w14:paraId="4D75C115" w14:textId="77777777" w:rsidR="00FC10E9" w:rsidRDefault="00B10E1A">
      <w:pPr>
        <w:tabs>
          <w:tab w:val="left" w:pos="993"/>
        </w:tabs>
        <w:spacing w:line="276" w:lineRule="auto"/>
        <w:ind w:left="1418"/>
        <w:jc w:val="both"/>
        <w:rPr>
          <w:rStyle w:val="Nmerodepgina"/>
          <w:rFonts w:ascii="Arial" w:eastAsiaTheme="majorEastAsia" w:hAnsi="Arial" w:cs="Arial"/>
          <w:sz w:val="22"/>
          <w:szCs w:val="22"/>
        </w:rPr>
      </w:pPr>
      <w:r>
        <w:rPr>
          <w:rFonts w:ascii="Arial" w:hAnsi="Arial" w:cs="Arial"/>
          <w:sz w:val="22"/>
          <w:szCs w:val="22"/>
          <w:u w:val="single"/>
        </w:rPr>
        <w:t>onde</w:t>
      </w:r>
      <w:r>
        <w:rPr>
          <w:rFonts w:ascii="Arial" w:hAnsi="Arial" w:cs="Arial"/>
          <w:sz w:val="22"/>
          <w:szCs w:val="22"/>
        </w:rPr>
        <w:t>:</w:t>
      </w:r>
    </w:p>
    <w:p w14:paraId="397D1B0C" w14:textId="77777777" w:rsidR="00FC10E9" w:rsidRDefault="00FC10E9">
      <w:pPr>
        <w:pStyle w:val="PargrafodaLista"/>
        <w:tabs>
          <w:tab w:val="left" w:pos="993"/>
        </w:tabs>
        <w:spacing w:line="276" w:lineRule="auto"/>
        <w:ind w:left="2138"/>
        <w:jc w:val="both"/>
        <w:rPr>
          <w:rStyle w:val="Nmerodepgina"/>
          <w:rFonts w:ascii="Arial" w:eastAsiaTheme="majorEastAsia" w:hAnsi="Arial" w:cs="Arial"/>
          <w:sz w:val="22"/>
          <w:szCs w:val="22"/>
        </w:rPr>
      </w:pPr>
    </w:p>
    <w:p w14:paraId="0F8372BB" w14:textId="77777777" w:rsidR="00FC10E9" w:rsidRDefault="00B10E1A">
      <w:pPr>
        <w:spacing w:line="300" w:lineRule="atLeast"/>
        <w:ind w:left="1418"/>
        <w:jc w:val="both"/>
        <w:rPr>
          <w:rFonts w:ascii="Arial" w:hAnsi="Arial" w:cs="Arial"/>
          <w:color w:val="000000"/>
          <w:sz w:val="22"/>
          <w:szCs w:val="22"/>
        </w:rPr>
      </w:pPr>
      <w:proofErr w:type="spellStart"/>
      <w:r>
        <w:rPr>
          <w:rFonts w:ascii="Arial" w:hAnsi="Arial" w:cs="Arial"/>
          <w:color w:val="000000"/>
          <w:sz w:val="22"/>
          <w:szCs w:val="22"/>
        </w:rPr>
        <w:t>PUdebênture</w:t>
      </w:r>
      <w:proofErr w:type="spellEnd"/>
      <w:r>
        <w:rPr>
          <w:rFonts w:ascii="Arial" w:hAnsi="Arial" w:cs="Arial"/>
          <w:color w:val="000000"/>
          <w:sz w:val="22"/>
          <w:szCs w:val="22"/>
        </w:rPr>
        <w:t xml:space="preserve"> = o Valor Nominal Unitário das Debêntures ou o saldo do Valor Nominal Unitário, conforme o caso, acrescido dos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xml:space="preserve"> desde a primeira Data de Integralização ou a </w:t>
      </w:r>
      <w:r>
        <w:rPr>
          <w:rFonts w:ascii="Arial" w:hAnsi="Arial" w:cs="Arial"/>
          <w:bCs/>
          <w:color w:val="000000"/>
          <w:sz w:val="22"/>
          <w:szCs w:val="22"/>
        </w:rPr>
        <w:t>Data de Pagamento dos Juros Remuneratórios imediatamente anterior, conforme aplicável,</w:t>
      </w:r>
      <w:r>
        <w:rPr>
          <w:rFonts w:ascii="Arial" w:hAnsi="Arial" w:cs="Arial"/>
          <w:color w:val="000000"/>
          <w:sz w:val="22"/>
          <w:szCs w:val="22"/>
        </w:rPr>
        <w:t xml:space="preserve"> até a </w:t>
      </w:r>
      <w:r>
        <w:rPr>
          <w:rFonts w:ascii="Arial" w:hAnsi="Arial" w:cs="Arial"/>
          <w:bCs/>
          <w:color w:val="000000"/>
          <w:sz w:val="22"/>
          <w:szCs w:val="22"/>
        </w:rPr>
        <w:t>Data do Resgate Antecipado Facultativo Total</w:t>
      </w:r>
      <w:r>
        <w:rPr>
          <w:rFonts w:ascii="Arial" w:hAnsi="Arial" w:cs="Arial"/>
          <w:color w:val="000000"/>
          <w:sz w:val="22"/>
          <w:szCs w:val="22"/>
        </w:rPr>
        <w:t>;</w:t>
      </w:r>
    </w:p>
    <w:p w14:paraId="40D51B78" w14:textId="77777777" w:rsidR="00FC10E9" w:rsidRDefault="00FC10E9">
      <w:pPr>
        <w:pStyle w:val="PargrafodaLista"/>
        <w:spacing w:line="300" w:lineRule="atLeast"/>
        <w:ind w:left="2138"/>
        <w:jc w:val="both"/>
        <w:rPr>
          <w:rFonts w:ascii="Arial" w:hAnsi="Arial" w:cs="Arial"/>
          <w:color w:val="000000"/>
          <w:sz w:val="22"/>
          <w:szCs w:val="22"/>
        </w:rPr>
      </w:pPr>
    </w:p>
    <w:p w14:paraId="4A8B9286" w14:textId="77777777" w:rsidR="00FC10E9" w:rsidRDefault="00B10E1A">
      <w:pPr>
        <w:spacing w:line="300" w:lineRule="atLeast"/>
        <w:ind w:left="1418"/>
        <w:jc w:val="both"/>
        <w:rPr>
          <w:rFonts w:ascii="Arial" w:hAnsi="Arial" w:cs="Arial"/>
          <w:color w:val="000000"/>
          <w:sz w:val="22"/>
          <w:szCs w:val="22"/>
        </w:rPr>
      </w:pPr>
      <w:r>
        <w:rPr>
          <w:rFonts w:ascii="Arial" w:hAnsi="Arial" w:cs="Arial"/>
          <w:color w:val="000000"/>
          <w:sz w:val="22"/>
          <w:szCs w:val="22"/>
        </w:rPr>
        <w:t xml:space="preserve">Prêmio = 0,60% (sessenta centésimos por cento); e </w:t>
      </w:r>
    </w:p>
    <w:p w14:paraId="678106E7" w14:textId="77777777" w:rsidR="00FC10E9" w:rsidRDefault="00FC10E9">
      <w:pPr>
        <w:spacing w:line="300" w:lineRule="atLeast"/>
        <w:ind w:left="1418"/>
        <w:jc w:val="both"/>
        <w:rPr>
          <w:rFonts w:ascii="Arial" w:hAnsi="Arial" w:cs="Arial"/>
          <w:color w:val="000000"/>
          <w:sz w:val="22"/>
          <w:szCs w:val="22"/>
        </w:rPr>
      </w:pPr>
    </w:p>
    <w:p w14:paraId="5BF2BF28" w14:textId="77777777" w:rsidR="00FC10E9" w:rsidRDefault="00B10E1A">
      <w:pPr>
        <w:spacing w:line="300" w:lineRule="atLeast"/>
        <w:ind w:left="1418"/>
        <w:jc w:val="both"/>
        <w:rPr>
          <w:rFonts w:ascii="Arial" w:hAnsi="Arial" w:cs="Arial"/>
          <w:color w:val="000000"/>
          <w:sz w:val="22"/>
          <w:szCs w:val="22"/>
        </w:rPr>
      </w:pPr>
      <w:r>
        <w:rPr>
          <w:rFonts w:ascii="Arial" w:hAnsi="Arial" w:cs="Arial"/>
          <w:color w:val="000000"/>
          <w:sz w:val="22"/>
          <w:szCs w:val="22"/>
        </w:rPr>
        <w:t xml:space="preserve">Prazo Remanescente = quantidade de Dias Úteis, contados da respectiva </w:t>
      </w:r>
      <w:r>
        <w:rPr>
          <w:rFonts w:ascii="Arial" w:hAnsi="Arial" w:cs="Arial"/>
          <w:bCs/>
          <w:color w:val="000000"/>
          <w:sz w:val="22"/>
          <w:szCs w:val="22"/>
        </w:rPr>
        <w:t>Data do Resgate Antecipado Facultativo Total</w:t>
      </w:r>
      <w:r>
        <w:rPr>
          <w:rFonts w:ascii="Arial" w:hAnsi="Arial" w:cs="Arial"/>
          <w:color w:val="000000"/>
          <w:sz w:val="22"/>
          <w:szCs w:val="22"/>
        </w:rPr>
        <w:t xml:space="preserve"> até a Data de Vencimento. </w:t>
      </w:r>
    </w:p>
    <w:p w14:paraId="0A9C494F" w14:textId="77777777" w:rsidR="00FC10E9" w:rsidRDefault="00FC10E9">
      <w:pPr>
        <w:spacing w:line="300" w:lineRule="atLeast"/>
        <w:jc w:val="both"/>
        <w:rPr>
          <w:rFonts w:ascii="Arial" w:hAnsi="Arial" w:cs="Arial"/>
          <w:bCs/>
          <w:color w:val="000000"/>
          <w:sz w:val="22"/>
          <w:szCs w:val="22"/>
        </w:rPr>
      </w:pPr>
    </w:p>
    <w:p w14:paraId="28B52521"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rPr>
        <w:t>Caso a data de Resgate Antecipado Facultativo Total coincida com uma Data de Amortização e/ou pagamento de remuneração das Debêntures, o Prêmio de Resgate deverá ser calculado sobre o saldo do Valor Nominal Unitário após o referido pagamento.</w:t>
      </w:r>
      <w:r>
        <w:rPr>
          <w:rFonts w:ascii="Arial" w:hAnsi="Arial" w:cs="Arial"/>
          <w:b/>
          <w:bCs/>
          <w:color w:val="000000"/>
          <w:sz w:val="22"/>
          <w:szCs w:val="22"/>
        </w:rPr>
        <w:t xml:space="preserve"> </w:t>
      </w:r>
    </w:p>
    <w:p w14:paraId="485E3D20" w14:textId="77777777" w:rsidR="00FC10E9" w:rsidRDefault="00FC10E9">
      <w:pPr>
        <w:spacing w:line="300" w:lineRule="atLeast"/>
        <w:jc w:val="both"/>
        <w:rPr>
          <w:rFonts w:ascii="Arial" w:hAnsi="Arial" w:cs="Arial"/>
          <w:bCs/>
          <w:color w:val="000000"/>
          <w:sz w:val="22"/>
          <w:szCs w:val="22"/>
        </w:rPr>
      </w:pPr>
    </w:p>
    <w:p w14:paraId="625BE22B"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rPr>
        <w:t>O Resgate Antecipado Facultativo Total somente poderá ocorrer mediante publicação de comunicação dirigida aos Debenturistas a ser amplamente divulgada nos termos da Cláusula 4.11 desta Escritura, devendo tal publicação ser enviada para o Agente Fiduciário, B3 e à ANBIMA, com 5 (cinco) Dias Úteis de antecedência da data prevista para o respectivo Resgate Antecipado Facultativo Total (“</w:t>
      </w:r>
      <w:r>
        <w:rPr>
          <w:rFonts w:ascii="Arial" w:hAnsi="Arial" w:cs="Arial"/>
          <w:bCs/>
          <w:color w:val="000000"/>
          <w:sz w:val="22"/>
          <w:szCs w:val="22"/>
          <w:u w:val="single"/>
        </w:rPr>
        <w:t>Comunicação de Resgate</w:t>
      </w:r>
      <w:r>
        <w:rPr>
          <w:rFonts w:ascii="Arial" w:hAnsi="Arial" w:cs="Arial"/>
          <w:bCs/>
          <w:color w:val="000000"/>
          <w:sz w:val="22"/>
          <w:szCs w:val="22"/>
        </w:rPr>
        <w:t>”), sendo que na referida comunicação deverá constar: (a) a data de realização do Resgate Antecipado Facultativo Total, que deverá ser um Dia Útil; (b) a menção de que o valor correspondente ao pagamento será o Valor Nominal Unitário das Debêntures ou saldo do Valor Nominal Unitário das Debêntures, conforme o caso, acrescido (i) de Remuneração, calculada conforme prevista na Cláusula 4.2, (</w:t>
      </w:r>
      <w:proofErr w:type="spellStart"/>
      <w:r>
        <w:rPr>
          <w:rFonts w:ascii="Arial" w:hAnsi="Arial" w:cs="Arial"/>
          <w:bCs/>
          <w:color w:val="000000"/>
          <w:sz w:val="22"/>
          <w:szCs w:val="22"/>
        </w:rPr>
        <w:t>ii</w:t>
      </w:r>
      <w:proofErr w:type="spellEnd"/>
      <w:r>
        <w:rPr>
          <w:rFonts w:ascii="Arial" w:hAnsi="Arial" w:cs="Arial"/>
          <w:bCs/>
          <w:color w:val="000000"/>
          <w:sz w:val="22"/>
          <w:szCs w:val="22"/>
        </w:rPr>
        <w:t>) de Prêmio de Resgate; e (c) quaisquer outras informações necessárias à operacionalização do Resgate Antecipado Facultativo Total.</w:t>
      </w:r>
    </w:p>
    <w:p w14:paraId="7A007AE3" w14:textId="77777777" w:rsidR="00FC10E9" w:rsidRDefault="00FC10E9">
      <w:pPr>
        <w:pStyle w:val="PargrafodaLista"/>
        <w:spacing w:line="300" w:lineRule="atLeast"/>
        <w:rPr>
          <w:rFonts w:ascii="Arial" w:hAnsi="Arial" w:cs="Arial"/>
          <w:bCs/>
          <w:color w:val="000000"/>
          <w:sz w:val="22"/>
          <w:szCs w:val="22"/>
        </w:rPr>
      </w:pPr>
    </w:p>
    <w:p w14:paraId="7F774C8C"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rPr>
        <w:t xml:space="preserve">Para as Debêntures custodiadas eletronicamente na B3, a operacionalização do resgate seguirá os procedimentos adotados pela B3. A B3 deverá ser comunicada através de correspondência enviada pela Emissora, em conjunto com o Agente Fiduciário, acerca da realização do Resgate Antecipado Facultativo Total, com pelo menos 3 (três) Dias Úteis de antecedência. Caso as Debêntures não estejam custodiadas eletronicamente na B3, o pagamento das Debêntures resgatadas antecipadamente será realizado pelo </w:t>
      </w:r>
      <w:proofErr w:type="spellStart"/>
      <w:r>
        <w:rPr>
          <w:rFonts w:ascii="Arial" w:hAnsi="Arial" w:cs="Arial"/>
          <w:bCs/>
          <w:color w:val="000000"/>
          <w:sz w:val="22"/>
          <w:szCs w:val="22"/>
        </w:rPr>
        <w:t>Escriturador</w:t>
      </w:r>
      <w:proofErr w:type="spellEnd"/>
      <w:r>
        <w:rPr>
          <w:rFonts w:ascii="Arial" w:hAnsi="Arial" w:cs="Arial"/>
          <w:bCs/>
          <w:color w:val="000000"/>
          <w:sz w:val="22"/>
          <w:szCs w:val="22"/>
        </w:rPr>
        <w:t>, mediante depósito em contas correntes a serem indicadas pelos Debenturistas.</w:t>
      </w:r>
    </w:p>
    <w:p w14:paraId="1EC0A141" w14:textId="77777777" w:rsidR="00FC10E9" w:rsidRDefault="00FC10E9">
      <w:pPr>
        <w:tabs>
          <w:tab w:val="left" w:pos="709"/>
        </w:tabs>
        <w:spacing w:line="300" w:lineRule="atLeast"/>
        <w:jc w:val="both"/>
        <w:rPr>
          <w:rFonts w:ascii="Arial" w:hAnsi="Arial" w:cs="Arial"/>
          <w:bCs/>
          <w:color w:val="000000"/>
          <w:sz w:val="22"/>
          <w:szCs w:val="22"/>
        </w:rPr>
      </w:pPr>
    </w:p>
    <w:p w14:paraId="5EF700F8"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rPr>
        <w:t xml:space="preserve">As Debêntures </w:t>
      </w:r>
      <w:proofErr w:type="gramStart"/>
      <w:r>
        <w:rPr>
          <w:rFonts w:ascii="Arial" w:hAnsi="Arial" w:cs="Arial"/>
          <w:bCs/>
          <w:color w:val="000000"/>
          <w:sz w:val="22"/>
          <w:szCs w:val="22"/>
        </w:rPr>
        <w:t>objeto de Resgate Antecipado Facultativo Total deverão</w:t>
      </w:r>
      <w:proofErr w:type="gramEnd"/>
      <w:r>
        <w:rPr>
          <w:rFonts w:ascii="Arial" w:hAnsi="Arial" w:cs="Arial"/>
          <w:bCs/>
          <w:color w:val="000000"/>
          <w:sz w:val="22"/>
          <w:szCs w:val="22"/>
        </w:rPr>
        <w:t xml:space="preserve"> ser obrigatoriamente canceladas, observada a regulamentação em vigor.</w:t>
      </w:r>
    </w:p>
    <w:p w14:paraId="44ED1970"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56F5B461"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rPr>
        <w:t>Não será admitida a realização de resgate antecipado facultativo parcial das Debêntures.</w:t>
      </w:r>
    </w:p>
    <w:p w14:paraId="2B15CD26" w14:textId="77777777" w:rsidR="00FC10E9" w:rsidRDefault="00FC10E9">
      <w:pPr>
        <w:pStyle w:val="PargrafodaLista"/>
        <w:rPr>
          <w:rFonts w:ascii="Arial" w:hAnsi="Arial" w:cs="Arial"/>
          <w:bCs/>
          <w:color w:val="000000"/>
          <w:sz w:val="22"/>
          <w:szCs w:val="22"/>
        </w:rPr>
      </w:pPr>
    </w:p>
    <w:p w14:paraId="7E6BF175" w14:textId="77777777" w:rsidR="00FC10E9" w:rsidRDefault="00B10E1A">
      <w:pPr>
        <w:numPr>
          <w:ilvl w:val="2"/>
          <w:numId w:val="15"/>
        </w:numPr>
        <w:tabs>
          <w:tab w:val="left" w:pos="709"/>
        </w:tabs>
        <w:spacing w:line="300" w:lineRule="atLeast"/>
        <w:ind w:left="0" w:firstLine="0"/>
        <w:jc w:val="both"/>
        <w:rPr>
          <w:rFonts w:ascii="Arial" w:hAnsi="Arial" w:cs="Arial"/>
          <w:bCs/>
          <w:color w:val="000000"/>
          <w:sz w:val="22"/>
          <w:szCs w:val="22"/>
        </w:rPr>
      </w:pPr>
      <w:r>
        <w:rPr>
          <w:rFonts w:ascii="Arial" w:hAnsi="Arial" w:cs="Arial"/>
          <w:bCs/>
          <w:color w:val="000000"/>
          <w:sz w:val="22"/>
          <w:szCs w:val="22"/>
          <w:u w:val="single"/>
        </w:rPr>
        <w:t>Amortização Extraordinária Facultativa</w:t>
      </w:r>
      <w:r>
        <w:rPr>
          <w:rFonts w:ascii="Arial" w:hAnsi="Arial" w:cs="Arial"/>
          <w:bCs/>
          <w:color w:val="000000"/>
          <w:sz w:val="22"/>
          <w:szCs w:val="22"/>
        </w:rPr>
        <w:t xml:space="preserve">. </w:t>
      </w:r>
      <w:r>
        <w:rPr>
          <w:rFonts w:ascii="Arial" w:hAnsi="Arial" w:cs="Arial"/>
          <w:sz w:val="22"/>
          <w:szCs w:val="22"/>
          <w:bdr w:val="none" w:sz="0" w:space="0" w:color="auto" w:frame="1"/>
        </w:rPr>
        <w:t xml:space="preserve">A Emissora poderá, a seu exclusivo critério e </w:t>
      </w:r>
      <w:r>
        <w:rPr>
          <w:rFonts w:ascii="Arial" w:hAnsi="Arial" w:cs="Arial"/>
          <w:bCs/>
          <w:color w:val="000000"/>
          <w:sz w:val="22"/>
          <w:szCs w:val="22"/>
        </w:rPr>
        <w:t>independentemente da vontade dos Debenturistas</w:t>
      </w:r>
      <w:r>
        <w:rPr>
          <w:rFonts w:ascii="Arial" w:hAnsi="Arial" w:cs="Arial"/>
          <w:sz w:val="22"/>
          <w:szCs w:val="22"/>
          <w:bdr w:val="none" w:sz="0" w:space="0" w:color="auto" w:frame="1"/>
        </w:rPr>
        <w:t>, a partir de 15 de julho de 2027 (inclusive)</w:t>
      </w:r>
      <w:r>
        <w:rPr>
          <w:rFonts w:ascii="Arial" w:hAnsi="Arial" w:cs="Arial"/>
          <w:bCs/>
          <w:color w:val="000000"/>
          <w:sz w:val="22"/>
          <w:szCs w:val="22"/>
        </w:rPr>
        <w:t>, realizar a amortização extraordinária facultativa das Debêntures, sem a necessidade de qualquer aprovação adicional pelos Debenturistas em sede de Assembleia Geral de Debenturistas (“</w:t>
      </w:r>
      <w:r>
        <w:rPr>
          <w:rFonts w:ascii="Arial" w:hAnsi="Arial" w:cs="Arial"/>
          <w:bCs/>
          <w:color w:val="000000"/>
          <w:sz w:val="22"/>
          <w:szCs w:val="22"/>
          <w:u w:val="single"/>
        </w:rPr>
        <w:t>Amortização Extraordinária Facultativa</w:t>
      </w:r>
      <w:r>
        <w:rPr>
          <w:rFonts w:ascii="Arial" w:hAnsi="Arial" w:cs="Arial"/>
          <w:bCs/>
          <w:color w:val="000000"/>
          <w:sz w:val="22"/>
          <w:szCs w:val="22"/>
        </w:rPr>
        <w:t>”).</w:t>
      </w:r>
    </w:p>
    <w:p w14:paraId="0E1B20B9" w14:textId="77777777" w:rsidR="00FC10E9" w:rsidRDefault="00FC10E9">
      <w:pPr>
        <w:pStyle w:val="PargrafodaLista"/>
        <w:rPr>
          <w:rFonts w:ascii="Arial" w:hAnsi="Arial" w:cs="Arial"/>
          <w:bCs/>
          <w:color w:val="000000"/>
          <w:sz w:val="22"/>
          <w:szCs w:val="22"/>
        </w:rPr>
      </w:pPr>
    </w:p>
    <w:p w14:paraId="41C31F91" w14:textId="77777777" w:rsidR="00FC10E9" w:rsidRDefault="00B10E1A">
      <w:pPr>
        <w:pStyle w:val="PargrafodaLista"/>
        <w:numPr>
          <w:ilvl w:val="3"/>
          <w:numId w:val="15"/>
        </w:numPr>
        <w:tabs>
          <w:tab w:val="left" w:pos="1560"/>
          <w:tab w:val="left" w:pos="3402"/>
        </w:tabs>
        <w:spacing w:line="300" w:lineRule="atLeast"/>
        <w:ind w:left="0" w:firstLine="709"/>
        <w:jc w:val="both"/>
        <w:rPr>
          <w:rFonts w:ascii="Arial" w:hAnsi="Arial" w:cs="Arial"/>
          <w:bCs/>
          <w:color w:val="000000"/>
          <w:sz w:val="22"/>
          <w:szCs w:val="22"/>
        </w:rPr>
      </w:pPr>
      <w:r>
        <w:rPr>
          <w:rFonts w:ascii="Arial" w:hAnsi="Arial" w:cs="Arial"/>
          <w:sz w:val="22"/>
          <w:szCs w:val="22"/>
          <w:bdr w:val="none" w:sz="0" w:space="0" w:color="auto" w:frame="1"/>
        </w:rPr>
        <w:t>A Amortização Extraordinária Facultativa</w:t>
      </w:r>
      <w:r>
        <w:rPr>
          <w:rStyle w:val="NenhumA"/>
          <w:rFonts w:ascii="Arial" w:hAnsi="Arial" w:cs="Arial"/>
          <w:sz w:val="22"/>
          <w:szCs w:val="22"/>
          <w:bdr w:val="none" w:sz="0" w:space="0" w:color="auto" w:frame="1"/>
        </w:rPr>
        <w:t xml:space="preserve"> </w:t>
      </w:r>
      <w:r>
        <w:rPr>
          <w:rFonts w:ascii="Arial" w:hAnsi="Arial" w:cs="Arial"/>
          <w:bCs/>
          <w:color w:val="000000"/>
          <w:sz w:val="22"/>
          <w:szCs w:val="22"/>
        </w:rPr>
        <w:t>somente poderá ocorrer mediante publicação de comunicação dirigida aos Debenturistas a ser amplamente divulgada nos termos da Cláusula 4.11 desta Escritura, devendo tal publicação ser enviada para o Agente Fiduciário, B3 e à ANBIMA</w:t>
      </w:r>
      <w:r>
        <w:rPr>
          <w:rStyle w:val="NenhumA"/>
          <w:rFonts w:ascii="Arial" w:hAnsi="Arial" w:cs="Arial"/>
          <w:sz w:val="22"/>
          <w:szCs w:val="22"/>
          <w:bdr w:val="none" w:sz="0" w:space="0" w:color="auto" w:frame="1"/>
        </w:rPr>
        <w:t>, com 5 (cinco) Dias Úteis] de antecedência da data prevista para a Amortização Extraordinária Facultativa (“</w:t>
      </w:r>
      <w:r>
        <w:rPr>
          <w:rFonts w:ascii="Arial" w:hAnsi="Arial" w:cs="Arial"/>
          <w:sz w:val="22"/>
          <w:szCs w:val="22"/>
          <w:u w:val="single"/>
          <w:bdr w:val="none" w:sz="0" w:space="0" w:color="auto" w:frame="1"/>
        </w:rPr>
        <w:t>Comunicação de Amortização Extraordinária Facultativa</w:t>
      </w:r>
      <w:r>
        <w:rPr>
          <w:rStyle w:val="NenhumA"/>
          <w:rFonts w:ascii="Arial" w:hAnsi="Arial" w:cs="Arial"/>
          <w:sz w:val="22"/>
          <w:szCs w:val="22"/>
          <w:bdr w:val="none" w:sz="0" w:space="0" w:color="auto" w:frame="1"/>
        </w:rPr>
        <w:t xml:space="preserve">”), sendo que na referida comunicação deverá constar: </w:t>
      </w:r>
      <w:r>
        <w:rPr>
          <w:rStyle w:val="NenhumA"/>
          <w:rFonts w:ascii="Arial" w:hAnsi="Arial" w:cs="Arial"/>
          <w:b/>
          <w:sz w:val="22"/>
          <w:szCs w:val="22"/>
          <w:bdr w:val="none" w:sz="0" w:space="0" w:color="auto" w:frame="1"/>
        </w:rPr>
        <w:t>(a)</w:t>
      </w:r>
      <w:r>
        <w:rPr>
          <w:rStyle w:val="NenhumA"/>
          <w:rFonts w:ascii="Arial" w:hAnsi="Arial" w:cs="Arial"/>
          <w:sz w:val="22"/>
          <w:szCs w:val="22"/>
          <w:bdr w:val="none" w:sz="0" w:space="0" w:color="auto" w:frame="1"/>
        </w:rPr>
        <w:t xml:space="preserve"> a data de realização da </w:t>
      </w:r>
      <w:r>
        <w:rPr>
          <w:rFonts w:ascii="Arial" w:hAnsi="Arial" w:cs="Arial"/>
          <w:sz w:val="22"/>
          <w:szCs w:val="22"/>
          <w:bdr w:val="none" w:sz="0" w:space="0" w:color="auto" w:frame="1"/>
        </w:rPr>
        <w:t>Amortização Extraordinária Facultativa</w:t>
      </w:r>
      <w:r>
        <w:rPr>
          <w:rStyle w:val="NenhumA"/>
          <w:rFonts w:ascii="Arial" w:hAnsi="Arial" w:cs="Arial"/>
          <w:sz w:val="22"/>
          <w:szCs w:val="22"/>
          <w:bdr w:val="none" w:sz="0" w:space="0" w:color="auto" w:frame="1"/>
        </w:rPr>
        <w:t xml:space="preserve">, que deverá ser um Dia Útil; </w:t>
      </w:r>
      <w:r>
        <w:rPr>
          <w:rStyle w:val="NenhumA"/>
          <w:rFonts w:ascii="Arial" w:hAnsi="Arial" w:cs="Arial"/>
          <w:b/>
          <w:sz w:val="22"/>
          <w:szCs w:val="22"/>
          <w:bdr w:val="none" w:sz="0" w:space="0" w:color="auto" w:frame="1"/>
        </w:rPr>
        <w:t>(b)</w:t>
      </w:r>
      <w:r>
        <w:rPr>
          <w:rStyle w:val="NenhumA"/>
          <w:rFonts w:ascii="Arial" w:hAnsi="Arial" w:cs="Arial"/>
          <w:sz w:val="22"/>
          <w:szCs w:val="22"/>
          <w:bdr w:val="none" w:sz="0" w:space="0" w:color="auto" w:frame="1"/>
        </w:rPr>
        <w:t xml:space="preserve"> a menção de que o valor correspondente ao pagamento será parcela o Valor Nominal Unitário das Debêntures ou saldo do Valor Nominal Unitário das Debêntures, conforme o caso, acrescido </w:t>
      </w:r>
      <w:r>
        <w:rPr>
          <w:rStyle w:val="NenhumA"/>
          <w:rFonts w:ascii="Arial" w:hAnsi="Arial" w:cs="Arial"/>
          <w:b/>
          <w:sz w:val="22"/>
          <w:szCs w:val="22"/>
          <w:bdr w:val="none" w:sz="0" w:space="0" w:color="auto" w:frame="1"/>
        </w:rPr>
        <w:t>(i)</w:t>
      </w:r>
      <w:r>
        <w:rPr>
          <w:rStyle w:val="NenhumA"/>
          <w:rFonts w:ascii="Arial" w:hAnsi="Arial" w:cs="Arial"/>
          <w:sz w:val="22"/>
          <w:szCs w:val="22"/>
          <w:bdr w:val="none" w:sz="0" w:space="0" w:color="auto" w:frame="1"/>
        </w:rPr>
        <w:t xml:space="preserve"> de </w:t>
      </w:r>
      <w:r>
        <w:rPr>
          <w:rStyle w:val="NenhumA"/>
          <w:rFonts w:ascii="Arial" w:hAnsi="Arial" w:cs="Arial"/>
          <w:sz w:val="22"/>
          <w:szCs w:val="22"/>
          <w:bdr w:val="none" w:sz="0" w:space="0" w:color="auto" w:frame="1"/>
        </w:rPr>
        <w:lastRenderedPageBreak/>
        <w:t xml:space="preserve">Remuneração, calculada conforme prevista na Cláusula 4.2 acima, e </w:t>
      </w:r>
      <w:r>
        <w:rPr>
          <w:rStyle w:val="NenhumA"/>
          <w:rFonts w:ascii="Arial" w:hAnsi="Arial" w:cs="Arial"/>
          <w:b/>
          <w:sz w:val="22"/>
          <w:szCs w:val="22"/>
          <w:bdr w:val="none" w:sz="0" w:space="0" w:color="auto" w:frame="1"/>
        </w:rPr>
        <w:t>(</w:t>
      </w:r>
      <w:proofErr w:type="spellStart"/>
      <w:r>
        <w:rPr>
          <w:rStyle w:val="NenhumA"/>
          <w:rFonts w:ascii="Arial" w:hAnsi="Arial" w:cs="Arial"/>
          <w:b/>
          <w:sz w:val="22"/>
          <w:szCs w:val="22"/>
          <w:bdr w:val="none" w:sz="0" w:space="0" w:color="auto" w:frame="1"/>
        </w:rPr>
        <w:t>ii</w:t>
      </w:r>
      <w:proofErr w:type="spellEnd"/>
      <w:r>
        <w:rPr>
          <w:rStyle w:val="NenhumA"/>
          <w:rFonts w:ascii="Arial" w:hAnsi="Arial" w:cs="Arial"/>
          <w:b/>
          <w:sz w:val="22"/>
          <w:szCs w:val="22"/>
          <w:bdr w:val="none" w:sz="0" w:space="0" w:color="auto" w:frame="1"/>
        </w:rPr>
        <w:t>)</w:t>
      </w:r>
      <w:r>
        <w:rPr>
          <w:rStyle w:val="NenhumA"/>
          <w:rFonts w:ascii="Arial" w:hAnsi="Arial" w:cs="Arial"/>
          <w:sz w:val="22"/>
          <w:szCs w:val="22"/>
          <w:bdr w:val="none" w:sz="0" w:space="0" w:color="auto" w:frame="1"/>
        </w:rPr>
        <w:t xml:space="preserve"> de Prêmio de Amortização (conforme abaixo definido); e </w:t>
      </w:r>
      <w:r>
        <w:rPr>
          <w:rStyle w:val="NenhumA"/>
          <w:rFonts w:ascii="Arial" w:hAnsi="Arial" w:cs="Arial"/>
          <w:b/>
          <w:sz w:val="22"/>
          <w:szCs w:val="22"/>
          <w:bdr w:val="none" w:sz="0" w:space="0" w:color="auto" w:frame="1"/>
        </w:rPr>
        <w:t>(c)</w:t>
      </w:r>
      <w:r>
        <w:rPr>
          <w:rStyle w:val="NenhumA"/>
          <w:rFonts w:ascii="Arial" w:hAnsi="Arial" w:cs="Arial"/>
          <w:sz w:val="22"/>
          <w:szCs w:val="22"/>
          <w:bdr w:val="none" w:sz="0" w:space="0" w:color="auto" w:frame="1"/>
        </w:rPr>
        <w:t xml:space="preserve"> quaisquer outras informações necessárias à operacionalização da </w:t>
      </w:r>
      <w:r>
        <w:rPr>
          <w:rFonts w:ascii="Arial" w:hAnsi="Arial" w:cs="Arial"/>
          <w:sz w:val="22"/>
          <w:szCs w:val="22"/>
          <w:bdr w:val="none" w:sz="0" w:space="0" w:color="auto" w:frame="1"/>
        </w:rPr>
        <w:t>Amortização Extraordinária Facultativa</w:t>
      </w:r>
      <w:r>
        <w:rPr>
          <w:rFonts w:ascii="Arial" w:hAnsi="Arial" w:cs="Arial"/>
          <w:bCs/>
          <w:color w:val="000000"/>
          <w:sz w:val="22"/>
          <w:szCs w:val="22"/>
        </w:rPr>
        <w:t>.</w:t>
      </w:r>
      <w:r>
        <w:rPr>
          <w:rFonts w:ascii="Arial" w:hAnsi="Arial" w:cs="Arial"/>
          <w:b/>
          <w:bCs/>
          <w:color w:val="000000"/>
          <w:sz w:val="22"/>
          <w:szCs w:val="22"/>
        </w:rPr>
        <w:t xml:space="preserve"> </w:t>
      </w:r>
    </w:p>
    <w:p w14:paraId="759EC6A7" w14:textId="77777777" w:rsidR="00FC10E9" w:rsidRDefault="00FC10E9">
      <w:pPr>
        <w:pStyle w:val="PargrafodaLista"/>
        <w:tabs>
          <w:tab w:val="left" w:pos="1560"/>
          <w:tab w:val="left" w:pos="3402"/>
        </w:tabs>
        <w:spacing w:line="300" w:lineRule="atLeast"/>
        <w:ind w:left="709"/>
        <w:jc w:val="both"/>
        <w:rPr>
          <w:rFonts w:ascii="Arial" w:hAnsi="Arial" w:cs="Arial"/>
          <w:bCs/>
          <w:color w:val="000000"/>
          <w:sz w:val="22"/>
          <w:szCs w:val="22"/>
        </w:rPr>
      </w:pPr>
    </w:p>
    <w:p w14:paraId="6737F1B9" w14:textId="77777777" w:rsidR="00FC10E9" w:rsidRDefault="00B10E1A">
      <w:pPr>
        <w:pStyle w:val="PargrafodaLista"/>
        <w:numPr>
          <w:ilvl w:val="3"/>
          <w:numId w:val="15"/>
        </w:numPr>
        <w:tabs>
          <w:tab w:val="left" w:pos="1560"/>
          <w:tab w:val="left" w:pos="3402"/>
        </w:tabs>
        <w:spacing w:line="300" w:lineRule="atLeast"/>
        <w:ind w:left="0" w:firstLine="709"/>
        <w:jc w:val="both"/>
        <w:rPr>
          <w:rStyle w:val="NenhumA"/>
          <w:rFonts w:ascii="Arial" w:hAnsi="Arial" w:cs="Arial"/>
          <w:bCs/>
          <w:color w:val="000000"/>
          <w:sz w:val="22"/>
          <w:szCs w:val="22"/>
        </w:rPr>
      </w:pPr>
      <w:r>
        <w:rPr>
          <w:rFonts w:ascii="Arial" w:eastAsia="Calibri" w:hAnsi="Arial" w:cs="Arial"/>
          <w:iCs/>
          <w:sz w:val="22"/>
          <w:szCs w:val="22"/>
          <w:bdr w:val="none" w:sz="0" w:space="0" w:color="auto" w:frame="1"/>
        </w:rPr>
        <w:t xml:space="preserve">A Amortização Extraordinária Facultativa ensejará o pagamento pela Emissora de prêmio </w:t>
      </w:r>
      <w:r>
        <w:rPr>
          <w:rFonts w:ascii="Arial" w:eastAsia="Calibri" w:hAnsi="Arial" w:cs="Arial"/>
          <w:i/>
          <w:sz w:val="22"/>
          <w:szCs w:val="22"/>
          <w:bdr w:val="none" w:sz="0" w:space="0" w:color="auto" w:frame="1"/>
        </w:rPr>
        <w:t>flat</w:t>
      </w:r>
      <w:r>
        <w:rPr>
          <w:rFonts w:ascii="Arial" w:eastAsia="Calibri" w:hAnsi="Arial" w:cs="Arial"/>
          <w:iCs/>
          <w:sz w:val="22"/>
          <w:szCs w:val="22"/>
          <w:bdr w:val="none" w:sz="0" w:space="0" w:color="auto" w:frame="1"/>
        </w:rPr>
        <w:t xml:space="preserve"> </w:t>
      </w:r>
      <w:r>
        <w:rPr>
          <w:rStyle w:val="NenhumA"/>
          <w:rFonts w:ascii="Arial" w:eastAsia="Garamond" w:hAnsi="Arial" w:cs="Arial"/>
          <w:bCs/>
          <w:sz w:val="22"/>
          <w:szCs w:val="22"/>
          <w:bdr w:val="none" w:sz="0" w:space="0" w:color="auto" w:frame="1"/>
        </w:rPr>
        <w:t xml:space="preserve">correspondente a 0,60% (sessenta centésimos por cento) ao ano, considerando os Dias Úteis transcorridos entre a data da </w:t>
      </w:r>
      <w:r>
        <w:rPr>
          <w:rFonts w:ascii="Arial" w:eastAsia="Calibri" w:hAnsi="Arial" w:cs="Arial"/>
          <w:iCs/>
          <w:sz w:val="22"/>
          <w:szCs w:val="22"/>
          <w:bdr w:val="none" w:sz="0" w:space="0" w:color="auto" w:frame="1"/>
        </w:rPr>
        <w:t>Amortização Extraordinária Facultativa</w:t>
      </w:r>
      <w:r>
        <w:rPr>
          <w:rStyle w:val="NenhumA"/>
          <w:rFonts w:ascii="Arial" w:eastAsia="Garamond" w:hAnsi="Arial" w:cs="Arial"/>
          <w:bCs/>
          <w:sz w:val="22"/>
          <w:szCs w:val="22"/>
          <w:bdr w:val="none" w:sz="0" w:space="0" w:color="auto" w:frame="1"/>
        </w:rPr>
        <w:t xml:space="preserve"> e a Data de Vencimento, incidente sobre a parcela do Valor Nominal Unitário ou saldo do Valor Nominal Unitário, conforme fórmula abaixo (“</w:t>
      </w:r>
      <w:r>
        <w:rPr>
          <w:rStyle w:val="NenhumA"/>
          <w:rFonts w:ascii="Arial" w:eastAsia="Garamond" w:hAnsi="Arial" w:cs="Arial"/>
          <w:bCs/>
          <w:sz w:val="22"/>
          <w:szCs w:val="22"/>
          <w:u w:val="single"/>
          <w:bdr w:val="none" w:sz="0" w:space="0" w:color="auto" w:frame="1"/>
        </w:rPr>
        <w:t>Prêmio de Amortização</w:t>
      </w:r>
      <w:r>
        <w:rPr>
          <w:rStyle w:val="NenhumA"/>
          <w:rFonts w:ascii="Arial" w:eastAsia="Garamond" w:hAnsi="Arial" w:cs="Arial"/>
          <w:bCs/>
          <w:sz w:val="22"/>
          <w:szCs w:val="22"/>
          <w:bdr w:val="none" w:sz="0" w:space="0" w:color="auto" w:frame="1"/>
        </w:rPr>
        <w:t>”</w:t>
      </w:r>
      <w:r>
        <w:rPr>
          <w:rStyle w:val="NenhumA"/>
          <w:rFonts w:eastAsia="Garamond"/>
          <w:bdr w:val="none" w:sz="0" w:space="0" w:color="auto" w:frame="1"/>
        </w:rPr>
        <w:t>):</w:t>
      </w:r>
    </w:p>
    <w:p w14:paraId="68412630" w14:textId="77777777" w:rsidR="00FC10E9" w:rsidRDefault="00FC10E9">
      <w:pPr>
        <w:pStyle w:val="PargrafodaLista"/>
        <w:rPr>
          <w:rStyle w:val="NenhumA"/>
          <w:rFonts w:eastAsia="Garamond"/>
          <w:bdr w:val="none" w:sz="0" w:space="0" w:color="auto" w:frame="1"/>
        </w:rPr>
      </w:pPr>
    </w:p>
    <w:p w14:paraId="2662F36E" w14:textId="77777777" w:rsidR="00FC10E9" w:rsidRDefault="00B10E1A">
      <w:pPr>
        <w:spacing w:line="300" w:lineRule="atLeast"/>
        <w:ind w:left="2127"/>
        <w:rPr>
          <w:rFonts w:ascii="Arial" w:hAnsi="Arial" w:cs="Arial"/>
          <w:i/>
          <w:color w:val="000000"/>
          <w:sz w:val="22"/>
          <w:szCs w:val="22"/>
        </w:rPr>
      </w:pPr>
      <w:proofErr w:type="spellStart"/>
      <w:r>
        <w:rPr>
          <w:rFonts w:ascii="Arial" w:hAnsi="Arial" w:cs="Arial"/>
          <w:i/>
          <w:color w:val="000000"/>
          <w:sz w:val="22"/>
          <w:szCs w:val="22"/>
        </w:rPr>
        <w:t>PUprêmio</w:t>
      </w:r>
      <w:proofErr w:type="spellEnd"/>
      <w:r>
        <w:rPr>
          <w:rFonts w:ascii="Arial" w:hAnsi="Arial" w:cs="Arial"/>
          <w:i/>
          <w:color w:val="000000"/>
          <w:sz w:val="22"/>
          <w:szCs w:val="22"/>
        </w:rPr>
        <w:t xml:space="preserve"> = Prêmio * (Prazo Remanescente/252) * </w:t>
      </w:r>
      <w:proofErr w:type="spellStart"/>
      <w:r>
        <w:rPr>
          <w:rFonts w:ascii="Arial" w:hAnsi="Arial" w:cs="Arial"/>
          <w:i/>
          <w:color w:val="000000"/>
          <w:sz w:val="22"/>
          <w:szCs w:val="22"/>
        </w:rPr>
        <w:t>PUdebênture</w:t>
      </w:r>
      <w:proofErr w:type="spellEnd"/>
    </w:p>
    <w:p w14:paraId="3D217D55" w14:textId="77777777" w:rsidR="00FC10E9" w:rsidRDefault="00FC10E9">
      <w:pPr>
        <w:spacing w:line="300" w:lineRule="atLeast"/>
        <w:ind w:left="1418"/>
        <w:rPr>
          <w:rFonts w:ascii="Arial" w:hAnsi="Arial" w:cs="Arial"/>
          <w:i/>
          <w:color w:val="000000"/>
          <w:sz w:val="22"/>
          <w:szCs w:val="22"/>
        </w:rPr>
      </w:pPr>
    </w:p>
    <w:p w14:paraId="48D1EC76" w14:textId="77777777" w:rsidR="00FC10E9" w:rsidRDefault="00B10E1A">
      <w:pPr>
        <w:tabs>
          <w:tab w:val="left" w:pos="993"/>
        </w:tabs>
        <w:spacing w:line="276" w:lineRule="auto"/>
        <w:ind w:left="1418"/>
        <w:jc w:val="both"/>
        <w:rPr>
          <w:rStyle w:val="Nmerodepgina"/>
          <w:rFonts w:ascii="Arial" w:eastAsiaTheme="majorEastAsia" w:hAnsi="Arial" w:cs="Arial"/>
          <w:sz w:val="22"/>
          <w:szCs w:val="22"/>
        </w:rPr>
      </w:pPr>
      <w:r>
        <w:rPr>
          <w:rFonts w:ascii="Arial" w:hAnsi="Arial" w:cs="Arial"/>
          <w:sz w:val="22"/>
          <w:szCs w:val="22"/>
          <w:u w:val="single"/>
        </w:rPr>
        <w:t>onde</w:t>
      </w:r>
      <w:r>
        <w:rPr>
          <w:rFonts w:ascii="Arial" w:hAnsi="Arial" w:cs="Arial"/>
          <w:sz w:val="22"/>
          <w:szCs w:val="22"/>
        </w:rPr>
        <w:t>:</w:t>
      </w:r>
    </w:p>
    <w:p w14:paraId="386948C1" w14:textId="77777777" w:rsidR="00FC10E9" w:rsidRDefault="00FC10E9">
      <w:pPr>
        <w:pStyle w:val="PargrafodaLista"/>
        <w:tabs>
          <w:tab w:val="left" w:pos="993"/>
        </w:tabs>
        <w:spacing w:line="276" w:lineRule="auto"/>
        <w:ind w:left="2138"/>
        <w:jc w:val="both"/>
        <w:rPr>
          <w:rStyle w:val="Nmerodepgina"/>
          <w:rFonts w:ascii="Arial" w:eastAsiaTheme="majorEastAsia" w:hAnsi="Arial" w:cs="Arial"/>
          <w:sz w:val="22"/>
          <w:szCs w:val="22"/>
        </w:rPr>
      </w:pPr>
    </w:p>
    <w:p w14:paraId="3A18DE71" w14:textId="77777777" w:rsidR="00FC10E9" w:rsidRDefault="00B10E1A">
      <w:pPr>
        <w:spacing w:line="300" w:lineRule="atLeast"/>
        <w:ind w:left="1418"/>
        <w:jc w:val="both"/>
        <w:rPr>
          <w:rFonts w:ascii="Arial" w:hAnsi="Arial" w:cs="Arial"/>
          <w:color w:val="000000"/>
          <w:sz w:val="22"/>
          <w:szCs w:val="22"/>
        </w:rPr>
      </w:pPr>
      <w:proofErr w:type="spellStart"/>
      <w:r>
        <w:rPr>
          <w:rFonts w:ascii="Arial" w:hAnsi="Arial" w:cs="Arial"/>
          <w:color w:val="000000"/>
          <w:sz w:val="22"/>
          <w:szCs w:val="22"/>
        </w:rPr>
        <w:t>PUdebênture</w:t>
      </w:r>
      <w:proofErr w:type="spellEnd"/>
      <w:r>
        <w:rPr>
          <w:rFonts w:ascii="Arial" w:hAnsi="Arial" w:cs="Arial"/>
          <w:color w:val="000000"/>
          <w:sz w:val="22"/>
          <w:szCs w:val="22"/>
        </w:rPr>
        <w:t xml:space="preserve"> = o Valor Nominal Unitário das Debêntures ou o saldo do Valor Nominal Unitário, conforme o caso, acrescido dos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xml:space="preserve"> desde a primeira Data de Integralização ou a </w:t>
      </w:r>
      <w:r>
        <w:rPr>
          <w:rFonts w:ascii="Arial" w:hAnsi="Arial" w:cs="Arial"/>
          <w:bCs/>
          <w:color w:val="000000"/>
          <w:sz w:val="22"/>
          <w:szCs w:val="22"/>
        </w:rPr>
        <w:t>Data de Pagamento dos Juros Remuneratórios imediatamente anterior, conforme aplicável,</w:t>
      </w:r>
      <w:r>
        <w:rPr>
          <w:rFonts w:ascii="Arial" w:hAnsi="Arial" w:cs="Arial"/>
          <w:color w:val="000000"/>
          <w:sz w:val="22"/>
          <w:szCs w:val="22"/>
        </w:rPr>
        <w:t xml:space="preserve"> até a </w:t>
      </w:r>
      <w:r>
        <w:rPr>
          <w:rFonts w:ascii="Arial" w:hAnsi="Arial" w:cs="Arial"/>
          <w:bCs/>
          <w:color w:val="000000"/>
          <w:sz w:val="22"/>
          <w:szCs w:val="22"/>
        </w:rPr>
        <w:t xml:space="preserve">Data da </w:t>
      </w:r>
      <w:r>
        <w:rPr>
          <w:rStyle w:val="NenhumA"/>
          <w:rFonts w:ascii="Arial" w:eastAsia="Calibri" w:hAnsi="Arial" w:cs="Arial"/>
          <w:iCs/>
          <w:sz w:val="22"/>
          <w:szCs w:val="22"/>
          <w:bdr w:val="none" w:sz="0" w:space="0" w:color="auto" w:frame="1"/>
        </w:rPr>
        <w:t>Amortização Extraordinária Facultativa</w:t>
      </w:r>
      <w:r>
        <w:rPr>
          <w:rFonts w:ascii="Arial" w:hAnsi="Arial" w:cs="Arial"/>
          <w:color w:val="000000"/>
          <w:sz w:val="22"/>
          <w:szCs w:val="22"/>
        </w:rPr>
        <w:t>;</w:t>
      </w:r>
    </w:p>
    <w:p w14:paraId="671A7615" w14:textId="77777777" w:rsidR="00FC10E9" w:rsidRDefault="00FC10E9">
      <w:pPr>
        <w:pStyle w:val="PargrafodaLista"/>
        <w:spacing w:line="300" w:lineRule="atLeast"/>
        <w:ind w:left="2138"/>
        <w:jc w:val="both"/>
        <w:rPr>
          <w:rFonts w:ascii="Arial" w:hAnsi="Arial" w:cs="Arial"/>
          <w:color w:val="000000"/>
          <w:sz w:val="22"/>
          <w:szCs w:val="22"/>
        </w:rPr>
      </w:pPr>
    </w:p>
    <w:p w14:paraId="7D30E615" w14:textId="77777777" w:rsidR="00FC10E9" w:rsidRDefault="00B10E1A">
      <w:pPr>
        <w:spacing w:line="300" w:lineRule="atLeast"/>
        <w:ind w:left="1418"/>
        <w:jc w:val="both"/>
        <w:rPr>
          <w:rFonts w:ascii="Arial" w:hAnsi="Arial" w:cs="Arial"/>
          <w:color w:val="000000"/>
          <w:sz w:val="22"/>
          <w:szCs w:val="22"/>
        </w:rPr>
      </w:pPr>
      <w:r>
        <w:rPr>
          <w:rFonts w:ascii="Arial" w:hAnsi="Arial" w:cs="Arial"/>
          <w:color w:val="000000"/>
          <w:sz w:val="22"/>
          <w:szCs w:val="22"/>
        </w:rPr>
        <w:t xml:space="preserve">Prêmio = 0,60% (sessenta centésimos por cento); e </w:t>
      </w:r>
    </w:p>
    <w:p w14:paraId="57F7A764" w14:textId="77777777" w:rsidR="00FC10E9" w:rsidRDefault="00FC10E9">
      <w:pPr>
        <w:spacing w:line="300" w:lineRule="atLeast"/>
        <w:ind w:left="1418"/>
        <w:jc w:val="both"/>
        <w:rPr>
          <w:rFonts w:ascii="Arial" w:hAnsi="Arial" w:cs="Arial"/>
          <w:color w:val="000000"/>
          <w:sz w:val="22"/>
          <w:szCs w:val="22"/>
        </w:rPr>
      </w:pPr>
    </w:p>
    <w:p w14:paraId="52DD9998" w14:textId="77777777" w:rsidR="00FC10E9" w:rsidRDefault="00B10E1A">
      <w:pPr>
        <w:spacing w:line="300" w:lineRule="atLeast"/>
        <w:ind w:left="1418"/>
        <w:jc w:val="both"/>
        <w:rPr>
          <w:rFonts w:ascii="Arial" w:hAnsi="Arial" w:cs="Arial"/>
          <w:color w:val="000000"/>
          <w:sz w:val="22"/>
          <w:szCs w:val="22"/>
        </w:rPr>
      </w:pPr>
      <w:r>
        <w:rPr>
          <w:rFonts w:ascii="Arial" w:hAnsi="Arial" w:cs="Arial"/>
          <w:color w:val="000000"/>
          <w:sz w:val="22"/>
          <w:szCs w:val="22"/>
        </w:rPr>
        <w:t xml:space="preserve">Prazo Remanescente = quantidade de Dias Úteis, contados da respectiva </w:t>
      </w:r>
      <w:r>
        <w:rPr>
          <w:rFonts w:ascii="Arial" w:hAnsi="Arial" w:cs="Arial"/>
          <w:bCs/>
          <w:color w:val="000000"/>
          <w:sz w:val="22"/>
          <w:szCs w:val="22"/>
        </w:rPr>
        <w:t xml:space="preserve">Data da </w:t>
      </w:r>
      <w:r>
        <w:rPr>
          <w:rStyle w:val="NenhumA"/>
          <w:rFonts w:ascii="Arial" w:eastAsia="Calibri" w:hAnsi="Arial" w:cs="Arial"/>
          <w:iCs/>
          <w:sz w:val="22"/>
          <w:szCs w:val="22"/>
          <w:bdr w:val="none" w:sz="0" w:space="0" w:color="auto" w:frame="1"/>
        </w:rPr>
        <w:t>Amortização Extraordinária Facultativa</w:t>
      </w:r>
      <w:r>
        <w:rPr>
          <w:rFonts w:ascii="Arial" w:hAnsi="Arial" w:cs="Arial"/>
          <w:color w:val="000000"/>
          <w:sz w:val="22"/>
          <w:szCs w:val="22"/>
        </w:rPr>
        <w:t xml:space="preserve"> até a Data de Vencimento. </w:t>
      </w:r>
    </w:p>
    <w:p w14:paraId="1A5A3623" w14:textId="77777777" w:rsidR="00FC10E9" w:rsidRDefault="00FC10E9">
      <w:pPr>
        <w:autoSpaceDE w:val="0"/>
        <w:autoSpaceDN w:val="0"/>
        <w:adjustRightInd w:val="0"/>
        <w:spacing w:line="300" w:lineRule="atLeast"/>
        <w:ind w:left="284"/>
        <w:jc w:val="both"/>
        <w:rPr>
          <w:rFonts w:ascii="Arial" w:hAnsi="Arial" w:cs="Arial"/>
          <w:bCs/>
          <w:color w:val="000000"/>
          <w:sz w:val="20"/>
          <w:szCs w:val="20"/>
        </w:rPr>
      </w:pPr>
    </w:p>
    <w:p w14:paraId="11DB8EFF" w14:textId="77777777" w:rsidR="00FC10E9" w:rsidRDefault="00B10E1A">
      <w:pPr>
        <w:pStyle w:val="PargrafodaLista"/>
        <w:numPr>
          <w:ilvl w:val="3"/>
          <w:numId w:val="15"/>
        </w:numPr>
        <w:tabs>
          <w:tab w:val="left" w:pos="1560"/>
          <w:tab w:val="left" w:pos="3402"/>
        </w:tabs>
        <w:spacing w:line="300" w:lineRule="atLeast"/>
        <w:ind w:left="0" w:firstLine="709"/>
        <w:jc w:val="both"/>
        <w:rPr>
          <w:rStyle w:val="NenhumA"/>
          <w:rFonts w:ascii="Arial" w:hAnsi="Arial" w:cs="Arial"/>
          <w:bCs/>
          <w:color w:val="000000"/>
          <w:sz w:val="20"/>
          <w:szCs w:val="20"/>
        </w:rPr>
      </w:pPr>
      <w:r>
        <w:rPr>
          <w:rStyle w:val="NenhumA"/>
          <w:rFonts w:ascii="Arial" w:eastAsia="Calibri" w:hAnsi="Arial" w:cs="Arial"/>
          <w:iCs/>
          <w:sz w:val="22"/>
          <w:szCs w:val="22"/>
          <w:bdr w:val="none" w:sz="0" w:space="0" w:color="auto" w:frame="1"/>
        </w:rPr>
        <w:t xml:space="preserve">A realização da Amortização Extraordinária Facultativa deverá abranger, proporcionalmente, todas as Debêntures, e deverá obedecer ao limite máximo de amortização de 98% (noventa e oito por cento) do Valor Nominal Unitário, conforme o caso, das Debêntures. </w:t>
      </w:r>
    </w:p>
    <w:p w14:paraId="2F097B8B" w14:textId="77777777" w:rsidR="00FC10E9" w:rsidRDefault="00FC10E9">
      <w:pPr>
        <w:pStyle w:val="PargrafodaLista"/>
        <w:rPr>
          <w:rFonts w:ascii="Arial" w:hAnsi="Arial" w:cs="Arial"/>
          <w:bCs/>
          <w:color w:val="000000"/>
          <w:sz w:val="20"/>
          <w:szCs w:val="20"/>
        </w:rPr>
      </w:pPr>
    </w:p>
    <w:p w14:paraId="19D55219" w14:textId="77777777" w:rsidR="00FC10E9" w:rsidRDefault="00B10E1A">
      <w:pPr>
        <w:pStyle w:val="PargrafodaLista"/>
        <w:numPr>
          <w:ilvl w:val="3"/>
          <w:numId w:val="15"/>
        </w:numPr>
        <w:tabs>
          <w:tab w:val="left" w:pos="1560"/>
          <w:tab w:val="left" w:pos="3402"/>
        </w:tabs>
        <w:spacing w:line="300" w:lineRule="atLeast"/>
        <w:ind w:left="0" w:firstLine="709"/>
        <w:jc w:val="both"/>
        <w:rPr>
          <w:rFonts w:ascii="Arial" w:hAnsi="Arial" w:cs="Arial"/>
          <w:bCs/>
          <w:color w:val="000000"/>
          <w:sz w:val="20"/>
          <w:szCs w:val="20"/>
        </w:rPr>
      </w:pPr>
      <w:r>
        <w:rPr>
          <w:rFonts w:ascii="Arial" w:eastAsia="Calibri" w:hAnsi="Arial" w:cs="Arial"/>
          <w:iCs/>
          <w:sz w:val="22"/>
          <w:szCs w:val="22"/>
          <w:bdr w:val="none" w:sz="0" w:space="0" w:color="auto" w:frame="1"/>
        </w:rPr>
        <w:t xml:space="preserve">O pagamento das Debêntures objeto da Amortização Extraordinária Facultativa será feito pela Emissora: </w:t>
      </w:r>
      <w:r>
        <w:rPr>
          <w:rFonts w:ascii="Arial" w:eastAsia="Calibri" w:hAnsi="Arial" w:cs="Arial"/>
          <w:b/>
          <w:iCs/>
          <w:sz w:val="22"/>
          <w:szCs w:val="22"/>
          <w:bdr w:val="none" w:sz="0" w:space="0" w:color="auto" w:frame="1"/>
        </w:rPr>
        <w:t>(i)</w:t>
      </w:r>
      <w:r>
        <w:rPr>
          <w:rFonts w:ascii="Arial" w:eastAsia="Calibri" w:hAnsi="Arial" w:cs="Arial"/>
          <w:iCs/>
          <w:sz w:val="22"/>
          <w:szCs w:val="22"/>
          <w:bdr w:val="none" w:sz="0" w:space="0" w:color="auto" w:frame="1"/>
        </w:rPr>
        <w:t xml:space="preserve"> por meio dos procedimentos adotados pela B3 para as Debêntures custodiadas eletronicamente na B3; e/ou </w:t>
      </w:r>
      <w:r>
        <w:rPr>
          <w:rFonts w:ascii="Arial" w:eastAsia="Calibri" w:hAnsi="Arial" w:cs="Arial"/>
          <w:b/>
          <w:iCs/>
          <w:sz w:val="22"/>
          <w:szCs w:val="22"/>
          <w:bdr w:val="none" w:sz="0" w:space="0" w:color="auto" w:frame="1"/>
        </w:rPr>
        <w:t>(</w:t>
      </w:r>
      <w:proofErr w:type="spellStart"/>
      <w:r>
        <w:rPr>
          <w:rFonts w:ascii="Arial" w:eastAsia="Calibri" w:hAnsi="Arial" w:cs="Arial"/>
          <w:b/>
          <w:iCs/>
          <w:sz w:val="22"/>
          <w:szCs w:val="22"/>
          <w:bdr w:val="none" w:sz="0" w:space="0" w:color="auto" w:frame="1"/>
        </w:rPr>
        <w:t>ii</w:t>
      </w:r>
      <w:proofErr w:type="spellEnd"/>
      <w:r>
        <w:rPr>
          <w:rFonts w:ascii="Arial" w:eastAsia="Calibri" w:hAnsi="Arial" w:cs="Arial"/>
          <w:b/>
          <w:iCs/>
          <w:sz w:val="22"/>
          <w:szCs w:val="22"/>
          <w:bdr w:val="none" w:sz="0" w:space="0" w:color="auto" w:frame="1"/>
        </w:rPr>
        <w:t>)</w:t>
      </w:r>
      <w:r>
        <w:rPr>
          <w:rFonts w:ascii="Arial" w:eastAsia="Calibri" w:hAnsi="Arial" w:cs="Arial"/>
          <w:iCs/>
          <w:sz w:val="22"/>
          <w:szCs w:val="22"/>
          <w:bdr w:val="none" w:sz="0" w:space="0" w:color="auto" w:frame="1"/>
        </w:rPr>
        <w:t xml:space="preserve"> mediante depósito em contas correntes indicadas pelos Debenturistas a ser realizado pelo Agente de Liquidação e pelo </w:t>
      </w:r>
      <w:proofErr w:type="spellStart"/>
      <w:r>
        <w:rPr>
          <w:rFonts w:ascii="Arial" w:eastAsia="Calibri" w:hAnsi="Arial" w:cs="Arial"/>
          <w:iCs/>
          <w:sz w:val="22"/>
          <w:szCs w:val="22"/>
          <w:bdr w:val="none" w:sz="0" w:space="0" w:color="auto" w:frame="1"/>
        </w:rPr>
        <w:t>Escriturador</w:t>
      </w:r>
      <w:proofErr w:type="spellEnd"/>
      <w:r>
        <w:rPr>
          <w:rFonts w:ascii="Arial" w:eastAsia="Calibri" w:hAnsi="Arial" w:cs="Arial"/>
          <w:iCs/>
          <w:sz w:val="22"/>
          <w:szCs w:val="22"/>
          <w:bdr w:val="none" w:sz="0" w:space="0" w:color="auto" w:frame="1"/>
        </w:rPr>
        <w:t>, no caso de Debêntures que não estejam custodiadas eletronicamente na B3, sob pena de, em não o fazendo, ficarem obrigadas, ainda, ao pagamento dos Encargos Moratório.</w:t>
      </w:r>
      <w:r>
        <w:rPr>
          <w:rStyle w:val="NenhumA"/>
          <w:rFonts w:ascii="Arial" w:eastAsia="Calibri" w:hAnsi="Arial" w:cs="Arial"/>
          <w:iCs/>
          <w:sz w:val="22"/>
          <w:szCs w:val="22"/>
          <w:bdr w:val="none" w:sz="0" w:space="0" w:color="auto" w:frame="1"/>
        </w:rPr>
        <w:t xml:space="preserve"> A </w:t>
      </w:r>
      <w:r>
        <w:rPr>
          <w:rFonts w:ascii="Arial" w:eastAsia="Calibri" w:hAnsi="Arial" w:cs="Arial"/>
          <w:iCs/>
          <w:sz w:val="22"/>
          <w:szCs w:val="22"/>
          <w:bdr w:val="none" w:sz="0" w:space="0" w:color="auto" w:frame="1"/>
        </w:rPr>
        <w:t>B3 deverá ser comunicada através de correspondência enviada pela Emissora, em conjunto com o Agente Fiduciário, acerca da realização da Amortização Extraordinária Facultativa, com pelo menos 3 (três) Dias Úteis de antecedência.</w:t>
      </w:r>
    </w:p>
    <w:p w14:paraId="27BB5151"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582B47CC" w14:textId="77777777" w:rsidR="00FC10E9" w:rsidRDefault="00B10E1A">
      <w:pPr>
        <w:keepNext/>
        <w:numPr>
          <w:ilvl w:val="1"/>
          <w:numId w:val="13"/>
        </w:numPr>
        <w:tabs>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Aquisição Facultativa</w:t>
      </w:r>
    </w:p>
    <w:p w14:paraId="0F6E3FDE"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1394EA90" w14:textId="77777777" w:rsidR="00FC10E9" w:rsidRDefault="00B10E1A">
      <w:pPr>
        <w:numPr>
          <w:ilvl w:val="0"/>
          <w:numId w:val="19"/>
        </w:numPr>
        <w:tabs>
          <w:tab w:val="left" w:pos="720"/>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A Emissora poderá, a qualquer tempo, adquirir Debêntures em circulação, observado o disposto no artigo 55, parágrafo 3º, da Lei das Sociedades por Ações, desde que observe as eventuais regras expedidas pela CVM, devendo tal fato, se assim exigido pelas disposições legais e regulamentares aplicáveis, constar do relatório da administração e das </w:t>
      </w:r>
      <w:r>
        <w:rPr>
          <w:rFonts w:ascii="Arial" w:hAnsi="Arial" w:cs="Arial"/>
          <w:color w:val="000000"/>
          <w:sz w:val="22"/>
          <w:szCs w:val="22"/>
        </w:rPr>
        <w:lastRenderedPageBreak/>
        <w:t>demonstrações financeiras da Emissora. As Debêntures adquiridas pela Emissora de acordo com esta cláusula poderão, a critério da Emissora, ser canceladas, permanecer na tesouraria da Emissora ou ser novamente colocadas no mercado observadas as restrições impostas pela Instrução CVM 476. As Debêntures adquiridas pela Emissora para permanência em tesouraria, nos termos desta cláusula, se e quando recolocadas no mercado, farão jus à mesma remuneração aplicável às demais Debêntures (“</w:t>
      </w:r>
      <w:r>
        <w:rPr>
          <w:rFonts w:ascii="Arial" w:hAnsi="Arial" w:cs="Arial"/>
          <w:color w:val="000000"/>
          <w:sz w:val="22"/>
          <w:szCs w:val="22"/>
          <w:u w:val="single"/>
        </w:rPr>
        <w:t>Aquisição Facultativa</w:t>
      </w:r>
      <w:r>
        <w:rPr>
          <w:rFonts w:ascii="Arial" w:hAnsi="Arial" w:cs="Arial"/>
          <w:color w:val="000000"/>
          <w:sz w:val="22"/>
          <w:szCs w:val="22"/>
        </w:rPr>
        <w:t>”).</w:t>
      </w:r>
    </w:p>
    <w:p w14:paraId="52F751A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5046E79" w14:textId="77777777" w:rsidR="00FC10E9" w:rsidRDefault="00B10E1A">
      <w:pPr>
        <w:numPr>
          <w:ilvl w:val="0"/>
          <w:numId w:val="19"/>
        </w:numPr>
        <w:tabs>
          <w:tab w:val="left" w:pos="720"/>
          <w:tab w:val="left" w:pos="2366"/>
        </w:tabs>
        <w:spacing w:line="300" w:lineRule="atLeast"/>
        <w:ind w:left="0" w:firstLine="0"/>
        <w:jc w:val="both"/>
        <w:rPr>
          <w:rFonts w:ascii="Arial" w:hAnsi="Arial" w:cs="Arial"/>
          <w:color w:val="000000"/>
          <w:sz w:val="22"/>
          <w:szCs w:val="22"/>
        </w:rPr>
      </w:pPr>
      <w:r>
        <w:rPr>
          <w:rFonts w:ascii="Arial" w:hAnsi="Arial" w:cs="Arial"/>
          <w:color w:val="000000"/>
          <w:sz w:val="22"/>
          <w:szCs w:val="22"/>
        </w:rPr>
        <w:t>As Debêntures adquiridas pela Emissora para permanência em tesouraria nos termos da Cláusula 6.2.1 acima, se e quando recolocadas no mercado, farão jus aos mesmos juros remuneratórios das demais Debêntures.</w:t>
      </w:r>
    </w:p>
    <w:p w14:paraId="460F0CF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4A7261FC" w14:textId="77777777" w:rsidR="00FC10E9" w:rsidRDefault="00B10E1A">
      <w:pPr>
        <w:pStyle w:val="SCBFTtulo1"/>
        <w:keepLines w:val="0"/>
        <w:spacing w:line="300" w:lineRule="atLeast"/>
        <w:rPr>
          <w:rFonts w:ascii="Arial" w:hAnsi="Arial" w:cs="Arial"/>
          <w:color w:val="000000"/>
        </w:rPr>
      </w:pPr>
      <w:bookmarkStart w:id="17" w:name="_Toc510004477"/>
      <w:r>
        <w:rPr>
          <w:rFonts w:ascii="Arial" w:hAnsi="Arial" w:cs="Arial"/>
          <w:color w:val="000000"/>
        </w:rPr>
        <w:t xml:space="preserve">CLÁUSULA VII </w:t>
      </w:r>
      <w:r>
        <w:rPr>
          <w:rFonts w:ascii="Arial" w:hAnsi="Arial" w:cs="Arial"/>
          <w:color w:val="000000"/>
        </w:rPr>
        <w:br/>
        <w:t>VENCIMENTO ANTECIPADO</w:t>
      </w:r>
      <w:bookmarkEnd w:id="17"/>
    </w:p>
    <w:p w14:paraId="2125E81A" w14:textId="77777777" w:rsidR="00FC10E9" w:rsidRDefault="00FC10E9">
      <w:pPr>
        <w:tabs>
          <w:tab w:val="left" w:pos="720"/>
          <w:tab w:val="left" w:pos="2366"/>
        </w:tabs>
        <w:spacing w:line="300" w:lineRule="atLeast"/>
        <w:jc w:val="both"/>
        <w:rPr>
          <w:rFonts w:ascii="Arial" w:hAnsi="Arial" w:cs="Arial"/>
          <w:color w:val="000000"/>
          <w:sz w:val="22"/>
          <w:szCs w:val="22"/>
        </w:rPr>
      </w:pPr>
    </w:p>
    <w:p w14:paraId="4645E1F8" w14:textId="77777777" w:rsidR="00FC10E9" w:rsidRDefault="00B10E1A">
      <w:pPr>
        <w:numPr>
          <w:ilvl w:val="0"/>
          <w:numId w:val="25"/>
        </w:numPr>
        <w:tabs>
          <w:tab w:val="left" w:pos="720"/>
          <w:tab w:val="left" w:pos="2366"/>
        </w:tabs>
        <w:spacing w:line="300" w:lineRule="atLeast"/>
        <w:ind w:left="0" w:firstLine="0"/>
        <w:jc w:val="both"/>
        <w:rPr>
          <w:rFonts w:ascii="Arial" w:hAnsi="Arial" w:cs="Arial"/>
          <w:b/>
          <w:color w:val="000000"/>
          <w:sz w:val="22"/>
          <w:szCs w:val="22"/>
        </w:rPr>
      </w:pPr>
      <w:r>
        <w:rPr>
          <w:rFonts w:ascii="Arial" w:hAnsi="Arial" w:cs="Arial"/>
          <w:color w:val="000000"/>
          <w:sz w:val="22"/>
          <w:szCs w:val="22"/>
        </w:rPr>
        <w:t xml:space="preserve">Observado o disposto nesta Cláusula VII, o Agente Fiduciário deverá considerar antecipadamente vencidas, independentemente do recebimento de aviso, notificação ou interpelação judicial ou extrajudicial, todas as obrigações relativas às Debêntures e exigir o imediato pagamento pela Emissora, mediante o envio de simples comunicação por escrito contendo as respectivas instruções para pagamento, fora do âmbito B3, do Valor Nominal Unitário </w:t>
      </w:r>
      <w:r>
        <w:rPr>
          <w:rFonts w:ascii="Arial" w:hAnsi="Arial" w:cs="Arial"/>
          <w:sz w:val="22"/>
          <w:szCs w:val="22"/>
        </w:rPr>
        <w:t>(ou saldo do Valor Nominal Unitário, conforme o caso)</w:t>
      </w:r>
      <w:r>
        <w:rPr>
          <w:rFonts w:ascii="Arial" w:hAnsi="Arial" w:cs="Arial"/>
          <w:color w:val="000000"/>
          <w:sz w:val="22"/>
          <w:szCs w:val="22"/>
        </w:rPr>
        <w:t xml:space="preserve"> das Debêntures, acrescido dos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desde a primeira Data de Integralização (ou desde a Data de Pagamento dos Juros Remuneratórios imediatamente anterior, conforme aplicável), até a data do seu efetivo pagamento, e demais Encargos Moratórios devidos nos termos da Cláusula 4.7 desta Escritura, ao tomar ciência da ocorrência de qualquer uma das seguintes hipóteses (cada um desses eventos, um “</w:t>
      </w:r>
      <w:r>
        <w:rPr>
          <w:rFonts w:ascii="Arial" w:hAnsi="Arial" w:cs="Arial"/>
          <w:color w:val="000000"/>
          <w:sz w:val="22"/>
          <w:szCs w:val="22"/>
          <w:u w:val="single"/>
        </w:rPr>
        <w:t>Evento de Inadimplemento</w:t>
      </w:r>
      <w:r>
        <w:rPr>
          <w:rFonts w:ascii="Arial" w:hAnsi="Arial" w:cs="Arial"/>
          <w:color w:val="000000"/>
          <w:sz w:val="22"/>
          <w:szCs w:val="22"/>
        </w:rPr>
        <w:t>”):</w:t>
      </w:r>
    </w:p>
    <w:p w14:paraId="01FACD9A" w14:textId="77777777" w:rsidR="00FC10E9" w:rsidRDefault="00FC10E9">
      <w:pPr>
        <w:tabs>
          <w:tab w:val="left" w:pos="2366"/>
        </w:tabs>
        <w:spacing w:line="300" w:lineRule="atLeast"/>
        <w:jc w:val="both"/>
        <w:rPr>
          <w:rFonts w:ascii="Arial" w:hAnsi="Arial" w:cs="Arial"/>
          <w:color w:val="000000"/>
          <w:sz w:val="22"/>
          <w:szCs w:val="22"/>
        </w:rPr>
      </w:pPr>
    </w:p>
    <w:p w14:paraId="0DAE2CA5"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descumprimento, pela Emissora, de qualquer obrigação pecuniária em favor dos Debenturistas relacionada às Debêntures não sanada no prazo de 3 (três) Dias Úteis a contar da data em que a obrigação era devida; </w:t>
      </w:r>
    </w:p>
    <w:p w14:paraId="6DF3630C"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2D2BC18A"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vencimento antecipado de qualquer outra obrigação financeira da Emissora ou de suas controladas, diretas ou indiretas, durante a vigência desta Escritura, cujo valor remanescente da obrigação, à época da declaração do vencimento antecipado, seja igual ou superior a US</w:t>
      </w:r>
      <w:r>
        <w:rPr>
          <w:rFonts w:ascii="Arial" w:hAnsi="Arial" w:cs="Arial"/>
          <w:sz w:val="22"/>
          <w:szCs w:val="22"/>
        </w:rPr>
        <w:t>$100.000.000,00 (cem milhões de dólares norte-americanos),</w:t>
      </w:r>
      <w:r>
        <w:rPr>
          <w:rFonts w:ascii="Arial" w:hAnsi="Arial" w:cs="Arial"/>
          <w:color w:val="000000"/>
          <w:sz w:val="22"/>
          <w:szCs w:val="22"/>
        </w:rPr>
        <w:t xml:space="preserve"> ou o equivalente em outras moedas;</w:t>
      </w:r>
    </w:p>
    <w:p w14:paraId="02ACA07B"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33953DE4"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inadimplemento de qualquer obrigação financeira da Emissora ou de suas controladas, diretas ou indiretas, cujo valor principal unitário seja igual ou superior </w:t>
      </w:r>
      <w:r>
        <w:rPr>
          <w:rFonts w:ascii="Arial" w:hAnsi="Arial" w:cs="Arial"/>
          <w:sz w:val="22"/>
          <w:szCs w:val="22"/>
        </w:rPr>
        <w:t xml:space="preserve">a </w:t>
      </w:r>
      <w:r>
        <w:rPr>
          <w:rFonts w:ascii="Arial" w:hAnsi="Arial" w:cs="Arial"/>
          <w:color w:val="000000"/>
          <w:sz w:val="22"/>
          <w:szCs w:val="22"/>
        </w:rPr>
        <w:t>US</w:t>
      </w:r>
      <w:r>
        <w:rPr>
          <w:rFonts w:ascii="Arial" w:hAnsi="Arial" w:cs="Arial"/>
          <w:sz w:val="22"/>
          <w:szCs w:val="22"/>
        </w:rPr>
        <w:t>$100.000.000,00 (cem milhões de dólares norte-americanos) ou o equivalente em outras moedas</w:t>
      </w:r>
      <w:r>
        <w:rPr>
          <w:rFonts w:ascii="Arial" w:hAnsi="Arial" w:cs="Arial"/>
          <w:color w:val="000000"/>
          <w:sz w:val="22"/>
          <w:szCs w:val="22"/>
        </w:rPr>
        <w:t>, salvo se o inadimplemento de obrigações for sanado pela Emissora ou suas controladas, conforme o caso, no prazo previsto no respectivo instrumento;</w:t>
      </w:r>
    </w:p>
    <w:p w14:paraId="7F7417F0" w14:textId="77777777" w:rsidR="00FC10E9" w:rsidRDefault="00FC10E9">
      <w:pPr>
        <w:tabs>
          <w:tab w:val="left" w:pos="720"/>
          <w:tab w:val="left" w:pos="990"/>
          <w:tab w:val="left" w:pos="2366"/>
        </w:tabs>
        <w:spacing w:line="300" w:lineRule="atLeast"/>
        <w:ind w:left="709" w:hanging="709"/>
        <w:jc w:val="both"/>
        <w:rPr>
          <w:rFonts w:ascii="Arial" w:hAnsi="Arial" w:cs="Arial"/>
          <w:color w:val="000000"/>
          <w:sz w:val="22"/>
          <w:szCs w:val="22"/>
        </w:rPr>
      </w:pPr>
    </w:p>
    <w:p w14:paraId="23C7474D"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a ocorrência de: (i) pedido de recuperação judicial ou submissão a qualquer credor ou classe de credores de pedido de negociação de plano de recuperação extrajudicial, formulado pela Emissora ou por qualquer de suas controladas, diretas ou indiretas; </w:t>
      </w:r>
      <w:r>
        <w:rPr>
          <w:rFonts w:ascii="Arial" w:hAnsi="Arial" w:cs="Arial"/>
          <w:color w:val="000000"/>
          <w:sz w:val="22"/>
          <w:szCs w:val="22"/>
        </w:rPr>
        <w:lastRenderedPageBreak/>
        <w:t>(</w:t>
      </w:r>
      <w:proofErr w:type="spellStart"/>
      <w:r>
        <w:rPr>
          <w:rFonts w:ascii="Arial" w:hAnsi="Arial" w:cs="Arial"/>
          <w:color w:val="000000"/>
          <w:sz w:val="22"/>
          <w:szCs w:val="22"/>
        </w:rPr>
        <w:t>ii</w:t>
      </w:r>
      <w:proofErr w:type="spellEnd"/>
      <w:r>
        <w:rPr>
          <w:rFonts w:ascii="Arial" w:hAnsi="Arial" w:cs="Arial"/>
          <w:color w:val="000000"/>
          <w:sz w:val="22"/>
          <w:szCs w:val="22"/>
        </w:rPr>
        <w:t>) extinção, liquidação, dissolução, insolvência, pedido de autofalência, pedido de falência não elidido no prazo legal ou decretação de falência da Emissora ou de qualquer de suas controladas diretas ou indiretas; ou, ainda (</w:t>
      </w:r>
      <w:proofErr w:type="spellStart"/>
      <w:r>
        <w:rPr>
          <w:rFonts w:ascii="Arial" w:hAnsi="Arial" w:cs="Arial"/>
          <w:color w:val="000000"/>
          <w:sz w:val="22"/>
          <w:szCs w:val="22"/>
        </w:rPr>
        <w:t>iii</w:t>
      </w:r>
      <w:proofErr w:type="spellEnd"/>
      <w:r>
        <w:rPr>
          <w:rFonts w:ascii="Arial" w:hAnsi="Arial" w:cs="Arial"/>
          <w:color w:val="000000"/>
          <w:sz w:val="22"/>
          <w:szCs w:val="22"/>
        </w:rPr>
        <w:t>) qualquer procedimento análogo que venha a ser criado por lei, requerido por ou decretado contra a Emissora ou qualquer de suas controladas diretas ou indiretas, salvo se o requerimento tiver sido elidido no prazo legal ou efetuado por erro ou má-fé de terceiros, desde que validamente comprovado o erro ou má-fé no prazo de 30 (trinta) dias contados da data da ciência do referido requerimento;</w:t>
      </w:r>
    </w:p>
    <w:p w14:paraId="2F072B37"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4111B971"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exceto mediante anuência expressa de Debenturistas </w:t>
      </w:r>
      <w:r>
        <w:rPr>
          <w:rFonts w:ascii="Arial" w:hAnsi="Arial" w:cs="Arial"/>
          <w:iCs/>
          <w:color w:val="000000"/>
          <w:sz w:val="22"/>
          <w:szCs w:val="22"/>
        </w:rPr>
        <w:t>que representem, no mínimo, 50% (cinquenta por cento) das Debêntures em Circulação</w:t>
      </w:r>
      <w:r>
        <w:rPr>
          <w:rFonts w:ascii="Arial" w:hAnsi="Arial" w:cs="Arial"/>
          <w:color w:val="000000"/>
          <w:sz w:val="22"/>
          <w:szCs w:val="22"/>
        </w:rPr>
        <w:t xml:space="preserve">, alienação de quaisquer ativos operacionais que, individual ou conjuntamente durante a vigência das Debêntures, resultem em uma redução da receita operacional líquida da Emissora superior a 25% (vinte e cinco por cento) em relação à receita operacional líquida da Emissora no exercício encerrado em 31 de dezembro de 2021 (corrigida anualmente conforme a variação acumulada do IGP-M, desde a Data de Emissão). O limite acima estabelecido será apurado trimestralmente, a partir do </w:t>
      </w:r>
      <w:r>
        <w:rPr>
          <w:rFonts w:ascii="Arial" w:hAnsi="Arial" w:cs="Arial"/>
          <w:sz w:val="22"/>
          <w:szCs w:val="22"/>
        </w:rPr>
        <w:t xml:space="preserve">2º (segundo) trimestre de 2022, </w:t>
      </w:r>
      <w:r>
        <w:rPr>
          <w:rFonts w:ascii="Arial" w:hAnsi="Arial" w:cs="Arial"/>
          <w:color w:val="000000"/>
          <w:sz w:val="22"/>
          <w:szCs w:val="22"/>
        </w:rPr>
        <w:t xml:space="preserve">levando-se em conta as receitas operacionais da Emissora durante os 12 (doze) meses anteriores ao encerramento de cada trimestre, e utilizando-se as informações financeiras divulgadas pela Emissora; </w:t>
      </w:r>
    </w:p>
    <w:p w14:paraId="6004036F"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15049BEF"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pagamento, pela Emissora, de dividendos, juros sobre capital próprio e/ou outros pagamentos de qualquer outra forma a seus acionistas, ressalvado o disposto no artigo 202 da Lei das Sociedades por Ações, ou qualquer outra participação estatutariamente prevista, se estiver em mora relativamente ao pagamento de quaisquer valores devidos aos Debenturistas em razão das Debêntures, cessando tal proibição tão logo seja purgada a mora;</w:t>
      </w:r>
    </w:p>
    <w:p w14:paraId="6CDED4CC"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3B96800F"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descumprimento, pela Emissora, de qualquer obrigação não pecuniária relacionada às Debêntures, não sanada no prazo de 30 (trinta) dias corridos do referido descumprimento, </w:t>
      </w:r>
      <w:r>
        <w:rPr>
          <w:rFonts w:ascii="Arial" w:hAnsi="Arial" w:cs="Arial"/>
          <w:color w:val="000000"/>
          <w:sz w:val="22"/>
          <w:szCs w:val="22"/>
          <w:lang w:val="pt-PT"/>
        </w:rPr>
        <w:t>exceto nos casos em que haja previsão de prazo de cura específico</w:t>
      </w:r>
      <w:r>
        <w:rPr>
          <w:rFonts w:ascii="Arial" w:hAnsi="Arial" w:cs="Arial"/>
          <w:color w:val="000000"/>
          <w:sz w:val="22"/>
          <w:szCs w:val="22"/>
        </w:rPr>
        <w:t xml:space="preserve">, nos termos desta Escritura; </w:t>
      </w:r>
    </w:p>
    <w:p w14:paraId="17BB934C"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120E87E7"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provarem-se falsas ou revelarem-se incorretas, na data em que foram dadas, em qualquer aspecto relevante, quaisquer das declarações ou garantias prestadas pela Emissora nesta Escritura;</w:t>
      </w:r>
    </w:p>
    <w:p w14:paraId="528072B9"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24BDF9D3"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iCs/>
          <w:color w:val="000000"/>
          <w:sz w:val="22"/>
          <w:szCs w:val="22"/>
        </w:rPr>
        <w:t>cisão, fusão, incorporação (inclusive incorporação de ações) ou qualquer outra forma de reorganização societária que envolva a Emissora e/ou quaisquer de suas controladas operacionais, diretas ou indiretas, exceto se: (i) se for obtida anuência prévia de Debenturistas que representem, no mínimo, 50% (cinquenta por cento) das Debêntures em Circulação; (</w:t>
      </w:r>
      <w:proofErr w:type="spellStart"/>
      <w:r>
        <w:rPr>
          <w:rFonts w:ascii="Arial" w:hAnsi="Arial" w:cs="Arial"/>
          <w:iCs/>
          <w:color w:val="000000"/>
          <w:sz w:val="22"/>
          <w:szCs w:val="22"/>
        </w:rPr>
        <w:t>ii</w:t>
      </w:r>
      <w:proofErr w:type="spellEnd"/>
      <w:r>
        <w:rPr>
          <w:rFonts w:ascii="Arial" w:hAnsi="Arial" w:cs="Arial"/>
          <w:iCs/>
          <w:color w:val="000000"/>
          <w:sz w:val="22"/>
          <w:szCs w:val="22"/>
        </w:rPr>
        <w:t xml:space="preserve">) tal reorganização societária, excetuados os casos de cisão da Emissora, bem como o de reorganizações societárias que implicarem na transferência de quaisquer ativos operacionais que, individual ou conjuntamente durante a vigência das Debêntures, resultem em uma redução da receita operacional </w:t>
      </w:r>
      <w:r>
        <w:rPr>
          <w:rFonts w:ascii="Arial" w:hAnsi="Arial" w:cs="Arial"/>
          <w:iCs/>
          <w:color w:val="000000"/>
          <w:sz w:val="22"/>
          <w:szCs w:val="22"/>
        </w:rPr>
        <w:lastRenderedPageBreak/>
        <w:t>líquida da Emissora superior a 25% (vinte e cinco por cento) em relação à receita operacional líquida da Emissora no exercício encerrado em 31 de dezembro de 2021 (corrigida anualmente conforme a variação acumulada do IGP-M, desde a Data de Emissão) envolver (x) a Emissora e seus Acionistas de Referência e/ou sociedades controladas, direta ou indiretamente, pelos Acionistas de Referência; (y) a Emissora e qualquer sociedade que seja controlada, direta ou indiretamente, pela Emissora, ou, ainda, suas coligadas e/ou outras sociedades que venham a controlar a Emissora; ou (z) sociedades que controlem ou sejam coligadas ou controladas, direta ou indiretamente, pela Emissora, ou entre essas sociedades controladas; ou (</w:t>
      </w:r>
      <w:proofErr w:type="spellStart"/>
      <w:r>
        <w:rPr>
          <w:rFonts w:ascii="Arial" w:hAnsi="Arial" w:cs="Arial"/>
          <w:iCs/>
          <w:color w:val="000000"/>
          <w:sz w:val="22"/>
          <w:szCs w:val="22"/>
        </w:rPr>
        <w:t>iii</w:t>
      </w:r>
      <w:proofErr w:type="spellEnd"/>
      <w:r>
        <w:rPr>
          <w:rFonts w:ascii="Arial" w:hAnsi="Arial" w:cs="Arial"/>
          <w:iCs/>
          <w:color w:val="000000"/>
          <w:sz w:val="22"/>
          <w:szCs w:val="22"/>
        </w:rPr>
        <w:t>) tal reorganização societária estiver vinculada à hipótese de avanço nos estudos anteriormente divulgados pela Emissora acerca de uma eventual migração de sua base acionária para NYSE, NASDAQ, ou outro mercado internacional. Para fins desta Cláusula, “</w:t>
      </w:r>
      <w:r>
        <w:rPr>
          <w:rFonts w:ascii="Arial" w:hAnsi="Arial" w:cs="Arial"/>
          <w:iCs/>
          <w:color w:val="000000"/>
          <w:sz w:val="22"/>
          <w:szCs w:val="22"/>
          <w:u w:val="single"/>
        </w:rPr>
        <w:t>Acionistas de Referência</w:t>
      </w:r>
      <w:r>
        <w:rPr>
          <w:rFonts w:ascii="Arial" w:hAnsi="Arial" w:cs="Arial"/>
          <w:iCs/>
          <w:color w:val="000000"/>
          <w:sz w:val="22"/>
          <w:szCs w:val="22"/>
        </w:rPr>
        <w:t xml:space="preserve">” significa, direta ou indiretamente, a S-Velame </w:t>
      </w:r>
      <w:proofErr w:type="spellStart"/>
      <w:r>
        <w:rPr>
          <w:rFonts w:ascii="Arial" w:hAnsi="Arial" w:cs="Arial"/>
          <w:iCs/>
          <w:color w:val="000000"/>
          <w:sz w:val="22"/>
          <w:szCs w:val="22"/>
        </w:rPr>
        <w:t>S.a.r.l</w:t>
      </w:r>
      <w:proofErr w:type="spellEnd"/>
      <w:r>
        <w:rPr>
          <w:rFonts w:ascii="Arial" w:hAnsi="Arial" w:cs="Arial"/>
          <w:iCs/>
          <w:color w:val="000000"/>
          <w:sz w:val="22"/>
          <w:szCs w:val="22"/>
        </w:rPr>
        <w:t>, Carlos Alberto da Veiga Sicupira, Marcel Herrmann Telles e/ou Jorge Paulo Lemann, bem como seus eventuais sucessores;</w:t>
      </w:r>
    </w:p>
    <w:p w14:paraId="2725EC98" w14:textId="77777777" w:rsidR="00FC10E9" w:rsidRDefault="00FC10E9">
      <w:pPr>
        <w:tabs>
          <w:tab w:val="left" w:pos="720"/>
          <w:tab w:val="left" w:pos="990"/>
          <w:tab w:val="left" w:pos="2366"/>
        </w:tabs>
        <w:spacing w:line="300" w:lineRule="atLeast"/>
        <w:jc w:val="both"/>
        <w:rPr>
          <w:rFonts w:ascii="Arial" w:hAnsi="Arial" w:cs="Arial"/>
          <w:color w:val="000000"/>
          <w:sz w:val="22"/>
          <w:szCs w:val="22"/>
        </w:rPr>
      </w:pPr>
    </w:p>
    <w:p w14:paraId="74F24DFF"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sz w:val="22"/>
          <w:szCs w:val="22"/>
        </w:rPr>
        <w:t xml:space="preserve">caso a Emissora passe a ter, de forma direta ou indireta, um Acionista Controlador, exceto se (a) tal alteração no controle da Emissora tenha sido previamente aprovada por Debenturistas representando, no mínimo, 50% (cinquenta por cento) das Debêntures em circulação; ou (b) o Acionista Controlador seja, direta ou indiretamente, qualquer um dos Acionistas de Referência; ou, ainda (c) tenha sido assegurado aos titulares das Debêntures que o desejarem, durante o prazo mínimo de 6 (seis) meses contados da data em que ocorrer a alteração do controle da Emissora, o resgate das Debêntures de que forem titulares, pelo Valor Nominal Unitário, acrescido dos Juros Remuneratórios, calculada </w:t>
      </w:r>
      <w:r>
        <w:rPr>
          <w:rFonts w:ascii="Arial" w:hAnsi="Arial" w:cs="Arial"/>
          <w:i/>
          <w:iCs/>
          <w:sz w:val="22"/>
          <w:szCs w:val="22"/>
        </w:rPr>
        <w:t xml:space="preserve">pro rata </w:t>
      </w:r>
      <w:proofErr w:type="spellStart"/>
      <w:r>
        <w:rPr>
          <w:rFonts w:ascii="Arial" w:hAnsi="Arial" w:cs="Arial"/>
          <w:i/>
          <w:iCs/>
          <w:sz w:val="22"/>
          <w:szCs w:val="22"/>
        </w:rPr>
        <w:t>temporis</w:t>
      </w:r>
      <w:proofErr w:type="spellEnd"/>
      <w:r>
        <w:rPr>
          <w:rFonts w:ascii="Arial" w:hAnsi="Arial" w:cs="Arial"/>
          <w:sz w:val="22"/>
          <w:szCs w:val="22"/>
        </w:rPr>
        <w:t xml:space="preserve"> desde a primeira Data de Integralização ou a data do último pagamento dos Juros Remuneratórios, conforme o caso, até a data do efetivo pagamento. Para fins desta Cláusula, considera-se “</w:t>
      </w:r>
      <w:r>
        <w:rPr>
          <w:rFonts w:ascii="Arial" w:hAnsi="Arial" w:cs="Arial"/>
          <w:sz w:val="22"/>
          <w:szCs w:val="22"/>
          <w:u w:val="single"/>
        </w:rPr>
        <w:t>Acionista Controlador</w:t>
      </w:r>
      <w:r>
        <w:rPr>
          <w:rFonts w:ascii="Arial" w:hAnsi="Arial" w:cs="Arial"/>
          <w:sz w:val="22"/>
          <w:szCs w:val="22"/>
        </w:rPr>
        <w:t>” aquele que preencher os requisitos previstos no artigo 116 da Lei das S.A.</w:t>
      </w:r>
      <w:r>
        <w:t>;</w:t>
      </w:r>
    </w:p>
    <w:p w14:paraId="0EA7141E" w14:textId="77777777" w:rsidR="00FC10E9" w:rsidRDefault="00FC10E9">
      <w:pPr>
        <w:tabs>
          <w:tab w:val="left" w:pos="720"/>
          <w:tab w:val="left" w:pos="990"/>
          <w:tab w:val="left" w:pos="2366"/>
        </w:tabs>
        <w:spacing w:line="300" w:lineRule="atLeast"/>
        <w:ind w:left="709"/>
        <w:jc w:val="both"/>
        <w:rPr>
          <w:rFonts w:ascii="Arial" w:hAnsi="Arial" w:cs="Arial"/>
          <w:color w:val="000000"/>
          <w:sz w:val="22"/>
          <w:szCs w:val="22"/>
        </w:rPr>
      </w:pPr>
    </w:p>
    <w:p w14:paraId="3ABB8CB4"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transformação do tipo societário da Emissora;</w:t>
      </w:r>
    </w:p>
    <w:p w14:paraId="4811AC02"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6900A1AA" w14:textId="0EE1C01E"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descumprimento de qualquer ordem de execução por quantia certa oriunda de decisão </w:t>
      </w:r>
      <w:r>
        <w:rPr>
          <w:rFonts w:ascii="Arial" w:hAnsi="Arial" w:cs="Arial"/>
          <w:sz w:val="22"/>
          <w:szCs w:val="22"/>
        </w:rPr>
        <w:t xml:space="preserve">judicial definitiva contra a Emissora ou qualquer uma de suas controladas, diretas ou indiretas, cujo valor individual ou agregado seja superior a </w:t>
      </w:r>
      <w:r>
        <w:rPr>
          <w:rFonts w:ascii="Arial" w:hAnsi="Arial" w:cs="Arial"/>
          <w:color w:val="000000"/>
          <w:sz w:val="22"/>
          <w:szCs w:val="22"/>
        </w:rPr>
        <w:t>US</w:t>
      </w:r>
      <w:r>
        <w:rPr>
          <w:rFonts w:ascii="Arial" w:hAnsi="Arial" w:cs="Arial"/>
          <w:sz w:val="22"/>
          <w:szCs w:val="22"/>
        </w:rPr>
        <w:t>$100.000.000,00 (cem milhões de dólares norte-americanos), ou o equivalente em outras moedas</w:t>
      </w:r>
      <w:r>
        <w:rPr>
          <w:rFonts w:ascii="Arial" w:hAnsi="Arial" w:cs="Arial"/>
          <w:color w:val="000000"/>
          <w:sz w:val="22"/>
          <w:szCs w:val="22"/>
        </w:rPr>
        <w:t xml:space="preserve">, </w:t>
      </w:r>
      <w:r>
        <w:rPr>
          <w:rFonts w:ascii="Arial" w:hAnsi="Arial" w:cs="Arial"/>
          <w:sz w:val="22"/>
          <w:szCs w:val="22"/>
        </w:rPr>
        <w:t>salvo na hipótese de: (i) garantia do juízo, por qualquer meio (inclusive carta de fiança), sem a necessidade do</w:t>
      </w:r>
      <w:r>
        <w:rPr>
          <w:rFonts w:ascii="Arial" w:hAnsi="Arial" w:cs="Arial"/>
          <w:color w:val="000000"/>
          <w:sz w:val="22"/>
          <w:szCs w:val="22"/>
        </w:rPr>
        <w:t xml:space="preserve"> efetivo desembolso do valor respectivo pela Emissora ou qualquer uma de suas controladas diretas ou indiretas por conta dessa garantia prestada; e/ou (</w:t>
      </w:r>
      <w:proofErr w:type="spellStart"/>
      <w:r>
        <w:rPr>
          <w:rFonts w:ascii="Arial" w:hAnsi="Arial" w:cs="Arial"/>
          <w:color w:val="000000"/>
          <w:sz w:val="22"/>
          <w:szCs w:val="22"/>
        </w:rPr>
        <w:t>ii</w:t>
      </w:r>
      <w:proofErr w:type="spellEnd"/>
      <w:r>
        <w:rPr>
          <w:rFonts w:ascii="Arial" w:hAnsi="Arial" w:cs="Arial"/>
          <w:color w:val="000000"/>
          <w:sz w:val="22"/>
          <w:szCs w:val="22"/>
        </w:rPr>
        <w:t>) suspensão ou cancelamento da exigibilidade imediata do pagamento do referido valor por qualquer motivo, inclusive, mas não se limitando a, obtenção de decisão com efeito suspensivo perante o juízo que determinou a execução do título ou juízo superior a este;</w:t>
      </w:r>
    </w:p>
    <w:p w14:paraId="5846E7E6"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333B4709"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realização de redução de capital social da Emissora que gere impacto no cumprimento de obrigações previstas nesta Escritura e que tenha outra finalidade que não a </w:t>
      </w:r>
      <w:r>
        <w:rPr>
          <w:rFonts w:ascii="Arial" w:hAnsi="Arial" w:cs="Arial"/>
          <w:color w:val="000000"/>
          <w:sz w:val="22"/>
          <w:szCs w:val="22"/>
        </w:rPr>
        <w:lastRenderedPageBreak/>
        <w:t>absorção de prejuízos, sem que haja anuência prévia da maioria dos Debenturistas reunidos em Assembleia Geral de Debenturistas;</w:t>
      </w:r>
    </w:p>
    <w:p w14:paraId="0420EE01"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7E5745A5"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protesto legítimo de títulos contra a Emissora ou suas controladas, diretas ou indiretas, </w:t>
      </w:r>
      <w:r>
        <w:rPr>
          <w:rFonts w:ascii="Arial" w:hAnsi="Arial" w:cs="Arial"/>
          <w:sz w:val="22"/>
          <w:szCs w:val="22"/>
        </w:rPr>
        <w:t xml:space="preserve">em valor agregado superior a </w:t>
      </w:r>
      <w:r>
        <w:rPr>
          <w:rFonts w:ascii="Arial" w:hAnsi="Arial" w:cs="Arial"/>
          <w:color w:val="000000"/>
          <w:sz w:val="22"/>
          <w:szCs w:val="22"/>
        </w:rPr>
        <w:t>US</w:t>
      </w:r>
      <w:r>
        <w:rPr>
          <w:rFonts w:ascii="Arial" w:hAnsi="Arial" w:cs="Arial"/>
          <w:sz w:val="22"/>
          <w:szCs w:val="22"/>
        </w:rPr>
        <w:t>$100.000.000,00 (cem milhões de dólares norte-americanos) ou o equivalente em outras moedas, salvo se, no prazo de 30 (trinta) dias corridos contados do referido protesto, seja validamente comprovado pela Emissora, suas controladoras ou suas controladas que: (i) o protesto foi efetuado</w:t>
      </w:r>
      <w:r>
        <w:rPr>
          <w:rFonts w:ascii="Arial" w:hAnsi="Arial" w:cs="Arial"/>
          <w:color w:val="000000"/>
          <w:sz w:val="22"/>
          <w:szCs w:val="22"/>
        </w:rPr>
        <w:t xml:space="preserve"> por erro ou má-fé de terceiros; (</w:t>
      </w:r>
      <w:proofErr w:type="spellStart"/>
      <w:r>
        <w:rPr>
          <w:rFonts w:ascii="Arial" w:hAnsi="Arial" w:cs="Arial"/>
          <w:color w:val="000000"/>
          <w:sz w:val="22"/>
          <w:szCs w:val="22"/>
        </w:rPr>
        <w:t>ii</w:t>
      </w:r>
      <w:proofErr w:type="spellEnd"/>
      <w:r>
        <w:rPr>
          <w:rFonts w:ascii="Arial" w:hAnsi="Arial" w:cs="Arial"/>
          <w:color w:val="000000"/>
          <w:sz w:val="22"/>
          <w:szCs w:val="22"/>
        </w:rPr>
        <w:t>) o protesto foi cancelado ou, ainda, suspenso (</w:t>
      </w:r>
      <w:proofErr w:type="spellStart"/>
      <w:r>
        <w:rPr>
          <w:rFonts w:ascii="Arial" w:hAnsi="Arial" w:cs="Arial"/>
          <w:color w:val="000000"/>
          <w:sz w:val="22"/>
          <w:szCs w:val="22"/>
        </w:rPr>
        <w:t>iii</w:t>
      </w:r>
      <w:proofErr w:type="spellEnd"/>
      <w:r>
        <w:rPr>
          <w:rFonts w:ascii="Arial" w:hAnsi="Arial" w:cs="Arial"/>
          <w:color w:val="000000"/>
          <w:sz w:val="22"/>
          <w:szCs w:val="22"/>
        </w:rPr>
        <w:t>) o montante protestado foi devidamente quitado; ou (</w:t>
      </w:r>
      <w:proofErr w:type="spellStart"/>
      <w:r>
        <w:rPr>
          <w:rFonts w:ascii="Arial" w:hAnsi="Arial" w:cs="Arial"/>
          <w:color w:val="000000"/>
          <w:sz w:val="22"/>
          <w:szCs w:val="22"/>
        </w:rPr>
        <w:t>iv</w:t>
      </w:r>
      <w:proofErr w:type="spellEnd"/>
      <w:r>
        <w:rPr>
          <w:rFonts w:ascii="Arial" w:hAnsi="Arial" w:cs="Arial"/>
          <w:color w:val="000000"/>
          <w:sz w:val="22"/>
          <w:szCs w:val="22"/>
        </w:rPr>
        <w:t>) foram prestadas pela Emissora ou por suas controladas diretas ou indiretas, conforme o caso, e aceitas pelo Poder Judiciário, garantias em juízo;</w:t>
      </w:r>
    </w:p>
    <w:p w14:paraId="7517CE5D" w14:textId="77777777" w:rsidR="00FC10E9" w:rsidRDefault="00FC10E9">
      <w:pPr>
        <w:tabs>
          <w:tab w:val="left" w:pos="2366"/>
        </w:tabs>
        <w:spacing w:line="300" w:lineRule="atLeast"/>
        <w:ind w:left="709" w:hanging="709"/>
        <w:jc w:val="both"/>
        <w:rPr>
          <w:rFonts w:ascii="Arial" w:hAnsi="Arial" w:cs="Arial"/>
          <w:color w:val="000000"/>
          <w:sz w:val="22"/>
          <w:szCs w:val="22"/>
        </w:rPr>
      </w:pPr>
    </w:p>
    <w:p w14:paraId="2D54B6B4"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alteração ou modificação do objeto social da Emissora, de modo a alterar substancialmente o ramo de negócios preponderante atualmente explorado pela Companhia; ou</w:t>
      </w:r>
    </w:p>
    <w:p w14:paraId="25F1E70B" w14:textId="77777777" w:rsidR="00FC10E9" w:rsidRDefault="00FC10E9">
      <w:pPr>
        <w:pStyle w:val="PargrafodaLista"/>
        <w:rPr>
          <w:rFonts w:ascii="Arial" w:hAnsi="Arial" w:cs="Arial"/>
          <w:color w:val="000000"/>
          <w:sz w:val="22"/>
          <w:szCs w:val="22"/>
        </w:rPr>
      </w:pPr>
    </w:p>
    <w:p w14:paraId="4C3947B1" w14:textId="77777777" w:rsidR="00FC10E9" w:rsidRDefault="00B10E1A">
      <w:pPr>
        <w:numPr>
          <w:ilvl w:val="1"/>
          <w:numId w:val="32"/>
        </w:numPr>
        <w:tabs>
          <w:tab w:val="left" w:pos="720"/>
          <w:tab w:val="left" w:pos="99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questionamento judicial, pela Emissora ou por qualquer de suas controladoras e/ou controladas, sobre a validade e/ou exequibilidade desta Escritura de Emissão e/ou das Debêntures;</w:t>
      </w:r>
    </w:p>
    <w:p w14:paraId="4C804211" w14:textId="77777777" w:rsidR="00FC10E9" w:rsidRDefault="00FC10E9">
      <w:pPr>
        <w:tabs>
          <w:tab w:val="left" w:pos="2366"/>
        </w:tabs>
        <w:spacing w:line="300" w:lineRule="atLeast"/>
        <w:jc w:val="both"/>
        <w:rPr>
          <w:rFonts w:ascii="Arial" w:hAnsi="Arial" w:cs="Arial"/>
          <w:color w:val="000000"/>
          <w:sz w:val="22"/>
          <w:szCs w:val="22"/>
        </w:rPr>
      </w:pPr>
    </w:p>
    <w:p w14:paraId="6F736E2C" w14:textId="77777777" w:rsidR="00FC10E9" w:rsidRDefault="00B10E1A">
      <w:pPr>
        <w:numPr>
          <w:ilvl w:val="0"/>
          <w:numId w:val="26"/>
        </w:numPr>
        <w:tabs>
          <w:tab w:val="left" w:pos="709"/>
        </w:tabs>
        <w:spacing w:line="300" w:lineRule="atLeast"/>
        <w:ind w:left="0" w:firstLine="0"/>
        <w:jc w:val="both"/>
        <w:rPr>
          <w:rFonts w:ascii="Arial" w:hAnsi="Arial" w:cs="Arial"/>
          <w:color w:val="000000"/>
          <w:sz w:val="22"/>
          <w:szCs w:val="22"/>
        </w:rPr>
      </w:pPr>
      <w:r>
        <w:rPr>
          <w:rFonts w:ascii="Arial" w:hAnsi="Arial" w:cs="Arial"/>
          <w:color w:val="000000"/>
          <w:sz w:val="22"/>
          <w:szCs w:val="22"/>
        </w:rPr>
        <w:t>A ocorrência do Evento de Inadimplemento descrito nas alíneas</w:t>
      </w:r>
      <w:r>
        <w:rPr>
          <w:rFonts w:ascii="Arial" w:hAnsi="Arial" w:cs="Arial"/>
          <w:sz w:val="22"/>
          <w:szCs w:val="22"/>
        </w:rPr>
        <w:t xml:space="preserve"> “a”, “b”, “d” e “k” </w:t>
      </w:r>
      <w:r>
        <w:rPr>
          <w:rFonts w:ascii="Arial" w:hAnsi="Arial" w:cs="Arial"/>
          <w:color w:val="000000"/>
          <w:sz w:val="22"/>
          <w:szCs w:val="22"/>
        </w:rPr>
        <w:t xml:space="preserve">da Cláusula 7.1 acarretará o vencimento antecipado automático das Debêntures, independentemente de qualquer consulta aos Debenturistas, aplicando-se o disposto na Cláusula 7.1.3 abaixo. </w:t>
      </w:r>
    </w:p>
    <w:p w14:paraId="3A5692AF" w14:textId="77777777" w:rsidR="00FC10E9" w:rsidRDefault="00FC10E9">
      <w:pPr>
        <w:tabs>
          <w:tab w:val="left" w:pos="709"/>
        </w:tabs>
        <w:spacing w:line="300" w:lineRule="atLeast"/>
        <w:jc w:val="both"/>
        <w:rPr>
          <w:rFonts w:ascii="Arial" w:hAnsi="Arial" w:cs="Arial"/>
          <w:color w:val="000000"/>
          <w:sz w:val="22"/>
          <w:szCs w:val="22"/>
        </w:rPr>
      </w:pPr>
    </w:p>
    <w:p w14:paraId="2646116D" w14:textId="77777777" w:rsidR="00FC10E9" w:rsidRDefault="00B10E1A">
      <w:pPr>
        <w:numPr>
          <w:ilvl w:val="0"/>
          <w:numId w:val="26"/>
        </w:numPr>
        <w:tabs>
          <w:tab w:val="left" w:pos="709"/>
        </w:tabs>
        <w:spacing w:line="300" w:lineRule="atLeast"/>
        <w:ind w:left="0" w:firstLine="0"/>
        <w:jc w:val="both"/>
        <w:rPr>
          <w:rFonts w:ascii="Arial" w:hAnsi="Arial" w:cs="Arial"/>
          <w:color w:val="000000"/>
          <w:sz w:val="22"/>
          <w:szCs w:val="22"/>
        </w:rPr>
      </w:pPr>
      <w:r>
        <w:rPr>
          <w:rFonts w:ascii="Arial" w:hAnsi="Arial" w:cs="Arial"/>
          <w:color w:val="000000"/>
          <w:sz w:val="22"/>
          <w:szCs w:val="22"/>
        </w:rPr>
        <w:t>Na ocorrência de qualquer dos Eventos de Inadimplemento, exceção feita ao indicado nas alíneas</w:t>
      </w:r>
      <w:r>
        <w:rPr>
          <w:rFonts w:ascii="Arial" w:hAnsi="Arial" w:cs="Arial"/>
          <w:sz w:val="22"/>
          <w:szCs w:val="22"/>
        </w:rPr>
        <w:t xml:space="preserve"> “a”, “b”, “d” e “k”</w:t>
      </w:r>
      <w:r>
        <w:rPr>
          <w:rFonts w:ascii="Arial" w:hAnsi="Arial" w:cs="Arial"/>
          <w:color w:val="000000"/>
          <w:sz w:val="22"/>
          <w:szCs w:val="22"/>
        </w:rPr>
        <w:t xml:space="preserve"> da Cláusula 7.1 acima, o Agente Fiduciário deverá, em até 2 (dois) Dias Úteis contados da data em que tomar ciência da ocorrência do referido evento, convocar Assembleia Geral de Debenturistas para deliberar acerca da não declaração do vencimento antecipado das Debêntures</w:t>
      </w:r>
      <w:r>
        <w:rPr>
          <w:rFonts w:ascii="Arial" w:hAnsi="Arial" w:cs="Arial"/>
          <w:bCs/>
          <w:color w:val="000000"/>
          <w:sz w:val="22"/>
          <w:szCs w:val="22"/>
        </w:rPr>
        <w:t>, observado o procedimento de convocação previsto na Cláusula X e o quórum específico estabelecido na Cláusula 7.1.2.1 abaixo</w:t>
      </w:r>
      <w:r>
        <w:rPr>
          <w:rFonts w:ascii="Arial" w:hAnsi="Arial" w:cs="Arial"/>
          <w:color w:val="000000"/>
          <w:sz w:val="22"/>
          <w:szCs w:val="22"/>
        </w:rPr>
        <w:t xml:space="preserve">. </w:t>
      </w:r>
    </w:p>
    <w:p w14:paraId="691751DF" w14:textId="77777777" w:rsidR="00FC10E9" w:rsidRDefault="00FC10E9">
      <w:pPr>
        <w:tabs>
          <w:tab w:val="left" w:pos="720"/>
        </w:tabs>
        <w:spacing w:line="300" w:lineRule="atLeast"/>
        <w:jc w:val="both"/>
        <w:rPr>
          <w:rFonts w:ascii="Arial" w:hAnsi="Arial" w:cs="Arial"/>
          <w:color w:val="000000"/>
          <w:sz w:val="22"/>
          <w:szCs w:val="22"/>
        </w:rPr>
      </w:pPr>
    </w:p>
    <w:p w14:paraId="3EACB898" w14:textId="77777777" w:rsidR="00FC10E9" w:rsidRDefault="00B10E1A">
      <w:pPr>
        <w:numPr>
          <w:ilvl w:val="0"/>
          <w:numId w:val="27"/>
        </w:numPr>
        <w:tabs>
          <w:tab w:val="left" w:pos="1560"/>
          <w:tab w:val="left" w:pos="2366"/>
        </w:tabs>
        <w:spacing w:line="300" w:lineRule="atLeast"/>
        <w:ind w:left="0" w:firstLine="709"/>
        <w:jc w:val="both"/>
        <w:rPr>
          <w:rFonts w:ascii="Arial" w:hAnsi="Arial" w:cs="Arial"/>
          <w:color w:val="000000"/>
          <w:sz w:val="22"/>
          <w:szCs w:val="22"/>
        </w:rPr>
      </w:pPr>
      <w:r>
        <w:rPr>
          <w:rFonts w:ascii="Arial" w:hAnsi="Arial" w:cs="Arial"/>
          <w:color w:val="000000"/>
          <w:sz w:val="22"/>
          <w:szCs w:val="22"/>
        </w:rPr>
        <w:t>As Assembleias Gerais de Debenturistas a que se refere a Cláusula 7.1.2 acima somente poderão determinar que o Agente Fiduciário não declare o vencimento antecipado das Debêntures por deliberação de Debenturistas detentores de, no mínimo, 60% (sessenta por cento) das Debêntures em Circulação, exceto com relação ao Evento de Inadimplemento descrito na alínea “i” da Cláusula 7.1 acima, com relação ao qual a Assembleia Geral de Debenturistas poderá determinar que o Agente Fiduciário não declare o vencimento antecipado das Debêntures por deliberação da maioria simples dos Debenturistas.</w:t>
      </w:r>
    </w:p>
    <w:p w14:paraId="03327E3B" w14:textId="77777777" w:rsidR="00FC10E9" w:rsidRDefault="00FC10E9">
      <w:pPr>
        <w:tabs>
          <w:tab w:val="left" w:pos="1560"/>
          <w:tab w:val="left" w:pos="2366"/>
        </w:tabs>
        <w:spacing w:line="300" w:lineRule="atLeast"/>
        <w:jc w:val="both"/>
        <w:rPr>
          <w:rFonts w:ascii="Arial" w:hAnsi="Arial" w:cs="Arial"/>
          <w:color w:val="000000"/>
          <w:sz w:val="22"/>
          <w:szCs w:val="22"/>
        </w:rPr>
      </w:pPr>
    </w:p>
    <w:p w14:paraId="43215D33" w14:textId="77777777" w:rsidR="00FC10E9" w:rsidRDefault="00B10E1A">
      <w:pPr>
        <w:numPr>
          <w:ilvl w:val="0"/>
          <w:numId w:val="27"/>
        </w:numPr>
        <w:tabs>
          <w:tab w:val="left" w:pos="1560"/>
          <w:tab w:val="left" w:pos="2366"/>
        </w:tabs>
        <w:spacing w:line="300" w:lineRule="atLeast"/>
        <w:ind w:left="0" w:firstLine="709"/>
        <w:jc w:val="both"/>
        <w:rPr>
          <w:rFonts w:ascii="Arial" w:hAnsi="Arial" w:cs="Arial"/>
          <w:color w:val="000000"/>
          <w:sz w:val="22"/>
          <w:szCs w:val="22"/>
        </w:rPr>
      </w:pPr>
      <w:r>
        <w:rPr>
          <w:rFonts w:ascii="Arial" w:hAnsi="Arial" w:cs="Arial"/>
          <w:color w:val="000000"/>
          <w:sz w:val="22"/>
          <w:szCs w:val="22"/>
        </w:rPr>
        <w:t xml:space="preserve">Não havendo quórum, seja de instalação e/ou de deliberação, em segunda convocação, da Assembleia Geral de Debenturistas conforme disposto na Cláusula 7.1.2 </w:t>
      </w:r>
      <w:r>
        <w:rPr>
          <w:rFonts w:ascii="Arial" w:hAnsi="Arial" w:cs="Arial"/>
          <w:color w:val="000000"/>
          <w:sz w:val="22"/>
          <w:szCs w:val="22"/>
        </w:rPr>
        <w:lastRenderedPageBreak/>
        <w:t>acima, o Agente Fiduciário deverá considerar antecipadamente vencidas todas as obrigações decorrentes das Debêntures, aplicando-se o disposto na Cláusula 7.1.3 abaixo.</w:t>
      </w:r>
    </w:p>
    <w:p w14:paraId="7201371B" w14:textId="77777777" w:rsidR="00FC10E9" w:rsidRDefault="00FC10E9">
      <w:pPr>
        <w:tabs>
          <w:tab w:val="left" w:pos="1620"/>
          <w:tab w:val="left" w:pos="2366"/>
        </w:tabs>
        <w:spacing w:line="300" w:lineRule="atLeast"/>
        <w:ind w:firstLine="720"/>
        <w:jc w:val="both"/>
        <w:rPr>
          <w:rFonts w:ascii="Arial" w:hAnsi="Arial" w:cs="Arial"/>
          <w:color w:val="000000"/>
          <w:sz w:val="22"/>
          <w:szCs w:val="22"/>
        </w:rPr>
      </w:pPr>
    </w:p>
    <w:p w14:paraId="33AC05E3" w14:textId="77777777" w:rsidR="00FC10E9" w:rsidRDefault="00B10E1A">
      <w:pPr>
        <w:numPr>
          <w:ilvl w:val="0"/>
          <w:numId w:val="26"/>
        </w:numPr>
        <w:tabs>
          <w:tab w:val="left" w:pos="720"/>
        </w:tabs>
        <w:spacing w:line="300" w:lineRule="atLeast"/>
        <w:ind w:left="0" w:firstLine="0"/>
        <w:jc w:val="both"/>
        <w:rPr>
          <w:rFonts w:ascii="Arial" w:hAnsi="Arial" w:cs="Arial"/>
          <w:color w:val="000000"/>
          <w:sz w:val="22"/>
          <w:szCs w:val="22"/>
        </w:rPr>
      </w:pPr>
      <w:r>
        <w:rPr>
          <w:rFonts w:ascii="Arial" w:hAnsi="Arial" w:cs="Arial"/>
          <w:color w:val="000000"/>
          <w:sz w:val="22"/>
          <w:szCs w:val="22"/>
        </w:rPr>
        <w:t xml:space="preserve">Observado o disposto nesta Cláusula VII, em caso de vencimento antecipado das Debêntures, a Emissora obriga-se a resgatar a totalidade das Debêntures, com o seu consequente cancelamento, mediante o imediato pagamento do Valor Nominal Unitário </w:t>
      </w:r>
      <w:r>
        <w:rPr>
          <w:rFonts w:ascii="Arial" w:hAnsi="Arial" w:cs="Arial"/>
          <w:sz w:val="22"/>
          <w:szCs w:val="22"/>
        </w:rPr>
        <w:t>(ou saldo do Valor Nominal Unitário, conforme o caso)</w:t>
      </w:r>
      <w:r>
        <w:rPr>
          <w:rFonts w:ascii="Arial" w:hAnsi="Arial" w:cs="Arial"/>
          <w:color w:val="000000"/>
          <w:sz w:val="22"/>
          <w:szCs w:val="22"/>
        </w:rPr>
        <w:t xml:space="preserve">, acrescido dos Juros Remuneratórios, calculados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xml:space="preserve"> desde a primeira Data de Integralização (ou desde a Data de Pagamento dos Juros Remuneratórios imediatamente anterior, conforme o caso) até a data do efetivo pagamento, e dos demais Encargos Moratórios devidos nos termos da Cláusula 4.7 desta Escritura, fora do âmbito B3, observado o disposto na Cláusula 7.1.4 abaixo.</w:t>
      </w:r>
    </w:p>
    <w:p w14:paraId="696AB1B3" w14:textId="77777777" w:rsidR="00FC10E9" w:rsidRDefault="00FC10E9">
      <w:pPr>
        <w:tabs>
          <w:tab w:val="left" w:pos="709"/>
        </w:tabs>
        <w:spacing w:line="300" w:lineRule="atLeast"/>
        <w:jc w:val="both"/>
        <w:rPr>
          <w:rFonts w:ascii="Arial" w:hAnsi="Arial" w:cs="Arial"/>
          <w:color w:val="000000"/>
          <w:sz w:val="22"/>
          <w:szCs w:val="22"/>
        </w:rPr>
      </w:pPr>
    </w:p>
    <w:p w14:paraId="3D3010DF" w14:textId="77777777" w:rsidR="00FC10E9" w:rsidRDefault="00B10E1A">
      <w:pPr>
        <w:numPr>
          <w:ilvl w:val="0"/>
          <w:numId w:val="26"/>
        </w:numPr>
        <w:tabs>
          <w:tab w:val="left" w:pos="709"/>
        </w:tabs>
        <w:spacing w:line="300" w:lineRule="atLeast"/>
        <w:ind w:left="0" w:firstLine="0"/>
        <w:jc w:val="both"/>
        <w:rPr>
          <w:rFonts w:ascii="Arial" w:hAnsi="Arial" w:cs="Arial"/>
          <w:color w:val="000000"/>
          <w:sz w:val="22"/>
          <w:szCs w:val="22"/>
        </w:rPr>
      </w:pPr>
      <w:r>
        <w:rPr>
          <w:rFonts w:ascii="Arial" w:hAnsi="Arial" w:cs="Arial"/>
          <w:color w:val="000000"/>
          <w:sz w:val="22"/>
          <w:szCs w:val="22"/>
        </w:rPr>
        <w:t>Uma vez vencidas antecipadamente as Debêntures, o Agente Fiduciário deverá enviar notificação à B3 informando sobre o vencimento antecipado das Debêntures imediatamente após a declaração do vencimento antecipado, em conformidade com os demais termos e condições do Manual de Operações da B3.</w:t>
      </w:r>
    </w:p>
    <w:p w14:paraId="7804039D" w14:textId="77777777" w:rsidR="00FC10E9" w:rsidRDefault="00FC10E9">
      <w:pPr>
        <w:tabs>
          <w:tab w:val="left" w:pos="1620"/>
          <w:tab w:val="left" w:pos="2366"/>
        </w:tabs>
        <w:spacing w:line="300" w:lineRule="atLeast"/>
        <w:jc w:val="both"/>
        <w:rPr>
          <w:rFonts w:ascii="Arial" w:hAnsi="Arial" w:cs="Arial"/>
          <w:color w:val="000000"/>
          <w:sz w:val="22"/>
          <w:szCs w:val="22"/>
        </w:rPr>
      </w:pPr>
    </w:p>
    <w:p w14:paraId="4D0B9E9D" w14:textId="77777777" w:rsidR="00FC10E9" w:rsidRDefault="00B10E1A">
      <w:pPr>
        <w:tabs>
          <w:tab w:val="left" w:pos="709"/>
          <w:tab w:val="left" w:pos="2366"/>
        </w:tabs>
        <w:spacing w:line="300" w:lineRule="atLeast"/>
        <w:jc w:val="both"/>
        <w:rPr>
          <w:rFonts w:ascii="Arial" w:hAnsi="Arial" w:cs="Arial"/>
          <w:color w:val="000000"/>
          <w:sz w:val="22"/>
          <w:szCs w:val="22"/>
        </w:rPr>
      </w:pPr>
      <w:r>
        <w:rPr>
          <w:rFonts w:ascii="Arial" w:hAnsi="Arial" w:cs="Arial"/>
          <w:color w:val="000000"/>
          <w:sz w:val="22"/>
          <w:szCs w:val="22"/>
        </w:rPr>
        <w:t>7.1.5.</w:t>
      </w:r>
      <w:r>
        <w:rPr>
          <w:rFonts w:ascii="Arial" w:hAnsi="Arial" w:cs="Arial"/>
          <w:color w:val="000000"/>
          <w:sz w:val="22"/>
          <w:szCs w:val="22"/>
        </w:rPr>
        <w:tab/>
        <w:t>Caso o pagamento da totalidade das Debêntures previsto na Cláusula 7.1.3 acima seja realizado por meio da B3, a Emissora deverá comunicar a B3, por meio de correspondência em conjunto com o Agente Fiduciário, sobre o tal pagamento, com, no mínimo, 5 (cinco) Dias Úteis de antecedência da data estipulada para a sua realização.</w:t>
      </w:r>
    </w:p>
    <w:p w14:paraId="51D0BB2F" w14:textId="77777777" w:rsidR="00FC10E9" w:rsidRDefault="00FC10E9">
      <w:pPr>
        <w:tabs>
          <w:tab w:val="left" w:pos="709"/>
          <w:tab w:val="left" w:pos="2366"/>
        </w:tabs>
        <w:spacing w:line="300" w:lineRule="atLeast"/>
        <w:jc w:val="both"/>
        <w:rPr>
          <w:rFonts w:ascii="Arial" w:hAnsi="Arial" w:cs="Arial"/>
          <w:color w:val="000000"/>
          <w:sz w:val="22"/>
          <w:szCs w:val="22"/>
        </w:rPr>
      </w:pPr>
    </w:p>
    <w:p w14:paraId="4FA9E539" w14:textId="77777777" w:rsidR="00FC10E9" w:rsidRDefault="00B10E1A">
      <w:pPr>
        <w:tabs>
          <w:tab w:val="left" w:pos="709"/>
          <w:tab w:val="left" w:pos="2366"/>
        </w:tabs>
        <w:spacing w:line="300" w:lineRule="atLeast"/>
        <w:jc w:val="both"/>
        <w:rPr>
          <w:rFonts w:ascii="Arial" w:hAnsi="Arial" w:cs="Arial"/>
          <w:color w:val="000000"/>
          <w:sz w:val="22"/>
          <w:szCs w:val="22"/>
        </w:rPr>
      </w:pPr>
      <w:r>
        <w:rPr>
          <w:rFonts w:ascii="Arial" w:hAnsi="Arial" w:cs="Arial"/>
          <w:color w:val="000000"/>
          <w:sz w:val="22"/>
          <w:szCs w:val="22"/>
        </w:rPr>
        <w:t>7.1.6.</w:t>
      </w:r>
      <w:r>
        <w:rPr>
          <w:rFonts w:ascii="Arial" w:hAnsi="Arial" w:cs="Arial"/>
          <w:color w:val="000000"/>
          <w:sz w:val="22"/>
          <w:szCs w:val="22"/>
        </w:rPr>
        <w:tab/>
        <w:t xml:space="preserve">Para fins da verificação da ocorrência de um Evento de Inadimplemento nos termos da Cláusula 7.1 acima, os valores ali dispostos em dólares norte-americanos serão calculados pela cotação de fechamento da taxa de venda de câmbio de reais por dólares norte-americanos, disponibilizada pelo Banco Central do Brasil em seu </w:t>
      </w:r>
      <w:r>
        <w:rPr>
          <w:rFonts w:ascii="Arial" w:hAnsi="Arial" w:cs="Arial"/>
          <w:i/>
          <w:iCs/>
          <w:color w:val="000000"/>
          <w:sz w:val="22"/>
          <w:szCs w:val="22"/>
        </w:rPr>
        <w:t>website</w:t>
      </w:r>
      <w:r>
        <w:rPr>
          <w:rFonts w:ascii="Arial" w:hAnsi="Arial" w:cs="Arial"/>
          <w:color w:val="000000"/>
          <w:sz w:val="22"/>
          <w:szCs w:val="22"/>
        </w:rPr>
        <w:t xml:space="preserve"> no dia útil imediatamente anterior à ocorrência do Evento de Inadimplemento (“</w:t>
      </w:r>
      <w:r>
        <w:rPr>
          <w:rFonts w:ascii="Arial" w:hAnsi="Arial" w:cs="Arial"/>
          <w:color w:val="000000"/>
          <w:sz w:val="22"/>
          <w:szCs w:val="22"/>
          <w:u w:val="single"/>
        </w:rPr>
        <w:t>PTAX</w:t>
      </w:r>
      <w:r>
        <w:rPr>
          <w:rFonts w:ascii="Arial" w:hAnsi="Arial" w:cs="Arial"/>
          <w:color w:val="000000"/>
          <w:sz w:val="22"/>
          <w:szCs w:val="22"/>
        </w:rPr>
        <w:t>”).</w:t>
      </w:r>
    </w:p>
    <w:p w14:paraId="43CB8BCE" w14:textId="77777777" w:rsidR="00FC10E9" w:rsidRDefault="00FC10E9">
      <w:pPr>
        <w:tabs>
          <w:tab w:val="left" w:pos="709"/>
          <w:tab w:val="left" w:pos="2366"/>
        </w:tabs>
        <w:spacing w:line="300" w:lineRule="atLeast"/>
        <w:jc w:val="both"/>
        <w:rPr>
          <w:rFonts w:ascii="Arial" w:hAnsi="Arial" w:cs="Arial"/>
          <w:color w:val="000000"/>
          <w:sz w:val="22"/>
          <w:szCs w:val="22"/>
        </w:rPr>
      </w:pPr>
    </w:p>
    <w:p w14:paraId="72BF3E57" w14:textId="77777777" w:rsidR="00FC10E9" w:rsidRDefault="00B10E1A">
      <w:pPr>
        <w:spacing w:line="300" w:lineRule="atLeast"/>
        <w:jc w:val="both"/>
        <w:rPr>
          <w:rFonts w:ascii="Arial" w:hAnsi="Arial" w:cs="Arial"/>
          <w:color w:val="000000"/>
          <w:sz w:val="22"/>
          <w:szCs w:val="22"/>
        </w:rPr>
      </w:pPr>
      <w:r>
        <w:rPr>
          <w:rFonts w:ascii="Arial" w:hAnsi="Arial" w:cs="Arial"/>
          <w:color w:val="000000"/>
          <w:sz w:val="22"/>
          <w:szCs w:val="22"/>
        </w:rPr>
        <w:tab/>
        <w:t>7.1.6.1.</w:t>
      </w:r>
      <w:r>
        <w:rPr>
          <w:rFonts w:ascii="Arial" w:hAnsi="Arial" w:cs="Arial"/>
          <w:color w:val="000000"/>
          <w:sz w:val="22"/>
          <w:szCs w:val="22"/>
        </w:rPr>
        <w:tab/>
        <w:t xml:space="preserve">Na hipótese de extinção, limitação e/ou não divulgação da PTAX por mais de 5 (cinco) dias úteis após a data esperada para sua divulgação, ou no caso de impossibilidade legal de aplicação da PTAX, esta deverá ser substituída pela taxa substituta determinada legalmente ou, caso não exista taxa legalmente determinada, a taxa de venda de câmbio de reais por dólares norte-americanos determinada por prática de mercado. </w:t>
      </w:r>
    </w:p>
    <w:p w14:paraId="2DC78E03" w14:textId="77777777" w:rsidR="00FC10E9" w:rsidRDefault="00FC10E9">
      <w:pPr>
        <w:spacing w:line="300" w:lineRule="atLeast"/>
        <w:ind w:firstLine="709"/>
        <w:jc w:val="both"/>
        <w:rPr>
          <w:rFonts w:ascii="Arial" w:hAnsi="Arial" w:cs="Arial"/>
          <w:color w:val="000000"/>
          <w:sz w:val="22"/>
          <w:szCs w:val="22"/>
        </w:rPr>
      </w:pPr>
    </w:p>
    <w:p w14:paraId="5B9FCD0C" w14:textId="77777777" w:rsidR="00FC10E9" w:rsidRDefault="00B10E1A">
      <w:pPr>
        <w:pStyle w:val="SCBFTtulo1"/>
        <w:keepNext w:val="0"/>
        <w:keepLines w:val="0"/>
        <w:spacing w:line="300" w:lineRule="atLeast"/>
        <w:rPr>
          <w:rFonts w:ascii="Arial" w:hAnsi="Arial" w:cs="Arial"/>
          <w:color w:val="000000"/>
        </w:rPr>
      </w:pPr>
      <w:bookmarkStart w:id="18" w:name="_Toc510004478"/>
      <w:r>
        <w:rPr>
          <w:rFonts w:ascii="Arial" w:hAnsi="Arial" w:cs="Arial"/>
          <w:color w:val="000000"/>
        </w:rPr>
        <w:t xml:space="preserve">CLÁUSULA VIII </w:t>
      </w:r>
      <w:r>
        <w:rPr>
          <w:rFonts w:ascii="Arial" w:hAnsi="Arial" w:cs="Arial"/>
          <w:color w:val="000000"/>
        </w:rPr>
        <w:br/>
        <w:t>OBRIGAÇÕES ADICIONAIS DA EMISSORA</w:t>
      </w:r>
      <w:bookmarkEnd w:id="18"/>
    </w:p>
    <w:p w14:paraId="1C8A3BE6" w14:textId="77777777" w:rsidR="00FC10E9" w:rsidRDefault="00FC10E9">
      <w:pPr>
        <w:tabs>
          <w:tab w:val="left" w:pos="2366"/>
        </w:tabs>
        <w:spacing w:line="300" w:lineRule="atLeast"/>
        <w:jc w:val="both"/>
        <w:rPr>
          <w:rFonts w:ascii="Arial" w:hAnsi="Arial" w:cs="Arial"/>
          <w:color w:val="000000"/>
          <w:sz w:val="22"/>
          <w:szCs w:val="22"/>
        </w:rPr>
      </w:pPr>
    </w:p>
    <w:p w14:paraId="7E28A7AA"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b/>
          <w:color w:val="000000"/>
          <w:sz w:val="22"/>
          <w:szCs w:val="22"/>
        </w:rPr>
        <w:t>8.1.</w:t>
      </w:r>
      <w:r>
        <w:rPr>
          <w:rFonts w:ascii="Arial" w:hAnsi="Arial" w:cs="Arial"/>
          <w:color w:val="000000"/>
          <w:sz w:val="22"/>
          <w:szCs w:val="22"/>
        </w:rPr>
        <w:tab/>
        <w:t xml:space="preserve">Observadas as demais obrigações previstas nesta Escritura, enquanto o saldo devedor das Debêntures não for integralmente pago, a Emissora obriga-se, ainda, a: </w:t>
      </w:r>
    </w:p>
    <w:p w14:paraId="78B51F0A"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774AD41"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proofErr w:type="spellStart"/>
      <w:r>
        <w:rPr>
          <w:rFonts w:ascii="Arial" w:hAnsi="Arial" w:cs="Arial"/>
          <w:color w:val="000000"/>
          <w:sz w:val="22"/>
          <w:szCs w:val="22"/>
        </w:rPr>
        <w:t>fornecer</w:t>
      </w:r>
      <w:proofErr w:type="spellEnd"/>
      <w:r>
        <w:rPr>
          <w:rFonts w:ascii="Arial" w:hAnsi="Arial" w:cs="Arial"/>
          <w:color w:val="000000"/>
          <w:sz w:val="22"/>
          <w:szCs w:val="22"/>
        </w:rPr>
        <w:t xml:space="preserve"> ao Agente Fiduciário:</w:t>
      </w:r>
    </w:p>
    <w:p w14:paraId="322782BC" w14:textId="77777777" w:rsidR="00FC10E9" w:rsidRDefault="00FC10E9">
      <w:pPr>
        <w:tabs>
          <w:tab w:val="left" w:pos="720"/>
        </w:tabs>
        <w:spacing w:line="300" w:lineRule="atLeast"/>
        <w:jc w:val="both"/>
        <w:rPr>
          <w:rFonts w:ascii="Arial" w:hAnsi="Arial" w:cs="Arial"/>
          <w:color w:val="000000"/>
          <w:sz w:val="22"/>
          <w:szCs w:val="22"/>
        </w:rPr>
      </w:pPr>
    </w:p>
    <w:p w14:paraId="30CF4442" w14:textId="77777777" w:rsidR="00FC10E9" w:rsidRDefault="00B10E1A">
      <w:pPr>
        <w:numPr>
          <w:ilvl w:val="0"/>
          <w:numId w:val="21"/>
        </w:numPr>
        <w:tabs>
          <w:tab w:val="left" w:pos="1560"/>
        </w:tabs>
        <w:spacing w:line="300" w:lineRule="atLeast"/>
        <w:ind w:left="1560" w:hanging="851"/>
        <w:jc w:val="both"/>
        <w:rPr>
          <w:rFonts w:ascii="Arial" w:hAnsi="Arial" w:cs="Arial"/>
          <w:b/>
          <w:color w:val="000000"/>
          <w:sz w:val="22"/>
          <w:szCs w:val="22"/>
        </w:rPr>
      </w:pPr>
      <w:r>
        <w:rPr>
          <w:rFonts w:ascii="Arial" w:hAnsi="Arial" w:cs="Arial"/>
          <w:color w:val="000000"/>
          <w:sz w:val="22"/>
          <w:szCs w:val="22"/>
        </w:rPr>
        <w:t xml:space="preserve">dentro de, no máximo, 90 (noventa) dias após o término de cada exercício social (ou em um prazo mais longo, conforme permitido por regulamentação específica), ou na data de sua divulgação, o que ocorrer primeiro, cópia de </w:t>
      </w:r>
      <w:r>
        <w:rPr>
          <w:rFonts w:ascii="Arial" w:hAnsi="Arial" w:cs="Arial"/>
          <w:color w:val="000000"/>
          <w:sz w:val="22"/>
          <w:szCs w:val="22"/>
        </w:rPr>
        <w:lastRenderedPageBreak/>
        <w:t>suas demonstrações financeiras consolidadas e auditadas, relativas ao exercício social então encerrado, preparadas de acordo com os princípios contábeis geralmente aceitos no Brasil, acompanhadas do relatório da administração e do parecer dos auditores independentes e do relatório de revisão especial dos auditores independentes, bem como: (i) cópia de qualquer comunicação feita pelos auditores independentes à Emissora, ou aos membros de sua administração, e respectivas respostas, relativas a essas demonstrações financeiras, ao sistema de contabilidade, à gestão ou às contas da Emissora; e (</w:t>
      </w:r>
      <w:proofErr w:type="spellStart"/>
      <w:r>
        <w:rPr>
          <w:rFonts w:ascii="Arial" w:hAnsi="Arial" w:cs="Arial"/>
          <w:color w:val="000000"/>
          <w:sz w:val="22"/>
          <w:szCs w:val="22"/>
        </w:rPr>
        <w:t>ii</w:t>
      </w:r>
      <w:proofErr w:type="spellEnd"/>
      <w:r>
        <w:rPr>
          <w:rFonts w:ascii="Arial" w:hAnsi="Arial" w:cs="Arial"/>
          <w:color w:val="000000"/>
          <w:sz w:val="22"/>
          <w:szCs w:val="22"/>
        </w:rPr>
        <w:t>) declaração do(s) representante(s) legal(</w:t>
      </w:r>
      <w:proofErr w:type="spellStart"/>
      <w:r>
        <w:rPr>
          <w:rFonts w:ascii="Arial" w:hAnsi="Arial" w:cs="Arial"/>
          <w:color w:val="000000"/>
          <w:sz w:val="22"/>
          <w:szCs w:val="22"/>
        </w:rPr>
        <w:t>is</w:t>
      </w:r>
      <w:proofErr w:type="spellEnd"/>
      <w:r>
        <w:rPr>
          <w:rFonts w:ascii="Arial" w:hAnsi="Arial" w:cs="Arial"/>
          <w:color w:val="000000"/>
          <w:sz w:val="22"/>
          <w:szCs w:val="22"/>
        </w:rPr>
        <w:t xml:space="preserve">) da Emissora atestando o cumprimento de todas as obrigações constantes nesta Escritura; </w:t>
      </w:r>
    </w:p>
    <w:p w14:paraId="1A7A6947"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65257F57"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dentro de, no máximo, 45 (quarenta e cinco) dias após o término de cada trimestre do exercício social (ou em um prazo mais longo, conforme permitido por regulamentação específica), ou na data de sua divulgação, o que ocorrer primeiro, cópia de suas demonstrações financeiras consolidadas e revisadas, relativas ao respectivo trimestre, acompanhadas do relatório de revisão especial dos auditores independentes, bem como: (i) cópia de qualquer comunicação feita pelos auditores independentes à Emissora, ou aos membros de sua administração, e respectivas respostas, relativas a essas demonstrações financeiras, ao sistema de contabilidade, à gestão ou às contas da Emissora; e (</w:t>
      </w:r>
      <w:proofErr w:type="spellStart"/>
      <w:r>
        <w:rPr>
          <w:rFonts w:ascii="Arial" w:hAnsi="Arial" w:cs="Arial"/>
          <w:color w:val="000000"/>
          <w:sz w:val="22"/>
          <w:szCs w:val="22"/>
        </w:rPr>
        <w:t>ii</w:t>
      </w:r>
      <w:proofErr w:type="spellEnd"/>
      <w:r>
        <w:rPr>
          <w:rFonts w:ascii="Arial" w:hAnsi="Arial" w:cs="Arial"/>
          <w:color w:val="000000"/>
          <w:sz w:val="22"/>
          <w:szCs w:val="22"/>
        </w:rPr>
        <w:t xml:space="preserve">) declaração do Diretor de Relação com Investidores atestando o cumprimento de todas as obrigações constantes nesta Escritura; </w:t>
      </w:r>
    </w:p>
    <w:p w14:paraId="6A930F6F"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26C40592"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cópia das informações periódicas e eventuais exigidas pela Resolução da CVM nº 80, de 29 de março de 2022 (“</w:t>
      </w:r>
      <w:r>
        <w:rPr>
          <w:rFonts w:ascii="Arial" w:hAnsi="Arial" w:cs="Arial"/>
          <w:color w:val="000000"/>
          <w:sz w:val="22"/>
          <w:szCs w:val="22"/>
          <w:u w:val="single"/>
        </w:rPr>
        <w:t>Resolução CVM 80</w:t>
      </w:r>
      <w:r>
        <w:rPr>
          <w:rFonts w:ascii="Arial" w:hAnsi="Arial" w:cs="Arial"/>
          <w:color w:val="000000"/>
          <w:sz w:val="22"/>
          <w:szCs w:val="22"/>
        </w:rPr>
        <w:t>”), conforme alterada, nos prazos ali previstos;</w:t>
      </w:r>
    </w:p>
    <w:p w14:paraId="49166943"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7BD10428"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os Avisos aos Debenturistas, fatos relevantes e atas de assembleias que de alguma forma envolvam interesses dos Debenturistas em até 5 (cinco) dias úteis da data em que forem divulgados ao mercado;</w:t>
      </w:r>
    </w:p>
    <w:p w14:paraId="1C99640D"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43A00164"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em até 10 (dez) dias contados do recebimento de solicitação, qualquer informação relevante com relação às Debêntures que lhe venha a ser solicitada, de maneira razoável, por escrito, pelo Agente Fiduciário, a fim de que este possa cumprir as suas obrigações nos termos desta Escritura e da Resolução da CVM nº 17, de 9 de fevereiro de 2021, conforme em vigor (“</w:t>
      </w:r>
      <w:r>
        <w:rPr>
          <w:rFonts w:ascii="Arial" w:hAnsi="Arial" w:cs="Arial"/>
          <w:color w:val="000000"/>
          <w:sz w:val="22"/>
          <w:szCs w:val="22"/>
          <w:u w:val="single"/>
        </w:rPr>
        <w:t>Resolução CVM 17</w:t>
      </w:r>
      <w:r>
        <w:rPr>
          <w:rFonts w:ascii="Arial" w:hAnsi="Arial" w:cs="Arial"/>
          <w:color w:val="000000"/>
          <w:sz w:val="22"/>
          <w:szCs w:val="22"/>
        </w:rPr>
        <w:t>”)</w:t>
      </w:r>
      <w:r>
        <w:rPr>
          <w:rFonts w:ascii="Arial" w:hAnsi="Arial" w:cs="Arial"/>
          <w:color w:val="000000"/>
          <w:w w:val="0"/>
          <w:sz w:val="22"/>
          <w:szCs w:val="22"/>
        </w:rPr>
        <w:t xml:space="preserve"> ou em outro prazo caso assim determinado por autoridade competente</w:t>
      </w:r>
      <w:r>
        <w:rPr>
          <w:rFonts w:ascii="Arial" w:hAnsi="Arial" w:cs="Arial"/>
          <w:color w:val="000000"/>
          <w:sz w:val="22"/>
          <w:szCs w:val="22"/>
        </w:rPr>
        <w:t xml:space="preserve">; </w:t>
      </w:r>
    </w:p>
    <w:p w14:paraId="6C623BC8"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0F9C5B6C"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 xml:space="preserve">cópia de qualquer correspondência ou notificação judicial ou extrajudicial recebida pela Emissora relativa a um Evento de Inadimplemento ou a esta Escritura, inclusive de qualquer dos Eventos de Inadimplemento, imediatamente após o seu recebimento; </w:t>
      </w:r>
    </w:p>
    <w:p w14:paraId="7C6C0A22"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57CDBAA1"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lastRenderedPageBreak/>
        <w:t xml:space="preserve">informações sobre o descumprimento de qualquer cláusula, termos ou condições desta Escritura, sem prejuízo do disposto na alínea “j” abaixo; </w:t>
      </w:r>
    </w:p>
    <w:p w14:paraId="0A7D8B22" w14:textId="77777777" w:rsidR="00FC10E9" w:rsidRDefault="00FC10E9">
      <w:pPr>
        <w:tabs>
          <w:tab w:val="left" w:pos="1560"/>
        </w:tabs>
        <w:spacing w:line="300" w:lineRule="atLeast"/>
        <w:ind w:left="1560" w:hanging="851"/>
        <w:jc w:val="both"/>
        <w:rPr>
          <w:rFonts w:ascii="Arial" w:hAnsi="Arial" w:cs="Arial"/>
          <w:color w:val="000000"/>
          <w:sz w:val="22"/>
          <w:szCs w:val="22"/>
        </w:rPr>
      </w:pPr>
    </w:p>
    <w:p w14:paraId="0D4F4643" w14:textId="47FEA3E1" w:rsidR="00FC10E9" w:rsidRDefault="00B10E1A">
      <w:pPr>
        <w:numPr>
          <w:ilvl w:val="0"/>
          <w:numId w:val="21"/>
        </w:numPr>
        <w:tabs>
          <w:tab w:val="left" w:pos="1560"/>
        </w:tabs>
        <w:spacing w:line="300" w:lineRule="atLeast"/>
        <w:ind w:left="1560" w:hanging="840"/>
        <w:jc w:val="both"/>
        <w:rPr>
          <w:rFonts w:ascii="Arial" w:hAnsi="Arial" w:cs="Arial"/>
          <w:color w:val="000000"/>
          <w:w w:val="0"/>
          <w:sz w:val="22"/>
          <w:szCs w:val="22"/>
        </w:rPr>
      </w:pPr>
      <w:r>
        <w:rPr>
          <w:rFonts w:ascii="Arial" w:hAnsi="Arial" w:cs="Arial"/>
          <w:color w:val="000000"/>
          <w:w w:val="0"/>
          <w:sz w:val="22"/>
          <w:szCs w:val="22"/>
        </w:rPr>
        <w:t>todos os dados financeiros e atos societários relacionados à Emissão e necessários à realização do relatório mencionado na alínea “</w:t>
      </w:r>
      <w:r w:rsidR="00E14759">
        <w:rPr>
          <w:rFonts w:ascii="Arial" w:hAnsi="Arial" w:cs="Arial"/>
          <w:color w:val="000000"/>
          <w:w w:val="0"/>
          <w:sz w:val="22"/>
          <w:szCs w:val="22"/>
        </w:rPr>
        <w:t>p</w:t>
      </w:r>
      <w:r>
        <w:rPr>
          <w:rFonts w:ascii="Arial" w:hAnsi="Arial" w:cs="Arial"/>
          <w:color w:val="000000"/>
          <w:w w:val="0"/>
          <w:sz w:val="22"/>
          <w:szCs w:val="22"/>
        </w:rPr>
        <w:t xml:space="preserve">” da Cláusula 9.5.1 abaixo que venham a ser solicitados pelo Agente Fiduciário, nos prazos em que esses dados financeiros e atos societários tenham sido divulgados publicamente; </w:t>
      </w:r>
    </w:p>
    <w:p w14:paraId="35472094" w14:textId="77777777" w:rsidR="00FC10E9" w:rsidRDefault="00FC10E9"/>
    <w:p w14:paraId="04B99600"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no prazo de até 5 (cinco) Dias Úteis contados da data do seu respectivo arquivamento na JUCERJA, uma via eletrônica, em PDF, com a chancela digital da JUCERJA desta Escritura e de seus eventuais aditamentos devidamente arquivados; e</w:t>
      </w:r>
    </w:p>
    <w:p w14:paraId="5EBC355F" w14:textId="77777777" w:rsidR="00FC10E9" w:rsidRDefault="00FC10E9">
      <w:pPr>
        <w:pStyle w:val="PargrafodaLista"/>
        <w:rPr>
          <w:rFonts w:ascii="Arial" w:hAnsi="Arial" w:cs="Arial"/>
          <w:color w:val="000000"/>
          <w:sz w:val="22"/>
          <w:szCs w:val="22"/>
        </w:rPr>
      </w:pPr>
    </w:p>
    <w:p w14:paraId="75586044" w14:textId="77777777" w:rsidR="00FC10E9" w:rsidRDefault="00B10E1A">
      <w:pPr>
        <w:numPr>
          <w:ilvl w:val="0"/>
          <w:numId w:val="21"/>
        </w:numPr>
        <w:tabs>
          <w:tab w:val="left" w:pos="1560"/>
        </w:tabs>
        <w:spacing w:line="300" w:lineRule="atLeast"/>
        <w:ind w:left="1560" w:hanging="851"/>
        <w:jc w:val="both"/>
        <w:rPr>
          <w:rFonts w:ascii="Arial" w:hAnsi="Arial" w:cs="Arial"/>
          <w:color w:val="000000"/>
          <w:sz w:val="22"/>
          <w:szCs w:val="22"/>
        </w:rPr>
      </w:pPr>
      <w:r>
        <w:rPr>
          <w:rFonts w:ascii="Arial" w:hAnsi="Arial" w:cs="Arial"/>
          <w:color w:val="000000"/>
          <w:sz w:val="22"/>
          <w:szCs w:val="22"/>
        </w:rPr>
        <w:t>via original com a lista de presença e uma cópia eletrônica (PDF) com a devida chancela digital da JUCERJA dos atos e reuniões dos Debenturistas que integrem a Emissão;</w:t>
      </w:r>
      <w:r>
        <w:rPr>
          <w:rFonts w:ascii="Arial" w:hAnsi="Arial" w:cs="Arial"/>
          <w:b/>
          <w:color w:val="000000"/>
          <w:sz w:val="22"/>
          <w:szCs w:val="22"/>
        </w:rPr>
        <w:t xml:space="preserve"> </w:t>
      </w:r>
    </w:p>
    <w:p w14:paraId="5A71F9FA" w14:textId="77777777" w:rsidR="00FC10E9" w:rsidRDefault="00FC10E9">
      <w:pPr>
        <w:tabs>
          <w:tab w:val="left" w:pos="1560"/>
        </w:tabs>
        <w:spacing w:line="300" w:lineRule="atLeast"/>
        <w:ind w:left="709"/>
        <w:jc w:val="both"/>
        <w:rPr>
          <w:rFonts w:ascii="Arial" w:hAnsi="Arial" w:cs="Arial"/>
          <w:color w:val="000000"/>
          <w:sz w:val="22"/>
          <w:szCs w:val="22"/>
        </w:rPr>
      </w:pPr>
    </w:p>
    <w:p w14:paraId="618FCD9A"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preparar e proceder à adequada publicidade dos dados econômico-financeiros, nos termos exigidos pela Lei das Sociedades por Ações e/ou demais regulamentações aplicáveis, promovendo a publicação das suas demonstrações financeiras anuais;</w:t>
      </w:r>
    </w:p>
    <w:p w14:paraId="64CF685B"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3E35BFB"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manter a sua contabilidade atualizada e efetuar os respectivos registros de acordo com as práticas contábeis adotadas na República Federativa do Brasil, e permitir que representantes do Agente Fiduciário (ou de auditor independente por este contratado, às expensas da Emissora) tenham acesso irrestrito, desde que a respectiva solicitação seja acompanhada de relatório que fundamente a necessidade de tal acesso: (i) a todo e qualquer relatório do auditor independente entregue à Emissora referente às suas demonstrações financeiras; e (</w:t>
      </w:r>
      <w:proofErr w:type="spellStart"/>
      <w:r>
        <w:rPr>
          <w:rFonts w:ascii="Arial" w:hAnsi="Arial" w:cs="Arial"/>
          <w:color w:val="000000"/>
          <w:sz w:val="22"/>
          <w:szCs w:val="22"/>
        </w:rPr>
        <w:t>ii</w:t>
      </w:r>
      <w:proofErr w:type="spellEnd"/>
      <w:r>
        <w:rPr>
          <w:rFonts w:ascii="Arial" w:hAnsi="Arial" w:cs="Arial"/>
          <w:color w:val="000000"/>
          <w:sz w:val="22"/>
          <w:szCs w:val="22"/>
        </w:rPr>
        <w:t>) aos livros e aos demais registros contábeis da Emissora, quando deliberado pela Assembleia Geral de Debenturistas;</w:t>
      </w:r>
    </w:p>
    <w:p w14:paraId="444C5565"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3F74D9C9"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convocar, nos termos da Cláusula X desta Escritura, Assembleia Geral de Debenturistas para deliberar sobre qualquer das matérias que direta ou indiretamente se relacione com a presente Emissão, caso o Agente Fiduciário deva fazê-lo, nos termos da presente Escritura, mas não o faça;</w:t>
      </w:r>
    </w:p>
    <w:p w14:paraId="00D3C28C"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56DB361F"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cumprir com todas as determinações emanadas da CVM, com o envio de documentos, prestando, ainda, as informações que lhes forem solicitadas pela CVM;</w:t>
      </w:r>
    </w:p>
    <w:p w14:paraId="32B8251F"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5D74DDBE"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manter sempre atualizado o registro de companhia aberta na CVM, nos termos da regulamentação aplicável;</w:t>
      </w:r>
    </w:p>
    <w:p w14:paraId="676BA6CD" w14:textId="77777777" w:rsidR="00FC10E9" w:rsidRDefault="00FC10E9">
      <w:pPr>
        <w:tabs>
          <w:tab w:val="left" w:pos="709"/>
          <w:tab w:val="left" w:pos="2366"/>
        </w:tabs>
        <w:spacing w:line="300" w:lineRule="atLeast"/>
        <w:ind w:left="709" w:hanging="709"/>
        <w:jc w:val="both"/>
        <w:rPr>
          <w:rFonts w:ascii="Arial" w:hAnsi="Arial" w:cs="Arial"/>
          <w:color w:val="000000"/>
          <w:sz w:val="22"/>
          <w:szCs w:val="22"/>
        </w:rPr>
      </w:pPr>
    </w:p>
    <w:p w14:paraId="27EAEC14"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estruturar e manter em adequado funcionamento um departamento para atender de forma eficiente aos Debenturistas, podendo utilizar, para esse fim, a estrutura e os </w:t>
      </w:r>
      <w:r>
        <w:rPr>
          <w:rFonts w:ascii="Arial" w:hAnsi="Arial" w:cs="Arial"/>
          <w:color w:val="000000"/>
          <w:sz w:val="22"/>
          <w:szCs w:val="22"/>
        </w:rPr>
        <w:lastRenderedPageBreak/>
        <w:t>órgãos destinados ao atendimento de seus acionistas, ou contratar, às expensas da Emissora, instituições financeiras autorizadas para a prestação desse serviço;</w:t>
      </w:r>
    </w:p>
    <w:p w14:paraId="7A6F7A6D"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21B8AC86"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não alterar seus principais ramos de negócio conforme previsto em seu Estatuto Social, não realizar operações fora de seu objeto social e não praticar qualquer ato em desacordo com seu Estatuto Social e/ou com esta Escritura, em especial os que possam, direta ou indiretamente, comprometer o pontual e integral cumprimento das obrigações assumidas perante os Debenturistas;</w:t>
      </w:r>
    </w:p>
    <w:p w14:paraId="44BF4D26"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79FF74AE"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obter, observar os termos de, e praticar todos os atos necessários para manter em pleno vigor todas as autorizações, aprovações, licenças e consentimentos exigidos nos termos da legislação e regulamentação brasileiras para o regular exercício das atividades desenvolvidas pela Emissora ou suas controladas, diretas ou indiretas, visando, também, permitir o cumprimento, pela Emissora, das obrigações previstas nesta Escritura, ou para assegurar a legalidade, validade e exequibilidade dessas obrigações;</w:t>
      </w:r>
    </w:p>
    <w:p w14:paraId="582C3B29" w14:textId="77777777" w:rsidR="00FC10E9" w:rsidRDefault="00FC10E9">
      <w:pPr>
        <w:pStyle w:val="PargrafodaLista"/>
        <w:tabs>
          <w:tab w:val="left" w:pos="709"/>
        </w:tabs>
        <w:spacing w:line="300" w:lineRule="atLeast"/>
        <w:ind w:left="709" w:hanging="709"/>
        <w:rPr>
          <w:rFonts w:ascii="Arial" w:hAnsi="Arial" w:cs="Arial"/>
          <w:color w:val="000000"/>
          <w:sz w:val="22"/>
          <w:szCs w:val="22"/>
        </w:rPr>
      </w:pPr>
    </w:p>
    <w:p w14:paraId="33E668CA"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aplicar os recursos obtidos por meio da Emissão estritamente conforme descrito na Cláusula 3.4 acima;</w:t>
      </w:r>
    </w:p>
    <w:p w14:paraId="294EDF82" w14:textId="77777777" w:rsidR="00FC10E9" w:rsidRDefault="00FC10E9">
      <w:pPr>
        <w:tabs>
          <w:tab w:val="left" w:pos="709"/>
          <w:tab w:val="left" w:pos="2366"/>
        </w:tabs>
        <w:spacing w:line="300" w:lineRule="atLeast"/>
        <w:ind w:left="709" w:hanging="709"/>
        <w:jc w:val="both"/>
        <w:rPr>
          <w:rFonts w:ascii="Arial" w:hAnsi="Arial" w:cs="Arial"/>
          <w:color w:val="000000"/>
          <w:sz w:val="22"/>
          <w:szCs w:val="22"/>
        </w:rPr>
      </w:pPr>
    </w:p>
    <w:p w14:paraId="51E134B3"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cumprir, em todos os aspectos materiais, todas as leis, regras, regulamentos e ordens aplicáveis, em qualquer jurisdição na qual realize negócios ou possua ativos, inclusive, mas não se limitando a: (i) legislação e regulamentação relacionadas à saúde e segurança ocupacional e ao meio ambiente, inclusive no que se refere à prostituição, à mão-de-obra infantil, à mão-de-obra em condição análoga à de escravo e aos direitos dos silvícolas (em especial, mas não se limitando, ao direito sobre as áreas de ocupação indígena, assim declaradas pela autoridade competente) (“</w:t>
      </w:r>
      <w:r>
        <w:rPr>
          <w:rFonts w:ascii="Arial" w:hAnsi="Arial" w:cs="Arial"/>
          <w:color w:val="000000"/>
          <w:sz w:val="22"/>
          <w:szCs w:val="22"/>
          <w:u w:val="single"/>
        </w:rPr>
        <w:t>Legislação Socioambiental</w:t>
      </w:r>
      <w:r>
        <w:rPr>
          <w:rFonts w:ascii="Arial" w:hAnsi="Arial" w:cs="Arial"/>
          <w:color w:val="000000"/>
          <w:sz w:val="22"/>
          <w:szCs w:val="22"/>
        </w:rPr>
        <w:t>”); e (</w:t>
      </w:r>
      <w:proofErr w:type="spellStart"/>
      <w:r>
        <w:rPr>
          <w:rFonts w:ascii="Arial" w:hAnsi="Arial" w:cs="Arial"/>
          <w:color w:val="000000"/>
          <w:sz w:val="22"/>
          <w:szCs w:val="22"/>
        </w:rPr>
        <w:t>ii</w:t>
      </w:r>
      <w:proofErr w:type="spellEnd"/>
      <w:r>
        <w:rPr>
          <w:rFonts w:ascii="Arial" w:hAnsi="Arial" w:cs="Arial"/>
          <w:color w:val="000000"/>
          <w:sz w:val="22"/>
          <w:szCs w:val="22"/>
        </w:rPr>
        <w:t xml:space="preserve">) a Lei nº 12.846, de 1 de agosto de 2013, ou nos termos de qualquer outra lei </w:t>
      </w:r>
      <w:proofErr w:type="spellStart"/>
      <w:r>
        <w:rPr>
          <w:rFonts w:ascii="Arial" w:hAnsi="Arial" w:cs="Arial"/>
          <w:color w:val="000000"/>
          <w:sz w:val="22"/>
          <w:szCs w:val="22"/>
        </w:rPr>
        <w:t>anti-suborno</w:t>
      </w:r>
      <w:proofErr w:type="spellEnd"/>
      <w:r>
        <w:rPr>
          <w:rFonts w:ascii="Arial" w:hAnsi="Arial" w:cs="Arial"/>
          <w:color w:val="000000"/>
          <w:sz w:val="22"/>
          <w:szCs w:val="22"/>
        </w:rPr>
        <w:t xml:space="preserve"> ou anticorrupção, conforme aplicável (“</w:t>
      </w:r>
      <w:r>
        <w:rPr>
          <w:rFonts w:ascii="Arial" w:hAnsi="Arial" w:cs="Arial"/>
          <w:color w:val="000000"/>
          <w:sz w:val="22"/>
          <w:szCs w:val="22"/>
          <w:u w:val="single"/>
        </w:rPr>
        <w:t>Leis Anticorrupção</w:t>
      </w:r>
      <w:r>
        <w:rPr>
          <w:rFonts w:ascii="Arial" w:hAnsi="Arial" w:cs="Arial"/>
          <w:color w:val="000000"/>
          <w:sz w:val="22"/>
          <w:szCs w:val="22"/>
        </w:rPr>
        <w:t xml:space="preserve">”); </w:t>
      </w:r>
    </w:p>
    <w:p w14:paraId="47AF92E4"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35A302D4"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exceto com relação àqueles pagamentos que estejam sendo questionados pela Emissora na esfera judicial ou administrativa, manter em dia o pagamento de todos os tributos devidos às Fazendas Federal, </w:t>
      </w:r>
      <w:proofErr w:type="gramStart"/>
      <w:r>
        <w:rPr>
          <w:rFonts w:ascii="Arial" w:hAnsi="Arial" w:cs="Arial"/>
          <w:color w:val="000000"/>
          <w:sz w:val="22"/>
          <w:szCs w:val="22"/>
        </w:rPr>
        <w:t>Estadual</w:t>
      </w:r>
      <w:proofErr w:type="gramEnd"/>
      <w:r>
        <w:rPr>
          <w:rFonts w:ascii="Arial" w:hAnsi="Arial" w:cs="Arial"/>
          <w:color w:val="000000"/>
          <w:sz w:val="22"/>
          <w:szCs w:val="22"/>
        </w:rPr>
        <w:t xml:space="preserve"> ou Municipal;</w:t>
      </w:r>
    </w:p>
    <w:p w14:paraId="49B05C3A"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DCEF56A"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tomar todas as medidas necessárias para:</w:t>
      </w:r>
    </w:p>
    <w:p w14:paraId="57A99CE7" w14:textId="77777777" w:rsidR="00FC10E9" w:rsidRDefault="00FC10E9">
      <w:pPr>
        <w:tabs>
          <w:tab w:val="left" w:pos="720"/>
        </w:tabs>
        <w:spacing w:line="300" w:lineRule="atLeast"/>
        <w:jc w:val="both"/>
        <w:rPr>
          <w:rFonts w:ascii="Arial" w:hAnsi="Arial" w:cs="Arial"/>
          <w:color w:val="000000"/>
          <w:sz w:val="22"/>
          <w:szCs w:val="22"/>
        </w:rPr>
      </w:pPr>
    </w:p>
    <w:p w14:paraId="20F52901" w14:textId="77777777" w:rsidR="00FC10E9" w:rsidRDefault="00B10E1A">
      <w:pPr>
        <w:tabs>
          <w:tab w:val="left" w:pos="1560"/>
        </w:tabs>
        <w:spacing w:line="300" w:lineRule="atLeast"/>
        <w:ind w:left="709"/>
        <w:jc w:val="both"/>
        <w:rPr>
          <w:rFonts w:ascii="Arial" w:hAnsi="Arial" w:cs="Arial"/>
          <w:b/>
          <w:color w:val="000000"/>
          <w:sz w:val="22"/>
          <w:szCs w:val="22"/>
        </w:rPr>
      </w:pPr>
      <w:r>
        <w:rPr>
          <w:rFonts w:ascii="Arial" w:hAnsi="Arial" w:cs="Arial"/>
          <w:color w:val="000000"/>
          <w:sz w:val="22"/>
          <w:szCs w:val="22"/>
        </w:rPr>
        <w:t>(m.1)</w:t>
      </w:r>
      <w:r>
        <w:rPr>
          <w:rFonts w:ascii="Arial" w:hAnsi="Arial" w:cs="Arial"/>
          <w:color w:val="000000"/>
          <w:sz w:val="22"/>
          <w:szCs w:val="22"/>
        </w:rPr>
        <w:tab/>
        <w:t>preservar todos seus direitos, títulos de propriedade, licenças (inclusive licenças ambientais), alvarás e ativos necessários para a condução dos seus negócios e os negócios de suas controladas, diretas ou indiretas, dentro do respectivo objeto social e das práticas comerciais usuais;</w:t>
      </w:r>
    </w:p>
    <w:p w14:paraId="7832D218" w14:textId="77777777" w:rsidR="00FC10E9" w:rsidRDefault="00FC10E9">
      <w:pPr>
        <w:tabs>
          <w:tab w:val="left" w:pos="1560"/>
        </w:tabs>
        <w:spacing w:line="300" w:lineRule="atLeast"/>
        <w:ind w:left="709" w:hanging="851"/>
        <w:jc w:val="both"/>
        <w:rPr>
          <w:rFonts w:ascii="Arial" w:hAnsi="Arial" w:cs="Arial"/>
          <w:color w:val="000000"/>
          <w:sz w:val="22"/>
          <w:szCs w:val="22"/>
        </w:rPr>
      </w:pPr>
    </w:p>
    <w:p w14:paraId="50B2CE8A" w14:textId="77777777" w:rsidR="00FC10E9" w:rsidRDefault="00B10E1A">
      <w:pPr>
        <w:tabs>
          <w:tab w:val="left" w:pos="426"/>
        </w:tabs>
        <w:spacing w:line="300" w:lineRule="atLeast"/>
        <w:ind w:left="709"/>
        <w:jc w:val="both"/>
        <w:rPr>
          <w:rFonts w:ascii="Arial" w:hAnsi="Arial" w:cs="Arial"/>
          <w:color w:val="000000"/>
          <w:sz w:val="22"/>
          <w:szCs w:val="22"/>
        </w:rPr>
      </w:pPr>
      <w:r>
        <w:rPr>
          <w:rFonts w:ascii="Arial" w:hAnsi="Arial" w:cs="Arial"/>
          <w:color w:val="000000"/>
          <w:sz w:val="22"/>
          <w:szCs w:val="22"/>
        </w:rPr>
        <w:t>(m.2) manter em boas condições os bens utilizados na condução de seus negócios e na condução dos negócios de suas controladas, diretas ou indiretas, excetuando-se o desgaste normal desses bens;</w:t>
      </w:r>
    </w:p>
    <w:p w14:paraId="76AA6CA8" w14:textId="77777777" w:rsidR="00FC10E9" w:rsidRDefault="00FC10E9"/>
    <w:p w14:paraId="031751C9" w14:textId="77777777" w:rsidR="00FC10E9" w:rsidRDefault="00B10E1A">
      <w:pPr>
        <w:tabs>
          <w:tab w:val="left" w:pos="426"/>
        </w:tabs>
        <w:spacing w:line="300" w:lineRule="atLeast"/>
        <w:ind w:left="709"/>
        <w:jc w:val="both"/>
        <w:rPr>
          <w:rFonts w:ascii="Arial" w:hAnsi="Arial" w:cs="Arial"/>
          <w:color w:val="000000"/>
          <w:sz w:val="22"/>
          <w:szCs w:val="22"/>
        </w:rPr>
      </w:pPr>
      <w:r>
        <w:rPr>
          <w:rFonts w:ascii="Arial" w:hAnsi="Arial" w:cs="Arial"/>
          <w:color w:val="000000"/>
          <w:sz w:val="22"/>
          <w:szCs w:val="22"/>
        </w:rPr>
        <w:t>(m.3) manter os bens necessários para a condução de suas atividades principais adequadamente segurados por seguradoras de primeira linha, conforme práticas correntes em seu setor de atuação; e</w:t>
      </w:r>
    </w:p>
    <w:p w14:paraId="30A93D19" w14:textId="77777777" w:rsidR="00FC10E9" w:rsidRDefault="00FC10E9">
      <w:pPr>
        <w:pStyle w:val="PargrafodaLista"/>
        <w:tabs>
          <w:tab w:val="left" w:pos="426"/>
        </w:tabs>
        <w:spacing w:line="300" w:lineRule="atLeast"/>
        <w:ind w:left="709"/>
        <w:rPr>
          <w:rFonts w:ascii="Arial" w:hAnsi="Arial" w:cs="Arial"/>
          <w:color w:val="000000"/>
          <w:sz w:val="22"/>
          <w:szCs w:val="22"/>
        </w:rPr>
      </w:pPr>
    </w:p>
    <w:p w14:paraId="6799C0F2" w14:textId="77777777" w:rsidR="00FC10E9" w:rsidRDefault="00B10E1A">
      <w:pPr>
        <w:tabs>
          <w:tab w:val="left" w:pos="426"/>
        </w:tabs>
        <w:spacing w:line="300" w:lineRule="atLeast"/>
        <w:ind w:left="709"/>
        <w:jc w:val="both"/>
        <w:rPr>
          <w:rFonts w:ascii="Arial" w:hAnsi="Arial" w:cs="Arial"/>
          <w:color w:val="000000"/>
          <w:sz w:val="22"/>
          <w:szCs w:val="22"/>
        </w:rPr>
      </w:pPr>
      <w:r>
        <w:rPr>
          <w:rFonts w:ascii="Arial" w:hAnsi="Arial" w:cs="Arial"/>
          <w:color w:val="000000"/>
          <w:sz w:val="22"/>
          <w:szCs w:val="22"/>
        </w:rPr>
        <w:t>(m.4) estender as medidas elencadas nos subitens “m.1” a “m.3” acima para as sociedades sob seu controle.</w:t>
      </w:r>
    </w:p>
    <w:p w14:paraId="108C0518" w14:textId="77777777" w:rsidR="00FC10E9" w:rsidRDefault="00FC10E9">
      <w:pPr>
        <w:tabs>
          <w:tab w:val="left" w:pos="720"/>
        </w:tabs>
        <w:spacing w:line="300" w:lineRule="atLeast"/>
        <w:jc w:val="both"/>
        <w:rPr>
          <w:rFonts w:ascii="Arial" w:hAnsi="Arial" w:cs="Arial"/>
          <w:color w:val="000000"/>
          <w:sz w:val="22"/>
          <w:szCs w:val="22"/>
        </w:rPr>
      </w:pPr>
    </w:p>
    <w:p w14:paraId="66AC22E3"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contratar e manter contratados, às suas expensas, durante todo o prazo de vigência das Debêntures, os prestadores de serviços inerentes às obrigações previstas nesta Escritura, incluindo: (i) o Agente Fiduciário; (</w:t>
      </w:r>
      <w:proofErr w:type="spellStart"/>
      <w:r>
        <w:rPr>
          <w:rFonts w:ascii="Arial" w:hAnsi="Arial" w:cs="Arial"/>
          <w:color w:val="000000"/>
          <w:sz w:val="22"/>
          <w:szCs w:val="22"/>
        </w:rPr>
        <w:t>ii</w:t>
      </w:r>
      <w:proofErr w:type="spellEnd"/>
      <w:r>
        <w:rPr>
          <w:rFonts w:ascii="Arial" w:hAnsi="Arial" w:cs="Arial"/>
          <w:color w:val="000000"/>
          <w:sz w:val="22"/>
          <w:szCs w:val="22"/>
        </w:rPr>
        <w:t xml:space="preserve">) o Banco Liquidante e o </w:t>
      </w:r>
      <w:proofErr w:type="spellStart"/>
      <w:r>
        <w:rPr>
          <w:rFonts w:ascii="Arial" w:hAnsi="Arial" w:cs="Arial"/>
          <w:color w:val="000000"/>
          <w:sz w:val="22"/>
          <w:szCs w:val="22"/>
        </w:rPr>
        <w:t>Escriturador</w:t>
      </w:r>
      <w:proofErr w:type="spellEnd"/>
      <w:r>
        <w:rPr>
          <w:rFonts w:ascii="Arial" w:hAnsi="Arial" w:cs="Arial"/>
          <w:color w:val="000000"/>
          <w:sz w:val="22"/>
          <w:szCs w:val="22"/>
        </w:rPr>
        <w:t>; (</w:t>
      </w:r>
      <w:proofErr w:type="spellStart"/>
      <w:r>
        <w:rPr>
          <w:rFonts w:ascii="Arial" w:hAnsi="Arial" w:cs="Arial"/>
          <w:color w:val="000000"/>
          <w:sz w:val="22"/>
          <w:szCs w:val="22"/>
        </w:rPr>
        <w:t>iii</w:t>
      </w:r>
      <w:proofErr w:type="spellEnd"/>
      <w:r>
        <w:rPr>
          <w:rFonts w:ascii="Arial" w:hAnsi="Arial" w:cs="Arial"/>
          <w:color w:val="000000"/>
          <w:sz w:val="22"/>
          <w:szCs w:val="22"/>
        </w:rPr>
        <w:t>) a Agência de Classificação de Risco; e (</w:t>
      </w:r>
      <w:proofErr w:type="spellStart"/>
      <w:r>
        <w:rPr>
          <w:rFonts w:ascii="Arial" w:hAnsi="Arial" w:cs="Arial"/>
          <w:color w:val="000000"/>
          <w:sz w:val="22"/>
          <w:szCs w:val="22"/>
        </w:rPr>
        <w:t>iv</w:t>
      </w:r>
      <w:proofErr w:type="spellEnd"/>
      <w:r>
        <w:rPr>
          <w:rFonts w:ascii="Arial" w:hAnsi="Arial" w:cs="Arial"/>
          <w:color w:val="000000"/>
          <w:sz w:val="22"/>
          <w:szCs w:val="22"/>
        </w:rPr>
        <w:t>) a B3, e manter as Debêntures depositadas para negociação na B3 durante o prazo de vigência das Debêntures, arcando com os custos do referido registro;</w:t>
      </w:r>
    </w:p>
    <w:p w14:paraId="74C34F01" w14:textId="77777777" w:rsidR="00FC10E9" w:rsidRDefault="00FC10E9">
      <w:pPr>
        <w:tabs>
          <w:tab w:val="left" w:pos="709"/>
        </w:tabs>
        <w:spacing w:line="300" w:lineRule="atLeast"/>
        <w:jc w:val="both"/>
        <w:rPr>
          <w:rFonts w:ascii="Arial" w:hAnsi="Arial" w:cs="Arial"/>
          <w:color w:val="000000"/>
          <w:sz w:val="22"/>
          <w:szCs w:val="22"/>
        </w:rPr>
      </w:pPr>
    </w:p>
    <w:p w14:paraId="03BAD2D3"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efetuar pontualmente o pagamento dos serviços relacionados ao registro das Debêntures na B3;</w:t>
      </w:r>
    </w:p>
    <w:p w14:paraId="3136AD10"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199A126F"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efetuar o pagamento de todas as despesas comprovadas pelo Agente Fiduciário que venham a ser necessárias para proteger os direitos e interesses dos Debenturistas ou para realizar seus créditos, inclusive, honorários advocatícios e outras despesas e custos razoáveis incorridos em virtude da cobrança de qualquer quantia devida aos Debenturistas nos termos desta Escritura;</w:t>
      </w:r>
    </w:p>
    <w:p w14:paraId="46C1FB13"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1AC9DE13"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informar à B3 o valor e a data de pagamento de toda e qualquer remuneração referente às Debêntures;</w:t>
      </w:r>
    </w:p>
    <w:p w14:paraId="4D592E08"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7147CC69"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manter válidas e regulares, durante o prazo de vigência das Debêntures e desde que haja Debêntures em Circulação, as declarações e garantias apresentadas nesta Escritura, no que for aplicável;</w:t>
      </w:r>
    </w:p>
    <w:p w14:paraId="6A79BA60"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5AEFD3CF"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não utilizar, e assegurar que seus respectivos conselheiros, diretores e empregados não utilizem os recursos decorrentes da presente Emissão (A) para favorecer uma oferta, pagamento, promessa de pagamento, ou autorização para pagamento ou entrega de dinheiro ou qualquer outro bem de valor, a qualquer Pessoa, em violação da Lei Anticorrupção, ou (B) para o financiamento ou facilitação de quaisquer atividades, negócios ou transações de, ou com, qualquer Pessoa, em violação da Lei Anticorrupção. Para os fins desta Escritura, “</w:t>
      </w:r>
      <w:r>
        <w:rPr>
          <w:rFonts w:ascii="Arial" w:hAnsi="Arial" w:cs="Arial"/>
          <w:color w:val="000000"/>
          <w:sz w:val="22"/>
          <w:szCs w:val="22"/>
          <w:u w:val="single"/>
        </w:rPr>
        <w:t>Pessoa</w:t>
      </w:r>
      <w:r>
        <w:rPr>
          <w:rFonts w:ascii="Arial" w:hAnsi="Arial" w:cs="Arial"/>
          <w:color w:val="000000"/>
          <w:sz w:val="22"/>
          <w:szCs w:val="22"/>
        </w:rPr>
        <w:t>” significa uma pessoa física ou jurídica, de direito ou de fato, uma associação voluntária, qualquer governo, quaisquer agências governamentais ou quaisquer outros entes governamentais;</w:t>
      </w:r>
    </w:p>
    <w:p w14:paraId="3D9D8B5C" w14:textId="77777777" w:rsidR="00FC10E9" w:rsidRDefault="00FC10E9">
      <w:pPr>
        <w:pStyle w:val="PargrafodaLista"/>
        <w:spacing w:line="300" w:lineRule="atLeast"/>
        <w:rPr>
          <w:rFonts w:ascii="Arial" w:hAnsi="Arial" w:cs="Arial"/>
          <w:color w:val="000000"/>
          <w:sz w:val="22"/>
          <w:szCs w:val="22"/>
        </w:rPr>
      </w:pPr>
    </w:p>
    <w:p w14:paraId="5FF8161F"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comunicar imediatamente à CVM e ao Agente Fiduciário qualquer inadimplência no cumprimento das obrigações contraídas perante os Debenturistas; </w:t>
      </w:r>
    </w:p>
    <w:p w14:paraId="4B758AF6" w14:textId="77777777" w:rsidR="00FC10E9" w:rsidRDefault="00FC10E9">
      <w:pPr>
        <w:pStyle w:val="PargrafodaLista"/>
        <w:spacing w:line="300" w:lineRule="atLeast"/>
        <w:rPr>
          <w:rFonts w:ascii="Arial" w:hAnsi="Arial" w:cs="Arial"/>
          <w:color w:val="000000"/>
          <w:sz w:val="22"/>
          <w:szCs w:val="22"/>
        </w:rPr>
      </w:pPr>
    </w:p>
    <w:p w14:paraId="7760E830" w14:textId="1DD67F63"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lastRenderedPageBreak/>
        <w:t xml:space="preserve">informar e enviar, no prazo de 30 (trinta) dias antes do encerramento do prazo para disponibilização na CVM do relatório anual citado na alínea “p” da Cláusula 9.5.1, o organograma de seu grupo societário, conforme a Resolução CVM 17, o qual deverá conter inclusive, controladores, controladas, controle comum, coligadas, e integrante de bloco de controle, no encerramento de cada exercício social; e </w:t>
      </w:r>
    </w:p>
    <w:p w14:paraId="5BB87E0F" w14:textId="77777777" w:rsidR="00FC10E9" w:rsidRDefault="00FC10E9">
      <w:pPr>
        <w:tabs>
          <w:tab w:val="left" w:pos="709"/>
        </w:tabs>
        <w:spacing w:line="300" w:lineRule="atLeast"/>
        <w:ind w:left="709" w:hanging="709"/>
        <w:jc w:val="both"/>
        <w:rPr>
          <w:rFonts w:ascii="Arial" w:hAnsi="Arial" w:cs="Arial"/>
          <w:color w:val="000000"/>
          <w:sz w:val="22"/>
          <w:szCs w:val="22"/>
          <w:highlight w:val="green"/>
        </w:rPr>
      </w:pPr>
    </w:p>
    <w:p w14:paraId="4FC8F2C5"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cumprir com todas as obrigações previstas na Instrução CVM 476, em especial as estabelecidas em seu artigo 17, e demais normativos aplicáveis à Emissão, ou seja: (v.1) preparar demonstrações financeiras de encerramento de exercício e, se for o caso, demonstrações consolidadas, em conformidade com a Lei das Sociedades por Ações, e com as regras emitidas pela CVM; (v.2) submeter suas demonstrações financeiras a auditoria, por auditor registrado na CVM; (v.3) divulgar, até o dia anterior ao início das negociações, suas demonstrações financeiras, acompanhadas de notas explicativas e do relatório dos auditores independentes, relativas aos 3 (três) últimos exercícios sociais encerrados; (v.4) divulgar suas demonstrações financeiras, acompanhadas de notas explicativas e parecer dos auditores independentes, dentro de 3 (três) meses contados do encerramento do exercício social; (v.5) observar as disposições da Resolução da CVM nº 44, de 23 de agosto de 2021 (“</w:t>
      </w:r>
      <w:r>
        <w:rPr>
          <w:rFonts w:ascii="Arial" w:hAnsi="Arial" w:cs="Arial"/>
          <w:color w:val="000000"/>
          <w:sz w:val="22"/>
          <w:szCs w:val="22"/>
          <w:u w:val="single"/>
        </w:rPr>
        <w:t>Resolução CVM 44</w:t>
      </w:r>
      <w:r>
        <w:rPr>
          <w:rFonts w:ascii="Arial" w:hAnsi="Arial" w:cs="Arial"/>
          <w:color w:val="000000"/>
          <w:sz w:val="22"/>
          <w:szCs w:val="22"/>
        </w:rPr>
        <w:t>”), no tocante a dever de sigilo e vedações à negociação; (v.6) divulgar a ocorrência de fato relevante, conforme definido pelo artigo 2º da Resolução CVM 44; (v.7) fornecer as informações solicitadas pela CVM; (v.8) divulgar em sua página na rede mundial de computadores o relatório anual e demais comunicações enviadas pelo Agente Fiduciário na mesma data do seu recebimento, observado ainda o disposto no subitem (v.4) acima; e (v.9) observar as disposições da regulamentação específica editada pela CVM, caso seja convocada, para realização de modo parcial ou exclusivamente digital, Assembleia Geral de Debenturistas. Os documentos previstos nos itens (v.3), (v.4) e (v.6) acima, bem como as informações decorrentes das Assembleias Gerais de Debenturistas realizadas na forma do item (v.9) acima, deverão ser disponibilizados (1) por um período de 3 (três) anos na página da Emissora na rede mundial de computadores, e (2) em sistema disponibilizado pela B3:</w:t>
      </w:r>
    </w:p>
    <w:p w14:paraId="6B1649ED" w14:textId="77777777" w:rsidR="00FC10E9" w:rsidRDefault="00FC10E9">
      <w:pPr>
        <w:tabs>
          <w:tab w:val="left" w:pos="709"/>
        </w:tabs>
        <w:spacing w:line="300" w:lineRule="atLeast"/>
        <w:jc w:val="both"/>
        <w:rPr>
          <w:rFonts w:ascii="Arial" w:hAnsi="Arial" w:cs="Arial"/>
          <w:color w:val="000000"/>
          <w:sz w:val="22"/>
          <w:szCs w:val="22"/>
          <w:highlight w:val="green"/>
        </w:rPr>
      </w:pPr>
    </w:p>
    <w:p w14:paraId="511F0B8C" w14:textId="77777777" w:rsidR="00FC10E9" w:rsidRDefault="00B10E1A">
      <w:pPr>
        <w:numPr>
          <w:ilvl w:val="2"/>
          <w:numId w:val="3"/>
        </w:numPr>
        <w:tabs>
          <w:tab w:val="clear" w:pos="2340"/>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 xml:space="preserve">contratar e manter contratada, às suas expensas, durante o prazo de vigência das Debêntures, a Agência de Classificação de Risco para atribuir classificação de risco às Debêntures, pelo menos anualmente, uma vez a cada ano calendário, observado que, caso a agência de classificação de risco contratada cesse suas atividades no Brasil ou, por qualquer motivo, esteja ou seja impedida de emitir a classificação de risco das Debêntures, a Emissora deverá: contratar outra agência de classificação de risco sem necessidade de aprovação dos Debenturistas, bastando notificar o Agente Fiduciário, desde que tal agência de classificação de risco seja a Standard &amp; </w:t>
      </w:r>
      <w:proofErr w:type="spellStart"/>
      <w:r>
        <w:rPr>
          <w:rFonts w:ascii="Arial" w:hAnsi="Arial" w:cs="Arial"/>
          <w:color w:val="000000"/>
          <w:sz w:val="22"/>
          <w:szCs w:val="22"/>
        </w:rPr>
        <w:t>Poor’s</w:t>
      </w:r>
      <w:proofErr w:type="spellEnd"/>
      <w:r>
        <w:rPr>
          <w:rFonts w:ascii="Arial" w:hAnsi="Arial" w:cs="Arial"/>
          <w:color w:val="000000"/>
          <w:sz w:val="22"/>
          <w:szCs w:val="22"/>
        </w:rPr>
        <w:t xml:space="preserve"> ou a Moody’s, ou mediante contratação de agência de classificação de risco que não as mencionadas anteriormente, conforme venha a ser previamente aprovada pelos Debenturistas, em sede de Assembleia Geral de Debenturistas, a ser realizada nos termos desta Escritura e permitir que a agência de classificação de risco contratada divulgue amplamente ao mercado os relatórios com as súmulas das classificações de risco.</w:t>
      </w:r>
    </w:p>
    <w:p w14:paraId="2F0ADCD7" w14:textId="77777777" w:rsidR="00FC10E9" w:rsidRDefault="00FC10E9">
      <w:pPr>
        <w:tabs>
          <w:tab w:val="left" w:pos="2366"/>
        </w:tabs>
        <w:spacing w:line="300" w:lineRule="atLeast"/>
        <w:jc w:val="both"/>
        <w:rPr>
          <w:rFonts w:ascii="Arial" w:hAnsi="Arial" w:cs="Arial"/>
          <w:color w:val="000000"/>
          <w:sz w:val="22"/>
          <w:szCs w:val="22"/>
        </w:rPr>
      </w:pPr>
    </w:p>
    <w:p w14:paraId="4EC6FBEC" w14:textId="77777777" w:rsidR="00FC10E9" w:rsidRDefault="00B10E1A">
      <w:pPr>
        <w:pStyle w:val="SCBFTtulo1"/>
        <w:spacing w:line="300" w:lineRule="atLeast"/>
        <w:rPr>
          <w:rFonts w:ascii="Arial" w:hAnsi="Arial" w:cs="Arial"/>
          <w:color w:val="000000"/>
        </w:rPr>
      </w:pPr>
      <w:bookmarkStart w:id="19" w:name="_Toc510004479"/>
      <w:r>
        <w:rPr>
          <w:rFonts w:ascii="Arial" w:hAnsi="Arial" w:cs="Arial"/>
          <w:color w:val="000000"/>
        </w:rPr>
        <w:t xml:space="preserve">CLÁUSULA IX </w:t>
      </w:r>
      <w:r>
        <w:rPr>
          <w:rFonts w:ascii="Arial" w:hAnsi="Arial" w:cs="Arial"/>
          <w:color w:val="000000"/>
        </w:rPr>
        <w:br/>
        <w:t>AGENTE FIDUCIÁRIO</w:t>
      </w:r>
      <w:bookmarkEnd w:id="19"/>
    </w:p>
    <w:p w14:paraId="42BB6214" w14:textId="77777777" w:rsidR="00FC10E9" w:rsidRDefault="00FC10E9">
      <w:pPr>
        <w:keepNext/>
        <w:keepLines/>
        <w:tabs>
          <w:tab w:val="left" w:pos="2366"/>
        </w:tabs>
        <w:spacing w:line="300" w:lineRule="atLeast"/>
        <w:jc w:val="both"/>
        <w:rPr>
          <w:rFonts w:ascii="Arial" w:hAnsi="Arial" w:cs="Arial"/>
          <w:color w:val="000000"/>
          <w:sz w:val="22"/>
          <w:szCs w:val="22"/>
        </w:rPr>
      </w:pPr>
    </w:p>
    <w:p w14:paraId="29AE6ED6"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9.1.</w:t>
      </w:r>
      <w:r>
        <w:rPr>
          <w:rFonts w:ascii="Arial" w:hAnsi="Arial" w:cs="Arial"/>
          <w:b/>
          <w:color w:val="000000"/>
          <w:sz w:val="22"/>
          <w:szCs w:val="22"/>
        </w:rPr>
        <w:tab/>
        <w:t>Nomeação</w:t>
      </w:r>
    </w:p>
    <w:p w14:paraId="23DECBDB"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53F484E"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color w:val="000000"/>
          <w:sz w:val="22"/>
          <w:szCs w:val="22"/>
        </w:rPr>
        <w:t xml:space="preserve">9.1.1. A Emissora constitui e nomeia como Agente Fiduciário dos Debenturistas desta Emissão a Oliveira Trust Distribuidora de Títulos e Valores Mobiliários S.A., acima qualificada, a qual, neste ato </w:t>
      </w:r>
      <w:r>
        <w:rPr>
          <w:rFonts w:ascii="Arial" w:hAnsi="Arial" w:cs="Arial"/>
          <w:color w:val="000000"/>
          <w:w w:val="0"/>
          <w:sz w:val="22"/>
          <w:szCs w:val="22"/>
        </w:rPr>
        <w:t>e pela melhor forma de direito</w:t>
      </w:r>
      <w:r>
        <w:rPr>
          <w:rFonts w:ascii="Arial" w:hAnsi="Arial" w:cs="Arial"/>
          <w:color w:val="000000"/>
          <w:sz w:val="22"/>
          <w:szCs w:val="22"/>
        </w:rPr>
        <w:t xml:space="preserve">, aceita a nomeação para, nos termos da lei e desta Escritura, representar perante a Emissora a comunhão dos Debenturistas. </w:t>
      </w:r>
    </w:p>
    <w:p w14:paraId="57C5B792"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72030B5" w14:textId="77777777" w:rsidR="00FC10E9" w:rsidRDefault="00B10E1A">
      <w:pPr>
        <w:pStyle w:val="sub"/>
        <w:keepNext/>
        <w:widowControl/>
        <w:tabs>
          <w:tab w:val="clear" w:pos="1440"/>
          <w:tab w:val="clear" w:pos="2880"/>
          <w:tab w:val="clear" w:pos="4320"/>
          <w:tab w:val="left" w:pos="720"/>
          <w:tab w:val="left" w:pos="2366"/>
        </w:tabs>
        <w:spacing w:before="0" w:after="0" w:line="300" w:lineRule="atLeast"/>
        <w:rPr>
          <w:rFonts w:ascii="Arial" w:hAnsi="Arial" w:cs="Arial"/>
          <w:b/>
          <w:color w:val="000000"/>
          <w:w w:val="0"/>
        </w:rPr>
      </w:pPr>
      <w:r>
        <w:rPr>
          <w:rFonts w:ascii="Arial" w:hAnsi="Arial" w:cs="Arial"/>
          <w:b/>
          <w:color w:val="000000"/>
          <w:w w:val="0"/>
        </w:rPr>
        <w:t>9.2.</w:t>
      </w:r>
      <w:r>
        <w:rPr>
          <w:rFonts w:ascii="Arial" w:hAnsi="Arial" w:cs="Arial"/>
          <w:b/>
          <w:color w:val="000000"/>
          <w:w w:val="0"/>
        </w:rPr>
        <w:tab/>
        <w:t>Declaração</w:t>
      </w:r>
    </w:p>
    <w:p w14:paraId="08F97356" w14:textId="77777777" w:rsidR="00FC10E9" w:rsidRDefault="00FC10E9">
      <w:pPr>
        <w:pStyle w:val="sub"/>
        <w:keepNext/>
        <w:widowControl/>
        <w:tabs>
          <w:tab w:val="clear" w:pos="0"/>
          <w:tab w:val="clear" w:pos="1440"/>
          <w:tab w:val="clear" w:pos="2880"/>
          <w:tab w:val="clear" w:pos="4320"/>
          <w:tab w:val="left" w:pos="720"/>
          <w:tab w:val="left" w:pos="2366"/>
        </w:tabs>
        <w:spacing w:before="0" w:after="0" w:line="300" w:lineRule="atLeast"/>
        <w:rPr>
          <w:rFonts w:ascii="Arial" w:hAnsi="Arial" w:cs="Arial"/>
          <w:color w:val="000000"/>
          <w:w w:val="0"/>
        </w:rPr>
      </w:pPr>
    </w:p>
    <w:p w14:paraId="64CA6D14" w14:textId="77777777" w:rsidR="00FC10E9" w:rsidRDefault="00B10E1A">
      <w:pPr>
        <w:tabs>
          <w:tab w:val="left" w:pos="720"/>
          <w:tab w:val="left" w:pos="2366"/>
        </w:tabs>
        <w:spacing w:line="300" w:lineRule="atLeast"/>
        <w:jc w:val="both"/>
        <w:rPr>
          <w:rFonts w:ascii="Arial" w:hAnsi="Arial" w:cs="Arial"/>
          <w:color w:val="000000"/>
          <w:sz w:val="22"/>
          <w:szCs w:val="22"/>
        </w:rPr>
      </w:pPr>
      <w:bookmarkStart w:id="20" w:name="_DV_M303"/>
      <w:bookmarkStart w:id="21" w:name="_DV_M304"/>
      <w:bookmarkStart w:id="22" w:name="_DV_M305"/>
      <w:bookmarkStart w:id="23" w:name="_DV_M306"/>
      <w:bookmarkStart w:id="24" w:name="_DV_M307"/>
      <w:bookmarkStart w:id="25" w:name="_DV_M308"/>
      <w:bookmarkStart w:id="26" w:name="_DV_M309"/>
      <w:bookmarkStart w:id="27" w:name="_DV_M310"/>
      <w:bookmarkStart w:id="28" w:name="_DV_M313"/>
      <w:bookmarkStart w:id="29" w:name="_DV_M314"/>
      <w:bookmarkEnd w:id="20"/>
      <w:bookmarkEnd w:id="21"/>
      <w:bookmarkEnd w:id="22"/>
      <w:bookmarkEnd w:id="23"/>
      <w:bookmarkEnd w:id="24"/>
      <w:bookmarkEnd w:id="25"/>
      <w:bookmarkEnd w:id="26"/>
      <w:bookmarkEnd w:id="27"/>
      <w:bookmarkEnd w:id="28"/>
      <w:bookmarkEnd w:id="29"/>
      <w:r>
        <w:rPr>
          <w:rFonts w:ascii="Arial" w:hAnsi="Arial" w:cs="Arial"/>
          <w:color w:val="000000"/>
          <w:sz w:val="22"/>
          <w:szCs w:val="22"/>
        </w:rPr>
        <w:t>9.2.1.</w:t>
      </w:r>
      <w:r>
        <w:rPr>
          <w:rFonts w:ascii="Arial" w:hAnsi="Arial" w:cs="Arial"/>
          <w:color w:val="000000"/>
          <w:sz w:val="22"/>
          <w:szCs w:val="22"/>
        </w:rPr>
        <w:tab/>
        <w:t xml:space="preserve">O Agente Fiduciário declara, neste ato, sob as penas da lei: </w:t>
      </w:r>
    </w:p>
    <w:p w14:paraId="44C77301"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293C5EE" w14:textId="77777777" w:rsidR="00FC10E9" w:rsidRDefault="00B10E1A">
      <w:pPr>
        <w:tabs>
          <w:tab w:val="left" w:pos="72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(a)</w:t>
      </w:r>
      <w:r>
        <w:rPr>
          <w:rFonts w:ascii="Arial" w:hAnsi="Arial" w:cs="Arial"/>
          <w:color w:val="000000"/>
          <w:sz w:val="22"/>
          <w:szCs w:val="22"/>
        </w:rPr>
        <w:tab/>
      </w:r>
      <w:r>
        <w:rPr>
          <w:rFonts w:ascii="Arial" w:hAnsi="Arial" w:cs="Arial"/>
          <w:color w:val="000000"/>
          <w:w w:val="0"/>
          <w:sz w:val="22"/>
          <w:szCs w:val="22"/>
        </w:rPr>
        <w:t xml:space="preserve">não ter nenhum impedimento legal, conforme parágrafo 3º do artigo 66 da Lei das Sociedades por Ações e o artigo 6º da </w:t>
      </w:r>
      <w:r>
        <w:rPr>
          <w:rFonts w:ascii="Arial" w:hAnsi="Arial" w:cs="Arial"/>
          <w:color w:val="000000"/>
          <w:sz w:val="22"/>
          <w:szCs w:val="22"/>
        </w:rPr>
        <w:t xml:space="preserve">Resolução CVM 17 </w:t>
      </w:r>
      <w:r>
        <w:rPr>
          <w:rFonts w:ascii="Arial" w:hAnsi="Arial" w:cs="Arial"/>
          <w:color w:val="000000"/>
          <w:w w:val="0"/>
          <w:sz w:val="22"/>
          <w:szCs w:val="22"/>
        </w:rPr>
        <w:t>para exercer a função que lhe é conferida</w:t>
      </w:r>
      <w:r>
        <w:rPr>
          <w:rFonts w:ascii="Arial" w:hAnsi="Arial" w:cs="Arial"/>
          <w:color w:val="000000"/>
          <w:sz w:val="22"/>
          <w:szCs w:val="22"/>
        </w:rPr>
        <w:t>;</w:t>
      </w:r>
    </w:p>
    <w:p w14:paraId="6A1D09C2" w14:textId="77777777" w:rsidR="00FC10E9" w:rsidRDefault="00FC10E9">
      <w:pPr>
        <w:tabs>
          <w:tab w:val="left" w:pos="720"/>
          <w:tab w:val="left" w:pos="2366"/>
        </w:tabs>
        <w:spacing w:line="300" w:lineRule="atLeast"/>
        <w:ind w:left="709" w:hanging="709"/>
        <w:jc w:val="both"/>
        <w:rPr>
          <w:rFonts w:ascii="Arial" w:hAnsi="Arial" w:cs="Arial"/>
          <w:color w:val="000000"/>
          <w:sz w:val="22"/>
          <w:szCs w:val="22"/>
        </w:rPr>
      </w:pPr>
    </w:p>
    <w:p w14:paraId="770C508F" w14:textId="77777777" w:rsidR="00FC10E9" w:rsidRDefault="00B10E1A">
      <w:pPr>
        <w:tabs>
          <w:tab w:val="left" w:pos="720"/>
          <w:tab w:val="left" w:pos="2366"/>
        </w:tabs>
        <w:spacing w:line="300" w:lineRule="atLeast"/>
        <w:ind w:left="709" w:hanging="709"/>
        <w:jc w:val="both"/>
        <w:rPr>
          <w:rFonts w:ascii="Arial" w:hAnsi="Arial" w:cs="Arial"/>
          <w:color w:val="000000"/>
          <w:sz w:val="22"/>
          <w:szCs w:val="22"/>
        </w:rPr>
      </w:pPr>
      <w:r>
        <w:rPr>
          <w:rFonts w:ascii="Arial" w:hAnsi="Arial" w:cs="Arial"/>
          <w:color w:val="000000"/>
          <w:sz w:val="22"/>
          <w:szCs w:val="22"/>
        </w:rPr>
        <w:t>(b)</w:t>
      </w:r>
      <w:r>
        <w:rPr>
          <w:rFonts w:ascii="Arial" w:hAnsi="Arial" w:cs="Arial"/>
          <w:color w:val="000000"/>
          <w:sz w:val="22"/>
          <w:szCs w:val="22"/>
        </w:rPr>
        <w:tab/>
        <w:t xml:space="preserve">que verificou a consistência das informações contidas </w:t>
      </w:r>
      <w:proofErr w:type="spellStart"/>
      <w:r>
        <w:rPr>
          <w:rFonts w:ascii="Arial" w:hAnsi="Arial" w:cs="Arial"/>
          <w:color w:val="000000"/>
          <w:sz w:val="22"/>
          <w:szCs w:val="22"/>
        </w:rPr>
        <w:t>nesta</w:t>
      </w:r>
      <w:proofErr w:type="spellEnd"/>
      <w:r>
        <w:rPr>
          <w:rFonts w:ascii="Arial" w:hAnsi="Arial" w:cs="Arial"/>
          <w:color w:val="000000"/>
          <w:sz w:val="22"/>
          <w:szCs w:val="22"/>
        </w:rPr>
        <w:t xml:space="preserve"> Escritura, tendo diligenciado para que fossem sanadas as omissões, falhas, ou defeitos de que tenha tido conhecimento;</w:t>
      </w:r>
    </w:p>
    <w:p w14:paraId="2E7B6C2C" w14:textId="77777777" w:rsidR="00FC10E9" w:rsidRDefault="00FC10E9">
      <w:pPr>
        <w:tabs>
          <w:tab w:val="left" w:pos="720"/>
          <w:tab w:val="left" w:pos="2366"/>
        </w:tabs>
        <w:spacing w:line="300" w:lineRule="atLeast"/>
        <w:ind w:left="709" w:hanging="709"/>
        <w:jc w:val="both"/>
        <w:rPr>
          <w:rFonts w:ascii="Arial" w:hAnsi="Arial" w:cs="Arial"/>
          <w:color w:val="000000"/>
          <w:sz w:val="22"/>
          <w:szCs w:val="22"/>
        </w:rPr>
      </w:pPr>
    </w:p>
    <w:p w14:paraId="4FF18EF4"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t>(c)</w:t>
      </w:r>
      <w:r>
        <w:rPr>
          <w:rFonts w:ascii="Arial" w:hAnsi="Arial" w:cs="Arial"/>
          <w:color w:val="000000"/>
          <w:w w:val="0"/>
          <w:sz w:val="22"/>
          <w:szCs w:val="22"/>
        </w:rPr>
        <w:tab/>
        <w:t>aceitar a função que lhe é conferida, assumindo integralmente os deveres e atribuições previstos na legislação específica e nesta Escritura;</w:t>
      </w:r>
    </w:p>
    <w:p w14:paraId="0105FE9C" w14:textId="77777777" w:rsidR="00FC10E9" w:rsidRDefault="00FC10E9">
      <w:pPr>
        <w:tabs>
          <w:tab w:val="left" w:pos="0"/>
          <w:tab w:val="left" w:pos="720"/>
          <w:tab w:val="left" w:pos="2366"/>
        </w:tabs>
        <w:spacing w:line="300" w:lineRule="atLeast"/>
        <w:ind w:left="709" w:hanging="709"/>
        <w:jc w:val="both"/>
        <w:rPr>
          <w:rFonts w:ascii="Arial" w:hAnsi="Arial" w:cs="Arial"/>
          <w:color w:val="000000"/>
          <w:w w:val="0"/>
          <w:sz w:val="22"/>
          <w:szCs w:val="22"/>
        </w:rPr>
      </w:pPr>
    </w:p>
    <w:p w14:paraId="5E056396"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t>(d)</w:t>
      </w:r>
      <w:r>
        <w:rPr>
          <w:rFonts w:ascii="Arial" w:hAnsi="Arial" w:cs="Arial"/>
          <w:color w:val="000000"/>
          <w:w w:val="0"/>
          <w:sz w:val="22"/>
          <w:szCs w:val="22"/>
        </w:rPr>
        <w:tab/>
        <w:t>aceitar integralmente a presente Escritura, todas as suas cláusulas e condições;</w:t>
      </w:r>
    </w:p>
    <w:p w14:paraId="0FCA6530" w14:textId="77777777" w:rsidR="00FC10E9" w:rsidRDefault="00FC10E9">
      <w:pPr>
        <w:tabs>
          <w:tab w:val="left" w:pos="0"/>
          <w:tab w:val="left" w:pos="720"/>
          <w:tab w:val="left" w:pos="2366"/>
        </w:tabs>
        <w:spacing w:line="300" w:lineRule="atLeast"/>
        <w:ind w:left="709" w:hanging="709"/>
        <w:jc w:val="both"/>
        <w:rPr>
          <w:rFonts w:ascii="Arial" w:hAnsi="Arial" w:cs="Arial"/>
          <w:color w:val="000000"/>
          <w:w w:val="0"/>
          <w:sz w:val="22"/>
          <w:szCs w:val="22"/>
        </w:rPr>
      </w:pPr>
    </w:p>
    <w:p w14:paraId="62988C65"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t>(e)</w:t>
      </w:r>
      <w:r>
        <w:rPr>
          <w:rFonts w:ascii="Arial" w:hAnsi="Arial" w:cs="Arial"/>
          <w:color w:val="000000"/>
          <w:w w:val="0"/>
          <w:sz w:val="22"/>
          <w:szCs w:val="22"/>
        </w:rPr>
        <w:tab/>
        <w:t>não ter nenhuma ligação com a Emissora que o impeça de exercer suas funções;</w:t>
      </w:r>
    </w:p>
    <w:p w14:paraId="114EF41B" w14:textId="77777777" w:rsidR="00FC10E9" w:rsidRDefault="00FC10E9">
      <w:pPr>
        <w:tabs>
          <w:tab w:val="left" w:pos="0"/>
          <w:tab w:val="left" w:pos="720"/>
          <w:tab w:val="left" w:pos="2366"/>
        </w:tabs>
        <w:spacing w:line="300" w:lineRule="atLeast"/>
        <w:ind w:left="709" w:hanging="709"/>
        <w:jc w:val="both"/>
        <w:rPr>
          <w:rFonts w:ascii="Arial" w:hAnsi="Arial" w:cs="Arial"/>
          <w:color w:val="000000"/>
          <w:w w:val="0"/>
          <w:sz w:val="22"/>
          <w:szCs w:val="22"/>
        </w:rPr>
      </w:pPr>
    </w:p>
    <w:p w14:paraId="1CF77B7D"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t>(f)</w:t>
      </w:r>
      <w:r>
        <w:rPr>
          <w:rFonts w:ascii="Arial" w:hAnsi="Arial" w:cs="Arial"/>
          <w:color w:val="000000"/>
          <w:w w:val="0"/>
          <w:sz w:val="22"/>
          <w:szCs w:val="22"/>
        </w:rPr>
        <w:tab/>
        <w:t>estar ciente da Circular do Banco Central do Brasil nº 1.832, de 31 de outubro de 1990;</w:t>
      </w:r>
    </w:p>
    <w:p w14:paraId="5D492F6B" w14:textId="77777777" w:rsidR="00FC10E9" w:rsidRDefault="00FC10E9">
      <w:pPr>
        <w:tabs>
          <w:tab w:val="left" w:pos="0"/>
          <w:tab w:val="left" w:pos="720"/>
          <w:tab w:val="left" w:pos="2366"/>
        </w:tabs>
        <w:spacing w:line="300" w:lineRule="atLeast"/>
        <w:ind w:left="709" w:hanging="709"/>
        <w:jc w:val="both"/>
        <w:rPr>
          <w:rFonts w:ascii="Arial" w:hAnsi="Arial" w:cs="Arial"/>
          <w:color w:val="000000"/>
          <w:w w:val="0"/>
          <w:sz w:val="22"/>
          <w:szCs w:val="22"/>
        </w:rPr>
      </w:pPr>
    </w:p>
    <w:p w14:paraId="5BAD00E0"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t>(g)</w:t>
      </w:r>
      <w:r>
        <w:rPr>
          <w:rFonts w:ascii="Arial" w:hAnsi="Arial" w:cs="Arial"/>
          <w:color w:val="000000"/>
          <w:w w:val="0"/>
          <w:sz w:val="22"/>
          <w:szCs w:val="22"/>
        </w:rPr>
        <w:tab/>
        <w:t>estar devidamente autorizado a celebrar esta Escritura e a cumprir com suas obrigações aqui previstas, tendo sido satisfeitos todos os requisitos legais e estatutários necessários para tanto;</w:t>
      </w:r>
    </w:p>
    <w:p w14:paraId="17076586" w14:textId="77777777" w:rsidR="00FC10E9" w:rsidRDefault="00FC10E9">
      <w:pPr>
        <w:tabs>
          <w:tab w:val="left" w:pos="0"/>
          <w:tab w:val="left" w:pos="720"/>
          <w:tab w:val="left" w:pos="2366"/>
        </w:tabs>
        <w:spacing w:line="300" w:lineRule="atLeast"/>
        <w:ind w:left="709" w:hanging="709"/>
        <w:jc w:val="both"/>
        <w:rPr>
          <w:rFonts w:ascii="Arial" w:hAnsi="Arial" w:cs="Arial"/>
          <w:color w:val="000000"/>
          <w:w w:val="0"/>
          <w:sz w:val="22"/>
          <w:szCs w:val="22"/>
        </w:rPr>
      </w:pPr>
    </w:p>
    <w:p w14:paraId="11CE787C"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bookmarkStart w:id="30" w:name="_DV_X471"/>
      <w:bookmarkStart w:id="31" w:name="_DV_C422"/>
      <w:r>
        <w:rPr>
          <w:rFonts w:ascii="Arial" w:hAnsi="Arial" w:cs="Arial"/>
          <w:color w:val="000000"/>
          <w:sz w:val="22"/>
          <w:szCs w:val="22"/>
        </w:rPr>
        <w:t>(h)</w:t>
      </w:r>
      <w:r>
        <w:rPr>
          <w:rFonts w:ascii="Arial" w:hAnsi="Arial" w:cs="Arial"/>
          <w:color w:val="000000"/>
          <w:sz w:val="22"/>
          <w:szCs w:val="22"/>
        </w:rPr>
        <w:tab/>
        <w:t>não se encontrar em nenhuma das situações de conflito de interesse previstas no artigo 6º da Resolução CVM 17;</w:t>
      </w:r>
      <w:bookmarkEnd w:id="30"/>
      <w:bookmarkEnd w:id="31"/>
      <w:r>
        <w:rPr>
          <w:rFonts w:ascii="Arial" w:hAnsi="Arial" w:cs="Arial"/>
          <w:color w:val="000000"/>
          <w:sz w:val="22"/>
          <w:szCs w:val="22"/>
        </w:rPr>
        <w:t xml:space="preserve"> </w:t>
      </w:r>
    </w:p>
    <w:p w14:paraId="38F0E65E" w14:textId="77777777" w:rsidR="00FC10E9" w:rsidRDefault="00FC10E9">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p>
    <w:p w14:paraId="0CC27C44"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bookmarkStart w:id="32" w:name="_DV_C423"/>
      <w:r>
        <w:rPr>
          <w:rFonts w:ascii="Arial" w:hAnsi="Arial" w:cs="Arial"/>
          <w:color w:val="000000"/>
          <w:sz w:val="22"/>
          <w:szCs w:val="22"/>
        </w:rPr>
        <w:t>(i)</w:t>
      </w:r>
      <w:r>
        <w:rPr>
          <w:rFonts w:ascii="Arial" w:hAnsi="Arial" w:cs="Arial"/>
          <w:color w:val="000000"/>
          <w:sz w:val="22"/>
          <w:szCs w:val="22"/>
        </w:rPr>
        <w:tab/>
        <w:t>estar devidamente qualificado a exercer as atividades de agente fiduciário, nos termos da regulamentação aplicável vigente;</w:t>
      </w:r>
      <w:bookmarkEnd w:id="32"/>
      <w:r>
        <w:rPr>
          <w:rFonts w:ascii="Arial" w:hAnsi="Arial" w:cs="Arial"/>
          <w:color w:val="000000"/>
          <w:sz w:val="22"/>
          <w:szCs w:val="22"/>
        </w:rPr>
        <w:t xml:space="preserve"> </w:t>
      </w:r>
    </w:p>
    <w:p w14:paraId="1C26078F" w14:textId="77777777" w:rsidR="00FC10E9" w:rsidRDefault="00FC10E9">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p>
    <w:p w14:paraId="79FCBE08"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sz w:val="22"/>
          <w:szCs w:val="22"/>
        </w:rPr>
      </w:pPr>
      <w:bookmarkStart w:id="33" w:name="_DV_C424"/>
      <w:r>
        <w:rPr>
          <w:rFonts w:ascii="Arial" w:hAnsi="Arial" w:cs="Arial"/>
          <w:color w:val="000000"/>
          <w:sz w:val="22"/>
          <w:szCs w:val="22"/>
        </w:rPr>
        <w:t>(j)</w:t>
      </w:r>
      <w:r>
        <w:rPr>
          <w:rFonts w:ascii="Arial" w:hAnsi="Arial" w:cs="Arial"/>
          <w:color w:val="000000"/>
          <w:sz w:val="22"/>
          <w:szCs w:val="22"/>
        </w:rPr>
        <w:tab/>
        <w:t xml:space="preserve">que </w:t>
      </w:r>
      <w:bookmarkStart w:id="34" w:name="_DV_X465"/>
      <w:bookmarkStart w:id="35" w:name="_DV_C425"/>
      <w:bookmarkEnd w:id="33"/>
      <w:r>
        <w:rPr>
          <w:rFonts w:ascii="Arial" w:hAnsi="Arial" w:cs="Arial"/>
          <w:color w:val="000000"/>
          <w:sz w:val="22"/>
          <w:szCs w:val="22"/>
        </w:rPr>
        <w:t>esta Escritura constitui uma obrigação legal, válida</w:t>
      </w:r>
      <w:bookmarkStart w:id="36" w:name="_DV_C426"/>
      <w:bookmarkEnd w:id="34"/>
      <w:bookmarkEnd w:id="35"/>
      <w:r>
        <w:rPr>
          <w:rFonts w:ascii="Arial" w:hAnsi="Arial" w:cs="Arial"/>
          <w:color w:val="000000"/>
          <w:sz w:val="22"/>
          <w:szCs w:val="22"/>
        </w:rPr>
        <w:t>, vinculativa e eficaz</w:t>
      </w:r>
      <w:bookmarkStart w:id="37" w:name="_DV_X467"/>
      <w:bookmarkStart w:id="38" w:name="_DV_C427"/>
      <w:bookmarkEnd w:id="36"/>
      <w:r>
        <w:rPr>
          <w:rFonts w:ascii="Arial" w:hAnsi="Arial" w:cs="Arial"/>
          <w:color w:val="000000"/>
          <w:sz w:val="22"/>
          <w:szCs w:val="22"/>
        </w:rPr>
        <w:t xml:space="preserve"> do Agente Fiduciário, exequível de acordo com os seus termos e condições;</w:t>
      </w:r>
      <w:bookmarkEnd w:id="37"/>
      <w:bookmarkEnd w:id="38"/>
      <w:r>
        <w:rPr>
          <w:rFonts w:ascii="Arial" w:hAnsi="Arial" w:cs="Arial"/>
          <w:color w:val="000000"/>
          <w:sz w:val="22"/>
          <w:szCs w:val="22"/>
        </w:rPr>
        <w:t xml:space="preserve"> </w:t>
      </w:r>
    </w:p>
    <w:p w14:paraId="701324E0" w14:textId="77777777" w:rsidR="00FC10E9" w:rsidRDefault="00FC10E9">
      <w:pPr>
        <w:tabs>
          <w:tab w:val="left" w:pos="0"/>
          <w:tab w:val="left" w:pos="720"/>
          <w:tab w:val="left" w:pos="2366"/>
        </w:tabs>
        <w:autoSpaceDE w:val="0"/>
        <w:autoSpaceDN w:val="0"/>
        <w:adjustRightInd w:val="0"/>
        <w:spacing w:line="300" w:lineRule="atLeast"/>
        <w:jc w:val="both"/>
        <w:rPr>
          <w:rFonts w:ascii="Arial" w:hAnsi="Arial" w:cs="Arial"/>
          <w:color w:val="000000"/>
          <w:w w:val="0"/>
          <w:sz w:val="22"/>
          <w:szCs w:val="22"/>
        </w:rPr>
      </w:pPr>
    </w:p>
    <w:p w14:paraId="297A9BD7"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r>
        <w:rPr>
          <w:rFonts w:ascii="Arial" w:hAnsi="Arial" w:cs="Arial"/>
          <w:color w:val="000000"/>
          <w:w w:val="0"/>
          <w:sz w:val="22"/>
          <w:szCs w:val="22"/>
        </w:rPr>
        <w:lastRenderedPageBreak/>
        <w:t>(k)</w:t>
      </w:r>
      <w:r>
        <w:rPr>
          <w:rFonts w:ascii="Arial" w:hAnsi="Arial" w:cs="Arial"/>
          <w:color w:val="000000"/>
          <w:w w:val="0"/>
          <w:sz w:val="22"/>
          <w:szCs w:val="22"/>
        </w:rPr>
        <w:tab/>
        <w:t>que a celebração desta Escritura e o cumprimento de suas obrigações aqui previstas não infringem qualquer obrigação anteriormente assumida pelo Agente Fiduciário;</w:t>
      </w:r>
    </w:p>
    <w:p w14:paraId="5FB94153" w14:textId="77777777" w:rsidR="00FC10E9" w:rsidRDefault="00FC10E9">
      <w:pPr>
        <w:tabs>
          <w:tab w:val="left" w:pos="0"/>
          <w:tab w:val="left" w:pos="720"/>
          <w:tab w:val="left" w:pos="2366"/>
        </w:tabs>
        <w:autoSpaceDE w:val="0"/>
        <w:autoSpaceDN w:val="0"/>
        <w:adjustRightInd w:val="0"/>
        <w:spacing w:line="300" w:lineRule="atLeast"/>
        <w:ind w:left="709" w:hanging="709"/>
        <w:jc w:val="both"/>
        <w:rPr>
          <w:rFonts w:ascii="Arial" w:hAnsi="Arial" w:cs="Arial"/>
          <w:color w:val="000000"/>
          <w:w w:val="0"/>
          <w:sz w:val="22"/>
          <w:szCs w:val="22"/>
        </w:rPr>
      </w:pPr>
    </w:p>
    <w:p w14:paraId="610BEC29"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sz w:val="22"/>
          <w:szCs w:val="22"/>
        </w:rPr>
      </w:pPr>
      <w:r>
        <w:rPr>
          <w:rFonts w:ascii="Arial" w:hAnsi="Arial" w:cs="Arial"/>
          <w:color w:val="000000"/>
          <w:w w:val="0"/>
          <w:sz w:val="22"/>
          <w:szCs w:val="22"/>
        </w:rPr>
        <w:t>(l)</w:t>
      </w:r>
      <w:r>
        <w:rPr>
          <w:rFonts w:ascii="Arial" w:hAnsi="Arial" w:cs="Arial"/>
          <w:color w:val="000000"/>
          <w:w w:val="0"/>
          <w:sz w:val="22"/>
          <w:szCs w:val="22"/>
        </w:rPr>
        <w:tab/>
        <w:t>a pessoa que o representa na assinatura desta Escritura de Emissão tem poderes bastantes para tanto</w:t>
      </w:r>
      <w:r>
        <w:rPr>
          <w:rFonts w:ascii="Arial" w:hAnsi="Arial" w:cs="Arial"/>
          <w:sz w:val="22"/>
          <w:szCs w:val="22"/>
        </w:rPr>
        <w:t>;</w:t>
      </w:r>
    </w:p>
    <w:p w14:paraId="216FC706" w14:textId="77777777" w:rsidR="00FC10E9" w:rsidRDefault="00FC10E9">
      <w:pPr>
        <w:tabs>
          <w:tab w:val="left" w:pos="0"/>
          <w:tab w:val="left" w:pos="720"/>
          <w:tab w:val="left" w:pos="2366"/>
        </w:tabs>
        <w:autoSpaceDE w:val="0"/>
        <w:autoSpaceDN w:val="0"/>
        <w:adjustRightInd w:val="0"/>
        <w:spacing w:line="300" w:lineRule="atLeast"/>
        <w:ind w:left="709" w:hanging="709"/>
        <w:jc w:val="both"/>
        <w:rPr>
          <w:rFonts w:ascii="Arial" w:hAnsi="Arial" w:cs="Arial"/>
          <w:sz w:val="22"/>
          <w:szCs w:val="22"/>
        </w:rPr>
      </w:pPr>
    </w:p>
    <w:p w14:paraId="5832FAC2"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sz w:val="22"/>
          <w:szCs w:val="22"/>
        </w:rPr>
      </w:pPr>
      <w:r>
        <w:rPr>
          <w:rFonts w:ascii="Arial" w:hAnsi="Arial" w:cs="Arial"/>
          <w:sz w:val="22"/>
          <w:szCs w:val="22"/>
        </w:rPr>
        <w:t>(m)</w:t>
      </w:r>
      <w:r>
        <w:rPr>
          <w:rFonts w:ascii="Arial" w:hAnsi="Arial" w:cs="Arial"/>
          <w:sz w:val="22"/>
          <w:szCs w:val="22"/>
        </w:rPr>
        <w:tab/>
        <w:t xml:space="preserve">que, com base nas informações emitidas junto à Emissora, identificou que não exerce a função de agente fiduciário em emissões do grupo econômico da Emissora:  </w:t>
      </w:r>
    </w:p>
    <w:p w14:paraId="36CACC8E" w14:textId="77777777" w:rsidR="00FC10E9" w:rsidRDefault="00FC10E9">
      <w:pPr>
        <w:tabs>
          <w:tab w:val="left" w:pos="0"/>
          <w:tab w:val="left" w:pos="720"/>
          <w:tab w:val="left" w:pos="2366"/>
        </w:tabs>
        <w:autoSpaceDE w:val="0"/>
        <w:autoSpaceDN w:val="0"/>
        <w:adjustRightInd w:val="0"/>
        <w:spacing w:line="300" w:lineRule="atLeast"/>
        <w:rPr>
          <w:rFonts w:ascii="Arial" w:hAnsi="Arial" w:cs="Arial"/>
          <w:b/>
          <w:color w:val="000000"/>
          <w:w w:val="0"/>
          <w:sz w:val="22"/>
          <w:szCs w:val="22"/>
        </w:rPr>
      </w:pPr>
    </w:p>
    <w:p w14:paraId="1D162287" w14:textId="77777777" w:rsidR="00FC10E9" w:rsidRDefault="00B10E1A">
      <w:pPr>
        <w:tabs>
          <w:tab w:val="left" w:pos="0"/>
          <w:tab w:val="left" w:pos="720"/>
          <w:tab w:val="left" w:pos="2366"/>
        </w:tabs>
        <w:autoSpaceDE w:val="0"/>
        <w:autoSpaceDN w:val="0"/>
        <w:adjustRightInd w:val="0"/>
        <w:spacing w:line="300" w:lineRule="atLeast"/>
        <w:ind w:left="709" w:hanging="709"/>
        <w:jc w:val="both"/>
        <w:rPr>
          <w:rFonts w:ascii="Arial" w:hAnsi="Arial" w:cs="Arial"/>
          <w:b/>
          <w:color w:val="000000"/>
          <w:w w:val="0"/>
          <w:sz w:val="22"/>
          <w:szCs w:val="22"/>
        </w:rPr>
      </w:pPr>
      <w:r>
        <w:rPr>
          <w:rFonts w:ascii="Arial" w:hAnsi="Arial" w:cs="Arial"/>
          <w:color w:val="000000"/>
          <w:w w:val="0"/>
          <w:sz w:val="22"/>
          <w:szCs w:val="22"/>
        </w:rPr>
        <w:t>(n)</w:t>
      </w:r>
      <w:r>
        <w:rPr>
          <w:rFonts w:ascii="Arial" w:hAnsi="Arial" w:cs="Arial"/>
          <w:color w:val="000000"/>
          <w:w w:val="0"/>
          <w:sz w:val="22"/>
          <w:szCs w:val="22"/>
        </w:rPr>
        <w:tab/>
      </w:r>
      <w:r>
        <w:rPr>
          <w:rFonts w:ascii="Arial" w:hAnsi="Arial" w:cs="Arial"/>
          <w:sz w:val="22"/>
          <w:szCs w:val="22"/>
        </w:rPr>
        <w:t>que assegurará tratamento equitativo a todos os investidores das emissões de valores mobiliários descritas na alínea “m” acima.</w:t>
      </w:r>
    </w:p>
    <w:p w14:paraId="75375EB2" w14:textId="77777777" w:rsidR="00FC10E9" w:rsidRDefault="00FC10E9">
      <w:pPr>
        <w:tabs>
          <w:tab w:val="num" w:pos="1276"/>
          <w:tab w:val="left" w:pos="2366"/>
        </w:tabs>
        <w:spacing w:line="300" w:lineRule="atLeast"/>
        <w:jc w:val="both"/>
        <w:rPr>
          <w:rFonts w:ascii="Arial" w:hAnsi="Arial" w:cs="Arial"/>
          <w:color w:val="000000"/>
          <w:sz w:val="22"/>
          <w:szCs w:val="22"/>
        </w:rPr>
      </w:pPr>
    </w:p>
    <w:p w14:paraId="6838C1B5"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9.3.</w:t>
      </w:r>
      <w:r>
        <w:rPr>
          <w:rFonts w:ascii="Arial" w:hAnsi="Arial" w:cs="Arial"/>
          <w:b/>
          <w:color w:val="000000"/>
          <w:sz w:val="22"/>
          <w:szCs w:val="22"/>
        </w:rPr>
        <w:tab/>
        <w:t>Remuneração do Agente Fiduciário</w:t>
      </w:r>
    </w:p>
    <w:p w14:paraId="646C1E15"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22CB09F6"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9.3.1.</w:t>
      </w:r>
      <w:r>
        <w:rPr>
          <w:rFonts w:ascii="Arial" w:hAnsi="Arial" w:cs="Arial"/>
          <w:color w:val="000000"/>
          <w:sz w:val="22"/>
          <w:szCs w:val="22"/>
        </w:rPr>
        <w:tab/>
        <w:t xml:space="preserve">Será devida pela Emissora ao Agente Fiduciário a título de honorários pelo desempenho dos deveres e atribuições que lhe competem, nos termos da legislação aplicável em vigor e desta Escritura, uma remuneração equivalente a parcelas anuais de R$ 14.000,00 (quatorze mil reais) sendo a primeira devida em até 5 (cinco) Dias Úteis após a data da assinatura desta Escritura e as demais parcelas nas mesmas datas dos anos subsequentes, até o vencimento das Debêntures ou enquanto o Agente Fiduciário representar os interesses dos Debenturistas. </w:t>
      </w:r>
    </w:p>
    <w:p w14:paraId="6249DF4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4707C0D8" w14:textId="77777777" w:rsidR="00FC10E9" w:rsidRDefault="00B10E1A">
      <w:pPr>
        <w:tabs>
          <w:tab w:val="left" w:pos="1560"/>
        </w:tabs>
        <w:spacing w:line="300" w:lineRule="atLeast"/>
        <w:ind w:firstLine="709"/>
        <w:jc w:val="both"/>
        <w:rPr>
          <w:rFonts w:ascii="Arial" w:hAnsi="Arial" w:cs="Arial"/>
          <w:color w:val="000000"/>
          <w:sz w:val="22"/>
          <w:szCs w:val="22"/>
        </w:rPr>
      </w:pPr>
      <w:r>
        <w:rPr>
          <w:rFonts w:ascii="Arial" w:hAnsi="Arial" w:cs="Arial"/>
          <w:color w:val="000000"/>
          <w:sz w:val="22"/>
          <w:szCs w:val="22"/>
        </w:rPr>
        <w:t>9.3.1.1.</w:t>
      </w:r>
      <w:r>
        <w:rPr>
          <w:rFonts w:ascii="Arial" w:hAnsi="Arial" w:cs="Arial"/>
          <w:color w:val="000000"/>
          <w:sz w:val="22"/>
          <w:szCs w:val="22"/>
        </w:rPr>
        <w:tab/>
        <w:t>A primeira parcela da remuneração do Agente Fiduciário será devida ainda que as Debêntures não sejam integralizadas, a título de estruturação e implantação da Emissão.</w:t>
      </w:r>
    </w:p>
    <w:p w14:paraId="0F7E09B2" w14:textId="77777777" w:rsidR="00FC10E9" w:rsidRDefault="00FC10E9">
      <w:pPr>
        <w:tabs>
          <w:tab w:val="left" w:pos="1560"/>
        </w:tabs>
        <w:spacing w:line="300" w:lineRule="atLeast"/>
        <w:ind w:firstLine="709"/>
        <w:jc w:val="both"/>
        <w:rPr>
          <w:rFonts w:ascii="Arial" w:hAnsi="Arial" w:cs="Arial"/>
          <w:color w:val="000000"/>
          <w:sz w:val="22"/>
          <w:szCs w:val="22"/>
        </w:rPr>
      </w:pPr>
    </w:p>
    <w:p w14:paraId="7146A25D" w14:textId="77777777" w:rsidR="00FC10E9" w:rsidRDefault="00B10E1A">
      <w:pPr>
        <w:tabs>
          <w:tab w:val="left" w:pos="1560"/>
        </w:tabs>
        <w:spacing w:line="300" w:lineRule="atLeast"/>
        <w:ind w:firstLine="709"/>
        <w:jc w:val="both"/>
        <w:rPr>
          <w:rFonts w:ascii="Arial" w:hAnsi="Arial" w:cs="Arial"/>
          <w:color w:val="000000"/>
          <w:sz w:val="22"/>
          <w:szCs w:val="22"/>
        </w:rPr>
      </w:pPr>
      <w:r>
        <w:rPr>
          <w:rFonts w:ascii="Arial" w:hAnsi="Arial" w:cs="Arial"/>
          <w:color w:val="000000"/>
          <w:sz w:val="22"/>
          <w:szCs w:val="22"/>
        </w:rPr>
        <w:t>9.3.1.2.</w:t>
      </w:r>
      <w:r>
        <w:rPr>
          <w:rFonts w:ascii="Arial" w:hAnsi="Arial" w:cs="Arial"/>
          <w:color w:val="000000"/>
          <w:sz w:val="22"/>
          <w:szCs w:val="22"/>
        </w:rPr>
        <w:tab/>
        <w:t>O Agente Fiduciário deverá, com exceção do primeiro pagamento, enviar aviso de cobrança da remuneração à Emissora com antecedência mínima de 10 (dez) dias corridos da data de cada pagamento, sendo que se a Emissora não receber referido aviso dentro do prazo acima, os pagamentos eventualmente efetuados com atraso, em razão do não recebimento, pela Emissora, de referido aviso, não estarão sujeitos a multas ou penalidades até a data do efetivo recebimento até o período de 10 (dez) dias após o recebimento da cobrança.</w:t>
      </w:r>
    </w:p>
    <w:p w14:paraId="3DCFCC89" w14:textId="77777777" w:rsidR="00FC10E9" w:rsidRDefault="00FC10E9">
      <w:pPr>
        <w:tabs>
          <w:tab w:val="left" w:pos="1560"/>
        </w:tabs>
        <w:spacing w:line="300" w:lineRule="atLeast"/>
        <w:ind w:firstLine="709"/>
        <w:jc w:val="both"/>
        <w:rPr>
          <w:rFonts w:ascii="Arial" w:hAnsi="Arial" w:cs="Arial"/>
          <w:color w:val="000000"/>
          <w:sz w:val="22"/>
          <w:szCs w:val="22"/>
        </w:rPr>
      </w:pPr>
    </w:p>
    <w:p w14:paraId="67E67C42"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9.3.2.</w:t>
      </w:r>
      <w:r>
        <w:rPr>
          <w:rFonts w:ascii="Arial" w:hAnsi="Arial" w:cs="Arial"/>
          <w:color w:val="000000"/>
          <w:sz w:val="22"/>
          <w:szCs w:val="22"/>
        </w:rPr>
        <w:tab/>
        <w:t xml:space="preserve">A remuneração prevista na Cláusula 9.3.1 acima será devida mesmo após o vencimento final das Debêntures, caso o Agente Fiduciário ainda esteja exercendo atividades inerentes à sua função em relação à Emissão, remuneração essa que será calculada </w:t>
      </w:r>
      <w:r>
        <w:rPr>
          <w:rFonts w:ascii="Arial" w:hAnsi="Arial" w:cs="Arial"/>
          <w:i/>
          <w:color w:val="000000"/>
          <w:sz w:val="22"/>
          <w:szCs w:val="22"/>
        </w:rPr>
        <w:t>pro rata die</w:t>
      </w:r>
      <w:r>
        <w:rPr>
          <w:rFonts w:ascii="Arial" w:hAnsi="Arial" w:cs="Arial"/>
          <w:color w:val="000000"/>
          <w:sz w:val="22"/>
          <w:szCs w:val="22"/>
        </w:rPr>
        <w:t>.</w:t>
      </w:r>
    </w:p>
    <w:p w14:paraId="1039DDA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6F9E654"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9.3.3.</w:t>
      </w:r>
      <w:r>
        <w:rPr>
          <w:rFonts w:ascii="Arial" w:hAnsi="Arial" w:cs="Arial"/>
          <w:color w:val="000000"/>
          <w:sz w:val="22"/>
          <w:szCs w:val="22"/>
        </w:rPr>
        <w:tab/>
        <w:t xml:space="preserve">Na hipótese de ocorrer o cancelamento ou o resgate da totalidade das Debêntures em Circulação, o Agente Fiduciário fará jus somente à remuneração calculada </w:t>
      </w:r>
      <w:r>
        <w:rPr>
          <w:rFonts w:ascii="Arial" w:hAnsi="Arial" w:cs="Arial"/>
          <w:i/>
          <w:color w:val="000000"/>
          <w:sz w:val="22"/>
          <w:szCs w:val="22"/>
        </w:rPr>
        <w:t xml:space="preserve">pro rata </w:t>
      </w:r>
      <w:proofErr w:type="spellStart"/>
      <w:r>
        <w:rPr>
          <w:rFonts w:ascii="Arial" w:hAnsi="Arial" w:cs="Arial"/>
          <w:i/>
          <w:color w:val="000000"/>
          <w:sz w:val="22"/>
          <w:szCs w:val="22"/>
        </w:rPr>
        <w:t>temporis</w:t>
      </w:r>
      <w:proofErr w:type="spellEnd"/>
      <w:r>
        <w:rPr>
          <w:rFonts w:ascii="Arial" w:hAnsi="Arial" w:cs="Arial"/>
          <w:color w:val="000000"/>
          <w:sz w:val="22"/>
          <w:szCs w:val="22"/>
        </w:rPr>
        <w:t xml:space="preserve"> pelo período da efetiva prestação dos serviços, devendo restituir à Emissora a diferença entre a remuneração recebida e aquela a que fez jus, sem prejuízo do disposto na Cláusula 9.3.1.1 acima.</w:t>
      </w:r>
    </w:p>
    <w:p w14:paraId="0C05EC00"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A3B7A6A"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color w:val="000000"/>
          <w:sz w:val="22"/>
          <w:szCs w:val="22"/>
        </w:rPr>
        <w:lastRenderedPageBreak/>
        <w:t>9.3.4.</w:t>
      </w:r>
      <w:r>
        <w:rPr>
          <w:rFonts w:ascii="Arial" w:hAnsi="Arial" w:cs="Arial"/>
          <w:color w:val="000000"/>
          <w:sz w:val="22"/>
          <w:szCs w:val="22"/>
        </w:rPr>
        <w:tab/>
        <w:t xml:space="preserve">As parcelas referentes à remuneração prevista na Cláusula 9.3.1 acima e 9.3.6 abaixo serão atualizadas pela variação positiva acumulada do IGP-M, ou na sua falta ou impossibilidade de aplicação, pelo índice oficial que vier a substituí-lo, desde a data do pagamento da primeira parcela referida na Cláusula 9.3.1 acima, até as datas de pagamento de cada parcela subsequente, calculada </w:t>
      </w:r>
      <w:r>
        <w:rPr>
          <w:rFonts w:ascii="Arial" w:hAnsi="Arial" w:cs="Arial"/>
          <w:i/>
          <w:color w:val="000000"/>
          <w:sz w:val="22"/>
          <w:szCs w:val="22"/>
        </w:rPr>
        <w:t>pro rata die</w:t>
      </w:r>
      <w:r>
        <w:rPr>
          <w:rFonts w:ascii="Arial" w:hAnsi="Arial" w:cs="Arial"/>
          <w:color w:val="000000"/>
          <w:sz w:val="22"/>
          <w:szCs w:val="22"/>
        </w:rPr>
        <w:t xml:space="preserve"> se necessário. </w:t>
      </w:r>
    </w:p>
    <w:p w14:paraId="36D41A1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1FA89B4"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color w:val="000000"/>
          <w:sz w:val="22"/>
          <w:szCs w:val="22"/>
        </w:rPr>
        <w:t>9.3.5.</w:t>
      </w:r>
      <w:r>
        <w:rPr>
          <w:rFonts w:ascii="Arial" w:hAnsi="Arial" w:cs="Arial"/>
          <w:color w:val="000000"/>
          <w:sz w:val="22"/>
          <w:szCs w:val="22"/>
        </w:rPr>
        <w:tab/>
        <w:t>Em caso de mora no pagamento de qualquer quantia devida em decorrência desta remuneração, os débitos em atraso ficarão, sem prejuízo da atualização monetária, sujeitos a: (a) multa moratória convencional, irredutível e de natureza não compensatória</w:t>
      </w:r>
      <w:r>
        <w:rPr>
          <w:rFonts w:ascii="Arial" w:eastAsia="Arial Unicode MS" w:hAnsi="Arial" w:cs="Arial"/>
          <w:color w:val="000000"/>
          <w:w w:val="0"/>
          <w:sz w:val="22"/>
          <w:szCs w:val="22"/>
        </w:rPr>
        <w:t xml:space="preserve"> </w:t>
      </w:r>
      <w:r>
        <w:rPr>
          <w:rFonts w:ascii="Arial" w:hAnsi="Arial" w:cs="Arial"/>
          <w:color w:val="000000"/>
          <w:sz w:val="22"/>
          <w:szCs w:val="22"/>
        </w:rPr>
        <w:t xml:space="preserve">de 2% (dois por cento) sobre o valor devido e não pago; e (b) juros de mora de 1% (um por cento) ao mês, calculados </w:t>
      </w:r>
      <w:r>
        <w:rPr>
          <w:rFonts w:ascii="Arial" w:hAnsi="Arial" w:cs="Arial"/>
          <w:i/>
          <w:color w:val="000000"/>
          <w:sz w:val="22"/>
          <w:szCs w:val="22"/>
        </w:rPr>
        <w:t>pro rata die</w:t>
      </w:r>
      <w:r>
        <w:rPr>
          <w:rFonts w:ascii="Arial" w:hAnsi="Arial" w:cs="Arial"/>
          <w:color w:val="000000"/>
          <w:sz w:val="22"/>
          <w:szCs w:val="22"/>
        </w:rPr>
        <w:t xml:space="preserve"> desde a data do inadimplemento até a data do efetivo pagamento,</w:t>
      </w:r>
      <w:r>
        <w:rPr>
          <w:rFonts w:ascii="Arial" w:hAnsi="Arial" w:cs="Arial"/>
          <w:sz w:val="22"/>
          <w:szCs w:val="22"/>
        </w:rPr>
        <w:t xml:space="preserve"> </w:t>
      </w:r>
      <w:r>
        <w:rPr>
          <w:rFonts w:ascii="Arial" w:hAnsi="Arial" w:cs="Arial"/>
          <w:color w:val="000000"/>
          <w:sz w:val="22"/>
          <w:szCs w:val="22"/>
        </w:rPr>
        <w:t xml:space="preserve">ficando o valor do débito em atraso sujeito a atualização monetária pelo IGP-M, incidente desde a data da inadimplência até a data do efetivo pagamento, incidentes sobre o montante devido e não pago. </w:t>
      </w:r>
    </w:p>
    <w:p w14:paraId="03817697"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8AF3B2E" w14:textId="77777777" w:rsidR="00FC10E9" w:rsidRDefault="00B10E1A">
      <w:pPr>
        <w:tabs>
          <w:tab w:val="left" w:pos="720"/>
          <w:tab w:val="left" w:pos="2366"/>
        </w:tabs>
        <w:spacing w:line="280" w:lineRule="atLeast"/>
        <w:jc w:val="both"/>
        <w:rPr>
          <w:rFonts w:ascii="Arial" w:hAnsi="Arial" w:cs="Arial"/>
          <w:b/>
          <w:color w:val="000000"/>
          <w:sz w:val="22"/>
          <w:szCs w:val="22"/>
        </w:rPr>
      </w:pPr>
      <w:r>
        <w:rPr>
          <w:rFonts w:ascii="Arial" w:hAnsi="Arial" w:cs="Arial"/>
          <w:color w:val="000000"/>
          <w:sz w:val="22"/>
          <w:szCs w:val="22"/>
        </w:rPr>
        <w:t>9.3.6.</w:t>
      </w:r>
      <w:r>
        <w:rPr>
          <w:rFonts w:ascii="Arial" w:hAnsi="Arial" w:cs="Arial"/>
          <w:color w:val="000000"/>
          <w:sz w:val="22"/>
          <w:szCs w:val="22"/>
        </w:rPr>
        <w:tab/>
      </w:r>
      <w:bookmarkStart w:id="39" w:name="_Hlk79583882"/>
      <w:bookmarkStart w:id="40" w:name="_Hlk85038305"/>
      <w:bookmarkStart w:id="41" w:name="_Hlk90290015"/>
      <w:bookmarkStart w:id="42" w:name="_Hlk84436959"/>
      <w:bookmarkStart w:id="43" w:name="_Hlk90305223"/>
      <w:r>
        <w:rPr>
          <w:rFonts w:ascii="Arial" w:hAnsi="Arial" w:cs="Arial"/>
          <w:sz w:val="22"/>
          <w:szCs w:val="22"/>
        </w:rPr>
        <w:t xml:space="preserve">No caso de inadimplemento no pagamento de reestruturação das condições da oferta após a Emissão, bem como a participação em reuniões ou contatos telefônicos e/ou </w:t>
      </w:r>
      <w:proofErr w:type="spellStart"/>
      <w:r>
        <w:rPr>
          <w:rFonts w:ascii="Arial" w:hAnsi="Arial" w:cs="Arial"/>
          <w:i/>
          <w:sz w:val="22"/>
          <w:szCs w:val="22"/>
        </w:rPr>
        <w:t>conference</w:t>
      </w:r>
      <w:proofErr w:type="spellEnd"/>
      <w:r>
        <w:rPr>
          <w:rFonts w:ascii="Arial" w:hAnsi="Arial" w:cs="Arial"/>
          <w:i/>
          <w:sz w:val="22"/>
          <w:szCs w:val="22"/>
        </w:rPr>
        <w:t xml:space="preserve"> </w:t>
      </w:r>
      <w:proofErr w:type="spellStart"/>
      <w:r>
        <w:rPr>
          <w:rFonts w:ascii="Arial" w:hAnsi="Arial" w:cs="Arial"/>
          <w:i/>
          <w:sz w:val="22"/>
          <w:szCs w:val="22"/>
        </w:rPr>
        <w:t>call</w:t>
      </w:r>
      <w:proofErr w:type="spellEnd"/>
      <w:r>
        <w:rPr>
          <w:rFonts w:ascii="Arial" w:hAnsi="Arial" w:cs="Arial"/>
          <w:sz w:val="22"/>
          <w:szCs w:val="22"/>
        </w:rPr>
        <w:t xml:space="preserve">, Assembleias Gerais presenciais ou virtuais, que implique à título exemplificativo, em execução das garantias, participação em reuniões internas ou externas ao escritório do Agente Fiduciário, formais ou virtuais com a Emissora e/ou com os Debenturistas ou demais partes da Emissão, análise e eventuais comentários aos documentos da operação e implementação das consequentes decisões tomadas em tais eventos, serão devidas ao Agente Fiduciário, adicionalmente, a remuneração no valor de R$ 500,00 (quinhentos e cinquenta reais) por hora-homem de trabalho dedicado aos trabalhos acima, pagas em 5 (cinco) dias corridos após comprovação da entrega, pelo Agente Fiduciário, de “relatório de horas”. Entende-se por reestruturação os eventos relacionados às alterações das garantias, taxa, índice, prazos e fluxos de pagamento de principal e remuneração, condições relacionadas às recompra compulsória e/ou facultativa, integral ou parcial, multa, vencimento antecipado e/ou resgate antecipado e/ou liquidação do patrimônio separado. Os eventos relacionados à amortização dos debentures não são considerados reestruturação </w:t>
      </w:r>
      <w:bookmarkEnd w:id="39"/>
      <w:r>
        <w:rPr>
          <w:rFonts w:ascii="Arial" w:hAnsi="Arial" w:cs="Arial"/>
          <w:sz w:val="22"/>
          <w:szCs w:val="22"/>
        </w:rPr>
        <w:t>da Emissão.</w:t>
      </w:r>
      <w:r>
        <w:rPr>
          <w:rFonts w:asciiTheme="minorHAnsi" w:hAnsiTheme="minorHAnsi" w:cstheme="minorHAnsi"/>
        </w:rPr>
        <w:t xml:space="preserve"> </w:t>
      </w:r>
      <w:bookmarkEnd w:id="40"/>
      <w:bookmarkEnd w:id="41"/>
      <w:bookmarkEnd w:id="42"/>
      <w:bookmarkEnd w:id="43"/>
    </w:p>
    <w:p w14:paraId="157E0049" w14:textId="77777777" w:rsidR="00FC10E9" w:rsidRDefault="00FC10E9">
      <w:pPr>
        <w:tabs>
          <w:tab w:val="left" w:pos="720"/>
          <w:tab w:val="left" w:pos="2366"/>
        </w:tabs>
        <w:spacing w:line="280" w:lineRule="atLeast"/>
        <w:jc w:val="both"/>
        <w:rPr>
          <w:rFonts w:ascii="Arial" w:hAnsi="Arial" w:cs="Arial"/>
          <w:b/>
          <w:color w:val="000000"/>
          <w:sz w:val="22"/>
          <w:szCs w:val="22"/>
        </w:rPr>
      </w:pPr>
    </w:p>
    <w:p w14:paraId="1DDDBE09" w14:textId="77777777" w:rsidR="00FC10E9" w:rsidRDefault="00B10E1A">
      <w:pPr>
        <w:tabs>
          <w:tab w:val="left" w:pos="1560"/>
          <w:tab w:val="left" w:pos="2366"/>
        </w:tabs>
        <w:spacing w:line="300" w:lineRule="atLeast"/>
        <w:ind w:firstLine="709"/>
        <w:jc w:val="both"/>
        <w:rPr>
          <w:rFonts w:ascii="Arial" w:hAnsi="Arial" w:cs="Arial"/>
          <w:sz w:val="22"/>
          <w:szCs w:val="22"/>
        </w:rPr>
      </w:pPr>
      <w:r>
        <w:rPr>
          <w:rFonts w:ascii="Arial" w:hAnsi="Arial" w:cs="Arial"/>
          <w:color w:val="000000"/>
          <w:sz w:val="22"/>
          <w:szCs w:val="22"/>
        </w:rPr>
        <w:t>9.3.6.1.</w:t>
      </w:r>
      <w:r>
        <w:rPr>
          <w:rFonts w:ascii="Arial" w:hAnsi="Arial" w:cs="Arial"/>
          <w:color w:val="000000"/>
          <w:sz w:val="22"/>
          <w:szCs w:val="22"/>
        </w:rPr>
        <w:tab/>
      </w:r>
      <w:r>
        <w:rPr>
          <w:rFonts w:ascii="Arial" w:hAnsi="Arial" w:cs="Arial"/>
          <w:sz w:val="22"/>
          <w:szCs w:val="22"/>
        </w:rPr>
        <w:t>O Agente Fiduciário fica desde já ciente e concorda com o risco de não ter tais despesas reembolsadas caso não tenham sido previamente aprovadas e realizadas em discordância com (i) critérios de bom senso e razoabilidade geralmente aceitos em relações comerciais do gênero, e (</w:t>
      </w:r>
      <w:proofErr w:type="spellStart"/>
      <w:r>
        <w:rPr>
          <w:rFonts w:ascii="Arial" w:hAnsi="Arial" w:cs="Arial"/>
          <w:sz w:val="22"/>
          <w:szCs w:val="22"/>
        </w:rPr>
        <w:t>ii</w:t>
      </w:r>
      <w:proofErr w:type="spellEnd"/>
      <w:r>
        <w:rPr>
          <w:rFonts w:ascii="Arial" w:hAnsi="Arial" w:cs="Arial"/>
          <w:sz w:val="22"/>
          <w:szCs w:val="22"/>
        </w:rPr>
        <w:t>) a função fiduciária que lhe é inerente.</w:t>
      </w:r>
    </w:p>
    <w:p w14:paraId="5ED0225E"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1C35017"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9.3.7.</w:t>
      </w:r>
      <w:r>
        <w:rPr>
          <w:rFonts w:ascii="Arial" w:hAnsi="Arial" w:cs="Arial"/>
          <w:color w:val="000000"/>
          <w:sz w:val="22"/>
          <w:szCs w:val="22"/>
        </w:rPr>
        <w:tab/>
        <w:t xml:space="preserve">A remuneração prevista na Cláusula 9.3.1 acima será acrescida dos seguintes Impostos: (a) ISS (Impostos sobre Serviços de Qualquer Natureza); (b) PIS (Contribuição ao Programa de Integração Social); (c) COFINS (Contribuição para o Financiamento da Seguridade Social); (d) IRRF (Imposto de Renda Retido na Fonte) e (e) CSLL (Contribuição Social sobre o Lucro Líquido); e (f) quaisquer outros impostos que venham a incidir sobre a remuneração do Agente Fiduciário, nas alíquotas vigentes nas datas de cada pagamento. </w:t>
      </w:r>
    </w:p>
    <w:p w14:paraId="6CE48614"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5F893B2"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9.3.8.</w:t>
      </w:r>
      <w:r>
        <w:rPr>
          <w:rFonts w:ascii="Arial" w:hAnsi="Arial" w:cs="Arial"/>
          <w:color w:val="000000"/>
          <w:sz w:val="22"/>
          <w:szCs w:val="22"/>
        </w:rPr>
        <w:tab/>
        <w:t>Os serviços cobertos pela remuneração prevista na Cláusula 9.3.1 acima são aqueles descritos na Resolução CVM 17e na Lei das Sociedades por Ações.</w:t>
      </w:r>
    </w:p>
    <w:p w14:paraId="7C46D2D3" w14:textId="77777777" w:rsidR="00FC10E9" w:rsidRDefault="00FC10E9">
      <w:pPr>
        <w:tabs>
          <w:tab w:val="left" w:pos="720"/>
          <w:tab w:val="left" w:pos="2366"/>
        </w:tabs>
        <w:spacing w:line="300" w:lineRule="atLeast"/>
        <w:jc w:val="both"/>
        <w:rPr>
          <w:rFonts w:ascii="Arial" w:hAnsi="Arial" w:cs="Arial"/>
          <w:color w:val="000000"/>
          <w:sz w:val="22"/>
          <w:szCs w:val="22"/>
        </w:rPr>
      </w:pPr>
    </w:p>
    <w:p w14:paraId="4412ED93" w14:textId="77777777" w:rsidR="00FC10E9" w:rsidRDefault="00B10E1A">
      <w:pPr>
        <w:keepNext/>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9.4.</w:t>
      </w:r>
      <w:r>
        <w:rPr>
          <w:rFonts w:ascii="Arial" w:hAnsi="Arial" w:cs="Arial"/>
          <w:b/>
          <w:color w:val="000000"/>
          <w:sz w:val="22"/>
          <w:szCs w:val="22"/>
        </w:rPr>
        <w:tab/>
        <w:t>Substituição</w:t>
      </w:r>
    </w:p>
    <w:p w14:paraId="2531033C"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6455DEAD" w14:textId="77777777" w:rsidR="00FC10E9" w:rsidRDefault="00B10E1A">
      <w:pPr>
        <w:keepNext/>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9.4.1.</w:t>
      </w:r>
      <w:r>
        <w:rPr>
          <w:rFonts w:ascii="Arial" w:hAnsi="Arial" w:cs="Arial"/>
          <w:color w:val="000000"/>
          <w:sz w:val="22"/>
          <w:szCs w:val="22"/>
        </w:rPr>
        <w:tab/>
        <w:t xml:space="preserve">Nas hipóteses de impedimentos temporários, renúncia, intervenção, liquidação judicial ou extrajudicial, falência, morte ou qualquer outro caso de vacância, será realizada, dentro do prazo máximo de 30 (trinta) dias corridos 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 Na hipótese </w:t>
      </w:r>
      <w:proofErr w:type="gramStart"/>
      <w:r>
        <w:rPr>
          <w:rFonts w:ascii="Arial" w:hAnsi="Arial" w:cs="Arial"/>
          <w:color w:val="000000"/>
          <w:sz w:val="22"/>
          <w:szCs w:val="22"/>
        </w:rPr>
        <w:t>da</w:t>
      </w:r>
      <w:proofErr w:type="gramEnd"/>
      <w:r>
        <w:rPr>
          <w:rFonts w:ascii="Arial" w:hAnsi="Arial" w:cs="Arial"/>
          <w:color w:val="000000"/>
          <w:sz w:val="22"/>
          <w:szCs w:val="22"/>
        </w:rPr>
        <w:t xml:space="preserve"> convocação não ocorrer até 15 (quinze) dias corridos antes do término do prazo acima citado, caberá à Emissora efetuá-la, </w:t>
      </w:r>
      <w:r>
        <w:rPr>
          <w:rFonts w:ascii="Arial" w:hAnsi="Arial" w:cs="Arial"/>
          <w:color w:val="000000"/>
          <w:w w:val="0"/>
          <w:sz w:val="22"/>
          <w:szCs w:val="22"/>
        </w:rPr>
        <w:t xml:space="preserve">observado o prazo de 15 (quinze) dias para a primeira convocação e 8 (oito) dias para a segunda convocação, </w:t>
      </w:r>
      <w:r>
        <w:rPr>
          <w:rFonts w:ascii="Arial" w:hAnsi="Arial" w:cs="Arial"/>
          <w:color w:val="000000"/>
          <w:sz w:val="22"/>
          <w:szCs w:val="22"/>
        </w:rPr>
        <w:t xml:space="preserve">sendo certo que a CVM poderá </w:t>
      </w:r>
      <w:r>
        <w:rPr>
          <w:rFonts w:ascii="Arial" w:hAnsi="Arial" w:cs="Arial"/>
          <w:sz w:val="22"/>
          <w:szCs w:val="22"/>
        </w:rPr>
        <w:t xml:space="preserve">proceder à convocação da Assembleia Geral de Debenturistas ou nomear substituto provisório enquanto não se consumar o processo de escolha do novo Agente Fiduciário, nos termos do artigo 7º da </w:t>
      </w:r>
      <w:r>
        <w:rPr>
          <w:rFonts w:ascii="Arial" w:hAnsi="Arial" w:cs="Arial"/>
          <w:color w:val="000000"/>
          <w:sz w:val="22"/>
          <w:szCs w:val="22"/>
        </w:rPr>
        <w:t>Resolução CVM 17.</w:t>
      </w:r>
    </w:p>
    <w:p w14:paraId="4D4C706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8822726"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9.4.2.</w:t>
      </w:r>
      <w:r>
        <w:rPr>
          <w:rFonts w:ascii="Arial" w:hAnsi="Arial" w:cs="Arial"/>
          <w:color w:val="000000"/>
          <w:sz w:val="22"/>
          <w:szCs w:val="22"/>
        </w:rPr>
        <w:tab/>
        <w:t>A remuneração do novo agente fiduciário será a mesma já prevista nesta Escritura, salvo se outra for negociada com a Emissora, sendo por esta aceita por escrito, prévia e expressamente.</w:t>
      </w:r>
    </w:p>
    <w:p w14:paraId="04248199" w14:textId="77777777" w:rsidR="00FC10E9" w:rsidRDefault="00FC10E9">
      <w:pPr>
        <w:tabs>
          <w:tab w:val="left" w:pos="2366"/>
        </w:tabs>
        <w:spacing w:line="300" w:lineRule="atLeast"/>
        <w:jc w:val="both"/>
        <w:rPr>
          <w:rFonts w:ascii="Arial" w:hAnsi="Arial" w:cs="Arial"/>
          <w:color w:val="000000"/>
          <w:sz w:val="22"/>
          <w:szCs w:val="22"/>
        </w:rPr>
      </w:pPr>
    </w:p>
    <w:p w14:paraId="078C852E" w14:textId="77777777" w:rsidR="00FC10E9" w:rsidRDefault="00B10E1A">
      <w:pPr>
        <w:tabs>
          <w:tab w:val="left" w:pos="1620"/>
          <w:tab w:val="left" w:pos="2366"/>
        </w:tabs>
        <w:spacing w:line="300" w:lineRule="atLeast"/>
        <w:ind w:firstLine="720"/>
        <w:jc w:val="both"/>
        <w:rPr>
          <w:rFonts w:ascii="Arial" w:hAnsi="Arial" w:cs="Arial"/>
          <w:color w:val="000000"/>
          <w:sz w:val="22"/>
          <w:szCs w:val="22"/>
        </w:rPr>
      </w:pPr>
      <w:r>
        <w:rPr>
          <w:rFonts w:ascii="Arial" w:hAnsi="Arial" w:cs="Arial"/>
          <w:color w:val="000000"/>
          <w:sz w:val="22"/>
          <w:szCs w:val="22"/>
        </w:rPr>
        <w:t>9.4.2.1.</w:t>
      </w:r>
      <w:r>
        <w:rPr>
          <w:rFonts w:ascii="Arial" w:hAnsi="Arial" w:cs="Arial"/>
          <w:color w:val="000000"/>
          <w:sz w:val="22"/>
          <w:szCs w:val="22"/>
        </w:rPr>
        <w:tab/>
      </w:r>
      <w:r>
        <w:rPr>
          <w:rFonts w:ascii="Arial" w:hAnsi="Arial" w:cs="Arial"/>
          <w:color w:val="000000"/>
          <w:w w:val="0"/>
          <w:sz w:val="22"/>
          <w:szCs w:val="22"/>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Pr>
          <w:rFonts w:ascii="Arial" w:hAnsi="Arial" w:cs="Arial"/>
          <w:i/>
          <w:color w:val="000000"/>
          <w:w w:val="0"/>
          <w:sz w:val="22"/>
          <w:szCs w:val="22"/>
        </w:rPr>
        <w:t xml:space="preserve">pro rata </w:t>
      </w:r>
      <w:proofErr w:type="spellStart"/>
      <w:r>
        <w:rPr>
          <w:rFonts w:ascii="Arial" w:hAnsi="Arial" w:cs="Arial"/>
          <w:i/>
          <w:color w:val="000000"/>
          <w:w w:val="0"/>
          <w:sz w:val="22"/>
          <w:szCs w:val="22"/>
        </w:rPr>
        <w:t>temporis</w:t>
      </w:r>
      <w:proofErr w:type="spellEnd"/>
      <w:r>
        <w:rPr>
          <w:rFonts w:ascii="Arial" w:hAnsi="Arial" w:cs="Arial"/>
          <w:color w:val="000000"/>
          <w:w w:val="0"/>
          <w:sz w:val="22"/>
          <w:szCs w:val="22"/>
        </w:rPr>
        <w:t>, a partir da data de início do exercício de sua função como agente fiduciário.</w:t>
      </w:r>
    </w:p>
    <w:p w14:paraId="34DDEAD6" w14:textId="77777777" w:rsidR="00FC10E9" w:rsidRDefault="00FC10E9">
      <w:pPr>
        <w:tabs>
          <w:tab w:val="left" w:pos="2366"/>
        </w:tabs>
        <w:spacing w:line="300" w:lineRule="atLeast"/>
        <w:jc w:val="both"/>
        <w:rPr>
          <w:rFonts w:ascii="Arial" w:hAnsi="Arial" w:cs="Arial"/>
          <w:color w:val="000000"/>
          <w:sz w:val="22"/>
          <w:szCs w:val="22"/>
        </w:rPr>
      </w:pPr>
    </w:p>
    <w:p w14:paraId="4086E544"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9.4.3.</w:t>
      </w:r>
      <w:r>
        <w:rPr>
          <w:rFonts w:ascii="Arial" w:hAnsi="Arial" w:cs="Arial"/>
          <w:color w:val="000000"/>
          <w:sz w:val="22"/>
          <w:szCs w:val="22"/>
        </w:rPr>
        <w:tab/>
        <w:t>Na hipótese de não poder o Agente Fiduciário continuar a exercer as suas funções por circunstâncias supervenientes a esta Escritura, deverá comunicar imediatamente o fato aos Debenturistas e à Emissora, mediante convocação de Assembleia Geral de Debenturistas, solicitando sua substituição.</w:t>
      </w:r>
    </w:p>
    <w:p w14:paraId="12162D29"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7CF2DFF"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9.4.4.</w:t>
      </w:r>
      <w:r>
        <w:rPr>
          <w:rFonts w:ascii="Arial" w:hAnsi="Arial" w:cs="Arial"/>
          <w:color w:val="000000"/>
          <w:sz w:val="22"/>
          <w:szCs w:val="22"/>
        </w:rPr>
        <w:tab/>
        <w:t>É facultado aos Debenturistas, após o encerramento do prazo para a distribuição das Debêntures no mercado, proceder à substituição do Agente Fiduciário e à indicação de seu substituto, em Assembleia Geral de Debenturistas especialmente convocada para esse fim.</w:t>
      </w:r>
    </w:p>
    <w:p w14:paraId="62248100"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D75D676"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9.4.5.</w:t>
      </w:r>
      <w:r>
        <w:rPr>
          <w:rFonts w:ascii="Arial" w:hAnsi="Arial" w:cs="Arial"/>
          <w:color w:val="000000"/>
          <w:sz w:val="22"/>
          <w:szCs w:val="22"/>
        </w:rPr>
        <w:tab/>
        <w:t xml:space="preserve">A substituição, em caráter permanente, do Agente Fiduciário </w:t>
      </w:r>
      <w:r>
        <w:rPr>
          <w:rFonts w:ascii="Arial" w:hAnsi="Arial" w:cs="Arial"/>
          <w:sz w:val="22"/>
          <w:szCs w:val="22"/>
        </w:rPr>
        <w:t xml:space="preserve">deverá ser comunicada à CVM no prazo de até 7 (sete) Dias Úteis contados do registro do aditamento a esta Escritura de Emissão na JUCERJA, e estará sujeita aos requisitos previstos na </w:t>
      </w:r>
      <w:r>
        <w:rPr>
          <w:rFonts w:ascii="Arial" w:hAnsi="Arial" w:cs="Arial"/>
          <w:color w:val="000000"/>
          <w:sz w:val="22"/>
          <w:szCs w:val="22"/>
        </w:rPr>
        <w:t>Resolução CVM 17, e eventuais normas posteriores.</w:t>
      </w:r>
    </w:p>
    <w:p w14:paraId="1CB13134"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4B9648B"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9.4.6.</w:t>
      </w:r>
      <w:r>
        <w:rPr>
          <w:rFonts w:ascii="Arial" w:hAnsi="Arial" w:cs="Arial"/>
          <w:color w:val="000000"/>
          <w:sz w:val="22"/>
          <w:szCs w:val="22"/>
        </w:rPr>
        <w:tab/>
      </w:r>
      <w:r>
        <w:rPr>
          <w:rFonts w:ascii="Arial" w:hAnsi="Arial" w:cs="Arial"/>
          <w:sz w:val="22"/>
          <w:szCs w:val="22"/>
        </w:rPr>
        <w:t>Juntamente com a comunicação a respeito da substituição, deverão ser encaminhadas à CVM: (i) declaração assinada por diretor estatutário do novo agente fiduciário sobre a não existência de situação de conflito de interesses que impeça o exercício da função e (</w:t>
      </w:r>
      <w:proofErr w:type="spellStart"/>
      <w:r>
        <w:rPr>
          <w:rFonts w:ascii="Arial" w:hAnsi="Arial" w:cs="Arial"/>
          <w:sz w:val="22"/>
          <w:szCs w:val="22"/>
        </w:rPr>
        <w:t>ii</w:t>
      </w:r>
      <w:proofErr w:type="spellEnd"/>
      <w:r>
        <w:rPr>
          <w:rFonts w:ascii="Arial" w:hAnsi="Arial" w:cs="Arial"/>
          <w:sz w:val="22"/>
          <w:szCs w:val="22"/>
        </w:rPr>
        <w:t xml:space="preserve">) caso o novo agente fiduciário não possua cadastro na CVM, (a) comprovação de que o novo agente fiduciário é instituição financeira previamente autorizada a funcionar pelo Banco Central do Brasil, tendo por objeto social a administração ou a custódia de bens de terceiros e (b) </w:t>
      </w:r>
      <w:r>
        <w:rPr>
          <w:rFonts w:ascii="Arial" w:hAnsi="Arial" w:cs="Arial"/>
          <w:sz w:val="22"/>
          <w:szCs w:val="22"/>
        </w:rPr>
        <w:lastRenderedPageBreak/>
        <w:t>informações cadastrais indicadas na regulamentação específica que trata do cadastro de participantes do mercado de valores mobiliários.</w:t>
      </w:r>
    </w:p>
    <w:p w14:paraId="6752FB5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5821AF0"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9.4.7.</w:t>
      </w:r>
      <w:r>
        <w:rPr>
          <w:rFonts w:ascii="Arial" w:hAnsi="Arial" w:cs="Arial"/>
          <w:color w:val="000000"/>
          <w:sz w:val="22"/>
          <w:szCs w:val="22"/>
        </w:rPr>
        <w:tab/>
        <w:t>A substituição do Agente Fiduciário deverá ser objeto de aditamento a presente Escritura, que deverá ser devidamente arquivado na JUCERJA.</w:t>
      </w:r>
    </w:p>
    <w:p w14:paraId="1B506891"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6C8546B"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9.4.8.</w:t>
      </w:r>
      <w:r>
        <w:rPr>
          <w:rFonts w:ascii="Arial" w:hAnsi="Arial" w:cs="Arial"/>
          <w:color w:val="000000"/>
          <w:sz w:val="22"/>
          <w:szCs w:val="22"/>
        </w:rPr>
        <w:tab/>
        <w:t>O Agente Fiduciário entrará no exercício de suas funções a partir da data da presente Escritura ou, no caso de agente fiduciário substituto, no dia da celebração do correspondente aditamento à Escritura, devendo permanecer no exercício de suas funções até sua efetiva substituição ou até a data da integral liquidação das Debêntures, conforme aplicável.</w:t>
      </w:r>
    </w:p>
    <w:p w14:paraId="7E5B9397"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A39F87A"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9.4.9.</w:t>
      </w:r>
      <w:r>
        <w:rPr>
          <w:rFonts w:ascii="Arial" w:hAnsi="Arial" w:cs="Arial"/>
          <w:color w:val="000000"/>
          <w:sz w:val="22"/>
          <w:szCs w:val="22"/>
        </w:rPr>
        <w:tab/>
        <w:t>Aplicam-se às hipóteses de substituição do Agente Fiduciário as normas e preceitos da CVM.</w:t>
      </w:r>
    </w:p>
    <w:p w14:paraId="3CFE1419"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A55CA43" w14:textId="77777777" w:rsidR="00FC10E9" w:rsidRDefault="00B10E1A">
      <w:pPr>
        <w:keepNext/>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9.5.</w:t>
      </w:r>
      <w:r>
        <w:rPr>
          <w:rFonts w:ascii="Arial" w:hAnsi="Arial" w:cs="Arial"/>
          <w:b/>
          <w:color w:val="000000"/>
          <w:sz w:val="22"/>
          <w:szCs w:val="22"/>
        </w:rPr>
        <w:tab/>
        <w:t>Deveres</w:t>
      </w:r>
    </w:p>
    <w:p w14:paraId="483D5B9C"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74F03F78"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9.5.1.</w:t>
      </w:r>
      <w:r>
        <w:rPr>
          <w:rFonts w:ascii="Arial" w:hAnsi="Arial" w:cs="Arial"/>
          <w:color w:val="000000"/>
          <w:sz w:val="22"/>
          <w:szCs w:val="22"/>
        </w:rPr>
        <w:tab/>
        <w:t>Além de outros previstos em lei, em ato normativo da CVM, ou na presente Escritura, constituem deveres e atribuições do Agente Fiduciário:</w:t>
      </w:r>
    </w:p>
    <w:p w14:paraId="3FBFC997"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BA58E62" w14:textId="77777777" w:rsidR="00FC10E9" w:rsidRDefault="00B10E1A">
      <w:pPr>
        <w:pStyle w:val="PargrafodaLista"/>
        <w:numPr>
          <w:ilvl w:val="0"/>
          <w:numId w:val="46"/>
        </w:numPr>
        <w:tabs>
          <w:tab w:val="left" w:pos="720"/>
        </w:tabs>
        <w:spacing w:line="300" w:lineRule="atLeast"/>
        <w:ind w:hanging="720"/>
        <w:jc w:val="both"/>
        <w:rPr>
          <w:rFonts w:ascii="Arial" w:hAnsi="Arial" w:cs="Arial"/>
          <w:color w:val="000000"/>
          <w:sz w:val="22"/>
          <w:szCs w:val="22"/>
        </w:rPr>
      </w:pPr>
      <w:r>
        <w:rPr>
          <w:rFonts w:ascii="Arial" w:hAnsi="Arial" w:cs="Arial"/>
          <w:sz w:val="22"/>
          <w:szCs w:val="22"/>
        </w:rPr>
        <w:t>exercer suas atividades com boa fé, transparência e lealdade para com os Debenturistas;</w:t>
      </w:r>
    </w:p>
    <w:p w14:paraId="595407FD" w14:textId="77777777" w:rsidR="00FC10E9" w:rsidRDefault="00B10E1A">
      <w:pPr>
        <w:pStyle w:val="sub"/>
        <w:numPr>
          <w:ilvl w:val="0"/>
          <w:numId w:val="46"/>
        </w:numPr>
        <w:tabs>
          <w:tab w:val="left" w:pos="709"/>
        </w:tabs>
        <w:spacing w:line="300" w:lineRule="atLeast"/>
        <w:ind w:hanging="720"/>
      </w:pPr>
      <w:r>
        <w:rPr>
          <w:rFonts w:ascii="Arial" w:hAnsi="Arial" w:cs="Arial"/>
        </w:rPr>
        <w:t>representar os interesses dos Debenturistas, nos termos desta Escritura de Emissão;</w:t>
      </w:r>
    </w:p>
    <w:p w14:paraId="07C34C35" w14:textId="77777777" w:rsidR="00FC10E9" w:rsidRDefault="00B10E1A">
      <w:pPr>
        <w:pStyle w:val="sub"/>
        <w:numPr>
          <w:ilvl w:val="0"/>
          <w:numId w:val="46"/>
        </w:numPr>
        <w:tabs>
          <w:tab w:val="left" w:pos="709"/>
        </w:tabs>
        <w:spacing w:line="300" w:lineRule="atLeast"/>
        <w:ind w:hanging="720"/>
      </w:pPr>
      <w:r>
        <w:rPr>
          <w:rFonts w:ascii="Arial" w:hAnsi="Arial" w:cs="Arial"/>
        </w:rPr>
        <w:t>tomar todas as providências necessárias para que os Debenturistas, representados pelo Agente Fiduciário, realizem seus créditos, observado o disposto nesta Escritura de Emissão;</w:t>
      </w:r>
    </w:p>
    <w:p w14:paraId="6A4F31D1" w14:textId="77777777" w:rsidR="00FC10E9" w:rsidRDefault="00B10E1A">
      <w:pPr>
        <w:pStyle w:val="sub"/>
        <w:numPr>
          <w:ilvl w:val="0"/>
          <w:numId w:val="46"/>
        </w:numPr>
        <w:tabs>
          <w:tab w:val="left" w:pos="709"/>
        </w:tabs>
        <w:spacing w:line="300" w:lineRule="atLeast"/>
        <w:ind w:hanging="720"/>
      </w:pPr>
      <w:r>
        <w:rPr>
          <w:rFonts w:ascii="Arial" w:hAnsi="Arial" w:cs="Arial"/>
        </w:rPr>
        <w:t>proteger os direitos e interesses dos Debenturistas, empregando no exercício da função o cuidado e a diligência que toda pessoa ativa e proba costuma empregar na administração de seus próprios bens;</w:t>
      </w:r>
    </w:p>
    <w:p w14:paraId="7B371157" w14:textId="77777777" w:rsidR="00FC10E9" w:rsidRDefault="00B10E1A">
      <w:pPr>
        <w:pStyle w:val="sub"/>
        <w:numPr>
          <w:ilvl w:val="0"/>
          <w:numId w:val="46"/>
        </w:numPr>
        <w:tabs>
          <w:tab w:val="left" w:pos="709"/>
        </w:tabs>
        <w:spacing w:line="300" w:lineRule="atLeast"/>
        <w:ind w:hanging="720"/>
      </w:pPr>
      <w:r>
        <w:rPr>
          <w:rFonts w:ascii="Arial" w:hAnsi="Arial" w:cs="Arial"/>
        </w:rPr>
        <w:t>responsabilizar-se integralmente pelos serviços contratados, nos termos da legislação vigente;</w:t>
      </w:r>
    </w:p>
    <w:p w14:paraId="0AA11E76" w14:textId="77777777" w:rsidR="00FC10E9" w:rsidRDefault="00B10E1A">
      <w:pPr>
        <w:pStyle w:val="sub"/>
        <w:numPr>
          <w:ilvl w:val="0"/>
          <w:numId w:val="46"/>
        </w:numPr>
        <w:tabs>
          <w:tab w:val="left" w:pos="709"/>
        </w:tabs>
        <w:spacing w:line="300" w:lineRule="atLeast"/>
        <w:ind w:hanging="720"/>
      </w:pPr>
      <w:r>
        <w:rPr>
          <w:rFonts w:ascii="Arial" w:hAnsi="Arial" w:cs="Arial"/>
        </w:rPr>
        <w:t>renunciar à função na hipótese de superveniência de conflitos de interesse ou de qualquer outra modalidade de inaptidão;</w:t>
      </w:r>
    </w:p>
    <w:p w14:paraId="621A3F0D" w14:textId="77777777" w:rsidR="00FC10E9" w:rsidRDefault="00B10E1A">
      <w:pPr>
        <w:pStyle w:val="sub"/>
        <w:numPr>
          <w:ilvl w:val="0"/>
          <w:numId w:val="46"/>
        </w:numPr>
        <w:tabs>
          <w:tab w:val="left" w:pos="709"/>
        </w:tabs>
        <w:spacing w:line="300" w:lineRule="atLeast"/>
        <w:ind w:hanging="720"/>
      </w:pPr>
      <w:r>
        <w:rPr>
          <w:rFonts w:ascii="Arial" w:hAnsi="Arial" w:cs="Arial"/>
        </w:rPr>
        <w:t>conservar em boa guarda toda a documentação relativa ao exercício de suas funções;</w:t>
      </w:r>
    </w:p>
    <w:p w14:paraId="23F1B9AE"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verificar, no momento de aceitar a função, a consistência das informações contidas </w:t>
      </w:r>
      <w:proofErr w:type="spellStart"/>
      <w:r>
        <w:rPr>
          <w:rFonts w:ascii="Arial" w:hAnsi="Arial" w:cs="Arial"/>
        </w:rPr>
        <w:t>nesta</w:t>
      </w:r>
      <w:proofErr w:type="spellEnd"/>
      <w:r>
        <w:rPr>
          <w:rFonts w:ascii="Arial" w:hAnsi="Arial" w:cs="Arial"/>
        </w:rPr>
        <w:t xml:space="preserve"> Escritura de Emissão, diligenciando no sentido de que sejam sanadas as omissões, falhas ou defeitos de que tenha conhecimento;</w:t>
      </w:r>
    </w:p>
    <w:p w14:paraId="0B6D0787"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diligenciar junto à Emissora, para que esta Escritura de Emissão bem como seus </w:t>
      </w:r>
      <w:r>
        <w:rPr>
          <w:rFonts w:ascii="Arial" w:hAnsi="Arial" w:cs="Arial"/>
        </w:rPr>
        <w:lastRenderedPageBreak/>
        <w:t>respectivos aditamentos, sejam registrados nos órgãos competentes, adotando, no caso de omissão da Emissora, as medidas previstas em lei e nesta Escritura de Emissão;</w:t>
      </w:r>
    </w:p>
    <w:p w14:paraId="70C68C2C"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acompanhar a observância da periodicidade na prestação das informações obrigatórias pela Emissora, alertando os Debenturistas no relatório anual previsto no inciso (p) abaixo, acerca de eventuais inconsistências ou omissões de que tenha conhecimento; </w:t>
      </w:r>
    </w:p>
    <w:p w14:paraId="0BFC74CA" w14:textId="77777777" w:rsidR="00FC10E9" w:rsidRDefault="00B10E1A">
      <w:pPr>
        <w:pStyle w:val="sub"/>
        <w:numPr>
          <w:ilvl w:val="0"/>
          <w:numId w:val="46"/>
        </w:numPr>
        <w:tabs>
          <w:tab w:val="left" w:pos="709"/>
        </w:tabs>
        <w:spacing w:line="300" w:lineRule="atLeast"/>
        <w:ind w:hanging="720"/>
      </w:pPr>
      <w:r>
        <w:rPr>
          <w:rFonts w:ascii="Arial" w:hAnsi="Arial" w:cs="Arial"/>
        </w:rPr>
        <w:t>opinar sobre a suficiência das informações constantes das propostas de modificações nas condições das Debêntures, se for o caso;</w:t>
      </w:r>
    </w:p>
    <w:p w14:paraId="6F192626" w14:textId="77777777" w:rsidR="00FC10E9" w:rsidRDefault="00B10E1A">
      <w:pPr>
        <w:pStyle w:val="sub"/>
        <w:numPr>
          <w:ilvl w:val="0"/>
          <w:numId w:val="46"/>
        </w:numPr>
        <w:tabs>
          <w:tab w:val="left" w:pos="709"/>
        </w:tabs>
        <w:spacing w:line="300" w:lineRule="atLeast"/>
        <w:ind w:hanging="720"/>
      </w:pPr>
      <w:r>
        <w:rPr>
          <w:rFonts w:ascii="Arial" w:hAnsi="Arial" w:cs="Arial"/>
        </w:rPr>
        <w:t>solicitar, quando julgar necessário para o fiel desempenho de suas funções, certidões atualizadas perante órgãos e entidades públicas e ofícios de registros públicos, dos distribuidores cíveis, das Varas de Fazenda Pública, Cartórios de Protesto, Juntas de Conciliação e Julgamento, Procuradoria da Fazenda Pública, onde se localiza a sede do estabelecimento principal da Emissora;</w:t>
      </w:r>
    </w:p>
    <w:p w14:paraId="32D9658F"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solicitar, quando considerar necessário, auditoria extraordinária na Emissora, cujo custo deverá ser arcado pela Emissora nos termos previstos nesta Escritura de Emissão; </w:t>
      </w:r>
    </w:p>
    <w:p w14:paraId="5919EC33"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convocar, quando necessário, a Assembleia Geral de Debenturistas mediante anúncio publicado, pelo menos 3 (três) vezes, nos jornais previsto na Cláusula 4.11 acima, respeitadas outras regras relacionadas à publicação constantes da Lei das Sociedades por Ações e desta Escritura de Emissão, às expensas da Emissora; </w:t>
      </w:r>
    </w:p>
    <w:p w14:paraId="528744C8" w14:textId="77777777" w:rsidR="00FC10E9" w:rsidRDefault="00B10E1A">
      <w:pPr>
        <w:pStyle w:val="sub"/>
        <w:numPr>
          <w:ilvl w:val="0"/>
          <w:numId w:val="46"/>
        </w:numPr>
        <w:tabs>
          <w:tab w:val="left" w:pos="709"/>
        </w:tabs>
        <w:spacing w:line="300" w:lineRule="atLeast"/>
        <w:ind w:hanging="720"/>
      </w:pPr>
      <w:r>
        <w:rPr>
          <w:rFonts w:ascii="Arial" w:hAnsi="Arial" w:cs="Arial"/>
        </w:rPr>
        <w:t>comparecer à Assembleia Geral de Debenturistas a fim de prestar as informações que lhe forem solicitadas;</w:t>
      </w:r>
      <w:bookmarkStart w:id="44" w:name="_Ref435693563"/>
    </w:p>
    <w:p w14:paraId="2A6687D8" w14:textId="48E1B941" w:rsidR="00FC10E9" w:rsidRDefault="00B10E1A">
      <w:pPr>
        <w:pStyle w:val="sub"/>
        <w:numPr>
          <w:ilvl w:val="0"/>
          <w:numId w:val="46"/>
        </w:numPr>
        <w:tabs>
          <w:tab w:val="left" w:pos="709"/>
        </w:tabs>
        <w:spacing w:line="300" w:lineRule="atLeast"/>
        <w:ind w:hanging="720"/>
      </w:pPr>
      <w:r>
        <w:rPr>
          <w:rFonts w:ascii="Arial" w:hAnsi="Arial" w:cs="Arial"/>
        </w:rPr>
        <w:t>elaborar relatório anual destinado aos Debenturistas, nos termos do artigo 68, parágrafo 1º, alínea (b), da Lei das Sociedades por Ações;</w:t>
      </w:r>
      <w:bookmarkEnd w:id="44"/>
    </w:p>
    <w:p w14:paraId="3A76457B" w14:textId="77777777" w:rsidR="00FC10E9" w:rsidRDefault="00B10E1A">
      <w:pPr>
        <w:pStyle w:val="sub"/>
        <w:numPr>
          <w:ilvl w:val="0"/>
          <w:numId w:val="46"/>
        </w:numPr>
        <w:tabs>
          <w:tab w:val="left" w:pos="709"/>
        </w:tabs>
        <w:spacing w:line="300" w:lineRule="atLeast"/>
        <w:ind w:hanging="720"/>
      </w:pPr>
      <w:bookmarkStart w:id="45" w:name="_Ref435693635"/>
      <w:r>
        <w:rPr>
          <w:rFonts w:ascii="Arial" w:hAnsi="Arial" w:cs="Arial"/>
        </w:rPr>
        <w:t>divulgar em sua página na rede mundial de computadores (https</w:t>
      </w:r>
      <w:r>
        <w:rPr>
          <w:rFonts w:ascii="Arial" w:hAnsi="Arial" w:cs="Arial"/>
          <w:i/>
          <w:iCs/>
        </w:rPr>
        <w:t>://www.oliveiratrust.com.br/</w:t>
      </w:r>
      <w:r>
        <w:rPr>
          <w:rFonts w:ascii="Arial" w:hAnsi="Arial" w:cs="Arial"/>
        </w:rPr>
        <w:t>) o relatório de que trata o item (p) acima aos Debenturistas no prazo máximo de 4 (quatro) meses a contar do encerramento do exercício social da Emissora, bem como enviar à Emissora, para divulgação na forma prevista em regulamentação específica;</w:t>
      </w:r>
      <w:bookmarkEnd w:id="45"/>
      <w:r>
        <w:rPr>
          <w:rFonts w:ascii="Arial" w:hAnsi="Arial" w:cs="Arial"/>
        </w:rPr>
        <w:t xml:space="preserve"> </w:t>
      </w:r>
    </w:p>
    <w:p w14:paraId="66545B9E"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manter atualizada a relação dos Debenturistas e seus endereços, mediante, inclusive, gestões perante a Emissora, o </w:t>
      </w:r>
      <w:proofErr w:type="spellStart"/>
      <w:r>
        <w:rPr>
          <w:rFonts w:ascii="Arial" w:hAnsi="Arial" w:cs="Arial"/>
        </w:rPr>
        <w:t>Escriturador</w:t>
      </w:r>
      <w:proofErr w:type="spellEnd"/>
      <w:r>
        <w:rPr>
          <w:rFonts w:ascii="Arial" w:hAnsi="Arial" w:cs="Arial"/>
        </w:rPr>
        <w:t xml:space="preserve">, o Agente de Liquidação e a B3, sendo que, para fins de atendimento ao disposto neste item, a Emissora e os Debenturistas, mediante subscrição, integralização ou aquisição das Debêntures, expressamente autorizam, desde já, o </w:t>
      </w:r>
      <w:proofErr w:type="spellStart"/>
      <w:r>
        <w:rPr>
          <w:rFonts w:ascii="Arial" w:hAnsi="Arial" w:cs="Arial"/>
        </w:rPr>
        <w:t>Escriturador</w:t>
      </w:r>
      <w:proofErr w:type="spellEnd"/>
      <w:r>
        <w:rPr>
          <w:rFonts w:ascii="Arial" w:hAnsi="Arial" w:cs="Arial"/>
        </w:rPr>
        <w:t xml:space="preserve">, o Agente de Liquidação e a B3 a atenderem quaisquer solicitações feitas pelo Agente Fiduciário, inclusive a divulgação, a qualquer </w:t>
      </w:r>
      <w:r>
        <w:rPr>
          <w:rFonts w:ascii="Arial" w:hAnsi="Arial" w:cs="Arial"/>
        </w:rPr>
        <w:lastRenderedPageBreak/>
        <w:t xml:space="preserve">momento, da posição de Debêntures e seus respectivos Debenturistas; </w:t>
      </w:r>
    </w:p>
    <w:p w14:paraId="4D4BB7BB" w14:textId="77777777" w:rsidR="00FC10E9" w:rsidRDefault="00B10E1A">
      <w:pPr>
        <w:pStyle w:val="sub"/>
        <w:numPr>
          <w:ilvl w:val="0"/>
          <w:numId w:val="46"/>
        </w:numPr>
        <w:tabs>
          <w:tab w:val="left" w:pos="709"/>
        </w:tabs>
        <w:spacing w:line="300" w:lineRule="atLeast"/>
        <w:ind w:hanging="720"/>
      </w:pPr>
      <w:r>
        <w:rPr>
          <w:rFonts w:ascii="Arial" w:hAnsi="Arial" w:cs="Arial"/>
        </w:rPr>
        <w:t>fiscalizar o cumprimento das Cláusulas constantes desta Escritura de Emissão, especialmente daquelas que impõem obrigações de fazer e de não fazer;</w:t>
      </w:r>
    </w:p>
    <w:p w14:paraId="6CD45A05" w14:textId="77777777" w:rsidR="00FC10E9" w:rsidRDefault="00B10E1A">
      <w:pPr>
        <w:pStyle w:val="sub"/>
        <w:numPr>
          <w:ilvl w:val="0"/>
          <w:numId w:val="46"/>
        </w:numPr>
        <w:tabs>
          <w:tab w:val="left" w:pos="709"/>
        </w:tabs>
        <w:spacing w:line="300" w:lineRule="atLeast"/>
        <w:ind w:hanging="720"/>
      </w:pPr>
      <w:r>
        <w:rPr>
          <w:rFonts w:ascii="Arial" w:hAnsi="Arial" w:cs="Arial"/>
        </w:rPr>
        <w:t xml:space="preserve">comunicar os Debenturistas a respeito de qualquer inadimplemento, pela Emissora, de obrigações financeiras assumidas nesta Escritura de Emissão, incluindo as obrigações relativas a garantias e a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14:paraId="298E70E5" w14:textId="77777777" w:rsidR="00FC10E9" w:rsidRDefault="00B10E1A">
      <w:pPr>
        <w:pStyle w:val="sub"/>
        <w:numPr>
          <w:ilvl w:val="0"/>
          <w:numId w:val="46"/>
        </w:numPr>
        <w:tabs>
          <w:tab w:val="left" w:pos="709"/>
        </w:tabs>
        <w:spacing w:line="300" w:lineRule="atLeast"/>
        <w:ind w:hanging="720"/>
      </w:pPr>
      <w:r>
        <w:rPr>
          <w:rFonts w:ascii="Arial" w:hAnsi="Arial" w:cs="Arial"/>
        </w:rPr>
        <w:t>disponibilizar em sua página na rede mundial de computadores lista atualizada das emissões em que exerce a função de agente fiduciário;</w:t>
      </w:r>
    </w:p>
    <w:p w14:paraId="588DDD6D" w14:textId="77777777" w:rsidR="00FC10E9" w:rsidRDefault="00B10E1A">
      <w:pPr>
        <w:pStyle w:val="sub"/>
        <w:numPr>
          <w:ilvl w:val="0"/>
          <w:numId w:val="46"/>
        </w:numPr>
        <w:tabs>
          <w:tab w:val="left" w:pos="709"/>
        </w:tabs>
        <w:spacing w:line="300" w:lineRule="atLeast"/>
        <w:ind w:hanging="720"/>
      </w:pPr>
      <w:r>
        <w:rPr>
          <w:rFonts w:ascii="Arial" w:hAnsi="Arial" w:cs="Arial"/>
        </w:rPr>
        <w:t>acompanhar a destinação dos recursos captados por meio da Emissão, de acordo com os dados obtidos junto aos administradores da Emissora;</w:t>
      </w:r>
    </w:p>
    <w:p w14:paraId="55748F70" w14:textId="77777777" w:rsidR="00FC10E9" w:rsidRDefault="00B10E1A">
      <w:pPr>
        <w:pStyle w:val="sub"/>
        <w:numPr>
          <w:ilvl w:val="0"/>
          <w:numId w:val="46"/>
        </w:numPr>
        <w:tabs>
          <w:tab w:val="left" w:pos="709"/>
        </w:tabs>
        <w:spacing w:line="300" w:lineRule="atLeast"/>
        <w:ind w:hanging="720"/>
      </w:pPr>
      <w:r>
        <w:rPr>
          <w:rFonts w:ascii="Arial" w:hAnsi="Arial" w:cs="Arial"/>
        </w:rPr>
        <w:t>acompanhar, em cada data de pagamento, através de confirmação junto à Emissora, o integral e pontual pagamento dos valores devidos, conforme estipulado nesta Escritura de Emissão; e</w:t>
      </w:r>
    </w:p>
    <w:p w14:paraId="73AFAAA7" w14:textId="77777777" w:rsidR="00FC10E9" w:rsidRDefault="00B10E1A">
      <w:pPr>
        <w:pStyle w:val="sub"/>
        <w:numPr>
          <w:ilvl w:val="0"/>
          <w:numId w:val="46"/>
        </w:numPr>
        <w:tabs>
          <w:tab w:val="left" w:pos="709"/>
        </w:tabs>
        <w:spacing w:line="300" w:lineRule="atLeast"/>
        <w:ind w:hanging="720"/>
        <w:rPr>
          <w:rFonts w:ascii="Arial" w:hAnsi="Arial" w:cs="Arial"/>
        </w:rPr>
      </w:pPr>
      <w:r>
        <w:rPr>
          <w:rFonts w:ascii="Arial" w:hAnsi="Arial" w:cs="Arial"/>
        </w:rPr>
        <w:t>disponibilizar o preço unitário (assim entendido como o Valor Nominal Unitário ou saldo do Valor Nominal Unitário, conforme o caso, acrescido da Remuneração), calculado pela Emissora, aos investidores e aos participantes do mercado, por meio de sua central de atendimento e/ou de seu website (</w:t>
      </w:r>
      <w:r>
        <w:rPr>
          <w:rFonts w:ascii="Arial" w:hAnsi="Arial" w:cs="Arial"/>
          <w:i/>
          <w:iCs/>
        </w:rPr>
        <w:t>https://www.oliveiratrust.com.br/</w:t>
      </w:r>
      <w:r>
        <w:rPr>
          <w:rFonts w:ascii="Arial" w:hAnsi="Arial" w:cs="Arial"/>
        </w:rPr>
        <w:t>)</w:t>
      </w:r>
      <w:bookmarkStart w:id="46" w:name="_DV_M347"/>
      <w:bookmarkStart w:id="47" w:name="_DV_M348"/>
      <w:bookmarkStart w:id="48" w:name="_DV_M349"/>
      <w:bookmarkStart w:id="49" w:name="_DV_M350"/>
      <w:bookmarkEnd w:id="46"/>
      <w:bookmarkEnd w:id="47"/>
      <w:bookmarkEnd w:id="48"/>
      <w:bookmarkEnd w:id="49"/>
      <w:r>
        <w:rPr>
          <w:rFonts w:ascii="Arial" w:hAnsi="Arial" w:cs="Arial"/>
        </w:rPr>
        <w:t>.</w:t>
      </w:r>
    </w:p>
    <w:p w14:paraId="3532C93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85F4409" w14:textId="77777777" w:rsidR="00FC10E9" w:rsidRDefault="00B10E1A">
      <w:pPr>
        <w:spacing w:line="300" w:lineRule="atLeast"/>
        <w:jc w:val="both"/>
        <w:rPr>
          <w:rFonts w:ascii="Arial" w:hAnsi="Arial" w:cs="Arial"/>
          <w:color w:val="000000"/>
          <w:w w:val="0"/>
          <w:sz w:val="22"/>
          <w:szCs w:val="22"/>
        </w:rPr>
      </w:pPr>
      <w:r>
        <w:rPr>
          <w:rFonts w:ascii="Arial" w:hAnsi="Arial" w:cs="Arial"/>
          <w:color w:val="000000"/>
          <w:w w:val="0"/>
          <w:sz w:val="22"/>
          <w:szCs w:val="22"/>
        </w:rPr>
        <w:t>9.5.2.</w:t>
      </w:r>
      <w:r>
        <w:rPr>
          <w:rFonts w:ascii="Arial" w:hAnsi="Arial" w:cs="Arial"/>
          <w:color w:val="000000"/>
          <w:w w:val="0"/>
          <w:sz w:val="22"/>
          <w:szCs w:val="22"/>
        </w:rPr>
        <w:tab/>
        <w:t>Os atos ou manifestações por parte do Agente Fiduciário que criarem responsabilidade para os Debenturistas e/ou exonerarem terceiros de obrigações com eles somente serão válidos quando assim previamente deliberado pelos Debenturistas reunidos em Assembleia Geral.</w:t>
      </w:r>
    </w:p>
    <w:p w14:paraId="79C1F86A" w14:textId="77777777" w:rsidR="00FC10E9" w:rsidRDefault="00FC10E9">
      <w:pPr>
        <w:spacing w:line="300" w:lineRule="atLeast"/>
        <w:jc w:val="both"/>
        <w:rPr>
          <w:rFonts w:ascii="Arial" w:hAnsi="Arial" w:cs="Arial"/>
          <w:color w:val="000000"/>
          <w:w w:val="0"/>
          <w:sz w:val="22"/>
          <w:szCs w:val="22"/>
        </w:rPr>
      </w:pPr>
    </w:p>
    <w:p w14:paraId="2163F11F" w14:textId="77777777" w:rsidR="00FC10E9" w:rsidRDefault="00B10E1A">
      <w:pPr>
        <w:spacing w:line="300" w:lineRule="atLeast"/>
        <w:jc w:val="both"/>
        <w:rPr>
          <w:rFonts w:ascii="Arial" w:hAnsi="Arial" w:cs="Arial"/>
          <w:color w:val="000000"/>
          <w:w w:val="0"/>
          <w:sz w:val="22"/>
          <w:szCs w:val="22"/>
        </w:rPr>
      </w:pPr>
      <w:r>
        <w:rPr>
          <w:rFonts w:ascii="Arial" w:hAnsi="Arial" w:cs="Arial"/>
          <w:color w:val="000000"/>
          <w:sz w:val="22"/>
          <w:szCs w:val="22"/>
        </w:rPr>
        <w:t>9.5.3.</w:t>
      </w:r>
      <w:r>
        <w:rPr>
          <w:rFonts w:ascii="Arial" w:hAnsi="Arial" w:cs="Arial"/>
          <w:color w:val="000000"/>
          <w:sz w:val="22"/>
          <w:szCs w:val="22"/>
        </w:rPr>
        <w:tab/>
        <w:t xml:space="preserve">O Agente Fiduciário não emitirá qualquer tipo de opinião ou fará qualquer juízo sobre qualquer fato da emissão cuja definição seja de competência dos Debenturistas, comprometendo-se tão-somente a agir nos termos desta Escritura ou conforme instruções que venham a ser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Resolução CVM 17 e dos artigos aplicáveis da Lei das Sociedades por Ações, ficando o Agente Fiduciário, portanto, isento, sob qualquer forma ou pretexto, de qualquer responsabilidade adicional que não tenha decorrido da legislação e regulamentação aplicáveis. </w:t>
      </w:r>
    </w:p>
    <w:p w14:paraId="1225FA6C"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604B1A3" w14:textId="77777777" w:rsidR="00FC10E9" w:rsidRDefault="00B10E1A">
      <w:pPr>
        <w:pStyle w:val="PargrafodaLista"/>
        <w:tabs>
          <w:tab w:val="left" w:pos="0"/>
        </w:tabs>
        <w:spacing w:line="300" w:lineRule="atLeast"/>
        <w:ind w:left="0"/>
        <w:jc w:val="both"/>
        <w:rPr>
          <w:rFonts w:ascii="Arial" w:hAnsi="Arial" w:cs="Arial"/>
          <w:color w:val="000000"/>
          <w:sz w:val="22"/>
          <w:szCs w:val="22"/>
        </w:rPr>
      </w:pPr>
      <w:r>
        <w:rPr>
          <w:rFonts w:ascii="Arial" w:hAnsi="Arial" w:cs="Arial"/>
          <w:color w:val="000000"/>
          <w:sz w:val="22"/>
          <w:szCs w:val="22"/>
        </w:rPr>
        <w:t>9.5.4.</w:t>
      </w:r>
      <w:r>
        <w:rPr>
          <w:rFonts w:ascii="Arial" w:hAnsi="Arial" w:cs="Arial"/>
          <w:color w:val="000000"/>
          <w:sz w:val="22"/>
          <w:szCs w:val="22"/>
        </w:rPr>
        <w:tab/>
        <w:t>No caso de inadimplemento de quaisquer condições da Emissão, o Agente Fiduciário deve usar de toda e qualquer medida prevista em lei ou nesta Escritura para proteger direitos ou defender os interesses dos Debenturistas, na forma do artigo 12 da Resolução CVM 17 e observado o disposto na Lei das Sociedades por Ações.</w:t>
      </w:r>
    </w:p>
    <w:p w14:paraId="0D1FA11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173D842"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9.6.</w:t>
      </w:r>
      <w:r>
        <w:rPr>
          <w:rFonts w:ascii="Arial" w:hAnsi="Arial" w:cs="Arial"/>
          <w:b/>
          <w:color w:val="000000"/>
          <w:sz w:val="22"/>
          <w:szCs w:val="22"/>
        </w:rPr>
        <w:tab/>
        <w:t>Despesas</w:t>
      </w:r>
    </w:p>
    <w:p w14:paraId="243C1AD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0DE9328"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9.6.1.</w:t>
      </w:r>
      <w:r>
        <w:rPr>
          <w:rFonts w:ascii="Arial" w:hAnsi="Arial" w:cs="Arial"/>
          <w:color w:val="000000"/>
          <w:sz w:val="22"/>
          <w:szCs w:val="22"/>
        </w:rPr>
        <w:tab/>
        <w:t>A Emissora ressarcirá o Agente Fiduciário de todas as despesas razoáveis e usuais que tenha, comprovadamente, incorrido para proteger os direitos e interesses dos Debenturistas ou para realizar seus créditos, inclusive honorários advocatícios, honorários de auditores independentes e outras despesas e custos incorridos em virtude da cobrança de qualquer quantia devida aos Debenturistas nos termos desta Escritura, devendo ser, sempre que possível, previamente aprovadas pela Emissora.</w:t>
      </w:r>
    </w:p>
    <w:p w14:paraId="65C03255"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957C7B0"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9.6.2.</w:t>
      </w:r>
      <w:r>
        <w:rPr>
          <w:rFonts w:ascii="Arial" w:hAnsi="Arial" w:cs="Arial"/>
          <w:color w:val="000000"/>
          <w:sz w:val="22"/>
          <w:szCs w:val="22"/>
        </w:rPr>
        <w:tab/>
        <w:t>O ressarcimento a que se refere esta Cláusula 9.6 será efetuado em até 10 (dez) Dias Úteis contados da entrega à Emissora de cópia dos documentos comprobatórios das despesas efetivamente incorridas e necessárias à proteção dos direitos dos Debenturistas, sendo que as vias originais estarão disponíveis para consulta da Emissora na sede do Agente Fiduciário.</w:t>
      </w:r>
    </w:p>
    <w:p w14:paraId="5794787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5DF2D2C"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9.6.3.</w:t>
      </w:r>
      <w:r>
        <w:rPr>
          <w:rFonts w:ascii="Arial" w:hAnsi="Arial" w:cs="Arial"/>
          <w:color w:val="000000"/>
          <w:sz w:val="22"/>
          <w:szCs w:val="22"/>
        </w:rPr>
        <w:tab/>
        <w:t>O crédito do Agente Fiduciário por despesas incorridas para proteger direitos e interesses ou realizar créditos dos Debenturistas que não tenha sido saldado na forma ora estabelecida será acrescido à dívida da Emissora e gozará das mesmas garantias das Debêntures, se for o caso, preferindo a estas na ordem de pagamento.</w:t>
      </w:r>
    </w:p>
    <w:p w14:paraId="0DD4E20E"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AF0EA4F" w14:textId="77777777" w:rsidR="00FC10E9" w:rsidRDefault="00B10E1A">
      <w:pPr>
        <w:tabs>
          <w:tab w:val="left" w:pos="709"/>
        </w:tabs>
        <w:spacing w:line="300" w:lineRule="atLeast"/>
        <w:jc w:val="both"/>
        <w:rPr>
          <w:rFonts w:ascii="Arial" w:hAnsi="Arial" w:cs="Arial"/>
          <w:color w:val="000000"/>
          <w:sz w:val="22"/>
          <w:szCs w:val="22"/>
        </w:rPr>
      </w:pPr>
      <w:r>
        <w:rPr>
          <w:rFonts w:ascii="Arial" w:hAnsi="Arial" w:cs="Arial"/>
          <w:color w:val="000000"/>
          <w:sz w:val="22"/>
          <w:szCs w:val="22"/>
        </w:rPr>
        <w:t>9.6.4.</w:t>
      </w:r>
      <w:r>
        <w:rPr>
          <w:rFonts w:ascii="Arial" w:hAnsi="Arial" w:cs="Arial"/>
          <w:color w:val="000000"/>
          <w:sz w:val="22"/>
          <w:szCs w:val="22"/>
        </w:rPr>
        <w:tab/>
        <w:t>Todas as despesas decorrentes de procedimentos legais, inclusive as administrativas, em que o Agente Fiduciário venha a incorrer para resguardar os interesses dos Debenturistas deverão ser previamente aprovadas, sempre que possível, e adiantadas pelos Debenturistas, e, posteriormente, conforme previsto em lei, ressarcidas pela Emissora. Tais despesas a serem adiantadas pelos Debenturistas, correspondem a depósitos, custas e taxas judiciárias nas ações propostas pelo Agente Fiduciário, enquanto representante da comunhão dos Debenturistas. Os honorários de sucumbência em ações judiciais serão igualmente suportados pelos Debenturistas, bem como a remuneração do Agente Fiduciário na hipótese da Emissora permanecer em inadimplência com relação ao pagamento desta por um período superior a 30 (trinta) dias, podendo o Agente Fiduciário solicitar adiantamento aos Debenturistas para cobertura da sucumbência arbitrada em juízo, sendo certo que os recursos deverão ser disponibilizados em tempo hábil de modo que não haja qualquer possibilidade de descumprimento de ordem judicial por parte do Agente Fiduciário.</w:t>
      </w:r>
    </w:p>
    <w:p w14:paraId="4759AD85"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662927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E99E68E" w14:textId="77777777" w:rsidR="00FC10E9" w:rsidRDefault="00B10E1A">
      <w:pPr>
        <w:pStyle w:val="SCBFTtulo1"/>
        <w:keepLines w:val="0"/>
        <w:spacing w:line="300" w:lineRule="atLeast"/>
        <w:rPr>
          <w:rFonts w:ascii="Arial" w:hAnsi="Arial" w:cs="Arial"/>
          <w:color w:val="000000"/>
          <w:lang w:val="pt-BR"/>
        </w:rPr>
      </w:pPr>
      <w:bookmarkStart w:id="50" w:name="_Toc510004480"/>
      <w:r>
        <w:rPr>
          <w:rFonts w:ascii="Arial" w:hAnsi="Arial" w:cs="Arial"/>
          <w:color w:val="000000"/>
        </w:rPr>
        <w:lastRenderedPageBreak/>
        <w:t xml:space="preserve">CLÁUSULA X </w:t>
      </w:r>
      <w:r>
        <w:rPr>
          <w:rFonts w:ascii="Arial" w:hAnsi="Arial" w:cs="Arial"/>
          <w:color w:val="000000"/>
        </w:rPr>
        <w:br/>
        <w:t>ASSEMBLEIA GERAL DE DEBENTURISTAS</w:t>
      </w:r>
      <w:bookmarkEnd w:id="50"/>
      <w:r>
        <w:rPr>
          <w:rFonts w:ascii="Arial" w:hAnsi="Arial" w:cs="Arial"/>
          <w:color w:val="000000"/>
          <w:lang w:val="pt-BR"/>
        </w:rPr>
        <w:t xml:space="preserve"> </w:t>
      </w:r>
    </w:p>
    <w:p w14:paraId="112E8AB7"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18C39A4" w14:textId="77777777" w:rsidR="00FC10E9" w:rsidRDefault="00B10E1A">
      <w:pPr>
        <w:keepNext/>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10.1.</w:t>
      </w:r>
      <w:r>
        <w:rPr>
          <w:rFonts w:ascii="Arial" w:hAnsi="Arial" w:cs="Arial"/>
          <w:b/>
          <w:color w:val="000000"/>
          <w:sz w:val="22"/>
          <w:szCs w:val="22"/>
        </w:rPr>
        <w:tab/>
        <w:t>Convocação</w:t>
      </w:r>
    </w:p>
    <w:p w14:paraId="3B8C1408"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07E94D61"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10.1.1.</w:t>
      </w:r>
      <w:r>
        <w:rPr>
          <w:rFonts w:ascii="Arial" w:hAnsi="Arial" w:cs="Arial"/>
          <w:color w:val="000000"/>
          <w:sz w:val="22"/>
          <w:szCs w:val="22"/>
        </w:rPr>
        <w:tab/>
        <w:t>Os Debenturistas poderão, a qualquer tempo, reunir-se em assembleia geral de Debenturistas (“</w:t>
      </w:r>
      <w:r>
        <w:rPr>
          <w:rFonts w:ascii="Arial" w:hAnsi="Arial" w:cs="Arial"/>
          <w:color w:val="000000"/>
          <w:sz w:val="22"/>
          <w:szCs w:val="22"/>
          <w:u w:val="single"/>
        </w:rPr>
        <w:t>Assembleia Geral de Debenturistas</w:t>
      </w:r>
      <w:r>
        <w:rPr>
          <w:rFonts w:ascii="Arial" w:hAnsi="Arial" w:cs="Arial"/>
          <w:color w:val="000000"/>
          <w:sz w:val="22"/>
          <w:szCs w:val="22"/>
        </w:rPr>
        <w:t xml:space="preserve">”), de acordo com o disposto no artigo 71 da Lei das Sociedades por Ações, a fim de deliberarem sobre matéria de interesse da comunhão de Debenturistas. A Assembleia Geral de Debenturistas pode ser convocada pelo Agente Fiduciário, pela Emissora, por Debenturistas que representem 10% (dez por cento), no mínimo, das Debêntures em Circulação, ou pela CVM. </w:t>
      </w:r>
    </w:p>
    <w:p w14:paraId="1C4A26E1" w14:textId="77777777" w:rsidR="00FC10E9" w:rsidRDefault="00FC10E9">
      <w:pPr>
        <w:tabs>
          <w:tab w:val="left" w:pos="720"/>
          <w:tab w:val="left" w:pos="2366"/>
        </w:tabs>
        <w:spacing w:line="300" w:lineRule="atLeast"/>
        <w:jc w:val="both"/>
        <w:rPr>
          <w:rFonts w:ascii="Arial" w:hAnsi="Arial" w:cs="Arial"/>
          <w:color w:val="000000"/>
          <w:sz w:val="22"/>
          <w:szCs w:val="22"/>
        </w:rPr>
      </w:pPr>
    </w:p>
    <w:p w14:paraId="63C258C2"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10.1.2.</w:t>
      </w:r>
      <w:r>
        <w:rPr>
          <w:rFonts w:ascii="Arial" w:hAnsi="Arial" w:cs="Arial"/>
          <w:color w:val="000000"/>
          <w:sz w:val="22"/>
          <w:szCs w:val="22"/>
        </w:rPr>
        <w:tab/>
        <w:t>A convocação dar-se-á mediante anúncio publicado, pelo menos 3 (três) vezes, nos órgãos de imprensa nos quais a Emissora deve efetuar suas publicações, respeitadas outras regras relacionadas à publicação de anúncio de convocação de assembleias gerais constantes da Lei das Sociedades por Ações, da regulamentação aplicável e desta Escritura.</w:t>
      </w:r>
    </w:p>
    <w:p w14:paraId="31D3EE35"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A663807"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10.1.3.</w:t>
      </w:r>
      <w:r>
        <w:rPr>
          <w:rFonts w:ascii="Arial" w:hAnsi="Arial" w:cs="Arial"/>
          <w:color w:val="000000"/>
          <w:sz w:val="22"/>
          <w:szCs w:val="22"/>
        </w:rPr>
        <w:tab/>
        <w:t>As Assembleias Gerais de Debenturistas serão convocadas com antecedência mínima de 21 (vinte e um) dias, em primeira convocação. A Assembleia Geral de Debenturistas em segunda convocação somente poderá ser realizada em, no mínimo, 8 (oito) dias após a data marcada para a instalação da Assembleia Geral de Debenturistas em primeira convocação.</w:t>
      </w:r>
    </w:p>
    <w:p w14:paraId="2E80370A"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7CC53F3"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10.1.4.</w:t>
      </w:r>
      <w:r>
        <w:rPr>
          <w:rFonts w:ascii="Arial" w:hAnsi="Arial" w:cs="Arial"/>
          <w:color w:val="000000"/>
          <w:sz w:val="22"/>
          <w:szCs w:val="22"/>
        </w:rPr>
        <w:tab/>
        <w:t xml:space="preserve">Será considerada regular a Assembleia Geral de Debenturistas a que comparecerem os titulares de todas as Debêntures em Circulação, independentemente de publicações e/ou avisos. </w:t>
      </w:r>
    </w:p>
    <w:p w14:paraId="44BD5889"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EFA4FA5"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10.1.5.</w:t>
      </w:r>
      <w:r>
        <w:rPr>
          <w:rFonts w:ascii="Arial" w:hAnsi="Arial" w:cs="Arial"/>
          <w:color w:val="000000"/>
          <w:sz w:val="22"/>
          <w:szCs w:val="22"/>
        </w:rPr>
        <w:tab/>
        <w:t xml:space="preserve">As deliberações tomadas pelos Debenturistas, no âmbito de sua competência legal, observados os quóruns estabelecidos nesta Escritura, serão existentes, válidas e eficazes perante a Emissora e obrigarão a todos os titulares das Debêntures em Circulação, independentemente do comparecimento ou do voto proferido na respectiva Assembleia Geral de Debenturistas. </w:t>
      </w:r>
    </w:p>
    <w:p w14:paraId="53CE388B"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295C10E7" w14:textId="77777777" w:rsidR="00FC10E9" w:rsidRDefault="00B10E1A">
      <w:pPr>
        <w:keepNext/>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10.2.</w:t>
      </w:r>
      <w:r>
        <w:rPr>
          <w:rFonts w:ascii="Arial" w:hAnsi="Arial" w:cs="Arial"/>
          <w:b/>
          <w:color w:val="000000"/>
          <w:sz w:val="22"/>
          <w:szCs w:val="22"/>
        </w:rPr>
        <w:tab/>
        <w:t>Quórum de Instalação</w:t>
      </w:r>
    </w:p>
    <w:p w14:paraId="4C0130AE"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64B556FB"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10.2.1.</w:t>
      </w:r>
      <w:r>
        <w:rPr>
          <w:rFonts w:ascii="Arial" w:hAnsi="Arial" w:cs="Arial"/>
          <w:color w:val="000000"/>
          <w:sz w:val="22"/>
          <w:szCs w:val="22"/>
        </w:rPr>
        <w:tab/>
        <w:t xml:space="preserve">A Assembleia Geral de Debenturistas instalar-se-á, em primeira convocação, com a presença de Debenturistas que representem a metade, no mínimo, das Debêntures em Circulação e, em segunda convocação, com qualquer número de Debenturistas. </w:t>
      </w:r>
    </w:p>
    <w:p w14:paraId="1BD6B7DF"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758B3F1"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10.2.2.</w:t>
      </w:r>
      <w:r>
        <w:rPr>
          <w:rFonts w:ascii="Arial" w:hAnsi="Arial" w:cs="Arial"/>
          <w:color w:val="000000"/>
          <w:sz w:val="22"/>
          <w:szCs w:val="22"/>
        </w:rPr>
        <w:tab/>
        <w:t>Para efeito da constituição de todos e quaisquer dos quóruns de instalação e/ou deliberação da Assembleia Geral de Debenturistas previstos nesta Escritura, consideram-se “</w:t>
      </w:r>
      <w:r>
        <w:rPr>
          <w:rFonts w:ascii="Arial" w:hAnsi="Arial" w:cs="Arial"/>
          <w:color w:val="000000"/>
          <w:sz w:val="22"/>
          <w:szCs w:val="22"/>
          <w:u w:val="single"/>
        </w:rPr>
        <w:t>Debêntures em Circulação</w:t>
      </w:r>
      <w:r>
        <w:rPr>
          <w:rFonts w:ascii="Arial" w:hAnsi="Arial" w:cs="Arial"/>
          <w:color w:val="000000"/>
          <w:sz w:val="22"/>
          <w:szCs w:val="22"/>
        </w:rPr>
        <w:t xml:space="preserve">” todas as Debêntures subscritas, excluídas aquelas mantidas em tesouraria pela Emissora e as de titularidade de empresas controladas ou coligadas pela Emissora (diretas ou indiretas), controladoras (ou grupo de controle) da Emissora, sociedades sob controle comum, administradores da Emissora, incluindo, mas não se limitando a, </w:t>
      </w:r>
      <w:r>
        <w:rPr>
          <w:rFonts w:ascii="Arial" w:hAnsi="Arial" w:cs="Arial"/>
          <w:color w:val="000000"/>
          <w:sz w:val="22"/>
          <w:szCs w:val="22"/>
        </w:rPr>
        <w:lastRenderedPageBreak/>
        <w:t xml:space="preserve">pessoas direta ou indiretamente relacionadas a qualquer das pessoas anteriormente mencionadas. </w:t>
      </w:r>
    </w:p>
    <w:p w14:paraId="40FBD46E" w14:textId="77777777" w:rsidR="00FC10E9" w:rsidRDefault="00FC10E9">
      <w:pPr>
        <w:tabs>
          <w:tab w:val="left" w:pos="720"/>
          <w:tab w:val="left" w:pos="2366"/>
        </w:tabs>
        <w:spacing w:line="300" w:lineRule="atLeast"/>
        <w:ind w:firstLine="708"/>
        <w:jc w:val="both"/>
        <w:rPr>
          <w:rFonts w:ascii="Arial" w:hAnsi="Arial" w:cs="Arial"/>
          <w:color w:val="000000"/>
          <w:sz w:val="22"/>
          <w:szCs w:val="22"/>
        </w:rPr>
      </w:pPr>
    </w:p>
    <w:p w14:paraId="18115C6D"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10.3.</w:t>
      </w:r>
      <w:r>
        <w:rPr>
          <w:rFonts w:ascii="Arial" w:hAnsi="Arial" w:cs="Arial"/>
          <w:b/>
          <w:color w:val="000000"/>
          <w:sz w:val="22"/>
          <w:szCs w:val="22"/>
        </w:rPr>
        <w:tab/>
        <w:t>Mesa Diretora</w:t>
      </w:r>
    </w:p>
    <w:p w14:paraId="6D137A9E"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F53E202"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10.3.1.</w:t>
      </w:r>
      <w:r>
        <w:rPr>
          <w:rFonts w:ascii="Arial" w:hAnsi="Arial" w:cs="Arial"/>
          <w:color w:val="000000"/>
          <w:sz w:val="22"/>
          <w:szCs w:val="22"/>
        </w:rPr>
        <w:tab/>
        <w:t>A presidência da Assembleia Geral de Debenturistas caberá ao Debenturista eleito pela comunhão dos Debenturistas ou àquele que for designado pela CVM.</w:t>
      </w:r>
    </w:p>
    <w:p w14:paraId="70121BB3" w14:textId="77777777" w:rsidR="00FC10E9" w:rsidRDefault="00FC10E9">
      <w:pPr>
        <w:tabs>
          <w:tab w:val="left" w:pos="720"/>
          <w:tab w:val="left" w:pos="2366"/>
        </w:tabs>
        <w:spacing w:line="300" w:lineRule="atLeast"/>
        <w:jc w:val="both"/>
        <w:rPr>
          <w:rFonts w:ascii="Arial" w:hAnsi="Arial" w:cs="Arial"/>
          <w:color w:val="000000"/>
          <w:sz w:val="22"/>
          <w:szCs w:val="22"/>
        </w:rPr>
      </w:pPr>
    </w:p>
    <w:p w14:paraId="01BD8BFB" w14:textId="77777777" w:rsidR="00FC10E9" w:rsidRDefault="00B10E1A">
      <w:pPr>
        <w:keepNext/>
        <w:tabs>
          <w:tab w:val="left" w:pos="720"/>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10.4.</w:t>
      </w:r>
      <w:r>
        <w:rPr>
          <w:rFonts w:ascii="Arial" w:hAnsi="Arial" w:cs="Arial"/>
          <w:b/>
          <w:color w:val="000000"/>
          <w:sz w:val="22"/>
          <w:szCs w:val="22"/>
        </w:rPr>
        <w:tab/>
        <w:t>Quórum de Deliberação</w:t>
      </w:r>
    </w:p>
    <w:p w14:paraId="5FAFC9AA"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75D86269"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10.4.1.</w:t>
      </w:r>
      <w:r>
        <w:rPr>
          <w:rFonts w:ascii="Arial" w:hAnsi="Arial" w:cs="Arial"/>
          <w:color w:val="000000"/>
          <w:sz w:val="22"/>
          <w:szCs w:val="22"/>
        </w:rPr>
        <w:tab/>
        <w:t xml:space="preserve">Nas deliberações da Assembleia Geral de Debenturistas, a cada Debênture em Circulação caberá um voto, admitida a constituição de mandatário, </w:t>
      </w:r>
      <w:proofErr w:type="gramStart"/>
      <w:r>
        <w:rPr>
          <w:rFonts w:ascii="Arial" w:hAnsi="Arial" w:cs="Arial"/>
          <w:color w:val="000000"/>
          <w:sz w:val="22"/>
          <w:szCs w:val="22"/>
        </w:rPr>
        <w:t>Debenturista</w:t>
      </w:r>
      <w:proofErr w:type="gramEnd"/>
      <w:r>
        <w:rPr>
          <w:rFonts w:ascii="Arial" w:hAnsi="Arial" w:cs="Arial"/>
          <w:color w:val="000000"/>
          <w:sz w:val="22"/>
          <w:szCs w:val="22"/>
        </w:rPr>
        <w:t xml:space="preserve"> ou não. </w:t>
      </w:r>
    </w:p>
    <w:p w14:paraId="09445D52"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EBCB9FB" w14:textId="77777777" w:rsidR="00FC10E9" w:rsidRDefault="00B10E1A">
      <w:pPr>
        <w:tabs>
          <w:tab w:val="left" w:pos="720"/>
          <w:tab w:val="left" w:pos="2366"/>
        </w:tabs>
        <w:spacing w:line="300" w:lineRule="atLeast"/>
        <w:jc w:val="both"/>
        <w:rPr>
          <w:rFonts w:ascii="Arial" w:hAnsi="Arial" w:cs="Arial"/>
          <w:b/>
          <w:color w:val="000000"/>
          <w:sz w:val="22"/>
          <w:szCs w:val="22"/>
        </w:rPr>
      </w:pPr>
      <w:r>
        <w:rPr>
          <w:rFonts w:ascii="Arial" w:hAnsi="Arial" w:cs="Arial"/>
          <w:color w:val="000000"/>
          <w:sz w:val="22"/>
          <w:szCs w:val="22"/>
        </w:rPr>
        <w:t>10.4.2. Não obstante o disposto na Cláusula 10.4.1 acima, as deliberações relativas a alterações ou exclusão (i) dos Juros Remuneratórios (inclusive alterações em qualquer Data de Pagamento dos Juros Remuneratórios), (</w:t>
      </w:r>
      <w:proofErr w:type="spellStart"/>
      <w:r>
        <w:rPr>
          <w:rFonts w:ascii="Arial" w:hAnsi="Arial" w:cs="Arial"/>
          <w:color w:val="000000"/>
          <w:sz w:val="22"/>
          <w:szCs w:val="22"/>
        </w:rPr>
        <w:t>ii</w:t>
      </w:r>
      <w:proofErr w:type="spellEnd"/>
      <w:r>
        <w:rPr>
          <w:rFonts w:ascii="Arial" w:hAnsi="Arial" w:cs="Arial"/>
          <w:color w:val="000000"/>
          <w:sz w:val="22"/>
          <w:szCs w:val="22"/>
        </w:rPr>
        <w:t>) resgate antecipado, (</w:t>
      </w:r>
      <w:proofErr w:type="spellStart"/>
      <w:r>
        <w:rPr>
          <w:rFonts w:ascii="Arial" w:hAnsi="Arial" w:cs="Arial"/>
          <w:color w:val="000000"/>
          <w:sz w:val="22"/>
          <w:szCs w:val="22"/>
        </w:rPr>
        <w:t>iii</w:t>
      </w:r>
      <w:proofErr w:type="spellEnd"/>
      <w:r>
        <w:rPr>
          <w:rFonts w:ascii="Arial" w:hAnsi="Arial" w:cs="Arial"/>
          <w:color w:val="000000"/>
          <w:sz w:val="22"/>
          <w:szCs w:val="22"/>
        </w:rPr>
        <w:t>) repactuação, e/ou (</w:t>
      </w:r>
      <w:proofErr w:type="spellStart"/>
      <w:r>
        <w:rPr>
          <w:rFonts w:ascii="Arial" w:hAnsi="Arial" w:cs="Arial"/>
          <w:color w:val="000000"/>
          <w:sz w:val="22"/>
          <w:szCs w:val="22"/>
        </w:rPr>
        <w:t>iv</w:t>
      </w:r>
      <w:proofErr w:type="spellEnd"/>
      <w:r>
        <w:rPr>
          <w:rFonts w:ascii="Arial" w:hAnsi="Arial" w:cs="Arial"/>
          <w:color w:val="000000"/>
          <w:sz w:val="22"/>
          <w:szCs w:val="22"/>
        </w:rPr>
        <w:t xml:space="preserve">) alterações dos itens que dispõem sobre hipóteses de vencimento antecipado, (v) prazo das Debêntures e/ou (vi) dispositivos sobre quórum previstos nesta Escritura, deverão contar com aprovação de Debenturistas representando, no mínimo, 80% (oitenta por cento) das Debêntures em Circulação. </w:t>
      </w:r>
    </w:p>
    <w:p w14:paraId="49378596" w14:textId="77777777" w:rsidR="00FC10E9" w:rsidRDefault="00FC10E9">
      <w:pPr>
        <w:tabs>
          <w:tab w:val="left" w:pos="720"/>
          <w:tab w:val="left" w:pos="2366"/>
        </w:tabs>
        <w:spacing w:line="300" w:lineRule="atLeast"/>
        <w:jc w:val="both"/>
        <w:rPr>
          <w:rFonts w:ascii="Arial" w:hAnsi="Arial" w:cs="Arial"/>
          <w:color w:val="000000"/>
          <w:sz w:val="22"/>
          <w:szCs w:val="22"/>
        </w:rPr>
      </w:pPr>
    </w:p>
    <w:p w14:paraId="720C9631"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10.4.4.</w:t>
      </w:r>
      <w:r>
        <w:rPr>
          <w:rFonts w:ascii="Arial" w:hAnsi="Arial" w:cs="Arial"/>
          <w:color w:val="000000"/>
          <w:sz w:val="22"/>
          <w:szCs w:val="22"/>
        </w:rPr>
        <w:tab/>
        <w:t>Ressalvados os casos aqui previstos, as matérias sujeitas à Assembleia Geral de Debenturistas, incluindo os pedidos de anuência prévia (</w:t>
      </w:r>
      <w:proofErr w:type="spellStart"/>
      <w:r>
        <w:rPr>
          <w:rFonts w:ascii="Arial" w:hAnsi="Arial" w:cs="Arial"/>
          <w:i/>
          <w:iCs/>
          <w:color w:val="000000"/>
          <w:sz w:val="22"/>
          <w:szCs w:val="22"/>
        </w:rPr>
        <w:t>waiver</w:t>
      </w:r>
      <w:proofErr w:type="spellEnd"/>
      <w:r>
        <w:rPr>
          <w:rFonts w:ascii="Arial" w:hAnsi="Arial" w:cs="Arial"/>
          <w:color w:val="000000"/>
          <w:sz w:val="22"/>
          <w:szCs w:val="22"/>
        </w:rPr>
        <w:t xml:space="preserve">) ou perdão temporário referente às Debêntures, serão aprovadas pelos titulares da maioria absoluta das Debêntures em Circulação ou, caso venha a ser permitido pela regulamentação aplicável, pelos titulares da maioria simples das Debêntures em Circulação que estiverem presentes na Assembleia Geral de Debenturistas, exceto pelos quóruns expressamente previstos em outras Cláusulas desta Escritura de Emissão. </w:t>
      </w:r>
    </w:p>
    <w:p w14:paraId="67EAD9AC"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7AD8FB3" w14:textId="77777777" w:rsidR="00FC10E9" w:rsidRDefault="00B10E1A">
      <w:pPr>
        <w:keepNext/>
        <w:keepLines/>
        <w:tabs>
          <w:tab w:val="left" w:pos="720"/>
          <w:tab w:val="left" w:pos="2366"/>
        </w:tabs>
        <w:spacing w:line="300" w:lineRule="atLeast"/>
        <w:jc w:val="both"/>
        <w:rPr>
          <w:rFonts w:ascii="Arial" w:hAnsi="Arial" w:cs="Arial"/>
          <w:color w:val="000000"/>
          <w:sz w:val="22"/>
          <w:szCs w:val="22"/>
        </w:rPr>
      </w:pPr>
      <w:r>
        <w:rPr>
          <w:rFonts w:ascii="Arial" w:hAnsi="Arial" w:cs="Arial"/>
          <w:b/>
          <w:color w:val="000000"/>
          <w:sz w:val="22"/>
          <w:szCs w:val="22"/>
        </w:rPr>
        <w:t>10.5.</w:t>
      </w:r>
      <w:r>
        <w:rPr>
          <w:rFonts w:ascii="Arial" w:hAnsi="Arial" w:cs="Arial"/>
          <w:b/>
          <w:color w:val="000000"/>
          <w:sz w:val="22"/>
          <w:szCs w:val="22"/>
        </w:rPr>
        <w:tab/>
        <w:t xml:space="preserve">Outras disposições à Assembleia Geral de Debenturistas </w:t>
      </w:r>
    </w:p>
    <w:p w14:paraId="186E954E" w14:textId="77777777" w:rsidR="00FC10E9" w:rsidRDefault="00FC10E9">
      <w:pPr>
        <w:keepNext/>
        <w:keepLines/>
        <w:tabs>
          <w:tab w:val="left" w:pos="720"/>
          <w:tab w:val="left" w:pos="2366"/>
        </w:tabs>
        <w:spacing w:line="300" w:lineRule="atLeast"/>
        <w:jc w:val="both"/>
        <w:rPr>
          <w:rFonts w:ascii="Arial" w:hAnsi="Arial" w:cs="Arial"/>
          <w:color w:val="000000"/>
          <w:sz w:val="22"/>
          <w:szCs w:val="22"/>
        </w:rPr>
      </w:pPr>
    </w:p>
    <w:p w14:paraId="65628B8E"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10.5.1.</w:t>
      </w:r>
      <w:r>
        <w:rPr>
          <w:rFonts w:ascii="Arial" w:hAnsi="Arial" w:cs="Arial"/>
          <w:color w:val="000000"/>
          <w:sz w:val="22"/>
          <w:szCs w:val="22"/>
        </w:rPr>
        <w:tab/>
        <w:t>Será facultada a presença dos representantes legais da Companhia nas Assembleias Gerais de Debenturistas.</w:t>
      </w:r>
    </w:p>
    <w:p w14:paraId="1090A599"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82D9E59"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10.5.2.</w:t>
      </w:r>
      <w:r>
        <w:rPr>
          <w:rFonts w:ascii="Arial" w:hAnsi="Arial" w:cs="Arial"/>
          <w:color w:val="000000"/>
          <w:sz w:val="22"/>
          <w:szCs w:val="22"/>
        </w:rPr>
        <w:tab/>
        <w:t>O Agente Fiduciário deverá comparecer às Assembleias Gerais de Debenturistas e prestar aos Debenturistas as informações que lhe forem solicitadas.</w:t>
      </w:r>
    </w:p>
    <w:p w14:paraId="292085EA" w14:textId="77777777" w:rsidR="00FC10E9" w:rsidRDefault="00FC10E9">
      <w:pPr>
        <w:tabs>
          <w:tab w:val="left" w:pos="720"/>
          <w:tab w:val="left" w:pos="2366"/>
        </w:tabs>
        <w:spacing w:line="300" w:lineRule="atLeast"/>
        <w:jc w:val="both"/>
        <w:rPr>
          <w:rFonts w:ascii="Arial" w:hAnsi="Arial" w:cs="Arial"/>
          <w:color w:val="000000"/>
          <w:sz w:val="22"/>
          <w:szCs w:val="22"/>
        </w:rPr>
      </w:pPr>
    </w:p>
    <w:p w14:paraId="5FBE23B8"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10.5.3.</w:t>
      </w:r>
      <w:r>
        <w:rPr>
          <w:rFonts w:ascii="Arial" w:hAnsi="Arial" w:cs="Arial"/>
          <w:color w:val="000000"/>
          <w:sz w:val="22"/>
          <w:szCs w:val="22"/>
        </w:rPr>
        <w:tab/>
        <w:t xml:space="preserve"> Aplicar-se-á às Assembleias Gerais de Debenturistas, no que couber, o disposto na Lei das Sociedades por Ações sobre a assembleia geral de acionistas.</w:t>
      </w:r>
    </w:p>
    <w:p w14:paraId="1C6D2F26" w14:textId="77777777" w:rsidR="00FC10E9" w:rsidRDefault="00FC10E9">
      <w:pPr>
        <w:tabs>
          <w:tab w:val="left" w:pos="720"/>
          <w:tab w:val="left" w:pos="2366"/>
        </w:tabs>
        <w:spacing w:line="300" w:lineRule="atLeast"/>
        <w:jc w:val="both"/>
        <w:rPr>
          <w:rFonts w:ascii="Arial" w:hAnsi="Arial" w:cs="Arial"/>
          <w:color w:val="000000"/>
          <w:sz w:val="22"/>
          <w:szCs w:val="22"/>
        </w:rPr>
      </w:pPr>
    </w:p>
    <w:p w14:paraId="23B68E76"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color w:val="000000"/>
          <w:sz w:val="22"/>
          <w:szCs w:val="22"/>
        </w:rPr>
        <w:t xml:space="preserve">10.5.4. As Assembleias Gerais Debenturistas poderão ser realizadas de forma presencial e, conforme disposto na Resolução 81, de 29 de março de 2022 (“Resolução 81”), ser realizada de modo parcial ou exclusivamente digital (incluindo, mas sem limitação, por vídeo conferência e votação a distância) e, caso venha a ser regulamentado pela CVM, poderão ser </w:t>
      </w:r>
      <w:r>
        <w:rPr>
          <w:rFonts w:ascii="Arial" w:hAnsi="Arial" w:cs="Arial"/>
          <w:color w:val="000000"/>
          <w:sz w:val="22"/>
          <w:szCs w:val="22"/>
        </w:rPr>
        <w:lastRenderedPageBreak/>
        <w:t>alternativamente realizadas por conferência telefônica, ou por qualquer outro meio de comunicação.</w:t>
      </w:r>
      <w:r>
        <w:rPr>
          <w:w w:val="0"/>
        </w:rPr>
        <w:t xml:space="preserve"> </w:t>
      </w:r>
    </w:p>
    <w:p w14:paraId="2D840D8D" w14:textId="77777777" w:rsidR="00FC10E9" w:rsidRDefault="00FC10E9">
      <w:pPr>
        <w:tabs>
          <w:tab w:val="left" w:pos="720"/>
          <w:tab w:val="left" w:pos="2366"/>
        </w:tabs>
        <w:spacing w:line="300" w:lineRule="atLeast"/>
        <w:jc w:val="both"/>
        <w:rPr>
          <w:rFonts w:ascii="Arial" w:hAnsi="Arial" w:cs="Arial"/>
          <w:color w:val="000000"/>
          <w:sz w:val="22"/>
          <w:szCs w:val="22"/>
        </w:rPr>
      </w:pPr>
    </w:p>
    <w:p w14:paraId="3E08950B" w14:textId="77777777" w:rsidR="00FC10E9" w:rsidRDefault="00B10E1A">
      <w:pPr>
        <w:pStyle w:val="SCBFTtulo1"/>
        <w:keepLines w:val="0"/>
        <w:spacing w:line="300" w:lineRule="atLeast"/>
        <w:rPr>
          <w:rFonts w:ascii="Arial" w:hAnsi="Arial" w:cs="Arial"/>
          <w:color w:val="000000"/>
        </w:rPr>
      </w:pPr>
      <w:bookmarkStart w:id="51" w:name="_Toc510004481"/>
      <w:r>
        <w:rPr>
          <w:rFonts w:ascii="Arial" w:hAnsi="Arial" w:cs="Arial"/>
          <w:color w:val="000000"/>
        </w:rPr>
        <w:t xml:space="preserve">CLÁUSULA XI </w:t>
      </w:r>
      <w:r>
        <w:rPr>
          <w:rFonts w:ascii="Arial" w:hAnsi="Arial" w:cs="Arial"/>
          <w:color w:val="000000"/>
        </w:rPr>
        <w:br/>
        <w:t>DECLARAÇÕES E GARANTIAS DA EMISSORA</w:t>
      </w:r>
      <w:bookmarkEnd w:id="51"/>
    </w:p>
    <w:p w14:paraId="6A4A9106"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9AA7EB4" w14:textId="77777777" w:rsidR="00FC10E9" w:rsidRDefault="00B10E1A">
      <w:pPr>
        <w:tabs>
          <w:tab w:val="left" w:pos="720"/>
          <w:tab w:val="left" w:pos="2366"/>
        </w:tabs>
        <w:spacing w:line="300" w:lineRule="atLeast"/>
        <w:jc w:val="both"/>
        <w:rPr>
          <w:rFonts w:ascii="Arial" w:hAnsi="Arial" w:cs="Arial"/>
          <w:color w:val="000000"/>
          <w:sz w:val="22"/>
          <w:szCs w:val="22"/>
        </w:rPr>
      </w:pPr>
      <w:r>
        <w:rPr>
          <w:rFonts w:ascii="Arial" w:hAnsi="Arial" w:cs="Arial"/>
          <w:b/>
          <w:color w:val="000000"/>
          <w:sz w:val="22"/>
          <w:szCs w:val="22"/>
        </w:rPr>
        <w:t>11.1.</w:t>
      </w:r>
      <w:r>
        <w:rPr>
          <w:rFonts w:ascii="Arial" w:hAnsi="Arial" w:cs="Arial"/>
          <w:color w:val="000000"/>
          <w:sz w:val="22"/>
          <w:szCs w:val="22"/>
        </w:rPr>
        <w:tab/>
        <w:t xml:space="preserve">A Emissora declara e garante ao Agente Fiduciário, na data da assinatura desta Escritura, que: </w:t>
      </w:r>
    </w:p>
    <w:p w14:paraId="2CCB8BF8" w14:textId="77777777" w:rsidR="00FC10E9" w:rsidRDefault="00FC10E9">
      <w:pPr>
        <w:tabs>
          <w:tab w:val="left" w:pos="720"/>
          <w:tab w:val="left" w:pos="2366"/>
        </w:tabs>
        <w:spacing w:line="300" w:lineRule="atLeast"/>
        <w:jc w:val="both"/>
        <w:rPr>
          <w:rFonts w:ascii="Arial" w:hAnsi="Arial" w:cs="Arial"/>
          <w:color w:val="000000"/>
          <w:sz w:val="22"/>
          <w:szCs w:val="22"/>
        </w:rPr>
      </w:pPr>
    </w:p>
    <w:p w14:paraId="17C57500"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(a)</w:t>
      </w:r>
      <w:r>
        <w:rPr>
          <w:rFonts w:ascii="Arial" w:hAnsi="Arial" w:cs="Arial"/>
          <w:color w:val="000000"/>
          <w:sz w:val="22"/>
          <w:szCs w:val="22"/>
        </w:rPr>
        <w:tab/>
        <w:t xml:space="preserve">é uma sociedade por ações devidamente </w:t>
      </w:r>
      <w:r>
        <w:rPr>
          <w:rFonts w:ascii="Arial" w:hAnsi="Arial" w:cs="Arial"/>
          <w:color w:val="000000"/>
          <w:w w:val="0"/>
          <w:sz w:val="22"/>
          <w:szCs w:val="22"/>
        </w:rPr>
        <w:t>organizada,</w:t>
      </w:r>
      <w:r>
        <w:rPr>
          <w:rFonts w:ascii="Arial" w:hAnsi="Arial" w:cs="Arial"/>
          <w:color w:val="000000"/>
          <w:sz w:val="22"/>
          <w:szCs w:val="22"/>
        </w:rPr>
        <w:t xml:space="preserve"> constituída</w:t>
      </w:r>
      <w:r>
        <w:rPr>
          <w:rFonts w:ascii="Arial" w:hAnsi="Arial" w:cs="Arial"/>
          <w:color w:val="000000"/>
          <w:w w:val="0"/>
          <w:sz w:val="22"/>
          <w:szCs w:val="22"/>
        </w:rPr>
        <w:t xml:space="preserve"> e existente sob a forma de companhia aberta </w:t>
      </w:r>
      <w:r>
        <w:rPr>
          <w:rFonts w:ascii="Arial" w:hAnsi="Arial" w:cs="Arial"/>
          <w:color w:val="000000"/>
          <w:sz w:val="22"/>
          <w:szCs w:val="22"/>
        </w:rPr>
        <w:t xml:space="preserve">segundo as leis da República Federativa do Brasil, o registro de companhia aberta da Emissora está atualizado perante a CVM, conforme requerido pela Resolução CVM 80, e suas informações lá contidas e tornadas públicas estão atualizadas conforme requerido pela Resolução CVM 80; </w:t>
      </w:r>
    </w:p>
    <w:p w14:paraId="0D26348E"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DBADDDE"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(b)</w:t>
      </w:r>
      <w:r>
        <w:rPr>
          <w:rFonts w:ascii="Arial" w:hAnsi="Arial" w:cs="Arial"/>
          <w:color w:val="000000"/>
          <w:sz w:val="22"/>
          <w:szCs w:val="22"/>
        </w:rPr>
        <w:tab/>
        <w:t>está devidamente autorizada a celebrar a presente Escritura, a emitir as Debêntures e a cumprir suas respectivas obrigações previstas nesta Escritura e nos demais documentos relativos à Emissão, tendo sido satisfeitos todos os requisitos legais e estatutários necessários para tanto;</w:t>
      </w:r>
    </w:p>
    <w:p w14:paraId="54DE3C8D"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CC5E22F"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(c)</w:t>
      </w:r>
      <w:r>
        <w:rPr>
          <w:rFonts w:ascii="Arial" w:hAnsi="Arial" w:cs="Arial"/>
          <w:color w:val="000000"/>
          <w:sz w:val="22"/>
          <w:szCs w:val="22"/>
        </w:rPr>
        <w:tab/>
      </w:r>
      <w:r>
        <w:rPr>
          <w:rFonts w:ascii="Arial" w:hAnsi="Arial" w:cs="Arial"/>
          <w:color w:val="000000"/>
          <w:w w:val="0"/>
          <w:sz w:val="22"/>
          <w:szCs w:val="22"/>
        </w:rPr>
        <w:t>as obrigações assumidas n</w:t>
      </w:r>
      <w:r>
        <w:rPr>
          <w:rFonts w:ascii="Arial" w:hAnsi="Arial" w:cs="Arial"/>
          <w:color w:val="000000"/>
          <w:sz w:val="22"/>
          <w:szCs w:val="22"/>
        </w:rPr>
        <w:t xml:space="preserve">esta Escritura constituem </w:t>
      </w:r>
      <w:r>
        <w:rPr>
          <w:rFonts w:ascii="Arial" w:hAnsi="Arial" w:cs="Arial"/>
          <w:color w:val="000000"/>
          <w:w w:val="0"/>
          <w:sz w:val="22"/>
          <w:szCs w:val="22"/>
        </w:rPr>
        <w:t xml:space="preserve">obrigações legalmente válidas e vinculantes da Emissora, exequíveis </w:t>
      </w:r>
      <w:r>
        <w:rPr>
          <w:rFonts w:ascii="Arial" w:hAnsi="Arial" w:cs="Arial"/>
          <w:color w:val="000000"/>
          <w:sz w:val="22"/>
          <w:szCs w:val="22"/>
        </w:rPr>
        <w:t>de acordo com seus termos e condições, exceto que sua execução poderá estar limitada por leis relativas à falência, insolvência, recuperação, liquidação ou leis similares afetando a execução de direitos de credores em geral;</w:t>
      </w:r>
    </w:p>
    <w:p w14:paraId="7E8313AA"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59664DC"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(d)</w:t>
      </w:r>
      <w:r>
        <w:rPr>
          <w:rFonts w:ascii="Arial" w:hAnsi="Arial" w:cs="Arial"/>
          <w:color w:val="000000"/>
          <w:sz w:val="22"/>
          <w:szCs w:val="22"/>
        </w:rPr>
        <w:tab/>
      </w:r>
      <w:r>
        <w:rPr>
          <w:rFonts w:ascii="Arial" w:hAnsi="Arial" w:cs="Arial"/>
          <w:color w:val="000000"/>
          <w:w w:val="0"/>
          <w:sz w:val="22"/>
          <w:szCs w:val="22"/>
        </w:rPr>
        <w:t>manterá em vigor toda a estrutura de contratos e demais acordos existentes necessários para assegurar à Emissora a manutenção das suas condições atuais de operação e funcionamento;</w:t>
      </w:r>
    </w:p>
    <w:p w14:paraId="75A80863"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4A56AE35"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(e)</w:t>
      </w:r>
      <w:r>
        <w:rPr>
          <w:rFonts w:ascii="Arial" w:hAnsi="Arial" w:cs="Arial"/>
          <w:color w:val="000000"/>
          <w:sz w:val="22"/>
          <w:szCs w:val="22"/>
        </w:rPr>
        <w:tab/>
        <w:t>a celebração da presente Escritura e a emissão das Debêntures foram devidamente autorizadas pelos seus órgãos societários competentes e não infringem: (i) seu Estatuto Social; ou (</w:t>
      </w:r>
      <w:proofErr w:type="spellStart"/>
      <w:r>
        <w:rPr>
          <w:rFonts w:ascii="Arial" w:hAnsi="Arial" w:cs="Arial"/>
          <w:color w:val="000000"/>
          <w:sz w:val="22"/>
          <w:szCs w:val="22"/>
        </w:rPr>
        <w:t>ii</w:t>
      </w:r>
      <w:proofErr w:type="spellEnd"/>
      <w:r>
        <w:rPr>
          <w:rFonts w:ascii="Arial" w:hAnsi="Arial" w:cs="Arial"/>
          <w:color w:val="000000"/>
          <w:sz w:val="22"/>
          <w:szCs w:val="22"/>
        </w:rPr>
        <w:t>) qualquer lei ou restrição contratual que a vincule ou afete;</w:t>
      </w:r>
    </w:p>
    <w:p w14:paraId="7A6604FC"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36DA40AB"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(f)</w:t>
      </w:r>
      <w:r>
        <w:rPr>
          <w:rFonts w:ascii="Arial" w:hAnsi="Arial" w:cs="Arial"/>
          <w:color w:val="000000"/>
          <w:sz w:val="22"/>
          <w:szCs w:val="22"/>
        </w:rPr>
        <w:tab/>
        <w:t xml:space="preserve">nenhum registro, consentimento, autorização, aprovação, licença, ordem de, ou qualificação junto a qualquer autoridade governamental ou órgão regulatório é exigido para o cumprimento pela Emissora de suas obrigações nos termos da presente Escritura, ou para a realização da Emissão, exceto pelo </w:t>
      </w:r>
      <w:r>
        <w:rPr>
          <w:rFonts w:ascii="Arial" w:hAnsi="Arial" w:cs="Arial"/>
          <w:sz w:val="22"/>
          <w:szCs w:val="22"/>
        </w:rPr>
        <w:t>arquivamento da RCA e da Escritura na JUCERJA</w:t>
      </w:r>
      <w:r>
        <w:rPr>
          <w:rFonts w:ascii="Arial" w:hAnsi="Arial" w:cs="Arial"/>
          <w:color w:val="000000"/>
          <w:sz w:val="22"/>
          <w:szCs w:val="22"/>
        </w:rPr>
        <w:t xml:space="preserve"> e pelo registro das Debêntures junto à B3</w:t>
      </w:r>
      <w:r>
        <w:rPr>
          <w:rFonts w:ascii="Arial" w:hAnsi="Arial" w:cs="Arial"/>
          <w:sz w:val="22"/>
          <w:szCs w:val="22"/>
        </w:rPr>
        <w:t xml:space="preserve"> e à ANBIMA, </w:t>
      </w:r>
      <w:r>
        <w:rPr>
          <w:rFonts w:ascii="Arial" w:hAnsi="Arial" w:cs="Arial"/>
          <w:color w:val="000000"/>
          <w:sz w:val="22"/>
          <w:szCs w:val="22"/>
        </w:rPr>
        <w:t>exclusivamente para fins de informar a base de dados da ANBIMA</w:t>
      </w:r>
      <w:r>
        <w:rPr>
          <w:rFonts w:ascii="Arial" w:hAnsi="Arial" w:cs="Arial"/>
          <w:sz w:val="22"/>
          <w:szCs w:val="22"/>
        </w:rPr>
        <w:t>, conforme o caso</w:t>
      </w:r>
      <w:r>
        <w:rPr>
          <w:rFonts w:ascii="Arial" w:hAnsi="Arial" w:cs="Arial"/>
          <w:color w:val="000000"/>
          <w:sz w:val="22"/>
          <w:szCs w:val="22"/>
        </w:rPr>
        <w:t>;</w:t>
      </w:r>
    </w:p>
    <w:p w14:paraId="6DEFA32E"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1D540B5B"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(g)</w:t>
      </w:r>
      <w:r>
        <w:rPr>
          <w:rFonts w:ascii="Arial" w:hAnsi="Arial" w:cs="Arial"/>
          <w:color w:val="000000"/>
          <w:sz w:val="22"/>
          <w:szCs w:val="22"/>
        </w:rPr>
        <w:tab/>
        <w:t>a celebração da presente Escritura e a emissão das Debêntures não infringem qualquer contrato ou instrumento dos quais a Emissora seja parte, nem irá resultar em: (i) vencimento antecipado de qualquer obrigação estabelecida em quaisquer desses contratos ou instrumentos; (</w:t>
      </w:r>
      <w:proofErr w:type="spellStart"/>
      <w:r>
        <w:rPr>
          <w:rFonts w:ascii="Arial" w:hAnsi="Arial" w:cs="Arial"/>
          <w:color w:val="000000"/>
          <w:sz w:val="22"/>
          <w:szCs w:val="22"/>
        </w:rPr>
        <w:t>ii</w:t>
      </w:r>
      <w:proofErr w:type="spellEnd"/>
      <w:r>
        <w:rPr>
          <w:rFonts w:ascii="Arial" w:hAnsi="Arial" w:cs="Arial"/>
          <w:color w:val="000000"/>
          <w:sz w:val="22"/>
          <w:szCs w:val="22"/>
        </w:rPr>
        <w:t xml:space="preserve">) criação de qualquer ônus ou gravame sobre qualquer </w:t>
      </w:r>
      <w:r>
        <w:rPr>
          <w:rFonts w:ascii="Arial" w:hAnsi="Arial" w:cs="Arial"/>
          <w:color w:val="000000"/>
          <w:sz w:val="22"/>
          <w:szCs w:val="22"/>
        </w:rPr>
        <w:lastRenderedPageBreak/>
        <w:t>ativo ou bem da Emissora, exceto por aqueles já existentes na presente data; ou (</w:t>
      </w:r>
      <w:proofErr w:type="spellStart"/>
      <w:r>
        <w:rPr>
          <w:rFonts w:ascii="Arial" w:hAnsi="Arial" w:cs="Arial"/>
          <w:color w:val="000000"/>
          <w:sz w:val="22"/>
          <w:szCs w:val="22"/>
        </w:rPr>
        <w:t>iii</w:t>
      </w:r>
      <w:proofErr w:type="spellEnd"/>
      <w:r>
        <w:rPr>
          <w:rFonts w:ascii="Arial" w:hAnsi="Arial" w:cs="Arial"/>
          <w:color w:val="000000"/>
          <w:sz w:val="22"/>
          <w:szCs w:val="22"/>
        </w:rPr>
        <w:t>) na rescisão de quaisquer desses contratos ou instrumentos;</w:t>
      </w:r>
    </w:p>
    <w:p w14:paraId="3C446E69"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284C8F82"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(h)</w:t>
      </w:r>
      <w:r>
        <w:rPr>
          <w:rFonts w:ascii="Arial" w:hAnsi="Arial" w:cs="Arial"/>
          <w:color w:val="000000"/>
          <w:sz w:val="22"/>
          <w:szCs w:val="22"/>
        </w:rPr>
        <w:tab/>
        <w:t xml:space="preserve">as demonstrações financeiras da Emissora apresentam de maneira adequada a situação financeira da Emissora nas datas a que se referem, tendo sido devidamente elaboradas em conformidade com os princípios contábeis geralmente aceitos no Brasil. Desde a data das demonstrações financeiras mais recentes, não houve nenhum impacto adverso relevante na situação financeira e nos resultados operacionais em questão, não houve qualquer operação envolvendo a Emissora fora do curso normal de seus negócios, que seja relevante para a Emissora, não houve qualquer alteração no capital social ou aumento substancial do endividamento da Emissora; </w:t>
      </w:r>
    </w:p>
    <w:p w14:paraId="1C2A2E25"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1938F299"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(i)</w:t>
      </w:r>
      <w:r>
        <w:rPr>
          <w:rFonts w:ascii="Arial" w:hAnsi="Arial" w:cs="Arial"/>
          <w:color w:val="000000"/>
          <w:sz w:val="22"/>
          <w:szCs w:val="22"/>
        </w:rPr>
        <w:tab/>
      </w:r>
      <w:r>
        <w:rPr>
          <w:rFonts w:ascii="Arial" w:hAnsi="Arial" w:cs="Arial"/>
          <w:color w:val="000000"/>
          <w:w w:val="0"/>
          <w:sz w:val="22"/>
          <w:szCs w:val="22"/>
        </w:rPr>
        <w:t xml:space="preserve">não tem conhecimento da existência de qualquer </w:t>
      </w:r>
      <w:r>
        <w:rPr>
          <w:rFonts w:ascii="Arial" w:hAnsi="Arial" w:cs="Arial"/>
          <w:color w:val="000000"/>
          <w:sz w:val="22"/>
          <w:szCs w:val="22"/>
        </w:rPr>
        <w:t>ação judicial, procedimento administrativo ou arbitral, inquérito ou investigação pendente ou iminente envolvendo a Emissora perante qualquer tribunal, órgão governamental ou árbitro, que possa causar um impacto adverso relevante na sua situação financeira ou nas suas operações</w:t>
      </w:r>
      <w:r>
        <w:rPr>
          <w:rFonts w:ascii="Arial" w:hAnsi="Arial" w:cs="Arial"/>
          <w:color w:val="000000"/>
          <w:w w:val="0"/>
          <w:sz w:val="22"/>
          <w:szCs w:val="22"/>
        </w:rPr>
        <w:t>, além daqueles mencionados nas demonstrações financeiras disponibilizadas pela Emissora ao mercado</w:t>
      </w:r>
      <w:r>
        <w:rPr>
          <w:rFonts w:ascii="Arial" w:hAnsi="Arial" w:cs="Arial"/>
          <w:color w:val="000000"/>
          <w:sz w:val="22"/>
          <w:szCs w:val="22"/>
        </w:rPr>
        <w:t xml:space="preserve">; </w:t>
      </w:r>
    </w:p>
    <w:p w14:paraId="38BF910E"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282C85C7"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(j)</w:t>
      </w:r>
      <w:r>
        <w:rPr>
          <w:rFonts w:ascii="Arial" w:hAnsi="Arial" w:cs="Arial"/>
          <w:color w:val="000000"/>
          <w:sz w:val="22"/>
          <w:szCs w:val="22"/>
        </w:rPr>
        <w:tab/>
        <w:t xml:space="preserve">tem todas as autorizações e licenças relevantes </w:t>
      </w:r>
      <w:r>
        <w:rPr>
          <w:rFonts w:ascii="Arial" w:hAnsi="Arial" w:cs="Arial"/>
          <w:color w:val="000000"/>
          <w:w w:val="0"/>
          <w:sz w:val="22"/>
          <w:szCs w:val="22"/>
        </w:rPr>
        <w:t xml:space="preserve">(inclusive ambientais) </w:t>
      </w:r>
      <w:r>
        <w:rPr>
          <w:rFonts w:ascii="Arial" w:hAnsi="Arial" w:cs="Arial"/>
          <w:color w:val="000000"/>
          <w:sz w:val="22"/>
          <w:szCs w:val="22"/>
        </w:rPr>
        <w:t>exigidas pelas autoridades federais, estaduais e municipais para o exercício de suas atividades, sendo que até a data da presente declaração a Emissora não foi notificada acerca da revogação de qualquer delas ou da existência de processo administrativo que tenha por objeto a revogação, suspensão ou cancelamento de qualquer delas;</w:t>
      </w:r>
    </w:p>
    <w:p w14:paraId="4F14E5E7"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FC4BB1D"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(k)</w:t>
      </w:r>
      <w:r>
        <w:rPr>
          <w:rFonts w:ascii="Arial" w:hAnsi="Arial" w:cs="Arial"/>
          <w:color w:val="000000"/>
          <w:sz w:val="22"/>
          <w:szCs w:val="22"/>
        </w:rPr>
        <w:tab/>
        <w:t xml:space="preserve">está cumprindo as leis, regulamentos, normas administrativas e determinações dos órgãos governamentais, autarquias ou tribunais, aplicáveis à condução de seus negócios e que sejam relevantes para a execução das atividades da Emissora, inclusive a Legislação Socioambiental, bem como declara que as atividades da Emissora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exceto com relação àquelas leis e regulamentos que estejam sendo contestados de boa-fé pela Emissora para as quais a Emissora possua provimento jurisdicional vigente autorizando sua não observância, adotando as medidas e ações preventivas ou reparatórias destinadas a evitar ou corrigir eventuais danos ambientais decorrentes do exercício das atividades descritas em seu objeto social; </w:t>
      </w:r>
    </w:p>
    <w:p w14:paraId="694B2C76"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3F59E7C"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(l)</w:t>
      </w:r>
      <w:r>
        <w:rPr>
          <w:rFonts w:ascii="Arial" w:hAnsi="Arial" w:cs="Arial"/>
          <w:color w:val="000000"/>
          <w:sz w:val="22"/>
          <w:szCs w:val="22"/>
        </w:rPr>
        <w:tab/>
        <w:t xml:space="preserve">os representantes legais que assinam esta Escritura têm poderes estatutários e/ou delegados para assumir, em seu nome, as obrigações ora estabelecidas e, sendo mandatários, tiveram os poderes legitimamente outorgados, estando os respectivos mandatos em pleno vigor e efeito; </w:t>
      </w:r>
    </w:p>
    <w:p w14:paraId="00CDB8F1"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F3CAA5F"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lastRenderedPageBreak/>
        <w:t>(m)</w:t>
      </w:r>
      <w:r>
        <w:rPr>
          <w:rFonts w:ascii="Arial" w:hAnsi="Arial" w:cs="Arial"/>
          <w:color w:val="000000"/>
          <w:sz w:val="22"/>
          <w:szCs w:val="22"/>
        </w:rPr>
        <w:tab/>
      </w:r>
      <w:r>
        <w:rPr>
          <w:rFonts w:ascii="Arial" w:hAnsi="Arial" w:cs="Arial"/>
          <w:color w:val="000000"/>
          <w:w w:val="0"/>
          <w:sz w:val="22"/>
          <w:szCs w:val="22"/>
        </w:rPr>
        <w:t>os documentos e informações fornecidos ao Agente Fiduciário são substancialmente corretos e estão atualizados até a data em que foram fornecidos e incluem os documentos e informações relevantes para a tomada de decisão de investimento sobre a Emissora, tendo sido disponibilizadas informações sobre as transações relevantes da Emissora, bem como sobre os direitos e obrigações materialmente relevantes delas decorrentes</w:t>
      </w:r>
      <w:r>
        <w:rPr>
          <w:rFonts w:ascii="Arial" w:hAnsi="Arial" w:cs="Arial"/>
          <w:color w:val="000000"/>
          <w:sz w:val="22"/>
          <w:szCs w:val="22"/>
        </w:rPr>
        <w:t>;</w:t>
      </w:r>
    </w:p>
    <w:p w14:paraId="056100E4"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756BEBF0"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(n)</w:t>
      </w:r>
      <w:r>
        <w:rPr>
          <w:rFonts w:ascii="Arial" w:hAnsi="Arial" w:cs="Arial"/>
          <w:color w:val="000000"/>
          <w:sz w:val="22"/>
          <w:szCs w:val="22"/>
        </w:rPr>
        <w:tab/>
        <w:t>tem conhecimento de que não poderá realizar outra oferta pública da mesma espécie de valores mobiliários dentro do prazo de quatro meses contados da data</w:t>
      </w:r>
      <w:bookmarkStart w:id="52" w:name="_DV_C340"/>
      <w:r>
        <w:rPr>
          <w:rFonts w:ascii="Arial" w:hAnsi="Arial" w:cs="Arial"/>
          <w:color w:val="000000"/>
          <w:sz w:val="22"/>
          <w:szCs w:val="22"/>
        </w:rPr>
        <w:t xml:space="preserve"> da comunicação à CVM</w:t>
      </w:r>
      <w:bookmarkEnd w:id="52"/>
      <w:r>
        <w:rPr>
          <w:rFonts w:ascii="Arial" w:hAnsi="Arial" w:cs="Arial"/>
          <w:color w:val="000000"/>
          <w:sz w:val="22"/>
          <w:szCs w:val="22"/>
        </w:rPr>
        <w:t xml:space="preserve"> do encerramento da distribuição, a menos que a nova oferta seja submetida a registro na CVM;</w:t>
      </w:r>
    </w:p>
    <w:p w14:paraId="48475078"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72E6F637"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(o)</w:t>
      </w:r>
      <w:r>
        <w:rPr>
          <w:rFonts w:ascii="Arial" w:hAnsi="Arial" w:cs="Arial"/>
          <w:color w:val="000000"/>
          <w:sz w:val="22"/>
          <w:szCs w:val="22"/>
        </w:rPr>
        <w:tab/>
        <w:t xml:space="preserve">não omitiu </w:t>
      </w:r>
      <w:r>
        <w:rPr>
          <w:rFonts w:ascii="Arial" w:hAnsi="Arial" w:cs="Arial"/>
          <w:color w:val="000000"/>
          <w:w w:val="0"/>
          <w:sz w:val="22"/>
          <w:szCs w:val="22"/>
        </w:rPr>
        <w:t xml:space="preserve">ou omitirá qualquer </w:t>
      </w:r>
      <w:r>
        <w:rPr>
          <w:rFonts w:ascii="Arial" w:hAnsi="Arial" w:cs="Arial"/>
          <w:color w:val="000000"/>
          <w:sz w:val="22"/>
          <w:szCs w:val="22"/>
        </w:rPr>
        <w:t>fato, de qualquer natureza, que seja de seu conhecimento e que possa resultar, conforme entendimento razoável da Emissora, em alteração substancial na situação econômico-financeira ou jurídica da Emissora em prejuízo dos Debenturistas;</w:t>
      </w:r>
    </w:p>
    <w:p w14:paraId="21808807"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5AEF4BAF"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(p)</w:t>
      </w:r>
      <w:r>
        <w:rPr>
          <w:rFonts w:ascii="Arial" w:hAnsi="Arial" w:cs="Arial"/>
          <w:color w:val="000000"/>
          <w:sz w:val="22"/>
          <w:szCs w:val="22"/>
        </w:rPr>
        <w:tab/>
        <w:t>não tem qualquer ligação com o Agente Fiduciário que impeça o Agente Fiduciário de exercer, plenamente, suas funções com relação a esta Emissão;</w:t>
      </w:r>
    </w:p>
    <w:p w14:paraId="29375BEE"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4BCE8DC1"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(q)</w:t>
      </w:r>
      <w:r>
        <w:rPr>
          <w:rFonts w:ascii="Arial" w:hAnsi="Arial" w:cs="Arial"/>
          <w:color w:val="000000"/>
          <w:sz w:val="22"/>
          <w:szCs w:val="22"/>
        </w:rPr>
        <w:tab/>
        <w:t>não tem conhecimento de fato que impeça o Agente Fiduciário de exercer, plenamente, suas funções, nos termos da Lei das Sociedades por Ações e demais normas aplicáveis, inclusive regulamentares;</w:t>
      </w:r>
    </w:p>
    <w:p w14:paraId="4E210C37"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4DE716B"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(r)</w:t>
      </w:r>
      <w:r>
        <w:rPr>
          <w:rFonts w:ascii="Arial" w:hAnsi="Arial" w:cs="Arial"/>
          <w:color w:val="000000"/>
          <w:sz w:val="22"/>
          <w:szCs w:val="22"/>
        </w:rPr>
        <w:tab/>
        <w:t xml:space="preserve">cumprirá todas as obrigações assumidas nos termos desta Escritura, incluindo, sem limitação, a obrigação de destinar os recursos obtidos com a Emissão aos fins previstos na Cláusula 3.4 desta Escritura; </w:t>
      </w:r>
    </w:p>
    <w:p w14:paraId="44B21519"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7EE04A40"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(s)</w:t>
      </w:r>
      <w:r>
        <w:rPr>
          <w:rFonts w:ascii="Arial" w:hAnsi="Arial" w:cs="Arial"/>
          <w:color w:val="000000"/>
          <w:sz w:val="22"/>
          <w:szCs w:val="22"/>
        </w:rPr>
        <w:tab/>
        <w:t xml:space="preserve">tem plena ciência e concorda integralmente com a forma de divulgação e apuração da Taxa DI Over, divulgada pela </w:t>
      </w:r>
      <w:r>
        <w:rPr>
          <w:rFonts w:ascii="Arial" w:hAnsi="Arial" w:cs="Arial"/>
          <w:sz w:val="22"/>
          <w:szCs w:val="22"/>
        </w:rPr>
        <w:t>B3</w:t>
      </w:r>
      <w:r>
        <w:rPr>
          <w:rFonts w:ascii="Arial" w:hAnsi="Arial" w:cs="Arial"/>
          <w:color w:val="000000"/>
          <w:sz w:val="22"/>
          <w:szCs w:val="22"/>
        </w:rPr>
        <w:t>, e que a forma de cálculo dos Juros Remuneratórios das Debêntures foi acordada por livre vontade entre a Emissora e o Coordenador Líder, em observância ao princípio da boa-fé;</w:t>
      </w:r>
    </w:p>
    <w:p w14:paraId="7D8D8836"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39AF6F56"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(t)</w:t>
      </w:r>
      <w:r>
        <w:rPr>
          <w:rFonts w:ascii="Arial" w:hAnsi="Arial" w:cs="Arial"/>
          <w:color w:val="000000"/>
          <w:sz w:val="22"/>
          <w:szCs w:val="22"/>
        </w:rPr>
        <w:tab/>
        <w:t>até a presente data, nem a Emissora e nem seus diretores, membros de conselho de administração (“</w:t>
      </w:r>
      <w:r>
        <w:rPr>
          <w:rFonts w:ascii="Arial" w:hAnsi="Arial" w:cs="Arial"/>
          <w:color w:val="000000"/>
          <w:sz w:val="22"/>
          <w:szCs w:val="22"/>
          <w:u w:val="single"/>
        </w:rPr>
        <w:t>Representantes</w:t>
      </w:r>
      <w:r>
        <w:rPr>
          <w:rFonts w:ascii="Arial" w:hAnsi="Arial" w:cs="Arial"/>
          <w:color w:val="000000"/>
          <w:sz w:val="22"/>
          <w:szCs w:val="22"/>
        </w:rPr>
        <w:t>”) incorreu nas seguintes hipóteses, bem como tem ciência de que a Emissora, seus diretores, membros de conselho de administração e quaisquer funcionários, conforme aplicável, não podem: (i) ter utilizado ou utilizar recursos para o pagamento de contribuições, presentes ou atividades de entretenimento ilegais ou qualquer outra despesa ilegal relativa a atividade política; (</w:t>
      </w:r>
      <w:proofErr w:type="spellStart"/>
      <w:r>
        <w:rPr>
          <w:rFonts w:ascii="Arial" w:hAnsi="Arial" w:cs="Arial"/>
          <w:color w:val="000000"/>
          <w:sz w:val="22"/>
          <w:szCs w:val="22"/>
        </w:rPr>
        <w:t>ii</w:t>
      </w:r>
      <w:proofErr w:type="spellEnd"/>
      <w:r>
        <w:rPr>
          <w:rFonts w:ascii="Arial" w:hAnsi="Arial" w:cs="Arial"/>
          <w:color w:val="000000"/>
          <w:sz w:val="22"/>
          <w:szCs w:val="22"/>
        </w:rPr>
        <w:t>) fazer ou ter feito qualquer pagamento ilegal, direto ou indireto, a empregados ou funcionários públicos, partidos políticos, políticos ou candidatos políticos (incluindo seus familiares), nacionais ou estrangeiros; (</w:t>
      </w:r>
      <w:proofErr w:type="spellStart"/>
      <w:r>
        <w:rPr>
          <w:rFonts w:ascii="Arial" w:hAnsi="Arial" w:cs="Arial"/>
          <w:color w:val="000000"/>
          <w:sz w:val="22"/>
          <w:szCs w:val="22"/>
        </w:rPr>
        <w:t>iii</w:t>
      </w:r>
      <w:proofErr w:type="spellEnd"/>
      <w:r>
        <w:rPr>
          <w:rFonts w:ascii="Arial" w:hAnsi="Arial" w:cs="Arial"/>
          <w:color w:val="000000"/>
          <w:sz w:val="22"/>
          <w:szCs w:val="22"/>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w:t>
      </w:r>
      <w:r>
        <w:rPr>
          <w:rFonts w:ascii="Arial" w:hAnsi="Arial" w:cs="Arial"/>
          <w:color w:val="000000"/>
          <w:sz w:val="22"/>
          <w:szCs w:val="22"/>
        </w:rPr>
        <w:lastRenderedPageBreak/>
        <w:t>(incluindo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proofErr w:type="spellStart"/>
      <w:r>
        <w:rPr>
          <w:rFonts w:ascii="Arial" w:hAnsi="Arial" w:cs="Arial"/>
          <w:color w:val="000000"/>
          <w:sz w:val="22"/>
          <w:szCs w:val="22"/>
        </w:rPr>
        <w:t>iii</w:t>
      </w:r>
      <w:proofErr w:type="spellEnd"/>
      <w:r>
        <w:rPr>
          <w:rFonts w:ascii="Arial" w:hAnsi="Arial" w:cs="Arial"/>
          <w:color w:val="000000"/>
          <w:sz w:val="22"/>
          <w:szCs w:val="22"/>
        </w:rPr>
        <w:t>) praticar ou ter praticado quaisquer atos para obter ou manter, de forma ilegal, qualquer negócio, transação ou vantagem comercial; (</w:t>
      </w:r>
      <w:proofErr w:type="spellStart"/>
      <w:r>
        <w:rPr>
          <w:rFonts w:ascii="Arial" w:hAnsi="Arial" w:cs="Arial"/>
          <w:color w:val="000000"/>
          <w:sz w:val="22"/>
          <w:szCs w:val="22"/>
        </w:rPr>
        <w:t>iv</w:t>
      </w:r>
      <w:proofErr w:type="spellEnd"/>
      <w:r>
        <w:rPr>
          <w:rFonts w:ascii="Arial" w:hAnsi="Arial" w:cs="Arial"/>
          <w:color w:val="000000"/>
          <w:sz w:val="22"/>
          <w:szCs w:val="22"/>
        </w:rPr>
        <w:t>) praticar atos de corrupção e de agir de forma ilegal em relação à administração pública nacional no seu interesse ou para seu benefício, exclusivo ou não; e (v) ter realizado ou realizar qualquer pagamento ou tomar qualquer ação que viole qualquer disposição das Leis Anticorrupção;</w:t>
      </w:r>
    </w:p>
    <w:p w14:paraId="1A4F097D"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652BD2AE"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(u)</w:t>
      </w:r>
      <w:r>
        <w:rPr>
          <w:rFonts w:ascii="Arial" w:hAnsi="Arial" w:cs="Arial"/>
          <w:color w:val="000000"/>
          <w:sz w:val="22"/>
          <w:szCs w:val="22"/>
        </w:rPr>
        <w:tab/>
        <w:t>cumpre e faz com que suas coligadas, suas controladas, seus acionistas com poderes de administração, seus administradores, seus diretores e seus funcionários cumprirem as normas aplicáveis que versam sobre atos de corrupção e atos lesivos contra a administração pública, na forma das Leis Anticorrupção, na medida em que (i) mantém políticas e procedimentos internos que visam assegurar o cumprimento de tais normas como, por exemplo, seu Código de Ética e Conduta; (</w:t>
      </w:r>
      <w:proofErr w:type="spellStart"/>
      <w:r>
        <w:rPr>
          <w:rFonts w:ascii="Arial" w:hAnsi="Arial" w:cs="Arial"/>
          <w:color w:val="000000"/>
          <w:sz w:val="22"/>
          <w:szCs w:val="22"/>
        </w:rPr>
        <w:t>ii</w:t>
      </w:r>
      <w:proofErr w:type="spellEnd"/>
      <w:r>
        <w:rPr>
          <w:rFonts w:ascii="Arial" w:hAnsi="Arial" w:cs="Arial"/>
          <w:color w:val="000000"/>
          <w:sz w:val="22"/>
          <w:szCs w:val="22"/>
        </w:rPr>
        <w:t xml:space="preserve">) abstém-se de praticar atos de corrupção e de agir de forma ilegal em relação à administração pública nacional no seu interesse </w:t>
      </w:r>
      <w:r>
        <w:rPr>
          <w:rFonts w:ascii="Arial" w:hAnsi="Arial" w:cs="Arial"/>
          <w:sz w:val="22"/>
          <w:szCs w:val="22"/>
        </w:rPr>
        <w:t>ou para seu benefício, exclusivo ou não; (</w:t>
      </w:r>
      <w:proofErr w:type="spellStart"/>
      <w:r>
        <w:rPr>
          <w:rFonts w:ascii="Arial" w:hAnsi="Arial" w:cs="Arial"/>
          <w:sz w:val="22"/>
          <w:szCs w:val="22"/>
        </w:rPr>
        <w:t>iii</w:t>
      </w:r>
      <w:proofErr w:type="spellEnd"/>
      <w:r>
        <w:rPr>
          <w:rFonts w:ascii="Arial" w:hAnsi="Arial" w:cs="Arial"/>
          <w:sz w:val="22"/>
          <w:szCs w:val="22"/>
        </w:rPr>
        <w:t>) caso tenha conhecimento de instauração de procedimento investigatório de natureza judicial ou administrativa que recaia sobre atos ou fatos que violem aludidas normas, comunicará no prazo de até 10 (dez) dias o Agente Fiduciário, exceto se por qualquer determinação legal ou judicial o sigilo lhe seja imposto; e (</w:t>
      </w:r>
      <w:proofErr w:type="spellStart"/>
      <w:r>
        <w:rPr>
          <w:rFonts w:ascii="Arial" w:hAnsi="Arial" w:cs="Arial"/>
          <w:sz w:val="22"/>
          <w:szCs w:val="22"/>
        </w:rPr>
        <w:t>iv</w:t>
      </w:r>
      <w:proofErr w:type="spellEnd"/>
      <w:r>
        <w:rPr>
          <w:rFonts w:ascii="Arial" w:hAnsi="Arial" w:cs="Arial"/>
          <w:sz w:val="22"/>
          <w:szCs w:val="22"/>
        </w:rPr>
        <w:t xml:space="preserve">) realizará eventuais pagamentos devidos ao Agente Fiduciário </w:t>
      </w:r>
      <w:r>
        <w:rPr>
          <w:rFonts w:ascii="Arial" w:hAnsi="Arial" w:cs="Arial"/>
          <w:color w:val="000000"/>
          <w:sz w:val="22"/>
          <w:szCs w:val="22"/>
        </w:rPr>
        <w:t xml:space="preserve">exclusivamente por meio de transferência bancária ou cheque, de acordo com os procedimento estabelecidos em suas políticas internas; </w:t>
      </w:r>
    </w:p>
    <w:p w14:paraId="5D3E47FB"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395C622B"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(v)</w:t>
      </w:r>
      <w:r>
        <w:rPr>
          <w:rFonts w:ascii="Arial" w:hAnsi="Arial" w:cs="Arial"/>
          <w:color w:val="000000"/>
          <w:sz w:val="22"/>
          <w:szCs w:val="22"/>
        </w:rPr>
        <w:tab/>
        <w:t>a Emissora conduz e conduziu seus negócios em conformidade com as Leis Anticorrupção aplicáveis ao seu negócio, bem como declara que mantem políticas e procedimentos para estar em conformidade com as Leis Anticorrupção; e</w:t>
      </w:r>
    </w:p>
    <w:p w14:paraId="282EDA5F"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287C44AE" w14:textId="77777777" w:rsidR="00FC10E9" w:rsidRDefault="00B10E1A">
      <w:pPr>
        <w:tabs>
          <w:tab w:val="left" w:pos="709"/>
        </w:tabs>
        <w:spacing w:line="300" w:lineRule="atLeast"/>
        <w:ind w:left="709" w:hanging="709"/>
        <w:jc w:val="both"/>
        <w:rPr>
          <w:rFonts w:ascii="Arial" w:hAnsi="Arial" w:cs="Arial"/>
          <w:color w:val="000000"/>
          <w:sz w:val="22"/>
          <w:szCs w:val="22"/>
        </w:rPr>
      </w:pPr>
      <w:r>
        <w:rPr>
          <w:rFonts w:ascii="Arial" w:hAnsi="Arial" w:cs="Arial"/>
          <w:color w:val="000000"/>
          <w:sz w:val="22"/>
          <w:szCs w:val="22"/>
        </w:rPr>
        <w:t>(x)</w:t>
      </w:r>
      <w:r>
        <w:rPr>
          <w:rFonts w:ascii="Arial" w:hAnsi="Arial" w:cs="Arial"/>
          <w:color w:val="000000"/>
          <w:sz w:val="22"/>
          <w:szCs w:val="22"/>
        </w:rPr>
        <w:tab/>
        <w:t>as operações da Emissora são conduzidas em conformidade com os requisitos referentes à manutenção de registros e relatórios financeiros, às leis de prevenção à lavagem de dinheiro aplicáveis na jurisdição onde a Emissora conduz seus negócios, as regras, leis e regulamentações ali previstas, emitidas, administradas ou impostas por qualquer autoridade governamental ou regulatória (coletivamente, as “</w:t>
      </w:r>
      <w:r>
        <w:rPr>
          <w:rFonts w:ascii="Arial" w:hAnsi="Arial" w:cs="Arial"/>
          <w:color w:val="000000"/>
          <w:sz w:val="22"/>
          <w:szCs w:val="22"/>
          <w:u w:val="single"/>
        </w:rPr>
        <w:t>Leis de Prevenção à Lavagem de Dinheiro</w:t>
      </w:r>
      <w:r>
        <w:rPr>
          <w:rFonts w:ascii="Arial" w:hAnsi="Arial" w:cs="Arial"/>
          <w:color w:val="000000"/>
          <w:sz w:val="22"/>
          <w:szCs w:val="22"/>
        </w:rPr>
        <w:t>”) e nenhuma ação, processo ou procedimento por ou perante qualquer juízo ou autoridade governamental ou regulatória, autoridade, órgão ou qualquer árbitro envolvendo a Emissora, conforme aplicável, com relação às Leis de Prevenção à Lavagem de Dinheiro está em andamento ou, de acordo com o melhor conhecimento da Emissora, é iminente.</w:t>
      </w:r>
    </w:p>
    <w:p w14:paraId="42639CB4" w14:textId="77777777" w:rsidR="00FC10E9" w:rsidRDefault="00FC10E9">
      <w:pPr>
        <w:tabs>
          <w:tab w:val="left" w:pos="709"/>
        </w:tabs>
        <w:spacing w:line="300" w:lineRule="atLeast"/>
        <w:ind w:left="709" w:hanging="709"/>
        <w:jc w:val="both"/>
        <w:rPr>
          <w:rFonts w:ascii="Arial" w:hAnsi="Arial" w:cs="Arial"/>
          <w:color w:val="000000"/>
          <w:sz w:val="22"/>
          <w:szCs w:val="22"/>
        </w:rPr>
      </w:pPr>
    </w:p>
    <w:p w14:paraId="027F88E6" w14:textId="77777777" w:rsidR="00FC10E9" w:rsidRDefault="00FC10E9">
      <w:pPr>
        <w:tabs>
          <w:tab w:val="left" w:pos="720"/>
          <w:tab w:val="left" w:pos="2366"/>
        </w:tabs>
        <w:spacing w:line="300" w:lineRule="atLeast"/>
        <w:jc w:val="both"/>
        <w:rPr>
          <w:rFonts w:ascii="Arial" w:hAnsi="Arial" w:cs="Arial"/>
          <w:b/>
          <w:color w:val="000000"/>
          <w:sz w:val="22"/>
          <w:szCs w:val="22"/>
        </w:rPr>
      </w:pPr>
    </w:p>
    <w:p w14:paraId="71B39B6B" w14:textId="77777777" w:rsidR="00FC10E9" w:rsidRDefault="00B10E1A">
      <w:pPr>
        <w:pStyle w:val="SCBFTtulo1"/>
        <w:keepLines w:val="0"/>
        <w:spacing w:line="300" w:lineRule="atLeast"/>
        <w:rPr>
          <w:rFonts w:ascii="Arial" w:hAnsi="Arial" w:cs="Arial"/>
          <w:color w:val="000000"/>
        </w:rPr>
      </w:pPr>
      <w:bookmarkStart w:id="53" w:name="_Toc510004482"/>
      <w:r>
        <w:rPr>
          <w:rFonts w:ascii="Arial" w:hAnsi="Arial" w:cs="Arial"/>
          <w:color w:val="000000"/>
        </w:rPr>
        <w:lastRenderedPageBreak/>
        <w:t xml:space="preserve">CLÁUSULA XII </w:t>
      </w:r>
      <w:r>
        <w:rPr>
          <w:rFonts w:ascii="Arial" w:hAnsi="Arial" w:cs="Arial"/>
          <w:color w:val="000000"/>
        </w:rPr>
        <w:br/>
        <w:t>DISPOSIÇÕES GERAIS</w:t>
      </w:r>
      <w:bookmarkEnd w:id="53"/>
    </w:p>
    <w:p w14:paraId="125E5D19" w14:textId="77777777" w:rsidR="00FC10E9" w:rsidRDefault="00FC10E9">
      <w:pPr>
        <w:keepNext/>
        <w:tabs>
          <w:tab w:val="left" w:pos="720"/>
          <w:tab w:val="left" w:pos="2366"/>
        </w:tabs>
        <w:spacing w:line="300" w:lineRule="atLeast"/>
        <w:jc w:val="both"/>
        <w:rPr>
          <w:rFonts w:ascii="Arial" w:hAnsi="Arial" w:cs="Arial"/>
          <w:color w:val="000000"/>
          <w:sz w:val="22"/>
          <w:szCs w:val="22"/>
        </w:rPr>
      </w:pPr>
    </w:p>
    <w:p w14:paraId="492650FD" w14:textId="77777777" w:rsidR="00FC10E9" w:rsidRDefault="00B10E1A">
      <w:pPr>
        <w:keepNext/>
        <w:numPr>
          <w:ilvl w:val="0"/>
          <w:numId w:val="20"/>
        </w:numPr>
        <w:tabs>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Comunicações</w:t>
      </w:r>
    </w:p>
    <w:p w14:paraId="5DFDC9A2" w14:textId="77777777" w:rsidR="00FC10E9" w:rsidRDefault="00FC10E9">
      <w:pPr>
        <w:keepNext/>
        <w:tabs>
          <w:tab w:val="left" w:pos="851"/>
          <w:tab w:val="left" w:pos="2366"/>
        </w:tabs>
        <w:spacing w:line="300" w:lineRule="atLeast"/>
        <w:jc w:val="both"/>
        <w:rPr>
          <w:rFonts w:ascii="Arial" w:hAnsi="Arial" w:cs="Arial"/>
          <w:color w:val="000000"/>
          <w:sz w:val="22"/>
          <w:szCs w:val="22"/>
        </w:rPr>
      </w:pPr>
    </w:p>
    <w:p w14:paraId="6C2D2FE1"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12.1.1.</w:t>
      </w:r>
      <w:r>
        <w:rPr>
          <w:rFonts w:ascii="Arial" w:hAnsi="Arial" w:cs="Arial"/>
          <w:color w:val="000000"/>
          <w:sz w:val="22"/>
          <w:szCs w:val="22"/>
        </w:rPr>
        <w:tab/>
        <w:t xml:space="preserve">As comunicações a serem enviadas por qualquer das Partes nos termos desta Escritura deverão ser encaminhadas para os seguintes endereços: </w:t>
      </w:r>
    </w:p>
    <w:p w14:paraId="1C92B763" w14:textId="77777777" w:rsidR="00FC10E9" w:rsidRDefault="00FC10E9">
      <w:pPr>
        <w:tabs>
          <w:tab w:val="left" w:pos="2366"/>
        </w:tabs>
        <w:spacing w:line="300" w:lineRule="atLeast"/>
        <w:jc w:val="both"/>
        <w:rPr>
          <w:rFonts w:ascii="Arial" w:hAnsi="Arial" w:cs="Arial"/>
          <w:b/>
          <w:color w:val="000000"/>
          <w:sz w:val="22"/>
          <w:szCs w:val="22"/>
        </w:rPr>
      </w:pPr>
    </w:p>
    <w:p w14:paraId="43921320" w14:textId="77777777" w:rsidR="00FC10E9" w:rsidRDefault="00FC10E9">
      <w:pPr>
        <w:tabs>
          <w:tab w:val="left" w:pos="2366"/>
        </w:tabs>
        <w:spacing w:line="300" w:lineRule="atLeast"/>
        <w:jc w:val="both"/>
        <w:rPr>
          <w:rFonts w:ascii="Arial" w:hAnsi="Arial" w:cs="Arial"/>
          <w:color w:val="000000"/>
          <w:sz w:val="22"/>
          <w:szCs w:val="22"/>
        </w:rPr>
      </w:pPr>
    </w:p>
    <w:p w14:paraId="55F49B60" w14:textId="77777777" w:rsidR="00FC10E9" w:rsidRDefault="00B10E1A">
      <w:pPr>
        <w:keepNext/>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 xml:space="preserve">Para a Emissora: </w:t>
      </w:r>
    </w:p>
    <w:p w14:paraId="23F9892B" w14:textId="77777777" w:rsidR="00FC10E9" w:rsidRDefault="00B10E1A">
      <w:pPr>
        <w:keepNext/>
        <w:tabs>
          <w:tab w:val="left" w:pos="2366"/>
        </w:tabs>
        <w:spacing w:line="300" w:lineRule="atLeast"/>
        <w:jc w:val="both"/>
        <w:rPr>
          <w:rFonts w:ascii="Arial" w:hAnsi="Arial" w:cs="Arial"/>
          <w:smallCaps/>
          <w:color w:val="000000"/>
          <w:sz w:val="22"/>
          <w:szCs w:val="22"/>
        </w:rPr>
      </w:pPr>
      <w:r>
        <w:rPr>
          <w:rFonts w:ascii="Arial" w:hAnsi="Arial" w:cs="Arial"/>
          <w:smallCaps/>
          <w:color w:val="000000"/>
          <w:sz w:val="22"/>
          <w:szCs w:val="22"/>
        </w:rPr>
        <w:t>Americanas S.A.</w:t>
      </w:r>
    </w:p>
    <w:p w14:paraId="3710018D" w14:textId="77777777" w:rsidR="00FC10E9" w:rsidRDefault="00B10E1A">
      <w:pPr>
        <w:keepNext/>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Rua Sacadura Cabral, 102, Parte, Saúde,</w:t>
      </w:r>
    </w:p>
    <w:p w14:paraId="7C184A46" w14:textId="77777777" w:rsidR="00FC10E9" w:rsidRDefault="00B10E1A">
      <w:pPr>
        <w:keepNext/>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CEP 20081-902 – Rio de Janeiro, RJ</w:t>
      </w:r>
    </w:p>
    <w:p w14:paraId="4AE64748" w14:textId="77777777" w:rsidR="00FC10E9" w:rsidRDefault="00B10E1A">
      <w:pPr>
        <w:keepNext/>
        <w:spacing w:line="280" w:lineRule="atLeast"/>
        <w:jc w:val="both"/>
        <w:rPr>
          <w:rFonts w:ascii="Arial" w:hAnsi="Arial" w:cs="Arial"/>
          <w:sz w:val="22"/>
          <w:szCs w:val="22"/>
        </w:rPr>
      </w:pPr>
      <w:r>
        <w:rPr>
          <w:rFonts w:ascii="Arial" w:hAnsi="Arial" w:cs="Arial"/>
          <w:color w:val="000000"/>
          <w:sz w:val="22"/>
          <w:szCs w:val="22"/>
        </w:rPr>
        <w:t xml:space="preserve">At.: Sr. Fábio da Silva </w:t>
      </w:r>
      <w:proofErr w:type="spellStart"/>
      <w:r>
        <w:rPr>
          <w:rFonts w:ascii="Arial" w:hAnsi="Arial" w:cs="Arial"/>
          <w:color w:val="000000"/>
          <w:sz w:val="22"/>
          <w:szCs w:val="22"/>
        </w:rPr>
        <w:t>Abrate</w:t>
      </w:r>
      <w:proofErr w:type="spellEnd"/>
    </w:p>
    <w:p w14:paraId="7F4965B3" w14:textId="77777777" w:rsidR="00FC10E9" w:rsidRDefault="00B10E1A">
      <w:pPr>
        <w:keepNext/>
        <w:spacing w:line="280" w:lineRule="atLeast"/>
        <w:rPr>
          <w:rFonts w:ascii="Arial" w:hAnsi="Arial" w:cs="Arial"/>
          <w:sz w:val="22"/>
          <w:szCs w:val="22"/>
        </w:rPr>
      </w:pPr>
      <w:r>
        <w:rPr>
          <w:rFonts w:ascii="Arial" w:hAnsi="Arial" w:cs="Arial"/>
          <w:color w:val="000000"/>
          <w:sz w:val="22"/>
          <w:szCs w:val="22"/>
        </w:rPr>
        <w:t>Tel.: (21) 2206-6503</w:t>
      </w:r>
    </w:p>
    <w:p w14:paraId="3DCF8E58" w14:textId="77777777" w:rsidR="00FC10E9" w:rsidRDefault="00B10E1A">
      <w:pPr>
        <w:spacing w:line="280" w:lineRule="atLeast"/>
        <w:jc w:val="both"/>
        <w:rPr>
          <w:rFonts w:ascii="Arial" w:hAnsi="Arial" w:cs="Arial"/>
          <w:sz w:val="22"/>
          <w:szCs w:val="22"/>
        </w:rPr>
      </w:pPr>
      <w:r>
        <w:rPr>
          <w:rFonts w:ascii="Arial" w:hAnsi="Arial" w:cs="Arial"/>
          <w:color w:val="000000"/>
          <w:sz w:val="22"/>
          <w:szCs w:val="22"/>
        </w:rPr>
        <w:t xml:space="preserve">E-mail: </w:t>
      </w:r>
      <w:hyperlink r:id="rId15" w:history="1">
        <w:r>
          <w:rPr>
            <w:rStyle w:val="Hyperlink"/>
            <w:rFonts w:ascii="Arial" w:hAnsi="Arial" w:cs="Arial"/>
            <w:sz w:val="22"/>
            <w:szCs w:val="22"/>
          </w:rPr>
          <w:t>opfin@lasa.com.br</w:t>
        </w:r>
      </w:hyperlink>
      <w:r>
        <w:rPr>
          <w:rFonts w:ascii="Arial" w:hAnsi="Arial" w:cs="Arial"/>
          <w:color w:val="000000"/>
          <w:sz w:val="22"/>
          <w:szCs w:val="22"/>
        </w:rPr>
        <w:t xml:space="preserve"> </w:t>
      </w:r>
    </w:p>
    <w:p w14:paraId="5E94ABCB" w14:textId="77777777" w:rsidR="00FC10E9" w:rsidRDefault="00B10E1A">
      <w:pPr>
        <w:tabs>
          <w:tab w:val="left" w:pos="2366"/>
        </w:tabs>
        <w:spacing w:line="300" w:lineRule="atLeast"/>
        <w:jc w:val="both"/>
        <w:rPr>
          <w:rFonts w:ascii="Arial" w:hAnsi="Arial" w:cs="Arial"/>
          <w:b/>
          <w:color w:val="000000"/>
          <w:sz w:val="22"/>
          <w:szCs w:val="22"/>
        </w:rPr>
      </w:pPr>
      <w:r>
        <w:rPr>
          <w:rFonts w:ascii="Arial" w:hAnsi="Arial" w:cs="Arial"/>
          <w:color w:val="000000"/>
          <w:sz w:val="22"/>
          <w:szCs w:val="22"/>
        </w:rPr>
        <w:t xml:space="preserve"> </w:t>
      </w:r>
    </w:p>
    <w:p w14:paraId="088F852F" w14:textId="77777777" w:rsidR="00FC10E9" w:rsidRDefault="00B10E1A">
      <w:pPr>
        <w:keepNext/>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 xml:space="preserve">Para o Agente Fiduciário: </w:t>
      </w:r>
    </w:p>
    <w:p w14:paraId="04F507E9" w14:textId="77777777" w:rsidR="00FC10E9" w:rsidRDefault="00B10E1A">
      <w:pPr>
        <w:keepNext/>
        <w:tabs>
          <w:tab w:val="left" w:pos="2366"/>
        </w:tabs>
        <w:spacing w:line="300" w:lineRule="atLeast"/>
        <w:jc w:val="both"/>
        <w:rPr>
          <w:rFonts w:ascii="Arial" w:hAnsi="Arial" w:cs="Arial"/>
          <w:smallCaps/>
          <w:color w:val="000000"/>
          <w:sz w:val="22"/>
          <w:szCs w:val="22"/>
        </w:rPr>
      </w:pPr>
      <w:r>
        <w:rPr>
          <w:rFonts w:ascii="Arial" w:hAnsi="Arial" w:cs="Arial"/>
          <w:smallCaps/>
          <w:color w:val="000000"/>
          <w:sz w:val="22"/>
          <w:szCs w:val="22"/>
        </w:rPr>
        <w:t>Oliveira Trust Distribuidora de Títulos e Valores Mobiliários S.A.</w:t>
      </w:r>
    </w:p>
    <w:p w14:paraId="473D3316" w14:textId="77777777" w:rsidR="00FC10E9" w:rsidRDefault="00B10E1A">
      <w:pPr>
        <w:keepNext/>
        <w:tabs>
          <w:tab w:val="left" w:pos="2366"/>
        </w:tabs>
        <w:spacing w:line="300" w:lineRule="atLeast"/>
        <w:rPr>
          <w:rFonts w:ascii="Arial" w:hAnsi="Arial" w:cs="Arial"/>
          <w:color w:val="000000"/>
          <w:sz w:val="22"/>
          <w:szCs w:val="22"/>
        </w:rPr>
      </w:pPr>
      <w:r>
        <w:rPr>
          <w:rFonts w:ascii="Arial" w:hAnsi="Arial" w:cs="Arial"/>
          <w:color w:val="000000"/>
          <w:sz w:val="22"/>
          <w:szCs w:val="22"/>
        </w:rPr>
        <w:t>Avenida das Américas, nº 3.434, bloco 7, sala 201</w:t>
      </w:r>
    </w:p>
    <w:p w14:paraId="11DDAABD" w14:textId="77777777" w:rsidR="00FC10E9" w:rsidRDefault="00B10E1A">
      <w:pPr>
        <w:keepNext/>
        <w:tabs>
          <w:tab w:val="left" w:pos="2366"/>
        </w:tabs>
        <w:spacing w:line="300" w:lineRule="atLeast"/>
        <w:rPr>
          <w:rFonts w:ascii="Arial" w:hAnsi="Arial" w:cs="Arial"/>
          <w:color w:val="000000"/>
          <w:sz w:val="22"/>
          <w:szCs w:val="22"/>
        </w:rPr>
      </w:pPr>
      <w:r>
        <w:rPr>
          <w:rFonts w:ascii="Arial" w:hAnsi="Arial" w:cs="Arial"/>
          <w:color w:val="000000"/>
          <w:sz w:val="22"/>
          <w:szCs w:val="22"/>
        </w:rPr>
        <w:t>CEP 22640-102, Rio de Janeiro, RJ</w:t>
      </w:r>
    </w:p>
    <w:p w14:paraId="7FEBBCAB" w14:textId="77777777" w:rsidR="00FC10E9" w:rsidRDefault="00B10E1A">
      <w:pPr>
        <w:keepNext/>
        <w:tabs>
          <w:tab w:val="left" w:pos="2366"/>
        </w:tabs>
        <w:spacing w:line="300" w:lineRule="atLeast"/>
        <w:rPr>
          <w:rFonts w:ascii="Arial" w:hAnsi="Arial" w:cs="Arial"/>
          <w:color w:val="000000"/>
          <w:sz w:val="22"/>
          <w:szCs w:val="22"/>
        </w:rPr>
      </w:pPr>
      <w:r>
        <w:rPr>
          <w:rFonts w:ascii="Arial" w:hAnsi="Arial" w:cs="Arial"/>
          <w:color w:val="000000"/>
          <w:sz w:val="22"/>
          <w:szCs w:val="22"/>
        </w:rPr>
        <w:t xml:space="preserve">At. </w:t>
      </w:r>
      <w:bookmarkStart w:id="54" w:name="_Hlk90302336"/>
      <w:r>
        <w:rPr>
          <w:rFonts w:ascii="Arial" w:hAnsi="Arial" w:cs="Arial"/>
          <w:sz w:val="22"/>
          <w:szCs w:val="22"/>
        </w:rPr>
        <w:t xml:space="preserve">Sr. </w:t>
      </w:r>
      <w:bookmarkStart w:id="55" w:name="_Hlk99552994"/>
      <w:r>
        <w:rPr>
          <w:rFonts w:ascii="Arial" w:hAnsi="Arial" w:cs="Arial"/>
          <w:sz w:val="22"/>
          <w:szCs w:val="22"/>
        </w:rPr>
        <w:t>Antonio Amaro e Sra. Maria Carolina Abrantes Lodi de Oliveira</w:t>
      </w:r>
      <w:bookmarkEnd w:id="54"/>
      <w:bookmarkEnd w:id="55"/>
    </w:p>
    <w:p w14:paraId="11B1EC2D" w14:textId="77777777" w:rsidR="00FC10E9" w:rsidRDefault="00B10E1A">
      <w:pPr>
        <w:keepNext/>
        <w:tabs>
          <w:tab w:val="left" w:pos="2366"/>
        </w:tabs>
        <w:spacing w:line="300" w:lineRule="atLeast"/>
        <w:rPr>
          <w:rFonts w:ascii="Arial" w:hAnsi="Arial" w:cs="Arial"/>
          <w:color w:val="000000"/>
          <w:sz w:val="22"/>
          <w:szCs w:val="22"/>
        </w:rPr>
      </w:pPr>
      <w:r>
        <w:rPr>
          <w:rFonts w:ascii="Arial" w:hAnsi="Arial" w:cs="Arial"/>
          <w:color w:val="000000"/>
          <w:sz w:val="22"/>
          <w:szCs w:val="22"/>
        </w:rPr>
        <w:t xml:space="preserve">Telefone: </w:t>
      </w:r>
      <w:r>
        <w:rPr>
          <w:rFonts w:ascii="Arial" w:hAnsi="Arial" w:cs="Arial"/>
          <w:sz w:val="22"/>
          <w:szCs w:val="22"/>
        </w:rPr>
        <w:t>(21) 3514-0000</w:t>
      </w:r>
    </w:p>
    <w:p w14:paraId="71BE3E28"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 xml:space="preserve">E-mail: </w:t>
      </w:r>
      <w:bookmarkStart w:id="56" w:name="_Hlk99644302"/>
      <w:r>
        <w:rPr>
          <w:rFonts w:ascii="Arial" w:hAnsi="Arial" w:cs="Arial"/>
          <w:sz w:val="22"/>
          <w:szCs w:val="22"/>
        </w:rPr>
        <w:fldChar w:fldCharType="begin"/>
      </w:r>
      <w:r>
        <w:rPr>
          <w:rFonts w:ascii="Arial" w:hAnsi="Arial" w:cs="Arial"/>
          <w:sz w:val="22"/>
          <w:szCs w:val="22"/>
        </w:rPr>
        <w:instrText xml:space="preserve"> HYPERLINK "mailto:af.controles@oliveiratrust.com.br" </w:instrText>
      </w:r>
      <w:r>
        <w:rPr>
          <w:rFonts w:ascii="Arial" w:hAnsi="Arial" w:cs="Arial"/>
          <w:sz w:val="22"/>
          <w:szCs w:val="22"/>
        </w:rPr>
        <w:fldChar w:fldCharType="separate"/>
      </w:r>
      <w:r>
        <w:rPr>
          <w:rStyle w:val="Hyperlink"/>
          <w:rFonts w:ascii="Arial" w:hAnsi="Arial" w:cs="Arial"/>
          <w:sz w:val="22"/>
          <w:szCs w:val="22"/>
        </w:rPr>
        <w:t>af.controles@oliveiratrust.com.br</w:t>
      </w:r>
      <w:r>
        <w:rPr>
          <w:rFonts w:ascii="Arial" w:hAnsi="Arial" w:cs="Arial"/>
          <w:sz w:val="22"/>
          <w:szCs w:val="22"/>
        </w:rPr>
        <w:fldChar w:fldCharType="end"/>
      </w:r>
      <w:r>
        <w:rPr>
          <w:rFonts w:ascii="Arial" w:hAnsi="Arial" w:cs="Arial"/>
          <w:sz w:val="22"/>
          <w:szCs w:val="22"/>
        </w:rPr>
        <w:t xml:space="preserve">; </w:t>
      </w:r>
      <w:hyperlink r:id="rId16" w:history="1">
        <w:r>
          <w:rPr>
            <w:rStyle w:val="Hyperlink"/>
            <w:rFonts w:ascii="Arial" w:hAnsi="Arial" w:cs="Arial"/>
            <w:sz w:val="22"/>
            <w:szCs w:val="22"/>
          </w:rPr>
          <w:t>af.assembleias@oliveiratrust.com.br</w:t>
        </w:r>
      </w:hyperlink>
      <w:r>
        <w:rPr>
          <w:rFonts w:ascii="Arial" w:hAnsi="Arial" w:cs="Arial"/>
          <w:sz w:val="22"/>
          <w:szCs w:val="22"/>
        </w:rPr>
        <w:t xml:space="preserve">; </w:t>
      </w:r>
      <w:hyperlink r:id="rId17" w:history="1">
        <w:r>
          <w:rPr>
            <w:rStyle w:val="Hyperlink"/>
            <w:rFonts w:ascii="Arial" w:hAnsi="Arial" w:cs="Arial"/>
            <w:sz w:val="22"/>
            <w:szCs w:val="22"/>
          </w:rPr>
          <w:t>af.precificacao@oliveiratrust.com.br</w:t>
        </w:r>
      </w:hyperlink>
      <w:r>
        <w:rPr>
          <w:rFonts w:ascii="Arial" w:hAnsi="Arial" w:cs="Arial"/>
          <w:sz w:val="22"/>
          <w:szCs w:val="22"/>
        </w:rPr>
        <w:t xml:space="preserve"> (esse último para preço unitário do ativo)</w:t>
      </w:r>
      <w:bookmarkEnd w:id="56"/>
    </w:p>
    <w:p w14:paraId="2A636D22" w14:textId="77777777" w:rsidR="00FC10E9" w:rsidRDefault="00FC10E9">
      <w:pPr>
        <w:tabs>
          <w:tab w:val="left" w:pos="2366"/>
        </w:tabs>
        <w:spacing w:line="300" w:lineRule="atLeast"/>
        <w:jc w:val="both"/>
        <w:rPr>
          <w:rFonts w:ascii="Arial" w:hAnsi="Arial" w:cs="Arial"/>
          <w:color w:val="000000"/>
          <w:sz w:val="22"/>
          <w:szCs w:val="22"/>
        </w:rPr>
      </w:pPr>
    </w:p>
    <w:p w14:paraId="435E7AB5" w14:textId="77777777" w:rsidR="00FC10E9" w:rsidRDefault="00B10E1A">
      <w:pPr>
        <w:tabs>
          <w:tab w:val="left" w:pos="2366"/>
        </w:tabs>
        <w:spacing w:line="300" w:lineRule="atLeast"/>
        <w:jc w:val="both"/>
        <w:rPr>
          <w:rFonts w:ascii="Arial" w:hAnsi="Arial" w:cs="Arial"/>
          <w:b/>
          <w:sz w:val="22"/>
          <w:szCs w:val="22"/>
        </w:rPr>
      </w:pPr>
      <w:r>
        <w:rPr>
          <w:rFonts w:ascii="Arial" w:hAnsi="Arial" w:cs="Arial"/>
          <w:b/>
          <w:color w:val="000000"/>
          <w:sz w:val="22"/>
          <w:szCs w:val="22"/>
        </w:rPr>
        <w:t xml:space="preserve">Para o </w:t>
      </w:r>
      <w:proofErr w:type="spellStart"/>
      <w:r>
        <w:rPr>
          <w:rFonts w:ascii="Arial" w:hAnsi="Arial" w:cs="Arial"/>
          <w:b/>
          <w:sz w:val="22"/>
          <w:szCs w:val="22"/>
        </w:rPr>
        <w:t>Escriturador</w:t>
      </w:r>
      <w:proofErr w:type="spellEnd"/>
    </w:p>
    <w:p w14:paraId="1A9644ED" w14:textId="77777777" w:rsidR="00FC10E9" w:rsidRDefault="00B10E1A">
      <w:pPr>
        <w:keepNext/>
        <w:tabs>
          <w:tab w:val="left" w:pos="2366"/>
        </w:tabs>
        <w:spacing w:line="300" w:lineRule="atLeast"/>
        <w:jc w:val="both"/>
        <w:rPr>
          <w:rFonts w:ascii="Arial" w:hAnsi="Arial" w:cs="Arial"/>
          <w:smallCaps/>
          <w:color w:val="000000"/>
          <w:sz w:val="22"/>
          <w:szCs w:val="22"/>
        </w:rPr>
      </w:pPr>
      <w:r>
        <w:rPr>
          <w:rFonts w:ascii="Arial" w:hAnsi="Arial" w:cs="Arial"/>
          <w:smallCaps/>
          <w:color w:val="000000"/>
          <w:sz w:val="22"/>
          <w:szCs w:val="22"/>
        </w:rPr>
        <w:t>Itaú Unibanco S.A.</w:t>
      </w:r>
    </w:p>
    <w:p w14:paraId="11DF0367"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 xml:space="preserve">Praça Alfredo Egydio de Souza Aranha, nº 100 </w:t>
      </w:r>
    </w:p>
    <w:p w14:paraId="33924EF3"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CEP 04.344-902 – São Paulo, SP</w:t>
      </w:r>
    </w:p>
    <w:p w14:paraId="0EEB9387"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 xml:space="preserve">At.: Melissa Braga </w:t>
      </w:r>
    </w:p>
    <w:p w14:paraId="7E874DF3"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 xml:space="preserve">Tel.: (11) 2740-2919 </w:t>
      </w:r>
    </w:p>
    <w:p w14:paraId="27C64E0D"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 xml:space="preserve">E-mail: </w:t>
      </w:r>
      <w:hyperlink r:id="rId18" w:history="1">
        <w:r>
          <w:rPr>
            <w:rStyle w:val="Hyperlink"/>
            <w:rFonts w:ascii="Arial" w:hAnsi="Arial" w:cs="Arial"/>
            <w:sz w:val="22"/>
            <w:szCs w:val="22"/>
          </w:rPr>
          <w:t>escrituracaorf@itau-unibanco.com.br</w:t>
        </w:r>
      </w:hyperlink>
    </w:p>
    <w:p w14:paraId="7DAD1C6A" w14:textId="77777777" w:rsidR="00FC10E9" w:rsidRDefault="00FC10E9">
      <w:pPr>
        <w:tabs>
          <w:tab w:val="left" w:pos="1084"/>
        </w:tabs>
        <w:autoSpaceDE w:val="0"/>
        <w:autoSpaceDN w:val="0"/>
        <w:adjustRightInd w:val="0"/>
        <w:rPr>
          <w:rFonts w:ascii="Tahoma" w:hAnsi="Tahoma" w:cs="Tahoma"/>
          <w:sz w:val="22"/>
          <w:szCs w:val="22"/>
        </w:rPr>
      </w:pPr>
    </w:p>
    <w:p w14:paraId="75280A96" w14:textId="77777777" w:rsidR="00FC10E9" w:rsidRDefault="00B10E1A">
      <w:pPr>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t xml:space="preserve">Para o </w:t>
      </w:r>
      <w:r>
        <w:rPr>
          <w:rFonts w:ascii="Arial" w:hAnsi="Arial" w:cs="Arial"/>
          <w:b/>
          <w:sz w:val="22"/>
          <w:szCs w:val="22"/>
        </w:rPr>
        <w:t>Banco Liquidante</w:t>
      </w:r>
      <w:r>
        <w:rPr>
          <w:rFonts w:ascii="Arial" w:hAnsi="Arial" w:cs="Arial"/>
          <w:b/>
          <w:color w:val="000000"/>
          <w:sz w:val="22"/>
          <w:szCs w:val="22"/>
        </w:rPr>
        <w:t>:</w:t>
      </w:r>
    </w:p>
    <w:p w14:paraId="1C2B14E8" w14:textId="77777777" w:rsidR="00FC10E9" w:rsidRDefault="00B10E1A">
      <w:pPr>
        <w:keepNext/>
        <w:tabs>
          <w:tab w:val="left" w:pos="2366"/>
        </w:tabs>
        <w:spacing w:line="300" w:lineRule="atLeast"/>
        <w:jc w:val="both"/>
        <w:rPr>
          <w:rFonts w:ascii="Arial" w:hAnsi="Arial" w:cs="Arial"/>
          <w:smallCaps/>
          <w:color w:val="000000"/>
          <w:sz w:val="22"/>
          <w:szCs w:val="22"/>
        </w:rPr>
      </w:pPr>
      <w:r>
        <w:rPr>
          <w:rFonts w:ascii="Arial" w:hAnsi="Arial" w:cs="Arial"/>
          <w:smallCaps/>
          <w:color w:val="000000"/>
          <w:sz w:val="22"/>
          <w:szCs w:val="22"/>
        </w:rPr>
        <w:t>ITAÚ CORRETORA DE VALORES S.A.</w:t>
      </w:r>
    </w:p>
    <w:p w14:paraId="3BCDB7DC"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Av. Brigadeiro Faria Lima, 3500, 3º andar</w:t>
      </w:r>
    </w:p>
    <w:p w14:paraId="5E1359DF"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CEP 04538-132 – São Paulo, SP</w:t>
      </w:r>
    </w:p>
    <w:p w14:paraId="276BAFE2"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At.: Melissa Braga</w:t>
      </w:r>
    </w:p>
    <w:p w14:paraId="69472BD8"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Tel.: (11) 2740-2919</w:t>
      </w:r>
    </w:p>
    <w:p w14:paraId="6A69E6E4" w14:textId="77777777" w:rsidR="00FC10E9" w:rsidRDefault="00B10E1A">
      <w:pPr>
        <w:tabs>
          <w:tab w:val="left" w:pos="1084"/>
        </w:tabs>
        <w:autoSpaceDE w:val="0"/>
        <w:autoSpaceDN w:val="0"/>
        <w:adjustRightInd w:val="0"/>
        <w:rPr>
          <w:rFonts w:ascii="Arial" w:hAnsi="Arial" w:cs="Arial"/>
          <w:sz w:val="22"/>
          <w:szCs w:val="22"/>
        </w:rPr>
      </w:pPr>
      <w:r>
        <w:rPr>
          <w:rFonts w:ascii="Arial" w:hAnsi="Arial" w:cs="Arial"/>
          <w:sz w:val="22"/>
          <w:szCs w:val="22"/>
        </w:rPr>
        <w:t xml:space="preserve">E-mail: </w:t>
      </w:r>
      <w:hyperlink r:id="rId19" w:history="1">
        <w:r>
          <w:rPr>
            <w:rStyle w:val="Hyperlink"/>
            <w:rFonts w:ascii="Arial" w:hAnsi="Arial" w:cs="Arial"/>
            <w:sz w:val="22"/>
            <w:szCs w:val="22"/>
          </w:rPr>
          <w:t>escrituracaorf@itau-unibanco.com.br</w:t>
        </w:r>
      </w:hyperlink>
    </w:p>
    <w:p w14:paraId="7BCBA878" w14:textId="77777777" w:rsidR="00FC10E9" w:rsidRDefault="00FC10E9">
      <w:pPr>
        <w:tabs>
          <w:tab w:val="left" w:pos="1084"/>
        </w:tabs>
        <w:autoSpaceDE w:val="0"/>
        <w:autoSpaceDN w:val="0"/>
        <w:adjustRightInd w:val="0"/>
        <w:rPr>
          <w:rFonts w:ascii="Tahoma" w:hAnsi="Tahoma" w:cs="Tahoma"/>
          <w:sz w:val="22"/>
          <w:szCs w:val="22"/>
        </w:rPr>
      </w:pPr>
    </w:p>
    <w:p w14:paraId="4F0AF629" w14:textId="77777777" w:rsidR="00FC10E9" w:rsidRDefault="00B10E1A">
      <w:pPr>
        <w:keepNext/>
        <w:tabs>
          <w:tab w:val="left" w:pos="2366"/>
        </w:tabs>
        <w:spacing w:line="300" w:lineRule="atLeast"/>
        <w:jc w:val="both"/>
        <w:rPr>
          <w:rFonts w:ascii="Arial" w:hAnsi="Arial" w:cs="Arial"/>
          <w:b/>
          <w:color w:val="000000"/>
          <w:sz w:val="22"/>
          <w:szCs w:val="22"/>
        </w:rPr>
      </w:pPr>
      <w:r>
        <w:rPr>
          <w:rFonts w:ascii="Arial" w:hAnsi="Arial" w:cs="Arial"/>
          <w:b/>
          <w:color w:val="000000"/>
          <w:sz w:val="22"/>
          <w:szCs w:val="22"/>
        </w:rPr>
        <w:lastRenderedPageBreak/>
        <w:t>Para a B3:</w:t>
      </w:r>
    </w:p>
    <w:p w14:paraId="72925264" w14:textId="77777777" w:rsidR="00FC10E9" w:rsidRDefault="00B10E1A">
      <w:pPr>
        <w:keepNext/>
        <w:shd w:val="clear" w:color="auto" w:fill="FFFFFF"/>
        <w:spacing w:line="300" w:lineRule="atLeast"/>
        <w:rPr>
          <w:rFonts w:ascii="Arial" w:hAnsi="Arial" w:cs="Arial"/>
          <w:color w:val="000000"/>
          <w:sz w:val="22"/>
          <w:szCs w:val="22"/>
          <w:lang w:eastAsia="en-US"/>
        </w:rPr>
      </w:pPr>
      <w:r>
        <w:rPr>
          <w:rFonts w:ascii="Arial" w:hAnsi="Arial" w:cs="Arial"/>
          <w:color w:val="000000"/>
          <w:sz w:val="22"/>
          <w:szCs w:val="22"/>
          <w:lang w:eastAsia="en-US"/>
        </w:rPr>
        <w:t>B3 S.A. – BRASIL, BOLSA, BALCÃO</w:t>
      </w:r>
    </w:p>
    <w:p w14:paraId="726FBBD0" w14:textId="77777777" w:rsidR="00FC10E9" w:rsidRDefault="00B10E1A">
      <w:pPr>
        <w:keepNext/>
        <w:shd w:val="clear" w:color="auto" w:fill="FFFFFF"/>
        <w:spacing w:line="300" w:lineRule="atLeast"/>
        <w:rPr>
          <w:rFonts w:ascii="Arial" w:hAnsi="Arial" w:cs="Arial"/>
          <w:color w:val="000000"/>
          <w:sz w:val="22"/>
          <w:szCs w:val="22"/>
          <w:lang w:eastAsia="en-US"/>
        </w:rPr>
      </w:pPr>
      <w:r>
        <w:rPr>
          <w:rFonts w:ascii="Arial" w:hAnsi="Arial" w:cs="Arial"/>
          <w:color w:val="000000"/>
          <w:sz w:val="22"/>
          <w:szCs w:val="22"/>
          <w:lang w:eastAsia="en-US"/>
        </w:rPr>
        <w:t>Praça Antônio Prado, 48, 6º andar</w:t>
      </w:r>
    </w:p>
    <w:p w14:paraId="43851392" w14:textId="77777777" w:rsidR="00FC10E9" w:rsidRDefault="00B10E1A">
      <w:pPr>
        <w:keepNext/>
        <w:shd w:val="clear" w:color="auto" w:fill="FFFFFF"/>
        <w:spacing w:line="300" w:lineRule="atLeast"/>
        <w:rPr>
          <w:rFonts w:ascii="Arial" w:hAnsi="Arial" w:cs="Arial"/>
          <w:color w:val="000000"/>
          <w:sz w:val="22"/>
          <w:szCs w:val="22"/>
          <w:lang w:eastAsia="en-US"/>
        </w:rPr>
      </w:pPr>
      <w:r>
        <w:rPr>
          <w:rFonts w:ascii="Arial" w:hAnsi="Arial" w:cs="Arial"/>
          <w:color w:val="000000"/>
          <w:sz w:val="22"/>
          <w:szCs w:val="22"/>
          <w:lang w:eastAsia="en-US"/>
        </w:rPr>
        <w:t>CEP: 01010-901, São Paulo/SP</w:t>
      </w:r>
    </w:p>
    <w:p w14:paraId="634CAF5D" w14:textId="77777777" w:rsidR="00FC10E9" w:rsidRDefault="00B10E1A">
      <w:pPr>
        <w:keepNext/>
        <w:shd w:val="clear" w:color="auto" w:fill="FFFFFF"/>
        <w:spacing w:line="300" w:lineRule="atLeast"/>
        <w:rPr>
          <w:rFonts w:ascii="Arial" w:hAnsi="Arial" w:cs="Arial"/>
          <w:color w:val="000000"/>
          <w:sz w:val="22"/>
          <w:szCs w:val="22"/>
          <w:lang w:eastAsia="en-US"/>
        </w:rPr>
      </w:pPr>
      <w:r>
        <w:rPr>
          <w:rFonts w:ascii="Arial" w:hAnsi="Arial" w:cs="Arial"/>
          <w:bCs/>
          <w:color w:val="000000"/>
          <w:sz w:val="22"/>
          <w:szCs w:val="22"/>
          <w:lang w:eastAsia="en-US"/>
        </w:rPr>
        <w:t xml:space="preserve">At.: Superintendência </w:t>
      </w:r>
      <w:r>
        <w:rPr>
          <w:rFonts w:ascii="Arial" w:hAnsi="Arial" w:cs="Arial"/>
          <w:color w:val="000000"/>
          <w:sz w:val="22"/>
          <w:szCs w:val="22"/>
          <w:lang w:eastAsia="en-US"/>
        </w:rPr>
        <w:t xml:space="preserve">de </w:t>
      </w:r>
      <w:r>
        <w:rPr>
          <w:rFonts w:ascii="Arial" w:hAnsi="Arial" w:cs="Arial"/>
          <w:bCs/>
          <w:color w:val="000000"/>
          <w:sz w:val="22"/>
          <w:szCs w:val="22"/>
          <w:lang w:eastAsia="en-US"/>
        </w:rPr>
        <w:t>Ofertas de Títulos Corporativos e Fundos - SCF</w:t>
      </w:r>
    </w:p>
    <w:p w14:paraId="0FF06F22" w14:textId="77777777" w:rsidR="00FC10E9" w:rsidRDefault="00B10E1A">
      <w:pPr>
        <w:keepNext/>
        <w:shd w:val="clear" w:color="auto" w:fill="FFFFFF"/>
        <w:spacing w:line="300" w:lineRule="atLeast"/>
        <w:rPr>
          <w:rFonts w:ascii="Arial" w:hAnsi="Arial" w:cs="Arial"/>
          <w:color w:val="000000"/>
          <w:sz w:val="22"/>
          <w:szCs w:val="22"/>
          <w:lang w:eastAsia="en-US"/>
        </w:rPr>
      </w:pPr>
      <w:proofErr w:type="spellStart"/>
      <w:r>
        <w:rPr>
          <w:rFonts w:ascii="Arial" w:hAnsi="Arial" w:cs="Arial"/>
          <w:color w:val="000000"/>
          <w:sz w:val="22"/>
          <w:szCs w:val="22"/>
          <w:lang w:eastAsia="en-US"/>
        </w:rPr>
        <w:t>Tel</w:t>
      </w:r>
      <w:proofErr w:type="spellEnd"/>
      <w:r>
        <w:rPr>
          <w:rFonts w:ascii="Arial" w:hAnsi="Arial" w:cs="Arial"/>
          <w:color w:val="000000"/>
          <w:sz w:val="22"/>
          <w:szCs w:val="22"/>
          <w:lang w:eastAsia="en-US"/>
        </w:rPr>
        <w:t>: 11 2565-5061</w:t>
      </w:r>
    </w:p>
    <w:p w14:paraId="15E437DB" w14:textId="77777777" w:rsidR="00FC10E9" w:rsidRDefault="00B10E1A">
      <w:pPr>
        <w:keepNext/>
        <w:shd w:val="clear" w:color="auto" w:fill="FFFFFF"/>
        <w:spacing w:line="300" w:lineRule="atLeast"/>
        <w:rPr>
          <w:rFonts w:ascii="Arial" w:hAnsi="Arial" w:cs="Arial"/>
          <w:color w:val="000000"/>
          <w:sz w:val="22"/>
          <w:szCs w:val="22"/>
          <w:lang w:eastAsia="en-US"/>
        </w:rPr>
      </w:pPr>
      <w:r>
        <w:rPr>
          <w:rFonts w:ascii="Arial" w:hAnsi="Arial" w:cs="Arial"/>
          <w:color w:val="000000"/>
          <w:sz w:val="22"/>
          <w:szCs w:val="22"/>
          <w:lang w:eastAsia="en-US"/>
        </w:rPr>
        <w:t>E-mail: valores.mobiliarios@b3.com.br</w:t>
      </w:r>
    </w:p>
    <w:p w14:paraId="6F3F917D" w14:textId="77777777" w:rsidR="00FC10E9" w:rsidRDefault="00FC10E9">
      <w:pPr>
        <w:tabs>
          <w:tab w:val="left" w:pos="2366"/>
        </w:tabs>
        <w:spacing w:line="300" w:lineRule="atLeast"/>
        <w:jc w:val="both"/>
        <w:rPr>
          <w:rFonts w:ascii="Arial" w:hAnsi="Arial" w:cs="Arial"/>
          <w:color w:val="000000"/>
          <w:sz w:val="22"/>
          <w:szCs w:val="22"/>
        </w:rPr>
      </w:pPr>
    </w:p>
    <w:p w14:paraId="74BD6CCE"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12.1.2.</w:t>
      </w:r>
      <w:r>
        <w:rPr>
          <w:rFonts w:ascii="Arial" w:hAnsi="Arial" w:cs="Arial"/>
          <w:color w:val="000000"/>
          <w:sz w:val="22"/>
          <w:szCs w:val="22"/>
        </w:rPr>
        <w:tab/>
        <w:t xml:space="preserve">As comunicações referentes a esta Escritura serão consideradas entregues quando recebidas sob protocolo, com “aviso de recebimento” expedido pela Empresa Brasileira de Correios, ou por telegrama, ou por correio eletrônico nos endereços acima. As comunicações feitas por fac-símile ou correio eletrônico serão consideradas recebidas na data de seu envio, desde que seu recebimento seja confirmado por meio de recibo emitido pela máquina utilizada pelo remetente. </w:t>
      </w:r>
    </w:p>
    <w:p w14:paraId="2204198B" w14:textId="77777777" w:rsidR="00FC10E9" w:rsidRDefault="00FC10E9">
      <w:pPr>
        <w:tabs>
          <w:tab w:val="left" w:pos="851"/>
          <w:tab w:val="left" w:pos="2366"/>
        </w:tabs>
        <w:spacing w:line="300" w:lineRule="atLeast"/>
        <w:jc w:val="both"/>
        <w:rPr>
          <w:rFonts w:ascii="Arial" w:hAnsi="Arial" w:cs="Arial"/>
          <w:color w:val="000000"/>
          <w:sz w:val="22"/>
          <w:szCs w:val="22"/>
        </w:rPr>
      </w:pPr>
    </w:p>
    <w:p w14:paraId="1254A2F8"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12.1.3.</w:t>
      </w:r>
      <w:r>
        <w:rPr>
          <w:rFonts w:ascii="Arial" w:hAnsi="Arial" w:cs="Arial"/>
          <w:color w:val="000000"/>
          <w:sz w:val="22"/>
          <w:szCs w:val="22"/>
        </w:rPr>
        <w:tab/>
        <w:t>A mudança de qualquer dos endereços acima deverá ser comunicada imediatamente pela Parte que tiver seu endereço alterado.</w:t>
      </w:r>
    </w:p>
    <w:p w14:paraId="53FCC3C8" w14:textId="77777777" w:rsidR="00FC10E9" w:rsidRDefault="00FC10E9">
      <w:pPr>
        <w:tabs>
          <w:tab w:val="left" w:pos="851"/>
          <w:tab w:val="left" w:pos="2366"/>
        </w:tabs>
        <w:spacing w:line="300" w:lineRule="atLeast"/>
        <w:jc w:val="both"/>
        <w:rPr>
          <w:rFonts w:ascii="Arial" w:hAnsi="Arial" w:cs="Arial"/>
          <w:color w:val="000000"/>
          <w:sz w:val="22"/>
          <w:szCs w:val="22"/>
        </w:rPr>
      </w:pPr>
    </w:p>
    <w:p w14:paraId="22EFB8A2" w14:textId="77777777" w:rsidR="00FC10E9" w:rsidRDefault="00B10E1A">
      <w:pPr>
        <w:keepNext/>
        <w:numPr>
          <w:ilvl w:val="0"/>
          <w:numId w:val="20"/>
        </w:numPr>
        <w:tabs>
          <w:tab w:val="left" w:pos="851"/>
          <w:tab w:val="left" w:pos="2366"/>
        </w:tabs>
        <w:spacing w:line="300" w:lineRule="atLeast"/>
        <w:ind w:left="0" w:firstLine="0"/>
        <w:jc w:val="both"/>
        <w:rPr>
          <w:rFonts w:ascii="Arial" w:hAnsi="Arial" w:cs="Arial"/>
          <w:b/>
          <w:color w:val="000000"/>
          <w:sz w:val="22"/>
          <w:szCs w:val="22"/>
        </w:rPr>
      </w:pPr>
      <w:bookmarkStart w:id="57" w:name="_DV_M428"/>
      <w:bookmarkEnd w:id="57"/>
      <w:r>
        <w:rPr>
          <w:rFonts w:ascii="Arial" w:hAnsi="Arial" w:cs="Arial"/>
          <w:b/>
          <w:color w:val="000000"/>
          <w:sz w:val="22"/>
          <w:szCs w:val="22"/>
        </w:rPr>
        <w:t>Renúncia</w:t>
      </w:r>
    </w:p>
    <w:p w14:paraId="618AE4AF" w14:textId="77777777" w:rsidR="00FC10E9" w:rsidRDefault="00FC10E9">
      <w:pPr>
        <w:tabs>
          <w:tab w:val="left" w:pos="851"/>
          <w:tab w:val="left" w:pos="2366"/>
        </w:tabs>
        <w:spacing w:line="300" w:lineRule="atLeast"/>
        <w:jc w:val="both"/>
        <w:rPr>
          <w:rFonts w:ascii="Arial" w:hAnsi="Arial" w:cs="Arial"/>
          <w:color w:val="000000"/>
          <w:sz w:val="22"/>
          <w:szCs w:val="22"/>
        </w:rPr>
      </w:pPr>
    </w:p>
    <w:p w14:paraId="2873F281"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12.2.1.</w:t>
      </w:r>
      <w:r>
        <w:rPr>
          <w:rFonts w:ascii="Arial" w:hAnsi="Arial" w:cs="Arial"/>
          <w:color w:val="000000"/>
          <w:sz w:val="22"/>
          <w:szCs w:val="22"/>
        </w:rPr>
        <w:tab/>
        <w:t>Não se presume a renúncia a qualquer dos direitos decorrentes da presente Escritura. Desta forma, nenhum atraso, omissão ou liberalidade no exercício de qualquer direito, faculdade ou remédio que caiba ao Agente Fiduciário e/ou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w:t>
      </w:r>
    </w:p>
    <w:p w14:paraId="032B0C0B" w14:textId="77777777" w:rsidR="00FC10E9" w:rsidRDefault="00FC10E9">
      <w:pPr>
        <w:tabs>
          <w:tab w:val="left" w:pos="851"/>
          <w:tab w:val="left" w:pos="2366"/>
        </w:tabs>
        <w:spacing w:line="300" w:lineRule="atLeast"/>
        <w:jc w:val="both"/>
        <w:rPr>
          <w:rFonts w:ascii="Arial" w:hAnsi="Arial" w:cs="Arial"/>
          <w:color w:val="000000"/>
          <w:sz w:val="22"/>
          <w:szCs w:val="22"/>
        </w:rPr>
      </w:pPr>
    </w:p>
    <w:p w14:paraId="2579B8EC"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bookmarkStart w:id="58" w:name="_DV_M430"/>
      <w:bookmarkEnd w:id="58"/>
      <w:r>
        <w:rPr>
          <w:rFonts w:ascii="Arial" w:hAnsi="Arial" w:cs="Arial"/>
          <w:b/>
          <w:color w:val="000000"/>
          <w:sz w:val="22"/>
          <w:szCs w:val="22"/>
        </w:rPr>
        <w:t>Veracidade da Documentação</w:t>
      </w:r>
    </w:p>
    <w:p w14:paraId="49B7EEAF" w14:textId="77777777" w:rsidR="00FC10E9" w:rsidRDefault="00FC10E9">
      <w:pPr>
        <w:tabs>
          <w:tab w:val="left" w:pos="851"/>
        </w:tabs>
        <w:spacing w:line="300" w:lineRule="atLeast"/>
        <w:jc w:val="both"/>
        <w:rPr>
          <w:rFonts w:ascii="Arial" w:hAnsi="Arial" w:cs="Arial"/>
          <w:color w:val="000000"/>
          <w:w w:val="0"/>
          <w:sz w:val="22"/>
          <w:szCs w:val="22"/>
        </w:rPr>
      </w:pPr>
    </w:p>
    <w:p w14:paraId="304C7BDA"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12.3.1.</w:t>
      </w:r>
      <w:r>
        <w:rPr>
          <w:rFonts w:ascii="Arial" w:hAnsi="Arial" w:cs="Arial"/>
          <w:color w:val="000000"/>
          <w:sz w:val="22"/>
          <w:szCs w:val="22"/>
        </w:rPr>
        <w:tab/>
        <w:t>Sem prejuízo do dever de diligência do Agente Fiduciário, o Agente Fiduciário assumirá que os documentos originais ou cópias autenticadas de documentos encaminhados pela Emissora ou por terceiros a seu pedido não foram objeto de fraude ou adulteração. O Agente Fiduciário não será ainda, sob qualquer hipótese, responsável pela elaboração de documentos societários da Emissora, que permanecerão sob obrigação legal e regulamentar da Emissora, nos termos da legislação aplicável.</w:t>
      </w:r>
    </w:p>
    <w:p w14:paraId="01383097" w14:textId="77777777" w:rsidR="00FC10E9" w:rsidRDefault="00FC10E9">
      <w:pPr>
        <w:tabs>
          <w:tab w:val="left" w:pos="851"/>
          <w:tab w:val="left" w:pos="2366"/>
        </w:tabs>
        <w:spacing w:line="300" w:lineRule="atLeast"/>
        <w:jc w:val="both"/>
        <w:rPr>
          <w:rFonts w:ascii="Arial" w:hAnsi="Arial" w:cs="Arial"/>
          <w:color w:val="000000"/>
          <w:sz w:val="22"/>
          <w:szCs w:val="22"/>
        </w:rPr>
      </w:pPr>
    </w:p>
    <w:p w14:paraId="63ACD4E3"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12.3.2.</w:t>
      </w:r>
      <w:r>
        <w:rPr>
          <w:rFonts w:ascii="Arial" w:hAnsi="Arial" w:cs="Arial"/>
          <w:color w:val="000000"/>
          <w:sz w:val="22"/>
          <w:szCs w:val="22"/>
        </w:rPr>
        <w:tab/>
        <w:t>Para prestar os serviços especificados e tomar as decisões necessárias com relação ao disposto nesta Escritura, o Agente Fiduciário não será responsável por verificar a suficiência, validade, qualidade, veracidade ou completude das deliberações societárias, dos atos da administração ou de qualquer documento ou registro da Emissora que considere autêntico que lhe tenha sido ou seja encaminhado pela Emissora ou por seus colaboradores.</w:t>
      </w:r>
    </w:p>
    <w:p w14:paraId="787005F8" w14:textId="77777777" w:rsidR="00FC10E9" w:rsidRDefault="00FC10E9">
      <w:pPr>
        <w:tabs>
          <w:tab w:val="left" w:pos="851"/>
          <w:tab w:val="left" w:pos="2366"/>
        </w:tabs>
        <w:spacing w:line="300" w:lineRule="atLeast"/>
        <w:jc w:val="both"/>
        <w:rPr>
          <w:rFonts w:ascii="Arial" w:hAnsi="Arial" w:cs="Arial"/>
          <w:color w:val="000000"/>
          <w:sz w:val="22"/>
          <w:szCs w:val="22"/>
        </w:rPr>
      </w:pPr>
    </w:p>
    <w:p w14:paraId="7CA1E9E9"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lastRenderedPageBreak/>
        <w:t>Independência das Disposições da Escritura e Interpretação dos Títulos das Cláusulas</w:t>
      </w:r>
    </w:p>
    <w:p w14:paraId="6A97825C" w14:textId="77777777" w:rsidR="00FC10E9" w:rsidRDefault="00FC10E9">
      <w:pPr>
        <w:keepNext/>
        <w:tabs>
          <w:tab w:val="left" w:pos="851"/>
          <w:tab w:val="left" w:pos="2366"/>
        </w:tabs>
        <w:spacing w:line="300" w:lineRule="atLeast"/>
        <w:jc w:val="both"/>
        <w:rPr>
          <w:rFonts w:ascii="Arial" w:hAnsi="Arial" w:cs="Arial"/>
          <w:color w:val="000000"/>
          <w:sz w:val="22"/>
          <w:szCs w:val="22"/>
        </w:rPr>
      </w:pPr>
    </w:p>
    <w:p w14:paraId="5170E0DB"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12.4.1.</w:t>
      </w:r>
      <w:r>
        <w:rPr>
          <w:rFonts w:ascii="Arial" w:hAnsi="Arial" w:cs="Arial"/>
          <w:color w:val="000000"/>
          <w:sz w:val="22"/>
          <w:szCs w:val="22"/>
        </w:rPr>
        <w:tab/>
        <w:t>Caso qualquer das disposições desta Escritura venha a ser julgada ilegal, inválida ou ineficaz, prevalecerão todas as demais disposições não afetadas por tal julgamento, comprometendo-se as Partes, em boa-fé, a substituírem a disposição afetada por outra que, na medida do possível, produza o mesmo efeito.</w:t>
      </w:r>
    </w:p>
    <w:p w14:paraId="726F1ECD" w14:textId="77777777" w:rsidR="00FC10E9" w:rsidRDefault="00FC10E9">
      <w:pPr>
        <w:tabs>
          <w:tab w:val="left" w:pos="851"/>
          <w:tab w:val="left" w:pos="2366"/>
        </w:tabs>
        <w:spacing w:line="300" w:lineRule="atLeast"/>
        <w:jc w:val="both"/>
        <w:rPr>
          <w:rFonts w:ascii="Arial" w:hAnsi="Arial" w:cs="Arial"/>
          <w:color w:val="000000"/>
          <w:sz w:val="22"/>
          <w:szCs w:val="22"/>
        </w:rPr>
      </w:pPr>
    </w:p>
    <w:p w14:paraId="2BFD983C"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12.4.2.</w:t>
      </w:r>
      <w:r>
        <w:rPr>
          <w:rFonts w:ascii="Arial" w:hAnsi="Arial" w:cs="Arial"/>
          <w:color w:val="000000"/>
          <w:sz w:val="22"/>
          <w:szCs w:val="22"/>
        </w:rPr>
        <w:tab/>
        <w:t>As Partes concordam que a presente Escritura poderá ser alterada, sem a necessidade de qualquer aprovação dos Debenturistas, sempre que existir a necessidade da atualização dos dados cadastrais das Partes, tais como alteração na razão social, endereço e telefone, entre outros, desde que não haja qualquer custo ou despesa adicional para os Debenturistas.</w:t>
      </w:r>
    </w:p>
    <w:p w14:paraId="3AC5EFB8" w14:textId="77777777" w:rsidR="00FC10E9" w:rsidRDefault="00FC10E9">
      <w:pPr>
        <w:tabs>
          <w:tab w:val="left" w:pos="851"/>
          <w:tab w:val="left" w:pos="2366"/>
        </w:tabs>
        <w:spacing w:line="300" w:lineRule="atLeast"/>
        <w:jc w:val="both"/>
        <w:rPr>
          <w:rFonts w:ascii="Arial" w:hAnsi="Arial" w:cs="Arial"/>
          <w:color w:val="000000"/>
          <w:sz w:val="22"/>
          <w:szCs w:val="22"/>
        </w:rPr>
      </w:pPr>
    </w:p>
    <w:p w14:paraId="568A28FA"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Título Executivo Extrajudicial e Execução Específica</w:t>
      </w:r>
    </w:p>
    <w:p w14:paraId="0D52F56F" w14:textId="77777777" w:rsidR="00FC10E9" w:rsidRDefault="00FC10E9">
      <w:pPr>
        <w:tabs>
          <w:tab w:val="left" w:pos="851"/>
          <w:tab w:val="left" w:pos="2366"/>
        </w:tabs>
        <w:spacing w:line="300" w:lineRule="atLeast"/>
        <w:jc w:val="both"/>
        <w:rPr>
          <w:rFonts w:ascii="Arial" w:hAnsi="Arial" w:cs="Arial"/>
          <w:color w:val="000000"/>
          <w:sz w:val="22"/>
          <w:szCs w:val="22"/>
        </w:rPr>
      </w:pPr>
    </w:p>
    <w:p w14:paraId="429E6B68"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12.5.1.</w:t>
      </w:r>
      <w:r>
        <w:rPr>
          <w:rFonts w:ascii="Arial" w:hAnsi="Arial" w:cs="Arial"/>
          <w:color w:val="000000"/>
          <w:sz w:val="22"/>
          <w:szCs w:val="22"/>
        </w:rPr>
        <w:tab/>
        <w:t>Esta Escritura e as Debêntures constituem títulos executivos extrajudiciais nos termos dos incisos I e III do artigo 784 da Lei nº 13.105, de 16 de março de 2015, conforme alterada (“</w:t>
      </w:r>
      <w:r>
        <w:rPr>
          <w:rFonts w:ascii="Arial" w:hAnsi="Arial" w:cs="Arial"/>
          <w:color w:val="000000"/>
          <w:sz w:val="22"/>
          <w:szCs w:val="22"/>
          <w:u w:val="single"/>
        </w:rPr>
        <w:t>Código de Processo Civil</w:t>
      </w:r>
      <w:r>
        <w:rPr>
          <w:rFonts w:ascii="Arial" w:hAnsi="Arial" w:cs="Arial"/>
          <w:color w:val="000000"/>
          <w:sz w:val="22"/>
          <w:szCs w:val="22"/>
        </w:rPr>
        <w:t>”), reconhecendo as Partes desde já que, independentemente de quaisquer outras medidas cabíveis, as obrigações assumidas nos termos desta Escritura comportam execução específica, submetendo-se às disposições dos artigos 815 e seguintes do Código de Processo Civil, sem prejuízo do direito de declarar o vencimento antecipado das Debêntures nos termos desta Escritura.</w:t>
      </w:r>
    </w:p>
    <w:p w14:paraId="528B4494" w14:textId="77777777" w:rsidR="00FC10E9" w:rsidRDefault="00FC10E9">
      <w:pPr>
        <w:tabs>
          <w:tab w:val="left" w:pos="851"/>
          <w:tab w:val="left" w:pos="2366"/>
        </w:tabs>
        <w:spacing w:line="300" w:lineRule="atLeast"/>
        <w:jc w:val="both"/>
        <w:rPr>
          <w:rFonts w:ascii="Arial" w:hAnsi="Arial" w:cs="Arial"/>
          <w:color w:val="000000"/>
          <w:sz w:val="22"/>
          <w:szCs w:val="22"/>
        </w:rPr>
      </w:pPr>
    </w:p>
    <w:p w14:paraId="43D2CCC3"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Cômputo dos Prazos</w:t>
      </w:r>
    </w:p>
    <w:p w14:paraId="09063D5E" w14:textId="77777777" w:rsidR="00FC10E9" w:rsidRDefault="00FC10E9">
      <w:pPr>
        <w:tabs>
          <w:tab w:val="left" w:pos="851"/>
          <w:tab w:val="left" w:pos="2366"/>
        </w:tabs>
        <w:spacing w:line="300" w:lineRule="atLeast"/>
        <w:jc w:val="both"/>
        <w:rPr>
          <w:rFonts w:ascii="Arial" w:hAnsi="Arial" w:cs="Arial"/>
          <w:color w:val="000000"/>
          <w:sz w:val="22"/>
          <w:szCs w:val="22"/>
        </w:rPr>
      </w:pPr>
    </w:p>
    <w:p w14:paraId="4F6D0189"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12.6.1.</w:t>
      </w:r>
      <w:r>
        <w:rPr>
          <w:rFonts w:ascii="Arial" w:hAnsi="Arial" w:cs="Arial"/>
          <w:color w:val="000000"/>
          <w:sz w:val="22"/>
          <w:szCs w:val="22"/>
        </w:rPr>
        <w:tab/>
        <w:t>Exceto se de outra forma especificamente disposto nesta Escritura, os prazos estabelecidos na presente Escritura serão computados de acordo com a regra prescrita no artigo 132 do Código Civil, sendo excluído o dia do começo e incluído o do vencimento.</w:t>
      </w:r>
    </w:p>
    <w:p w14:paraId="23E0BC10" w14:textId="77777777" w:rsidR="00FC10E9" w:rsidRDefault="00FC10E9">
      <w:pPr>
        <w:tabs>
          <w:tab w:val="left" w:pos="851"/>
          <w:tab w:val="left" w:pos="2366"/>
        </w:tabs>
        <w:spacing w:line="300" w:lineRule="atLeast"/>
        <w:jc w:val="both"/>
        <w:rPr>
          <w:rFonts w:ascii="Arial" w:hAnsi="Arial" w:cs="Arial"/>
          <w:color w:val="000000"/>
          <w:sz w:val="22"/>
          <w:szCs w:val="22"/>
        </w:rPr>
      </w:pPr>
    </w:p>
    <w:p w14:paraId="7F9B7CBD"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 xml:space="preserve">Irrevogabilidade; </w:t>
      </w:r>
      <w:proofErr w:type="gramStart"/>
      <w:r>
        <w:rPr>
          <w:rFonts w:ascii="Arial" w:hAnsi="Arial" w:cs="Arial"/>
          <w:b/>
          <w:color w:val="000000"/>
          <w:sz w:val="22"/>
          <w:szCs w:val="22"/>
        </w:rPr>
        <w:t>Sucessores</w:t>
      </w:r>
      <w:proofErr w:type="gramEnd"/>
      <w:r>
        <w:rPr>
          <w:rFonts w:ascii="Arial" w:hAnsi="Arial" w:cs="Arial"/>
          <w:b/>
          <w:color w:val="000000"/>
          <w:sz w:val="22"/>
          <w:szCs w:val="22"/>
        </w:rPr>
        <w:t xml:space="preserve"> </w:t>
      </w:r>
    </w:p>
    <w:p w14:paraId="0B0D5114" w14:textId="77777777" w:rsidR="00FC10E9" w:rsidRDefault="00FC10E9">
      <w:pPr>
        <w:keepNext/>
        <w:tabs>
          <w:tab w:val="left" w:pos="851"/>
          <w:tab w:val="left" w:pos="2366"/>
        </w:tabs>
        <w:spacing w:line="300" w:lineRule="atLeast"/>
        <w:jc w:val="both"/>
        <w:rPr>
          <w:rFonts w:ascii="Arial" w:hAnsi="Arial" w:cs="Arial"/>
          <w:color w:val="000000"/>
          <w:sz w:val="22"/>
          <w:szCs w:val="22"/>
        </w:rPr>
      </w:pPr>
    </w:p>
    <w:p w14:paraId="18EC2DD5"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12.7.1.</w:t>
      </w:r>
      <w:r>
        <w:rPr>
          <w:rFonts w:ascii="Arial" w:hAnsi="Arial" w:cs="Arial"/>
          <w:color w:val="000000"/>
          <w:sz w:val="22"/>
          <w:szCs w:val="22"/>
        </w:rPr>
        <w:tab/>
        <w:t>A presente Escritura é firmada em caráter irrevogável e irretratável, salvo na hipótese de não preenchimento dos requisitos relacionados na Cláusula II acima, obrigando as Partes por si e seus sucessores.</w:t>
      </w:r>
    </w:p>
    <w:p w14:paraId="37A6F562" w14:textId="77777777" w:rsidR="00FC10E9" w:rsidRDefault="00FC10E9">
      <w:pPr>
        <w:tabs>
          <w:tab w:val="left" w:pos="851"/>
          <w:tab w:val="left" w:pos="2366"/>
        </w:tabs>
        <w:spacing w:line="300" w:lineRule="atLeast"/>
        <w:jc w:val="both"/>
        <w:rPr>
          <w:rFonts w:ascii="Arial" w:hAnsi="Arial" w:cs="Arial"/>
          <w:color w:val="000000"/>
          <w:sz w:val="22"/>
          <w:szCs w:val="22"/>
        </w:rPr>
      </w:pPr>
    </w:p>
    <w:p w14:paraId="1B208280"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Despesas</w:t>
      </w:r>
    </w:p>
    <w:p w14:paraId="493B306E" w14:textId="77777777" w:rsidR="00FC10E9" w:rsidRDefault="00FC10E9">
      <w:pPr>
        <w:keepNext/>
        <w:tabs>
          <w:tab w:val="left" w:pos="851"/>
          <w:tab w:val="left" w:pos="2366"/>
        </w:tabs>
        <w:spacing w:line="300" w:lineRule="atLeast"/>
        <w:jc w:val="both"/>
        <w:rPr>
          <w:rFonts w:ascii="Arial" w:hAnsi="Arial" w:cs="Arial"/>
          <w:color w:val="000000"/>
          <w:sz w:val="22"/>
          <w:szCs w:val="22"/>
        </w:rPr>
      </w:pPr>
    </w:p>
    <w:p w14:paraId="7EBDD42F"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12.8.1.</w:t>
      </w:r>
      <w:r>
        <w:rPr>
          <w:rFonts w:ascii="Arial" w:hAnsi="Arial" w:cs="Arial"/>
          <w:color w:val="000000"/>
          <w:sz w:val="22"/>
          <w:szCs w:val="22"/>
        </w:rPr>
        <w:tab/>
        <w:t xml:space="preserve">A Emissora arcará com todos os custos: (a) decorrentes da colocação pública das Debêntures, incluindo todos os custos relativos ao seu registro na B3; (b) de registro e de publicação de todos os atos necessários à Emissão, tais como esta Escritura, seus eventuais aditamentos e os atos societários da Emissora; e (c) pelas despesas com a contratação de Agente Fiduciário, do </w:t>
      </w:r>
      <w:r>
        <w:rPr>
          <w:rFonts w:ascii="Arial" w:hAnsi="Arial" w:cs="Arial"/>
          <w:sz w:val="22"/>
          <w:szCs w:val="22"/>
        </w:rPr>
        <w:t xml:space="preserve">Banco Liquidante e </w:t>
      </w:r>
      <w:proofErr w:type="spellStart"/>
      <w:r>
        <w:rPr>
          <w:rFonts w:ascii="Arial" w:hAnsi="Arial" w:cs="Arial"/>
          <w:sz w:val="22"/>
          <w:szCs w:val="22"/>
        </w:rPr>
        <w:t>Escriturador</w:t>
      </w:r>
      <w:proofErr w:type="spellEnd"/>
      <w:r>
        <w:rPr>
          <w:rFonts w:ascii="Arial" w:hAnsi="Arial" w:cs="Arial"/>
          <w:color w:val="000000"/>
          <w:sz w:val="22"/>
          <w:szCs w:val="22"/>
        </w:rPr>
        <w:t>, e do sistema de negociação das debêntures no mercado secundário da B3.</w:t>
      </w:r>
    </w:p>
    <w:p w14:paraId="53820250" w14:textId="77777777" w:rsidR="00FC10E9" w:rsidRDefault="00FC10E9">
      <w:pPr>
        <w:rPr>
          <w:rFonts w:ascii="Arial" w:hAnsi="Arial" w:cs="Arial"/>
          <w:b/>
          <w:color w:val="000000"/>
          <w:sz w:val="22"/>
          <w:szCs w:val="22"/>
        </w:rPr>
      </w:pPr>
    </w:p>
    <w:p w14:paraId="3D9F9EFD"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lastRenderedPageBreak/>
        <w:t>Aditamentos</w:t>
      </w:r>
    </w:p>
    <w:p w14:paraId="2FA32747" w14:textId="77777777" w:rsidR="00FC10E9" w:rsidRDefault="00FC10E9">
      <w:pPr>
        <w:tabs>
          <w:tab w:val="left" w:pos="851"/>
          <w:tab w:val="left" w:pos="2366"/>
        </w:tabs>
        <w:spacing w:line="300" w:lineRule="atLeast"/>
        <w:jc w:val="both"/>
        <w:rPr>
          <w:rFonts w:ascii="Arial" w:hAnsi="Arial" w:cs="Arial"/>
          <w:color w:val="000000"/>
          <w:sz w:val="22"/>
          <w:szCs w:val="22"/>
        </w:rPr>
      </w:pPr>
    </w:p>
    <w:p w14:paraId="2126A0B1" w14:textId="77777777" w:rsidR="00FC10E9" w:rsidRDefault="00B10E1A">
      <w:pPr>
        <w:spacing w:line="276" w:lineRule="auto"/>
        <w:jc w:val="both"/>
        <w:rPr>
          <w:rFonts w:ascii="Arial" w:hAnsi="Arial" w:cs="Arial"/>
          <w:b/>
          <w:color w:val="000000"/>
          <w:sz w:val="22"/>
          <w:szCs w:val="22"/>
        </w:rPr>
      </w:pPr>
      <w:r>
        <w:rPr>
          <w:rFonts w:ascii="Arial" w:hAnsi="Arial" w:cs="Arial"/>
          <w:color w:val="000000"/>
          <w:sz w:val="22"/>
          <w:szCs w:val="22"/>
        </w:rPr>
        <w:t>12.9.1.</w:t>
      </w:r>
      <w:r>
        <w:rPr>
          <w:rFonts w:ascii="Arial" w:hAnsi="Arial" w:cs="Arial"/>
          <w:color w:val="000000"/>
          <w:sz w:val="22"/>
          <w:szCs w:val="22"/>
        </w:rPr>
        <w:tab/>
        <w:t>Fica desde já dispensada a realização de Assembleia Geral para deliberar sobre: (i) a correção de erros materiais, seja ele um erro grosseiro, de digitação ou aritmético, (</w:t>
      </w:r>
      <w:proofErr w:type="spellStart"/>
      <w:r>
        <w:rPr>
          <w:rFonts w:ascii="Arial" w:hAnsi="Arial" w:cs="Arial"/>
          <w:color w:val="000000"/>
          <w:sz w:val="22"/>
          <w:szCs w:val="22"/>
        </w:rPr>
        <w:t>ii</w:t>
      </w:r>
      <w:proofErr w:type="spellEnd"/>
      <w:r>
        <w:rPr>
          <w:rFonts w:ascii="Arial" w:hAnsi="Arial" w:cs="Arial"/>
          <w:color w:val="000000"/>
          <w:sz w:val="22"/>
          <w:szCs w:val="22"/>
        </w:rPr>
        <w:t>) alterações a quaisquer documentos da operação já expressamente permitidas nos termos do(s) respectivo(s) documento(s) da operação, (</w:t>
      </w:r>
      <w:proofErr w:type="spellStart"/>
      <w:r>
        <w:rPr>
          <w:rFonts w:ascii="Arial" w:hAnsi="Arial" w:cs="Arial"/>
          <w:color w:val="000000"/>
          <w:sz w:val="22"/>
          <w:szCs w:val="22"/>
        </w:rPr>
        <w:t>iii</w:t>
      </w:r>
      <w:proofErr w:type="spellEnd"/>
      <w:r>
        <w:rPr>
          <w:rFonts w:ascii="Arial" w:hAnsi="Arial" w:cs="Arial"/>
          <w:color w:val="000000"/>
          <w:sz w:val="22"/>
          <w:szCs w:val="22"/>
        </w:rPr>
        <w:t>) alterações a esta Escritura em razão de exigências formuladas pela CVM, pela B3, ou (</w:t>
      </w:r>
      <w:proofErr w:type="spellStart"/>
      <w:r>
        <w:rPr>
          <w:rFonts w:ascii="Arial" w:hAnsi="Arial" w:cs="Arial"/>
          <w:color w:val="000000"/>
          <w:sz w:val="22"/>
          <w:szCs w:val="22"/>
        </w:rPr>
        <w:t>iv</w:t>
      </w:r>
      <w:proofErr w:type="spellEnd"/>
      <w:r>
        <w:rPr>
          <w:rFonts w:ascii="Arial" w:hAnsi="Arial" w:cs="Arial"/>
          <w:color w:val="000000"/>
          <w:sz w:val="22"/>
          <w:szCs w:val="22"/>
        </w:rPr>
        <w:t>) em virtude da atualização dos dados cadastrais das Partes, tais como alteração na razão social, endereço e telefone, entre outros, desde que as alterações ou correções referidas nos itens (i), (</w:t>
      </w:r>
      <w:proofErr w:type="spellStart"/>
      <w:r>
        <w:rPr>
          <w:rFonts w:ascii="Arial" w:hAnsi="Arial" w:cs="Arial"/>
          <w:color w:val="000000"/>
          <w:sz w:val="22"/>
          <w:szCs w:val="22"/>
        </w:rPr>
        <w:t>ii</w:t>
      </w:r>
      <w:proofErr w:type="spellEnd"/>
      <w:r>
        <w:rPr>
          <w:rFonts w:ascii="Arial" w:hAnsi="Arial" w:cs="Arial"/>
          <w:color w:val="000000"/>
          <w:sz w:val="22"/>
          <w:szCs w:val="22"/>
        </w:rPr>
        <w:t>), (</w:t>
      </w:r>
      <w:proofErr w:type="spellStart"/>
      <w:r>
        <w:rPr>
          <w:rFonts w:ascii="Arial" w:hAnsi="Arial" w:cs="Arial"/>
          <w:color w:val="000000"/>
          <w:sz w:val="22"/>
          <w:szCs w:val="22"/>
        </w:rPr>
        <w:t>iii</w:t>
      </w:r>
      <w:proofErr w:type="spellEnd"/>
      <w:r>
        <w:rPr>
          <w:rFonts w:ascii="Arial" w:hAnsi="Arial" w:cs="Arial"/>
          <w:color w:val="000000"/>
          <w:sz w:val="22"/>
          <w:szCs w:val="22"/>
        </w:rPr>
        <w:t>) e (</w:t>
      </w:r>
      <w:proofErr w:type="spellStart"/>
      <w:r>
        <w:rPr>
          <w:rFonts w:ascii="Arial" w:hAnsi="Arial" w:cs="Arial"/>
          <w:color w:val="000000"/>
          <w:sz w:val="22"/>
          <w:szCs w:val="22"/>
        </w:rPr>
        <w:t>iv</w:t>
      </w:r>
      <w:proofErr w:type="spellEnd"/>
      <w:r>
        <w:rPr>
          <w:rFonts w:ascii="Arial" w:hAnsi="Arial" w:cs="Arial"/>
          <w:color w:val="000000"/>
          <w:sz w:val="22"/>
          <w:szCs w:val="22"/>
        </w:rPr>
        <w:t>) acima, não possam acarretar qualquer prejuízo aos Debenturistas ou qualquer alteração no fluxo das Debêntures, e desde que não haja qualquer custo ou despesa adicional para os Debenturistas.</w:t>
      </w:r>
    </w:p>
    <w:p w14:paraId="61EF6E3B" w14:textId="77777777" w:rsidR="00FC10E9" w:rsidRDefault="00FC10E9">
      <w:pPr>
        <w:spacing w:line="276" w:lineRule="auto"/>
        <w:jc w:val="both"/>
        <w:rPr>
          <w:rFonts w:ascii="Arial" w:hAnsi="Arial" w:cs="Arial"/>
          <w:color w:val="000000"/>
          <w:sz w:val="22"/>
          <w:szCs w:val="22"/>
        </w:rPr>
      </w:pPr>
    </w:p>
    <w:p w14:paraId="3964B5A9"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Assinatura Eletrônica</w:t>
      </w:r>
    </w:p>
    <w:p w14:paraId="6799E145" w14:textId="77777777" w:rsidR="00FC10E9" w:rsidRDefault="00FC10E9">
      <w:pPr>
        <w:tabs>
          <w:tab w:val="left" w:pos="851"/>
          <w:tab w:val="left" w:pos="2366"/>
        </w:tabs>
        <w:spacing w:line="300" w:lineRule="atLeast"/>
        <w:jc w:val="both"/>
        <w:rPr>
          <w:rFonts w:ascii="Arial" w:hAnsi="Arial" w:cs="Arial"/>
          <w:color w:val="000000"/>
          <w:sz w:val="22"/>
          <w:szCs w:val="22"/>
        </w:rPr>
      </w:pPr>
    </w:p>
    <w:p w14:paraId="1563FBD8" w14:textId="77777777" w:rsidR="00FC10E9" w:rsidRDefault="00B10E1A">
      <w:pPr>
        <w:spacing w:line="276" w:lineRule="auto"/>
        <w:jc w:val="both"/>
        <w:rPr>
          <w:rFonts w:ascii="Arial" w:hAnsi="Arial" w:cs="Arial"/>
          <w:color w:val="000000"/>
          <w:sz w:val="22"/>
          <w:szCs w:val="22"/>
        </w:rPr>
      </w:pPr>
      <w:r>
        <w:rPr>
          <w:rFonts w:ascii="Arial" w:hAnsi="Arial" w:cs="Arial"/>
          <w:color w:val="000000"/>
          <w:sz w:val="22"/>
          <w:szCs w:val="22"/>
        </w:rPr>
        <w:t>12.10.1.</w:t>
      </w:r>
      <w:r>
        <w:rPr>
          <w:rFonts w:ascii="Arial" w:hAnsi="Arial" w:cs="Arial"/>
          <w:color w:val="000000"/>
          <w:sz w:val="22"/>
          <w:szCs w:val="22"/>
        </w:rPr>
        <w:tab/>
        <w:t>As Partes assinam a presente Escritura de Emissão por meio eletrônico, sendo consideradas válidas apenas as assinaturas eletrônicas realizadas por meio de certificado digital, validado conforme a Infraestrutura de Chaves Públicas Brasileira ICP-Brasil, nos termos da Medida Provisória nº 2.200-2, de 24 de agosto de 2001. As Partes reconhecem, de forma irrevogável e irretratável, a autenticidade, validade e a plena eficácia da assinatura por certificado digital, para todos os fins de direito.</w:t>
      </w:r>
    </w:p>
    <w:p w14:paraId="37C156E6" w14:textId="77777777" w:rsidR="00FC10E9" w:rsidRDefault="00FC10E9">
      <w:pPr>
        <w:spacing w:line="276" w:lineRule="auto"/>
        <w:jc w:val="both"/>
        <w:rPr>
          <w:rFonts w:ascii="Arial" w:hAnsi="Arial" w:cs="Arial"/>
          <w:color w:val="000000"/>
          <w:sz w:val="22"/>
          <w:szCs w:val="22"/>
        </w:rPr>
      </w:pPr>
    </w:p>
    <w:p w14:paraId="0F2F8FB2" w14:textId="77777777" w:rsidR="00FC10E9" w:rsidRDefault="00B10E1A">
      <w:pPr>
        <w:spacing w:line="276" w:lineRule="auto"/>
        <w:jc w:val="both"/>
        <w:rPr>
          <w:rFonts w:ascii="Arial" w:hAnsi="Arial" w:cs="Arial"/>
          <w:b/>
          <w:color w:val="000000"/>
          <w:sz w:val="22"/>
          <w:szCs w:val="22"/>
        </w:rPr>
      </w:pPr>
      <w:r>
        <w:rPr>
          <w:rFonts w:ascii="Arial" w:hAnsi="Arial" w:cs="Arial"/>
          <w:color w:val="000000"/>
          <w:sz w:val="22"/>
          <w:szCs w:val="22"/>
        </w:rPr>
        <w:t>12.10.2.</w:t>
      </w:r>
      <w:r>
        <w:rPr>
          <w:rFonts w:ascii="Arial" w:hAnsi="Arial" w:cs="Arial"/>
          <w:color w:val="000000"/>
          <w:sz w:val="22"/>
          <w:szCs w:val="22"/>
        </w:rPr>
        <w:tab/>
        <w:t>Esta Escritura de Emissão produz efeitos para todas as Partes a partir da data nele indicada, ainda que uma ou mais Partes realizem a assinatura eletrônica em data posterior. Ademais, ainda que alguma das partes venha a assinar eletronicamente este instrumento em local diverso, o local de celebração deste instrumento é, para todos os fins, a Cidade do Rio de Janeiro, Estado do Rio de Janeiro, conforme abaixo indicado</w:t>
      </w:r>
    </w:p>
    <w:p w14:paraId="2EA866D9" w14:textId="77777777" w:rsidR="00FC10E9" w:rsidRDefault="00FC10E9">
      <w:pPr>
        <w:tabs>
          <w:tab w:val="left" w:pos="851"/>
          <w:tab w:val="left" w:pos="2366"/>
        </w:tabs>
        <w:spacing w:line="300" w:lineRule="atLeast"/>
        <w:jc w:val="both"/>
        <w:rPr>
          <w:rFonts w:ascii="Arial" w:hAnsi="Arial" w:cs="Arial"/>
          <w:color w:val="000000"/>
          <w:sz w:val="22"/>
          <w:szCs w:val="22"/>
        </w:rPr>
      </w:pPr>
    </w:p>
    <w:p w14:paraId="0D7E5BBE"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Lei Aplicável</w:t>
      </w:r>
    </w:p>
    <w:p w14:paraId="43923162" w14:textId="77777777" w:rsidR="00FC10E9" w:rsidRDefault="00FC10E9">
      <w:pPr>
        <w:keepNext/>
        <w:tabs>
          <w:tab w:val="left" w:pos="851"/>
          <w:tab w:val="left" w:pos="2366"/>
        </w:tabs>
        <w:spacing w:line="300" w:lineRule="atLeast"/>
        <w:jc w:val="both"/>
        <w:rPr>
          <w:rFonts w:ascii="Arial" w:hAnsi="Arial" w:cs="Arial"/>
          <w:color w:val="000000"/>
          <w:sz w:val="22"/>
          <w:szCs w:val="22"/>
        </w:rPr>
      </w:pPr>
    </w:p>
    <w:p w14:paraId="5A7D60A1" w14:textId="77777777" w:rsidR="00FC10E9" w:rsidRDefault="00B10E1A">
      <w:pPr>
        <w:keepNext/>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12.11.1.</w:t>
      </w:r>
      <w:r>
        <w:rPr>
          <w:rFonts w:ascii="Arial" w:hAnsi="Arial" w:cs="Arial"/>
          <w:color w:val="000000"/>
          <w:sz w:val="22"/>
          <w:szCs w:val="22"/>
        </w:rPr>
        <w:tab/>
        <w:t>Esta Escritura é regida pelas Leis da República Federativa do Brasil.</w:t>
      </w:r>
    </w:p>
    <w:p w14:paraId="16F0ED23" w14:textId="77777777" w:rsidR="00FC10E9" w:rsidRDefault="00FC10E9">
      <w:pPr>
        <w:tabs>
          <w:tab w:val="left" w:pos="851"/>
          <w:tab w:val="left" w:pos="2366"/>
        </w:tabs>
        <w:spacing w:line="300" w:lineRule="atLeast"/>
        <w:jc w:val="both"/>
        <w:rPr>
          <w:rFonts w:ascii="Arial" w:hAnsi="Arial" w:cs="Arial"/>
          <w:color w:val="000000"/>
          <w:sz w:val="22"/>
          <w:szCs w:val="22"/>
        </w:rPr>
      </w:pPr>
    </w:p>
    <w:p w14:paraId="33C619BA" w14:textId="77777777" w:rsidR="00FC10E9" w:rsidRDefault="00B10E1A">
      <w:pPr>
        <w:keepNext/>
        <w:numPr>
          <w:ilvl w:val="0"/>
          <w:numId w:val="20"/>
        </w:numPr>
        <w:tabs>
          <w:tab w:val="num" w:pos="-4253"/>
          <w:tab w:val="left" w:pos="851"/>
          <w:tab w:val="left" w:pos="2366"/>
        </w:tabs>
        <w:spacing w:line="300" w:lineRule="atLeast"/>
        <w:ind w:left="0" w:firstLine="0"/>
        <w:jc w:val="both"/>
        <w:rPr>
          <w:rFonts w:ascii="Arial" w:hAnsi="Arial" w:cs="Arial"/>
          <w:b/>
          <w:color w:val="000000"/>
          <w:sz w:val="22"/>
          <w:szCs w:val="22"/>
        </w:rPr>
      </w:pPr>
      <w:r>
        <w:rPr>
          <w:rFonts w:ascii="Arial" w:hAnsi="Arial" w:cs="Arial"/>
          <w:b/>
          <w:color w:val="000000"/>
          <w:sz w:val="22"/>
          <w:szCs w:val="22"/>
        </w:rPr>
        <w:t>Foro</w:t>
      </w:r>
    </w:p>
    <w:p w14:paraId="51D5CF62" w14:textId="77777777" w:rsidR="00FC10E9" w:rsidRDefault="00FC10E9">
      <w:pPr>
        <w:tabs>
          <w:tab w:val="left" w:pos="851"/>
          <w:tab w:val="left" w:pos="2366"/>
        </w:tabs>
        <w:spacing w:line="300" w:lineRule="atLeast"/>
        <w:jc w:val="both"/>
        <w:rPr>
          <w:rFonts w:ascii="Arial" w:hAnsi="Arial" w:cs="Arial"/>
          <w:color w:val="000000"/>
          <w:sz w:val="22"/>
          <w:szCs w:val="22"/>
        </w:rPr>
      </w:pPr>
    </w:p>
    <w:p w14:paraId="1281C223" w14:textId="77777777" w:rsidR="00FC10E9" w:rsidRDefault="00B10E1A">
      <w:pPr>
        <w:tabs>
          <w:tab w:val="left" w:pos="851"/>
          <w:tab w:val="left" w:pos="2366"/>
        </w:tabs>
        <w:spacing w:line="300" w:lineRule="atLeast"/>
        <w:jc w:val="both"/>
        <w:rPr>
          <w:rFonts w:ascii="Arial" w:hAnsi="Arial" w:cs="Arial"/>
          <w:color w:val="000000"/>
          <w:sz w:val="22"/>
          <w:szCs w:val="22"/>
        </w:rPr>
      </w:pPr>
      <w:r>
        <w:rPr>
          <w:rFonts w:ascii="Arial" w:hAnsi="Arial" w:cs="Arial"/>
          <w:color w:val="000000"/>
          <w:sz w:val="22"/>
          <w:szCs w:val="22"/>
        </w:rPr>
        <w:t>12.12.1.</w:t>
      </w:r>
      <w:r>
        <w:rPr>
          <w:rFonts w:ascii="Arial" w:hAnsi="Arial" w:cs="Arial"/>
          <w:color w:val="000000"/>
          <w:sz w:val="22"/>
          <w:szCs w:val="22"/>
        </w:rPr>
        <w:tab/>
        <w:t>Fica eleito o foro da comarca da Capital do Estado do Rio de Janeiro, para dirimir quaisquer dúvidas ou controvérsias oriundas desta Escritura, com renúncia a qualquer outro, por mais privilegiado que seja ou venha a ser.</w:t>
      </w:r>
    </w:p>
    <w:p w14:paraId="170182E6" w14:textId="77777777" w:rsidR="00FC10E9" w:rsidRDefault="00FC10E9">
      <w:pPr>
        <w:tabs>
          <w:tab w:val="left" w:pos="2366"/>
        </w:tabs>
        <w:spacing w:line="300" w:lineRule="atLeast"/>
        <w:jc w:val="both"/>
        <w:rPr>
          <w:rFonts w:ascii="Arial" w:hAnsi="Arial" w:cs="Arial"/>
          <w:color w:val="000000"/>
          <w:sz w:val="22"/>
          <w:szCs w:val="22"/>
        </w:rPr>
      </w:pPr>
    </w:p>
    <w:p w14:paraId="30075E4A" w14:textId="77777777" w:rsidR="00FC10E9" w:rsidRDefault="00B10E1A">
      <w:pPr>
        <w:tabs>
          <w:tab w:val="left" w:pos="2366"/>
        </w:tabs>
        <w:spacing w:line="300" w:lineRule="atLeast"/>
        <w:jc w:val="both"/>
        <w:rPr>
          <w:rFonts w:ascii="Arial" w:hAnsi="Arial" w:cs="Arial"/>
          <w:color w:val="000000"/>
          <w:sz w:val="22"/>
          <w:szCs w:val="22"/>
        </w:rPr>
      </w:pPr>
      <w:r>
        <w:rPr>
          <w:rFonts w:ascii="Arial" w:hAnsi="Arial" w:cs="Arial"/>
          <w:color w:val="000000"/>
          <w:sz w:val="22"/>
          <w:szCs w:val="22"/>
        </w:rPr>
        <w:t>Estando assim, as Partes certas e ajustadas, firmam o presente instrumento, eletronicamente, juntamente com 2 (duas) testemunhas, que também o assinam.</w:t>
      </w:r>
    </w:p>
    <w:p w14:paraId="25B90138" w14:textId="77777777" w:rsidR="00FC10E9" w:rsidRDefault="00FC10E9">
      <w:pPr>
        <w:tabs>
          <w:tab w:val="left" w:pos="2366"/>
        </w:tabs>
        <w:spacing w:line="300" w:lineRule="atLeast"/>
        <w:jc w:val="both"/>
        <w:rPr>
          <w:rFonts w:ascii="Arial" w:hAnsi="Arial" w:cs="Arial"/>
          <w:color w:val="000000"/>
          <w:sz w:val="22"/>
          <w:szCs w:val="22"/>
        </w:rPr>
      </w:pPr>
    </w:p>
    <w:p w14:paraId="45708DFF" w14:textId="77777777" w:rsidR="00FC10E9" w:rsidRDefault="00FC10E9">
      <w:pPr>
        <w:tabs>
          <w:tab w:val="left" w:pos="2366"/>
        </w:tabs>
        <w:spacing w:line="300" w:lineRule="atLeast"/>
        <w:jc w:val="both"/>
        <w:rPr>
          <w:rFonts w:ascii="Arial" w:hAnsi="Arial" w:cs="Arial"/>
          <w:color w:val="000000"/>
          <w:sz w:val="22"/>
          <w:szCs w:val="22"/>
        </w:rPr>
      </w:pPr>
    </w:p>
    <w:p w14:paraId="0A044283"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 xml:space="preserve">Rio de Janeiro, 22 </w:t>
      </w:r>
      <w:r>
        <w:rPr>
          <w:rFonts w:ascii="Arial" w:hAnsi="Arial" w:cs="Arial"/>
          <w:bCs/>
          <w:iCs/>
          <w:color w:val="000000"/>
          <w:w w:val="0"/>
          <w:sz w:val="22"/>
          <w:szCs w:val="22"/>
        </w:rPr>
        <w:t xml:space="preserve">de </w:t>
      </w:r>
      <w:r>
        <w:rPr>
          <w:rFonts w:ascii="Arial" w:hAnsi="Arial" w:cs="Arial"/>
          <w:color w:val="000000"/>
          <w:sz w:val="22"/>
          <w:szCs w:val="22"/>
        </w:rPr>
        <w:t xml:space="preserve">junho </w:t>
      </w:r>
      <w:r>
        <w:rPr>
          <w:rFonts w:ascii="Arial" w:hAnsi="Arial" w:cs="Arial"/>
          <w:bCs/>
          <w:iCs/>
          <w:color w:val="000000"/>
          <w:w w:val="0"/>
          <w:sz w:val="22"/>
          <w:szCs w:val="22"/>
        </w:rPr>
        <w:t>20</w:t>
      </w:r>
      <w:r>
        <w:rPr>
          <w:rFonts w:ascii="Arial" w:hAnsi="Arial" w:cs="Arial"/>
          <w:color w:val="000000"/>
          <w:sz w:val="22"/>
          <w:szCs w:val="22"/>
        </w:rPr>
        <w:t>22.</w:t>
      </w:r>
    </w:p>
    <w:p w14:paraId="01E2D7D6" w14:textId="77777777" w:rsidR="00FC10E9" w:rsidRDefault="00FC10E9" w:rsidP="00556BDE">
      <w:pPr>
        <w:tabs>
          <w:tab w:val="left" w:pos="2366"/>
        </w:tabs>
        <w:spacing w:line="300" w:lineRule="atLeast"/>
        <w:rPr>
          <w:rFonts w:ascii="Arial" w:hAnsi="Arial" w:cs="Arial"/>
          <w:color w:val="000000"/>
          <w:sz w:val="22"/>
          <w:szCs w:val="22"/>
        </w:rPr>
      </w:pPr>
    </w:p>
    <w:p w14:paraId="767ED81F"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(AS ASSINATURAS SE ENCONTRAM NAS DUAS PÁGINAS SEGUINTES)</w:t>
      </w:r>
    </w:p>
    <w:p w14:paraId="7B3623FB" w14:textId="77777777" w:rsidR="00FC10E9" w:rsidRDefault="00FC10E9">
      <w:pPr>
        <w:tabs>
          <w:tab w:val="left" w:pos="2366"/>
        </w:tabs>
        <w:spacing w:line="300" w:lineRule="atLeast"/>
        <w:jc w:val="center"/>
        <w:rPr>
          <w:rFonts w:ascii="Arial" w:hAnsi="Arial" w:cs="Arial"/>
          <w:color w:val="000000"/>
          <w:sz w:val="22"/>
          <w:szCs w:val="22"/>
        </w:rPr>
      </w:pPr>
    </w:p>
    <w:p w14:paraId="533EDF09" w14:textId="04767852" w:rsidR="00FC10E9" w:rsidRDefault="00B10E1A" w:rsidP="00556BDE">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(O RESTANTE DA PÁGINA FOI INTENCIONALMENTE DEIXADO EM BRANCO)</w:t>
      </w:r>
    </w:p>
    <w:p w14:paraId="2DFF4EC3" w14:textId="77777777" w:rsidR="00FC10E9" w:rsidRDefault="00FC10E9">
      <w:pPr>
        <w:tabs>
          <w:tab w:val="left" w:pos="2366"/>
        </w:tabs>
        <w:spacing w:line="300" w:lineRule="atLeast"/>
        <w:jc w:val="center"/>
        <w:rPr>
          <w:rFonts w:ascii="Arial" w:hAnsi="Arial" w:cs="Arial"/>
          <w:color w:val="000000"/>
          <w:sz w:val="22"/>
          <w:szCs w:val="22"/>
        </w:rPr>
        <w:sectPr w:rsidR="00FC10E9">
          <w:footerReference w:type="default" r:id="rId20"/>
          <w:footerReference w:type="first" r:id="rId21"/>
          <w:pgSz w:w="11906" w:h="16838" w:code="9"/>
          <w:pgMar w:top="1701" w:right="1418" w:bottom="1418" w:left="1418" w:header="709" w:footer="557" w:gutter="0"/>
          <w:pgNumType w:start="2"/>
          <w:cols w:space="708"/>
          <w:docGrid w:linePitch="360"/>
        </w:sectPr>
      </w:pPr>
    </w:p>
    <w:p w14:paraId="367D574C" w14:textId="77777777" w:rsidR="00FC10E9" w:rsidRDefault="00B10E1A">
      <w:pPr>
        <w:tabs>
          <w:tab w:val="left" w:pos="2366"/>
        </w:tabs>
        <w:spacing w:line="300" w:lineRule="atLeast"/>
        <w:jc w:val="both"/>
        <w:rPr>
          <w:rFonts w:ascii="Arial" w:hAnsi="Arial" w:cs="Arial"/>
          <w:bCs/>
          <w:color w:val="000000"/>
          <w:w w:val="0"/>
          <w:sz w:val="22"/>
          <w:szCs w:val="22"/>
        </w:rPr>
      </w:pPr>
      <w:r>
        <w:rPr>
          <w:rFonts w:ascii="Arial" w:hAnsi="Arial" w:cs="Arial"/>
          <w:bCs/>
          <w:i/>
          <w:iCs/>
          <w:color w:val="000000"/>
          <w:w w:val="0"/>
          <w:sz w:val="22"/>
          <w:szCs w:val="22"/>
        </w:rPr>
        <w:lastRenderedPageBreak/>
        <w:t xml:space="preserve">(Página de assinaturas 1/2 do Instrumento Particular de Escritura da Décima Quarta Emissão de Debêntures Simples, Não Conversíveis em Ações, da Espécie Quirografária, em </w:t>
      </w:r>
      <w:r>
        <w:rPr>
          <w:rFonts w:ascii="Arial" w:hAnsi="Arial" w:cs="Arial"/>
          <w:i/>
          <w:color w:val="000000"/>
          <w:sz w:val="22"/>
          <w:szCs w:val="22"/>
        </w:rPr>
        <w:t>Série Única</w:t>
      </w:r>
      <w:r>
        <w:rPr>
          <w:rFonts w:ascii="Arial" w:hAnsi="Arial" w:cs="Arial"/>
          <w:bCs/>
          <w:i/>
          <w:iCs/>
          <w:color w:val="000000"/>
          <w:w w:val="0"/>
          <w:sz w:val="22"/>
          <w:szCs w:val="22"/>
        </w:rPr>
        <w:t>, para Distribuição Pública, com Esforços Restritos, da Americanas S.A.)</w:t>
      </w:r>
    </w:p>
    <w:p w14:paraId="018ACAE4" w14:textId="77777777" w:rsidR="00FC10E9" w:rsidRDefault="00FC10E9">
      <w:pPr>
        <w:tabs>
          <w:tab w:val="left" w:pos="2366"/>
        </w:tabs>
        <w:spacing w:line="300" w:lineRule="atLeast"/>
        <w:jc w:val="center"/>
        <w:rPr>
          <w:rFonts w:ascii="Arial" w:hAnsi="Arial" w:cs="Arial"/>
          <w:bCs/>
          <w:color w:val="000000"/>
          <w:w w:val="0"/>
          <w:sz w:val="22"/>
          <w:szCs w:val="22"/>
        </w:rPr>
      </w:pPr>
    </w:p>
    <w:p w14:paraId="44963CDB" w14:textId="77777777" w:rsidR="00FC10E9" w:rsidRDefault="00FC10E9">
      <w:pPr>
        <w:tabs>
          <w:tab w:val="left" w:pos="2366"/>
        </w:tabs>
        <w:spacing w:line="300" w:lineRule="atLeast"/>
        <w:jc w:val="center"/>
        <w:rPr>
          <w:rFonts w:ascii="Arial" w:hAnsi="Arial" w:cs="Arial"/>
          <w:color w:val="000000"/>
          <w:sz w:val="22"/>
          <w:szCs w:val="22"/>
        </w:rPr>
      </w:pPr>
    </w:p>
    <w:p w14:paraId="52A987F5" w14:textId="77777777" w:rsidR="00FC10E9" w:rsidRDefault="00FC10E9">
      <w:pPr>
        <w:tabs>
          <w:tab w:val="left" w:pos="2366"/>
        </w:tabs>
        <w:spacing w:line="300" w:lineRule="atLeast"/>
        <w:jc w:val="center"/>
        <w:rPr>
          <w:rFonts w:ascii="Arial" w:hAnsi="Arial" w:cs="Arial"/>
          <w:color w:val="000000"/>
          <w:sz w:val="22"/>
          <w:szCs w:val="22"/>
        </w:rPr>
      </w:pPr>
    </w:p>
    <w:p w14:paraId="4CD1A49C" w14:textId="77777777" w:rsidR="00FC10E9" w:rsidRDefault="00B10E1A">
      <w:pPr>
        <w:tabs>
          <w:tab w:val="left" w:pos="2366"/>
        </w:tabs>
        <w:spacing w:line="300" w:lineRule="atLeast"/>
        <w:jc w:val="center"/>
        <w:rPr>
          <w:rFonts w:ascii="Arial" w:hAnsi="Arial" w:cs="Arial"/>
          <w:b/>
          <w:smallCaps/>
          <w:color w:val="000000"/>
          <w:sz w:val="22"/>
          <w:szCs w:val="22"/>
        </w:rPr>
      </w:pPr>
      <w:r>
        <w:rPr>
          <w:rFonts w:ascii="Arial" w:hAnsi="Arial" w:cs="Arial"/>
          <w:b/>
          <w:smallCaps/>
          <w:color w:val="000000"/>
          <w:sz w:val="22"/>
          <w:szCs w:val="22"/>
        </w:rPr>
        <w:t>AMERICANAS S.A.</w:t>
      </w:r>
    </w:p>
    <w:p w14:paraId="21A4D003" w14:textId="77777777" w:rsidR="00FC10E9" w:rsidRDefault="00FC10E9">
      <w:pPr>
        <w:tabs>
          <w:tab w:val="left" w:pos="2366"/>
        </w:tabs>
        <w:spacing w:line="300" w:lineRule="atLeast"/>
        <w:jc w:val="center"/>
        <w:rPr>
          <w:rFonts w:ascii="Arial" w:hAnsi="Arial" w:cs="Arial"/>
          <w:b/>
          <w:color w:val="000000"/>
          <w:sz w:val="22"/>
          <w:szCs w:val="22"/>
        </w:rPr>
      </w:pPr>
    </w:p>
    <w:p w14:paraId="4ACCC6AD" w14:textId="77777777" w:rsidR="00FC10E9" w:rsidRDefault="00FC10E9">
      <w:pPr>
        <w:pStyle w:val="para"/>
        <w:widowControl/>
        <w:tabs>
          <w:tab w:val="left" w:pos="2366"/>
        </w:tabs>
        <w:spacing w:line="300" w:lineRule="atLeast"/>
        <w:jc w:val="center"/>
      </w:pPr>
    </w:p>
    <w:p w14:paraId="2CEEAE8B" w14:textId="77777777" w:rsidR="00FC10E9" w:rsidRDefault="00FC10E9">
      <w:pPr>
        <w:pStyle w:val="para"/>
        <w:widowControl/>
        <w:tabs>
          <w:tab w:val="left" w:pos="2366"/>
        </w:tabs>
        <w:spacing w:line="300" w:lineRule="atLeast"/>
        <w:jc w:val="center"/>
      </w:pPr>
    </w:p>
    <w:tbl>
      <w:tblPr>
        <w:tblW w:w="0" w:type="auto"/>
        <w:jc w:val="center"/>
        <w:tblLayout w:type="fixed"/>
        <w:tblCellMar>
          <w:left w:w="70" w:type="dxa"/>
          <w:right w:w="70" w:type="dxa"/>
        </w:tblCellMar>
        <w:tblLook w:val="0000" w:firstRow="0" w:lastRow="0" w:firstColumn="0" w:lastColumn="0" w:noHBand="0" w:noVBand="0"/>
      </w:tblPr>
      <w:tblGrid>
        <w:gridCol w:w="4489"/>
        <w:gridCol w:w="4761"/>
      </w:tblGrid>
      <w:tr w:rsidR="00FC10E9" w14:paraId="529E9269" w14:textId="77777777">
        <w:trPr>
          <w:jc w:val="center"/>
        </w:trPr>
        <w:tc>
          <w:tcPr>
            <w:tcW w:w="4489" w:type="dxa"/>
          </w:tcPr>
          <w:p w14:paraId="5BAAE036"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_______________________________</w:t>
            </w:r>
          </w:p>
        </w:tc>
        <w:tc>
          <w:tcPr>
            <w:tcW w:w="4761" w:type="dxa"/>
          </w:tcPr>
          <w:p w14:paraId="45687007"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_______________________________</w:t>
            </w:r>
          </w:p>
        </w:tc>
      </w:tr>
      <w:tr w:rsidR="00FC10E9" w14:paraId="34BC20C5" w14:textId="77777777">
        <w:trPr>
          <w:jc w:val="center"/>
        </w:trPr>
        <w:tc>
          <w:tcPr>
            <w:tcW w:w="4489" w:type="dxa"/>
          </w:tcPr>
          <w:p w14:paraId="2863A621"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p>
        </w:tc>
        <w:tc>
          <w:tcPr>
            <w:tcW w:w="4761" w:type="dxa"/>
          </w:tcPr>
          <w:p w14:paraId="11E90D9E"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p>
        </w:tc>
      </w:tr>
      <w:tr w:rsidR="00FC10E9" w14:paraId="551D8FA1" w14:textId="77777777">
        <w:trPr>
          <w:jc w:val="center"/>
        </w:trPr>
        <w:tc>
          <w:tcPr>
            <w:tcW w:w="4489" w:type="dxa"/>
          </w:tcPr>
          <w:p w14:paraId="3041EC26"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Cargo:</w:t>
            </w:r>
          </w:p>
        </w:tc>
        <w:tc>
          <w:tcPr>
            <w:tcW w:w="4761" w:type="dxa"/>
          </w:tcPr>
          <w:p w14:paraId="6C0D4BB0"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Cargo:</w:t>
            </w:r>
          </w:p>
        </w:tc>
      </w:tr>
    </w:tbl>
    <w:p w14:paraId="6A1BF485" w14:textId="77777777" w:rsidR="00FC10E9" w:rsidRDefault="00FC10E9">
      <w:pPr>
        <w:tabs>
          <w:tab w:val="left" w:pos="2366"/>
        </w:tabs>
        <w:spacing w:line="300" w:lineRule="atLeast"/>
        <w:jc w:val="center"/>
        <w:rPr>
          <w:rFonts w:ascii="Arial" w:hAnsi="Arial" w:cs="Arial"/>
          <w:b/>
          <w:color w:val="000000"/>
          <w:sz w:val="22"/>
          <w:szCs w:val="22"/>
        </w:rPr>
      </w:pPr>
    </w:p>
    <w:p w14:paraId="4D8074C6" w14:textId="77777777" w:rsidR="00FC10E9" w:rsidRDefault="00B10E1A">
      <w:pPr>
        <w:tabs>
          <w:tab w:val="left" w:pos="2366"/>
        </w:tabs>
        <w:spacing w:line="300" w:lineRule="atLeast"/>
        <w:jc w:val="both"/>
        <w:rPr>
          <w:rFonts w:ascii="Arial" w:hAnsi="Arial" w:cs="Arial"/>
          <w:bCs/>
          <w:color w:val="000000"/>
          <w:w w:val="0"/>
          <w:sz w:val="22"/>
          <w:szCs w:val="22"/>
        </w:rPr>
      </w:pPr>
      <w:r>
        <w:rPr>
          <w:rFonts w:ascii="Arial" w:hAnsi="Arial" w:cs="Arial"/>
          <w:bCs/>
          <w:i/>
          <w:iCs/>
          <w:color w:val="000000"/>
          <w:w w:val="0"/>
          <w:sz w:val="22"/>
          <w:szCs w:val="22"/>
        </w:rPr>
        <w:br w:type="page"/>
      </w:r>
      <w:r>
        <w:rPr>
          <w:rFonts w:ascii="Arial" w:hAnsi="Arial" w:cs="Arial"/>
          <w:bCs/>
          <w:i/>
          <w:iCs/>
          <w:color w:val="000000"/>
          <w:w w:val="0"/>
          <w:sz w:val="22"/>
          <w:szCs w:val="22"/>
        </w:rPr>
        <w:lastRenderedPageBreak/>
        <w:t xml:space="preserve">(Página de assinaturas 2/2 do Instrumento Particular de Escritura da Décima Quarta Emissão de Debêntures Simples, Não Conversíveis em Ações, da Espécie Quirografária, em </w:t>
      </w:r>
      <w:r>
        <w:rPr>
          <w:rFonts w:ascii="Arial" w:hAnsi="Arial" w:cs="Arial"/>
          <w:i/>
          <w:color w:val="000000"/>
          <w:sz w:val="22"/>
          <w:szCs w:val="22"/>
        </w:rPr>
        <w:t>Série Única</w:t>
      </w:r>
      <w:r>
        <w:rPr>
          <w:rFonts w:ascii="Arial" w:hAnsi="Arial" w:cs="Arial"/>
          <w:bCs/>
          <w:i/>
          <w:iCs/>
          <w:color w:val="000000"/>
          <w:w w:val="0"/>
          <w:sz w:val="22"/>
          <w:szCs w:val="22"/>
        </w:rPr>
        <w:t>, para Distribuição Pública, com Esforços Restritos, da Americanas S.A.)</w:t>
      </w:r>
    </w:p>
    <w:p w14:paraId="540C9D54" w14:textId="77777777" w:rsidR="00FC10E9" w:rsidRDefault="00FC10E9">
      <w:pPr>
        <w:tabs>
          <w:tab w:val="left" w:pos="2366"/>
        </w:tabs>
        <w:spacing w:line="300" w:lineRule="atLeast"/>
        <w:jc w:val="both"/>
        <w:rPr>
          <w:rFonts w:ascii="Arial" w:hAnsi="Arial" w:cs="Arial"/>
          <w:bCs/>
          <w:color w:val="000000"/>
          <w:w w:val="0"/>
          <w:sz w:val="22"/>
          <w:szCs w:val="22"/>
        </w:rPr>
      </w:pPr>
    </w:p>
    <w:p w14:paraId="02FC91B6" w14:textId="77777777" w:rsidR="00FC10E9" w:rsidRDefault="00FC10E9">
      <w:pPr>
        <w:tabs>
          <w:tab w:val="left" w:pos="2366"/>
        </w:tabs>
        <w:spacing w:line="300" w:lineRule="atLeast"/>
        <w:jc w:val="both"/>
        <w:rPr>
          <w:rFonts w:ascii="Arial" w:hAnsi="Arial" w:cs="Arial"/>
          <w:b/>
          <w:color w:val="000000"/>
          <w:sz w:val="22"/>
          <w:szCs w:val="22"/>
        </w:rPr>
      </w:pPr>
    </w:p>
    <w:p w14:paraId="2E6E9FB3" w14:textId="77777777" w:rsidR="00FC10E9" w:rsidRDefault="00FC10E9">
      <w:pPr>
        <w:tabs>
          <w:tab w:val="left" w:pos="2366"/>
        </w:tabs>
        <w:spacing w:line="300" w:lineRule="atLeast"/>
        <w:jc w:val="center"/>
        <w:rPr>
          <w:rFonts w:ascii="Arial" w:hAnsi="Arial" w:cs="Arial"/>
          <w:b/>
          <w:color w:val="000000"/>
          <w:sz w:val="22"/>
          <w:szCs w:val="22"/>
        </w:rPr>
      </w:pPr>
    </w:p>
    <w:p w14:paraId="64F172CA" w14:textId="77777777" w:rsidR="00FC10E9" w:rsidRDefault="00B10E1A">
      <w:pPr>
        <w:widowControl w:val="0"/>
        <w:tabs>
          <w:tab w:val="left" w:pos="2366"/>
        </w:tabs>
        <w:spacing w:line="300" w:lineRule="exact"/>
        <w:jc w:val="center"/>
        <w:rPr>
          <w:rFonts w:ascii="Arial" w:hAnsi="Arial" w:cs="Arial"/>
          <w:b/>
          <w:color w:val="000000"/>
          <w:sz w:val="22"/>
          <w:szCs w:val="22"/>
        </w:rPr>
      </w:pPr>
      <w:r>
        <w:rPr>
          <w:rFonts w:ascii="Arial" w:hAnsi="Arial" w:cs="Arial"/>
          <w:b/>
          <w:bCs/>
          <w:color w:val="000000"/>
          <w:sz w:val="22"/>
          <w:szCs w:val="22"/>
        </w:rPr>
        <w:t>OLIVEIRA TRUST DISTRIBUIDORA DE TÍTULOS E VALORES MOBILIÁRIOS S.A.</w:t>
      </w:r>
    </w:p>
    <w:p w14:paraId="1DCD9B48" w14:textId="77777777" w:rsidR="00FC10E9" w:rsidRDefault="00FC10E9">
      <w:pPr>
        <w:pStyle w:val="para"/>
        <w:widowControl/>
        <w:tabs>
          <w:tab w:val="left" w:pos="2366"/>
        </w:tabs>
        <w:spacing w:line="300" w:lineRule="atLeast"/>
        <w:jc w:val="center"/>
      </w:pPr>
    </w:p>
    <w:p w14:paraId="73CAE235" w14:textId="77777777" w:rsidR="00FC10E9" w:rsidRDefault="00FC10E9">
      <w:pPr>
        <w:pStyle w:val="para"/>
        <w:widowControl/>
        <w:tabs>
          <w:tab w:val="left" w:pos="2366"/>
        </w:tabs>
        <w:spacing w:line="300" w:lineRule="atLeast"/>
        <w:jc w:val="center"/>
      </w:pPr>
    </w:p>
    <w:p w14:paraId="49550F47" w14:textId="77777777" w:rsidR="00FC10E9" w:rsidRDefault="00FC10E9">
      <w:pPr>
        <w:pStyle w:val="para"/>
        <w:widowControl/>
        <w:tabs>
          <w:tab w:val="left" w:pos="2366"/>
        </w:tabs>
        <w:spacing w:line="300" w:lineRule="atLeast"/>
        <w:jc w:val="center"/>
      </w:pPr>
    </w:p>
    <w:tbl>
      <w:tblPr>
        <w:tblW w:w="13467" w:type="dxa"/>
        <w:tblLayout w:type="fixed"/>
        <w:tblCellMar>
          <w:left w:w="70" w:type="dxa"/>
          <w:right w:w="70" w:type="dxa"/>
        </w:tblCellMar>
        <w:tblLook w:val="0000" w:firstRow="0" w:lastRow="0" w:firstColumn="0" w:lastColumn="0" w:noHBand="0" w:noVBand="0"/>
      </w:tblPr>
      <w:tblGrid>
        <w:gridCol w:w="4489"/>
        <w:gridCol w:w="4489"/>
        <w:gridCol w:w="4489"/>
      </w:tblGrid>
      <w:tr w:rsidR="00FC10E9" w14:paraId="27F9AB02" w14:textId="77777777">
        <w:trPr>
          <w:gridAfter w:val="1"/>
          <w:wAfter w:w="4489" w:type="dxa"/>
        </w:trPr>
        <w:tc>
          <w:tcPr>
            <w:tcW w:w="4489" w:type="dxa"/>
          </w:tcPr>
          <w:p w14:paraId="5F37F2BA"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_______________________________</w:t>
            </w:r>
          </w:p>
        </w:tc>
        <w:tc>
          <w:tcPr>
            <w:tcW w:w="4489" w:type="dxa"/>
          </w:tcPr>
          <w:p w14:paraId="0067C4E8"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 xml:space="preserve">_______________________________ </w:t>
            </w:r>
          </w:p>
        </w:tc>
      </w:tr>
      <w:tr w:rsidR="00FC10E9" w14:paraId="364FEB88" w14:textId="77777777">
        <w:trPr>
          <w:gridAfter w:val="1"/>
          <w:wAfter w:w="4489" w:type="dxa"/>
        </w:trPr>
        <w:tc>
          <w:tcPr>
            <w:tcW w:w="4489" w:type="dxa"/>
          </w:tcPr>
          <w:p w14:paraId="30224472" w14:textId="6815A1F8"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r>
              <w:t xml:space="preserve"> </w:t>
            </w:r>
          </w:p>
        </w:tc>
        <w:tc>
          <w:tcPr>
            <w:tcW w:w="4489" w:type="dxa"/>
          </w:tcPr>
          <w:p w14:paraId="2DA88DAD" w14:textId="20F39AEF"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r>
              <w:t xml:space="preserve"> </w:t>
            </w:r>
          </w:p>
        </w:tc>
      </w:tr>
      <w:tr w:rsidR="00FC10E9" w14:paraId="7E818F1F" w14:textId="77777777">
        <w:tc>
          <w:tcPr>
            <w:tcW w:w="4489" w:type="dxa"/>
          </w:tcPr>
          <w:p w14:paraId="330B9766" w14:textId="08E22E44"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 xml:space="preserve">Cargo: </w:t>
            </w:r>
          </w:p>
        </w:tc>
        <w:tc>
          <w:tcPr>
            <w:tcW w:w="4489" w:type="dxa"/>
          </w:tcPr>
          <w:p w14:paraId="5EBBF979" w14:textId="3C8B959F" w:rsidR="00FC10E9" w:rsidRDefault="00B10E1A">
            <w:pPr>
              <w:tabs>
                <w:tab w:val="left" w:pos="1140"/>
              </w:tabs>
              <w:spacing w:line="300" w:lineRule="atLeast"/>
              <w:rPr>
                <w:rFonts w:ascii="Arial" w:hAnsi="Arial" w:cs="Arial"/>
                <w:color w:val="000000"/>
                <w:sz w:val="22"/>
                <w:szCs w:val="22"/>
              </w:rPr>
            </w:pPr>
            <w:r>
              <w:rPr>
                <w:rFonts w:ascii="Arial" w:hAnsi="Arial" w:cs="Arial"/>
                <w:color w:val="000000"/>
                <w:sz w:val="22"/>
                <w:szCs w:val="22"/>
              </w:rPr>
              <w:t xml:space="preserve">Cargo: </w:t>
            </w:r>
          </w:p>
        </w:tc>
        <w:tc>
          <w:tcPr>
            <w:tcW w:w="4489" w:type="dxa"/>
          </w:tcPr>
          <w:p w14:paraId="6C5E737E" w14:textId="77777777" w:rsidR="00FC10E9" w:rsidRDefault="00FC10E9"/>
        </w:tc>
      </w:tr>
    </w:tbl>
    <w:p w14:paraId="4B5C9D42" w14:textId="77777777" w:rsidR="00FC10E9" w:rsidRDefault="00FC10E9">
      <w:pPr>
        <w:tabs>
          <w:tab w:val="left" w:pos="2366"/>
        </w:tabs>
        <w:spacing w:line="300" w:lineRule="atLeast"/>
        <w:rPr>
          <w:rFonts w:ascii="Arial" w:hAnsi="Arial" w:cs="Arial"/>
          <w:color w:val="000000"/>
          <w:sz w:val="22"/>
          <w:szCs w:val="22"/>
        </w:rPr>
      </w:pPr>
    </w:p>
    <w:p w14:paraId="3B09D6B3" w14:textId="77777777" w:rsidR="00FC10E9" w:rsidRDefault="00FC10E9">
      <w:pPr>
        <w:tabs>
          <w:tab w:val="left" w:pos="2366"/>
        </w:tabs>
        <w:spacing w:line="300" w:lineRule="atLeast"/>
        <w:rPr>
          <w:rFonts w:ascii="Arial" w:hAnsi="Arial" w:cs="Arial"/>
          <w:color w:val="000000"/>
          <w:sz w:val="22"/>
          <w:szCs w:val="22"/>
        </w:rPr>
      </w:pPr>
    </w:p>
    <w:p w14:paraId="037E762F" w14:textId="77777777" w:rsidR="00FC10E9" w:rsidRDefault="00FC10E9">
      <w:pPr>
        <w:tabs>
          <w:tab w:val="left" w:pos="2366"/>
        </w:tabs>
        <w:spacing w:line="300" w:lineRule="atLeast"/>
        <w:rPr>
          <w:rFonts w:ascii="Arial" w:hAnsi="Arial" w:cs="Arial"/>
          <w:color w:val="000000"/>
          <w:sz w:val="22"/>
          <w:szCs w:val="22"/>
        </w:rPr>
      </w:pPr>
    </w:p>
    <w:p w14:paraId="2588A4CB" w14:textId="77777777" w:rsidR="00FC10E9" w:rsidRDefault="00FC10E9">
      <w:pPr>
        <w:tabs>
          <w:tab w:val="left" w:pos="2366"/>
        </w:tabs>
        <w:spacing w:line="300" w:lineRule="atLeast"/>
        <w:rPr>
          <w:rFonts w:ascii="Arial" w:hAnsi="Arial" w:cs="Arial"/>
          <w:color w:val="000000"/>
          <w:sz w:val="22"/>
          <w:szCs w:val="22"/>
        </w:rPr>
      </w:pPr>
    </w:p>
    <w:p w14:paraId="0626D0AC" w14:textId="77777777" w:rsidR="00FC10E9" w:rsidRDefault="00FC10E9">
      <w:pPr>
        <w:tabs>
          <w:tab w:val="left" w:pos="2366"/>
        </w:tabs>
        <w:spacing w:line="300" w:lineRule="atLeast"/>
        <w:rPr>
          <w:rFonts w:ascii="Arial" w:hAnsi="Arial" w:cs="Arial"/>
          <w:color w:val="000000"/>
          <w:sz w:val="22"/>
          <w:szCs w:val="22"/>
        </w:rPr>
      </w:pPr>
    </w:p>
    <w:p w14:paraId="1A20108E"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Testemunhas:</w:t>
      </w:r>
    </w:p>
    <w:p w14:paraId="5B27E8A8" w14:textId="77777777" w:rsidR="00FC10E9" w:rsidRDefault="00FC10E9">
      <w:pPr>
        <w:tabs>
          <w:tab w:val="left" w:pos="2366"/>
        </w:tabs>
        <w:spacing w:line="300" w:lineRule="atLeast"/>
        <w:rPr>
          <w:rFonts w:ascii="Arial" w:hAnsi="Arial" w:cs="Arial"/>
          <w:color w:val="000000"/>
          <w:sz w:val="22"/>
          <w:szCs w:val="22"/>
        </w:rPr>
      </w:pPr>
    </w:p>
    <w:p w14:paraId="25156367" w14:textId="77777777" w:rsidR="00FC10E9" w:rsidRDefault="00FC10E9">
      <w:pPr>
        <w:tabs>
          <w:tab w:val="left" w:pos="2366"/>
        </w:tabs>
        <w:spacing w:line="300" w:lineRule="atLeast"/>
        <w:rPr>
          <w:rFonts w:ascii="Arial" w:hAnsi="Arial" w:cs="Arial"/>
          <w:color w:val="000000"/>
          <w:sz w:val="22"/>
          <w:szCs w:val="22"/>
        </w:rPr>
      </w:pPr>
    </w:p>
    <w:p w14:paraId="40932F40" w14:textId="77777777" w:rsidR="00FC10E9" w:rsidRDefault="00FC10E9">
      <w:pPr>
        <w:tabs>
          <w:tab w:val="left" w:pos="2366"/>
        </w:tabs>
        <w:spacing w:line="300" w:lineRule="atLeast"/>
        <w:rPr>
          <w:rFonts w:ascii="Arial" w:hAnsi="Arial" w:cs="Arial"/>
          <w:color w:val="000000"/>
          <w:sz w:val="22"/>
          <w:szCs w:val="22"/>
        </w:rPr>
      </w:pPr>
    </w:p>
    <w:tbl>
      <w:tblPr>
        <w:tblW w:w="0" w:type="auto"/>
        <w:jc w:val="center"/>
        <w:tblLayout w:type="fixed"/>
        <w:tblCellMar>
          <w:left w:w="70" w:type="dxa"/>
          <w:right w:w="70" w:type="dxa"/>
        </w:tblCellMar>
        <w:tblLook w:val="0000" w:firstRow="0" w:lastRow="0" w:firstColumn="0" w:lastColumn="0" w:noHBand="0" w:noVBand="0"/>
      </w:tblPr>
      <w:tblGrid>
        <w:gridCol w:w="4489"/>
        <w:gridCol w:w="4761"/>
      </w:tblGrid>
      <w:tr w:rsidR="00FC10E9" w14:paraId="44FBEEDC" w14:textId="77777777">
        <w:trPr>
          <w:trHeight w:val="381"/>
          <w:jc w:val="center"/>
        </w:trPr>
        <w:tc>
          <w:tcPr>
            <w:tcW w:w="4489" w:type="dxa"/>
          </w:tcPr>
          <w:p w14:paraId="69887301"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_______________________________</w:t>
            </w:r>
          </w:p>
        </w:tc>
        <w:tc>
          <w:tcPr>
            <w:tcW w:w="4761" w:type="dxa"/>
          </w:tcPr>
          <w:p w14:paraId="32B0D584" w14:textId="77777777" w:rsidR="00FC10E9" w:rsidRDefault="00B10E1A">
            <w:pPr>
              <w:tabs>
                <w:tab w:val="left" w:pos="2366"/>
              </w:tabs>
              <w:spacing w:line="300" w:lineRule="atLeast"/>
              <w:jc w:val="center"/>
              <w:rPr>
                <w:rFonts w:ascii="Arial" w:hAnsi="Arial" w:cs="Arial"/>
                <w:color w:val="000000"/>
                <w:sz w:val="22"/>
                <w:szCs w:val="22"/>
              </w:rPr>
            </w:pPr>
            <w:r>
              <w:rPr>
                <w:rFonts w:ascii="Arial" w:hAnsi="Arial" w:cs="Arial"/>
                <w:color w:val="000000"/>
                <w:sz w:val="22"/>
                <w:szCs w:val="22"/>
              </w:rPr>
              <w:t>_______________________________</w:t>
            </w:r>
          </w:p>
        </w:tc>
      </w:tr>
      <w:tr w:rsidR="00FC10E9" w14:paraId="754D8BA0" w14:textId="77777777">
        <w:trPr>
          <w:jc w:val="center"/>
        </w:trPr>
        <w:tc>
          <w:tcPr>
            <w:tcW w:w="4489" w:type="dxa"/>
          </w:tcPr>
          <w:p w14:paraId="100759D2" w14:textId="07378F7E"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r>
              <w:t xml:space="preserve"> </w:t>
            </w:r>
          </w:p>
        </w:tc>
        <w:tc>
          <w:tcPr>
            <w:tcW w:w="4761" w:type="dxa"/>
          </w:tcPr>
          <w:p w14:paraId="050D9659"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Nome:</w:t>
            </w:r>
          </w:p>
        </w:tc>
      </w:tr>
      <w:tr w:rsidR="00FC10E9" w14:paraId="7E9E74DA" w14:textId="77777777">
        <w:trPr>
          <w:jc w:val="center"/>
        </w:trPr>
        <w:tc>
          <w:tcPr>
            <w:tcW w:w="4489" w:type="dxa"/>
          </w:tcPr>
          <w:p w14:paraId="3AF27B47" w14:textId="79889C54"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CPF:</w:t>
            </w:r>
            <w:r>
              <w:t xml:space="preserve"> </w:t>
            </w:r>
          </w:p>
        </w:tc>
        <w:tc>
          <w:tcPr>
            <w:tcW w:w="4761" w:type="dxa"/>
          </w:tcPr>
          <w:p w14:paraId="037019E7" w14:textId="77777777" w:rsidR="00FC10E9" w:rsidRDefault="00B10E1A">
            <w:pPr>
              <w:tabs>
                <w:tab w:val="left" w:pos="2366"/>
              </w:tabs>
              <w:spacing w:line="300" w:lineRule="atLeast"/>
              <w:rPr>
                <w:rFonts w:ascii="Arial" w:hAnsi="Arial" w:cs="Arial"/>
                <w:color w:val="000000"/>
                <w:sz w:val="22"/>
                <w:szCs w:val="22"/>
              </w:rPr>
            </w:pPr>
            <w:r>
              <w:rPr>
                <w:rFonts w:ascii="Arial" w:hAnsi="Arial" w:cs="Arial"/>
                <w:color w:val="000000"/>
                <w:sz w:val="22"/>
                <w:szCs w:val="22"/>
              </w:rPr>
              <w:t>CPF:</w:t>
            </w:r>
          </w:p>
        </w:tc>
      </w:tr>
    </w:tbl>
    <w:p w14:paraId="1FF5C968" w14:textId="77777777" w:rsidR="00FC10E9" w:rsidRDefault="00FC10E9">
      <w:pPr>
        <w:tabs>
          <w:tab w:val="left" w:pos="2366"/>
        </w:tabs>
        <w:spacing w:line="300" w:lineRule="atLeast"/>
        <w:rPr>
          <w:rFonts w:ascii="Arial" w:hAnsi="Arial" w:cs="Arial"/>
          <w:color w:val="000000"/>
          <w:sz w:val="22"/>
          <w:szCs w:val="22"/>
        </w:rPr>
      </w:pPr>
    </w:p>
    <w:p w14:paraId="333C5826" w14:textId="77777777" w:rsidR="00FC10E9" w:rsidRDefault="00FC10E9">
      <w:pPr>
        <w:spacing w:line="300" w:lineRule="atLeast"/>
        <w:rPr>
          <w:rFonts w:ascii="Arial" w:hAnsi="Arial" w:cs="Arial"/>
          <w:color w:val="000000"/>
          <w:sz w:val="22"/>
          <w:szCs w:val="22"/>
        </w:rPr>
      </w:pPr>
    </w:p>
    <w:p w14:paraId="2D0E7A94" w14:textId="77777777" w:rsidR="00FC10E9" w:rsidRDefault="00FC10E9">
      <w:pPr>
        <w:spacing w:line="300" w:lineRule="atLeast"/>
        <w:rPr>
          <w:rFonts w:ascii="Arial" w:hAnsi="Arial" w:cs="Arial"/>
          <w:color w:val="000000"/>
          <w:sz w:val="22"/>
          <w:szCs w:val="22"/>
        </w:rPr>
      </w:pPr>
    </w:p>
    <w:sectPr w:rsidR="00FC10E9">
      <w:footerReference w:type="default" r:id="rId22"/>
      <w:pgSz w:w="11906" w:h="16838"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25AF" w14:textId="77777777" w:rsidR="00FC10E9" w:rsidRDefault="00B10E1A">
      <w:r>
        <w:separator/>
      </w:r>
    </w:p>
  </w:endnote>
  <w:endnote w:type="continuationSeparator" w:id="0">
    <w:p w14:paraId="2EFE28C1" w14:textId="77777777" w:rsidR="00FC10E9" w:rsidRDefault="00B10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s">
    <w:altName w:val="Cambria"/>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D359A" w14:textId="77777777" w:rsidR="00FC10E9" w:rsidRDefault="00B10E1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CE53A7" w14:textId="77777777" w:rsidR="00FC10E9" w:rsidRDefault="00FC10E9">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D78C7" w14:textId="77777777" w:rsidR="00FC10E9" w:rsidRDefault="00FC10E9">
    <w:pPr>
      <w:pStyle w:val="Rodap"/>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A1A49" w14:textId="77777777" w:rsidR="00FC10E9" w:rsidRDefault="00B10E1A">
    <w:pPr>
      <w:pStyle w:val="Rodap"/>
      <w:jc w:val="right"/>
      <w:rPr>
        <w:rFonts w:ascii="Arial" w:hAnsi="Arial" w:cs="Arial"/>
        <w:sz w:val="12"/>
        <w:szCs w:val="20"/>
        <w:lang w:val="pt-BR"/>
      </w:rPr>
    </w:pPr>
    <w:r>
      <w:rPr>
        <w:rFonts w:ascii="Arial" w:hAnsi="Arial" w:cs="Arial"/>
        <w:sz w:val="20"/>
        <w:szCs w:val="20"/>
      </w:rPr>
      <w:fldChar w:fldCharType="begin"/>
    </w:r>
    <w:r>
      <w:rPr>
        <w:rFonts w:ascii="Arial" w:hAnsi="Arial" w:cs="Arial"/>
        <w:sz w:val="20"/>
        <w:szCs w:val="20"/>
      </w:rPr>
      <w:instrText>PAGE   \* MERGEFORMAT</w:instrText>
    </w:r>
    <w:r>
      <w:rPr>
        <w:rFonts w:ascii="Arial" w:hAnsi="Arial" w:cs="Arial"/>
        <w:sz w:val="20"/>
        <w:szCs w:val="20"/>
      </w:rPr>
      <w:fldChar w:fldCharType="separate"/>
    </w:r>
    <w:r>
      <w:rPr>
        <w:rFonts w:ascii="Arial" w:hAnsi="Arial" w:cs="Arial"/>
        <w:noProof/>
        <w:sz w:val="20"/>
        <w:szCs w:val="20"/>
      </w:rPr>
      <w:t>34</w:t>
    </w:r>
    <w:r>
      <w:rPr>
        <w:rFonts w:ascii="Arial" w:hAnsi="Arial" w:cs="Arial"/>
        <w:sz w:val="20"/>
        <w:szCs w:val="20"/>
      </w:rPr>
      <w:fldChar w:fldCharType="end"/>
    </w:r>
  </w:p>
  <w:p w14:paraId="3DBF6485" w14:textId="77777777" w:rsidR="00FC10E9" w:rsidRDefault="00FC10E9"/>
  <w:p w14:paraId="728021C6" w14:textId="77777777" w:rsidR="00FC10E9" w:rsidRDefault="00FC10E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3627" w14:textId="77777777" w:rsidR="00FC10E9" w:rsidRDefault="00B10E1A">
    <w:pPr>
      <w:pStyle w:val="Rodap"/>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2</w:t>
    </w:r>
    <w:r>
      <w:rPr>
        <w:sz w:val="20"/>
        <w:szCs w:val="20"/>
      </w:rPr>
      <w:fldChar w:fldCharType="end"/>
    </w:r>
  </w:p>
  <w:p w14:paraId="35036776" w14:textId="77777777" w:rsidR="00FC10E9" w:rsidRDefault="00FC10E9">
    <w:pPr>
      <w:pStyle w:val="Rodap"/>
      <w:rPr>
        <w:szCs w:val="22"/>
      </w:rPr>
    </w:pPr>
  </w:p>
  <w:p w14:paraId="5EA4E5EB" w14:textId="77777777" w:rsidR="00FC10E9" w:rsidRDefault="00FC10E9"/>
  <w:p w14:paraId="77155038" w14:textId="77777777" w:rsidR="00FC10E9" w:rsidRDefault="00FC10E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C0E8" w14:textId="6C51B60B" w:rsidR="00FC10E9" w:rsidRDefault="00FC10E9">
    <w:pPr>
      <w:pStyle w:val="Rodap"/>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58738" w14:textId="77777777" w:rsidR="00FC10E9" w:rsidRDefault="00B10E1A">
      <w:r>
        <w:separator/>
      </w:r>
    </w:p>
  </w:footnote>
  <w:footnote w:type="continuationSeparator" w:id="0">
    <w:p w14:paraId="6CC10AB9" w14:textId="77777777" w:rsidR="00FC10E9" w:rsidRDefault="00B10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AA2D1" w14:textId="77777777" w:rsidR="00FC10E9" w:rsidRDefault="00B10E1A">
    <w:pPr>
      <w:pStyle w:val="Cabealho"/>
      <w:jc w:val="right"/>
      <w:rPr>
        <w:rFonts w:ascii="Arial" w:hAnsi="Arial" w:cs="Arial"/>
        <w:iCs/>
        <w:sz w:val="22"/>
        <w:szCs w:val="22"/>
      </w:rPr>
    </w:pPr>
    <w:r>
      <w:rPr>
        <w:noProof/>
      </w:rPr>
      <w:drawing>
        <wp:anchor distT="0" distB="0" distL="0" distR="0" simplePos="0" relativeHeight="251659264" behindDoc="1" locked="0" layoutInCell="1" allowOverlap="1" wp14:anchorId="555D18B4" wp14:editId="6F8993C5">
          <wp:simplePos x="0" y="0"/>
          <wp:positionH relativeFrom="page">
            <wp:posOffset>900430</wp:posOffset>
          </wp:positionH>
          <wp:positionV relativeFrom="page">
            <wp:posOffset>449580</wp:posOffset>
          </wp:positionV>
          <wp:extent cx="931229" cy="533937"/>
          <wp:effectExtent l="0" t="0" r="2540" b="0"/>
          <wp:wrapNone/>
          <wp:docPr id="13" name="image1.png"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Interface gráfica do usuário, Texto&#10;&#10;Descrição gerada automaticamente"/>
                  <pic:cNvPicPr/>
                </pic:nvPicPr>
                <pic:blipFill>
                  <a:blip r:embed="rId1" cstate="print"/>
                  <a:stretch>
                    <a:fillRect/>
                  </a:stretch>
                </pic:blipFill>
                <pic:spPr>
                  <a:xfrm>
                    <a:off x="0" y="0"/>
                    <a:ext cx="938209" cy="53793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0FC4" w14:textId="77777777" w:rsidR="00FC10E9" w:rsidRDefault="00B10E1A">
    <w:pPr>
      <w:pStyle w:val="Cabealho"/>
      <w:jc w:val="right"/>
      <w:rPr>
        <w:i/>
        <w:sz w:val="22"/>
        <w:szCs w:val="22"/>
      </w:rPr>
    </w:pPr>
    <w:r>
      <w:rPr>
        <w:i/>
        <w:sz w:val="22"/>
        <w:szCs w:val="22"/>
      </w:rPr>
      <w:t>Minuta SCBF</w:t>
    </w:r>
  </w:p>
  <w:p w14:paraId="615CBB2D" w14:textId="77777777" w:rsidR="00FC10E9" w:rsidRDefault="00B10E1A">
    <w:pPr>
      <w:pStyle w:val="Cabealho"/>
      <w:jc w:val="right"/>
      <w:rPr>
        <w:i/>
        <w:sz w:val="22"/>
        <w:szCs w:val="22"/>
      </w:rPr>
    </w:pPr>
    <w:r>
      <w:rPr>
        <w:i/>
        <w:sz w:val="22"/>
        <w:szCs w:val="22"/>
      </w:rPr>
      <w:t>01/09/2011</w:t>
    </w:r>
  </w:p>
  <w:p w14:paraId="3D85998B" w14:textId="77777777" w:rsidR="00FC10E9" w:rsidRDefault="00FC10E9">
    <w:pPr>
      <w:pStyle w:val="Cabealho"/>
      <w:jc w:val="right"/>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BAF"/>
    <w:multiLevelType w:val="multilevel"/>
    <w:tmpl w:val="70DC2678"/>
    <w:lvl w:ilvl="0">
      <w:start w:val="1"/>
      <w:numFmt w:val="decimal"/>
      <w:lvlText w:val="%1."/>
      <w:lvlJc w:val="left"/>
      <w:pPr>
        <w:tabs>
          <w:tab w:val="num" w:pos="1134"/>
        </w:tabs>
        <w:ind w:left="0" w:firstLine="0"/>
      </w:pPr>
      <w:rPr>
        <w:rFonts w:hint="default"/>
      </w:rPr>
    </w:lvl>
    <w:lvl w:ilvl="1">
      <w:start w:val="1"/>
      <w:numFmt w:val="decimal"/>
      <w:lvlText w:val="5.%2."/>
      <w:lvlJc w:val="left"/>
      <w:pPr>
        <w:tabs>
          <w:tab w:val="num" w:pos="1134"/>
        </w:tabs>
        <w:ind w:left="0" w:firstLine="0"/>
      </w:pPr>
      <w:rPr>
        <w:rFonts w:hint="default"/>
        <w:i w:val="0"/>
        <w:sz w:val="24"/>
        <w:szCs w:val="24"/>
      </w:rPr>
    </w:lvl>
    <w:lvl w:ilvl="2">
      <w:start w:val="1"/>
      <w:numFmt w:val="lowerRoman"/>
      <w:lvlText w:val="(%3)"/>
      <w:lvlJc w:val="left"/>
      <w:pPr>
        <w:tabs>
          <w:tab w:val="num" w:pos="1134"/>
        </w:tabs>
        <w:ind w:left="0" w:firstLine="0"/>
      </w:pPr>
      <w:rPr>
        <w:rFonts w:ascii="Garamond" w:hAnsi="Garamond" w:cs="Times New Roman" w:hint="default"/>
        <w:b w:val="0"/>
        <w:i w:val="0"/>
        <w:sz w:val="24"/>
        <w:szCs w:val="24"/>
      </w:rPr>
    </w:lvl>
    <w:lvl w:ilvl="3">
      <w:start w:val="1"/>
      <w:numFmt w:val="lowerLetter"/>
      <w:lvlText w:val="%4."/>
      <w:lvlJc w:val="left"/>
      <w:pPr>
        <w:tabs>
          <w:tab w:val="num" w:pos="1134"/>
        </w:tabs>
        <w:ind w:left="1134" w:hanging="567"/>
      </w:pPr>
      <w:rPr>
        <w:rFonts w:hint="default"/>
      </w:rPr>
    </w:lvl>
    <w:lvl w:ilvl="4">
      <w:start w:val="1"/>
      <w:numFmt w:val="lowerRoman"/>
      <w:lvlText w:val="(%5)"/>
      <w:lvlJc w:val="left"/>
      <w:pPr>
        <w:tabs>
          <w:tab w:val="num" w:pos="1701"/>
        </w:tabs>
        <w:ind w:left="1701" w:hanging="567"/>
      </w:pPr>
      <w:rPr>
        <w:rFonts w:hint="default"/>
        <w:b w:val="0"/>
        <w:i w:val="0"/>
      </w:rPr>
    </w:lvl>
    <w:lvl w:ilvl="5">
      <w:start w:val="1"/>
      <w:numFmt w:val="decimal"/>
      <w:lvlText w:val="%4.%6."/>
      <w:lvlJc w:val="left"/>
      <w:pPr>
        <w:tabs>
          <w:tab w:val="num" w:pos="1985"/>
        </w:tabs>
        <w:ind w:left="1985" w:hanging="851"/>
      </w:pPr>
      <w:rPr>
        <w:rFonts w:hint="default"/>
      </w:rPr>
    </w:lvl>
    <w:lvl w:ilvl="6">
      <w:start w:val="1"/>
      <w:numFmt w:val="lowerLetter"/>
      <w:lvlText w:val="(%7)"/>
      <w:lvlJc w:val="left"/>
      <w:pPr>
        <w:tabs>
          <w:tab w:val="num" w:pos="567"/>
        </w:tabs>
        <w:ind w:left="567" w:hanging="56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71D96"/>
    <w:multiLevelType w:val="hybridMultilevel"/>
    <w:tmpl w:val="EF3C5A44"/>
    <w:lvl w:ilvl="0" w:tplc="40C8ADB0">
      <w:start w:val="1"/>
      <w:numFmt w:val="decimal"/>
      <w:lvlText w:val="(v.%1)"/>
      <w:lvlJc w:val="left"/>
      <w:pPr>
        <w:ind w:left="720" w:hanging="360"/>
      </w:pPr>
      <w:rPr>
        <w:rFonts w:hint="default"/>
        <w:b w:val="0"/>
      </w:rPr>
    </w:lvl>
    <w:lvl w:ilvl="1" w:tplc="8BE2C420">
      <w:start w:val="1"/>
      <w:numFmt w:val="lowerLetter"/>
      <w:lvlText w:val="(%2)"/>
      <w:lvlJc w:val="left"/>
      <w:pPr>
        <w:ind w:left="1800" w:hanging="72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E2CFC"/>
    <w:multiLevelType w:val="multilevel"/>
    <w:tmpl w:val="12EADEAE"/>
    <w:lvl w:ilvl="0">
      <w:start w:val="4"/>
      <w:numFmt w:val="decimal"/>
      <w:lvlText w:val="%1"/>
      <w:lvlJc w:val="left"/>
      <w:pPr>
        <w:ind w:left="450" w:hanging="450"/>
      </w:pPr>
      <w:rPr>
        <w:rFonts w:hint="default"/>
        <w:b w:val="0"/>
        <w:i/>
      </w:rPr>
    </w:lvl>
    <w:lvl w:ilvl="1">
      <w:start w:val="2"/>
      <w:numFmt w:val="decimal"/>
      <w:lvlText w:val="%1.%2"/>
      <w:lvlJc w:val="left"/>
      <w:pPr>
        <w:ind w:left="1358" w:hanging="720"/>
      </w:pPr>
      <w:rPr>
        <w:rFonts w:hint="default"/>
        <w:b w:val="0"/>
        <w:i/>
      </w:rPr>
    </w:lvl>
    <w:lvl w:ilvl="2">
      <w:start w:val="2"/>
      <w:numFmt w:val="decimal"/>
      <w:lvlText w:val="%1.%2.%3"/>
      <w:lvlJc w:val="left"/>
      <w:pPr>
        <w:ind w:left="1996" w:hanging="720"/>
      </w:pPr>
      <w:rPr>
        <w:rFonts w:hint="default"/>
        <w:b w:val="0"/>
        <w:i/>
      </w:rPr>
    </w:lvl>
    <w:lvl w:ilvl="3">
      <w:start w:val="1"/>
      <w:numFmt w:val="decimal"/>
      <w:lvlText w:val="%1.%2.%3.%4"/>
      <w:lvlJc w:val="left"/>
      <w:pPr>
        <w:ind w:left="2994" w:hanging="1080"/>
      </w:pPr>
      <w:rPr>
        <w:rFonts w:hint="default"/>
        <w:b w:val="0"/>
        <w:i/>
      </w:rPr>
    </w:lvl>
    <w:lvl w:ilvl="4">
      <w:start w:val="1"/>
      <w:numFmt w:val="decimal"/>
      <w:lvlText w:val="%1.%2.%3.%4.%5"/>
      <w:lvlJc w:val="left"/>
      <w:pPr>
        <w:ind w:left="3632" w:hanging="1080"/>
      </w:pPr>
      <w:rPr>
        <w:rFonts w:hint="default"/>
        <w:b w:val="0"/>
        <w:i/>
      </w:rPr>
    </w:lvl>
    <w:lvl w:ilvl="5">
      <w:start w:val="1"/>
      <w:numFmt w:val="decimal"/>
      <w:lvlText w:val="%1.%2.%3.%4.%5.%6"/>
      <w:lvlJc w:val="left"/>
      <w:pPr>
        <w:ind w:left="4630" w:hanging="1440"/>
      </w:pPr>
      <w:rPr>
        <w:rFonts w:hint="default"/>
        <w:b w:val="0"/>
        <w:i/>
      </w:rPr>
    </w:lvl>
    <w:lvl w:ilvl="6">
      <w:start w:val="1"/>
      <w:numFmt w:val="decimal"/>
      <w:lvlText w:val="%1.%2.%3.%4.%5.%6.%7"/>
      <w:lvlJc w:val="left"/>
      <w:pPr>
        <w:ind w:left="5628" w:hanging="1800"/>
      </w:pPr>
      <w:rPr>
        <w:rFonts w:hint="default"/>
        <w:b w:val="0"/>
        <w:i/>
      </w:rPr>
    </w:lvl>
    <w:lvl w:ilvl="7">
      <w:start w:val="1"/>
      <w:numFmt w:val="decimal"/>
      <w:lvlText w:val="%1.%2.%3.%4.%5.%6.%7.%8"/>
      <w:lvlJc w:val="left"/>
      <w:pPr>
        <w:ind w:left="6266" w:hanging="1800"/>
      </w:pPr>
      <w:rPr>
        <w:rFonts w:hint="default"/>
        <w:b w:val="0"/>
        <w:i/>
      </w:rPr>
    </w:lvl>
    <w:lvl w:ilvl="8">
      <w:start w:val="1"/>
      <w:numFmt w:val="decimal"/>
      <w:lvlText w:val="%1.%2.%3.%4.%5.%6.%7.%8.%9"/>
      <w:lvlJc w:val="left"/>
      <w:pPr>
        <w:ind w:left="7264" w:hanging="2160"/>
      </w:pPr>
      <w:rPr>
        <w:rFonts w:hint="default"/>
        <w:b w:val="0"/>
        <w:i/>
      </w:rPr>
    </w:lvl>
  </w:abstractNum>
  <w:abstractNum w:abstractNumId="3" w15:restartNumberingAfterBreak="0">
    <w:nsid w:val="063A15F5"/>
    <w:multiLevelType w:val="multilevel"/>
    <w:tmpl w:val="2A40536C"/>
    <w:lvl w:ilvl="0">
      <w:start w:val="4"/>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9441B3"/>
    <w:multiLevelType w:val="hybridMultilevel"/>
    <w:tmpl w:val="744AAA04"/>
    <w:lvl w:ilvl="0" w:tplc="35FA1064">
      <w:start w:val="2"/>
      <w:numFmt w:val="decimal"/>
      <w:lvlText w:val="9.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B155744"/>
    <w:multiLevelType w:val="hybridMultilevel"/>
    <w:tmpl w:val="F842B66C"/>
    <w:lvl w:ilvl="0" w:tplc="C012EC9E">
      <w:start w:val="1"/>
      <w:numFmt w:val="decimal"/>
      <w:lvlText w:val="2.4.%1."/>
      <w:lvlJc w:val="left"/>
      <w:pPr>
        <w:ind w:left="502" w:hanging="360"/>
      </w:pPr>
      <w:rPr>
        <w:rFonts w:hint="default"/>
        <w:b w:val="0"/>
      </w:rPr>
    </w:lvl>
    <w:lvl w:ilvl="1" w:tplc="2D9C3320">
      <w:start w:val="1"/>
      <w:numFmt w:val="lowerLetter"/>
      <w:lvlText w:val="(%2)"/>
      <w:lvlJc w:val="left"/>
      <w:pPr>
        <w:ind w:left="1567" w:hanging="705"/>
      </w:pPr>
      <w:rPr>
        <w:rFonts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0BDA5D86"/>
    <w:multiLevelType w:val="multilevel"/>
    <w:tmpl w:val="1AA8EFC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997"/>
        </w:tabs>
        <w:ind w:left="1997" w:hanging="720"/>
      </w:pPr>
      <w:rPr>
        <w:rFonts w:hint="default"/>
        <w:b w:val="0"/>
      </w:rPr>
    </w:lvl>
    <w:lvl w:ilvl="4">
      <w:start w:val="1"/>
      <w:numFmt w:val="decimal"/>
      <w:lvlText w:val="4.2.2.%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E22F71"/>
    <w:multiLevelType w:val="hybridMultilevel"/>
    <w:tmpl w:val="09F4340E"/>
    <w:lvl w:ilvl="0" w:tplc="77FECFB0">
      <w:start w:val="1"/>
      <w:numFmt w:val="lowerRoman"/>
      <w:lvlText w:val="(%1)"/>
      <w:lvlJc w:val="left"/>
      <w:pPr>
        <w:ind w:left="720" w:hanging="360"/>
      </w:pPr>
      <w:rPr>
        <w:rFonts w:hint="default"/>
        <w:b w:val="0"/>
      </w:rPr>
    </w:lvl>
    <w:lvl w:ilvl="1" w:tplc="8BE2C420">
      <w:start w:val="1"/>
      <w:numFmt w:val="lowerLetter"/>
      <w:lvlText w:val="(%2)"/>
      <w:lvlJc w:val="left"/>
      <w:pPr>
        <w:ind w:left="1800" w:hanging="72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C6451"/>
    <w:multiLevelType w:val="multilevel"/>
    <w:tmpl w:val="0E44B5D0"/>
    <w:lvl w:ilvl="0">
      <w:start w:val="4"/>
      <w:numFmt w:val="decimal"/>
      <w:lvlText w:val="%1."/>
      <w:lvlJc w:val="left"/>
      <w:pPr>
        <w:ind w:left="660" w:hanging="660"/>
      </w:pPr>
      <w:rPr>
        <w:rFonts w:hint="default"/>
      </w:rPr>
    </w:lvl>
    <w:lvl w:ilvl="1">
      <w:start w:val="11"/>
      <w:numFmt w:val="decimal"/>
      <w:lvlText w:val="%1.%2."/>
      <w:lvlJc w:val="left"/>
      <w:pPr>
        <w:ind w:left="933" w:hanging="720"/>
      </w:pPr>
      <w:rPr>
        <w:rFonts w:hint="default"/>
        <w:i w:val="0"/>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9" w15:restartNumberingAfterBreak="0">
    <w:nsid w:val="20FB79BC"/>
    <w:multiLevelType w:val="multilevel"/>
    <w:tmpl w:val="1A84814E"/>
    <w:lvl w:ilvl="0">
      <w:start w:val="4"/>
      <w:numFmt w:val="decimal"/>
      <w:lvlText w:val="%1."/>
      <w:lvlJc w:val="left"/>
      <w:pPr>
        <w:ind w:left="660" w:hanging="660"/>
      </w:pPr>
      <w:rPr>
        <w:rFonts w:hint="default"/>
      </w:rPr>
    </w:lvl>
    <w:lvl w:ilvl="1">
      <w:start w:val="11"/>
      <w:numFmt w:val="decimal"/>
      <w:lvlText w:val="%1.%2."/>
      <w:lvlJc w:val="left"/>
      <w:pPr>
        <w:ind w:left="933" w:hanging="720"/>
      </w:pPr>
      <w:rPr>
        <w:rFonts w:hint="default"/>
        <w:i w:val="0"/>
      </w:rPr>
    </w:lvl>
    <w:lvl w:ilvl="2">
      <w:start w:val="1"/>
      <w:numFmt w:val="decimal"/>
      <w:lvlText w:val="4.10.%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0" w15:restartNumberingAfterBreak="0">
    <w:nsid w:val="211A13D8"/>
    <w:multiLevelType w:val="multilevel"/>
    <w:tmpl w:val="4D82E000"/>
    <w:lvl w:ilvl="0">
      <w:start w:val="6"/>
      <w:numFmt w:val="decimal"/>
      <w:lvlText w:val="%1."/>
      <w:lvlJc w:val="left"/>
      <w:pPr>
        <w:ind w:left="540" w:hanging="540"/>
      </w:pPr>
      <w:rPr>
        <w:rFonts w:hint="default"/>
      </w:rPr>
    </w:lvl>
    <w:lvl w:ilvl="1">
      <w:start w:val="1"/>
      <w:numFmt w:val="decimal"/>
      <w:lvlText w:val="6.1.4.%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8D697C"/>
    <w:multiLevelType w:val="hybridMultilevel"/>
    <w:tmpl w:val="1682C1A0"/>
    <w:lvl w:ilvl="0" w:tplc="88966EA0">
      <w:start w:val="1"/>
      <w:numFmt w:val="decimal"/>
      <w:lvlText w:val="7.%1."/>
      <w:lvlJc w:val="left"/>
      <w:pPr>
        <w:ind w:left="720" w:hanging="360"/>
      </w:pPr>
      <w:rPr>
        <w:rFonts w:ascii="Arial" w:hAnsi="Arial" w:cs="Arial"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685690F"/>
    <w:multiLevelType w:val="multilevel"/>
    <w:tmpl w:val="16D2DDC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7DF5D1B"/>
    <w:multiLevelType w:val="multilevel"/>
    <w:tmpl w:val="8948FF62"/>
    <w:lvl w:ilvl="0">
      <w:start w:val="6"/>
      <w:numFmt w:val="decimal"/>
      <w:lvlText w:val="%1."/>
      <w:lvlJc w:val="left"/>
      <w:pPr>
        <w:ind w:left="540" w:hanging="540"/>
      </w:pPr>
      <w:rPr>
        <w:rFonts w:hint="default"/>
      </w:rPr>
    </w:lvl>
    <w:lvl w:ilvl="1">
      <w:start w:val="1"/>
      <w:numFmt w:val="decimal"/>
      <w:lvlText w:val="6.1.3.%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6A2F38"/>
    <w:multiLevelType w:val="hybridMultilevel"/>
    <w:tmpl w:val="B8BE0278"/>
    <w:lvl w:ilvl="0" w:tplc="78CE04E8">
      <w:start w:val="1"/>
      <w:numFmt w:val="decimal"/>
      <w:lvlText w:val="12.%1."/>
      <w:lvlJc w:val="left"/>
      <w:pPr>
        <w:ind w:left="92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89F0658"/>
    <w:multiLevelType w:val="multilevel"/>
    <w:tmpl w:val="8EA02BB0"/>
    <w:lvl w:ilvl="0">
      <w:start w:val="6"/>
      <w:numFmt w:val="decimal"/>
      <w:lvlText w:val="%1."/>
      <w:lvlJc w:val="left"/>
      <w:pPr>
        <w:ind w:left="540" w:hanging="540"/>
      </w:pPr>
      <w:rPr>
        <w:rFonts w:hint="default"/>
      </w:rPr>
    </w:lvl>
    <w:lvl w:ilvl="1">
      <w:start w:val="1"/>
      <w:numFmt w:val="decimal"/>
      <w:lvlText w:val="6.1.2.%2."/>
      <w:lvlJc w:val="left"/>
      <w:pPr>
        <w:ind w:left="126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A023E9"/>
    <w:multiLevelType w:val="multilevel"/>
    <w:tmpl w:val="64E88898"/>
    <w:lvl w:ilvl="0">
      <w:start w:val="1"/>
      <w:numFmt w:val="decimal"/>
      <w:lvlText w:val="6.1.%1."/>
      <w:lvlJc w:val="left"/>
      <w:pPr>
        <w:tabs>
          <w:tab w:val="num" w:pos="720"/>
        </w:tabs>
        <w:ind w:left="720" w:hanging="720"/>
      </w:pPr>
      <w:rPr>
        <w:rFonts w:hint="default"/>
      </w:rPr>
    </w:lvl>
    <w:lvl w:ilvl="1">
      <w:start w:val="1"/>
      <w:numFmt w:val="decimal"/>
      <w:lvlText w:val="6.1.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E412E17"/>
    <w:multiLevelType w:val="multilevel"/>
    <w:tmpl w:val="5616EB6A"/>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2.1.%3."/>
      <w:lvlJc w:val="left"/>
      <w:pPr>
        <w:tabs>
          <w:tab w:val="num" w:pos="720"/>
        </w:tabs>
        <w:ind w:left="720" w:hanging="720"/>
      </w:pPr>
      <w:rPr>
        <w:rFonts w:hint="default"/>
        <w:sz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F5B71C0"/>
    <w:multiLevelType w:val="multilevel"/>
    <w:tmpl w:val="8EA02BB0"/>
    <w:lvl w:ilvl="0">
      <w:start w:val="6"/>
      <w:numFmt w:val="decimal"/>
      <w:lvlText w:val="%1."/>
      <w:lvlJc w:val="left"/>
      <w:pPr>
        <w:ind w:left="540" w:hanging="540"/>
      </w:pPr>
      <w:rPr>
        <w:rFonts w:hint="default"/>
      </w:rPr>
    </w:lvl>
    <w:lvl w:ilvl="1">
      <w:start w:val="1"/>
      <w:numFmt w:val="decimal"/>
      <w:lvlText w:val="6.1.2.%2."/>
      <w:lvlJc w:val="left"/>
      <w:pPr>
        <w:ind w:left="126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5B7B20"/>
    <w:multiLevelType w:val="multilevel"/>
    <w:tmpl w:val="795E886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0392EEB"/>
    <w:multiLevelType w:val="multilevel"/>
    <w:tmpl w:val="CEF4032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997"/>
        </w:tabs>
        <w:ind w:left="1997" w:hanging="72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B29439A"/>
    <w:multiLevelType w:val="multilevel"/>
    <w:tmpl w:val="500A2244"/>
    <w:lvl w:ilvl="0">
      <w:start w:val="5"/>
      <w:numFmt w:val="decimal"/>
      <w:lvlText w:val="%1."/>
      <w:lvlJc w:val="left"/>
      <w:pPr>
        <w:ind w:left="825" w:hanging="825"/>
      </w:pPr>
      <w:rPr>
        <w:rFonts w:hint="default"/>
      </w:rPr>
    </w:lvl>
    <w:lvl w:ilvl="1">
      <w:start w:val="17"/>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E5D3E76"/>
    <w:multiLevelType w:val="multilevel"/>
    <w:tmpl w:val="44B66B20"/>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sz w:val="22"/>
        <w:szCs w:val="2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5149B9"/>
    <w:multiLevelType w:val="multilevel"/>
    <w:tmpl w:val="DAEC2B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997"/>
        </w:tabs>
        <w:ind w:left="1997" w:hanging="720"/>
      </w:pPr>
      <w:rPr>
        <w:rFonts w:hint="default"/>
        <w:b w:val="0"/>
      </w:rPr>
    </w:lvl>
    <w:lvl w:ilvl="4">
      <w:start w:val="4"/>
      <w:numFmt w:val="decimal"/>
      <w:lvlText w:val="4.2.2.%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03B6421"/>
    <w:multiLevelType w:val="multilevel"/>
    <w:tmpl w:val="1B84EB7A"/>
    <w:lvl w:ilvl="0">
      <w:start w:val="4"/>
      <w:numFmt w:val="decimal"/>
      <w:lvlText w:val="%1."/>
      <w:lvlJc w:val="left"/>
      <w:pPr>
        <w:tabs>
          <w:tab w:val="num" w:pos="720"/>
        </w:tabs>
        <w:ind w:left="720" w:hanging="720"/>
      </w:pPr>
      <w:rPr>
        <w:rFonts w:hint="default"/>
      </w:rPr>
    </w:lvl>
    <w:lvl w:ilvl="1">
      <w:start w:val="1"/>
      <w:numFmt w:val="decimal"/>
      <w:lvlText w:val="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1395E97"/>
    <w:multiLevelType w:val="hybridMultilevel"/>
    <w:tmpl w:val="FA32D55E"/>
    <w:lvl w:ilvl="0" w:tplc="6B8C733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4912F2D"/>
    <w:multiLevelType w:val="multilevel"/>
    <w:tmpl w:val="CEB47E22"/>
    <w:lvl w:ilvl="0">
      <w:start w:val="1"/>
      <w:numFmt w:val="decimal"/>
      <w:lvlText w:val="6.2.%1."/>
      <w:lvlJc w:val="left"/>
      <w:pPr>
        <w:ind w:left="540" w:hanging="540"/>
      </w:pPr>
      <w:rPr>
        <w:rFonts w:hint="default"/>
      </w:rPr>
    </w:lvl>
    <w:lvl w:ilvl="1">
      <w:start w:val="1"/>
      <w:numFmt w:val="decimal"/>
      <w:lvlText w:val="6.1.4.%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521A64"/>
    <w:multiLevelType w:val="multilevel"/>
    <w:tmpl w:val="8EA02BB0"/>
    <w:lvl w:ilvl="0">
      <w:start w:val="6"/>
      <w:numFmt w:val="decimal"/>
      <w:lvlText w:val="%1."/>
      <w:lvlJc w:val="left"/>
      <w:pPr>
        <w:ind w:left="540" w:hanging="540"/>
      </w:pPr>
      <w:rPr>
        <w:rFonts w:hint="default"/>
      </w:rPr>
    </w:lvl>
    <w:lvl w:ilvl="1">
      <w:start w:val="1"/>
      <w:numFmt w:val="decimal"/>
      <w:lvlText w:val="6.1.2.%2."/>
      <w:lvlJc w:val="left"/>
      <w:pPr>
        <w:ind w:left="126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8F069D8"/>
    <w:multiLevelType w:val="multilevel"/>
    <w:tmpl w:val="B36824B6"/>
    <w:lvl w:ilvl="0">
      <w:start w:val="4"/>
      <w:numFmt w:val="decimal"/>
      <w:lvlText w:val="%1"/>
      <w:lvlJc w:val="left"/>
      <w:pPr>
        <w:ind w:left="970" w:hanging="852"/>
      </w:pPr>
      <w:rPr>
        <w:rFonts w:hint="default"/>
      </w:rPr>
    </w:lvl>
    <w:lvl w:ilvl="1">
      <w:start w:val="1"/>
      <w:numFmt w:val="decimal"/>
      <w:lvlText w:val="%1.%2."/>
      <w:lvlJc w:val="left"/>
      <w:pPr>
        <w:ind w:left="970" w:hanging="852"/>
      </w:pPr>
      <w:rPr>
        <w:rFonts w:ascii="Calibri" w:eastAsia="Calibri" w:hAnsi="Calibri" w:cs="Calibri" w:hint="default"/>
        <w:b/>
        <w:bCs/>
        <w:spacing w:val="-2"/>
        <w:w w:val="100"/>
        <w:sz w:val="22"/>
        <w:szCs w:val="22"/>
      </w:rPr>
    </w:lvl>
    <w:lvl w:ilvl="2">
      <w:start w:val="1"/>
      <w:numFmt w:val="decimal"/>
      <w:lvlText w:val="%1.%2.%3."/>
      <w:lvlJc w:val="left"/>
      <w:pPr>
        <w:ind w:left="970" w:hanging="852"/>
      </w:pPr>
      <w:rPr>
        <w:rFonts w:ascii="Calibri" w:eastAsia="Calibri" w:hAnsi="Calibri" w:cs="Calibri" w:hint="default"/>
        <w:spacing w:val="-1"/>
        <w:w w:val="100"/>
        <w:sz w:val="22"/>
        <w:szCs w:val="22"/>
      </w:rPr>
    </w:lvl>
    <w:lvl w:ilvl="3">
      <w:start w:val="1"/>
      <w:numFmt w:val="decimal"/>
      <w:lvlText w:val="%1.%2.%3.%4."/>
      <w:lvlJc w:val="left"/>
      <w:pPr>
        <w:ind w:left="970" w:hanging="852"/>
      </w:pPr>
      <w:rPr>
        <w:rFonts w:ascii="Calibri" w:eastAsia="Calibri" w:hAnsi="Calibri" w:cs="Calibri" w:hint="default"/>
        <w:spacing w:val="-3"/>
        <w:w w:val="100"/>
        <w:sz w:val="22"/>
        <w:szCs w:val="22"/>
      </w:rPr>
    </w:lvl>
    <w:lvl w:ilvl="4">
      <w:start w:val="1"/>
      <w:numFmt w:val="lowerLetter"/>
      <w:lvlText w:val="(%5)"/>
      <w:lvlJc w:val="left"/>
      <w:pPr>
        <w:ind w:left="1395" w:hanging="425"/>
      </w:pPr>
      <w:rPr>
        <w:rFonts w:hint="default"/>
        <w:spacing w:val="-1"/>
        <w:w w:val="100"/>
      </w:rPr>
    </w:lvl>
    <w:lvl w:ilvl="5">
      <w:numFmt w:val="bullet"/>
      <w:lvlText w:val="•"/>
      <w:lvlJc w:val="left"/>
      <w:pPr>
        <w:ind w:left="4452" w:hanging="425"/>
      </w:pPr>
      <w:rPr>
        <w:rFonts w:hint="default"/>
      </w:rPr>
    </w:lvl>
    <w:lvl w:ilvl="6">
      <w:numFmt w:val="bullet"/>
      <w:lvlText w:val="•"/>
      <w:lvlJc w:val="left"/>
      <w:pPr>
        <w:ind w:left="5423" w:hanging="425"/>
      </w:pPr>
      <w:rPr>
        <w:rFonts w:hint="default"/>
      </w:rPr>
    </w:lvl>
    <w:lvl w:ilvl="7">
      <w:numFmt w:val="bullet"/>
      <w:lvlText w:val="•"/>
      <w:lvlJc w:val="left"/>
      <w:pPr>
        <w:ind w:left="6394" w:hanging="425"/>
      </w:pPr>
      <w:rPr>
        <w:rFonts w:hint="default"/>
      </w:rPr>
    </w:lvl>
    <w:lvl w:ilvl="8">
      <w:numFmt w:val="bullet"/>
      <w:lvlText w:val="•"/>
      <w:lvlJc w:val="left"/>
      <w:pPr>
        <w:ind w:left="7364" w:hanging="425"/>
      </w:pPr>
      <w:rPr>
        <w:rFonts w:hint="default"/>
      </w:rPr>
    </w:lvl>
  </w:abstractNum>
  <w:abstractNum w:abstractNumId="29" w15:restartNumberingAfterBreak="0">
    <w:nsid w:val="4FC862FA"/>
    <w:multiLevelType w:val="hybridMultilevel"/>
    <w:tmpl w:val="C3EE1B96"/>
    <w:lvl w:ilvl="0" w:tplc="7F4AD384">
      <w:start w:val="1"/>
      <w:numFmt w:val="lowerLetter"/>
      <w:lvlText w:val="(%1)"/>
      <w:lvlJc w:val="left"/>
      <w:pPr>
        <w:tabs>
          <w:tab w:val="num" w:pos="1080"/>
        </w:tabs>
        <w:ind w:left="1080" w:hanging="360"/>
      </w:pPr>
      <w:rPr>
        <w:rFonts w:hint="default"/>
      </w:rPr>
    </w:lvl>
    <w:lvl w:ilvl="1" w:tplc="04160019">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30" w15:restartNumberingAfterBreak="0">
    <w:nsid w:val="50EF2E63"/>
    <w:multiLevelType w:val="hybridMultilevel"/>
    <w:tmpl w:val="50368922"/>
    <w:lvl w:ilvl="0" w:tplc="8048ACCA">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7F4AD384">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D47E4D"/>
    <w:multiLevelType w:val="multilevel"/>
    <w:tmpl w:val="CEF4032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997"/>
        </w:tabs>
        <w:ind w:left="1997" w:hanging="72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3A942E9"/>
    <w:multiLevelType w:val="hybridMultilevel"/>
    <w:tmpl w:val="39666E94"/>
    <w:lvl w:ilvl="0" w:tplc="5CC2E74E">
      <w:start w:val="1"/>
      <w:numFmt w:val="decimal"/>
      <w:lvlText w:val="7.1.2.%1."/>
      <w:lvlJc w:val="left"/>
      <w:pPr>
        <w:ind w:left="1211" w:hanging="360"/>
      </w:pPr>
      <w:rPr>
        <w:rFonts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6FA74F6"/>
    <w:multiLevelType w:val="multilevel"/>
    <w:tmpl w:val="8D742838"/>
    <w:lvl w:ilvl="0">
      <w:start w:val="4"/>
      <w:numFmt w:val="decimal"/>
      <w:lvlText w:val="%1."/>
      <w:lvlJc w:val="left"/>
      <w:pPr>
        <w:ind w:left="660" w:hanging="660"/>
      </w:pPr>
      <w:rPr>
        <w:rFonts w:hint="default"/>
      </w:rPr>
    </w:lvl>
    <w:lvl w:ilvl="1">
      <w:start w:val="10"/>
      <w:numFmt w:val="decimal"/>
      <w:lvlText w:val="%1.%2."/>
      <w:lvlJc w:val="left"/>
      <w:pPr>
        <w:ind w:left="93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34" w15:restartNumberingAfterBreak="0">
    <w:nsid w:val="5716221F"/>
    <w:multiLevelType w:val="multilevel"/>
    <w:tmpl w:val="C62E783E"/>
    <w:lvl w:ilvl="0">
      <w:start w:val="4"/>
      <w:numFmt w:val="decimal"/>
      <w:lvlText w:val="%1"/>
      <w:lvlJc w:val="left"/>
      <w:pPr>
        <w:ind w:left="465" w:hanging="465"/>
      </w:pPr>
      <w:rPr>
        <w:rFonts w:hint="default"/>
      </w:rPr>
    </w:lvl>
    <w:lvl w:ilvl="1">
      <w:start w:val="2"/>
      <w:numFmt w:val="decimal"/>
      <w:lvlText w:val="%1.%2"/>
      <w:lvlJc w:val="left"/>
      <w:pPr>
        <w:ind w:left="1358" w:hanging="720"/>
      </w:pPr>
      <w:rPr>
        <w:rFonts w:hint="default"/>
      </w:rPr>
    </w:lvl>
    <w:lvl w:ilvl="2">
      <w:start w:val="1"/>
      <w:numFmt w:val="decimal"/>
      <w:lvlText w:val="4.2.%3."/>
      <w:lvlJc w:val="left"/>
      <w:pPr>
        <w:ind w:left="1996" w:hanging="720"/>
      </w:pPr>
      <w:rPr>
        <w:rFonts w:hint="default"/>
        <w:i w:val="0"/>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35" w15:restartNumberingAfterBreak="0">
    <w:nsid w:val="599565A9"/>
    <w:multiLevelType w:val="hybridMultilevel"/>
    <w:tmpl w:val="2042F1EE"/>
    <w:lvl w:ilvl="0" w:tplc="8F7861B8">
      <w:start w:val="1"/>
      <w:numFmt w:val="decimal"/>
      <w:lvlText w:val="%1ª"/>
      <w:lvlJc w:val="left"/>
      <w:pPr>
        <w:tabs>
          <w:tab w:val="num" w:pos="840"/>
        </w:tabs>
        <w:ind w:left="840" w:hanging="360"/>
      </w:pPr>
      <w:rPr>
        <w:rFonts w:hint="default"/>
      </w:rPr>
    </w:lvl>
    <w:lvl w:ilvl="1" w:tplc="04160019" w:tentative="1">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36" w15:restartNumberingAfterBreak="0">
    <w:nsid w:val="624A7573"/>
    <w:multiLevelType w:val="multilevel"/>
    <w:tmpl w:val="577224B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5.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3493B67"/>
    <w:multiLevelType w:val="multilevel"/>
    <w:tmpl w:val="3A1A8310"/>
    <w:lvl w:ilvl="0">
      <w:start w:val="4"/>
      <w:numFmt w:val="decimal"/>
      <w:lvlText w:val="%1."/>
      <w:lvlJc w:val="left"/>
      <w:pPr>
        <w:ind w:left="510" w:hanging="510"/>
      </w:pPr>
      <w:rPr>
        <w:rFonts w:hint="default"/>
        <w:i/>
      </w:rPr>
    </w:lvl>
    <w:lvl w:ilvl="1">
      <w:start w:val="2"/>
      <w:numFmt w:val="decimal"/>
      <w:lvlText w:val="%1.%2."/>
      <w:lvlJc w:val="left"/>
      <w:pPr>
        <w:ind w:left="720" w:hanging="720"/>
      </w:pPr>
      <w:rPr>
        <w:rFonts w:hint="default"/>
        <w:i w:val="0"/>
      </w:rPr>
    </w:lvl>
    <w:lvl w:ilvl="2">
      <w:start w:val="2"/>
      <w:numFmt w:val="decimal"/>
      <w:lvlText w:val="%1.%2.%3."/>
      <w:lvlJc w:val="left"/>
      <w:pPr>
        <w:ind w:left="1146"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38" w15:restartNumberingAfterBreak="0">
    <w:nsid w:val="64F96AB4"/>
    <w:multiLevelType w:val="hybridMultilevel"/>
    <w:tmpl w:val="E110A010"/>
    <w:lvl w:ilvl="0" w:tplc="253845DE">
      <w:start w:val="1"/>
      <w:numFmt w:val="decimal"/>
      <w:lvlText w:val="(a.%1)"/>
      <w:lvlJc w:val="left"/>
      <w:pPr>
        <w:ind w:left="720" w:hanging="360"/>
      </w:pPr>
      <w:rPr>
        <w:rFonts w:hint="default"/>
        <w:b w:val="0"/>
      </w:rPr>
    </w:lvl>
    <w:lvl w:ilvl="1" w:tplc="8BE2C420">
      <w:start w:val="1"/>
      <w:numFmt w:val="lowerLetter"/>
      <w:lvlText w:val="(%2)"/>
      <w:lvlJc w:val="left"/>
      <w:pPr>
        <w:ind w:left="1800" w:hanging="72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400AC1"/>
    <w:multiLevelType w:val="multilevel"/>
    <w:tmpl w:val="462A1110"/>
    <w:lvl w:ilvl="0">
      <w:start w:val="4"/>
      <w:numFmt w:val="decimal"/>
      <w:lvlText w:val="%1."/>
      <w:lvlJc w:val="left"/>
      <w:pPr>
        <w:ind w:left="705" w:hanging="705"/>
      </w:pPr>
      <w:rPr>
        <w:rFonts w:hint="default"/>
        <w:i/>
        <w:u w:val="single"/>
      </w:rPr>
    </w:lvl>
    <w:lvl w:ilvl="1">
      <w:start w:val="2"/>
      <w:numFmt w:val="decimal"/>
      <w:lvlText w:val="%1.%2."/>
      <w:lvlJc w:val="left"/>
      <w:pPr>
        <w:ind w:left="955" w:hanging="720"/>
      </w:pPr>
      <w:rPr>
        <w:rFonts w:hint="default"/>
        <w:i/>
        <w:u w:val="single"/>
      </w:rPr>
    </w:lvl>
    <w:lvl w:ilvl="2">
      <w:start w:val="2"/>
      <w:numFmt w:val="decimal"/>
      <w:lvlText w:val="%1.%2.%3."/>
      <w:lvlJc w:val="left"/>
      <w:pPr>
        <w:ind w:left="1190" w:hanging="720"/>
      </w:pPr>
      <w:rPr>
        <w:rFonts w:hint="default"/>
        <w:i/>
        <w:u w:val="single"/>
      </w:rPr>
    </w:lvl>
    <w:lvl w:ilvl="3">
      <w:start w:val="1"/>
      <w:numFmt w:val="decimal"/>
      <w:lvlText w:val="%1.%2.%3.%4."/>
      <w:lvlJc w:val="left"/>
      <w:pPr>
        <w:ind w:left="1785" w:hanging="1080"/>
      </w:pPr>
      <w:rPr>
        <w:rFonts w:hint="default"/>
        <w:i w:val="0"/>
        <w:u w:val="none"/>
      </w:rPr>
    </w:lvl>
    <w:lvl w:ilvl="4">
      <w:start w:val="1"/>
      <w:numFmt w:val="decimal"/>
      <w:lvlText w:val="%1.%2.%3.%4.%5."/>
      <w:lvlJc w:val="left"/>
      <w:pPr>
        <w:ind w:left="2020" w:hanging="1080"/>
      </w:pPr>
      <w:rPr>
        <w:rFonts w:hint="default"/>
        <w:i w:val="0"/>
        <w:u w:val="none"/>
      </w:rPr>
    </w:lvl>
    <w:lvl w:ilvl="5">
      <w:start w:val="1"/>
      <w:numFmt w:val="decimal"/>
      <w:lvlText w:val="%1.%2.%3.%4.%5.%6."/>
      <w:lvlJc w:val="left"/>
      <w:pPr>
        <w:ind w:left="2615" w:hanging="1440"/>
      </w:pPr>
      <w:rPr>
        <w:rFonts w:hint="default"/>
        <w:i/>
        <w:u w:val="single"/>
      </w:rPr>
    </w:lvl>
    <w:lvl w:ilvl="6">
      <w:start w:val="1"/>
      <w:numFmt w:val="decimal"/>
      <w:lvlText w:val="%1.%2.%3.%4.%5.%6.%7."/>
      <w:lvlJc w:val="left"/>
      <w:pPr>
        <w:ind w:left="3210" w:hanging="1800"/>
      </w:pPr>
      <w:rPr>
        <w:rFonts w:hint="default"/>
        <w:i/>
        <w:u w:val="single"/>
      </w:rPr>
    </w:lvl>
    <w:lvl w:ilvl="7">
      <w:start w:val="1"/>
      <w:numFmt w:val="decimal"/>
      <w:lvlText w:val="%1.%2.%3.%4.%5.%6.%7.%8."/>
      <w:lvlJc w:val="left"/>
      <w:pPr>
        <w:ind w:left="3445" w:hanging="1800"/>
      </w:pPr>
      <w:rPr>
        <w:rFonts w:hint="default"/>
        <w:i/>
        <w:u w:val="single"/>
      </w:rPr>
    </w:lvl>
    <w:lvl w:ilvl="8">
      <w:start w:val="1"/>
      <w:numFmt w:val="decimal"/>
      <w:lvlText w:val="%1.%2.%3.%4.%5.%6.%7.%8.%9."/>
      <w:lvlJc w:val="left"/>
      <w:pPr>
        <w:ind w:left="4040" w:hanging="2160"/>
      </w:pPr>
      <w:rPr>
        <w:rFonts w:hint="default"/>
        <w:i/>
        <w:u w:val="single"/>
      </w:rPr>
    </w:lvl>
  </w:abstractNum>
  <w:abstractNum w:abstractNumId="40" w15:restartNumberingAfterBreak="0">
    <w:nsid w:val="6BD4731E"/>
    <w:multiLevelType w:val="hybridMultilevel"/>
    <w:tmpl w:val="2042F1EE"/>
    <w:lvl w:ilvl="0" w:tplc="8F7861B8">
      <w:start w:val="1"/>
      <w:numFmt w:val="decimal"/>
      <w:lvlText w:val="%1ª"/>
      <w:lvlJc w:val="left"/>
      <w:pPr>
        <w:tabs>
          <w:tab w:val="num" w:pos="840"/>
        </w:tabs>
        <w:ind w:left="840" w:hanging="360"/>
      </w:pPr>
      <w:rPr>
        <w:rFonts w:hint="default"/>
      </w:rPr>
    </w:lvl>
    <w:lvl w:ilvl="1" w:tplc="04160019" w:tentative="1">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1" w15:restartNumberingAfterBreak="0">
    <w:nsid w:val="6C926A1D"/>
    <w:multiLevelType w:val="hybridMultilevel"/>
    <w:tmpl w:val="38A8F682"/>
    <w:lvl w:ilvl="0" w:tplc="2D9C3320">
      <w:start w:val="1"/>
      <w:numFmt w:val="lowerLetter"/>
      <w:lvlText w:val="(%1)"/>
      <w:lvlJc w:val="left"/>
      <w:pPr>
        <w:ind w:left="1567"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C9F600B"/>
    <w:multiLevelType w:val="hybridMultilevel"/>
    <w:tmpl w:val="B6BCC1E0"/>
    <w:lvl w:ilvl="0" w:tplc="4DD2DB44">
      <w:start w:val="1"/>
      <w:numFmt w:val="decimal"/>
      <w:lvlText w:val="1.%1."/>
      <w:lvlJc w:val="left"/>
      <w:pPr>
        <w:tabs>
          <w:tab w:val="num" w:pos="2160"/>
        </w:tabs>
        <w:ind w:left="0" w:firstLine="0"/>
      </w:pPr>
      <w:rPr>
        <w:rFonts w:ascii="Arial" w:hAnsi="Arial" w:cs="Arial" w:hint="default"/>
        <w:b/>
        <w:i w:val="0"/>
        <w:sz w:val="22"/>
        <w:szCs w:val="22"/>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3" w15:restartNumberingAfterBreak="0">
    <w:nsid w:val="70024EBE"/>
    <w:multiLevelType w:val="hybridMultilevel"/>
    <w:tmpl w:val="94FCEC0E"/>
    <w:lvl w:ilvl="0" w:tplc="A6187178">
      <w:start w:val="1"/>
      <w:numFmt w:val="decimal"/>
      <w:lvlText w:val="7.1.%1."/>
      <w:lvlJc w:val="left"/>
      <w:pPr>
        <w:ind w:left="502" w:hanging="360"/>
      </w:pPr>
      <w:rPr>
        <w:rFonts w:hint="default"/>
        <w:b w:val="0"/>
        <w:i w:val="0"/>
        <w:sz w:val="22"/>
        <w:szCs w:val="22"/>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44" w15:restartNumberingAfterBreak="0">
    <w:nsid w:val="737E6681"/>
    <w:multiLevelType w:val="hybridMultilevel"/>
    <w:tmpl w:val="6C1AA3D0"/>
    <w:lvl w:ilvl="0" w:tplc="7F4AD384">
      <w:start w:val="1"/>
      <w:numFmt w:val="lowerLetter"/>
      <w:lvlText w:val="(%1)"/>
      <w:lvlJc w:val="left"/>
      <w:pPr>
        <w:ind w:left="1080" w:hanging="720"/>
      </w:pPr>
      <w:rPr>
        <w:rFonts w:hint="default"/>
        <w:color w:val="auto"/>
        <w:sz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3DB7735"/>
    <w:multiLevelType w:val="multilevel"/>
    <w:tmpl w:val="E4C29518"/>
    <w:lvl w:ilvl="0">
      <w:start w:val="1"/>
      <w:numFmt w:val="upperRoman"/>
      <w:pStyle w:val="Estilo1"/>
      <w:suff w:val="nothing"/>
      <w:lvlText w:val="Cláusula %1"/>
      <w:lvlJc w:val="left"/>
      <w:pPr>
        <w:ind w:left="142" w:firstLine="0"/>
      </w:pPr>
      <w:rPr>
        <w:rFonts w:ascii="Arial" w:hAnsi="Arial" w:cs="Arial" w:hint="default"/>
        <w:b/>
        <w:i w:val="0"/>
        <w:caps/>
        <w:sz w:val="22"/>
        <w:szCs w:val="22"/>
      </w:rPr>
    </w:lvl>
    <w:lvl w:ilvl="1">
      <w:start w:val="1"/>
      <w:numFmt w:val="decimal"/>
      <w:pStyle w:val="Estilo2"/>
      <w:isLgl/>
      <w:lvlText w:val="%1.%2."/>
      <w:lvlJc w:val="left"/>
      <w:pPr>
        <w:ind w:left="426" w:firstLine="0"/>
      </w:pPr>
      <w:rPr>
        <w:rFonts w:ascii="Arial" w:hAnsi="Arial" w:cs="Arial"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specVanish w:val="0"/>
      </w:rPr>
    </w:lvl>
    <w:lvl w:ilvl="2">
      <w:start w:val="1"/>
      <w:numFmt w:val="decimal"/>
      <w:pStyle w:val="Estilo3"/>
      <w:isLgl/>
      <w:lvlText w:val="%1.%2.%3."/>
      <w:lvlJc w:val="left"/>
      <w:pPr>
        <w:ind w:left="709" w:firstLine="0"/>
      </w:pPr>
      <w:rPr>
        <w:rFonts w:ascii="Arial" w:hAnsi="Arial" w:cs="Arial" w:hint="default"/>
        <w:b/>
        <w:i w:val="0"/>
        <w:sz w:val="22"/>
        <w:szCs w:val="22"/>
      </w:rPr>
    </w:lvl>
    <w:lvl w:ilvl="3">
      <w:start w:val="1"/>
      <w:numFmt w:val="decimal"/>
      <w:isLgl/>
      <w:lvlText w:val="%1.%2.%3.%4."/>
      <w:lvlJc w:val="left"/>
      <w:pPr>
        <w:ind w:left="0" w:firstLine="0"/>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76D5E67"/>
    <w:multiLevelType w:val="multilevel"/>
    <w:tmpl w:val="C706D73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79F7322"/>
    <w:multiLevelType w:val="hybridMultilevel"/>
    <w:tmpl w:val="B82641BE"/>
    <w:lvl w:ilvl="0" w:tplc="6BAE7BB0">
      <w:start w:val="1"/>
      <w:numFmt w:val="lowerLetter"/>
      <w:lvlText w:val="(%1)"/>
      <w:lvlJc w:val="left"/>
      <w:pPr>
        <w:ind w:left="720" w:hanging="360"/>
      </w:pPr>
      <w:rPr>
        <w:rFonts w:ascii="Arial" w:hAnsi="Arial" w:cs="Arial"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8355D7B"/>
    <w:multiLevelType w:val="multilevel"/>
    <w:tmpl w:val="27EE5178"/>
    <w:name w:val="House_Style2"/>
    <w:lvl w:ilvl="0">
      <w:start w:val="1"/>
      <w:numFmt w:val="decimal"/>
      <w:pStyle w:val="Level1"/>
      <w:lvlText w:val="%1"/>
      <w:lvlJc w:val="left"/>
      <w:pPr>
        <w:tabs>
          <w:tab w:val="num" w:pos="680"/>
        </w:tabs>
        <w:ind w:left="680" w:hanging="680"/>
      </w:pPr>
      <w:rPr>
        <w:rFonts w:ascii="Arial" w:hAnsi="Arial" w:cs="Arial" w:hint="default"/>
        <w:b/>
        <w:caps w:val="0"/>
        <w:strike w:val="0"/>
        <w:dstrike w:val="0"/>
        <w:vanish w:val="0"/>
        <w:webHidden w:val="0"/>
        <w:color w:val="FFFFFF" w:themeColor="background1"/>
        <w:sz w:val="22"/>
        <w:u w:val="none"/>
        <w:effect w:val="none"/>
        <w:vertAlign w:val="baseline"/>
        <w:specVanish w:val="0"/>
      </w:rPr>
    </w:lvl>
    <w:lvl w:ilvl="1">
      <w:start w:val="1"/>
      <w:numFmt w:val="decimal"/>
      <w:pStyle w:val="Level2"/>
      <w:lvlText w:val="%1.%2"/>
      <w:lvlJc w:val="left"/>
      <w:pPr>
        <w:tabs>
          <w:tab w:val="num" w:pos="680"/>
        </w:tabs>
        <w:ind w:left="680" w:hanging="680"/>
      </w:pPr>
      <w:rPr>
        <w:rFonts w:ascii="Arial" w:hAnsi="Arial" w:cs="Arial" w:hint="default"/>
        <w:b/>
        <w:caps w:val="0"/>
        <w:strike w:val="0"/>
        <w:dstrike w:val="0"/>
        <w:vanish w:val="0"/>
        <w:webHidden w:val="0"/>
        <w:color w:val="000000"/>
        <w:sz w:val="22"/>
        <w:szCs w:val="22"/>
        <w:u w:val="none"/>
        <w:effect w:val="none"/>
        <w:vertAlign w:val="baseline"/>
        <w:specVanish w:val="0"/>
      </w:rPr>
    </w:lvl>
    <w:lvl w:ilvl="2">
      <w:start w:val="1"/>
      <w:numFmt w:val="decimal"/>
      <w:pStyle w:val="Level3"/>
      <w:lvlText w:val="%1.%2.%3"/>
      <w:lvlJc w:val="left"/>
      <w:pPr>
        <w:tabs>
          <w:tab w:val="num" w:pos="1361"/>
        </w:tabs>
        <w:ind w:left="1361" w:hanging="681"/>
      </w:pPr>
      <w:rPr>
        <w:rFonts w:ascii="Arial" w:hAnsi="Arial" w:cs="Arial" w:hint="default"/>
        <w:b/>
        <w:caps w:val="0"/>
        <w:strike w:val="0"/>
        <w:dstrike w:val="0"/>
        <w:vanish w:val="0"/>
        <w:webHidden w:val="0"/>
        <w:color w:val="000000"/>
        <w:sz w:val="20"/>
        <w:szCs w:val="20"/>
        <w:u w:val="none"/>
        <w:effect w:val="none"/>
        <w:vertAlign w:val="baseline"/>
        <w:specVanish w:val="0"/>
      </w:rPr>
    </w:lvl>
    <w:lvl w:ilvl="3">
      <w:start w:val="1"/>
      <w:numFmt w:val="lowerRoman"/>
      <w:pStyle w:val="Level4"/>
      <w:lvlText w:val="(%4)"/>
      <w:lvlJc w:val="left"/>
      <w:pPr>
        <w:tabs>
          <w:tab w:val="num" w:pos="1815"/>
        </w:tabs>
        <w:ind w:left="1815" w:hanging="680"/>
      </w:pPr>
      <w:rPr>
        <w:rFonts w:ascii="Arial" w:hAnsi="Arial" w:cs="Arial" w:hint="default"/>
        <w:b w:val="0"/>
        <w:caps w:val="0"/>
        <w:strike w:val="0"/>
        <w:dstrike w:val="0"/>
        <w:vanish w:val="0"/>
        <w:webHidden w:val="0"/>
        <w:color w:val="000000"/>
        <w:sz w:val="22"/>
        <w:szCs w:val="22"/>
        <w:u w:val="none"/>
        <w:effect w:val="none"/>
        <w:vertAlign w:val="baseline"/>
        <w:specVanish w:val="0"/>
      </w:rPr>
    </w:lvl>
    <w:lvl w:ilvl="4">
      <w:start w:val="1"/>
      <w:numFmt w:val="lowerRoman"/>
      <w:pStyle w:val="Level5"/>
      <w:lvlText w:val="%5."/>
      <w:lvlJc w:val="right"/>
      <w:pPr>
        <w:ind w:left="2401" w:hanging="360"/>
      </w:p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webHidden w:val="0"/>
        <w:color w:val="000000"/>
        <w:sz w:val="20"/>
        <w:u w:val="none"/>
        <w:effect w:val="none"/>
        <w:vertAlign w:val="baseline"/>
        <w:specVanish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8B500E5"/>
    <w:multiLevelType w:val="hybridMultilevel"/>
    <w:tmpl w:val="9D6475EA"/>
    <w:lvl w:ilvl="0" w:tplc="D4D0CACC">
      <w:start w:val="1"/>
      <w:numFmt w:val="decimal"/>
      <w:lvlText w:val="(n.%1)"/>
      <w:lvlJc w:val="left"/>
      <w:pPr>
        <w:ind w:left="720" w:hanging="360"/>
      </w:pPr>
      <w:rPr>
        <w:rFonts w:hint="default"/>
        <w:b w:val="0"/>
      </w:rPr>
    </w:lvl>
    <w:lvl w:ilvl="1" w:tplc="8BE2C420">
      <w:start w:val="1"/>
      <w:numFmt w:val="lowerLetter"/>
      <w:lvlText w:val="(%2)"/>
      <w:lvlJc w:val="left"/>
      <w:pPr>
        <w:ind w:left="1800" w:hanging="72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387B9E"/>
    <w:multiLevelType w:val="multilevel"/>
    <w:tmpl w:val="DA50D978"/>
    <w:lvl w:ilvl="0">
      <w:start w:val="1"/>
      <w:numFmt w:val="decimal"/>
      <w:lvlText w:val="5.1.%1."/>
      <w:lvlJc w:val="left"/>
      <w:pPr>
        <w:tabs>
          <w:tab w:val="num" w:pos="720"/>
        </w:tabs>
        <w:ind w:left="720" w:hanging="720"/>
      </w:pPr>
      <w:rPr>
        <w:rFonts w:hint="default"/>
      </w:rPr>
    </w:lvl>
    <w:lvl w:ilvl="1">
      <w:start w:val="1"/>
      <w:numFmt w:val="decimal"/>
      <w:lvlText w:val="6.%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662901443">
    <w:abstractNumId w:val="42"/>
  </w:num>
  <w:num w:numId="2" w16cid:durableId="872159336">
    <w:abstractNumId w:val="19"/>
  </w:num>
  <w:num w:numId="3" w16cid:durableId="798231374">
    <w:abstractNumId w:val="30"/>
  </w:num>
  <w:num w:numId="4" w16cid:durableId="386808049">
    <w:abstractNumId w:val="17"/>
  </w:num>
  <w:num w:numId="5" w16cid:durableId="31464313">
    <w:abstractNumId w:val="7"/>
  </w:num>
  <w:num w:numId="6" w16cid:durableId="590359198">
    <w:abstractNumId w:val="5"/>
  </w:num>
  <w:num w:numId="7" w16cid:durableId="2123454655">
    <w:abstractNumId w:val="12"/>
  </w:num>
  <w:num w:numId="8" w16cid:durableId="1005481158">
    <w:abstractNumId w:val="23"/>
  </w:num>
  <w:num w:numId="9" w16cid:durableId="826287332">
    <w:abstractNumId w:val="29"/>
  </w:num>
  <w:num w:numId="10" w16cid:durableId="511145521">
    <w:abstractNumId w:val="40"/>
  </w:num>
  <w:num w:numId="11" w16cid:durableId="923730307">
    <w:abstractNumId w:val="24"/>
  </w:num>
  <w:num w:numId="12" w16cid:durableId="955478812">
    <w:abstractNumId w:val="36"/>
  </w:num>
  <w:num w:numId="13" w16cid:durableId="100300476">
    <w:abstractNumId w:val="50"/>
  </w:num>
  <w:num w:numId="14" w16cid:durableId="1423917117">
    <w:abstractNumId w:val="16"/>
  </w:num>
  <w:num w:numId="15" w16cid:durableId="1507161973">
    <w:abstractNumId w:val="22"/>
  </w:num>
  <w:num w:numId="16" w16cid:durableId="1622422778">
    <w:abstractNumId w:val="27"/>
  </w:num>
  <w:num w:numId="17" w16cid:durableId="725421667">
    <w:abstractNumId w:val="13"/>
  </w:num>
  <w:num w:numId="18" w16cid:durableId="1000543635">
    <w:abstractNumId w:val="10"/>
  </w:num>
  <w:num w:numId="19" w16cid:durableId="1455980178">
    <w:abstractNumId w:val="26"/>
  </w:num>
  <w:num w:numId="20" w16cid:durableId="920410135">
    <w:abstractNumId w:val="14"/>
  </w:num>
  <w:num w:numId="21" w16cid:durableId="1119107714">
    <w:abstractNumId w:val="38"/>
  </w:num>
  <w:num w:numId="22" w16cid:durableId="1028064289">
    <w:abstractNumId w:val="49"/>
  </w:num>
  <w:num w:numId="23" w16cid:durableId="1024404320">
    <w:abstractNumId w:val="1"/>
  </w:num>
  <w:num w:numId="24" w16cid:durableId="85276022">
    <w:abstractNumId w:val="46"/>
  </w:num>
  <w:num w:numId="25" w16cid:durableId="258492862">
    <w:abstractNumId w:val="11"/>
  </w:num>
  <w:num w:numId="26" w16cid:durableId="1607926506">
    <w:abstractNumId w:val="43"/>
  </w:num>
  <w:num w:numId="27" w16cid:durableId="881289521">
    <w:abstractNumId w:val="32"/>
  </w:num>
  <w:num w:numId="28" w16cid:durableId="1586188066">
    <w:abstractNumId w:val="15"/>
  </w:num>
  <w:num w:numId="29" w16cid:durableId="5471824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632685">
    <w:abstractNumId w:val="41"/>
  </w:num>
  <w:num w:numId="31" w16cid:durableId="1276062065">
    <w:abstractNumId w:val="35"/>
  </w:num>
  <w:num w:numId="32" w16cid:durableId="2070498297">
    <w:abstractNumId w:val="44"/>
  </w:num>
  <w:num w:numId="33" w16cid:durableId="1979530279">
    <w:abstractNumId w:val="2"/>
  </w:num>
  <w:num w:numId="34" w16cid:durableId="678237203">
    <w:abstractNumId w:val="34"/>
  </w:num>
  <w:num w:numId="35" w16cid:durableId="1434207060">
    <w:abstractNumId w:val="37"/>
  </w:num>
  <w:num w:numId="36" w16cid:durableId="828523422">
    <w:abstractNumId w:val="33"/>
  </w:num>
  <w:num w:numId="37" w16cid:durableId="1511524106">
    <w:abstractNumId w:val="9"/>
  </w:num>
  <w:num w:numId="38" w16cid:durableId="1864323870">
    <w:abstractNumId w:val="25"/>
  </w:num>
  <w:num w:numId="39" w16cid:durableId="461309500">
    <w:abstractNumId w:val="28"/>
  </w:num>
  <w:num w:numId="40" w16cid:durableId="463235120">
    <w:abstractNumId w:val="31"/>
  </w:num>
  <w:num w:numId="41" w16cid:durableId="1113397906">
    <w:abstractNumId w:val="39"/>
  </w:num>
  <w:num w:numId="42" w16cid:durableId="13192166">
    <w:abstractNumId w:val="0"/>
  </w:num>
  <w:num w:numId="43" w16cid:durableId="333266630">
    <w:abstractNumId w:val="21"/>
  </w:num>
  <w:num w:numId="44" w16cid:durableId="993139421">
    <w:abstractNumId w:val="20"/>
  </w:num>
  <w:num w:numId="45" w16cid:durableId="1561669781">
    <w:abstractNumId w:val="8"/>
  </w:num>
  <w:num w:numId="46" w16cid:durableId="1813399138">
    <w:abstractNumId w:val="47"/>
  </w:num>
  <w:num w:numId="47" w16cid:durableId="257908624">
    <w:abstractNumId w:val="4"/>
  </w:num>
  <w:num w:numId="48" w16cid:durableId="1880900863">
    <w:abstractNumId w:val="3"/>
  </w:num>
  <w:num w:numId="49" w16cid:durableId="2121337952">
    <w:abstractNumId w:val="6"/>
  </w:num>
  <w:num w:numId="50" w16cid:durableId="10893480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775639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84401529">
    <w:abstractNumId w:val="18"/>
  </w:num>
  <w:num w:numId="53" w16cid:durableId="1034425592">
    <w:abstractNumId w:val="48"/>
  </w:num>
  <w:num w:numId="54" w16cid:durableId="202712491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E9"/>
    <w:rsid w:val="00556BDE"/>
    <w:rsid w:val="00B10E1A"/>
    <w:rsid w:val="00E14759"/>
    <w:rsid w:val="00FC1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1395E"/>
  <w15:docId w15:val="{F49FE072-F5B2-4406-BC89-C9818871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uiPriority w:val="9"/>
    <w:qFormat/>
    <w:pPr>
      <w:keepNext/>
      <w:spacing w:before="240" w:after="60"/>
      <w:outlineLvl w:val="1"/>
    </w:pPr>
    <w:rPr>
      <w:rFonts w:ascii="Cambria" w:eastAsia="Times New Roman" w:hAnsi="Cambria"/>
      <w:b/>
      <w:bCs/>
      <w:i/>
      <w:iCs/>
      <w:sz w:val="28"/>
      <w:szCs w:val="28"/>
      <w:lang w:val="x-none" w:eastAsia="x-none"/>
    </w:rPr>
  </w:style>
  <w:style w:type="paragraph" w:styleId="Ttulo3">
    <w:name w:val="heading 3"/>
    <w:basedOn w:val="Normal"/>
    <w:next w:val="Normal"/>
    <w:qFormat/>
    <w:pPr>
      <w:keepNext/>
      <w:jc w:val="center"/>
      <w:outlineLvl w:val="2"/>
    </w:pPr>
    <w:rPr>
      <w:b/>
      <w:color w:val="000000"/>
      <w:sz w:val="20"/>
    </w:rPr>
  </w:style>
  <w:style w:type="paragraph" w:styleId="Ttulo6">
    <w:name w:val="heading 6"/>
    <w:basedOn w:val="Normal"/>
    <w:next w:val="Normal"/>
    <w:link w:val="Ttulo6Char"/>
    <w:uiPriority w:val="9"/>
    <w:semiHidden/>
    <w:unhideWhenUsed/>
    <w:qFormat/>
    <w:pPr>
      <w:keepNext/>
      <w:keepLines/>
      <w:spacing w:before="40"/>
      <w:outlineLvl w:val="5"/>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aliases w:val="bt2"/>
    <w:basedOn w:val="Normal"/>
    <w:pPr>
      <w:autoSpaceDE w:val="0"/>
      <w:autoSpaceDN w:val="0"/>
      <w:adjustRightInd w:val="0"/>
      <w:jc w:val="both"/>
    </w:pPr>
  </w:style>
  <w:style w:type="paragraph" w:customStyle="1" w:styleId="DeltaViewTableBody">
    <w:name w:val="DeltaView Table Body"/>
    <w:basedOn w:val="Normal"/>
    <w:pPr>
      <w:autoSpaceDE w:val="0"/>
      <w:autoSpaceDN w:val="0"/>
      <w:adjustRightInd w:val="0"/>
    </w:pPr>
    <w:rPr>
      <w:rFonts w:ascii="Arial" w:hAnsi="Arial"/>
      <w:lang w:val="en-US"/>
    </w:rPr>
  </w:style>
  <w:style w:type="paragraph" w:customStyle="1" w:styleId="c3">
    <w:name w:val="c3"/>
    <w:basedOn w:val="Normal"/>
    <w:pPr>
      <w:spacing w:line="240" w:lineRule="atLeast"/>
      <w:jc w:val="center"/>
    </w:pPr>
    <w:rPr>
      <w:rFonts w:ascii="Times" w:hAnsi="Times"/>
    </w:rPr>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eastAsia="en-US"/>
    </w:rPr>
  </w:style>
  <w:style w:type="paragraph" w:styleId="Cabealho">
    <w:name w:val="header"/>
    <w:basedOn w:val="Normal"/>
    <w:pPr>
      <w:tabs>
        <w:tab w:val="center" w:pos="4252"/>
        <w:tab w:val="right" w:pos="8504"/>
      </w:tabs>
    </w:pPr>
  </w:style>
  <w:style w:type="paragraph" w:styleId="Rodap">
    <w:name w:val="footer"/>
    <w:basedOn w:val="Normal"/>
    <w:link w:val="RodapChar"/>
    <w:uiPriority w:val="99"/>
    <w:pPr>
      <w:tabs>
        <w:tab w:val="center" w:pos="4252"/>
        <w:tab w:val="right" w:pos="8504"/>
      </w:tabs>
    </w:pPr>
    <w:rPr>
      <w:lang w:val="x-none" w:eastAsia="x-none"/>
    </w:rPr>
  </w:style>
  <w:style w:type="paragraph" w:customStyle="1" w:styleId="para">
    <w:name w:val="para"/>
    <w:basedOn w:val="Normal"/>
    <w:autoRedefine/>
    <w:pPr>
      <w:widowControl w:val="0"/>
      <w:tabs>
        <w:tab w:val="left" w:pos="2552"/>
      </w:tabs>
      <w:autoSpaceDE w:val="0"/>
      <w:autoSpaceDN w:val="0"/>
      <w:adjustRightInd w:val="0"/>
    </w:pPr>
    <w:rPr>
      <w:rFonts w:ascii="Arial" w:hAnsi="Arial" w:cs="Arial"/>
      <w:b/>
      <w:bCs/>
      <w:color w:val="000000"/>
      <w:sz w:val="22"/>
      <w:szCs w:val="22"/>
      <w:lang w:eastAsia="en-US"/>
    </w:rPr>
  </w:style>
  <w:style w:type="paragraph" w:styleId="Textodenotaderodap">
    <w:name w:val="footnote text"/>
    <w:basedOn w:val="Normal"/>
    <w:semiHidden/>
    <w:rPr>
      <w:sz w:val="20"/>
      <w:szCs w:val="20"/>
    </w:rPr>
  </w:style>
  <w:style w:type="character" w:styleId="Refdenotaderodap">
    <w:name w:val="footnote reference"/>
    <w:semiHidden/>
    <w:rPr>
      <w:vertAlign w:val="superscript"/>
    </w:rPr>
  </w:style>
  <w:style w:type="character" w:styleId="Nmerodepgina">
    <w:name w:val="page number"/>
    <w:basedOn w:val="Fontepargpadro"/>
    <w:uiPriority w:val="99"/>
  </w:style>
  <w:style w:type="paragraph" w:styleId="Textodebalo">
    <w:name w:val="Balloon Text"/>
    <w:basedOn w:val="Normal"/>
    <w:semiHidden/>
    <w:rPr>
      <w:rFonts w:ascii="Tahoma" w:hAnsi="Tahoma" w:cs="Tahoma"/>
      <w:sz w:val="16"/>
      <w:szCs w:val="16"/>
    </w:rPr>
  </w:style>
  <w:style w:type="paragraph" w:customStyle="1" w:styleId="BodyText21">
    <w:name w:val="Body Text 21"/>
    <w:basedOn w:val="Normal"/>
    <w:pPr>
      <w:widowControl w:val="0"/>
      <w:jc w:val="both"/>
    </w:pPr>
    <w:rPr>
      <w:rFonts w:ascii="Arial" w:hAnsi="Arial"/>
      <w:szCs w:val="20"/>
      <w:lang w:eastAsia="en-US"/>
    </w:rPr>
  </w:style>
  <w:style w:type="character" w:styleId="Hyperlink">
    <w:name w:val="Hyperlink"/>
    <w:uiPriority w:val="99"/>
    <w:rPr>
      <w:color w:val="0000FF"/>
      <w:u w:val="single"/>
    </w:rPr>
  </w:style>
  <w:style w:type="paragraph" w:styleId="Recuodecorpodetexto2">
    <w:name w:val="Body Text Indent 2"/>
    <w:basedOn w:val="Normal"/>
    <w:pPr>
      <w:spacing w:after="120" w:line="480" w:lineRule="auto"/>
      <w:ind w:left="360"/>
    </w:p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pPr>
      <w:spacing w:after="160" w:line="240" w:lineRule="exact"/>
    </w:pPr>
    <w:rPr>
      <w:rFonts w:ascii="Verdana" w:hAnsi="Verdana"/>
      <w:sz w:val="20"/>
      <w:szCs w:val="20"/>
      <w:lang w:val="en-US" w:eastAsia="en-US"/>
    </w:rPr>
  </w:style>
  <w:style w:type="paragraph" w:customStyle="1" w:styleId="Char">
    <w:name w:val="Char"/>
    <w:basedOn w:val="Normal"/>
    <w:pPr>
      <w:spacing w:after="160" w:line="240" w:lineRule="exact"/>
    </w:pPr>
    <w:rPr>
      <w:rFonts w:ascii="Verdana" w:hAnsi="Verdana"/>
      <w:sz w:val="20"/>
      <w:szCs w:val="20"/>
      <w:lang w:val="en-US" w:eastAsia="en-US"/>
    </w:rPr>
  </w:style>
  <w:style w:type="character" w:customStyle="1" w:styleId="DeltaViewInsertion">
    <w:name w:val="DeltaView Insertion"/>
    <w:uiPriority w:val="99"/>
    <w:rPr>
      <w:color w:val="0000FF"/>
      <w:spacing w:val="0"/>
      <w:u w:val="double"/>
    </w:rPr>
  </w:style>
  <w:style w:type="paragraph" w:styleId="Corpodetexto">
    <w:name w:val="Body Text"/>
    <w:basedOn w:val="Normal"/>
    <w:link w:val="CorpodetextoChar"/>
    <w:pPr>
      <w:spacing w:after="120"/>
    </w:pPr>
  </w:style>
  <w:style w:type="character" w:customStyle="1" w:styleId="CorpodetextoChar">
    <w:name w:val="Corpo de texto Char"/>
    <w:link w:val="Corpodetexto"/>
    <w:rPr>
      <w:sz w:val="24"/>
      <w:szCs w:val="24"/>
      <w:lang w:val="pt-BR" w:eastAsia="pt-BR"/>
    </w:rPr>
  </w:style>
  <w:style w:type="paragraph" w:styleId="Saudao">
    <w:name w:val="Salutation"/>
    <w:basedOn w:val="Normal"/>
    <w:next w:val="Normal"/>
    <w:link w:val="SaudaoChar"/>
    <w:pPr>
      <w:autoSpaceDE w:val="0"/>
      <w:autoSpaceDN w:val="0"/>
      <w:adjustRightInd w:val="0"/>
      <w:ind w:firstLine="1440"/>
      <w:jc w:val="both"/>
    </w:pPr>
  </w:style>
  <w:style w:type="character" w:customStyle="1" w:styleId="SaudaoChar">
    <w:name w:val="Saudação Char"/>
    <w:link w:val="Saudao"/>
    <w:rPr>
      <w:sz w:val="24"/>
      <w:szCs w:val="24"/>
      <w:lang w:val="pt-BR" w:eastAsia="pt-BR"/>
    </w:rPr>
  </w:style>
  <w:style w:type="character" w:styleId="Forte">
    <w:name w:val="Strong"/>
    <w:uiPriority w:val="22"/>
    <w:qFormat/>
    <w:rPr>
      <w:b/>
      <w:bCs/>
    </w:rPr>
  </w:style>
  <w:style w:type="paragraph" w:customStyle="1" w:styleId="ListParagraph1">
    <w:name w:val="List Paragraph1"/>
    <w:basedOn w:val="Normal"/>
    <w:uiPriority w:val="34"/>
    <w:qFormat/>
    <w:pPr>
      <w:ind w:left="720"/>
    </w:p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MoveDestination">
    <w:name w:val="DeltaView Move Destination"/>
    <w:rPr>
      <w:color w:val="00C000"/>
      <w:spacing w:val="0"/>
      <w:u w:val="double"/>
    </w:rPr>
  </w:style>
  <w:style w:type="paragraph" w:styleId="MapadoDocumento">
    <w:name w:val="Document Map"/>
    <w:basedOn w:val="Normal"/>
    <w:semiHidden/>
    <w:pPr>
      <w:shd w:val="clear" w:color="auto" w:fill="000080"/>
    </w:pPr>
    <w:rPr>
      <w:rFonts w:ascii="Tahoma" w:hAnsi="Tahoma" w:cs="Tahoma"/>
      <w:sz w:val="20"/>
      <w:szCs w:val="20"/>
    </w:rPr>
  </w:style>
  <w:style w:type="paragraph" w:customStyle="1" w:styleId="p3">
    <w:name w:val="p3"/>
    <w:basedOn w:val="Normal"/>
    <w:pPr>
      <w:tabs>
        <w:tab w:val="left" w:pos="720"/>
      </w:tabs>
      <w:spacing w:line="240" w:lineRule="atLeast"/>
      <w:jc w:val="both"/>
    </w:pPr>
    <w:rPr>
      <w:rFonts w:ascii="Times" w:hAnsi="Times"/>
      <w:szCs w:val="20"/>
      <w:lang w:eastAsia="en-US"/>
    </w:rPr>
  </w:style>
  <w:style w:type="paragraph" w:styleId="Corpodetexto3">
    <w:name w:val="Body Text 3"/>
    <w:basedOn w:val="Normal"/>
    <w:link w:val="Corpodetexto3Char"/>
    <w:pPr>
      <w:spacing w:after="120"/>
    </w:pPr>
    <w:rPr>
      <w:rFonts w:eastAsia="Times New Roman"/>
      <w:sz w:val="16"/>
      <w:szCs w:val="16"/>
      <w:lang w:val="x-none" w:eastAsia="x-none"/>
    </w:rPr>
  </w:style>
  <w:style w:type="character" w:customStyle="1" w:styleId="Corpodetexto3Char">
    <w:name w:val="Corpo de texto 3 Char"/>
    <w:link w:val="Corpodetexto3"/>
    <w:rPr>
      <w:rFonts w:eastAsia="Times New Roman"/>
      <w:sz w:val="16"/>
      <w:szCs w:val="16"/>
    </w:rPr>
  </w:style>
  <w:style w:type="paragraph" w:styleId="PargrafodaLista">
    <w:name w:val="List Paragraph"/>
    <w:basedOn w:val="Normal"/>
    <w:link w:val="PargrafodaListaChar"/>
    <w:uiPriority w:val="34"/>
    <w:qFormat/>
    <w:pPr>
      <w:ind w:left="708"/>
    </w:pPr>
  </w:style>
  <w:style w:type="paragraph" w:styleId="Recuodecorpodetexto">
    <w:name w:val="Body Text Indent"/>
    <w:aliases w:val="bti,Body Text Bold Indent"/>
    <w:basedOn w:val="Normal"/>
    <w:link w:val="RecuodecorpodetextoChar"/>
    <w:pPr>
      <w:spacing w:after="120"/>
      <w:ind w:left="283"/>
    </w:pPr>
    <w:rPr>
      <w:rFonts w:eastAsia="Times New Roman"/>
      <w:lang w:val="x-none" w:eastAsia="x-none"/>
    </w:rPr>
  </w:style>
  <w:style w:type="character" w:customStyle="1" w:styleId="RecuodecorpodetextoChar">
    <w:name w:val="Recuo de corpo de texto Char"/>
    <w:aliases w:val="bti Char,Body Text Bold Indent Char"/>
    <w:link w:val="Recuodecorpodetexto"/>
    <w:rPr>
      <w:rFonts w:eastAsia="Times New Roman"/>
      <w:sz w:val="24"/>
      <w:szCs w:val="24"/>
    </w:rPr>
  </w:style>
  <w:style w:type="character" w:customStyle="1" w:styleId="DeltaViewDeletion">
    <w:name w:val="DeltaView Deletion"/>
    <w:uiPriority w:val="99"/>
    <w:rPr>
      <w:strike/>
      <w:color w:val="FF0000"/>
      <w:spacing w:val="0"/>
    </w:rPr>
  </w:style>
  <w:style w:type="paragraph" w:customStyle="1" w:styleId="CorpodetextobtBT">
    <w:name w:val="Corpo de texto.bt.BT"/>
    <w:basedOn w:val="Normal"/>
    <w:pPr>
      <w:jc w:val="both"/>
    </w:pPr>
    <w:rPr>
      <w:rFonts w:ascii="Arial" w:eastAsia="Times New Roman" w:hAnsi="Arial"/>
      <w:snapToGrid w:val="0"/>
      <w:szCs w:val="20"/>
    </w:rPr>
  </w:style>
  <w:style w:type="table" w:styleId="Tabelacomgrade">
    <w:name w:val="Table Grid"/>
    <w:basedOn w:val="Tabelanormal"/>
    <w:uiPriority w:val="5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mrio1">
    <w:name w:val="toc 1"/>
    <w:aliases w:val="Sumário SCBF"/>
    <w:basedOn w:val="Normal"/>
    <w:next w:val="Normal"/>
    <w:autoRedefine/>
    <w:uiPriority w:val="39"/>
    <w:unhideWhenUsed/>
    <w:pPr>
      <w:tabs>
        <w:tab w:val="right" w:leader="dot" w:pos="9060"/>
      </w:tabs>
      <w:spacing w:line="280" w:lineRule="atLeast"/>
    </w:pPr>
    <w:rPr>
      <w:b/>
      <w:sz w:val="22"/>
    </w:rPr>
  </w:style>
  <w:style w:type="paragraph" w:customStyle="1" w:styleId="SCBFTtulo1">
    <w:name w:val="SCBF_Título1"/>
    <w:basedOn w:val="Normal"/>
    <w:link w:val="SCBFTtulo1Char"/>
    <w:qFormat/>
    <w:pPr>
      <w:keepNext/>
      <w:keepLines/>
      <w:tabs>
        <w:tab w:val="left" w:pos="2366"/>
      </w:tabs>
      <w:spacing w:line="280" w:lineRule="atLeast"/>
      <w:jc w:val="center"/>
    </w:pPr>
    <w:rPr>
      <w:b/>
      <w:sz w:val="22"/>
      <w:szCs w:val="22"/>
      <w:lang w:val="x-none" w:eastAsia="x-none"/>
    </w:rPr>
  </w:style>
  <w:style w:type="character" w:customStyle="1" w:styleId="Ttulo2Char">
    <w:name w:val="Título 2 Char"/>
    <w:link w:val="Ttulo2"/>
    <w:uiPriority w:val="9"/>
    <w:semiHidden/>
    <w:rPr>
      <w:rFonts w:ascii="Cambria" w:eastAsia="Times New Roman" w:hAnsi="Cambria" w:cs="Times New Roman"/>
      <w:b/>
      <w:bCs/>
      <w:i/>
      <w:iCs/>
      <w:sz w:val="28"/>
      <w:szCs w:val="28"/>
    </w:rPr>
  </w:style>
  <w:style w:type="character" w:customStyle="1" w:styleId="SCBFTtulo1Char">
    <w:name w:val="SCBF_Título1 Char"/>
    <w:link w:val="SCBFTtulo1"/>
    <w:rPr>
      <w:b/>
      <w:sz w:val="22"/>
      <w:szCs w:val="22"/>
    </w:rPr>
  </w:style>
  <w:style w:type="character" w:customStyle="1" w:styleId="RodapChar">
    <w:name w:val="Rodapé Char"/>
    <w:link w:val="Rodap"/>
    <w:uiPriority w:val="99"/>
    <w:rPr>
      <w:sz w:val="24"/>
      <w:szCs w:val="24"/>
    </w:rPr>
  </w:style>
  <w:style w:type="character" w:styleId="HiperlinkVisitado">
    <w:name w:val="FollowedHyperlink"/>
    <w:rPr>
      <w:color w:val="800080"/>
      <w:u w:val="single"/>
    </w:rPr>
  </w:style>
  <w:style w:type="paragraph" w:styleId="Reviso">
    <w:name w:val="Revision"/>
    <w:hidden/>
    <w:uiPriority w:val="99"/>
    <w:semiHidden/>
    <w:rPr>
      <w:sz w:val="24"/>
      <w:szCs w:val="24"/>
    </w:rPr>
  </w:style>
  <w:style w:type="paragraph" w:customStyle="1" w:styleId="Default">
    <w:name w:val="Default"/>
    <w:pPr>
      <w:autoSpaceDE w:val="0"/>
      <w:autoSpaceDN w:val="0"/>
      <w:adjustRightInd w:val="0"/>
    </w:pPr>
    <w:rPr>
      <w:rFonts w:ascii="Calibri" w:hAnsi="Calibri" w:cs="Calibri"/>
      <w:color w:val="000000"/>
      <w:sz w:val="24"/>
      <w:szCs w:val="24"/>
    </w:rPr>
  </w:style>
  <w:style w:type="character" w:customStyle="1" w:styleId="PargrafodaListaChar">
    <w:name w:val="Parágrafo da Lista Char"/>
    <w:link w:val="PargrafodaLista"/>
    <w:uiPriority w:val="34"/>
    <w:locked/>
    <w:rPr>
      <w:sz w:val="24"/>
      <w:szCs w:val="24"/>
    </w:rPr>
  </w:style>
  <w:style w:type="character" w:customStyle="1" w:styleId="MenoPendente1">
    <w:name w:val="Menção Pendente1"/>
    <w:basedOn w:val="Fontepargpadro"/>
    <w:uiPriority w:val="99"/>
    <w:semiHidden/>
    <w:unhideWhenUsed/>
    <w:rPr>
      <w:color w:val="605E5C"/>
      <w:shd w:val="clear" w:color="auto" w:fill="E1DFDD"/>
    </w:rPr>
  </w:style>
  <w:style w:type="character" w:styleId="Refdecomentrio">
    <w:name w:val="annotation reference"/>
    <w:basedOn w:val="Fontepargpadro"/>
    <w:unhideWhenUsed/>
    <w:qFormat/>
    <w:rPr>
      <w:sz w:val="16"/>
      <w:szCs w:val="16"/>
    </w:rPr>
  </w:style>
  <w:style w:type="paragraph" w:styleId="Textodecomentrio">
    <w:name w:val="annotation text"/>
    <w:basedOn w:val="Normal"/>
    <w:link w:val="TextodecomentrioChar"/>
    <w:unhideWhenUsed/>
    <w:qFormat/>
    <w:rPr>
      <w:sz w:val="20"/>
      <w:szCs w:val="20"/>
    </w:rPr>
  </w:style>
  <w:style w:type="character" w:customStyle="1" w:styleId="TextodecomentrioChar">
    <w:name w:val="Texto de comentário Char"/>
    <w:basedOn w:val="Fontepargpadro"/>
    <w:link w:val="Textodecomentrio"/>
    <w:qFormat/>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b/>
      <w:bCs/>
    </w:rPr>
  </w:style>
  <w:style w:type="paragraph" w:customStyle="1" w:styleId="Level1">
    <w:name w:val="Level 1"/>
    <w:basedOn w:val="Normal"/>
    <w:qFormat/>
    <w:pPr>
      <w:keepNext/>
      <w:keepLines/>
      <w:numPr>
        <w:numId w:val="50"/>
      </w:numPr>
      <w:spacing w:before="280" w:after="140" w:line="288" w:lineRule="auto"/>
      <w:jc w:val="both"/>
      <w:outlineLvl w:val="0"/>
    </w:pPr>
    <w:rPr>
      <w:rFonts w:ascii="Arial" w:hAnsi="Arial" w:cs="Arial"/>
      <w:b/>
      <w:color w:val="000000"/>
      <w:sz w:val="22"/>
      <w:szCs w:val="22"/>
    </w:rPr>
  </w:style>
  <w:style w:type="character" w:customStyle="1" w:styleId="Level2Char">
    <w:name w:val="Level 2 Char"/>
    <w:link w:val="Level2"/>
    <w:locked/>
    <w:rPr>
      <w:rFonts w:ascii="Arial" w:hAnsi="Arial"/>
      <w:szCs w:val="24"/>
    </w:rPr>
  </w:style>
  <w:style w:type="paragraph" w:customStyle="1" w:styleId="Level2">
    <w:name w:val="Level 2"/>
    <w:aliases w:val="2"/>
    <w:basedOn w:val="Normal"/>
    <w:link w:val="Level2Char"/>
    <w:qFormat/>
    <w:pPr>
      <w:numPr>
        <w:ilvl w:val="1"/>
        <w:numId w:val="50"/>
      </w:numPr>
      <w:spacing w:after="140" w:line="288" w:lineRule="auto"/>
      <w:jc w:val="both"/>
      <w:outlineLvl w:val="1"/>
    </w:pPr>
    <w:rPr>
      <w:rFonts w:ascii="Arial" w:hAnsi="Arial"/>
      <w:sz w:val="20"/>
    </w:rPr>
  </w:style>
  <w:style w:type="character" w:customStyle="1" w:styleId="Level3Char">
    <w:name w:val="Level 3 Char"/>
    <w:link w:val="Level3"/>
    <w:locked/>
    <w:rPr>
      <w:rFonts w:ascii="Arial" w:hAnsi="Arial" w:cs="Arial"/>
      <w:szCs w:val="24"/>
    </w:rPr>
  </w:style>
  <w:style w:type="paragraph" w:customStyle="1" w:styleId="Level3">
    <w:name w:val="Level 3"/>
    <w:aliases w:val="3"/>
    <w:basedOn w:val="Normal"/>
    <w:link w:val="Level3Char"/>
    <w:qFormat/>
    <w:pPr>
      <w:numPr>
        <w:ilvl w:val="2"/>
        <w:numId w:val="50"/>
      </w:numPr>
      <w:spacing w:after="140" w:line="288" w:lineRule="auto"/>
      <w:jc w:val="both"/>
      <w:outlineLvl w:val="2"/>
    </w:pPr>
    <w:rPr>
      <w:rFonts w:ascii="Arial" w:hAnsi="Arial" w:cs="Arial"/>
      <w:sz w:val="20"/>
    </w:rPr>
  </w:style>
  <w:style w:type="paragraph" w:customStyle="1" w:styleId="Level4">
    <w:name w:val="Level 4"/>
    <w:aliases w:val="4"/>
    <w:basedOn w:val="Normal"/>
    <w:qFormat/>
    <w:pPr>
      <w:numPr>
        <w:ilvl w:val="3"/>
        <w:numId w:val="50"/>
      </w:numPr>
      <w:spacing w:after="140" w:line="288" w:lineRule="auto"/>
      <w:jc w:val="both"/>
      <w:outlineLvl w:val="3"/>
    </w:pPr>
    <w:rPr>
      <w:rFonts w:ascii="Arial" w:hAnsi="Arial" w:cs="Arial"/>
      <w:sz w:val="20"/>
    </w:rPr>
  </w:style>
  <w:style w:type="paragraph" w:customStyle="1" w:styleId="Level5">
    <w:name w:val="Level 5"/>
    <w:basedOn w:val="Normal"/>
    <w:qFormat/>
    <w:pPr>
      <w:numPr>
        <w:ilvl w:val="4"/>
        <w:numId w:val="53"/>
      </w:numPr>
      <w:spacing w:after="140" w:line="288" w:lineRule="auto"/>
      <w:jc w:val="both"/>
    </w:pPr>
    <w:rPr>
      <w:rFonts w:ascii="Arial" w:hAnsi="Arial" w:cs="Arial"/>
      <w:sz w:val="20"/>
    </w:rPr>
  </w:style>
  <w:style w:type="paragraph" w:customStyle="1" w:styleId="Level6">
    <w:name w:val="Level 6"/>
    <w:basedOn w:val="Normal"/>
    <w:qFormat/>
    <w:pPr>
      <w:numPr>
        <w:ilvl w:val="5"/>
        <w:numId w:val="50"/>
      </w:numPr>
      <w:spacing w:after="140" w:line="288" w:lineRule="auto"/>
      <w:jc w:val="both"/>
    </w:pPr>
    <w:rPr>
      <w:rFonts w:ascii="Arial" w:hAnsi="Arial" w:cs="Arial"/>
      <w:sz w:val="20"/>
    </w:rPr>
  </w:style>
  <w:style w:type="paragraph" w:customStyle="1" w:styleId="Estilo1">
    <w:name w:val="Estilo1"/>
    <w:basedOn w:val="Ttulo6"/>
    <w:pPr>
      <w:keepNext w:val="0"/>
      <w:keepLines w:val="0"/>
      <w:numPr>
        <w:numId w:val="51"/>
      </w:numPr>
      <w:tabs>
        <w:tab w:val="num" w:pos="360"/>
      </w:tabs>
      <w:spacing w:before="0" w:line="320" w:lineRule="exact"/>
      <w:ind w:left="0" w:hanging="540"/>
      <w:jc w:val="center"/>
    </w:pPr>
    <w:rPr>
      <w:rFonts w:ascii="Tahoma" w:eastAsia="Garamond" w:hAnsi="Tahoma" w:cs="Tahoma"/>
      <w:b/>
      <w:bCs/>
      <w:caps/>
      <w:smallCaps/>
      <w:color w:val="000000"/>
      <w:sz w:val="22"/>
      <w:szCs w:val="22"/>
      <w:u w:color="000000"/>
    </w:rPr>
  </w:style>
  <w:style w:type="paragraph" w:customStyle="1" w:styleId="Estilo2">
    <w:name w:val="Estilo2"/>
    <w:basedOn w:val="Estilo1"/>
    <w:pPr>
      <w:numPr>
        <w:ilvl w:val="1"/>
      </w:numPr>
      <w:tabs>
        <w:tab w:val="num" w:pos="360"/>
      </w:tabs>
      <w:ind w:left="540" w:hanging="540"/>
      <w:outlineLvl w:val="0"/>
    </w:pPr>
    <w:rPr>
      <w:b w:val="0"/>
      <w:caps w:val="0"/>
      <w:smallCaps w:val="0"/>
      <w:u w:val="single"/>
    </w:rPr>
  </w:style>
  <w:style w:type="paragraph" w:customStyle="1" w:styleId="EstiloEstilo2NegritoJustificado">
    <w:name w:val="Estilo Estilo2 + Negrito Justificado"/>
    <w:basedOn w:val="Estilo2"/>
    <w:pPr>
      <w:jc w:val="both"/>
    </w:pPr>
    <w:rPr>
      <w:rFonts w:eastAsia="Times New Roman" w:cs="Times New Roman"/>
      <w:szCs w:val="20"/>
      <w:u w:val="none"/>
    </w:rPr>
  </w:style>
  <w:style w:type="paragraph" w:customStyle="1" w:styleId="Estilo3">
    <w:name w:val="Estilo3"/>
    <w:basedOn w:val="EstiloEstilo2NegritoJustificado"/>
    <w:pPr>
      <w:numPr>
        <w:ilvl w:val="2"/>
      </w:numPr>
      <w:tabs>
        <w:tab w:val="num" w:pos="360"/>
      </w:tabs>
      <w:ind w:left="720" w:hanging="720"/>
    </w:pPr>
    <w:rPr>
      <w:rFonts w:cs="Tahoma"/>
      <w:bCs w:val="0"/>
      <w:szCs w:val="22"/>
    </w:rPr>
  </w:style>
  <w:style w:type="character" w:customStyle="1" w:styleId="Ttulo6Char">
    <w:name w:val="Título 6 Char"/>
    <w:basedOn w:val="Fontepargpadro"/>
    <w:link w:val="Ttulo6"/>
    <w:uiPriority w:val="9"/>
    <w:semiHidden/>
    <w:rPr>
      <w:rFonts w:asciiTheme="majorHAnsi" w:eastAsiaTheme="majorEastAsia" w:hAnsiTheme="majorHAnsi" w:cstheme="majorBidi"/>
      <w:color w:val="243F60" w:themeColor="accent1" w:themeShade="7F"/>
      <w:sz w:val="24"/>
      <w:szCs w:val="24"/>
    </w:rPr>
  </w:style>
  <w:style w:type="character" w:customStyle="1" w:styleId="MenoPendente2">
    <w:name w:val="Menção Pendente2"/>
    <w:basedOn w:val="Fontepargpadro"/>
    <w:uiPriority w:val="99"/>
    <w:semiHidden/>
    <w:unhideWhenUsed/>
    <w:rPr>
      <w:color w:val="605E5C"/>
      <w:shd w:val="clear" w:color="auto" w:fill="E1DFDD"/>
    </w:rPr>
  </w:style>
  <w:style w:type="character" w:customStyle="1" w:styleId="NenhumA">
    <w:name w:val="Nenhum A"/>
  </w:style>
  <w:style w:type="character" w:customStyle="1" w:styleId="MenoPendente3">
    <w:name w:val="Menção Pendente3"/>
    <w:basedOn w:val="Fontepargpadro"/>
    <w:uiPriority w:val="99"/>
    <w:semiHidden/>
    <w:unhideWhenUsed/>
    <w:rPr>
      <w:color w:val="605E5C"/>
      <w:shd w:val="clear" w:color="auto" w:fill="E1DFDD"/>
    </w:rPr>
  </w:style>
  <w:style w:type="character" w:customStyle="1" w:styleId="MenoPendente4">
    <w:name w:val="Menção Pendente4"/>
    <w:basedOn w:val="Fontepargpadro"/>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4881">
      <w:bodyDiv w:val="1"/>
      <w:marLeft w:val="0"/>
      <w:marRight w:val="0"/>
      <w:marTop w:val="0"/>
      <w:marBottom w:val="0"/>
      <w:divBdr>
        <w:top w:val="none" w:sz="0" w:space="0" w:color="auto"/>
        <w:left w:val="none" w:sz="0" w:space="0" w:color="auto"/>
        <w:bottom w:val="none" w:sz="0" w:space="0" w:color="auto"/>
        <w:right w:val="none" w:sz="0" w:space="0" w:color="auto"/>
      </w:divBdr>
    </w:div>
    <w:div w:id="56364791">
      <w:bodyDiv w:val="1"/>
      <w:marLeft w:val="0"/>
      <w:marRight w:val="0"/>
      <w:marTop w:val="0"/>
      <w:marBottom w:val="0"/>
      <w:divBdr>
        <w:top w:val="none" w:sz="0" w:space="0" w:color="auto"/>
        <w:left w:val="none" w:sz="0" w:space="0" w:color="auto"/>
        <w:bottom w:val="none" w:sz="0" w:space="0" w:color="auto"/>
        <w:right w:val="none" w:sz="0" w:space="0" w:color="auto"/>
      </w:divBdr>
    </w:div>
    <w:div w:id="56977009">
      <w:bodyDiv w:val="1"/>
      <w:marLeft w:val="0"/>
      <w:marRight w:val="0"/>
      <w:marTop w:val="0"/>
      <w:marBottom w:val="0"/>
      <w:divBdr>
        <w:top w:val="none" w:sz="0" w:space="0" w:color="auto"/>
        <w:left w:val="none" w:sz="0" w:space="0" w:color="auto"/>
        <w:bottom w:val="none" w:sz="0" w:space="0" w:color="auto"/>
        <w:right w:val="none" w:sz="0" w:space="0" w:color="auto"/>
      </w:divBdr>
    </w:div>
    <w:div w:id="75130696">
      <w:bodyDiv w:val="1"/>
      <w:marLeft w:val="0"/>
      <w:marRight w:val="0"/>
      <w:marTop w:val="0"/>
      <w:marBottom w:val="0"/>
      <w:divBdr>
        <w:top w:val="none" w:sz="0" w:space="0" w:color="auto"/>
        <w:left w:val="none" w:sz="0" w:space="0" w:color="auto"/>
        <w:bottom w:val="none" w:sz="0" w:space="0" w:color="auto"/>
        <w:right w:val="none" w:sz="0" w:space="0" w:color="auto"/>
      </w:divBdr>
    </w:div>
    <w:div w:id="101650911">
      <w:bodyDiv w:val="1"/>
      <w:marLeft w:val="0"/>
      <w:marRight w:val="0"/>
      <w:marTop w:val="0"/>
      <w:marBottom w:val="0"/>
      <w:divBdr>
        <w:top w:val="none" w:sz="0" w:space="0" w:color="auto"/>
        <w:left w:val="none" w:sz="0" w:space="0" w:color="auto"/>
        <w:bottom w:val="none" w:sz="0" w:space="0" w:color="auto"/>
        <w:right w:val="none" w:sz="0" w:space="0" w:color="auto"/>
      </w:divBdr>
    </w:div>
    <w:div w:id="122117309">
      <w:bodyDiv w:val="1"/>
      <w:marLeft w:val="0"/>
      <w:marRight w:val="0"/>
      <w:marTop w:val="0"/>
      <w:marBottom w:val="0"/>
      <w:divBdr>
        <w:top w:val="none" w:sz="0" w:space="0" w:color="auto"/>
        <w:left w:val="none" w:sz="0" w:space="0" w:color="auto"/>
        <w:bottom w:val="none" w:sz="0" w:space="0" w:color="auto"/>
        <w:right w:val="none" w:sz="0" w:space="0" w:color="auto"/>
      </w:divBdr>
    </w:div>
    <w:div w:id="156728266">
      <w:bodyDiv w:val="1"/>
      <w:marLeft w:val="0"/>
      <w:marRight w:val="0"/>
      <w:marTop w:val="0"/>
      <w:marBottom w:val="0"/>
      <w:divBdr>
        <w:top w:val="none" w:sz="0" w:space="0" w:color="auto"/>
        <w:left w:val="none" w:sz="0" w:space="0" w:color="auto"/>
        <w:bottom w:val="none" w:sz="0" w:space="0" w:color="auto"/>
        <w:right w:val="none" w:sz="0" w:space="0" w:color="auto"/>
      </w:divBdr>
    </w:div>
    <w:div w:id="197622119">
      <w:bodyDiv w:val="1"/>
      <w:marLeft w:val="0"/>
      <w:marRight w:val="0"/>
      <w:marTop w:val="0"/>
      <w:marBottom w:val="0"/>
      <w:divBdr>
        <w:top w:val="none" w:sz="0" w:space="0" w:color="auto"/>
        <w:left w:val="none" w:sz="0" w:space="0" w:color="auto"/>
        <w:bottom w:val="none" w:sz="0" w:space="0" w:color="auto"/>
        <w:right w:val="none" w:sz="0" w:space="0" w:color="auto"/>
      </w:divBdr>
    </w:div>
    <w:div w:id="204604517">
      <w:bodyDiv w:val="1"/>
      <w:marLeft w:val="0"/>
      <w:marRight w:val="0"/>
      <w:marTop w:val="0"/>
      <w:marBottom w:val="0"/>
      <w:divBdr>
        <w:top w:val="none" w:sz="0" w:space="0" w:color="auto"/>
        <w:left w:val="none" w:sz="0" w:space="0" w:color="auto"/>
        <w:bottom w:val="none" w:sz="0" w:space="0" w:color="auto"/>
        <w:right w:val="none" w:sz="0" w:space="0" w:color="auto"/>
      </w:divBdr>
    </w:div>
    <w:div w:id="351343204">
      <w:bodyDiv w:val="1"/>
      <w:marLeft w:val="0"/>
      <w:marRight w:val="0"/>
      <w:marTop w:val="0"/>
      <w:marBottom w:val="0"/>
      <w:divBdr>
        <w:top w:val="none" w:sz="0" w:space="0" w:color="auto"/>
        <w:left w:val="none" w:sz="0" w:space="0" w:color="auto"/>
        <w:bottom w:val="none" w:sz="0" w:space="0" w:color="auto"/>
        <w:right w:val="none" w:sz="0" w:space="0" w:color="auto"/>
      </w:divBdr>
      <w:divsChild>
        <w:div w:id="612174255">
          <w:marLeft w:val="0"/>
          <w:marRight w:val="0"/>
          <w:marTop w:val="0"/>
          <w:marBottom w:val="0"/>
          <w:divBdr>
            <w:top w:val="none" w:sz="0" w:space="0" w:color="auto"/>
            <w:left w:val="none" w:sz="0" w:space="0" w:color="auto"/>
            <w:bottom w:val="none" w:sz="0" w:space="0" w:color="auto"/>
            <w:right w:val="none" w:sz="0" w:space="0" w:color="auto"/>
          </w:divBdr>
        </w:div>
      </w:divsChild>
    </w:div>
    <w:div w:id="358942758">
      <w:bodyDiv w:val="1"/>
      <w:marLeft w:val="0"/>
      <w:marRight w:val="0"/>
      <w:marTop w:val="0"/>
      <w:marBottom w:val="0"/>
      <w:divBdr>
        <w:top w:val="none" w:sz="0" w:space="0" w:color="auto"/>
        <w:left w:val="none" w:sz="0" w:space="0" w:color="auto"/>
        <w:bottom w:val="none" w:sz="0" w:space="0" w:color="auto"/>
        <w:right w:val="none" w:sz="0" w:space="0" w:color="auto"/>
      </w:divBdr>
    </w:div>
    <w:div w:id="458035167">
      <w:bodyDiv w:val="1"/>
      <w:marLeft w:val="0"/>
      <w:marRight w:val="0"/>
      <w:marTop w:val="0"/>
      <w:marBottom w:val="0"/>
      <w:divBdr>
        <w:top w:val="none" w:sz="0" w:space="0" w:color="auto"/>
        <w:left w:val="none" w:sz="0" w:space="0" w:color="auto"/>
        <w:bottom w:val="none" w:sz="0" w:space="0" w:color="auto"/>
        <w:right w:val="none" w:sz="0" w:space="0" w:color="auto"/>
      </w:divBdr>
    </w:div>
    <w:div w:id="484710340">
      <w:bodyDiv w:val="1"/>
      <w:marLeft w:val="0"/>
      <w:marRight w:val="0"/>
      <w:marTop w:val="0"/>
      <w:marBottom w:val="0"/>
      <w:divBdr>
        <w:top w:val="none" w:sz="0" w:space="0" w:color="auto"/>
        <w:left w:val="none" w:sz="0" w:space="0" w:color="auto"/>
        <w:bottom w:val="none" w:sz="0" w:space="0" w:color="auto"/>
        <w:right w:val="none" w:sz="0" w:space="0" w:color="auto"/>
      </w:divBdr>
    </w:div>
    <w:div w:id="486828875">
      <w:bodyDiv w:val="1"/>
      <w:marLeft w:val="0"/>
      <w:marRight w:val="0"/>
      <w:marTop w:val="0"/>
      <w:marBottom w:val="0"/>
      <w:divBdr>
        <w:top w:val="none" w:sz="0" w:space="0" w:color="auto"/>
        <w:left w:val="none" w:sz="0" w:space="0" w:color="auto"/>
        <w:bottom w:val="none" w:sz="0" w:space="0" w:color="auto"/>
        <w:right w:val="none" w:sz="0" w:space="0" w:color="auto"/>
      </w:divBdr>
    </w:div>
    <w:div w:id="495995621">
      <w:bodyDiv w:val="1"/>
      <w:marLeft w:val="0"/>
      <w:marRight w:val="0"/>
      <w:marTop w:val="0"/>
      <w:marBottom w:val="0"/>
      <w:divBdr>
        <w:top w:val="none" w:sz="0" w:space="0" w:color="auto"/>
        <w:left w:val="none" w:sz="0" w:space="0" w:color="auto"/>
        <w:bottom w:val="none" w:sz="0" w:space="0" w:color="auto"/>
        <w:right w:val="none" w:sz="0" w:space="0" w:color="auto"/>
      </w:divBdr>
    </w:div>
    <w:div w:id="514656903">
      <w:bodyDiv w:val="1"/>
      <w:marLeft w:val="0"/>
      <w:marRight w:val="0"/>
      <w:marTop w:val="0"/>
      <w:marBottom w:val="0"/>
      <w:divBdr>
        <w:top w:val="none" w:sz="0" w:space="0" w:color="auto"/>
        <w:left w:val="none" w:sz="0" w:space="0" w:color="auto"/>
        <w:bottom w:val="none" w:sz="0" w:space="0" w:color="auto"/>
        <w:right w:val="none" w:sz="0" w:space="0" w:color="auto"/>
      </w:divBdr>
    </w:div>
    <w:div w:id="571820567">
      <w:bodyDiv w:val="1"/>
      <w:marLeft w:val="0"/>
      <w:marRight w:val="0"/>
      <w:marTop w:val="0"/>
      <w:marBottom w:val="0"/>
      <w:divBdr>
        <w:top w:val="none" w:sz="0" w:space="0" w:color="auto"/>
        <w:left w:val="none" w:sz="0" w:space="0" w:color="auto"/>
        <w:bottom w:val="none" w:sz="0" w:space="0" w:color="auto"/>
        <w:right w:val="none" w:sz="0" w:space="0" w:color="auto"/>
      </w:divBdr>
    </w:div>
    <w:div w:id="602153275">
      <w:bodyDiv w:val="1"/>
      <w:marLeft w:val="0"/>
      <w:marRight w:val="0"/>
      <w:marTop w:val="0"/>
      <w:marBottom w:val="0"/>
      <w:divBdr>
        <w:top w:val="none" w:sz="0" w:space="0" w:color="auto"/>
        <w:left w:val="none" w:sz="0" w:space="0" w:color="auto"/>
        <w:bottom w:val="none" w:sz="0" w:space="0" w:color="auto"/>
        <w:right w:val="none" w:sz="0" w:space="0" w:color="auto"/>
      </w:divBdr>
    </w:div>
    <w:div w:id="676537906">
      <w:bodyDiv w:val="1"/>
      <w:marLeft w:val="0"/>
      <w:marRight w:val="0"/>
      <w:marTop w:val="0"/>
      <w:marBottom w:val="0"/>
      <w:divBdr>
        <w:top w:val="none" w:sz="0" w:space="0" w:color="auto"/>
        <w:left w:val="none" w:sz="0" w:space="0" w:color="auto"/>
        <w:bottom w:val="none" w:sz="0" w:space="0" w:color="auto"/>
        <w:right w:val="none" w:sz="0" w:space="0" w:color="auto"/>
      </w:divBdr>
    </w:div>
    <w:div w:id="696807975">
      <w:bodyDiv w:val="1"/>
      <w:marLeft w:val="0"/>
      <w:marRight w:val="0"/>
      <w:marTop w:val="0"/>
      <w:marBottom w:val="0"/>
      <w:divBdr>
        <w:top w:val="none" w:sz="0" w:space="0" w:color="auto"/>
        <w:left w:val="none" w:sz="0" w:space="0" w:color="auto"/>
        <w:bottom w:val="none" w:sz="0" w:space="0" w:color="auto"/>
        <w:right w:val="none" w:sz="0" w:space="0" w:color="auto"/>
      </w:divBdr>
    </w:div>
    <w:div w:id="727339017">
      <w:bodyDiv w:val="1"/>
      <w:marLeft w:val="0"/>
      <w:marRight w:val="0"/>
      <w:marTop w:val="0"/>
      <w:marBottom w:val="0"/>
      <w:divBdr>
        <w:top w:val="none" w:sz="0" w:space="0" w:color="auto"/>
        <w:left w:val="none" w:sz="0" w:space="0" w:color="auto"/>
        <w:bottom w:val="none" w:sz="0" w:space="0" w:color="auto"/>
        <w:right w:val="none" w:sz="0" w:space="0" w:color="auto"/>
      </w:divBdr>
    </w:div>
    <w:div w:id="931888863">
      <w:bodyDiv w:val="1"/>
      <w:marLeft w:val="0"/>
      <w:marRight w:val="0"/>
      <w:marTop w:val="0"/>
      <w:marBottom w:val="0"/>
      <w:divBdr>
        <w:top w:val="none" w:sz="0" w:space="0" w:color="auto"/>
        <w:left w:val="none" w:sz="0" w:space="0" w:color="auto"/>
        <w:bottom w:val="none" w:sz="0" w:space="0" w:color="auto"/>
        <w:right w:val="none" w:sz="0" w:space="0" w:color="auto"/>
      </w:divBdr>
    </w:div>
    <w:div w:id="955021991">
      <w:bodyDiv w:val="1"/>
      <w:marLeft w:val="0"/>
      <w:marRight w:val="0"/>
      <w:marTop w:val="0"/>
      <w:marBottom w:val="0"/>
      <w:divBdr>
        <w:top w:val="none" w:sz="0" w:space="0" w:color="auto"/>
        <w:left w:val="none" w:sz="0" w:space="0" w:color="auto"/>
        <w:bottom w:val="none" w:sz="0" w:space="0" w:color="auto"/>
        <w:right w:val="none" w:sz="0" w:space="0" w:color="auto"/>
      </w:divBdr>
    </w:div>
    <w:div w:id="956713948">
      <w:bodyDiv w:val="1"/>
      <w:marLeft w:val="0"/>
      <w:marRight w:val="0"/>
      <w:marTop w:val="0"/>
      <w:marBottom w:val="0"/>
      <w:divBdr>
        <w:top w:val="none" w:sz="0" w:space="0" w:color="auto"/>
        <w:left w:val="none" w:sz="0" w:space="0" w:color="auto"/>
        <w:bottom w:val="none" w:sz="0" w:space="0" w:color="auto"/>
        <w:right w:val="none" w:sz="0" w:space="0" w:color="auto"/>
      </w:divBdr>
    </w:div>
    <w:div w:id="1096900113">
      <w:bodyDiv w:val="1"/>
      <w:marLeft w:val="0"/>
      <w:marRight w:val="0"/>
      <w:marTop w:val="0"/>
      <w:marBottom w:val="0"/>
      <w:divBdr>
        <w:top w:val="none" w:sz="0" w:space="0" w:color="auto"/>
        <w:left w:val="none" w:sz="0" w:space="0" w:color="auto"/>
        <w:bottom w:val="none" w:sz="0" w:space="0" w:color="auto"/>
        <w:right w:val="none" w:sz="0" w:space="0" w:color="auto"/>
      </w:divBdr>
    </w:div>
    <w:div w:id="1164471127">
      <w:bodyDiv w:val="1"/>
      <w:marLeft w:val="0"/>
      <w:marRight w:val="0"/>
      <w:marTop w:val="0"/>
      <w:marBottom w:val="0"/>
      <w:divBdr>
        <w:top w:val="none" w:sz="0" w:space="0" w:color="auto"/>
        <w:left w:val="none" w:sz="0" w:space="0" w:color="auto"/>
        <w:bottom w:val="none" w:sz="0" w:space="0" w:color="auto"/>
        <w:right w:val="none" w:sz="0" w:space="0" w:color="auto"/>
      </w:divBdr>
    </w:div>
    <w:div w:id="1206673434">
      <w:bodyDiv w:val="1"/>
      <w:marLeft w:val="0"/>
      <w:marRight w:val="0"/>
      <w:marTop w:val="0"/>
      <w:marBottom w:val="0"/>
      <w:divBdr>
        <w:top w:val="none" w:sz="0" w:space="0" w:color="auto"/>
        <w:left w:val="none" w:sz="0" w:space="0" w:color="auto"/>
        <w:bottom w:val="none" w:sz="0" w:space="0" w:color="auto"/>
        <w:right w:val="none" w:sz="0" w:space="0" w:color="auto"/>
      </w:divBdr>
      <w:divsChild>
        <w:div w:id="1077215294">
          <w:marLeft w:val="0"/>
          <w:marRight w:val="0"/>
          <w:marTop w:val="0"/>
          <w:marBottom w:val="0"/>
          <w:divBdr>
            <w:top w:val="none" w:sz="0" w:space="0" w:color="auto"/>
            <w:left w:val="none" w:sz="0" w:space="0" w:color="auto"/>
            <w:bottom w:val="none" w:sz="0" w:space="0" w:color="auto"/>
            <w:right w:val="none" w:sz="0" w:space="0" w:color="auto"/>
          </w:divBdr>
        </w:div>
      </w:divsChild>
    </w:div>
    <w:div w:id="1280141296">
      <w:bodyDiv w:val="1"/>
      <w:marLeft w:val="0"/>
      <w:marRight w:val="0"/>
      <w:marTop w:val="0"/>
      <w:marBottom w:val="0"/>
      <w:divBdr>
        <w:top w:val="none" w:sz="0" w:space="0" w:color="auto"/>
        <w:left w:val="none" w:sz="0" w:space="0" w:color="auto"/>
        <w:bottom w:val="none" w:sz="0" w:space="0" w:color="auto"/>
        <w:right w:val="none" w:sz="0" w:space="0" w:color="auto"/>
      </w:divBdr>
    </w:div>
    <w:div w:id="1317876123">
      <w:bodyDiv w:val="1"/>
      <w:marLeft w:val="0"/>
      <w:marRight w:val="0"/>
      <w:marTop w:val="0"/>
      <w:marBottom w:val="0"/>
      <w:divBdr>
        <w:top w:val="none" w:sz="0" w:space="0" w:color="auto"/>
        <w:left w:val="none" w:sz="0" w:space="0" w:color="auto"/>
        <w:bottom w:val="none" w:sz="0" w:space="0" w:color="auto"/>
        <w:right w:val="none" w:sz="0" w:space="0" w:color="auto"/>
      </w:divBdr>
    </w:div>
    <w:div w:id="1509444509">
      <w:bodyDiv w:val="1"/>
      <w:marLeft w:val="0"/>
      <w:marRight w:val="0"/>
      <w:marTop w:val="0"/>
      <w:marBottom w:val="0"/>
      <w:divBdr>
        <w:top w:val="none" w:sz="0" w:space="0" w:color="auto"/>
        <w:left w:val="none" w:sz="0" w:space="0" w:color="auto"/>
        <w:bottom w:val="none" w:sz="0" w:space="0" w:color="auto"/>
        <w:right w:val="none" w:sz="0" w:space="0" w:color="auto"/>
      </w:divBdr>
    </w:div>
    <w:div w:id="1548495254">
      <w:bodyDiv w:val="1"/>
      <w:marLeft w:val="0"/>
      <w:marRight w:val="0"/>
      <w:marTop w:val="0"/>
      <w:marBottom w:val="0"/>
      <w:divBdr>
        <w:top w:val="none" w:sz="0" w:space="0" w:color="auto"/>
        <w:left w:val="none" w:sz="0" w:space="0" w:color="auto"/>
        <w:bottom w:val="none" w:sz="0" w:space="0" w:color="auto"/>
        <w:right w:val="none" w:sz="0" w:space="0" w:color="auto"/>
      </w:divBdr>
    </w:div>
    <w:div w:id="1630892692">
      <w:bodyDiv w:val="1"/>
      <w:marLeft w:val="0"/>
      <w:marRight w:val="0"/>
      <w:marTop w:val="0"/>
      <w:marBottom w:val="0"/>
      <w:divBdr>
        <w:top w:val="none" w:sz="0" w:space="0" w:color="auto"/>
        <w:left w:val="none" w:sz="0" w:space="0" w:color="auto"/>
        <w:bottom w:val="none" w:sz="0" w:space="0" w:color="auto"/>
        <w:right w:val="none" w:sz="0" w:space="0" w:color="auto"/>
      </w:divBdr>
    </w:div>
    <w:div w:id="1721129669">
      <w:bodyDiv w:val="1"/>
      <w:marLeft w:val="0"/>
      <w:marRight w:val="0"/>
      <w:marTop w:val="0"/>
      <w:marBottom w:val="0"/>
      <w:divBdr>
        <w:top w:val="none" w:sz="0" w:space="0" w:color="auto"/>
        <w:left w:val="none" w:sz="0" w:space="0" w:color="auto"/>
        <w:bottom w:val="none" w:sz="0" w:space="0" w:color="auto"/>
        <w:right w:val="none" w:sz="0" w:space="0" w:color="auto"/>
      </w:divBdr>
    </w:div>
    <w:div w:id="1794328231">
      <w:bodyDiv w:val="1"/>
      <w:marLeft w:val="0"/>
      <w:marRight w:val="0"/>
      <w:marTop w:val="0"/>
      <w:marBottom w:val="0"/>
      <w:divBdr>
        <w:top w:val="none" w:sz="0" w:space="0" w:color="auto"/>
        <w:left w:val="none" w:sz="0" w:space="0" w:color="auto"/>
        <w:bottom w:val="none" w:sz="0" w:space="0" w:color="auto"/>
        <w:right w:val="none" w:sz="0" w:space="0" w:color="auto"/>
      </w:divBdr>
    </w:div>
    <w:div w:id="1857424056">
      <w:bodyDiv w:val="1"/>
      <w:marLeft w:val="0"/>
      <w:marRight w:val="0"/>
      <w:marTop w:val="0"/>
      <w:marBottom w:val="0"/>
      <w:divBdr>
        <w:top w:val="none" w:sz="0" w:space="0" w:color="auto"/>
        <w:left w:val="none" w:sz="0" w:space="0" w:color="auto"/>
        <w:bottom w:val="none" w:sz="0" w:space="0" w:color="auto"/>
        <w:right w:val="none" w:sz="0" w:space="0" w:color="auto"/>
      </w:divBdr>
    </w:div>
    <w:div w:id="1883712326">
      <w:bodyDiv w:val="1"/>
      <w:marLeft w:val="0"/>
      <w:marRight w:val="0"/>
      <w:marTop w:val="0"/>
      <w:marBottom w:val="0"/>
      <w:divBdr>
        <w:top w:val="none" w:sz="0" w:space="0" w:color="auto"/>
        <w:left w:val="none" w:sz="0" w:space="0" w:color="auto"/>
        <w:bottom w:val="none" w:sz="0" w:space="0" w:color="auto"/>
        <w:right w:val="none" w:sz="0" w:space="0" w:color="auto"/>
      </w:divBdr>
    </w:div>
    <w:div w:id="2074498208">
      <w:bodyDiv w:val="1"/>
      <w:marLeft w:val="0"/>
      <w:marRight w:val="0"/>
      <w:marTop w:val="0"/>
      <w:marBottom w:val="0"/>
      <w:divBdr>
        <w:top w:val="none" w:sz="0" w:space="0" w:color="auto"/>
        <w:left w:val="none" w:sz="0" w:space="0" w:color="auto"/>
        <w:bottom w:val="none" w:sz="0" w:space="0" w:color="auto"/>
        <w:right w:val="none" w:sz="0" w:space="0" w:color="auto"/>
      </w:divBdr>
    </w:div>
    <w:div w:id="2127381385">
      <w:bodyDiv w:val="1"/>
      <w:marLeft w:val="0"/>
      <w:marRight w:val="0"/>
      <w:marTop w:val="0"/>
      <w:marBottom w:val="0"/>
      <w:divBdr>
        <w:top w:val="none" w:sz="0" w:space="0" w:color="auto"/>
        <w:left w:val="none" w:sz="0" w:space="0" w:color="auto"/>
        <w:bottom w:val="none" w:sz="0" w:space="0" w:color="auto"/>
        <w:right w:val="none" w:sz="0" w:space="0" w:color="auto"/>
      </w:divBdr>
    </w:div>
    <w:div w:id="213112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hyperlink" Target="mailto:escrituracaorf@itau-unibanco.com.br"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mailto:af.precificacao@oliveiratrust.com.br" TargetMode="External"/><Relationship Id="rId2" Type="http://schemas.openxmlformats.org/officeDocument/2006/relationships/numbering" Target="numbering.xml"/><Relationship Id="rId16" Type="http://schemas.openxmlformats.org/officeDocument/2006/relationships/hyperlink" Target="mailto:af.assembleias@oliveiratrust.com.br"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opfin@lasa.com.br"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mailto:escrituracaorf@itau-unibanco.com.b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3F147-2C4A-4A2C-94D1-0490370F2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49</Pages>
  <Words>17230</Words>
  <Characters>100450</Characters>
  <Application>Microsoft Office Word</Application>
  <DocSecurity>0</DocSecurity>
  <Lines>837</Lines>
  <Paragraphs>234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Stocche Forbes Advogados</Company>
  <LinksUpToDate>false</LinksUpToDate>
  <CharactersWithSpaces>117446</CharactersWithSpaces>
  <SharedDoc>false</SharedDoc>
  <HLinks>
    <vt:vector size="96" baseType="variant">
      <vt:variant>
        <vt:i4>6553601</vt:i4>
      </vt:variant>
      <vt:variant>
        <vt:i4>84</vt:i4>
      </vt:variant>
      <vt:variant>
        <vt:i4>0</vt:i4>
      </vt:variant>
      <vt:variant>
        <vt:i4>5</vt:i4>
      </vt:variant>
      <vt:variant>
        <vt:lpwstr>mailto:operacional@pentagonotrustee.com.br</vt:lpwstr>
      </vt:variant>
      <vt:variant>
        <vt:lpwstr/>
      </vt:variant>
      <vt:variant>
        <vt:i4>6422640</vt:i4>
      </vt:variant>
      <vt:variant>
        <vt:i4>81</vt:i4>
      </vt:variant>
      <vt:variant>
        <vt:i4>0</vt:i4>
      </vt:variant>
      <vt:variant>
        <vt:i4>5</vt:i4>
      </vt:variant>
      <vt:variant>
        <vt:lpwstr>mailto:</vt:lpwstr>
      </vt:variant>
      <vt:variant>
        <vt:lpwstr/>
      </vt:variant>
      <vt:variant>
        <vt:i4>3407970</vt:i4>
      </vt:variant>
      <vt:variant>
        <vt:i4>78</vt:i4>
      </vt:variant>
      <vt:variant>
        <vt:i4>0</vt:i4>
      </vt:variant>
      <vt:variant>
        <vt:i4>5</vt:i4>
      </vt:variant>
      <vt:variant>
        <vt:lpwstr>http://ri.lasa.com.br/</vt:lpwstr>
      </vt:variant>
      <vt:variant>
        <vt:lpwstr/>
      </vt:variant>
      <vt:variant>
        <vt:i4>983105</vt:i4>
      </vt:variant>
      <vt:variant>
        <vt:i4>75</vt:i4>
      </vt:variant>
      <vt:variant>
        <vt:i4>0</vt:i4>
      </vt:variant>
      <vt:variant>
        <vt:i4>5</vt:i4>
      </vt:variant>
      <vt:variant>
        <vt:lpwstr>http://www.cetip.com.br/</vt:lpwstr>
      </vt:variant>
      <vt:variant>
        <vt:lpwstr/>
      </vt:variant>
      <vt:variant>
        <vt:i4>1048633</vt:i4>
      </vt:variant>
      <vt:variant>
        <vt:i4>68</vt:i4>
      </vt:variant>
      <vt:variant>
        <vt:i4>0</vt:i4>
      </vt:variant>
      <vt:variant>
        <vt:i4>5</vt:i4>
      </vt:variant>
      <vt:variant>
        <vt:lpwstr/>
      </vt:variant>
      <vt:variant>
        <vt:lpwstr>_Toc463277947</vt:lpwstr>
      </vt:variant>
      <vt:variant>
        <vt:i4>1048633</vt:i4>
      </vt:variant>
      <vt:variant>
        <vt:i4>62</vt:i4>
      </vt:variant>
      <vt:variant>
        <vt:i4>0</vt:i4>
      </vt:variant>
      <vt:variant>
        <vt:i4>5</vt:i4>
      </vt:variant>
      <vt:variant>
        <vt:lpwstr/>
      </vt:variant>
      <vt:variant>
        <vt:lpwstr>_Toc463277946</vt:lpwstr>
      </vt:variant>
      <vt:variant>
        <vt:i4>1048633</vt:i4>
      </vt:variant>
      <vt:variant>
        <vt:i4>56</vt:i4>
      </vt:variant>
      <vt:variant>
        <vt:i4>0</vt:i4>
      </vt:variant>
      <vt:variant>
        <vt:i4>5</vt:i4>
      </vt:variant>
      <vt:variant>
        <vt:lpwstr/>
      </vt:variant>
      <vt:variant>
        <vt:lpwstr>_Toc463277945</vt:lpwstr>
      </vt:variant>
      <vt:variant>
        <vt:i4>1048633</vt:i4>
      </vt:variant>
      <vt:variant>
        <vt:i4>50</vt:i4>
      </vt:variant>
      <vt:variant>
        <vt:i4>0</vt:i4>
      </vt:variant>
      <vt:variant>
        <vt:i4>5</vt:i4>
      </vt:variant>
      <vt:variant>
        <vt:lpwstr/>
      </vt:variant>
      <vt:variant>
        <vt:lpwstr>_Toc463277944</vt:lpwstr>
      </vt:variant>
      <vt:variant>
        <vt:i4>1048633</vt:i4>
      </vt:variant>
      <vt:variant>
        <vt:i4>44</vt:i4>
      </vt:variant>
      <vt:variant>
        <vt:i4>0</vt:i4>
      </vt:variant>
      <vt:variant>
        <vt:i4>5</vt:i4>
      </vt:variant>
      <vt:variant>
        <vt:lpwstr/>
      </vt:variant>
      <vt:variant>
        <vt:lpwstr>_Toc463277943</vt:lpwstr>
      </vt:variant>
      <vt:variant>
        <vt:i4>1048633</vt:i4>
      </vt:variant>
      <vt:variant>
        <vt:i4>38</vt:i4>
      </vt:variant>
      <vt:variant>
        <vt:i4>0</vt:i4>
      </vt:variant>
      <vt:variant>
        <vt:i4>5</vt:i4>
      </vt:variant>
      <vt:variant>
        <vt:lpwstr/>
      </vt:variant>
      <vt:variant>
        <vt:lpwstr>_Toc463277942</vt:lpwstr>
      </vt:variant>
      <vt:variant>
        <vt:i4>1048633</vt:i4>
      </vt:variant>
      <vt:variant>
        <vt:i4>32</vt:i4>
      </vt:variant>
      <vt:variant>
        <vt:i4>0</vt:i4>
      </vt:variant>
      <vt:variant>
        <vt:i4>5</vt:i4>
      </vt:variant>
      <vt:variant>
        <vt:lpwstr/>
      </vt:variant>
      <vt:variant>
        <vt:lpwstr>_Toc463277941</vt:lpwstr>
      </vt:variant>
      <vt:variant>
        <vt:i4>1048633</vt:i4>
      </vt:variant>
      <vt:variant>
        <vt:i4>26</vt:i4>
      </vt:variant>
      <vt:variant>
        <vt:i4>0</vt:i4>
      </vt:variant>
      <vt:variant>
        <vt:i4>5</vt:i4>
      </vt:variant>
      <vt:variant>
        <vt:lpwstr/>
      </vt:variant>
      <vt:variant>
        <vt:lpwstr>_Toc463277940</vt:lpwstr>
      </vt:variant>
      <vt:variant>
        <vt:i4>1507385</vt:i4>
      </vt:variant>
      <vt:variant>
        <vt:i4>20</vt:i4>
      </vt:variant>
      <vt:variant>
        <vt:i4>0</vt:i4>
      </vt:variant>
      <vt:variant>
        <vt:i4>5</vt:i4>
      </vt:variant>
      <vt:variant>
        <vt:lpwstr/>
      </vt:variant>
      <vt:variant>
        <vt:lpwstr>_Toc463277939</vt:lpwstr>
      </vt:variant>
      <vt:variant>
        <vt:i4>1507385</vt:i4>
      </vt:variant>
      <vt:variant>
        <vt:i4>14</vt:i4>
      </vt:variant>
      <vt:variant>
        <vt:i4>0</vt:i4>
      </vt:variant>
      <vt:variant>
        <vt:i4>5</vt:i4>
      </vt:variant>
      <vt:variant>
        <vt:lpwstr/>
      </vt:variant>
      <vt:variant>
        <vt:lpwstr>_Toc463277938</vt:lpwstr>
      </vt:variant>
      <vt:variant>
        <vt:i4>1507385</vt:i4>
      </vt:variant>
      <vt:variant>
        <vt:i4>8</vt:i4>
      </vt:variant>
      <vt:variant>
        <vt:i4>0</vt:i4>
      </vt:variant>
      <vt:variant>
        <vt:i4>5</vt:i4>
      </vt:variant>
      <vt:variant>
        <vt:lpwstr/>
      </vt:variant>
      <vt:variant>
        <vt:lpwstr>_Toc463277937</vt:lpwstr>
      </vt:variant>
      <vt:variant>
        <vt:i4>1507385</vt:i4>
      </vt:variant>
      <vt:variant>
        <vt:i4>2</vt:i4>
      </vt:variant>
      <vt:variant>
        <vt:i4>0</vt:i4>
      </vt:variant>
      <vt:variant>
        <vt:i4>5</vt:i4>
      </vt:variant>
      <vt:variant>
        <vt:lpwstr/>
      </vt:variant>
      <vt:variant>
        <vt:lpwstr>_Toc463277936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LASA | 12ª Emissão Dbts 476</dc:subject>
  <dc:creator>SF</dc:creator>
  <cp:lastModifiedBy>Pinheiro Neto Advogados</cp:lastModifiedBy>
  <cp:revision>8</cp:revision>
  <cp:lastPrinted>2022-06-23T15:04:00Z</cp:lastPrinted>
  <dcterms:created xsi:type="dcterms:W3CDTF">2022-06-22T21:43:00Z</dcterms:created>
  <dcterms:modified xsi:type="dcterms:W3CDTF">2022-06-23T18:02:00Z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gFAAsdpvfP9KDXIWsKgRAcmasLm+UJS6e+YjhnsmztxcWYZ3Pu5kX3jrrWXkp+dX9QGT66szXvOzo6Me_x000d_
O+8GTVitjBuRBOWKYaVitxPQn1vaE770qo9PMMhczs8x9/ZZw263Rw5x58xZfNfHshdngldgduEZ_x000d_
I5O2mnjH6QzAxONcjIeDSa/E7pDsq5pxnMuVTqQYXzEDw2evXexK+ofYbuOnmEI22a3q3UpRH4OK_x000d_
IGCkGWxg/NsbnbVJp</vt:lpwstr>
  </property>
  <property fmtid="{D5CDD505-2E9C-101B-9397-08002B2CF9AE}" pid="3" name="MAIL_MSG_ID2">
    <vt:lpwstr>UdTq4k8th9tyIuMNGbJu7OJbxP0/3S2drIMlY1pWawda5Np2vIj/oCOJxvx_x000d_
FUo/n3emzn379P4aVG1rbNEJZKRta5LujaVllA==</vt:lpwstr>
  </property>
  <property fmtid="{D5CDD505-2E9C-101B-9397-08002B2CF9AE}" pid="4" name="RESPONSE_SENDER_NAME">
    <vt:lpwstr>gAAAJ+PfKkF/6hhZDpGWBqxfPbXgOVtkVX/C</vt:lpwstr>
  </property>
  <property fmtid="{D5CDD505-2E9C-101B-9397-08002B2CF9AE}" pid="5" name="EMAIL_OWNER_ADDRESS">
    <vt:lpwstr>ABAAMV6B7YzPbaJgi1YKCwepgGoNm4CvAf2jlR9UiMBihmNUbWts0QlkpKZdh3pg96qo</vt:lpwstr>
  </property>
  <property fmtid="{D5CDD505-2E9C-101B-9397-08002B2CF9AE}" pid="6" name="MSIP_Label_38dfde47-f100-441b-b584-049a7fefba8a_Enabled">
    <vt:lpwstr>true</vt:lpwstr>
  </property>
  <property fmtid="{D5CDD505-2E9C-101B-9397-08002B2CF9AE}" pid="7" name="MSIP_Label_38dfde47-f100-441b-b584-049a7fefba8a_SetDate">
    <vt:lpwstr>2022-06-10T13:19:43Z</vt:lpwstr>
  </property>
  <property fmtid="{D5CDD505-2E9C-101B-9397-08002B2CF9AE}" pid="8" name="MSIP_Label_38dfde47-f100-441b-b584-049a7fefba8a_Method">
    <vt:lpwstr>Standard</vt:lpwstr>
  </property>
  <property fmtid="{D5CDD505-2E9C-101B-9397-08002B2CF9AE}" pid="9" name="MSIP_Label_38dfde47-f100-441b-b584-049a7fefba8a_Name">
    <vt:lpwstr>38dfde47-f100-441b-b584-049a7fefba8a</vt:lpwstr>
  </property>
  <property fmtid="{D5CDD505-2E9C-101B-9397-08002B2CF9AE}" pid="10" name="MSIP_Label_38dfde47-f100-441b-b584-049a7fefba8a_SiteId">
    <vt:lpwstr>16e7cf3f-6af4-4e76-941e-aecafb9704e9</vt:lpwstr>
  </property>
  <property fmtid="{D5CDD505-2E9C-101B-9397-08002B2CF9AE}" pid="11" name="MSIP_Label_38dfde47-f100-441b-b584-049a7fefba8a_ActionId">
    <vt:lpwstr>d048c60c-6e82-41f3-868a-2387b114128d</vt:lpwstr>
  </property>
  <property fmtid="{D5CDD505-2E9C-101B-9397-08002B2CF9AE}" pid="12" name="MSIP_Label_38dfde47-f100-441b-b584-049a7fefba8a_ContentBits">
    <vt:lpwstr>2</vt:lpwstr>
  </property>
  <property fmtid="{D5CDD505-2E9C-101B-9397-08002B2CF9AE}" pid="13" name="iManageFooter">
    <vt:lpwstr>JUR_SP - 44135647v5 - 1012079.496619</vt:lpwstr>
  </property>
</Properties>
</file>