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ind w:right="-45"/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São Paulo, 30 de junho de 2017.</w:t>
      </w:r>
    </w:p>
    <w:p>
      <w:pPr>
        <w:ind w:right="-45"/>
        <w:rPr>
          <w:rFonts w:ascii="Calibri" w:hAnsi="Calibri"/>
          <w:sz w:val="22"/>
          <w:szCs w:val="22"/>
        </w:rPr>
      </w:pPr>
    </w:p>
    <w:p>
      <w:pPr>
        <w:ind w:right="-45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Ao</w:t>
      </w:r>
    </w:p>
    <w:p>
      <w:pPr>
        <w:ind w:right="-45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mallCaps/>
          <w:sz w:val="22"/>
          <w:szCs w:val="22"/>
        </w:rPr>
        <w:t>Banco Bradesco S.A.</w:t>
      </w:r>
      <w:r>
        <w:rPr>
          <w:rFonts w:ascii="Calibri" w:hAnsi="Calibri"/>
          <w:bCs/>
          <w:sz w:val="22"/>
          <w:szCs w:val="22"/>
        </w:rPr>
        <w:t xml:space="preserve"> (“</w:t>
      </w:r>
      <w:r>
        <w:rPr>
          <w:rFonts w:ascii="Calibri" w:hAnsi="Calibri"/>
          <w:bCs/>
          <w:sz w:val="22"/>
          <w:szCs w:val="22"/>
          <w:u w:val="single"/>
        </w:rPr>
        <w:t>Banco Mandatário</w:t>
      </w:r>
      <w:r>
        <w:rPr>
          <w:rFonts w:ascii="Calibri" w:hAnsi="Calibri"/>
          <w:bCs/>
          <w:sz w:val="22"/>
          <w:szCs w:val="22"/>
        </w:rPr>
        <w:t>” e “</w:t>
      </w:r>
      <w:r>
        <w:rPr>
          <w:rFonts w:ascii="Calibri" w:hAnsi="Calibri"/>
          <w:bCs/>
          <w:sz w:val="22"/>
          <w:szCs w:val="22"/>
          <w:u w:val="single"/>
        </w:rPr>
        <w:t>Escriturador</w:t>
      </w:r>
      <w:r>
        <w:rPr>
          <w:rFonts w:ascii="Calibri" w:hAnsi="Calibri"/>
          <w:bCs/>
          <w:sz w:val="22"/>
          <w:szCs w:val="22"/>
        </w:rPr>
        <w:t>”)</w:t>
      </w:r>
    </w:p>
    <w:p>
      <w:pPr>
        <w:ind w:right="-45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Avenida </w:t>
      </w:r>
      <w:proofErr w:type="spellStart"/>
      <w:r>
        <w:rPr>
          <w:rFonts w:ascii="Calibri" w:hAnsi="Calibri"/>
          <w:sz w:val="22"/>
          <w:szCs w:val="22"/>
        </w:rPr>
        <w:t>Yara</w:t>
      </w:r>
      <w:proofErr w:type="spellEnd"/>
      <w:r>
        <w:rPr>
          <w:rFonts w:ascii="Calibri" w:hAnsi="Calibri"/>
          <w:sz w:val="22"/>
          <w:szCs w:val="22"/>
        </w:rPr>
        <w:t>, s/nº, Prédio Amarelo, 2º andar</w:t>
      </w:r>
    </w:p>
    <w:p>
      <w:pPr>
        <w:ind w:right="-45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CEP 06029-900 </w:t>
      </w:r>
      <w:r>
        <w:rPr>
          <w:rFonts w:ascii="Calibri" w:hAnsi="Calibri"/>
          <w:bCs/>
          <w:sz w:val="22"/>
          <w:szCs w:val="22"/>
        </w:rPr>
        <w:t>–</w:t>
      </w:r>
      <w:r>
        <w:rPr>
          <w:rFonts w:ascii="Calibri" w:hAnsi="Calibri"/>
          <w:sz w:val="22"/>
          <w:szCs w:val="22"/>
        </w:rPr>
        <w:t xml:space="preserve"> Osasco, SP</w:t>
      </w:r>
    </w:p>
    <w:p>
      <w:pPr>
        <w:ind w:right="-45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At.: Departamento de Ações e Custódia</w:t>
      </w:r>
    </w:p>
    <w:p>
      <w:pPr>
        <w:ind w:right="-45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>(por e-mail: bradescocustodia@bradesco.com.br)</w:t>
      </w:r>
    </w:p>
    <w:p>
      <w:pPr>
        <w:ind w:right="-45"/>
        <w:rPr>
          <w:rFonts w:ascii="Calibri" w:hAnsi="Calibri"/>
          <w:b/>
          <w:sz w:val="22"/>
          <w:szCs w:val="22"/>
        </w:rPr>
      </w:pPr>
    </w:p>
    <w:p>
      <w:pPr>
        <w:ind w:right="-45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Com cópia para:</w:t>
      </w:r>
    </w:p>
    <w:p>
      <w:pPr>
        <w:ind w:right="-45"/>
        <w:rPr>
          <w:rFonts w:ascii="Calibri" w:eastAsia="Arial Unicode MS" w:hAnsi="Calibri"/>
          <w:b/>
          <w:smallCaps/>
          <w:w w:val="0"/>
          <w:sz w:val="22"/>
          <w:szCs w:val="22"/>
          <w:lang w:bidi="th-TH"/>
        </w:rPr>
      </w:pPr>
      <w:r>
        <w:rPr>
          <w:rFonts w:ascii="Calibri" w:eastAsia="Arial Unicode MS" w:hAnsi="Calibri"/>
          <w:b/>
          <w:smallCaps/>
          <w:w w:val="0"/>
          <w:sz w:val="22"/>
          <w:szCs w:val="22"/>
          <w:lang w:bidi="th-TH"/>
        </w:rPr>
        <w:t xml:space="preserve">CETIP S.A. – Mercados Organizados </w:t>
      </w:r>
      <w:r>
        <w:rPr>
          <w:rFonts w:ascii="Calibri" w:eastAsia="Arial Unicode MS" w:hAnsi="Calibri"/>
          <w:bCs/>
          <w:w w:val="0"/>
          <w:sz w:val="22"/>
          <w:szCs w:val="22"/>
          <w:lang w:bidi="th-TH"/>
        </w:rPr>
        <w:t>(“</w:t>
      </w:r>
      <w:r>
        <w:rPr>
          <w:rFonts w:ascii="Calibri" w:eastAsia="Arial Unicode MS" w:hAnsi="Calibri"/>
          <w:bCs/>
          <w:w w:val="0"/>
          <w:sz w:val="22"/>
          <w:szCs w:val="22"/>
          <w:u w:val="single"/>
          <w:lang w:bidi="th-TH"/>
        </w:rPr>
        <w:t>CETIP</w:t>
      </w:r>
      <w:r>
        <w:rPr>
          <w:rFonts w:ascii="Calibri" w:eastAsia="Arial Unicode MS" w:hAnsi="Calibri"/>
          <w:bCs/>
          <w:w w:val="0"/>
          <w:sz w:val="22"/>
          <w:szCs w:val="22"/>
          <w:lang w:bidi="th-TH"/>
        </w:rPr>
        <w:t>”)</w:t>
      </w:r>
    </w:p>
    <w:p>
      <w:pPr>
        <w:widowControl w:val="0"/>
        <w:shd w:val="clear" w:color="auto" w:fill="FFFFFF"/>
        <w:tabs>
          <w:tab w:val="left" w:pos="24"/>
          <w:tab w:val="left" w:pos="284"/>
          <w:tab w:val="left" w:pos="900"/>
          <w:tab w:val="left" w:pos="1800"/>
          <w:tab w:val="left" w:pos="2700"/>
          <w:tab w:val="left" w:pos="3600"/>
          <w:tab w:val="left" w:pos="4500"/>
          <w:tab w:val="left" w:pos="5400"/>
          <w:tab w:val="left" w:pos="6300"/>
          <w:tab w:val="left" w:pos="7200"/>
          <w:tab w:val="left" w:pos="8100"/>
          <w:tab w:val="left" w:pos="9000"/>
        </w:tabs>
        <w:suppressAutoHyphens/>
        <w:jc w:val="both"/>
        <w:rPr>
          <w:rFonts w:ascii="Calibri" w:eastAsia="Arial Unicode MS" w:hAnsi="Calibri"/>
          <w:w w:val="0"/>
          <w:sz w:val="22"/>
          <w:szCs w:val="22"/>
          <w:lang w:bidi="th-TH"/>
        </w:rPr>
      </w:pPr>
      <w:r>
        <w:rPr>
          <w:rFonts w:ascii="Calibri" w:eastAsia="Arial Unicode MS" w:hAnsi="Calibri"/>
          <w:w w:val="0"/>
          <w:sz w:val="22"/>
          <w:szCs w:val="22"/>
          <w:lang w:bidi="th-TH"/>
        </w:rPr>
        <w:t xml:space="preserve">Alameda Xingu, 350 – Edifício </w:t>
      </w:r>
      <w:proofErr w:type="spellStart"/>
      <w:r>
        <w:rPr>
          <w:rFonts w:ascii="Calibri" w:eastAsia="Arial Unicode MS" w:hAnsi="Calibri"/>
          <w:w w:val="0"/>
          <w:sz w:val="22"/>
          <w:szCs w:val="22"/>
          <w:lang w:bidi="th-TH"/>
        </w:rPr>
        <w:t>iTower</w:t>
      </w:r>
      <w:proofErr w:type="spellEnd"/>
      <w:r>
        <w:rPr>
          <w:rFonts w:ascii="Calibri" w:eastAsia="Arial Unicode MS" w:hAnsi="Calibri"/>
          <w:w w:val="0"/>
          <w:sz w:val="22"/>
          <w:szCs w:val="22"/>
          <w:lang w:bidi="th-TH"/>
        </w:rPr>
        <w:t>, 2º andar</w:t>
      </w:r>
    </w:p>
    <w:p>
      <w:pPr>
        <w:rPr>
          <w:rFonts w:asciiTheme="minorHAnsi" w:hAnsiTheme="minorHAnsi"/>
          <w:sz w:val="22"/>
          <w:szCs w:val="22"/>
        </w:rPr>
      </w:pPr>
      <w:r>
        <w:rPr>
          <w:rFonts w:ascii="Calibri" w:eastAsia="Arial Unicode MS" w:hAnsi="Calibri"/>
          <w:w w:val="0"/>
          <w:sz w:val="22"/>
          <w:szCs w:val="22"/>
          <w:lang w:bidi="th-TH"/>
        </w:rPr>
        <w:t xml:space="preserve">CEP </w:t>
      </w:r>
      <w:r>
        <w:rPr>
          <w:rFonts w:asciiTheme="minorHAnsi" w:hAnsiTheme="minorHAnsi"/>
          <w:sz w:val="22"/>
          <w:szCs w:val="22"/>
        </w:rPr>
        <w:t>06455-30</w:t>
      </w:r>
      <w:r>
        <w:rPr>
          <w:rFonts w:ascii="Calibri" w:eastAsia="Arial Unicode MS" w:hAnsi="Calibri"/>
          <w:w w:val="0"/>
          <w:sz w:val="22"/>
          <w:szCs w:val="22"/>
          <w:lang w:bidi="th-TH"/>
        </w:rPr>
        <w:t xml:space="preserve"> – Barueri, SP</w:t>
      </w:r>
    </w:p>
    <w:p>
      <w:pPr>
        <w:widowControl w:val="0"/>
        <w:shd w:val="clear" w:color="auto" w:fill="FFFFFF"/>
        <w:tabs>
          <w:tab w:val="left" w:pos="24"/>
          <w:tab w:val="left" w:pos="284"/>
          <w:tab w:val="left" w:pos="900"/>
          <w:tab w:val="left" w:pos="1800"/>
          <w:tab w:val="left" w:pos="2700"/>
          <w:tab w:val="left" w:pos="3600"/>
          <w:tab w:val="left" w:pos="4500"/>
          <w:tab w:val="left" w:pos="5400"/>
          <w:tab w:val="left" w:pos="6300"/>
          <w:tab w:val="left" w:pos="7200"/>
          <w:tab w:val="left" w:pos="8100"/>
          <w:tab w:val="left" w:pos="9000"/>
        </w:tabs>
        <w:suppressAutoHyphens/>
        <w:jc w:val="both"/>
        <w:rPr>
          <w:rFonts w:ascii="Calibri" w:eastAsia="Arial Unicode MS" w:hAnsi="Calibri"/>
          <w:w w:val="0"/>
          <w:sz w:val="22"/>
          <w:szCs w:val="22"/>
          <w:lang w:bidi="th-TH"/>
        </w:rPr>
      </w:pPr>
      <w:r>
        <w:rPr>
          <w:rFonts w:ascii="Calibri" w:eastAsia="Arial Unicode MS" w:hAnsi="Calibri"/>
          <w:w w:val="0"/>
          <w:sz w:val="22"/>
          <w:szCs w:val="22"/>
          <w:lang w:bidi="th-TH"/>
        </w:rPr>
        <w:t>At.: Gerência de Valores Mobiliários</w:t>
      </w:r>
    </w:p>
    <w:p>
      <w:pPr>
        <w:ind w:right="-45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 xml:space="preserve">(por e-mail: </w:t>
      </w:r>
      <w:hyperlink r:id="rId8" w:history="1">
        <w:r>
          <w:rPr>
            <w:rStyle w:val="Hyperlink"/>
            <w:rFonts w:ascii="Calibri" w:hAnsi="Calibri"/>
            <w:i/>
            <w:sz w:val="22"/>
            <w:szCs w:val="22"/>
          </w:rPr>
          <w:t>gr.debentures@cetip.com.br</w:t>
        </w:r>
      </w:hyperlink>
      <w:r>
        <w:rPr>
          <w:rFonts w:ascii="Calibri" w:hAnsi="Calibri"/>
          <w:i/>
          <w:sz w:val="22"/>
          <w:szCs w:val="22"/>
        </w:rPr>
        <w:t xml:space="preserve"> e </w:t>
      </w:r>
      <w:hyperlink r:id="rId9" w:history="1">
        <w:r>
          <w:rPr>
            <w:rStyle w:val="Hyperlink"/>
            <w:rFonts w:ascii="Calibri" w:hAnsi="Calibri"/>
            <w:i/>
            <w:sz w:val="22"/>
            <w:szCs w:val="22"/>
          </w:rPr>
          <w:t>valores.mobiliarios@cetip.com.br</w:t>
        </w:r>
      </w:hyperlink>
      <w:r>
        <w:rPr>
          <w:rFonts w:ascii="Calibri" w:hAnsi="Calibri"/>
          <w:i/>
          <w:sz w:val="22"/>
          <w:szCs w:val="22"/>
        </w:rPr>
        <w:t>)</w:t>
      </w:r>
    </w:p>
    <w:p>
      <w:pPr>
        <w:ind w:right="-45"/>
        <w:rPr>
          <w:rFonts w:ascii="Calibri" w:hAnsi="Calibri"/>
          <w:b/>
          <w:sz w:val="22"/>
          <w:szCs w:val="22"/>
        </w:rPr>
      </w:pPr>
    </w:p>
    <w:p>
      <w:pPr>
        <w:ind w:left="450" w:right="-45" w:hanging="450"/>
        <w:jc w:val="both"/>
        <w:rPr>
          <w:rFonts w:ascii="Calibri" w:hAnsi="Calibri"/>
          <w:b/>
          <w:smallCaps/>
          <w:sz w:val="22"/>
          <w:szCs w:val="22"/>
        </w:rPr>
      </w:pPr>
      <w:r>
        <w:rPr>
          <w:rFonts w:ascii="Calibri" w:hAnsi="Calibri"/>
          <w:b/>
          <w:smallCaps/>
          <w:sz w:val="22"/>
          <w:szCs w:val="22"/>
        </w:rPr>
        <w:t xml:space="preserve">Ref.: </w:t>
      </w:r>
      <w:r>
        <w:rPr>
          <w:rFonts w:ascii="Calibri" w:hAnsi="Calibri"/>
          <w:b/>
          <w:smallCaps/>
          <w:sz w:val="22"/>
          <w:szCs w:val="22"/>
          <w:u w:val="single"/>
        </w:rPr>
        <w:t>Comunicação da Realização do Resgate Antecipado Facultativo Parcial das Debêntures da 1º (Primeira) Emissão Pública de Debêntures Simples, Não Conversíveis em Ações, da Espécie com Garantia Real e com Garantia Fidejussória Adicional, Distribuídas com Esforços Restritos de Colocação, da Estre Ambiental S.A. – Ativo “ETAM11”</w:t>
      </w:r>
      <w:r>
        <w:rPr>
          <w:rFonts w:ascii="Calibri" w:hAnsi="Calibri"/>
          <w:b/>
          <w:smallCaps/>
          <w:sz w:val="22"/>
          <w:szCs w:val="22"/>
        </w:rPr>
        <w:t>.</w:t>
      </w:r>
    </w:p>
    <w:p>
      <w:pPr>
        <w:ind w:right="-45"/>
        <w:rPr>
          <w:rFonts w:ascii="Calibri" w:hAnsi="Calibri"/>
          <w:b/>
          <w:sz w:val="22"/>
          <w:szCs w:val="22"/>
        </w:rPr>
      </w:pPr>
    </w:p>
    <w:p>
      <w:pPr>
        <w:ind w:right="-45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Prezados Senhores,</w:t>
      </w:r>
    </w:p>
    <w:p>
      <w:pPr>
        <w:ind w:right="-45"/>
        <w:rPr>
          <w:rFonts w:ascii="Calibri" w:hAnsi="Calibri"/>
          <w:b/>
          <w:sz w:val="22"/>
          <w:szCs w:val="22"/>
        </w:rPr>
      </w:pPr>
    </w:p>
    <w:p>
      <w:pPr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  <w:t xml:space="preserve">A </w:t>
      </w:r>
      <w:r>
        <w:rPr>
          <w:rFonts w:asciiTheme="minorHAnsi" w:hAnsiTheme="minorHAnsi"/>
          <w:b/>
          <w:smallCaps/>
          <w:sz w:val="22"/>
          <w:szCs w:val="22"/>
        </w:rPr>
        <w:t>Estre Ambiental S.A.</w:t>
      </w:r>
      <w:r>
        <w:rPr>
          <w:rFonts w:asciiTheme="minorHAnsi" w:hAnsiTheme="minorHAnsi"/>
          <w:caps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sociedade por ações sem registro de companhia aberta na Comissão de Valores Mobiliários (“</w:t>
      </w:r>
      <w:r>
        <w:rPr>
          <w:rFonts w:asciiTheme="minorHAnsi" w:hAnsiTheme="minorHAnsi"/>
          <w:sz w:val="22"/>
          <w:szCs w:val="22"/>
          <w:u w:val="single"/>
        </w:rPr>
        <w:t>CVM</w:t>
      </w:r>
      <w:r>
        <w:rPr>
          <w:rFonts w:asciiTheme="minorHAnsi" w:hAnsiTheme="minorHAnsi"/>
          <w:sz w:val="22"/>
          <w:szCs w:val="22"/>
        </w:rPr>
        <w:t>”), com sede na Avenida Presidente Juscelino Kubitschek, 1.830, Torre I, 3º andar, CEP 04543-000, na Cidade de São Paulo, Estado de São Paulo, inscrita no Cadastro Nacional da Pessoa Jurídica do Ministério da Fazenda (“</w:t>
      </w:r>
      <w:r>
        <w:rPr>
          <w:rFonts w:asciiTheme="minorHAnsi" w:hAnsiTheme="minorHAnsi"/>
          <w:sz w:val="22"/>
          <w:szCs w:val="22"/>
          <w:u w:val="single"/>
        </w:rPr>
        <w:t>CNPJ/MF</w:t>
      </w:r>
      <w:r>
        <w:rPr>
          <w:rFonts w:asciiTheme="minorHAnsi" w:hAnsiTheme="minorHAnsi"/>
          <w:sz w:val="22"/>
          <w:szCs w:val="22"/>
        </w:rPr>
        <w:t>”) sob o nº 03.147.393/0001-59, neste ato representada na forma de seu estatuto social (“</w:t>
      </w:r>
      <w:r>
        <w:rPr>
          <w:rFonts w:asciiTheme="minorHAnsi" w:hAnsiTheme="minorHAnsi"/>
          <w:sz w:val="22"/>
          <w:szCs w:val="22"/>
          <w:u w:val="single"/>
        </w:rPr>
        <w:t>Emissora</w:t>
      </w:r>
      <w:r>
        <w:rPr>
          <w:rFonts w:asciiTheme="minorHAnsi" w:hAnsiTheme="minorHAnsi"/>
          <w:sz w:val="22"/>
          <w:szCs w:val="22"/>
        </w:rPr>
        <w:t>”)</w:t>
      </w:r>
      <w:r>
        <w:rPr>
          <w:rFonts w:ascii="Calibri" w:hAnsi="Calibri"/>
          <w:sz w:val="22"/>
          <w:szCs w:val="22"/>
        </w:rPr>
        <w:t>, em atendimento ao disposto na “</w:t>
      </w:r>
      <w:r>
        <w:rPr>
          <w:rFonts w:ascii="Calibri" w:hAnsi="Calibri"/>
          <w:bCs/>
          <w:i/>
          <w:sz w:val="22"/>
          <w:szCs w:val="22"/>
        </w:rPr>
        <w:t>Ata Da Assembleia Geral de Debenturistas</w:t>
      </w:r>
      <w:r>
        <w:rPr>
          <w:rFonts w:ascii="Calibri" w:hAnsi="Calibri"/>
          <w:i/>
          <w:sz w:val="22"/>
          <w:szCs w:val="22"/>
        </w:rPr>
        <w:t xml:space="preserve"> </w:t>
      </w:r>
      <w:r>
        <w:rPr>
          <w:rFonts w:ascii="Calibri" w:hAnsi="Calibri"/>
          <w:bCs/>
          <w:i/>
          <w:sz w:val="22"/>
          <w:szCs w:val="22"/>
        </w:rPr>
        <w:t>da Primeira Emissão de Debêntures Simples, Não Conversíveis em Ações, da Espécie com Garantia Real e Fidejussória Adicional, para Distribuição Pública com Esforços Restritos de Colocação, da Estre Ambiental S.A.”</w:t>
      </w:r>
      <w:r>
        <w:rPr>
          <w:rFonts w:ascii="Calibri" w:hAnsi="Calibri"/>
          <w:bCs/>
          <w:sz w:val="22"/>
          <w:szCs w:val="22"/>
        </w:rPr>
        <w:t>,</w:t>
      </w:r>
      <w:r>
        <w:rPr>
          <w:rFonts w:ascii="Calibri" w:hAnsi="Calibri"/>
          <w:bCs/>
          <w:i/>
          <w:sz w:val="22"/>
          <w:szCs w:val="22"/>
        </w:rPr>
        <w:t xml:space="preserve"> </w:t>
      </w:r>
      <w:r>
        <w:rPr>
          <w:rFonts w:ascii="Calibri" w:hAnsi="Calibri"/>
          <w:bCs/>
          <w:sz w:val="22"/>
          <w:szCs w:val="22"/>
        </w:rPr>
        <w:t xml:space="preserve">realizada em 21 de junho de 2017 entre a Emissora, o </w:t>
      </w:r>
      <w:r>
        <w:rPr>
          <w:rFonts w:ascii="Calibri" w:hAnsi="Calibri"/>
          <w:b/>
          <w:bCs/>
          <w:smallCaps/>
          <w:sz w:val="22"/>
          <w:szCs w:val="22"/>
        </w:rPr>
        <w:t xml:space="preserve">Banco BTG Pactual S.A., </w:t>
      </w:r>
      <w:r>
        <w:rPr>
          <w:rFonts w:ascii="Calibri" w:hAnsi="Calibri"/>
          <w:bCs/>
          <w:sz w:val="22"/>
          <w:szCs w:val="22"/>
        </w:rPr>
        <w:t>sociedade por ações com registro de companhia aberta na CVM,</w:t>
      </w:r>
      <w:r>
        <w:rPr>
          <w:rFonts w:ascii="Calibri" w:hAnsi="Calibri"/>
          <w:sz w:val="22"/>
        </w:rPr>
        <w:t xml:space="preserve"> com escritório na Avenida Brigadeiro Faria Lima, 3.477, 14º andar, CEP 04538-133, na </w:t>
      </w:r>
      <w:r>
        <w:rPr>
          <w:rFonts w:ascii="Calibri" w:eastAsia="Calibri" w:hAnsi="Calibri"/>
          <w:sz w:val="22"/>
          <w:szCs w:val="22"/>
        </w:rPr>
        <w:t>Cidade</w:t>
      </w:r>
      <w:r>
        <w:rPr>
          <w:rFonts w:ascii="Calibri" w:hAnsi="Calibri"/>
          <w:sz w:val="22"/>
        </w:rPr>
        <w:t xml:space="preserve"> de São Paulo, Estado de São Paulo, inscrito no CNPJ/MF sob nº</w:t>
      </w:r>
      <w:r>
        <w:rPr>
          <w:rFonts w:ascii="Calibri" w:hAnsi="Calibri"/>
          <w:sz w:val="22"/>
          <w:szCs w:val="22"/>
        </w:rPr>
        <w:t> </w:t>
      </w:r>
      <w:r>
        <w:rPr>
          <w:rFonts w:ascii="Calibri" w:hAnsi="Calibri"/>
          <w:sz w:val="22"/>
        </w:rPr>
        <w:t>30.306.294/0002-26, neste ato representado na forma do seu estatuto social</w:t>
      </w:r>
      <w:r>
        <w:rPr>
          <w:rFonts w:ascii="Calibri" w:hAnsi="Calibri"/>
          <w:bCs/>
          <w:sz w:val="22"/>
          <w:szCs w:val="22"/>
        </w:rPr>
        <w:t xml:space="preserve"> (“</w:t>
      </w:r>
      <w:r>
        <w:rPr>
          <w:rFonts w:ascii="Calibri" w:hAnsi="Calibri"/>
          <w:bCs/>
          <w:sz w:val="22"/>
          <w:szCs w:val="22"/>
          <w:u w:val="single"/>
        </w:rPr>
        <w:t>Debenturista</w:t>
      </w:r>
      <w:r>
        <w:rPr>
          <w:rFonts w:ascii="Calibri" w:hAnsi="Calibri"/>
          <w:bCs/>
          <w:sz w:val="22"/>
          <w:szCs w:val="22"/>
        </w:rPr>
        <w:t xml:space="preserve">”) e a </w:t>
      </w:r>
      <w:r>
        <w:rPr>
          <w:rFonts w:asciiTheme="minorHAnsi" w:hAnsiTheme="minorHAnsi"/>
          <w:b/>
          <w:smallCaps/>
          <w:sz w:val="22"/>
          <w:szCs w:val="22"/>
        </w:rPr>
        <w:t>Oliveira Trust Distribuidora De Títulos E Valores Mobiliários S.A.</w:t>
      </w:r>
      <w:r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/>
          <w:bCs/>
          <w:sz w:val="22"/>
          <w:szCs w:val="22"/>
        </w:rPr>
        <w:t>instituição financeira credenciada pelo Banco Central do Brasil, com sede na Avenida das Américas, 3.434, Bloco 7, Sala 201, Barra da Tijuca, CEP 22640-102, na Cidade do Rio de Janeiro, Estado do Rio de Janeiro, inscrita no CNPJ/MF sob o nº 36.113.876/0001-91, neste ato representada na forma de seu estatuto social (“</w:t>
      </w:r>
      <w:r>
        <w:rPr>
          <w:rFonts w:asciiTheme="minorHAnsi" w:hAnsiTheme="minorHAnsi"/>
          <w:bCs/>
          <w:sz w:val="22"/>
          <w:szCs w:val="22"/>
          <w:u w:val="single"/>
        </w:rPr>
        <w:t>Agente Fiduciário</w:t>
      </w:r>
      <w:r>
        <w:rPr>
          <w:rFonts w:asciiTheme="minorHAnsi" w:hAnsiTheme="minorHAnsi"/>
          <w:bCs/>
          <w:sz w:val="22"/>
          <w:szCs w:val="22"/>
        </w:rPr>
        <w:t>”), vem, pela presente, comunicar a realização do Resgate Antecipado Parcial (conforme definido na Escritura) de 356 (trezentas e cinquenta e seis) debêntures distribuídas no âmbito do “</w:t>
      </w:r>
      <w:r>
        <w:rPr>
          <w:rFonts w:asciiTheme="minorHAnsi" w:hAnsiTheme="minorHAnsi"/>
          <w:bCs/>
          <w:i/>
          <w:sz w:val="22"/>
          <w:szCs w:val="22"/>
        </w:rPr>
        <w:t>Instrumento Particular de Escritura da 1ª Emissão de Debêntures Simples, Não Conversíveis em Ações, da Espécie Subordinada, a Ser Convolada em Espécie com Garantia Real e com Garantia Fidejussória Adicional, para Distribuição Pública com Esforços Restritos de Colocação, da Estre Ambiental S.A.”</w:t>
      </w:r>
      <w:r>
        <w:rPr>
          <w:rFonts w:asciiTheme="minorHAnsi" w:hAnsiTheme="minorHAnsi"/>
          <w:bCs/>
          <w:sz w:val="22"/>
          <w:szCs w:val="22"/>
        </w:rPr>
        <w:t xml:space="preserve">, conforme aditado de tempos e tempos, celebrado entre a Emissora, o Sr. Wilson </w:t>
      </w:r>
      <w:proofErr w:type="spellStart"/>
      <w:r>
        <w:rPr>
          <w:rFonts w:asciiTheme="minorHAnsi" w:hAnsiTheme="minorHAnsi"/>
          <w:bCs/>
          <w:sz w:val="22"/>
          <w:szCs w:val="22"/>
        </w:rPr>
        <w:t>Quintella</w:t>
      </w:r>
      <w:proofErr w:type="spellEnd"/>
      <w:r>
        <w:rPr>
          <w:rFonts w:asciiTheme="minorHAnsi" w:hAnsiTheme="minorHAnsi"/>
          <w:bCs/>
          <w:sz w:val="22"/>
          <w:szCs w:val="22"/>
        </w:rPr>
        <w:t xml:space="preserve"> Filho, na qualidade de fiador com a anuência de sua cônjuge Sra. Tatiana </w:t>
      </w:r>
      <w:proofErr w:type="spellStart"/>
      <w:r>
        <w:rPr>
          <w:rFonts w:asciiTheme="minorHAnsi" w:hAnsiTheme="minorHAnsi"/>
          <w:bCs/>
          <w:sz w:val="22"/>
          <w:szCs w:val="22"/>
        </w:rPr>
        <w:t>Stefani</w:t>
      </w:r>
      <w:proofErr w:type="spellEnd"/>
      <w:r>
        <w:rPr>
          <w:rFonts w:asciiTheme="minorHAnsi" w:hAnsi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bCs/>
          <w:sz w:val="22"/>
          <w:szCs w:val="22"/>
        </w:rPr>
        <w:t>Quintella</w:t>
      </w:r>
      <w:proofErr w:type="spellEnd"/>
      <w:r>
        <w:rPr>
          <w:rFonts w:asciiTheme="minorHAnsi" w:hAnsiTheme="minorHAnsi"/>
          <w:bCs/>
          <w:sz w:val="22"/>
          <w:szCs w:val="22"/>
        </w:rPr>
        <w:t xml:space="preserve">, o Agente Fiduciário e a Estre Coleta Holding S.A., na qualidade de interveniente anuente </w:t>
      </w:r>
      <w:r>
        <w:rPr>
          <w:rFonts w:ascii="Calibri" w:hAnsi="Calibri"/>
          <w:sz w:val="22"/>
          <w:szCs w:val="22"/>
        </w:rPr>
        <w:t>(“</w:t>
      </w:r>
      <w:r>
        <w:rPr>
          <w:rFonts w:ascii="Calibri" w:hAnsi="Calibri"/>
          <w:sz w:val="22"/>
          <w:szCs w:val="22"/>
          <w:u w:val="single"/>
        </w:rPr>
        <w:t>Debêntures</w:t>
      </w:r>
      <w:r>
        <w:rPr>
          <w:rFonts w:ascii="Calibri" w:hAnsi="Calibri"/>
          <w:sz w:val="22"/>
          <w:szCs w:val="22"/>
        </w:rPr>
        <w:t>”, “</w:t>
      </w:r>
      <w:r>
        <w:rPr>
          <w:rFonts w:ascii="Calibri" w:hAnsi="Calibri"/>
          <w:sz w:val="22"/>
          <w:szCs w:val="22"/>
          <w:u w:val="single"/>
        </w:rPr>
        <w:t>Escritura</w:t>
      </w:r>
      <w:r>
        <w:rPr>
          <w:rFonts w:ascii="Calibri" w:hAnsi="Calibri"/>
          <w:sz w:val="22"/>
          <w:szCs w:val="22"/>
        </w:rPr>
        <w:t>” e “</w:t>
      </w:r>
      <w:r>
        <w:rPr>
          <w:rFonts w:ascii="Calibri" w:hAnsi="Calibri"/>
          <w:sz w:val="22"/>
          <w:szCs w:val="22"/>
          <w:u w:val="single"/>
        </w:rPr>
        <w:t>Emissão</w:t>
      </w:r>
      <w:r>
        <w:rPr>
          <w:rFonts w:ascii="Calibri" w:hAnsi="Calibri"/>
          <w:sz w:val="22"/>
          <w:szCs w:val="22"/>
        </w:rPr>
        <w:t>”, respectivamente)</w:t>
      </w:r>
      <w:r>
        <w:rPr>
          <w:rFonts w:ascii="Calibri" w:hAnsi="Calibri"/>
          <w:bCs/>
          <w:sz w:val="22"/>
          <w:szCs w:val="22"/>
        </w:rPr>
        <w:t>, com o consequente cancelamento de tais Debêntures (“</w:t>
      </w:r>
      <w:r>
        <w:rPr>
          <w:rFonts w:ascii="Calibri" w:hAnsi="Calibri"/>
          <w:bCs/>
          <w:sz w:val="22"/>
          <w:szCs w:val="22"/>
          <w:u w:val="single"/>
        </w:rPr>
        <w:t>Resgate Antecipado</w:t>
      </w:r>
      <w:r>
        <w:rPr>
          <w:rFonts w:ascii="Calibri" w:hAnsi="Calibri"/>
          <w:bCs/>
          <w:sz w:val="22"/>
          <w:szCs w:val="22"/>
        </w:rPr>
        <w:t xml:space="preserve">”), </w:t>
      </w:r>
      <w:r>
        <w:rPr>
          <w:rFonts w:ascii="Calibri" w:hAnsi="Calibri"/>
          <w:bCs/>
          <w:sz w:val="22"/>
          <w:szCs w:val="22"/>
        </w:rPr>
        <w:lastRenderedPageBreak/>
        <w:t>observados os procedimentos descritos nas Cláusulas 5.3.1 e 5.3.1.2 da Escritura e os termos e condições abaixo previstos.</w:t>
      </w:r>
    </w:p>
    <w:p>
      <w:pPr>
        <w:jc w:val="both"/>
        <w:rPr>
          <w:rFonts w:ascii="Calibri" w:hAnsi="Calibri"/>
          <w:bCs/>
          <w:sz w:val="22"/>
          <w:szCs w:val="22"/>
        </w:rPr>
      </w:pPr>
    </w:p>
    <w:p>
      <w:pPr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Todos os termos não definidos neste comunicado devem ser interpretados conforme suas definições atribuídas na Escritura.</w:t>
      </w:r>
    </w:p>
    <w:p>
      <w:pPr>
        <w:jc w:val="both"/>
        <w:rPr>
          <w:rFonts w:ascii="Calibri" w:hAnsi="Calibri"/>
          <w:bCs/>
          <w:sz w:val="22"/>
          <w:szCs w:val="22"/>
        </w:rPr>
      </w:pPr>
    </w:p>
    <w:p>
      <w:pPr>
        <w:jc w:val="both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I.</w:t>
      </w:r>
      <w:r>
        <w:rPr>
          <w:rFonts w:ascii="Calibri" w:hAnsi="Calibri"/>
          <w:b/>
          <w:bCs/>
          <w:sz w:val="22"/>
          <w:szCs w:val="22"/>
        </w:rPr>
        <w:tab/>
      </w:r>
      <w:r>
        <w:rPr>
          <w:rFonts w:ascii="Calibri" w:hAnsi="Calibri"/>
          <w:bCs/>
          <w:sz w:val="22"/>
          <w:szCs w:val="22"/>
        </w:rPr>
        <w:t xml:space="preserve">o Resgate Antecipado será aplicado a </w:t>
      </w:r>
      <w:r>
        <w:rPr>
          <w:rFonts w:asciiTheme="minorHAnsi" w:hAnsiTheme="minorHAnsi"/>
          <w:bCs/>
          <w:sz w:val="22"/>
          <w:szCs w:val="22"/>
        </w:rPr>
        <w:t>356 (trezentas e cinquenta e seis)</w:t>
      </w:r>
      <w:r>
        <w:rPr>
          <w:rFonts w:ascii="Calibri" w:hAnsi="Calibri"/>
          <w:bCs/>
          <w:sz w:val="22"/>
          <w:szCs w:val="22"/>
        </w:rPr>
        <w:t xml:space="preserve"> Debêntures em circulação, tendo em vista a repactuação das obrigações da Emissora no âmbito da Emissão por meio do “</w:t>
      </w:r>
      <w:r>
        <w:rPr>
          <w:rFonts w:ascii="Calibri" w:hAnsi="Calibri"/>
          <w:bCs/>
          <w:i/>
          <w:sz w:val="22"/>
          <w:szCs w:val="22"/>
        </w:rPr>
        <w:t>Instrumento Particular de Confissão de Dívida Sob Condição Suspensiva Nº CD7/17</w:t>
      </w:r>
      <w:r>
        <w:rPr>
          <w:rFonts w:ascii="Calibri" w:hAnsi="Calibri"/>
          <w:bCs/>
          <w:sz w:val="22"/>
          <w:szCs w:val="22"/>
        </w:rPr>
        <w:t>”, celebrado entre a Emissora e o Debenturista em 13 de junho de 2017 (“</w:t>
      </w:r>
      <w:r>
        <w:rPr>
          <w:rFonts w:ascii="Calibri" w:hAnsi="Calibri"/>
          <w:bCs/>
          <w:sz w:val="22"/>
          <w:szCs w:val="22"/>
          <w:u w:val="single"/>
        </w:rPr>
        <w:t>Instrumento de Confissão</w:t>
      </w:r>
      <w:r>
        <w:rPr>
          <w:rFonts w:ascii="Calibri" w:hAnsi="Calibri"/>
          <w:bCs/>
          <w:sz w:val="22"/>
          <w:szCs w:val="22"/>
        </w:rPr>
        <w:t>”) e do efetivo registro do “</w:t>
      </w:r>
      <w:r>
        <w:rPr>
          <w:rFonts w:ascii="Calibri" w:hAnsi="Calibri"/>
          <w:bCs/>
          <w:i/>
          <w:sz w:val="22"/>
          <w:szCs w:val="22"/>
        </w:rPr>
        <w:t xml:space="preserve">Instrumento Particular de Alienação Fiduciária de Imóveis em Garantia e Outras Avenças Sob Condição Suspensiva”, </w:t>
      </w:r>
      <w:r>
        <w:rPr>
          <w:rFonts w:ascii="Calibri" w:hAnsi="Calibri"/>
          <w:bCs/>
          <w:sz w:val="22"/>
          <w:szCs w:val="22"/>
        </w:rPr>
        <w:t>celebrado em 19 de junho de 2017 entre a Emissora e o Debenturista, o qual foi protocolado junto ao 4º Cartório de Registro de Imóveis de Campinas Estado de São Paulo.</w:t>
      </w:r>
    </w:p>
    <w:p>
      <w:pPr>
        <w:jc w:val="both"/>
        <w:rPr>
          <w:rFonts w:ascii="Calibri" w:hAnsi="Calibri"/>
          <w:bCs/>
          <w:sz w:val="22"/>
          <w:szCs w:val="22"/>
        </w:rPr>
      </w:pPr>
    </w:p>
    <w:p>
      <w:pPr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II.</w:t>
      </w:r>
      <w:r>
        <w:rPr>
          <w:rFonts w:ascii="Calibri" w:hAnsi="Calibri"/>
          <w:b/>
          <w:bCs/>
          <w:sz w:val="22"/>
          <w:szCs w:val="22"/>
        </w:rPr>
        <w:tab/>
      </w:r>
      <w:r>
        <w:rPr>
          <w:rFonts w:ascii="Calibri" w:hAnsi="Calibri"/>
          <w:bCs/>
          <w:sz w:val="22"/>
          <w:szCs w:val="22"/>
        </w:rPr>
        <w:t xml:space="preserve">o efetivo Resgate Antecipado das </w:t>
      </w:r>
      <w:r>
        <w:rPr>
          <w:rFonts w:asciiTheme="minorHAnsi" w:hAnsiTheme="minorHAnsi"/>
          <w:bCs/>
          <w:sz w:val="22"/>
          <w:szCs w:val="22"/>
        </w:rPr>
        <w:t>356 (trezentas e cinquenta e seis)</w:t>
      </w:r>
      <w:r>
        <w:rPr>
          <w:rFonts w:ascii="Calibri" w:hAnsi="Calibri"/>
          <w:bCs/>
          <w:sz w:val="22"/>
          <w:szCs w:val="22"/>
        </w:rPr>
        <w:t xml:space="preserve"> Debêntures ocorrerá em uma única data, em até 05 (cinco) dias úteis contados da data desta comunicação, observado o prazo previsto na Cláusula 5.3.1.2 da Escritura e o disposto no item “iii” abaixo.</w:t>
      </w:r>
    </w:p>
    <w:p>
      <w:pPr>
        <w:jc w:val="both"/>
        <w:rPr>
          <w:rFonts w:ascii="Calibri" w:hAnsi="Calibri"/>
          <w:bCs/>
          <w:sz w:val="22"/>
          <w:szCs w:val="22"/>
        </w:rPr>
      </w:pPr>
    </w:p>
    <w:p>
      <w:pPr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III.</w:t>
      </w:r>
      <w:r>
        <w:rPr>
          <w:rFonts w:ascii="Calibri" w:hAnsi="Calibri"/>
          <w:bCs/>
          <w:sz w:val="22"/>
          <w:szCs w:val="22"/>
        </w:rPr>
        <w:tab/>
        <w:t xml:space="preserve">sem prejuízo do disposto nos itens “i” e “ii” acima, a efetiva realização do Resgate Antecipado das </w:t>
      </w:r>
      <w:r>
        <w:rPr>
          <w:rFonts w:asciiTheme="minorHAnsi" w:hAnsiTheme="minorHAnsi"/>
          <w:bCs/>
          <w:sz w:val="22"/>
          <w:szCs w:val="22"/>
        </w:rPr>
        <w:t>356 (trezentas e cinquenta e seis)</w:t>
      </w:r>
      <w:r>
        <w:rPr>
          <w:rFonts w:ascii="Calibri" w:hAnsi="Calibri"/>
          <w:bCs/>
          <w:sz w:val="22"/>
          <w:szCs w:val="22"/>
        </w:rPr>
        <w:t xml:space="preserve"> Debêntures apenas ocorrerá após envio ao Escriturador, pela Emissora, de ordem de resgate das </w:t>
      </w:r>
      <w:r>
        <w:rPr>
          <w:rFonts w:asciiTheme="minorHAnsi" w:hAnsiTheme="minorHAnsi"/>
          <w:bCs/>
          <w:sz w:val="22"/>
          <w:szCs w:val="22"/>
        </w:rPr>
        <w:t>356 (trezentas e cinquenta e seis)</w:t>
      </w:r>
      <w:r>
        <w:rPr>
          <w:rFonts w:ascii="Calibri" w:hAnsi="Calibri"/>
          <w:bCs/>
          <w:sz w:val="22"/>
          <w:szCs w:val="22"/>
        </w:rPr>
        <w:t xml:space="preserve"> Debêntures, a qual deverá contar com a anuência do Agente Fiduciário e do Debenturista.</w:t>
      </w:r>
    </w:p>
    <w:p>
      <w:pPr>
        <w:jc w:val="both"/>
        <w:rPr>
          <w:rFonts w:ascii="Calibri" w:hAnsi="Calibri"/>
          <w:bCs/>
          <w:sz w:val="22"/>
          <w:szCs w:val="22"/>
        </w:rPr>
      </w:pPr>
    </w:p>
    <w:p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  <w:t>Permanecemos à disposição para quaisquer esclarecimentos julgados necessários.</w:t>
      </w:r>
    </w:p>
    <w:p>
      <w:pPr>
        <w:tabs>
          <w:tab w:val="left" w:pos="0"/>
          <w:tab w:val="left" w:pos="360"/>
        </w:tabs>
        <w:jc w:val="both"/>
        <w:rPr>
          <w:rFonts w:ascii="Calibri" w:hAnsi="Calibri"/>
          <w:sz w:val="22"/>
          <w:szCs w:val="22"/>
        </w:rPr>
      </w:pPr>
    </w:p>
    <w:p>
      <w:pPr>
        <w:tabs>
          <w:tab w:val="left" w:pos="0"/>
          <w:tab w:val="left" w:pos="360"/>
        </w:tabs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Atenciosamente,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211"/>
      </w:tblGrid>
      <w:tr>
        <w:tc>
          <w:tcPr>
            <w:tcW w:w="9211" w:type="dxa"/>
          </w:tcPr>
          <w:p>
            <w:pPr>
              <w:tabs>
                <w:tab w:val="left" w:pos="0"/>
                <w:tab w:val="left" w:pos="360"/>
              </w:tabs>
              <w:jc w:val="center"/>
              <w:rPr>
                <w:rFonts w:ascii="Calibri" w:hAnsi="Calibri"/>
                <w:sz w:val="22"/>
                <w:szCs w:val="22"/>
              </w:rPr>
            </w:pPr>
          </w:p>
          <w:p>
            <w:pPr>
              <w:jc w:val="center"/>
              <w:rPr>
                <w:rFonts w:ascii="Calibri" w:hAnsi="Calibri"/>
                <w:b/>
                <w:smallCaps/>
                <w:sz w:val="22"/>
                <w:szCs w:val="22"/>
              </w:rPr>
            </w:pPr>
            <w:r>
              <w:rPr>
                <w:rFonts w:ascii="Calibri" w:hAnsi="Calibri"/>
                <w:b/>
                <w:smallCaps/>
                <w:sz w:val="22"/>
                <w:szCs w:val="22"/>
              </w:rPr>
              <w:t>Estre Ambiental S.A.</w:t>
            </w:r>
          </w:p>
          <w:p>
            <w:pPr>
              <w:widowControl w:val="0"/>
              <w:jc w:val="center"/>
              <w:rPr>
                <w:rFonts w:ascii="Calibri" w:eastAsia="Arial Unicode MS" w:hAnsi="Calibri"/>
                <w:i/>
                <w:w w:val="0"/>
                <w:sz w:val="22"/>
                <w:szCs w:val="22"/>
                <w:lang w:val="fr-FR"/>
              </w:rPr>
            </w:pPr>
            <w:r>
              <w:rPr>
                <w:rFonts w:ascii="Calibri" w:eastAsia="Arial Unicode MS" w:hAnsi="Calibri"/>
                <w:i/>
                <w:w w:val="0"/>
                <w:sz w:val="22"/>
                <w:szCs w:val="22"/>
                <w:lang w:val="fr-FR"/>
              </w:rPr>
              <w:t>(</w:t>
            </w:r>
            <w:proofErr w:type="spellStart"/>
            <w:r>
              <w:rPr>
                <w:rFonts w:ascii="Calibri" w:eastAsia="Arial Unicode MS" w:hAnsi="Calibri"/>
                <w:i/>
                <w:w w:val="0"/>
                <w:sz w:val="22"/>
                <w:szCs w:val="22"/>
                <w:lang w:val="fr-FR"/>
              </w:rPr>
              <w:t>Emissora</w:t>
            </w:r>
            <w:proofErr w:type="spellEnd"/>
            <w:r>
              <w:rPr>
                <w:rFonts w:ascii="Calibri" w:eastAsia="Arial Unicode MS" w:hAnsi="Calibri"/>
                <w:i/>
                <w:w w:val="0"/>
                <w:sz w:val="22"/>
                <w:szCs w:val="22"/>
                <w:lang w:val="fr-FR"/>
              </w:rPr>
              <w:t>)</w:t>
            </w:r>
          </w:p>
          <w:p>
            <w:pPr>
              <w:widowControl w:val="0"/>
              <w:jc w:val="center"/>
              <w:rPr>
                <w:rFonts w:ascii="Calibri" w:eastAsia="Arial Unicode MS" w:hAnsi="Calibri"/>
                <w:b/>
                <w:w w:val="0"/>
                <w:sz w:val="22"/>
                <w:szCs w:val="22"/>
                <w:lang w:val="fr-FR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4396"/>
              <w:gridCol w:w="4599"/>
            </w:tblGrid>
            <w:tr>
              <w:trPr>
                <w:jc w:val="center"/>
              </w:trPr>
              <w:tc>
                <w:tcPr>
                  <w:tcW w:w="4605" w:type="dxa"/>
                </w:tcPr>
                <w:p>
                  <w:pPr>
                    <w:widowControl w:val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______________________________________</w:t>
                  </w:r>
                </w:p>
                <w:p>
                  <w:pPr>
                    <w:widowControl w:val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 xml:space="preserve">Nome: </w:t>
                  </w:r>
                </w:p>
                <w:p>
                  <w:pPr>
                    <w:widowControl w:val="0"/>
                    <w:rPr>
                      <w:rFonts w:ascii="Calibri" w:eastAsia="Arial Unicode MS" w:hAnsi="Calibri"/>
                      <w:w w:val="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 xml:space="preserve">Cargo: </w:t>
                  </w:r>
                </w:p>
              </w:tc>
              <w:tc>
                <w:tcPr>
                  <w:tcW w:w="4606" w:type="dxa"/>
                </w:tcPr>
                <w:p>
                  <w:pPr>
                    <w:widowControl w:val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________________________________________</w:t>
                  </w:r>
                </w:p>
                <w:p>
                  <w:pPr>
                    <w:widowControl w:val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 xml:space="preserve">Nome: </w:t>
                  </w:r>
                </w:p>
                <w:p>
                  <w:pPr>
                    <w:widowControl w:val="0"/>
                    <w:rPr>
                      <w:rFonts w:ascii="Calibri" w:eastAsia="Arial Unicode MS" w:hAnsi="Calibri"/>
                      <w:w w:val="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 xml:space="preserve">Cargo: </w:t>
                  </w:r>
                </w:p>
              </w:tc>
            </w:tr>
          </w:tbl>
          <w:p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>
        <w:trPr>
          <w:trHeight w:val="4360"/>
        </w:trPr>
        <w:tc>
          <w:tcPr>
            <w:tcW w:w="9211" w:type="dxa"/>
          </w:tcPr>
          <w:p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>
            <w:pPr>
              <w:rPr>
                <w:rFonts w:ascii="Calibri" w:hAnsi="Calibri"/>
                <w:b/>
                <w:smallCaps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smallCaps/>
                <w:sz w:val="22"/>
                <w:szCs w:val="22"/>
                <w:u w:val="single"/>
              </w:rPr>
              <w:t>De Acordo:</w:t>
            </w:r>
          </w:p>
          <w:p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>
            <w:pPr>
              <w:jc w:val="center"/>
              <w:rPr>
                <w:rFonts w:asciiTheme="minorHAnsi" w:hAnsiTheme="minorHAnsi"/>
                <w:b/>
                <w:smallCap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mallCaps/>
                <w:sz w:val="22"/>
                <w:szCs w:val="22"/>
              </w:rPr>
              <w:t>Oliveira Trust Distribuidora de Títulos e Valores Mobiliários S.A.</w:t>
            </w:r>
          </w:p>
          <w:p>
            <w:pPr>
              <w:jc w:val="center"/>
              <w:rPr>
                <w:rFonts w:asciiTheme="minorHAnsi" w:hAnsiTheme="minorHAnsi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(Agente Fiduciário)</w:t>
            </w:r>
          </w:p>
          <w:p>
            <w:pPr>
              <w:widowControl w:val="0"/>
              <w:jc w:val="center"/>
              <w:rPr>
                <w:rFonts w:asciiTheme="minorHAnsi" w:eastAsia="Arial Unicode MS" w:hAnsiTheme="minorHAnsi"/>
                <w:b/>
                <w:w w:val="0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4396"/>
              <w:gridCol w:w="4599"/>
            </w:tblGrid>
            <w:tr>
              <w:trPr>
                <w:jc w:val="center"/>
              </w:trPr>
              <w:tc>
                <w:tcPr>
                  <w:tcW w:w="4605" w:type="dxa"/>
                </w:tcPr>
                <w:p>
                  <w:pPr>
                    <w:widowControl w:val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______________________________________</w:t>
                  </w:r>
                </w:p>
                <w:p>
                  <w:pPr>
                    <w:widowControl w:val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 xml:space="preserve">Nome: </w:t>
                  </w:r>
                </w:p>
                <w:p>
                  <w:pPr>
                    <w:widowControl w:val="0"/>
                    <w:rPr>
                      <w:rFonts w:ascii="Calibri" w:eastAsia="Arial Unicode MS" w:hAnsi="Calibri"/>
                      <w:w w:val="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 xml:space="preserve">Cargo: </w:t>
                  </w:r>
                </w:p>
              </w:tc>
              <w:tc>
                <w:tcPr>
                  <w:tcW w:w="4606" w:type="dxa"/>
                </w:tcPr>
                <w:p>
                  <w:pPr>
                    <w:widowControl w:val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________________________________________</w:t>
                  </w:r>
                </w:p>
                <w:p>
                  <w:pPr>
                    <w:widowControl w:val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 xml:space="preserve">Nome: </w:t>
                  </w:r>
                </w:p>
                <w:p>
                  <w:pPr>
                    <w:widowControl w:val="0"/>
                    <w:rPr>
                      <w:rFonts w:ascii="Calibri" w:eastAsia="Arial Unicode MS" w:hAnsi="Calibri"/>
                      <w:w w:val="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 xml:space="preserve">Cargo: </w:t>
                  </w:r>
                </w:p>
              </w:tc>
            </w:tr>
          </w:tbl>
          <w:p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>
            <w:pPr>
              <w:jc w:val="center"/>
              <w:rPr>
                <w:rFonts w:asciiTheme="minorHAnsi" w:hAnsiTheme="minorHAnsi"/>
                <w:b/>
                <w:smallCap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mallCaps/>
                <w:sz w:val="22"/>
                <w:szCs w:val="22"/>
              </w:rPr>
              <w:t xml:space="preserve">Banco </w:t>
            </w:r>
            <w:proofErr w:type="spellStart"/>
            <w:r>
              <w:rPr>
                <w:rFonts w:asciiTheme="minorHAnsi" w:hAnsiTheme="minorHAnsi"/>
                <w:b/>
                <w:smallCaps/>
                <w:sz w:val="22"/>
                <w:szCs w:val="22"/>
              </w:rPr>
              <w:t>Btg</w:t>
            </w:r>
            <w:proofErr w:type="spellEnd"/>
            <w:r>
              <w:rPr>
                <w:rFonts w:asciiTheme="minorHAnsi" w:hAnsiTheme="minorHAnsi"/>
                <w:b/>
                <w:smallCaps/>
                <w:sz w:val="22"/>
                <w:szCs w:val="22"/>
              </w:rPr>
              <w:t xml:space="preserve"> Pactual S.A.</w:t>
            </w:r>
          </w:p>
          <w:p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(</w:t>
            </w:r>
            <w:r>
              <w:rPr>
                <w:rFonts w:asciiTheme="minorHAnsi" w:hAnsiTheme="minorHAnsi"/>
                <w:i/>
                <w:sz w:val="22"/>
                <w:szCs w:val="22"/>
              </w:rPr>
              <w:t>Debenturista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  <w:p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4396"/>
              <w:gridCol w:w="4599"/>
            </w:tblGrid>
            <w:tr>
              <w:trPr>
                <w:trHeight w:val="1039"/>
                <w:jc w:val="center"/>
              </w:trPr>
              <w:tc>
                <w:tcPr>
                  <w:tcW w:w="4605" w:type="dxa"/>
                </w:tcPr>
                <w:p>
                  <w:pPr>
                    <w:widowControl w:val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______________________________________</w:t>
                  </w:r>
                </w:p>
                <w:p>
                  <w:pPr>
                    <w:widowControl w:val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Nome:</w:t>
                  </w:r>
                </w:p>
                <w:p>
                  <w:pPr>
                    <w:widowControl w:val="0"/>
                    <w:rPr>
                      <w:rFonts w:ascii="Calibri" w:eastAsia="Arial Unicode MS" w:hAnsi="Calibri"/>
                      <w:w w:val="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Cargo:</w:t>
                  </w:r>
                </w:p>
              </w:tc>
              <w:tc>
                <w:tcPr>
                  <w:tcW w:w="4606" w:type="dxa"/>
                </w:tcPr>
                <w:p>
                  <w:pPr>
                    <w:widowControl w:val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________________________________________</w:t>
                  </w:r>
                </w:p>
                <w:p>
                  <w:pPr>
                    <w:widowControl w:val="0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Nome:</w:t>
                  </w:r>
                </w:p>
                <w:p>
                  <w:pPr>
                    <w:widowControl w:val="0"/>
                    <w:rPr>
                      <w:rFonts w:ascii="Calibri" w:eastAsia="Arial Unicode MS" w:hAnsi="Calibri"/>
                      <w:w w:val="0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Cargo:</w:t>
                  </w:r>
                </w:p>
              </w:tc>
            </w:tr>
          </w:tbl>
          <w:p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</w:tbl>
    <w:p>
      <w:pPr>
        <w:jc w:val="center"/>
        <w:rPr>
          <w:rFonts w:ascii="Calibri" w:hAnsi="Calibri"/>
          <w:b/>
          <w:sz w:val="22"/>
          <w:szCs w:val="22"/>
        </w:rPr>
      </w:pPr>
    </w:p>
    <w:sectPr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418" w:right="1418" w:bottom="990" w:left="1418" w:header="720" w:footer="851" w:gutter="0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 Negrito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rPr>
        <w:sz w:val="16"/>
      </w:rPr>
    </w:pPr>
    <w:proofErr w:type="spellStart"/>
    <w:r>
      <w:rPr>
        <w:sz w:val="16"/>
      </w:rPr>
      <w:t>AMECURRENT</w:t>
    </w:r>
    <w:proofErr w:type="spellEnd"/>
    <w:r>
      <w:rPr>
        <w:sz w:val="16"/>
      </w:rPr>
      <w:t xml:space="preserve"> 707584014.2 27-set-13 10:09</w:t>
    </w:r>
  </w:p>
  <w:p>
    <w:pPr>
      <w:pStyle w:val="Footer"/>
    </w:pPr>
    <w:r>
      <w:fldChar w:fldCharType="begin"/>
    </w:r>
    <w:r>
      <w:instrText xml:space="preserve"> DOCVARIABLE #DNDocID \* MERGEFORMAT </w:instrText>
    </w:r>
    <w:r>
      <w:fldChar w:fldCharType="separate"/>
    </w:r>
    <w:proofErr w:type="spellStart"/>
    <w:r>
      <w:rPr>
        <w:sz w:val="16"/>
      </w:rPr>
      <w:t>AMECURRENT</w:t>
    </w:r>
    <w:proofErr w:type="spellEnd"/>
    <w:r>
      <w:rPr>
        <w:sz w:val="16"/>
      </w:rPr>
      <w:t xml:space="preserve"> 709667377.1 17-jun-14 11:22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jc w:val="right"/>
      <w:rPr>
        <w:rFonts w:asciiTheme="minorHAnsi" w:hAnsiTheme="minorHAnsi"/>
        <w:sz w:val="20"/>
        <w:szCs w:val="20"/>
      </w:rPr>
    </w:pPr>
    <w:r>
      <w:rPr>
        <w:rFonts w:asciiTheme="minorHAnsi" w:hAnsiTheme="minorHAnsi"/>
        <w:sz w:val="20"/>
        <w:szCs w:val="20"/>
      </w:rPr>
      <w:fldChar w:fldCharType="begin"/>
    </w:r>
    <w:r>
      <w:rPr>
        <w:rFonts w:asciiTheme="minorHAnsi" w:hAnsiTheme="minorHAnsi"/>
        <w:sz w:val="20"/>
        <w:szCs w:val="20"/>
      </w:rPr>
      <w:instrText xml:space="preserve"> PAGE   \* MERGEFORMAT </w:instrText>
    </w:r>
    <w:r>
      <w:rPr>
        <w:rFonts w:asciiTheme="minorHAnsi" w:hAnsiTheme="minorHAnsi"/>
        <w:sz w:val="20"/>
        <w:szCs w:val="20"/>
      </w:rPr>
      <w:fldChar w:fldCharType="separate"/>
    </w:r>
    <w:r>
      <w:rPr>
        <w:rFonts w:asciiTheme="minorHAnsi" w:hAnsiTheme="minorHAnsi"/>
        <w:noProof/>
        <w:sz w:val="20"/>
        <w:szCs w:val="20"/>
      </w:rPr>
      <w:t>2</w:t>
    </w:r>
    <w:r>
      <w:rPr>
        <w:rFonts w:asciiTheme="minorHAnsi" w:hAnsiTheme="minorHAnsi"/>
        <w:sz w:val="20"/>
        <w:szCs w:val="20"/>
      </w:rPr>
      <w:fldChar w:fldCharType="end"/>
    </w:r>
  </w:p>
  <w:p>
    <w:pPr>
      <w:rPr>
        <w:rFonts w:ascii="Garamond" w:hAnsi="Garamond"/>
        <w:color w:val="FFFFFF"/>
      </w:rPr>
    </w:pPr>
    <w:r>
      <w:fldChar w:fldCharType="begin"/>
    </w:r>
    <w:r>
      <w:instrText xml:space="preserve"> DOCVARIABLE #DNDocID \* MERGEFORMAT </w:instrText>
    </w:r>
    <w:r>
      <w:fldChar w:fldCharType="separate"/>
    </w:r>
    <w:proofErr w:type="spellStart"/>
    <w:r>
      <w:rPr>
        <w:color w:val="FFFFFF"/>
        <w:sz w:val="16"/>
      </w:rPr>
      <w:t>AMECURRENT</w:t>
    </w:r>
    <w:proofErr w:type="spellEnd"/>
    <w:r>
      <w:rPr>
        <w:color w:val="FFFFFF"/>
        <w:sz w:val="16"/>
      </w:rPr>
      <w:t xml:space="preserve"> 709667377.1 17-jun-14 11:22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jc w:val="right"/>
      <w:rPr>
        <w:rFonts w:asciiTheme="minorHAnsi" w:hAnsiTheme="minorHAnsi"/>
        <w:sz w:val="20"/>
        <w:szCs w:val="20"/>
      </w:rPr>
    </w:pPr>
  </w:p>
  <w:p>
    <w:pPr>
      <w:pStyle w:val="Footer"/>
      <w:rPr>
        <w:color w:val="FFFFFF" w:themeColor="background1"/>
      </w:rPr>
    </w:pPr>
    <w:r>
      <w:fldChar w:fldCharType="begin"/>
    </w:r>
    <w:r>
      <w:instrText xml:space="preserve"> DOCVARIABLE #DNDocID \* MERGEFORMAT </w:instrText>
    </w:r>
    <w:r>
      <w:fldChar w:fldCharType="separate"/>
    </w:r>
    <w:proofErr w:type="spellStart"/>
    <w:r>
      <w:rPr>
        <w:color w:val="FFFFFF" w:themeColor="background1"/>
        <w:sz w:val="16"/>
      </w:rPr>
      <w:t>AMECURRENT</w:t>
    </w:r>
    <w:proofErr w:type="spellEnd"/>
    <w:r>
      <w:rPr>
        <w:color w:val="FFFFFF" w:themeColor="background1"/>
        <w:sz w:val="16"/>
      </w:rPr>
      <w:t xml:space="preserve"> 709667377.1 17-jun-14 11:22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center"/>
      <w:rPr>
        <w:rFonts w:asciiTheme="minorHAnsi" w:hAnsiTheme="minorHAnsi"/>
        <w:sz w:val="22"/>
        <w:szCs w:val="22"/>
      </w:rPr>
    </w:pPr>
    <w:r>
      <w:rPr>
        <w:noProof/>
      </w:rPr>
      <w:drawing>
        <wp:inline distT="0" distB="0" distL="0" distR="0">
          <wp:extent cx="2258179" cy="736979"/>
          <wp:effectExtent l="19050" t="0" r="8771" b="0"/>
          <wp:docPr id="2" name="Picture 1" descr="Est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tr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128" cy="73728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Theme="minorHAnsi" w:hAnsiTheme="minorHAnsi"/>
        <w:sz w:val="22"/>
        <w:szCs w:val="22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center"/>
      <w:rPr>
        <w:rFonts w:asciiTheme="minorHAnsi" w:hAnsiTheme="minorHAnsi"/>
        <w:sz w:val="22"/>
        <w:szCs w:val="22"/>
      </w:rPr>
    </w:pPr>
    <w:r>
      <w:rPr>
        <w:noProof/>
      </w:rPr>
      <w:drawing>
        <wp:inline distT="0" distB="0" distL="0" distR="0">
          <wp:extent cx="2258179" cy="736979"/>
          <wp:effectExtent l="19050" t="0" r="8771" b="0"/>
          <wp:docPr id="1" name="Picture 1" descr="Est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tr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128" cy="73728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Theme="minorHAnsi" w:hAnsiTheme="minorHAnsi"/>
        <w:sz w:val="22"/>
        <w:szCs w:val="2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C376E"/>
    <w:multiLevelType w:val="hybridMultilevel"/>
    <w:tmpl w:val="29CE3A4C"/>
    <w:lvl w:ilvl="0" w:tplc="958CA494">
      <w:start w:val="1"/>
      <w:numFmt w:val="lowerRoman"/>
      <w:lvlText w:val="(%1)"/>
      <w:lvlJc w:val="left"/>
      <w:pPr>
        <w:ind w:left="1080" w:hanging="720"/>
      </w:pPr>
      <w:rPr>
        <w:rFonts w:cs="Times New Roman"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192436AC"/>
    <w:multiLevelType w:val="hybridMultilevel"/>
    <w:tmpl w:val="A198E410"/>
    <w:lvl w:ilvl="0" w:tplc="4BF8C6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33DE160F"/>
    <w:multiLevelType w:val="hybridMultilevel"/>
    <w:tmpl w:val="1068C9EE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EA0096"/>
    <w:multiLevelType w:val="multilevel"/>
    <w:tmpl w:val="8C669C9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Times New Roman Negrito" w:hAnsi="Times New Roman Negrito" w:hint="default"/>
        <w:b w:val="0"/>
        <w:i w:val="0"/>
        <w:sz w:val="26"/>
      </w:rPr>
    </w:lvl>
    <w:lvl w:ilvl="1">
      <w:start w:val="1"/>
      <w:numFmt w:val="upperRoman"/>
      <w:lvlText w:val="%2."/>
      <w:lvlJc w:val="left"/>
      <w:pPr>
        <w:tabs>
          <w:tab w:val="num" w:pos="1418"/>
        </w:tabs>
        <w:ind w:left="1418" w:hanging="709"/>
      </w:pPr>
      <w:rPr>
        <w:rFonts w:ascii="Calibri" w:hAnsi="Calibri" w:hint="default"/>
        <w:b w:val="0"/>
        <w:i w:val="0"/>
        <w:sz w:val="22"/>
        <w:szCs w:val="22"/>
      </w:rPr>
    </w:lvl>
    <w:lvl w:ilvl="2">
      <w:start w:val="1"/>
      <w:numFmt w:val="lowerLetter"/>
      <w:lvlText w:val="(%3)"/>
      <w:lvlJc w:val="left"/>
      <w:pPr>
        <w:tabs>
          <w:tab w:val="num" w:pos="2268"/>
        </w:tabs>
        <w:ind w:left="2268" w:hanging="708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>
    <w:nsid w:val="7C3D00D6"/>
    <w:multiLevelType w:val="hybridMultilevel"/>
    <w:tmpl w:val="6D2A5A5C"/>
    <w:lvl w:ilvl="0" w:tplc="8586E63E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  <w:rPr>
        <w:rFonts w:cs="Times New Roman"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856"/>
        </w:tabs>
        <w:ind w:left="2856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76"/>
        </w:tabs>
        <w:ind w:left="3576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5016"/>
        </w:tabs>
        <w:ind w:left="5016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736"/>
        </w:tabs>
        <w:ind w:left="5736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76"/>
        </w:tabs>
        <w:ind w:left="7176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96"/>
        </w:tabs>
        <w:ind w:left="7896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Thales Tarre">
    <w15:presenceInfo w15:providerId="None" w15:userId="Thales Tarre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stylePaneFormatFilter w:val="3F01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docVars>
    <w:docVar w:name="#DNDateTime" w:val="-1"/>
    <w:docVar w:name="#DNDocDBase" w:val="-1"/>
    <w:docVar w:name="#DNDocID" w:val="AMECURRENT 709667377.1 17-jun-14 11:22"/>
    <w:docVar w:name="#DNDocMatterNo" w:val="0"/>
    <w:docVar w:name="#DNDocVer" w:val="-1"/>
    <w:docVar w:name="#DNFOpts" w:val="optFooter0"/>
    <w:docVar w:name="#DNLine2Chk" w:val="0"/>
    <w:docVar w:name="#DNPlacement" w:val="optAllPages"/>
    <w:docVar w:name="didIDFlag" w:val="30/06/2017 15:40:14"/>
    <w:docVar w:name="zzmpLTFontsClean" w:val="True"/>
    <w:docVar w:name="zzmpnSession" w:val="0,6202356"/>
  </w:docVar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semiHidden="0" w:unhideWhenUsed="0" w:qFormat="1"/>
    <w:lsdException w:name="heading 3" w:locked="1" w:semiHidden="0" w:unhideWhenUsed="0" w:qFormat="1"/>
    <w:lsdException w:name="heading 4" w:locked="1" w:semiHidden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locked="1" w:semiHidden="0" w:unhideWhenUsed="0"/>
    <w:lsdException w:name="caption" w:locked="1" w:uiPriority="0" w:qFormat="1"/>
    <w:lsdException w:name="Title" w:locked="1" w:semiHidden="0" w:unhideWhenUsed="0" w:qFormat="1"/>
    <w:lsdException w:name="Default Paragraph Font" w:locked="1" w:semiHidden="0" w:uiPriority="1" w:unhideWhenUsed="0"/>
    <w:lsdException w:name="Subtitle" w:locked="1" w:semiHidden="0" w:unhideWhenUsed="0" w:qFormat="1"/>
    <w:lsdException w:name="Strong" w:locked="1" w:semiHidden="0" w:unhideWhenUsed="0" w:qFormat="1"/>
    <w:lsdException w:name="Emphasis" w:locked="1" w:semiHidden="0" w:uiPriority="0" w:unhideWhenUsed="0" w:qFormat="1"/>
    <w:lsdException w:name="Table Grid" w:locked="1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jc w:val="center"/>
      <w:outlineLvl w:val="0"/>
    </w:pPr>
    <w:rPr>
      <w:rFonts w:ascii="Arial" w:hAnsi="Arial"/>
      <w:i/>
      <w:iCs/>
      <w:sz w:val="2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ind w:left="360"/>
      <w:jc w:val="center"/>
      <w:outlineLvl w:val="1"/>
    </w:pPr>
    <w:rPr>
      <w:rFonts w:ascii="Arial" w:hAnsi="Arial"/>
      <w:i/>
      <w:iCs/>
      <w:sz w:val="22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jc w:val="center"/>
      <w:outlineLvl w:val="2"/>
    </w:pPr>
    <w:rPr>
      <w:rFonts w:ascii="Garamond" w:hAnsi="Garamond"/>
      <w:b/>
      <w:i/>
      <w:iCs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jc w:val="both"/>
      <w:outlineLvl w:val="3"/>
    </w:pPr>
    <w:rPr>
      <w:rFonts w:ascii="Garamond" w:hAnsi="Garamond"/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bCs/>
      <w:kern w:val="32"/>
      <w:sz w:val="32"/>
      <w:szCs w:val="32"/>
      <w:lang w:val="pt-BR" w:eastAsia="pt-BR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Times New Roman"/>
      <w:b/>
      <w:bCs/>
      <w:i/>
      <w:iCs/>
      <w:sz w:val="28"/>
      <w:szCs w:val="28"/>
      <w:lang w:val="pt-BR" w:eastAsia="pt-BR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Times New Roman"/>
      <w:b/>
      <w:bCs/>
      <w:sz w:val="26"/>
      <w:szCs w:val="26"/>
      <w:lang w:val="pt-BR" w:eastAsia="pt-BR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Times New Roman"/>
      <w:b/>
      <w:bCs/>
      <w:sz w:val="28"/>
      <w:szCs w:val="28"/>
      <w:lang w:val="pt-BR" w:eastAsia="pt-BR"/>
    </w:rPr>
  </w:style>
  <w:style w:type="paragraph" w:styleId="Header">
    <w:name w:val="header"/>
    <w:basedOn w:val="Normal"/>
    <w:link w:val="HeaderChar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  <w:lang w:val="pt-BR" w:eastAsia="pt-BR"/>
    </w:rPr>
  </w:style>
  <w:style w:type="paragraph" w:styleId="Footer">
    <w:name w:val="footer"/>
    <w:basedOn w:val="Normal"/>
    <w:link w:val="FooterChar"/>
    <w:uiPriority w:val="9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cs="Times New Roman"/>
      <w:sz w:val="24"/>
      <w:szCs w:val="24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rFonts w:ascii="Arial" w:hAnsi="Arial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Pr>
      <w:rFonts w:ascii="Cambria" w:hAnsi="Cambria" w:cs="Times New Roman"/>
      <w:b/>
      <w:bCs/>
      <w:kern w:val="28"/>
      <w:sz w:val="32"/>
      <w:szCs w:val="32"/>
      <w:lang w:val="pt-BR" w:eastAsia="pt-BR"/>
    </w:rPr>
  </w:style>
  <w:style w:type="paragraph" w:styleId="Subtitle">
    <w:name w:val="Subtitle"/>
    <w:basedOn w:val="Normal"/>
    <w:link w:val="SubtitleChar"/>
    <w:uiPriority w:val="99"/>
    <w:qFormat/>
    <w:pPr>
      <w:ind w:left="851" w:right="900"/>
      <w:jc w:val="center"/>
    </w:pPr>
    <w:rPr>
      <w:rFonts w:ascii="Arial" w:hAnsi="Arial"/>
      <w:b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locked/>
    <w:rPr>
      <w:rFonts w:ascii="Cambria" w:hAnsi="Cambria" w:cs="Times New Roman"/>
      <w:sz w:val="24"/>
      <w:szCs w:val="24"/>
      <w:lang w:val="pt-BR" w:eastAsia="pt-BR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rFonts w:ascii="Garamond" w:hAnsi="Garamond"/>
      <w:i/>
      <w:iCs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4"/>
      <w:szCs w:val="24"/>
      <w:lang w:val="pt-BR" w:eastAsia="pt-BR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cs="Times New Roman"/>
      <w:sz w:val="2"/>
      <w:lang w:val="pt-BR" w:eastAsia="pt-BR"/>
    </w:rPr>
  </w:style>
  <w:style w:type="paragraph" w:styleId="ListParagraph">
    <w:name w:val="List Paragraph"/>
    <w:basedOn w:val="Normal"/>
    <w:uiPriority w:val="34"/>
    <w:qFormat/>
    <w:pPr>
      <w:ind w:left="708"/>
    </w:pPr>
  </w:style>
  <w:style w:type="character" w:styleId="Strong">
    <w:name w:val="Strong"/>
    <w:basedOn w:val="DefaultParagraphFont"/>
    <w:uiPriority w:val="99"/>
    <w:qFormat/>
    <w:rPr>
      <w:rFonts w:cs="Times New Roman"/>
      <w:b/>
      <w:bCs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rPr>
      <w:rFonts w:ascii="Garamond" w:hAnsi="Garamond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locked/>
    <w:rPr>
      <w:rFonts w:ascii="Garamond" w:hAnsi="Garamond"/>
      <w:sz w:val="20"/>
      <w:szCs w:val="20"/>
      <w:lang w:val="pt-BR" w:eastAsia="pt-BR"/>
    </w:rPr>
  </w:style>
  <w:style w:type="character" w:styleId="FootnoteReference">
    <w:name w:val="footnote reference"/>
    <w:basedOn w:val="DefaultParagraphFont"/>
    <w:uiPriority w:val="99"/>
    <w:rPr>
      <w:rFonts w:cs="Times New Roman"/>
      <w:vertAlign w:val="superscript"/>
    </w:rPr>
  </w:style>
  <w:style w:type="character" w:styleId="CommentReference">
    <w:name w:val="annotation reference"/>
    <w:basedOn w:val="DefaultParagraphFont"/>
    <w:uiPriority w:val="9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Pr>
      <w:rFonts w:cs="Times New Roman"/>
      <w:b/>
      <w:bCs/>
    </w:rPr>
  </w:style>
  <w:style w:type="table" w:styleId="TableGrid">
    <w:name w:val="Table Grid"/>
    <w:basedOn w:val="TableNormal"/>
    <w:locked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7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4053">
              <w:marLeft w:val="0"/>
              <w:marRight w:val="0"/>
              <w:marTop w:val="15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3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0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7478">
              <w:marLeft w:val="0"/>
              <w:marRight w:val="0"/>
              <w:marTop w:val="88"/>
              <w:marBottom w:val="5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6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5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r.debentures@cetip.com.br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valores.mobiliarios@cetip.com.br" TargetMode="Externa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D5AF8A-0C65-4915-83D9-E99A8BBD0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</Pages>
  <Words>766</Words>
  <Characters>4754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5509</CharactersWithSpaces>
  <SharedDoc>false</SharedDoc>
  <HLinks>
    <vt:vector size="12" baseType="variant">
      <vt:variant>
        <vt:i4>262170</vt:i4>
      </vt:variant>
      <vt:variant>
        <vt:i4>3</vt:i4>
      </vt:variant>
      <vt:variant>
        <vt:i4>0</vt:i4>
      </vt:variant>
      <vt:variant>
        <vt:i4>5</vt:i4>
      </vt:variant>
      <vt:variant>
        <vt:lpwstr>../../SCBF-SP/FGOMES/www.cetip.com.br</vt:lpwstr>
      </vt:variant>
      <vt:variant>
        <vt:lpwstr/>
      </vt:variant>
      <vt:variant>
        <vt:i4>262170</vt:i4>
      </vt:variant>
      <vt:variant>
        <vt:i4>0</vt:i4>
      </vt:variant>
      <vt:variant>
        <vt:i4>0</vt:i4>
      </vt:variant>
      <vt:variant>
        <vt:i4>5</vt:i4>
      </vt:variant>
      <vt:variant>
        <vt:lpwstr>../../SCBF-SP/FGOMES/www.cetip.com.br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TCMB</cp:lastModifiedBy>
  <cp:revision>17</cp:revision>
  <cp:lastPrinted>2014-06-16T22:56:00Z</cp:lastPrinted>
  <dcterms:created xsi:type="dcterms:W3CDTF">2014-06-17T14:22:00Z</dcterms:created>
  <dcterms:modified xsi:type="dcterms:W3CDTF">2017-06-30T18:40:00Z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L_MSG_ID1">
    <vt:lpwstr>0FAAENUjWtcCD3966Yj0VDiqeTD/lSXK+TBF3Ao/NvT9sJjhPEIAxfK7NMwfgA3Pvh52yZ0S2NC18E/n
zgHFZ+9++5v5Q2r3AIuj3eEeH6RhMQ6aKatOVA6JYhUsgvW2OjpGU6mV6KbZJjxzCLitBeQFIcbd
OuVVUovAOC6/3+pX/puCdmSCYlPLHKW5PMYgZn+xA+qqmSx719fWlVocKFvu62JhvWZvcA7SYDI6
s4ngv1HE7mEHV1K/0</vt:lpwstr>
  </property>
  <property fmtid="{D5CDD505-2E9C-101B-9397-08002B2CF9AE}" pid="3" name="MAIL_MSG_ID2">
    <vt:lpwstr>yJcjFNxDjgS5UXhtVwSyZ7sSyF/ExwKESifluHT6M5WKmqQz0ow4R70WXVi
yIEr4V/1v0zfYz+Tupxv3tjigmC0LiGVW+64aPdlFidFUTHauRP0Al4jhwE=</vt:lpwstr>
  </property>
  <property fmtid="{D5CDD505-2E9C-101B-9397-08002B2CF9AE}" pid="4" name="RESPONSE_SENDER_NAME">
    <vt:lpwstr>sAAAE34RQVAK31k4M3qX70Qc7I1gaYW41Y/dVjMcYX1069w=</vt:lpwstr>
  </property>
  <property fmtid="{D5CDD505-2E9C-101B-9397-08002B2CF9AE}" pid="5" name="EMAIL_OWNER_ADDRESS">
    <vt:lpwstr>ABAAMV6B7YzPbaIPDcQ3f3u3J0mvNtRAH1WyGGUuI8XTUOTxsY5bBkuqjCHKEDuZi7WL</vt:lpwstr>
  </property>
</Properties>
</file>